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ascii="宋体" w:hAnsi="宋体" w:eastAsia="仿宋_GB2312"/>
          <w:b/>
          <w:bCs/>
          <w:sz w:val="44"/>
        </w:rPr>
      </w:pPr>
      <w:r>
        <w:rPr>
          <w:rFonts w:hint="eastAsia" w:ascii="宋体" w:hAnsi="宋体" w:eastAsia="仿宋_GB2312"/>
          <w:b/>
          <w:bCs/>
          <w:sz w:val="44"/>
          <w:lang w:eastAsia="zh-CN"/>
        </w:rPr>
        <w:drawing>
          <wp:anchor distT="0" distB="0" distL="114300" distR="114300" simplePos="0" relativeHeight="251659264" behindDoc="0" locked="0" layoutInCell="1" allowOverlap="1">
            <wp:simplePos x="0" y="0"/>
            <wp:positionH relativeFrom="column">
              <wp:posOffset>-76200</wp:posOffset>
            </wp:positionH>
            <wp:positionV relativeFrom="paragraph">
              <wp:posOffset>-93980</wp:posOffset>
            </wp:positionV>
            <wp:extent cx="5596255" cy="8096885"/>
            <wp:effectExtent l="0" t="0" r="4445" b="18415"/>
            <wp:wrapTopAndBottom/>
            <wp:docPr id="2" name="图片 2" descr="88919ec8ce25f3e1442fefea8c007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919ec8ce25f3e1442fefea8c0077e"/>
                    <pic:cNvPicPr>
                      <a:picLocks noChangeAspect="1"/>
                    </pic:cNvPicPr>
                  </pic:nvPicPr>
                  <pic:blipFill>
                    <a:blip r:embed="rId6"/>
                    <a:stretch>
                      <a:fillRect/>
                    </a:stretch>
                  </pic:blipFill>
                  <pic:spPr>
                    <a:xfrm>
                      <a:off x="0" y="0"/>
                      <a:ext cx="5596255" cy="8096885"/>
                    </a:xfrm>
                    <a:prstGeom prst="rect">
                      <a:avLst/>
                    </a:prstGeom>
                  </pic:spPr>
                </pic:pic>
              </a:graphicData>
            </a:graphic>
          </wp:anchor>
        </w:drawing>
      </w:r>
    </w:p>
    <w:p>
      <w:pPr>
        <w:spacing w:line="800" w:lineRule="exact"/>
        <w:jc w:val="center"/>
        <w:rPr>
          <w:rFonts w:hint="eastAsia" w:ascii="宋体" w:hAnsi="宋体" w:eastAsia="方正小标宋简体"/>
          <w:bCs/>
          <w:sz w:val="44"/>
          <w:szCs w:val="44"/>
        </w:rPr>
      </w:pPr>
    </w:p>
    <w:p>
      <w:pPr>
        <w:spacing w:line="570" w:lineRule="exact"/>
        <w:jc w:val="both"/>
        <w:rPr>
          <w:rFonts w:hint="eastAsia" w:ascii="宋体" w:hAnsi="宋体" w:eastAsia="方正小标宋简体"/>
          <w:bCs/>
          <w:sz w:val="44"/>
          <w:szCs w:val="44"/>
        </w:rPr>
      </w:pPr>
    </w:p>
    <w:p>
      <w:pPr>
        <w:spacing w:line="570" w:lineRule="exact"/>
        <w:jc w:val="center"/>
        <w:rPr>
          <w:rFonts w:ascii="宋体" w:hAnsi="宋体" w:eastAsia="方正小标宋简体"/>
          <w:bCs/>
          <w:sz w:val="44"/>
          <w:szCs w:val="44"/>
        </w:rPr>
      </w:pPr>
      <w:r>
        <w:rPr>
          <w:rFonts w:hint="eastAsia" w:ascii="宋体" w:hAnsi="宋体" w:eastAsia="方正小标宋简体"/>
          <w:bCs/>
          <w:sz w:val="44"/>
          <w:szCs w:val="44"/>
        </w:rPr>
        <w:t>项目支出绩效自评目录</w:t>
      </w:r>
    </w:p>
    <w:p>
      <w:pPr>
        <w:spacing w:line="570" w:lineRule="exact"/>
        <w:jc w:val="center"/>
        <w:rPr>
          <w:rFonts w:ascii="宋体" w:hAnsi="宋体" w:eastAsia="方正小标宋简体"/>
          <w:bCs/>
          <w:sz w:val="44"/>
          <w:szCs w:val="44"/>
        </w:rPr>
      </w:pPr>
    </w:p>
    <w:p>
      <w:pPr>
        <w:spacing w:line="570" w:lineRule="exact"/>
        <w:jc w:val="distribute"/>
        <w:rPr>
          <w:rFonts w:hint="default" w:ascii="宋体" w:hAnsi="宋体" w:eastAsia="方正仿宋简体"/>
          <w:sz w:val="24"/>
          <w:szCs w:val="24"/>
          <w:lang w:val="en-US" w:eastAsia="zh-CN"/>
        </w:rPr>
      </w:pPr>
      <w:r>
        <w:rPr>
          <w:rFonts w:hint="eastAsia" w:ascii="宋体" w:hAnsi="宋体" w:eastAsiaTheme="minorEastAsia"/>
          <w:szCs w:val="32"/>
        </w:rPr>
        <w:t>1</w:t>
      </w:r>
      <w:r>
        <w:rPr>
          <w:rFonts w:hint="eastAsia" w:ascii="宋体" w:hAnsi="宋体" w:eastAsiaTheme="minorEastAsia"/>
          <w:szCs w:val="32"/>
          <w:lang w:val="en-US" w:eastAsia="zh-CN"/>
        </w:rPr>
        <w:t>.</w:t>
      </w:r>
      <w:r>
        <w:rPr>
          <w:rFonts w:hint="eastAsia" w:ascii="宋体" w:hAnsi="宋体" w:eastAsia="方正仿宋简体"/>
          <w:szCs w:val="32"/>
        </w:rPr>
        <w:t>不动产登记中心综合业务费项目</w:t>
      </w:r>
      <w:r>
        <w:rPr>
          <w:rFonts w:hint="eastAsia" w:ascii="宋体" w:hAnsi="宋体" w:eastAsia="方正仿宋简体"/>
          <w:szCs w:val="32"/>
          <w:lang w:val="en-US" w:eastAsia="zh-CN"/>
        </w:rPr>
        <w:t>........................</w:t>
      </w:r>
      <w:r>
        <w:rPr>
          <w:rFonts w:hint="eastAsia" w:ascii="宋体" w:hAnsi="宋体" w:eastAsiaTheme="minorEastAsia" w:cstheme="minorEastAsia"/>
          <w:b w:val="0"/>
          <w:bCs w:val="0"/>
          <w:szCs w:val="32"/>
          <w:lang w:val="en-US" w:eastAsia="zh-CN"/>
        </w:rPr>
        <w:t>1</w:t>
      </w:r>
    </w:p>
    <w:p>
      <w:pPr>
        <w:spacing w:line="570" w:lineRule="exact"/>
        <w:jc w:val="distribute"/>
        <w:rPr>
          <w:rFonts w:hint="default" w:ascii="宋体" w:hAnsi="宋体" w:eastAsia="方正仿宋简体"/>
          <w:szCs w:val="32"/>
          <w:lang w:val="en-US" w:eastAsia="zh-CN"/>
        </w:rPr>
      </w:pPr>
      <w:r>
        <w:rPr>
          <w:rFonts w:hint="eastAsia" w:ascii="宋体" w:hAnsi="宋体" w:eastAsiaTheme="minorEastAsia"/>
          <w:szCs w:val="32"/>
        </w:rPr>
        <w:t>2</w:t>
      </w:r>
      <w:r>
        <w:rPr>
          <w:rFonts w:hint="eastAsia" w:ascii="宋体" w:hAnsi="宋体" w:eastAsia="方正仿宋简体"/>
          <w:szCs w:val="32"/>
        </w:rPr>
        <w:t>.综合管理经费项目</w:t>
      </w:r>
      <w:r>
        <w:rPr>
          <w:rFonts w:hint="eastAsia" w:ascii="宋体" w:hAnsi="宋体" w:eastAsia="方正仿宋简体"/>
          <w:szCs w:val="32"/>
          <w:lang w:val="en-US" w:eastAsia="zh-CN"/>
        </w:rPr>
        <w:t>...................................</w:t>
      </w:r>
      <w:r>
        <w:rPr>
          <w:rFonts w:hint="eastAsia" w:ascii="宋体" w:hAnsi="宋体" w:eastAsiaTheme="minorEastAsia" w:cstheme="minorEastAsia"/>
          <w:szCs w:val="32"/>
          <w:lang w:val="en-US" w:eastAsia="zh-CN"/>
        </w:rPr>
        <w:t>10</w:t>
      </w:r>
    </w:p>
    <w:p>
      <w:pPr>
        <w:spacing w:line="570" w:lineRule="exact"/>
        <w:jc w:val="distribute"/>
        <w:rPr>
          <w:rFonts w:hint="default" w:ascii="宋体" w:hAnsi="宋体" w:eastAsia="方正仿宋简体"/>
          <w:szCs w:val="32"/>
          <w:lang w:val="en-US" w:eastAsia="zh-CN"/>
        </w:rPr>
      </w:pPr>
      <w:r>
        <w:rPr>
          <w:rFonts w:hint="eastAsia" w:ascii="宋体" w:hAnsi="宋体" w:eastAsiaTheme="minorEastAsia"/>
          <w:szCs w:val="32"/>
        </w:rPr>
        <w:t>3</w:t>
      </w:r>
      <w:r>
        <w:rPr>
          <w:rFonts w:hint="eastAsia" w:ascii="宋体" w:hAnsi="宋体" w:eastAsia="方正仿宋简体"/>
          <w:szCs w:val="32"/>
        </w:rPr>
        <w:t>.专家评审费、评估费及证照工本费项目</w:t>
      </w:r>
      <w:r>
        <w:rPr>
          <w:rFonts w:hint="eastAsia" w:ascii="宋体" w:hAnsi="宋体" w:eastAsia="方正仿宋简体"/>
          <w:szCs w:val="32"/>
          <w:lang w:val="en-US" w:eastAsia="zh-CN"/>
        </w:rPr>
        <w:t>..................</w:t>
      </w:r>
      <w:r>
        <w:rPr>
          <w:rFonts w:hint="eastAsia" w:ascii="宋体" w:hAnsi="宋体" w:eastAsiaTheme="minorEastAsia" w:cstheme="minorEastAsia"/>
          <w:szCs w:val="32"/>
          <w:lang w:val="en-US" w:eastAsia="zh-CN"/>
        </w:rPr>
        <w:t>18</w:t>
      </w:r>
    </w:p>
    <w:p>
      <w:pPr>
        <w:spacing w:line="570" w:lineRule="exact"/>
        <w:jc w:val="distribute"/>
        <w:rPr>
          <w:rFonts w:hint="default" w:ascii="宋体" w:hAnsi="宋体" w:eastAsia="方正仿宋简体" w:cs="仿宋"/>
          <w:color w:val="000000"/>
          <w:kern w:val="0"/>
          <w:szCs w:val="32"/>
          <w:shd w:val="clear" w:color="auto" w:fill="FFFFFF"/>
          <w:lang w:val="en-US" w:eastAsia="zh-CN"/>
        </w:rPr>
      </w:pPr>
      <w:r>
        <w:rPr>
          <w:rFonts w:hint="eastAsia" w:ascii="宋体" w:hAnsi="宋体" w:eastAsiaTheme="minorEastAsia"/>
          <w:szCs w:val="32"/>
          <w:lang w:val="en-US" w:eastAsia="zh-CN"/>
        </w:rPr>
        <w:t>4.2021-2022</w:t>
      </w:r>
      <w:r>
        <w:rPr>
          <w:rFonts w:hint="eastAsia" w:ascii="宋体" w:hAnsi="宋体" w:eastAsia="方正仿宋简体" w:cs="方正仿宋简体"/>
          <w:szCs w:val="32"/>
          <w:lang w:val="en-US" w:eastAsia="zh-CN"/>
        </w:rPr>
        <w:t>房屋租赁及物业费</w:t>
      </w:r>
      <w:r>
        <w:rPr>
          <w:rFonts w:hint="eastAsia" w:ascii="宋体" w:hAnsi="宋体" w:eastAsia="方正仿宋简体" w:cs="方正仿宋简体"/>
          <w:szCs w:val="32"/>
        </w:rPr>
        <w:t>项目</w:t>
      </w:r>
      <w:r>
        <w:rPr>
          <w:rFonts w:hint="eastAsia" w:ascii="宋体" w:hAnsi="宋体" w:eastAsia="方正仿宋简体"/>
          <w:szCs w:val="32"/>
          <w:lang w:val="en-US" w:eastAsia="zh-CN"/>
        </w:rPr>
        <w:t>......................</w:t>
      </w:r>
      <w:r>
        <w:rPr>
          <w:rFonts w:hint="eastAsia" w:ascii="宋体" w:hAnsi="宋体" w:eastAsiaTheme="minorEastAsia" w:cstheme="minorEastAsia"/>
          <w:szCs w:val="32"/>
          <w:lang w:val="en-US" w:eastAsia="zh-CN"/>
        </w:rPr>
        <w:t>26</w:t>
      </w:r>
    </w:p>
    <w:p>
      <w:pPr>
        <w:spacing w:line="570" w:lineRule="exact"/>
        <w:jc w:val="distribute"/>
        <w:rPr>
          <w:rFonts w:hint="eastAsia" w:ascii="宋体" w:hAnsi="宋体" w:eastAsia="方正仿宋简体"/>
          <w:szCs w:val="32"/>
          <w:lang w:val="en-US" w:eastAsia="zh-CN"/>
        </w:rPr>
      </w:pPr>
      <w:r>
        <w:rPr>
          <w:rFonts w:hint="eastAsia" w:ascii="宋体" w:hAnsi="宋体" w:eastAsiaTheme="minorEastAsia" w:cstheme="minorEastAsia"/>
          <w:szCs w:val="32"/>
          <w:lang w:val="en-US" w:eastAsia="zh-CN"/>
        </w:rPr>
        <w:t>5.</w:t>
      </w:r>
      <w:r>
        <w:rPr>
          <w:rFonts w:hint="eastAsia" w:ascii="宋体" w:hAnsi="宋体" w:eastAsiaTheme="minorEastAsia" w:cstheme="minorEastAsia"/>
          <w:color w:val="000000"/>
          <w:kern w:val="0"/>
          <w:szCs w:val="32"/>
          <w:shd w:val="clear" w:color="auto" w:fill="FFFFFF"/>
          <w:lang w:val="en-US" w:eastAsia="zh-CN"/>
        </w:rPr>
        <w:t>2021</w:t>
      </w:r>
      <w:r>
        <w:rPr>
          <w:rFonts w:hint="eastAsia" w:ascii="宋体" w:hAnsi="宋体" w:eastAsia="方正仿宋简体" w:cs="方正仿宋简体"/>
          <w:color w:val="000000"/>
          <w:kern w:val="0"/>
          <w:szCs w:val="32"/>
          <w:shd w:val="clear" w:color="auto" w:fill="FFFFFF"/>
          <w:lang w:val="en-US" w:eastAsia="zh-CN"/>
        </w:rPr>
        <w:t>年</w:t>
      </w:r>
      <w:r>
        <w:rPr>
          <w:rFonts w:hint="eastAsia" w:ascii="宋体" w:hAnsi="宋体" w:eastAsia="方正仿宋简体" w:cs="方正仿宋简体"/>
          <w:color w:val="000000"/>
          <w:kern w:val="0"/>
          <w:szCs w:val="32"/>
          <w:shd w:val="clear" w:color="auto" w:fill="FFFFFF"/>
          <w:lang w:eastAsia="zh-CN"/>
        </w:rPr>
        <w:t>网络维护及开发</w:t>
      </w:r>
      <w:r>
        <w:rPr>
          <w:rFonts w:hint="eastAsia" w:ascii="宋体" w:hAnsi="宋体" w:eastAsia="方正仿宋简体" w:cs="方正仿宋简体"/>
          <w:color w:val="000000"/>
          <w:kern w:val="0"/>
          <w:szCs w:val="32"/>
          <w:shd w:val="clear" w:color="auto" w:fill="FFFFFF"/>
        </w:rPr>
        <w:t>费</w:t>
      </w:r>
      <w:r>
        <w:rPr>
          <w:rFonts w:hint="eastAsia" w:ascii="宋体" w:hAnsi="宋体" w:eastAsia="方正仿宋简体" w:cs="方正仿宋简体"/>
          <w:szCs w:val="32"/>
        </w:rPr>
        <w:t>项目</w:t>
      </w:r>
      <w:r>
        <w:rPr>
          <w:rFonts w:hint="eastAsia" w:ascii="宋体" w:hAnsi="宋体" w:eastAsia="方正仿宋简体"/>
          <w:szCs w:val="32"/>
          <w:lang w:val="en-US" w:eastAsia="zh-CN"/>
        </w:rPr>
        <w:t>.........................</w:t>
      </w:r>
      <w:r>
        <w:rPr>
          <w:rFonts w:hint="eastAsia" w:ascii="宋体" w:hAnsi="宋体" w:eastAsiaTheme="minorEastAsia" w:cstheme="minorEastAsia"/>
          <w:szCs w:val="32"/>
          <w:lang w:val="en-US" w:eastAsia="zh-CN"/>
        </w:rPr>
        <w:t>35</w:t>
      </w:r>
    </w:p>
    <w:p>
      <w:pPr>
        <w:spacing w:line="570" w:lineRule="exact"/>
        <w:jc w:val="distribute"/>
        <w:rPr>
          <w:rFonts w:hint="default" w:ascii="宋体" w:hAnsi="宋体" w:eastAsia="方正仿宋简体"/>
          <w:szCs w:val="32"/>
          <w:lang w:val="en-US" w:eastAsia="zh-CN"/>
        </w:rPr>
      </w:pPr>
      <w:r>
        <w:rPr>
          <w:rFonts w:hint="eastAsia" w:ascii="宋体" w:hAnsi="宋体" w:eastAsia="方正仿宋简体"/>
          <w:szCs w:val="32"/>
          <w:lang w:val="en-US" w:eastAsia="zh-CN"/>
        </w:rPr>
        <w:t>6.</w:t>
      </w:r>
      <w:r>
        <w:rPr>
          <w:rFonts w:hint="eastAsia" w:ascii="宋体" w:hAnsi="宋体" w:eastAsia="仿宋" w:cs="仿宋"/>
          <w:color w:val="000000"/>
          <w:kern w:val="0"/>
          <w:szCs w:val="32"/>
          <w:shd w:val="clear" w:color="auto" w:fill="FFFFFF"/>
          <w:lang w:val="en-US" w:eastAsia="zh-CN"/>
        </w:rPr>
        <w:t>2021年</w:t>
      </w:r>
      <w:r>
        <w:rPr>
          <w:rFonts w:hint="eastAsia" w:ascii="宋体" w:hAnsi="宋体" w:eastAsia="仿宋" w:cs="仿宋"/>
          <w:color w:val="000000"/>
          <w:kern w:val="0"/>
          <w:szCs w:val="32"/>
          <w:shd w:val="clear" w:color="auto" w:fill="FFFFFF"/>
        </w:rPr>
        <w:t>不动产登记中心</w:t>
      </w:r>
      <w:r>
        <w:rPr>
          <w:rFonts w:hint="eastAsia" w:ascii="宋体" w:hAnsi="宋体" w:eastAsia="仿宋" w:cs="仿宋"/>
          <w:color w:val="000000"/>
          <w:kern w:val="0"/>
          <w:szCs w:val="32"/>
          <w:shd w:val="clear" w:color="auto" w:fill="FFFFFF"/>
          <w:lang w:eastAsia="zh-CN"/>
        </w:rPr>
        <w:t>空调物业</w:t>
      </w:r>
      <w:r>
        <w:rPr>
          <w:rFonts w:hint="eastAsia" w:ascii="宋体" w:hAnsi="宋体" w:eastAsia="仿宋" w:cs="仿宋"/>
          <w:color w:val="000000"/>
          <w:kern w:val="0"/>
          <w:szCs w:val="32"/>
          <w:shd w:val="clear" w:color="auto" w:fill="FFFFFF"/>
        </w:rPr>
        <w:t>费</w:t>
      </w:r>
      <w:r>
        <w:rPr>
          <w:rFonts w:hint="eastAsia" w:ascii="宋体" w:hAnsi="宋体" w:eastAsia="方正仿宋简体"/>
          <w:szCs w:val="32"/>
        </w:rPr>
        <w:t>项目</w:t>
      </w:r>
      <w:r>
        <w:rPr>
          <w:rFonts w:hint="eastAsia" w:ascii="宋体" w:hAnsi="宋体" w:eastAsia="方正仿宋简体"/>
          <w:szCs w:val="32"/>
          <w:lang w:val="en-US" w:eastAsia="zh-CN"/>
        </w:rPr>
        <w:t>.................</w:t>
      </w:r>
      <w:r>
        <w:rPr>
          <w:rFonts w:hint="eastAsia" w:ascii="宋体" w:hAnsi="宋体" w:eastAsiaTheme="minorEastAsia" w:cstheme="minorEastAsia"/>
          <w:szCs w:val="32"/>
          <w:lang w:val="en-US" w:eastAsia="zh-CN"/>
        </w:rPr>
        <w:t>43</w:t>
      </w:r>
    </w:p>
    <w:p>
      <w:pPr>
        <w:spacing w:line="570" w:lineRule="exact"/>
        <w:jc w:val="distribute"/>
        <w:rPr>
          <w:rFonts w:hint="default" w:ascii="宋体" w:hAnsi="宋体" w:eastAsia="方正仿宋简体"/>
          <w:szCs w:val="32"/>
          <w:lang w:val="en-US" w:eastAsia="zh-CN"/>
        </w:rPr>
      </w:pPr>
      <w:r>
        <w:rPr>
          <w:rFonts w:hint="eastAsia" w:ascii="宋体" w:hAnsi="宋体" w:eastAsiaTheme="minorEastAsia" w:cstheme="minorEastAsia"/>
          <w:szCs w:val="32"/>
          <w:lang w:val="en-US" w:eastAsia="zh-CN"/>
        </w:rPr>
        <w:t>7.2021</w:t>
      </w:r>
      <w:r>
        <w:rPr>
          <w:rFonts w:hint="eastAsia" w:ascii="宋体" w:hAnsi="宋体" w:eastAsia="方正仿宋简体"/>
          <w:szCs w:val="32"/>
          <w:lang w:val="en-US" w:eastAsia="zh-CN"/>
        </w:rPr>
        <w:t>年</w:t>
      </w:r>
      <w:r>
        <w:rPr>
          <w:rFonts w:hint="eastAsia" w:ascii="宋体" w:hAnsi="宋体" w:eastAsia="方正仿宋简体"/>
          <w:szCs w:val="32"/>
        </w:rPr>
        <w:t>专家评审费、评估费及证照工本费项目</w:t>
      </w:r>
      <w:r>
        <w:rPr>
          <w:rFonts w:hint="eastAsia" w:ascii="宋体" w:hAnsi="宋体" w:eastAsia="方正仿宋简体"/>
          <w:szCs w:val="32"/>
          <w:lang w:val="en-US" w:eastAsia="zh-CN"/>
        </w:rPr>
        <w:t>...........</w:t>
      </w:r>
      <w:r>
        <w:rPr>
          <w:rFonts w:hint="eastAsia" w:ascii="宋体" w:hAnsi="宋体" w:eastAsiaTheme="minorEastAsia" w:cstheme="minorEastAsia"/>
          <w:szCs w:val="32"/>
          <w:lang w:val="en-US" w:eastAsia="zh-CN"/>
        </w:rPr>
        <w:t>52</w:t>
      </w:r>
    </w:p>
    <w:p>
      <w:pPr>
        <w:spacing w:line="570" w:lineRule="exact"/>
        <w:jc w:val="distribute"/>
        <w:rPr>
          <w:rFonts w:hint="default" w:ascii="宋体" w:hAnsi="宋体" w:eastAsiaTheme="minorEastAsia" w:cstheme="minorEastAsia"/>
          <w:szCs w:val="32"/>
          <w:lang w:val="en-US" w:eastAsia="zh-CN"/>
        </w:rPr>
      </w:pPr>
      <w:r>
        <w:rPr>
          <w:rFonts w:hint="eastAsia" w:ascii="宋体" w:hAnsi="宋体" w:eastAsiaTheme="minorEastAsia" w:cstheme="minorEastAsia"/>
          <w:szCs w:val="32"/>
          <w:lang w:val="en-US" w:eastAsia="zh-CN"/>
        </w:rPr>
        <w:t>8.2021</w:t>
      </w:r>
      <w:r>
        <w:rPr>
          <w:rFonts w:hint="eastAsia" w:ascii="宋体" w:hAnsi="宋体" w:eastAsia="方正仿宋简体"/>
          <w:szCs w:val="32"/>
          <w:lang w:val="en-US" w:eastAsia="zh-CN"/>
        </w:rPr>
        <w:t>年三四季度物业费</w:t>
      </w:r>
      <w:r>
        <w:rPr>
          <w:rFonts w:hint="eastAsia" w:ascii="宋体" w:hAnsi="宋体" w:eastAsia="方正仿宋简体"/>
          <w:szCs w:val="32"/>
        </w:rPr>
        <w:t>项目</w:t>
      </w:r>
      <w:r>
        <w:rPr>
          <w:rFonts w:hint="eastAsia" w:ascii="宋体" w:hAnsi="宋体" w:eastAsia="方正仿宋简体"/>
          <w:szCs w:val="32"/>
          <w:lang w:val="en-US" w:eastAsia="zh-CN"/>
        </w:rPr>
        <w:t>.........................</w:t>
      </w:r>
      <w:r>
        <w:rPr>
          <w:rFonts w:hint="eastAsia" w:ascii="宋体" w:hAnsi="宋体" w:eastAsiaTheme="minorEastAsia" w:cstheme="minorEastAsia"/>
          <w:szCs w:val="32"/>
          <w:lang w:val="en-US" w:eastAsia="zh-CN"/>
        </w:rPr>
        <w:t>60</w:t>
      </w:r>
    </w:p>
    <w:p>
      <w:pPr>
        <w:widowControl/>
        <w:jc w:val="distribute"/>
        <w:textAlignment w:val="center"/>
        <w:rPr>
          <w:rFonts w:hint="eastAsia" w:ascii="宋体" w:hAnsi="宋体" w:cs="宋体"/>
          <w:b/>
          <w:color w:val="000000"/>
          <w:kern w:val="0"/>
          <w:szCs w:val="32"/>
        </w:rPr>
        <w:sectPr>
          <w:footerReference r:id="rId3" w:type="default"/>
          <w:pgSz w:w="11906" w:h="16838"/>
          <w:pgMar w:top="2098" w:right="1474" w:bottom="1985" w:left="1588" w:header="851" w:footer="992" w:gutter="0"/>
          <w:pgNumType w:fmt="decimal" w:start="1"/>
          <w:cols w:space="425" w:num="1"/>
          <w:docGrid w:type="lines" w:linePitch="435" w:charSpace="0"/>
        </w:sectPr>
      </w:pPr>
    </w:p>
    <w:tbl>
      <w:tblPr>
        <w:tblStyle w:val="5"/>
        <w:tblpPr w:leftFromText="180" w:rightFromText="180" w:vertAnchor="text" w:horzAnchor="page" w:tblpX="1450" w:tblpY="209"/>
        <w:tblW w:w="927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2"/>
        <w:gridCol w:w="612"/>
        <w:gridCol w:w="425"/>
        <w:gridCol w:w="1134"/>
        <w:gridCol w:w="284"/>
        <w:gridCol w:w="1134"/>
        <w:gridCol w:w="188"/>
        <w:gridCol w:w="946"/>
        <w:gridCol w:w="709"/>
        <w:gridCol w:w="283"/>
        <w:gridCol w:w="425"/>
        <w:gridCol w:w="284"/>
        <w:gridCol w:w="472"/>
        <w:gridCol w:w="293"/>
        <w:gridCol w:w="13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exact"/>
        </w:trPr>
        <w:tc>
          <w:tcPr>
            <w:tcW w:w="9270" w:type="dxa"/>
            <w:gridSpan w:val="15"/>
            <w:tcBorders>
              <w:top w:val="nil"/>
              <w:left w:val="nil"/>
              <w:bottom w:val="nil"/>
              <w:right w:val="nil"/>
            </w:tcBorders>
            <w:noWrap/>
            <w:vAlign w:val="center"/>
          </w:tcPr>
          <w:p>
            <w:pPr>
              <w:widowControl/>
              <w:jc w:val="center"/>
              <w:textAlignment w:val="center"/>
              <w:rPr>
                <w:rFonts w:ascii="宋体" w:hAnsi="宋体" w:cs="宋体"/>
                <w:b/>
                <w:bCs/>
                <w:kern w:val="0"/>
                <w:szCs w:val="32"/>
              </w:rPr>
            </w:pPr>
            <w:r>
              <w:rPr>
                <w:rFonts w:hint="eastAsia" w:ascii="宋体" w:hAnsi="宋体" w:cs="宋体"/>
                <w:b/>
                <w:color w:val="000000"/>
                <w:kern w:val="0"/>
                <w:szCs w:val="32"/>
              </w:rPr>
              <w:t>2022年度项目支出绩效自评表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6" w:hRule="atLeast"/>
        </w:trPr>
        <w:tc>
          <w:tcPr>
            <w:tcW w:w="9270" w:type="dxa"/>
            <w:gridSpan w:val="15"/>
            <w:tcBorders>
              <w:top w:val="nil"/>
              <w:left w:val="nil"/>
              <w:bottom w:val="single" w:color="auto" w:sz="4" w:space="0"/>
              <w:right w:val="nil"/>
            </w:tcBorders>
            <w:noWrap/>
          </w:tcPr>
          <w:p>
            <w:pPr>
              <w:widowControl/>
              <w:jc w:val="right"/>
              <w:textAlignment w:val="top"/>
              <w:rPr>
                <w:rFonts w:ascii="宋体" w:hAnsi="宋体" w:cs="宋体"/>
                <w:kern w:val="0"/>
                <w:sz w:val="22"/>
                <w:szCs w:val="22"/>
              </w:rPr>
            </w:pPr>
            <w:r>
              <w:rPr>
                <w:rFonts w:hint="eastAsia" w:ascii="宋体" w:hAnsi="宋体" w:cs="宋体"/>
                <w:color w:val="000000"/>
                <w:kern w:val="0"/>
                <w:sz w:val="22"/>
                <w:szCs w:val="22"/>
              </w:rPr>
              <w:t xml:space="preserve">                      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exact"/>
        </w:trPr>
        <w:tc>
          <w:tcPr>
            <w:tcW w:w="138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项目名称</w:t>
            </w:r>
          </w:p>
        </w:tc>
        <w:tc>
          <w:tcPr>
            <w:tcW w:w="7886" w:type="dxa"/>
            <w:gridSpan w:val="13"/>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不动产登记中心综合业务费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exact"/>
        </w:trPr>
        <w:tc>
          <w:tcPr>
            <w:tcW w:w="138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主管部门</w:t>
            </w:r>
          </w:p>
        </w:tc>
        <w:tc>
          <w:tcPr>
            <w:tcW w:w="4111"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遵化市行政审批局</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rPr>
            </w:pPr>
            <w:r>
              <w:rPr>
                <w:rFonts w:hint="eastAsia" w:ascii="宋体" w:hAnsi="宋体" w:cs="宋体"/>
                <w:color w:val="000000"/>
                <w:kern w:val="0"/>
                <w:sz w:val="18"/>
                <w:szCs w:val="18"/>
              </w:rPr>
              <w:t>实施单位</w:t>
            </w:r>
          </w:p>
        </w:tc>
        <w:tc>
          <w:tcPr>
            <w:tcW w:w="2783"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遵化市行政审批局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8" w:hRule="exact"/>
        </w:trPr>
        <w:tc>
          <w:tcPr>
            <w:tcW w:w="1384" w:type="dxa"/>
            <w:gridSpan w:val="2"/>
            <w:vMerge w:val="restart"/>
            <w:tcBorders>
              <w:top w:val="single" w:color="auto" w:sz="4" w:space="0"/>
            </w:tcBorders>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项目资金</w:t>
            </w:r>
          </w:p>
          <w:p>
            <w:pPr>
              <w:jc w:val="center"/>
              <w:textAlignment w:val="center"/>
              <w:rPr>
                <w:rFonts w:ascii="宋体" w:hAnsi="宋体" w:cs="宋体"/>
                <w:kern w:val="0"/>
                <w:sz w:val="18"/>
                <w:szCs w:val="18"/>
              </w:rPr>
            </w:pPr>
            <w:r>
              <w:rPr>
                <w:rFonts w:hint="eastAsia" w:ascii="宋体" w:hAnsi="宋体" w:cs="宋体"/>
                <w:color w:val="000000"/>
                <w:kern w:val="0"/>
                <w:sz w:val="18"/>
                <w:szCs w:val="18"/>
              </w:rPr>
              <w:t>（万元）</w:t>
            </w:r>
          </w:p>
        </w:tc>
        <w:tc>
          <w:tcPr>
            <w:tcW w:w="1843" w:type="dxa"/>
            <w:gridSpan w:val="3"/>
            <w:tcBorders>
              <w:top w:val="single" w:color="auto" w:sz="4" w:space="0"/>
            </w:tcBorders>
            <w:noWrap/>
            <w:vAlign w:val="center"/>
          </w:tcPr>
          <w:p>
            <w:pPr>
              <w:jc w:val="center"/>
              <w:rPr>
                <w:rFonts w:ascii="宋体" w:hAnsi="宋体" w:cs="宋体"/>
                <w:kern w:val="0"/>
                <w:sz w:val="18"/>
                <w:szCs w:val="18"/>
              </w:rPr>
            </w:pPr>
          </w:p>
        </w:tc>
        <w:tc>
          <w:tcPr>
            <w:tcW w:w="1134" w:type="dxa"/>
            <w:tcBorders>
              <w:top w:val="single" w:color="auto" w:sz="4" w:space="0"/>
            </w:tcBorders>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年初预算数</w:t>
            </w:r>
          </w:p>
        </w:tc>
        <w:tc>
          <w:tcPr>
            <w:tcW w:w="1134" w:type="dxa"/>
            <w:gridSpan w:val="2"/>
            <w:tcBorders>
              <w:top w:val="single" w:color="auto" w:sz="4" w:space="0"/>
            </w:tcBorders>
            <w:noWrap/>
            <w:vAlign w:val="center"/>
          </w:tcPr>
          <w:p>
            <w:pPr>
              <w:widowControl/>
              <w:jc w:val="center"/>
              <w:textAlignment w:val="center"/>
              <w:rPr>
                <w:rFonts w:ascii="宋体" w:hAnsi="宋体"/>
              </w:rPr>
            </w:pPr>
            <w:r>
              <w:rPr>
                <w:rFonts w:hint="eastAsia" w:ascii="宋体" w:hAnsi="宋体" w:cs="宋体"/>
                <w:color w:val="000000"/>
                <w:kern w:val="0"/>
                <w:sz w:val="18"/>
                <w:szCs w:val="18"/>
              </w:rPr>
              <w:t>全年预算数</w:t>
            </w:r>
          </w:p>
        </w:tc>
        <w:tc>
          <w:tcPr>
            <w:tcW w:w="992" w:type="dxa"/>
            <w:gridSpan w:val="2"/>
            <w:tcBorders>
              <w:top w:val="single" w:color="auto" w:sz="4" w:space="0"/>
            </w:tcBorders>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全年执行数</w:t>
            </w:r>
          </w:p>
        </w:tc>
        <w:tc>
          <w:tcPr>
            <w:tcW w:w="709" w:type="dxa"/>
            <w:gridSpan w:val="2"/>
            <w:tcBorders>
              <w:top w:val="single" w:color="auto" w:sz="4" w:space="0"/>
            </w:tcBorders>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分值</w:t>
            </w:r>
          </w:p>
        </w:tc>
        <w:tc>
          <w:tcPr>
            <w:tcW w:w="765" w:type="dxa"/>
            <w:gridSpan w:val="2"/>
            <w:tcBorders>
              <w:top w:val="single" w:color="auto" w:sz="4" w:space="0"/>
            </w:tcBorders>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执行率</w:t>
            </w:r>
          </w:p>
        </w:tc>
        <w:tc>
          <w:tcPr>
            <w:tcW w:w="1309" w:type="dxa"/>
            <w:tcBorders>
              <w:top w:val="single" w:color="auto" w:sz="4" w:space="0"/>
            </w:tcBorders>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exact"/>
        </w:trPr>
        <w:tc>
          <w:tcPr>
            <w:tcW w:w="1384" w:type="dxa"/>
            <w:gridSpan w:val="2"/>
            <w:vMerge w:val="continue"/>
            <w:noWrap/>
            <w:vAlign w:val="center"/>
          </w:tcPr>
          <w:p>
            <w:pPr>
              <w:widowControl/>
              <w:jc w:val="center"/>
              <w:textAlignment w:val="center"/>
              <w:rPr>
                <w:rFonts w:ascii="宋体" w:hAnsi="宋体" w:cs="宋体"/>
                <w:kern w:val="0"/>
                <w:sz w:val="18"/>
                <w:szCs w:val="18"/>
              </w:rPr>
            </w:pPr>
          </w:p>
        </w:tc>
        <w:tc>
          <w:tcPr>
            <w:tcW w:w="1843" w:type="dxa"/>
            <w:gridSpan w:val="3"/>
            <w:noWrap/>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rPr>
              <w:t>年度资金总额</w:t>
            </w:r>
          </w:p>
        </w:tc>
        <w:tc>
          <w:tcPr>
            <w:tcW w:w="1134"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55</w:t>
            </w:r>
          </w:p>
        </w:tc>
        <w:tc>
          <w:tcPr>
            <w:tcW w:w="1134" w:type="dxa"/>
            <w:gridSpan w:val="2"/>
            <w:noWrap/>
            <w:vAlign w:val="center"/>
          </w:tcPr>
          <w:p>
            <w:pPr>
              <w:widowControl/>
              <w:jc w:val="center"/>
              <w:textAlignment w:val="center"/>
              <w:rPr>
                <w:rFonts w:ascii="宋体" w:hAnsi="宋体"/>
              </w:rPr>
            </w:pPr>
            <w:r>
              <w:rPr>
                <w:rFonts w:hint="eastAsia" w:ascii="宋体" w:hAnsi="宋体" w:cs="宋体"/>
                <w:color w:val="000000"/>
                <w:kern w:val="0"/>
                <w:sz w:val="18"/>
                <w:szCs w:val="18"/>
              </w:rPr>
              <w:t>5.47</w:t>
            </w:r>
          </w:p>
        </w:tc>
        <w:tc>
          <w:tcPr>
            <w:tcW w:w="992"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5.47</w:t>
            </w:r>
          </w:p>
        </w:tc>
        <w:tc>
          <w:tcPr>
            <w:tcW w:w="709"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w:t>
            </w:r>
          </w:p>
        </w:tc>
        <w:tc>
          <w:tcPr>
            <w:tcW w:w="765"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100%</w:t>
            </w:r>
          </w:p>
        </w:tc>
        <w:tc>
          <w:tcPr>
            <w:tcW w:w="1309"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exact"/>
        </w:trPr>
        <w:tc>
          <w:tcPr>
            <w:tcW w:w="1384" w:type="dxa"/>
            <w:gridSpan w:val="2"/>
            <w:vMerge w:val="continue"/>
            <w:noWrap/>
            <w:vAlign w:val="center"/>
          </w:tcPr>
          <w:p>
            <w:pPr>
              <w:rPr>
                <w:rFonts w:ascii="宋体" w:hAnsi="宋体" w:cs="宋体"/>
                <w:kern w:val="0"/>
                <w:sz w:val="18"/>
                <w:szCs w:val="18"/>
              </w:rPr>
            </w:pPr>
          </w:p>
        </w:tc>
        <w:tc>
          <w:tcPr>
            <w:tcW w:w="1843" w:type="dxa"/>
            <w:gridSpan w:val="3"/>
            <w:noWrap/>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rPr>
              <w:t>其中：当年财政拨款</w:t>
            </w:r>
          </w:p>
        </w:tc>
        <w:tc>
          <w:tcPr>
            <w:tcW w:w="1134"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55</w:t>
            </w:r>
          </w:p>
        </w:tc>
        <w:tc>
          <w:tcPr>
            <w:tcW w:w="1134" w:type="dxa"/>
            <w:gridSpan w:val="2"/>
            <w:noWrap/>
            <w:vAlign w:val="center"/>
          </w:tcPr>
          <w:p>
            <w:pPr>
              <w:widowControl/>
              <w:jc w:val="center"/>
              <w:textAlignment w:val="center"/>
              <w:rPr>
                <w:rFonts w:ascii="宋体" w:hAnsi="宋体"/>
              </w:rPr>
            </w:pPr>
            <w:r>
              <w:rPr>
                <w:rFonts w:hint="eastAsia" w:ascii="宋体" w:hAnsi="宋体" w:cs="宋体"/>
                <w:color w:val="000000"/>
                <w:kern w:val="0"/>
                <w:sz w:val="18"/>
                <w:szCs w:val="18"/>
              </w:rPr>
              <w:t>5.47</w:t>
            </w:r>
          </w:p>
        </w:tc>
        <w:tc>
          <w:tcPr>
            <w:tcW w:w="992"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5.47</w:t>
            </w:r>
          </w:p>
        </w:tc>
        <w:tc>
          <w:tcPr>
            <w:tcW w:w="709"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w:t>
            </w:r>
          </w:p>
        </w:tc>
        <w:tc>
          <w:tcPr>
            <w:tcW w:w="765"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100%</w:t>
            </w:r>
          </w:p>
        </w:tc>
        <w:tc>
          <w:tcPr>
            <w:tcW w:w="1309"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exact"/>
        </w:trPr>
        <w:tc>
          <w:tcPr>
            <w:tcW w:w="1384" w:type="dxa"/>
            <w:gridSpan w:val="2"/>
            <w:vMerge w:val="continue"/>
            <w:noWrap/>
            <w:vAlign w:val="center"/>
          </w:tcPr>
          <w:p>
            <w:pPr>
              <w:rPr>
                <w:rFonts w:ascii="宋体" w:hAnsi="宋体" w:cs="宋体"/>
                <w:kern w:val="0"/>
                <w:sz w:val="18"/>
                <w:szCs w:val="18"/>
              </w:rPr>
            </w:pPr>
          </w:p>
        </w:tc>
        <w:tc>
          <w:tcPr>
            <w:tcW w:w="1843" w:type="dxa"/>
            <w:gridSpan w:val="3"/>
            <w:noWrap/>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rPr>
              <w:t xml:space="preserve">      上年结转资金</w:t>
            </w:r>
          </w:p>
        </w:tc>
        <w:tc>
          <w:tcPr>
            <w:tcW w:w="1134" w:type="dxa"/>
            <w:noWrap/>
            <w:vAlign w:val="center"/>
          </w:tcPr>
          <w:p>
            <w:pPr>
              <w:jc w:val="center"/>
              <w:rPr>
                <w:rFonts w:ascii="宋体" w:hAnsi="宋体" w:cs="宋体"/>
                <w:kern w:val="0"/>
                <w:sz w:val="18"/>
                <w:szCs w:val="18"/>
              </w:rPr>
            </w:pPr>
          </w:p>
        </w:tc>
        <w:tc>
          <w:tcPr>
            <w:tcW w:w="1134" w:type="dxa"/>
            <w:gridSpan w:val="2"/>
            <w:noWrap/>
            <w:vAlign w:val="center"/>
          </w:tcPr>
          <w:p>
            <w:pPr>
              <w:jc w:val="center"/>
              <w:rPr>
                <w:rFonts w:ascii="宋体" w:hAnsi="宋体"/>
              </w:rPr>
            </w:pPr>
          </w:p>
        </w:tc>
        <w:tc>
          <w:tcPr>
            <w:tcW w:w="992" w:type="dxa"/>
            <w:gridSpan w:val="2"/>
            <w:noWrap/>
            <w:vAlign w:val="center"/>
          </w:tcPr>
          <w:p>
            <w:pPr>
              <w:jc w:val="center"/>
              <w:rPr>
                <w:rFonts w:ascii="宋体" w:hAnsi="宋体" w:cs="宋体"/>
                <w:kern w:val="0"/>
                <w:sz w:val="18"/>
                <w:szCs w:val="18"/>
              </w:rPr>
            </w:pPr>
          </w:p>
        </w:tc>
        <w:tc>
          <w:tcPr>
            <w:tcW w:w="709"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w:t>
            </w:r>
          </w:p>
        </w:tc>
        <w:tc>
          <w:tcPr>
            <w:tcW w:w="765" w:type="dxa"/>
            <w:gridSpan w:val="2"/>
            <w:noWrap/>
            <w:vAlign w:val="center"/>
          </w:tcPr>
          <w:p>
            <w:pPr>
              <w:jc w:val="center"/>
              <w:rPr>
                <w:rFonts w:ascii="宋体" w:hAnsi="宋体" w:cs="宋体"/>
                <w:kern w:val="0"/>
                <w:sz w:val="18"/>
                <w:szCs w:val="18"/>
              </w:rPr>
            </w:pPr>
          </w:p>
        </w:tc>
        <w:tc>
          <w:tcPr>
            <w:tcW w:w="1309"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exact"/>
        </w:trPr>
        <w:tc>
          <w:tcPr>
            <w:tcW w:w="1384" w:type="dxa"/>
            <w:gridSpan w:val="2"/>
            <w:vMerge w:val="continue"/>
            <w:noWrap/>
            <w:vAlign w:val="center"/>
          </w:tcPr>
          <w:p>
            <w:pPr>
              <w:rPr>
                <w:rFonts w:ascii="宋体" w:hAnsi="宋体" w:cs="宋体"/>
                <w:kern w:val="0"/>
                <w:sz w:val="18"/>
                <w:szCs w:val="18"/>
              </w:rPr>
            </w:pPr>
          </w:p>
        </w:tc>
        <w:tc>
          <w:tcPr>
            <w:tcW w:w="1843" w:type="dxa"/>
            <w:gridSpan w:val="3"/>
            <w:noWrap/>
            <w:vAlign w:val="center"/>
          </w:tcPr>
          <w:p>
            <w:pPr>
              <w:widowControl/>
              <w:textAlignment w:val="center"/>
              <w:rPr>
                <w:rFonts w:ascii="宋体" w:hAnsi="宋体" w:cs="宋体"/>
                <w:kern w:val="0"/>
                <w:sz w:val="18"/>
                <w:szCs w:val="18"/>
              </w:rPr>
            </w:pPr>
            <w:r>
              <w:rPr>
                <w:rFonts w:hint="eastAsia" w:ascii="宋体" w:hAnsi="宋体" w:cs="宋体"/>
                <w:color w:val="000000"/>
                <w:kern w:val="0"/>
                <w:sz w:val="18"/>
                <w:szCs w:val="18"/>
              </w:rPr>
              <w:t>其他资金</w:t>
            </w:r>
          </w:p>
        </w:tc>
        <w:tc>
          <w:tcPr>
            <w:tcW w:w="1134" w:type="dxa"/>
            <w:noWrap/>
            <w:vAlign w:val="center"/>
          </w:tcPr>
          <w:p>
            <w:pPr>
              <w:jc w:val="center"/>
              <w:rPr>
                <w:rFonts w:ascii="宋体" w:hAnsi="宋体" w:cs="宋体"/>
                <w:kern w:val="0"/>
                <w:sz w:val="18"/>
                <w:szCs w:val="18"/>
              </w:rPr>
            </w:pPr>
          </w:p>
        </w:tc>
        <w:tc>
          <w:tcPr>
            <w:tcW w:w="1134" w:type="dxa"/>
            <w:gridSpan w:val="2"/>
            <w:noWrap/>
            <w:vAlign w:val="center"/>
          </w:tcPr>
          <w:p>
            <w:pPr>
              <w:jc w:val="center"/>
              <w:rPr>
                <w:rFonts w:ascii="宋体" w:hAnsi="宋体"/>
              </w:rPr>
            </w:pPr>
          </w:p>
        </w:tc>
        <w:tc>
          <w:tcPr>
            <w:tcW w:w="992" w:type="dxa"/>
            <w:gridSpan w:val="2"/>
            <w:noWrap/>
            <w:vAlign w:val="center"/>
          </w:tcPr>
          <w:p>
            <w:pPr>
              <w:jc w:val="center"/>
              <w:rPr>
                <w:rFonts w:ascii="宋体" w:hAnsi="宋体" w:cs="宋体"/>
                <w:kern w:val="0"/>
                <w:sz w:val="18"/>
                <w:szCs w:val="18"/>
              </w:rPr>
            </w:pPr>
          </w:p>
        </w:tc>
        <w:tc>
          <w:tcPr>
            <w:tcW w:w="709"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w:t>
            </w:r>
          </w:p>
        </w:tc>
        <w:tc>
          <w:tcPr>
            <w:tcW w:w="765" w:type="dxa"/>
            <w:gridSpan w:val="2"/>
            <w:noWrap/>
            <w:vAlign w:val="center"/>
          </w:tcPr>
          <w:p>
            <w:pPr>
              <w:jc w:val="center"/>
              <w:rPr>
                <w:rFonts w:ascii="宋体" w:hAnsi="宋体" w:cs="宋体"/>
                <w:kern w:val="0"/>
                <w:sz w:val="18"/>
                <w:szCs w:val="18"/>
              </w:rPr>
            </w:pPr>
          </w:p>
        </w:tc>
        <w:tc>
          <w:tcPr>
            <w:tcW w:w="1309"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 w:hRule="exact"/>
        </w:trPr>
        <w:tc>
          <w:tcPr>
            <w:tcW w:w="772" w:type="dxa"/>
            <w:vMerge w:val="restart"/>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年度总体目标</w:t>
            </w:r>
          </w:p>
        </w:tc>
        <w:tc>
          <w:tcPr>
            <w:tcW w:w="4723" w:type="dxa"/>
            <w:gridSpan w:val="7"/>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预期目标</w:t>
            </w:r>
          </w:p>
        </w:tc>
        <w:tc>
          <w:tcPr>
            <w:tcW w:w="3775" w:type="dxa"/>
            <w:gridSpan w:val="7"/>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实际完成情况综述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2" w:hRule="exact"/>
        </w:trPr>
        <w:tc>
          <w:tcPr>
            <w:tcW w:w="772" w:type="dxa"/>
            <w:vMerge w:val="continue"/>
            <w:noWrap/>
            <w:vAlign w:val="center"/>
          </w:tcPr>
          <w:p>
            <w:pPr>
              <w:jc w:val="center"/>
              <w:rPr>
                <w:rFonts w:ascii="宋体" w:hAnsi="宋体" w:cs="宋体"/>
                <w:kern w:val="0"/>
                <w:sz w:val="18"/>
                <w:szCs w:val="18"/>
              </w:rPr>
            </w:pPr>
          </w:p>
        </w:tc>
        <w:tc>
          <w:tcPr>
            <w:tcW w:w="4723" w:type="dxa"/>
            <w:gridSpan w:val="7"/>
            <w:noWrap/>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5"/>
                <w:szCs w:val="15"/>
              </w:rPr>
              <w:t>通过提高工作标准、优化审批流程、压缩审批时间，实现暖心服务，打造最优质、最高效、最规范、最便捷的“审批金牌保姆”服务品牌</w:t>
            </w:r>
            <w:r>
              <w:rPr>
                <w:rFonts w:hint="eastAsia" w:ascii="宋体" w:hAnsi="宋体" w:cs="宋体"/>
                <w:color w:val="000000"/>
                <w:kern w:val="0"/>
                <w:sz w:val="18"/>
                <w:szCs w:val="18"/>
              </w:rPr>
              <w:t xml:space="preserve">     </w:t>
            </w:r>
          </w:p>
        </w:tc>
        <w:tc>
          <w:tcPr>
            <w:tcW w:w="3775" w:type="dxa"/>
            <w:gridSpan w:val="7"/>
            <w:noWrap/>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项目已完成。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exact"/>
        </w:trPr>
        <w:tc>
          <w:tcPr>
            <w:tcW w:w="772" w:type="dxa"/>
            <w:vMerge w:val="restart"/>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绩    效    指    标</w:t>
            </w:r>
          </w:p>
        </w:tc>
        <w:tc>
          <w:tcPr>
            <w:tcW w:w="1037" w:type="dxa"/>
            <w:gridSpan w:val="2"/>
            <w:vMerge w:val="restart"/>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一级指标</w:t>
            </w:r>
          </w:p>
        </w:tc>
        <w:tc>
          <w:tcPr>
            <w:tcW w:w="1134" w:type="dxa"/>
            <w:vMerge w:val="restart"/>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二级指标</w:t>
            </w:r>
          </w:p>
        </w:tc>
        <w:tc>
          <w:tcPr>
            <w:tcW w:w="1606" w:type="dxa"/>
            <w:gridSpan w:val="3"/>
            <w:vMerge w:val="restart"/>
            <w:noWrap/>
            <w:vAlign w:val="center"/>
          </w:tcPr>
          <w:p>
            <w:pPr>
              <w:widowControl/>
              <w:jc w:val="center"/>
              <w:textAlignment w:val="center"/>
              <w:rPr>
                <w:rFonts w:ascii="宋体" w:hAnsi="宋体"/>
              </w:rPr>
            </w:pPr>
            <w:r>
              <w:rPr>
                <w:rFonts w:hint="eastAsia" w:ascii="宋体" w:hAnsi="宋体" w:cs="宋体"/>
                <w:color w:val="000000"/>
                <w:kern w:val="0"/>
                <w:sz w:val="18"/>
                <w:szCs w:val="18"/>
              </w:rPr>
              <w:t>三级指标</w:t>
            </w:r>
          </w:p>
        </w:tc>
        <w:tc>
          <w:tcPr>
            <w:tcW w:w="946"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年度</w:t>
            </w:r>
          </w:p>
        </w:tc>
        <w:tc>
          <w:tcPr>
            <w:tcW w:w="709"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实际</w:t>
            </w:r>
          </w:p>
        </w:tc>
        <w:tc>
          <w:tcPr>
            <w:tcW w:w="708" w:type="dxa"/>
            <w:gridSpan w:val="2"/>
            <w:vMerge w:val="restart"/>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分值</w:t>
            </w:r>
          </w:p>
        </w:tc>
        <w:tc>
          <w:tcPr>
            <w:tcW w:w="756" w:type="dxa"/>
            <w:gridSpan w:val="2"/>
            <w:vMerge w:val="restart"/>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得分</w:t>
            </w:r>
          </w:p>
        </w:tc>
        <w:tc>
          <w:tcPr>
            <w:tcW w:w="1602" w:type="dxa"/>
            <w:gridSpan w:val="2"/>
            <w:vMerge w:val="restart"/>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偏差原因分析及改进措施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exact"/>
        </w:trPr>
        <w:tc>
          <w:tcPr>
            <w:tcW w:w="772" w:type="dxa"/>
            <w:vMerge w:val="continue"/>
            <w:noWrap/>
            <w:vAlign w:val="center"/>
          </w:tcPr>
          <w:p>
            <w:pPr>
              <w:jc w:val="center"/>
              <w:rPr>
                <w:rFonts w:ascii="宋体" w:hAnsi="宋体" w:cs="宋体"/>
                <w:kern w:val="0"/>
                <w:sz w:val="18"/>
                <w:szCs w:val="18"/>
              </w:rPr>
            </w:pPr>
          </w:p>
        </w:tc>
        <w:tc>
          <w:tcPr>
            <w:tcW w:w="1037" w:type="dxa"/>
            <w:gridSpan w:val="2"/>
            <w:vMerge w:val="continue"/>
            <w:noWrap/>
            <w:vAlign w:val="center"/>
          </w:tcPr>
          <w:p>
            <w:pPr>
              <w:jc w:val="center"/>
              <w:rPr>
                <w:rFonts w:ascii="宋体" w:hAnsi="宋体" w:cs="宋体"/>
                <w:kern w:val="0"/>
                <w:sz w:val="18"/>
                <w:szCs w:val="18"/>
              </w:rPr>
            </w:pPr>
          </w:p>
        </w:tc>
        <w:tc>
          <w:tcPr>
            <w:tcW w:w="1134" w:type="dxa"/>
            <w:vMerge w:val="continue"/>
            <w:noWrap/>
            <w:vAlign w:val="center"/>
          </w:tcPr>
          <w:p>
            <w:pPr>
              <w:jc w:val="center"/>
              <w:rPr>
                <w:rFonts w:ascii="宋体" w:hAnsi="宋体" w:cs="宋体"/>
                <w:kern w:val="0"/>
                <w:sz w:val="18"/>
                <w:szCs w:val="18"/>
              </w:rPr>
            </w:pPr>
          </w:p>
        </w:tc>
        <w:tc>
          <w:tcPr>
            <w:tcW w:w="1606" w:type="dxa"/>
            <w:gridSpan w:val="3"/>
            <w:vMerge w:val="continue"/>
            <w:noWrap/>
            <w:vAlign w:val="center"/>
          </w:tcPr>
          <w:p>
            <w:pPr>
              <w:jc w:val="center"/>
              <w:rPr>
                <w:rFonts w:ascii="宋体" w:hAnsi="宋体"/>
              </w:rPr>
            </w:pPr>
          </w:p>
        </w:tc>
        <w:tc>
          <w:tcPr>
            <w:tcW w:w="946" w:type="dxa"/>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09"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完成值</w:t>
            </w:r>
          </w:p>
        </w:tc>
        <w:tc>
          <w:tcPr>
            <w:tcW w:w="708" w:type="dxa"/>
            <w:gridSpan w:val="2"/>
            <w:vMerge w:val="continue"/>
            <w:noWrap/>
            <w:vAlign w:val="center"/>
          </w:tcPr>
          <w:p>
            <w:pPr>
              <w:jc w:val="center"/>
              <w:rPr>
                <w:rFonts w:ascii="宋体" w:hAnsi="宋体" w:cs="宋体"/>
                <w:kern w:val="0"/>
                <w:sz w:val="18"/>
                <w:szCs w:val="18"/>
              </w:rPr>
            </w:pPr>
          </w:p>
        </w:tc>
        <w:tc>
          <w:tcPr>
            <w:tcW w:w="756" w:type="dxa"/>
            <w:gridSpan w:val="2"/>
            <w:vMerge w:val="continue"/>
            <w:noWrap/>
            <w:vAlign w:val="center"/>
          </w:tcPr>
          <w:p>
            <w:pPr>
              <w:jc w:val="center"/>
              <w:rPr>
                <w:rFonts w:ascii="宋体" w:hAnsi="宋体" w:cs="宋体"/>
                <w:kern w:val="0"/>
                <w:sz w:val="18"/>
                <w:szCs w:val="18"/>
              </w:rPr>
            </w:pPr>
          </w:p>
        </w:tc>
        <w:tc>
          <w:tcPr>
            <w:tcW w:w="1602" w:type="dxa"/>
            <w:gridSpan w:val="2"/>
            <w:vMerge w:val="continue"/>
            <w:noWrap/>
            <w:vAlign w:val="center"/>
          </w:tcPr>
          <w:p>
            <w:pPr>
              <w:jc w:val="center"/>
              <w:rPr>
                <w:rFonts w:ascii="宋体" w:hAnsi="宋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exact"/>
        </w:trPr>
        <w:tc>
          <w:tcPr>
            <w:tcW w:w="772" w:type="dxa"/>
            <w:vMerge w:val="continue"/>
            <w:noWrap/>
            <w:vAlign w:val="center"/>
          </w:tcPr>
          <w:p>
            <w:pPr>
              <w:jc w:val="center"/>
              <w:rPr>
                <w:rFonts w:ascii="宋体" w:hAnsi="宋体" w:cs="宋体"/>
                <w:kern w:val="0"/>
                <w:sz w:val="18"/>
                <w:szCs w:val="18"/>
              </w:rPr>
            </w:pPr>
          </w:p>
        </w:tc>
        <w:tc>
          <w:tcPr>
            <w:tcW w:w="1037" w:type="dxa"/>
            <w:gridSpan w:val="2"/>
            <w:vMerge w:val="restart"/>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产出指标</w:t>
            </w:r>
          </w:p>
        </w:tc>
        <w:tc>
          <w:tcPr>
            <w:tcW w:w="1134"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数量指标</w:t>
            </w:r>
          </w:p>
        </w:tc>
        <w:tc>
          <w:tcPr>
            <w:tcW w:w="1606" w:type="dxa"/>
            <w:gridSpan w:val="3"/>
            <w:noWrap/>
            <w:vAlign w:val="center"/>
          </w:tcPr>
          <w:p>
            <w:pPr>
              <w:widowControl/>
              <w:jc w:val="left"/>
              <w:textAlignment w:val="center"/>
              <w:rPr>
                <w:rFonts w:ascii="宋体" w:hAnsi="宋体"/>
              </w:rPr>
            </w:pPr>
            <w:r>
              <w:rPr>
                <w:rFonts w:hint="eastAsia" w:ascii="宋体" w:hAnsi="宋体" w:cs="宋体"/>
                <w:color w:val="000000"/>
                <w:kern w:val="0"/>
                <w:sz w:val="18"/>
                <w:szCs w:val="18"/>
              </w:rPr>
              <w:t>许可申请书审批率%</w:t>
            </w:r>
          </w:p>
        </w:tc>
        <w:tc>
          <w:tcPr>
            <w:tcW w:w="946" w:type="dxa"/>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6"/>
                <w:szCs w:val="16"/>
              </w:rPr>
              <w:t>≥90%</w:t>
            </w:r>
          </w:p>
        </w:tc>
        <w:tc>
          <w:tcPr>
            <w:tcW w:w="709"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6"/>
                <w:szCs w:val="16"/>
              </w:rPr>
              <w:t>≥90%</w:t>
            </w:r>
          </w:p>
        </w:tc>
        <w:tc>
          <w:tcPr>
            <w:tcW w:w="708"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20</w:t>
            </w:r>
          </w:p>
        </w:tc>
        <w:tc>
          <w:tcPr>
            <w:tcW w:w="756" w:type="dxa"/>
            <w:gridSpan w:val="2"/>
            <w:noWrap/>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cs="宋体"/>
                <w:color w:val="000000"/>
                <w:kern w:val="0"/>
                <w:sz w:val="18"/>
                <w:szCs w:val="18"/>
                <w:lang w:val="en-US" w:eastAsia="zh-CN"/>
              </w:rPr>
              <w:t>20</w:t>
            </w:r>
          </w:p>
        </w:tc>
        <w:tc>
          <w:tcPr>
            <w:tcW w:w="1602" w:type="dxa"/>
            <w:gridSpan w:val="2"/>
            <w:noWrap/>
            <w:vAlign w:val="center"/>
          </w:tcPr>
          <w:p>
            <w:pPr>
              <w:jc w:val="center"/>
              <w:rPr>
                <w:rFonts w:ascii="宋体" w:hAnsi="宋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exact"/>
        </w:trPr>
        <w:tc>
          <w:tcPr>
            <w:tcW w:w="772" w:type="dxa"/>
            <w:vMerge w:val="continue"/>
            <w:noWrap/>
            <w:vAlign w:val="center"/>
          </w:tcPr>
          <w:p>
            <w:pPr>
              <w:jc w:val="center"/>
              <w:rPr>
                <w:rFonts w:ascii="宋体" w:hAnsi="宋体" w:cs="宋体"/>
                <w:kern w:val="0"/>
                <w:sz w:val="18"/>
                <w:szCs w:val="18"/>
              </w:rPr>
            </w:pPr>
          </w:p>
        </w:tc>
        <w:tc>
          <w:tcPr>
            <w:tcW w:w="1037" w:type="dxa"/>
            <w:gridSpan w:val="2"/>
            <w:vMerge w:val="continue"/>
            <w:noWrap/>
            <w:vAlign w:val="center"/>
          </w:tcPr>
          <w:p>
            <w:pPr>
              <w:jc w:val="center"/>
              <w:rPr>
                <w:rFonts w:ascii="宋体" w:hAnsi="宋体" w:cs="宋体"/>
                <w:kern w:val="0"/>
                <w:sz w:val="18"/>
                <w:szCs w:val="18"/>
              </w:rPr>
            </w:pPr>
          </w:p>
        </w:tc>
        <w:tc>
          <w:tcPr>
            <w:tcW w:w="1134"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质量指标</w:t>
            </w:r>
          </w:p>
        </w:tc>
        <w:tc>
          <w:tcPr>
            <w:tcW w:w="1606" w:type="dxa"/>
            <w:gridSpan w:val="3"/>
            <w:noWrap/>
            <w:vAlign w:val="center"/>
          </w:tcPr>
          <w:p>
            <w:pPr>
              <w:widowControl/>
              <w:jc w:val="left"/>
              <w:textAlignment w:val="center"/>
              <w:rPr>
                <w:rFonts w:ascii="宋体" w:hAnsi="宋体"/>
              </w:rPr>
            </w:pPr>
            <w:r>
              <w:rPr>
                <w:rFonts w:hint="eastAsia" w:ascii="宋体" w:hAnsi="宋体" w:cs="宋体"/>
                <w:color w:val="000000"/>
                <w:kern w:val="0"/>
                <w:sz w:val="18"/>
                <w:szCs w:val="18"/>
              </w:rPr>
              <w:t>配套设施完成率（%）</w:t>
            </w:r>
          </w:p>
        </w:tc>
        <w:tc>
          <w:tcPr>
            <w:tcW w:w="946" w:type="dxa"/>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6"/>
                <w:szCs w:val="16"/>
              </w:rPr>
              <w:t>≥90%</w:t>
            </w:r>
          </w:p>
        </w:tc>
        <w:tc>
          <w:tcPr>
            <w:tcW w:w="709"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6"/>
                <w:szCs w:val="16"/>
              </w:rPr>
              <w:t>≥90%</w:t>
            </w:r>
          </w:p>
        </w:tc>
        <w:tc>
          <w:tcPr>
            <w:tcW w:w="708"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w:t>
            </w:r>
          </w:p>
        </w:tc>
        <w:tc>
          <w:tcPr>
            <w:tcW w:w="756"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w:t>
            </w:r>
          </w:p>
        </w:tc>
        <w:tc>
          <w:tcPr>
            <w:tcW w:w="1602" w:type="dxa"/>
            <w:gridSpan w:val="2"/>
            <w:noWrap/>
            <w:vAlign w:val="center"/>
          </w:tcPr>
          <w:p>
            <w:pPr>
              <w:jc w:val="center"/>
              <w:rPr>
                <w:rFonts w:ascii="宋体" w:hAnsi="宋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3" w:hRule="exact"/>
        </w:trPr>
        <w:tc>
          <w:tcPr>
            <w:tcW w:w="772" w:type="dxa"/>
            <w:vMerge w:val="continue"/>
            <w:noWrap/>
            <w:vAlign w:val="center"/>
          </w:tcPr>
          <w:p>
            <w:pPr>
              <w:jc w:val="center"/>
              <w:rPr>
                <w:rFonts w:ascii="宋体" w:hAnsi="宋体" w:cs="宋体"/>
                <w:kern w:val="0"/>
                <w:sz w:val="18"/>
                <w:szCs w:val="18"/>
              </w:rPr>
            </w:pPr>
          </w:p>
        </w:tc>
        <w:tc>
          <w:tcPr>
            <w:tcW w:w="1037" w:type="dxa"/>
            <w:gridSpan w:val="2"/>
            <w:vMerge w:val="continue"/>
            <w:noWrap/>
            <w:vAlign w:val="center"/>
          </w:tcPr>
          <w:p>
            <w:pPr>
              <w:jc w:val="center"/>
              <w:rPr>
                <w:rFonts w:ascii="宋体" w:hAnsi="宋体" w:cs="宋体"/>
                <w:kern w:val="0"/>
                <w:sz w:val="18"/>
                <w:szCs w:val="18"/>
              </w:rPr>
            </w:pPr>
          </w:p>
        </w:tc>
        <w:tc>
          <w:tcPr>
            <w:tcW w:w="1134"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时效指标</w:t>
            </w:r>
          </w:p>
        </w:tc>
        <w:tc>
          <w:tcPr>
            <w:tcW w:w="1606" w:type="dxa"/>
            <w:gridSpan w:val="3"/>
            <w:noWrap/>
            <w:vAlign w:val="center"/>
          </w:tcPr>
          <w:p>
            <w:pPr>
              <w:widowControl/>
              <w:jc w:val="left"/>
              <w:textAlignment w:val="center"/>
              <w:rPr>
                <w:rFonts w:ascii="宋体" w:hAnsi="宋体"/>
              </w:rPr>
            </w:pPr>
            <w:r>
              <w:rPr>
                <w:rFonts w:hint="eastAsia" w:ascii="宋体" w:hAnsi="宋体" w:cs="宋体"/>
                <w:color w:val="000000"/>
                <w:kern w:val="0"/>
                <w:sz w:val="18"/>
                <w:szCs w:val="18"/>
              </w:rPr>
              <w:t>日常巡查维修及时率（%）</w:t>
            </w:r>
          </w:p>
        </w:tc>
        <w:tc>
          <w:tcPr>
            <w:tcW w:w="946" w:type="dxa"/>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6"/>
                <w:szCs w:val="16"/>
              </w:rPr>
              <w:t>≥90%</w:t>
            </w:r>
          </w:p>
        </w:tc>
        <w:tc>
          <w:tcPr>
            <w:tcW w:w="709"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6"/>
                <w:szCs w:val="16"/>
              </w:rPr>
              <w:t>≥90%</w:t>
            </w:r>
          </w:p>
        </w:tc>
        <w:tc>
          <w:tcPr>
            <w:tcW w:w="708"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w:t>
            </w:r>
          </w:p>
        </w:tc>
        <w:tc>
          <w:tcPr>
            <w:tcW w:w="756"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w:t>
            </w:r>
          </w:p>
        </w:tc>
        <w:tc>
          <w:tcPr>
            <w:tcW w:w="1602" w:type="dxa"/>
            <w:gridSpan w:val="2"/>
            <w:noWrap/>
            <w:vAlign w:val="center"/>
          </w:tcPr>
          <w:p>
            <w:pPr>
              <w:jc w:val="center"/>
              <w:rPr>
                <w:rFonts w:ascii="宋体" w:hAnsi="宋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exact"/>
        </w:trPr>
        <w:tc>
          <w:tcPr>
            <w:tcW w:w="772" w:type="dxa"/>
            <w:vMerge w:val="continue"/>
            <w:noWrap/>
            <w:vAlign w:val="center"/>
          </w:tcPr>
          <w:p>
            <w:pPr>
              <w:jc w:val="center"/>
              <w:rPr>
                <w:rFonts w:ascii="宋体" w:hAnsi="宋体" w:cs="宋体"/>
                <w:kern w:val="0"/>
                <w:sz w:val="18"/>
                <w:szCs w:val="18"/>
              </w:rPr>
            </w:pPr>
          </w:p>
        </w:tc>
        <w:tc>
          <w:tcPr>
            <w:tcW w:w="1037" w:type="dxa"/>
            <w:gridSpan w:val="2"/>
            <w:vMerge w:val="continue"/>
            <w:noWrap/>
            <w:vAlign w:val="center"/>
          </w:tcPr>
          <w:p>
            <w:pPr>
              <w:jc w:val="center"/>
              <w:rPr>
                <w:rFonts w:ascii="宋体" w:hAnsi="宋体" w:cs="宋体"/>
                <w:kern w:val="0"/>
                <w:sz w:val="18"/>
                <w:szCs w:val="18"/>
              </w:rPr>
            </w:pPr>
          </w:p>
        </w:tc>
        <w:tc>
          <w:tcPr>
            <w:tcW w:w="1134"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成本指标</w:t>
            </w:r>
          </w:p>
        </w:tc>
        <w:tc>
          <w:tcPr>
            <w:tcW w:w="1606" w:type="dxa"/>
            <w:gridSpan w:val="3"/>
            <w:noWrap/>
            <w:vAlign w:val="center"/>
          </w:tcPr>
          <w:p>
            <w:pPr>
              <w:widowControl/>
              <w:jc w:val="left"/>
              <w:textAlignment w:val="center"/>
              <w:rPr>
                <w:rFonts w:ascii="宋体" w:hAnsi="宋体"/>
              </w:rPr>
            </w:pPr>
            <w:r>
              <w:rPr>
                <w:rFonts w:hint="eastAsia" w:ascii="宋体" w:hAnsi="宋体" w:cs="宋体"/>
                <w:color w:val="000000"/>
                <w:kern w:val="0"/>
                <w:sz w:val="18"/>
                <w:szCs w:val="18"/>
              </w:rPr>
              <w:t>项目实际成本</w:t>
            </w:r>
          </w:p>
        </w:tc>
        <w:tc>
          <w:tcPr>
            <w:tcW w:w="946" w:type="dxa"/>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6"/>
                <w:szCs w:val="16"/>
              </w:rPr>
              <w:t>≥90%</w:t>
            </w:r>
          </w:p>
        </w:tc>
        <w:tc>
          <w:tcPr>
            <w:tcW w:w="709"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6"/>
                <w:szCs w:val="16"/>
              </w:rPr>
              <w:t>≥90%</w:t>
            </w:r>
          </w:p>
        </w:tc>
        <w:tc>
          <w:tcPr>
            <w:tcW w:w="708"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w:t>
            </w:r>
          </w:p>
        </w:tc>
        <w:tc>
          <w:tcPr>
            <w:tcW w:w="756"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w:t>
            </w:r>
          </w:p>
        </w:tc>
        <w:tc>
          <w:tcPr>
            <w:tcW w:w="1602" w:type="dxa"/>
            <w:gridSpan w:val="2"/>
            <w:noWrap/>
            <w:vAlign w:val="center"/>
          </w:tcPr>
          <w:p>
            <w:pPr>
              <w:jc w:val="center"/>
              <w:rPr>
                <w:rFonts w:ascii="宋体" w:hAnsi="宋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8" w:hRule="exact"/>
        </w:trPr>
        <w:tc>
          <w:tcPr>
            <w:tcW w:w="772" w:type="dxa"/>
            <w:vMerge w:val="continue"/>
            <w:noWrap/>
            <w:vAlign w:val="center"/>
          </w:tcPr>
          <w:p>
            <w:pPr>
              <w:jc w:val="center"/>
              <w:rPr>
                <w:rFonts w:ascii="宋体" w:hAnsi="宋体" w:cs="宋体"/>
                <w:kern w:val="0"/>
                <w:sz w:val="18"/>
                <w:szCs w:val="18"/>
              </w:rPr>
            </w:pPr>
          </w:p>
        </w:tc>
        <w:tc>
          <w:tcPr>
            <w:tcW w:w="1037" w:type="dxa"/>
            <w:gridSpan w:val="2"/>
            <w:vMerge w:val="restart"/>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效益指标</w:t>
            </w:r>
          </w:p>
        </w:tc>
        <w:tc>
          <w:tcPr>
            <w:tcW w:w="1134" w:type="dxa"/>
            <w:vMerge w:val="restart"/>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社会效益指标</w:t>
            </w:r>
          </w:p>
        </w:tc>
        <w:tc>
          <w:tcPr>
            <w:tcW w:w="1606" w:type="dxa"/>
            <w:gridSpan w:val="3"/>
            <w:noWrap/>
            <w:vAlign w:val="center"/>
          </w:tcPr>
          <w:p>
            <w:pPr>
              <w:widowControl/>
              <w:jc w:val="left"/>
              <w:textAlignment w:val="center"/>
              <w:rPr>
                <w:rFonts w:ascii="宋体" w:hAnsi="宋体"/>
              </w:rPr>
            </w:pPr>
            <w:r>
              <w:rPr>
                <w:rFonts w:hint="eastAsia" w:ascii="宋体" w:hAnsi="宋体" w:cs="宋体"/>
                <w:color w:val="000000"/>
                <w:kern w:val="0"/>
                <w:sz w:val="18"/>
                <w:szCs w:val="18"/>
              </w:rPr>
              <w:t>业务保障率（%）</w:t>
            </w:r>
          </w:p>
        </w:tc>
        <w:tc>
          <w:tcPr>
            <w:tcW w:w="946"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6"/>
                <w:szCs w:val="16"/>
              </w:rPr>
              <w:t>≥90%</w:t>
            </w:r>
          </w:p>
        </w:tc>
        <w:tc>
          <w:tcPr>
            <w:tcW w:w="709"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6"/>
                <w:szCs w:val="16"/>
              </w:rPr>
              <w:t>≥90%</w:t>
            </w:r>
          </w:p>
        </w:tc>
        <w:tc>
          <w:tcPr>
            <w:tcW w:w="708"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w:t>
            </w:r>
          </w:p>
        </w:tc>
        <w:tc>
          <w:tcPr>
            <w:tcW w:w="756"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w:t>
            </w:r>
          </w:p>
        </w:tc>
        <w:tc>
          <w:tcPr>
            <w:tcW w:w="1602" w:type="dxa"/>
            <w:gridSpan w:val="2"/>
            <w:noWrap/>
            <w:vAlign w:val="center"/>
          </w:tcPr>
          <w:p>
            <w:pPr>
              <w:jc w:val="center"/>
              <w:rPr>
                <w:rFonts w:ascii="宋体" w:hAnsi="宋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exact"/>
        </w:trPr>
        <w:tc>
          <w:tcPr>
            <w:tcW w:w="772" w:type="dxa"/>
            <w:vMerge w:val="continue"/>
            <w:noWrap/>
            <w:vAlign w:val="center"/>
          </w:tcPr>
          <w:p>
            <w:pPr>
              <w:jc w:val="center"/>
              <w:rPr>
                <w:rFonts w:ascii="宋体" w:hAnsi="宋体" w:cs="宋体"/>
                <w:kern w:val="0"/>
                <w:sz w:val="18"/>
                <w:szCs w:val="18"/>
              </w:rPr>
            </w:pPr>
          </w:p>
        </w:tc>
        <w:tc>
          <w:tcPr>
            <w:tcW w:w="1037" w:type="dxa"/>
            <w:gridSpan w:val="2"/>
            <w:vMerge w:val="continue"/>
            <w:noWrap/>
            <w:vAlign w:val="center"/>
          </w:tcPr>
          <w:p>
            <w:pPr>
              <w:jc w:val="center"/>
              <w:rPr>
                <w:rFonts w:ascii="宋体" w:hAnsi="宋体" w:cs="宋体"/>
                <w:kern w:val="0"/>
                <w:sz w:val="18"/>
                <w:szCs w:val="18"/>
              </w:rPr>
            </w:pPr>
          </w:p>
        </w:tc>
        <w:tc>
          <w:tcPr>
            <w:tcW w:w="1134" w:type="dxa"/>
            <w:vMerge w:val="continue"/>
            <w:noWrap/>
            <w:vAlign w:val="center"/>
          </w:tcPr>
          <w:p>
            <w:pPr>
              <w:widowControl/>
              <w:jc w:val="center"/>
              <w:textAlignment w:val="center"/>
              <w:rPr>
                <w:rFonts w:ascii="宋体" w:hAnsi="宋体" w:cs="宋体"/>
                <w:kern w:val="0"/>
                <w:sz w:val="18"/>
                <w:szCs w:val="18"/>
              </w:rPr>
            </w:pPr>
          </w:p>
        </w:tc>
        <w:tc>
          <w:tcPr>
            <w:tcW w:w="1606" w:type="dxa"/>
            <w:gridSpan w:val="3"/>
            <w:noWrap/>
            <w:vAlign w:val="center"/>
          </w:tcPr>
          <w:p>
            <w:pPr>
              <w:widowControl/>
              <w:jc w:val="left"/>
              <w:textAlignment w:val="center"/>
              <w:rPr>
                <w:rFonts w:ascii="宋体" w:hAnsi="宋体"/>
              </w:rPr>
            </w:pPr>
            <w:r>
              <w:rPr>
                <w:rFonts w:hint="eastAsia" w:ascii="宋体" w:hAnsi="宋体" w:cs="宋体"/>
                <w:color w:val="000000"/>
                <w:kern w:val="0"/>
                <w:sz w:val="18"/>
                <w:szCs w:val="18"/>
              </w:rPr>
              <w:t>综合利用率（%）</w:t>
            </w:r>
          </w:p>
        </w:tc>
        <w:tc>
          <w:tcPr>
            <w:tcW w:w="946"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6"/>
                <w:szCs w:val="16"/>
              </w:rPr>
              <w:t>≥90%</w:t>
            </w:r>
          </w:p>
        </w:tc>
        <w:tc>
          <w:tcPr>
            <w:tcW w:w="709"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6"/>
                <w:szCs w:val="16"/>
              </w:rPr>
              <w:t>≥90%</w:t>
            </w:r>
          </w:p>
        </w:tc>
        <w:tc>
          <w:tcPr>
            <w:tcW w:w="708"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w:t>
            </w:r>
          </w:p>
        </w:tc>
        <w:tc>
          <w:tcPr>
            <w:tcW w:w="756"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w:t>
            </w:r>
          </w:p>
        </w:tc>
        <w:tc>
          <w:tcPr>
            <w:tcW w:w="1602" w:type="dxa"/>
            <w:gridSpan w:val="2"/>
            <w:noWrap/>
            <w:vAlign w:val="center"/>
          </w:tcPr>
          <w:p>
            <w:pPr>
              <w:jc w:val="center"/>
              <w:rPr>
                <w:rFonts w:ascii="宋体" w:hAnsi="宋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exact"/>
        </w:trPr>
        <w:tc>
          <w:tcPr>
            <w:tcW w:w="772" w:type="dxa"/>
            <w:vMerge w:val="continue"/>
            <w:noWrap/>
            <w:vAlign w:val="center"/>
          </w:tcPr>
          <w:p>
            <w:pPr>
              <w:jc w:val="center"/>
              <w:rPr>
                <w:rFonts w:ascii="宋体" w:hAnsi="宋体" w:cs="宋体"/>
                <w:kern w:val="0"/>
                <w:sz w:val="18"/>
                <w:szCs w:val="18"/>
              </w:rPr>
            </w:pPr>
          </w:p>
        </w:tc>
        <w:tc>
          <w:tcPr>
            <w:tcW w:w="1037"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满意度   指标</w:t>
            </w:r>
          </w:p>
        </w:tc>
        <w:tc>
          <w:tcPr>
            <w:tcW w:w="1134"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服务对象满意度指标</w:t>
            </w:r>
          </w:p>
        </w:tc>
        <w:tc>
          <w:tcPr>
            <w:tcW w:w="1606" w:type="dxa"/>
            <w:gridSpan w:val="3"/>
            <w:noWrap/>
            <w:vAlign w:val="center"/>
          </w:tcPr>
          <w:p>
            <w:pPr>
              <w:widowControl/>
              <w:jc w:val="left"/>
              <w:textAlignment w:val="center"/>
              <w:rPr>
                <w:rFonts w:ascii="宋体" w:hAnsi="宋体"/>
              </w:rPr>
            </w:pPr>
            <w:r>
              <w:rPr>
                <w:rFonts w:hint="eastAsia" w:ascii="宋体" w:hAnsi="宋体" w:cs="宋体"/>
                <w:color w:val="000000"/>
                <w:kern w:val="0"/>
                <w:sz w:val="18"/>
                <w:szCs w:val="18"/>
              </w:rPr>
              <w:t>服务对象满意度</w:t>
            </w:r>
          </w:p>
        </w:tc>
        <w:tc>
          <w:tcPr>
            <w:tcW w:w="946"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6"/>
                <w:szCs w:val="16"/>
              </w:rPr>
              <w:t>≥95%</w:t>
            </w:r>
          </w:p>
        </w:tc>
        <w:tc>
          <w:tcPr>
            <w:tcW w:w="709" w:type="dxa"/>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6"/>
                <w:szCs w:val="16"/>
              </w:rPr>
              <w:t>≥95%</w:t>
            </w:r>
          </w:p>
        </w:tc>
        <w:tc>
          <w:tcPr>
            <w:tcW w:w="708"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20</w:t>
            </w:r>
          </w:p>
        </w:tc>
        <w:tc>
          <w:tcPr>
            <w:tcW w:w="756"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20</w:t>
            </w:r>
          </w:p>
        </w:tc>
        <w:tc>
          <w:tcPr>
            <w:tcW w:w="1602" w:type="dxa"/>
            <w:gridSpan w:val="2"/>
            <w:noWrap/>
            <w:vAlign w:val="center"/>
          </w:tcPr>
          <w:p>
            <w:pPr>
              <w:jc w:val="center"/>
              <w:rPr>
                <w:rFonts w:ascii="宋体" w:hAnsi="宋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exact"/>
        </w:trPr>
        <w:tc>
          <w:tcPr>
            <w:tcW w:w="6204" w:type="dxa"/>
            <w:gridSpan w:val="9"/>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08" w:type="dxa"/>
            <w:gridSpan w:val="2"/>
            <w:noWrap/>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w:t>
            </w:r>
          </w:p>
        </w:tc>
        <w:tc>
          <w:tcPr>
            <w:tcW w:w="756" w:type="dxa"/>
            <w:gridSpan w:val="2"/>
            <w:noWrap/>
            <w:vAlign w:val="center"/>
          </w:tcPr>
          <w:p>
            <w:pPr>
              <w:widowControl/>
              <w:jc w:val="center"/>
              <w:textAlignment w:val="center"/>
              <w:rPr>
                <w:rFonts w:hint="eastAsia" w:ascii="宋体" w:hAnsi="宋体" w:eastAsia="宋体" w:cs="宋体"/>
                <w:kern w:val="0"/>
                <w:sz w:val="18"/>
                <w:szCs w:val="18"/>
                <w:lang w:eastAsia="zh-CN"/>
              </w:rPr>
            </w:pPr>
            <w:r>
              <w:rPr>
                <w:rFonts w:hint="eastAsia" w:ascii="宋体" w:hAnsi="宋体" w:cs="宋体"/>
                <w:color w:val="000000"/>
                <w:kern w:val="0"/>
                <w:sz w:val="18"/>
                <w:szCs w:val="18"/>
                <w:lang w:val="en-US" w:eastAsia="zh-CN"/>
              </w:rPr>
              <w:t>9</w:t>
            </w:r>
          </w:p>
        </w:tc>
        <w:tc>
          <w:tcPr>
            <w:tcW w:w="1602" w:type="dxa"/>
            <w:gridSpan w:val="2"/>
            <w:noWrap/>
            <w:vAlign w:val="center"/>
          </w:tcPr>
          <w:p>
            <w:pPr>
              <w:jc w:val="center"/>
              <w:rPr>
                <w:rFonts w:ascii="宋体" w:hAnsi="宋体" w:cs="宋体"/>
                <w:kern w:val="0"/>
                <w:sz w:val="15"/>
                <w:szCs w:val="15"/>
              </w:rPr>
            </w:pPr>
            <w:r>
              <w:rPr>
                <w:rFonts w:hint="eastAsia" w:ascii="宋体" w:hAnsi="宋体" w:cs="宋体"/>
                <w:spacing w:val="-6"/>
                <w:kern w:val="0"/>
                <w:sz w:val="15"/>
                <w:szCs w:val="15"/>
              </w:rPr>
              <w:t>进一步优化预算，严格支出，进一步节约开支</w:t>
            </w:r>
            <w:r>
              <w:rPr>
                <w:rFonts w:hint="eastAsia" w:ascii="宋体" w:hAnsi="宋体" w:cs="宋体"/>
                <w:kern w:val="0"/>
                <w:sz w:val="15"/>
                <w:szCs w:val="15"/>
              </w:rPr>
              <w:t>开支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exact"/>
        </w:trPr>
        <w:tc>
          <w:tcPr>
            <w:tcW w:w="6204" w:type="dxa"/>
            <w:gridSpan w:val="9"/>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708"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rPr>
            </w:pPr>
            <w:r>
              <w:rPr>
                <w:rFonts w:hint="eastAsia" w:ascii="宋体" w:hAnsi="宋体" w:cs="宋体"/>
                <w:color w:val="000000"/>
                <w:kern w:val="0"/>
                <w:sz w:val="18"/>
                <w:szCs w:val="18"/>
              </w:rPr>
              <w:t>100</w:t>
            </w:r>
          </w:p>
        </w:tc>
        <w:tc>
          <w:tcPr>
            <w:tcW w:w="756"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602"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ascii="宋体" w:hAnsi="宋体" w:cs="宋体"/>
                <w:kern w:val="0"/>
                <w:sz w:val="18"/>
                <w:szCs w:val="18"/>
              </w:rPr>
            </w:pPr>
          </w:p>
        </w:tc>
      </w:tr>
    </w:tbl>
    <w:p>
      <w:pPr>
        <w:rPr>
          <w:rFonts w:ascii="宋体" w:hAnsi="宋体"/>
          <w:sz w:val="21"/>
          <w:szCs w:val="21"/>
        </w:rPr>
      </w:pPr>
    </w:p>
    <w:p>
      <w:pPr>
        <w:rPr>
          <w:rFonts w:ascii="宋体" w:hAnsi="宋体"/>
          <w:sz w:val="21"/>
          <w:szCs w:val="21"/>
        </w:rPr>
      </w:pPr>
      <w:r>
        <w:rPr>
          <w:rFonts w:hint="eastAsia" w:ascii="宋体" w:hAnsi="宋体"/>
          <w:sz w:val="21"/>
          <w:szCs w:val="21"/>
        </w:rPr>
        <w:t>注：其中预算执行率固定为10分，其中各项指标90分，总分100分。</w:t>
      </w:r>
    </w:p>
    <w:p>
      <w:pPr>
        <w:snapToGrid w:val="0"/>
        <w:spacing w:line="570" w:lineRule="exact"/>
        <w:ind w:left="810"/>
        <w:jc w:val="center"/>
        <w:rPr>
          <w:rFonts w:hint="eastAsia" w:ascii="宋体" w:hAnsi="宋体" w:eastAsia="方正小标宋简体"/>
          <w:sz w:val="44"/>
          <w:szCs w:val="44"/>
        </w:rPr>
      </w:pPr>
    </w:p>
    <w:p>
      <w:pPr>
        <w:snapToGrid w:val="0"/>
        <w:spacing w:line="570" w:lineRule="exact"/>
        <w:ind w:left="810"/>
        <w:jc w:val="center"/>
        <w:rPr>
          <w:rFonts w:hint="eastAsia" w:ascii="宋体" w:hAnsi="宋体" w:eastAsia="方正小标宋简体"/>
          <w:sz w:val="44"/>
          <w:szCs w:val="44"/>
        </w:rPr>
      </w:pPr>
    </w:p>
    <w:p>
      <w:pPr>
        <w:snapToGrid w:val="0"/>
        <w:spacing w:line="570" w:lineRule="exact"/>
        <w:ind w:left="809" w:leftChars="0" w:hanging="809" w:hangingChars="184"/>
        <w:jc w:val="center"/>
        <w:rPr>
          <w:rFonts w:ascii="宋体" w:hAnsi="宋体" w:eastAsia="方正小标宋简体"/>
          <w:sz w:val="44"/>
          <w:szCs w:val="44"/>
        </w:rPr>
      </w:pPr>
      <w:r>
        <w:rPr>
          <w:rFonts w:hint="eastAsia" w:ascii="宋体" w:hAnsi="宋体" w:eastAsia="方正小标宋简体"/>
          <w:sz w:val="44"/>
          <w:szCs w:val="44"/>
        </w:rPr>
        <w:t>遵化市行政审批局</w:t>
      </w:r>
    </w:p>
    <w:p>
      <w:pPr>
        <w:snapToGrid w:val="0"/>
        <w:spacing w:line="570" w:lineRule="exact"/>
        <w:ind w:left="809" w:leftChars="0" w:hanging="809" w:hangingChars="184"/>
        <w:jc w:val="center"/>
        <w:rPr>
          <w:rFonts w:ascii="宋体" w:hAnsi="宋体" w:eastAsia="方正小标宋简体"/>
          <w:sz w:val="44"/>
          <w:szCs w:val="44"/>
        </w:rPr>
      </w:pPr>
      <w:r>
        <w:rPr>
          <w:rFonts w:hint="eastAsia" w:ascii="宋体" w:hAnsi="宋体" w:eastAsia="方正小标宋简体"/>
          <w:sz w:val="44"/>
          <w:szCs w:val="44"/>
        </w:rPr>
        <w:t>不动产登记中心综合业务费项目自评报告</w:t>
      </w:r>
    </w:p>
    <w:p>
      <w:pPr>
        <w:snapToGrid w:val="0"/>
        <w:spacing w:line="570" w:lineRule="exact"/>
        <w:ind w:left="810"/>
        <w:jc w:val="center"/>
        <w:rPr>
          <w:rFonts w:ascii="宋体" w:hAnsi="宋体" w:eastAsia="方正小标宋简体"/>
          <w:sz w:val="44"/>
          <w:szCs w:val="44"/>
        </w:rPr>
      </w:pPr>
    </w:p>
    <w:p>
      <w:pPr>
        <w:spacing w:line="570" w:lineRule="exact"/>
        <w:ind w:right="-509" w:rightChars="-159" w:firstLine="680" w:firstLineChars="200"/>
        <w:rPr>
          <w:rFonts w:ascii="宋体" w:hAnsi="宋体" w:eastAsia="方正黑体简体"/>
          <w:spacing w:val="10"/>
          <w:szCs w:val="28"/>
        </w:rPr>
      </w:pPr>
      <w:r>
        <w:rPr>
          <w:rFonts w:hint="eastAsia" w:ascii="宋体" w:hAnsi="宋体" w:eastAsia="方正黑体简体"/>
          <w:spacing w:val="10"/>
          <w:szCs w:val="28"/>
        </w:rPr>
        <w:t>一、项目基本概况</w:t>
      </w:r>
    </w:p>
    <w:p>
      <w:pPr>
        <w:spacing w:line="570" w:lineRule="exact"/>
        <w:ind w:firstLine="614" w:firstLineChars="192"/>
        <w:rPr>
          <w:rFonts w:ascii="宋体" w:hAnsi="宋体" w:eastAsia="方正楷体简体" w:cs="宋体"/>
          <w:color w:val="333333"/>
          <w:kern w:val="0"/>
          <w:szCs w:val="28"/>
        </w:rPr>
      </w:pPr>
      <w:r>
        <w:rPr>
          <w:rFonts w:hint="eastAsia" w:ascii="宋体" w:hAnsi="宋体" w:eastAsia="方正楷体简体" w:cs="宋体"/>
          <w:color w:val="333333"/>
          <w:kern w:val="0"/>
          <w:szCs w:val="28"/>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根据遵办字</w:t>
      </w:r>
      <w:r>
        <w:rPr>
          <w:rFonts w:hint="eastAsia" w:ascii="宋体" w:hAnsi="宋体" w:eastAsia="方正仿宋简体" w:cs="宋体"/>
          <w:color w:val="333333"/>
          <w:kern w:val="0"/>
          <w:szCs w:val="28"/>
          <w:lang w:val="en-US" w:eastAsia="zh-CN"/>
        </w:rPr>
        <w:t>〔2017〕</w:t>
      </w:r>
      <w:r>
        <w:rPr>
          <w:rFonts w:hint="eastAsia" w:ascii="宋体" w:hAnsi="宋体" w:eastAsia="方正仿宋简体" w:cs="宋体"/>
          <w:color w:val="333333"/>
          <w:kern w:val="0"/>
          <w:szCs w:val="28"/>
        </w:rPr>
        <w:t>22号关于印发《遵化市行政审批局组建工作实施方案》的文件要求，成立行政审批局。此项目用于不动产登记中心日常运转办公费用。包括办公、邮电等日常所需。按实际发生支出。不动产登记中心办公面积2000平方米，27元/平方米*2000平方米*2次，包括2020年夏季、冬季电费。每年分两次，按实际发生额支付。按合同内容要求，每半年支付一次，2020年年底前支付完当年物业费用。全年物业费合计36万元(按建筑面积2000平米X15元/平米/月X12个月）。提高审批办事效率、提高审批服务水平、提高人员专业素质、加强信息公开和宣传引导，充分发挥综合协调和后勤保障作用。以保障中心正常运转，提高审批效率。2022年全年预算</w:t>
      </w:r>
      <w:r>
        <w:rPr>
          <w:rFonts w:hint="eastAsia" w:ascii="宋体" w:hAnsi="宋体" w:eastAsia="方正仿宋简体" w:cs="宋体"/>
          <w:color w:val="333333"/>
          <w:kern w:val="0"/>
          <w:szCs w:val="28"/>
          <w:lang w:val="en-US" w:eastAsia="zh-CN"/>
        </w:rPr>
        <w:t>安排</w:t>
      </w:r>
      <w:r>
        <w:rPr>
          <w:rFonts w:hint="eastAsia" w:ascii="宋体" w:hAnsi="宋体" w:eastAsia="方正仿宋简体" w:cs="宋体"/>
          <w:color w:val="333333"/>
          <w:kern w:val="0"/>
          <w:szCs w:val="28"/>
        </w:rPr>
        <w:t>5.47万，2022年财政预算资金</w:t>
      </w:r>
      <w:r>
        <w:rPr>
          <w:rFonts w:hint="eastAsia" w:ascii="宋体" w:hAnsi="宋体" w:eastAsia="方正仿宋简体" w:cs="宋体"/>
          <w:color w:val="333333"/>
          <w:kern w:val="0"/>
          <w:szCs w:val="28"/>
          <w:lang w:val="en-US" w:eastAsia="zh-CN"/>
        </w:rPr>
        <w:t>实际</w:t>
      </w:r>
      <w:r>
        <w:rPr>
          <w:rFonts w:hint="eastAsia" w:ascii="宋体" w:hAnsi="宋体" w:eastAsia="方正仿宋简体" w:cs="宋体"/>
          <w:color w:val="333333"/>
          <w:kern w:val="0"/>
          <w:szCs w:val="28"/>
        </w:rPr>
        <w:t>支出合计5.47万元。</w:t>
      </w:r>
    </w:p>
    <w:p>
      <w:pPr>
        <w:spacing w:line="570" w:lineRule="exact"/>
        <w:ind w:firstLine="614" w:firstLineChars="192"/>
        <w:rPr>
          <w:rFonts w:ascii="宋体" w:hAnsi="宋体" w:eastAsia="方正楷体简体" w:cs="宋体"/>
          <w:color w:val="333333"/>
          <w:kern w:val="0"/>
          <w:szCs w:val="28"/>
        </w:rPr>
      </w:pPr>
      <w:r>
        <w:rPr>
          <w:rFonts w:hint="eastAsia" w:ascii="宋体" w:hAnsi="宋体" w:eastAsia="方正楷体简体" w:cs="宋体"/>
          <w:color w:val="333333"/>
          <w:kern w:val="0"/>
          <w:szCs w:val="28"/>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总体目标：通过提高工作标准、优化审批流程、压缩审批时间，实现暖心服务，打造最优质、最高效、最规范、最便捷的“审批金牌保姆”服务品牌。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阶段性目标：按时高效、高质量完成业务。</w:t>
      </w:r>
    </w:p>
    <w:p>
      <w:pPr>
        <w:spacing w:line="570" w:lineRule="exact"/>
        <w:ind w:firstLine="640" w:firstLineChars="200"/>
        <w:rPr>
          <w:rFonts w:ascii="宋体" w:hAnsi="宋体" w:eastAsia="方正黑体简体" w:cs="宋体"/>
          <w:color w:val="333333"/>
          <w:kern w:val="0"/>
          <w:szCs w:val="28"/>
        </w:rPr>
      </w:pPr>
      <w:r>
        <w:rPr>
          <w:rFonts w:hint="eastAsia" w:ascii="宋体" w:hAnsi="宋体" w:eastAsia="方正黑体简体" w:cs="宋体"/>
          <w:color w:val="333333"/>
          <w:kern w:val="0"/>
          <w:szCs w:val="28"/>
        </w:rPr>
        <w:t>二、绩效评价工作开展情况</w:t>
      </w:r>
    </w:p>
    <w:p>
      <w:pPr>
        <w:spacing w:line="570" w:lineRule="exact"/>
        <w:ind w:firstLine="614" w:firstLineChars="192"/>
        <w:rPr>
          <w:rFonts w:ascii="宋体" w:hAnsi="宋体" w:eastAsia="方正楷体简体" w:cs="宋体"/>
          <w:color w:val="333333"/>
          <w:kern w:val="0"/>
          <w:szCs w:val="28"/>
        </w:rPr>
      </w:pPr>
      <w:r>
        <w:rPr>
          <w:rFonts w:hint="eastAsia" w:ascii="宋体" w:hAnsi="宋体" w:eastAsia="方正楷体简体" w:cs="宋体"/>
          <w:color w:val="333333"/>
          <w:kern w:val="0"/>
          <w:szCs w:val="28"/>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绩效评价目的：提高审批办事效率、提高审批服务水平、提高人员专业素质、加强信息公开和宣传引导，充分发挥综合协调和后勤保障作用。以保障不动产登记中心正常运转，提高审批效率。项目符合遵办字</w:t>
      </w:r>
      <w:r>
        <w:rPr>
          <w:rFonts w:hint="eastAsia" w:ascii="宋体" w:hAnsi="宋体" w:eastAsia="方正仿宋简体" w:cs="宋体"/>
          <w:color w:val="333333"/>
          <w:kern w:val="0"/>
          <w:szCs w:val="28"/>
          <w:lang w:val="en-US" w:eastAsia="zh-CN"/>
        </w:rPr>
        <w:t>〔2017〕</w:t>
      </w:r>
      <w:r>
        <w:rPr>
          <w:rFonts w:hint="eastAsia" w:ascii="宋体" w:hAnsi="宋体" w:eastAsia="方正仿宋简体" w:cs="宋体"/>
          <w:color w:val="333333"/>
          <w:kern w:val="0"/>
          <w:szCs w:val="28"/>
        </w:rPr>
        <w:t>22号关于印发《遵化市行政审批局组建工作实施方案》的文件精神，以实现暖心服务，打造最优质、最高效、最规范、最便捷的审批金牌保姆”服务品牌。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绩效评价对象：不动产登记中心综合业务费用。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s="宋体"/>
          <w:color w:val="333333"/>
          <w:kern w:val="0"/>
          <w:szCs w:val="28"/>
        </w:rPr>
      </w:pPr>
      <w:r>
        <w:rPr>
          <w:rFonts w:hint="eastAsia" w:ascii="宋体" w:hAnsi="宋体" w:eastAsia="方正仿宋简体" w:cs="宋体"/>
          <w:color w:val="333333"/>
          <w:kern w:val="0"/>
          <w:szCs w:val="28"/>
        </w:rPr>
        <w:t>绩效评价范围：包括办公、邮电等日常所需，按实际发生支出。不动产登记中心办公面积2000平方米，27元/平方米*2000平方米*2次，包括2020年夏季、冬季电费。每年分两次，按实际发生额支付。按合同内容要求，每半年支付一次，2020年年底前支付完当年物业费用。全年物业费合计36万元(按建筑面积2000平米X15元/平米/月X12个月）。</w:t>
      </w:r>
    </w:p>
    <w:p>
      <w:pPr>
        <w:spacing w:line="570" w:lineRule="exact"/>
        <w:ind w:firstLine="640" w:firstLineChars="200"/>
        <w:rPr>
          <w:rFonts w:ascii="宋体" w:hAnsi="宋体" w:eastAsia="方正楷体简体" w:cs="宋体"/>
          <w:color w:val="333333"/>
          <w:kern w:val="0"/>
          <w:szCs w:val="28"/>
        </w:rPr>
      </w:pPr>
      <w:r>
        <w:rPr>
          <w:rFonts w:hint="eastAsia" w:ascii="宋体" w:hAnsi="宋体" w:eastAsia="方正楷体简体" w:cs="宋体"/>
          <w:color w:val="333333"/>
          <w:kern w:val="0"/>
          <w:szCs w:val="28"/>
        </w:rPr>
        <w:t>（二）绩效评价原则、评价指标体系、评价方法及标准。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1</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绩效评价原则：绩效评价工作遵循全面覆盖、程序简便、客观公正、公开透明的原则。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2</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评价指标体系</w:t>
      </w:r>
    </w:p>
    <w:p>
      <w:pPr>
        <w:spacing w:line="570" w:lineRule="exact"/>
        <w:rPr>
          <w:rFonts w:hint="eastAsia" w:ascii="宋体" w:hAnsi="宋体" w:eastAsia="方正仿宋简体" w:cs="宋体"/>
          <w:color w:val="333333"/>
          <w:kern w:val="0"/>
          <w:szCs w:val="28"/>
        </w:rPr>
      </w:pPr>
    </w:p>
    <w:tbl>
      <w:tblPr>
        <w:tblStyle w:val="4"/>
        <w:tblW w:w="9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734"/>
        <w:gridCol w:w="1110"/>
        <w:gridCol w:w="2640"/>
        <w:gridCol w:w="2878"/>
        <w:gridCol w:w="576"/>
        <w:gridCol w:w="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38"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一级指标</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二级指标</w:t>
            </w:r>
          </w:p>
        </w:tc>
        <w:tc>
          <w:tcPr>
            <w:tcW w:w="111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三级指标</w:t>
            </w:r>
          </w:p>
        </w:tc>
        <w:tc>
          <w:tcPr>
            <w:tcW w:w="264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指标解释</w:t>
            </w:r>
          </w:p>
        </w:tc>
        <w:tc>
          <w:tcPr>
            <w:tcW w:w="2878"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评价标准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标准分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投入</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项目目标</w:t>
            </w:r>
          </w:p>
        </w:tc>
        <w:tc>
          <w:tcPr>
            <w:tcW w:w="111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目标内容</w:t>
            </w:r>
          </w:p>
        </w:tc>
        <w:tc>
          <w:tcPr>
            <w:tcW w:w="26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目标是否明确、细化、量化</w:t>
            </w:r>
          </w:p>
        </w:tc>
        <w:tc>
          <w:tcPr>
            <w:tcW w:w="287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目标明确（2分），目标细化（2分），目标量化（1分）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决策过程</w:t>
            </w:r>
          </w:p>
        </w:tc>
        <w:tc>
          <w:tcPr>
            <w:tcW w:w="111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决策依据</w:t>
            </w:r>
          </w:p>
        </w:tc>
        <w:tc>
          <w:tcPr>
            <w:tcW w:w="26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项目是否符合经济社会发展规划和部门年度工作计划；是否根据需要制定中长期实施规划</w:t>
            </w:r>
          </w:p>
        </w:tc>
        <w:tc>
          <w:tcPr>
            <w:tcW w:w="287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项目符合经济社会发展规划和部门年度工作计划（5分），根据需要制定中长期实施规划（5分）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1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决策程序</w:t>
            </w:r>
          </w:p>
        </w:tc>
        <w:tc>
          <w:tcPr>
            <w:tcW w:w="26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项目是否符合申报条件；申报、批复程序是否符合相关管理办法；项目调整是否履行相应手续</w:t>
            </w:r>
          </w:p>
        </w:tc>
        <w:tc>
          <w:tcPr>
            <w:tcW w:w="287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项目符合申报条件（2分），申报、批复程序符合相关管理办法（2分），项目实施调整履行相应手续（1分）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过程</w:t>
            </w: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资金管理</w:t>
            </w:r>
          </w:p>
        </w:tc>
        <w:tc>
          <w:tcPr>
            <w:tcW w:w="111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资金使用</w:t>
            </w:r>
          </w:p>
        </w:tc>
        <w:tc>
          <w:tcPr>
            <w:tcW w:w="26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是否存在支出依据不合规、虚列项目支出的情况；是否存在截留、挤占、挪用项目资金情况；是否存在超标准开支情况</w:t>
            </w:r>
          </w:p>
        </w:tc>
        <w:tc>
          <w:tcPr>
            <w:tcW w:w="287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虚列（套取）扣4分，支出依据不合规扣1分，截留、挤占、挪用扣2分，超标准开支扣1分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1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财务管理</w:t>
            </w:r>
          </w:p>
        </w:tc>
        <w:tc>
          <w:tcPr>
            <w:tcW w:w="26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资金管理、费用支出等制度是否健全，是否严格执行；会计核算是否规范</w:t>
            </w:r>
          </w:p>
        </w:tc>
        <w:tc>
          <w:tcPr>
            <w:tcW w:w="287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财务制度健全（2分），严格执行制度（1分），会计核算规范（1分）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组织实施</w:t>
            </w:r>
          </w:p>
        </w:tc>
        <w:tc>
          <w:tcPr>
            <w:tcW w:w="111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组织机构</w:t>
            </w:r>
          </w:p>
        </w:tc>
        <w:tc>
          <w:tcPr>
            <w:tcW w:w="26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机构是否健全、分工是否明确</w:t>
            </w:r>
          </w:p>
        </w:tc>
        <w:tc>
          <w:tcPr>
            <w:tcW w:w="287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机构健全、分工明确（4分）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1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管理制度</w:t>
            </w:r>
          </w:p>
        </w:tc>
        <w:tc>
          <w:tcPr>
            <w:tcW w:w="26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是否建立健全项目管理制度；是否严格执行相关项目管理制度</w:t>
            </w:r>
          </w:p>
        </w:tc>
        <w:tc>
          <w:tcPr>
            <w:tcW w:w="287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建立健全项目管理制度（2分）；严格执行相关项目管理制度(1分）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738" w:type="dxa"/>
            <w:vMerge w:val="restart"/>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产出</w:t>
            </w: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数量指标</w:t>
            </w:r>
          </w:p>
        </w:tc>
        <w:tc>
          <w:tcPr>
            <w:tcW w:w="1110"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综合业务管理工作完成率</w:t>
            </w:r>
          </w:p>
        </w:tc>
        <w:tc>
          <w:tcPr>
            <w:tcW w:w="2640" w:type="dxa"/>
            <w:noWrap/>
            <w:vAlign w:val="center"/>
          </w:tcPr>
          <w:p>
            <w:pPr>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各项综合业务工作任务完成情况占各项综合业务工作任务的比例</w:t>
            </w:r>
          </w:p>
        </w:tc>
        <w:tc>
          <w:tcPr>
            <w:tcW w:w="287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完成100%得10分，完成90%以上得8分，完成70%以上得6分，完成70%以下得4分。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质量指标</w:t>
            </w:r>
          </w:p>
        </w:tc>
        <w:tc>
          <w:tcPr>
            <w:tcW w:w="1110"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全年工作任务达标率</w:t>
            </w:r>
          </w:p>
        </w:tc>
        <w:tc>
          <w:tcPr>
            <w:tcW w:w="2640"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全年工作任务达到预期质量目标情况</w:t>
            </w:r>
          </w:p>
        </w:tc>
        <w:tc>
          <w:tcPr>
            <w:tcW w:w="2878"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完成100%得10分，完成80%以上得8分，完成80%以上得6分，完成80%以下得4分。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时效指标</w:t>
            </w:r>
          </w:p>
        </w:tc>
        <w:tc>
          <w:tcPr>
            <w:tcW w:w="1110"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报销时效性</w:t>
            </w:r>
          </w:p>
        </w:tc>
        <w:tc>
          <w:tcPr>
            <w:tcW w:w="2640"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按照审批程序及时报销</w:t>
            </w:r>
          </w:p>
        </w:tc>
        <w:tc>
          <w:tcPr>
            <w:tcW w:w="2878"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成本指标</w:t>
            </w:r>
          </w:p>
        </w:tc>
        <w:tc>
          <w:tcPr>
            <w:tcW w:w="1110"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2640"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2878"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738" w:type="dxa"/>
            <w:vMerge w:val="restart"/>
            <w:noWrap/>
            <w:vAlign w:val="center"/>
          </w:tcPr>
          <w:p>
            <w:pPr>
              <w:widowControl/>
              <w:spacing w:line="240" w:lineRule="exact"/>
              <w:rPr>
                <w:rFonts w:ascii="宋体" w:hAnsi="宋体" w:eastAsia="方正仿宋简体"/>
                <w:kern w:val="0"/>
                <w:sz w:val="21"/>
                <w:szCs w:val="21"/>
              </w:rPr>
            </w:pPr>
          </w:p>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效果</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可持续影响指标</w:t>
            </w:r>
          </w:p>
        </w:tc>
        <w:tc>
          <w:tcPr>
            <w:tcW w:w="1110" w:type="dxa"/>
            <w:noWrap/>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提高发改领域服务保障能力</w:t>
            </w:r>
          </w:p>
        </w:tc>
        <w:tc>
          <w:tcPr>
            <w:tcW w:w="2640" w:type="dxa"/>
            <w:noWrap/>
          </w:tcPr>
          <w:p>
            <w:pPr>
              <w:spacing w:line="240" w:lineRule="exact"/>
              <w:rPr>
                <w:rFonts w:ascii="宋体" w:hAnsi="宋体" w:eastAsia="方正仿宋简体"/>
                <w:kern w:val="0"/>
                <w:sz w:val="21"/>
                <w:szCs w:val="21"/>
              </w:rPr>
            </w:pPr>
          </w:p>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有利于业务开展，提高服务保障能力</w:t>
            </w:r>
          </w:p>
        </w:tc>
        <w:tc>
          <w:tcPr>
            <w:tcW w:w="287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经济效益指标</w:t>
            </w:r>
          </w:p>
        </w:tc>
        <w:tc>
          <w:tcPr>
            <w:tcW w:w="111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节约项目开支</w:t>
            </w:r>
          </w:p>
        </w:tc>
        <w:tc>
          <w:tcPr>
            <w:tcW w:w="2640"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践行厉行节约反对浪费制度体系建设</w:t>
            </w:r>
          </w:p>
          <w:p>
            <w:pPr>
              <w:widowControl/>
              <w:spacing w:line="240" w:lineRule="exact"/>
              <w:rPr>
                <w:rFonts w:ascii="宋体" w:hAnsi="宋体" w:eastAsia="方正仿宋简体"/>
                <w:kern w:val="0"/>
                <w:sz w:val="21"/>
                <w:szCs w:val="21"/>
              </w:rPr>
            </w:pPr>
          </w:p>
        </w:tc>
        <w:tc>
          <w:tcPr>
            <w:tcW w:w="2878"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社会效益指标</w:t>
            </w:r>
          </w:p>
        </w:tc>
        <w:tc>
          <w:tcPr>
            <w:tcW w:w="111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业务保障率</w:t>
            </w:r>
          </w:p>
        </w:tc>
        <w:tc>
          <w:tcPr>
            <w:tcW w:w="2640" w:type="dxa"/>
            <w:noWrap/>
            <w:vAlign w:val="bottom"/>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有效保障相关业务、工作等开展的业务次数占总业务量的比率</w:t>
            </w:r>
          </w:p>
          <w:p>
            <w:pPr>
              <w:widowControl/>
              <w:spacing w:line="240" w:lineRule="exact"/>
              <w:rPr>
                <w:rFonts w:ascii="宋体" w:hAnsi="宋体" w:eastAsia="方正仿宋简体"/>
                <w:kern w:val="0"/>
                <w:sz w:val="21"/>
                <w:szCs w:val="21"/>
              </w:rPr>
            </w:pPr>
          </w:p>
        </w:tc>
        <w:tc>
          <w:tcPr>
            <w:tcW w:w="2878"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生态效益指标</w:t>
            </w:r>
          </w:p>
        </w:tc>
        <w:tc>
          <w:tcPr>
            <w:tcW w:w="1110"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工作环境改善程度</w:t>
            </w:r>
          </w:p>
        </w:tc>
        <w:tc>
          <w:tcPr>
            <w:tcW w:w="2640"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对工作环境的改善程度</w:t>
            </w:r>
          </w:p>
        </w:tc>
        <w:tc>
          <w:tcPr>
            <w:tcW w:w="287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18"/>
                <w:szCs w:val="18"/>
              </w:rPr>
            </w:pPr>
            <w:r>
              <w:rPr>
                <w:rFonts w:hint="eastAsia" w:ascii="宋体" w:hAnsi="宋体" w:eastAsia="方正仿宋简体"/>
                <w:kern w:val="0"/>
                <w:sz w:val="18"/>
                <w:szCs w:val="18"/>
              </w:rPr>
              <w:t>服务对象满意度指标</w:t>
            </w:r>
          </w:p>
        </w:tc>
        <w:tc>
          <w:tcPr>
            <w:tcW w:w="1110"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受益群体满意度</w:t>
            </w:r>
          </w:p>
        </w:tc>
        <w:tc>
          <w:tcPr>
            <w:tcW w:w="2640"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受益群体调查中，满意和较满意的人数占全部调查人数的比率</w:t>
            </w:r>
          </w:p>
        </w:tc>
        <w:tc>
          <w:tcPr>
            <w:tcW w:w="287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3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总分</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111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264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2878"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3</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绩效评价方法：采用实地检查、实际操作等多种评价方法相结合的综合评价。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4</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评价标准：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spacing w:line="560" w:lineRule="exact"/>
        <w:ind w:firstLine="320" w:firstLineChars="100"/>
        <w:rPr>
          <w:rFonts w:ascii="宋体" w:hAnsi="宋体" w:eastAsia="方正楷体简体"/>
          <w:szCs w:val="32"/>
        </w:rPr>
      </w:pPr>
      <w:r>
        <w:rPr>
          <w:rFonts w:hint="eastAsia" w:ascii="宋体" w:hAnsi="宋体" w:eastAsia="方正楷体简体"/>
          <w:szCs w:val="32"/>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绩效评价人员查看了相关项目资料，了解资金拨付、使用情况及管理工作。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1.对此项目收集相关资料。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2.实地调研并了解项目实际运行情况。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3.根据调研结果和收集资料进行综合分析，综合评定绩效等级，科学撰写评价报告。</w:t>
      </w:r>
    </w:p>
    <w:p>
      <w:pPr>
        <w:spacing w:line="570" w:lineRule="exact"/>
        <w:ind w:firstLine="640" w:firstLineChars="200"/>
        <w:rPr>
          <w:rFonts w:ascii="宋体" w:hAnsi="宋体" w:eastAsia="方正黑体简体" w:cs="宋体"/>
          <w:color w:val="333333"/>
          <w:kern w:val="0"/>
          <w:szCs w:val="32"/>
        </w:rPr>
      </w:pPr>
      <w:r>
        <w:rPr>
          <w:rFonts w:hint="eastAsia" w:ascii="宋体" w:hAnsi="宋体" w:eastAsia="方正黑体简体" w:cs="宋体"/>
          <w:color w:val="333333"/>
          <w:kern w:val="0"/>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在市委、市政府的坚强领导下，充分发挥综合协调和后勤保障作用，以保障不动产登记中心正常运转，提高审批效率。实现暖心服务，打造最优质、最高效、最规范、最便捷的审批金牌保姆”服务品牌。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评价结论：综合评分项目绩效指标得分为100，绩效评分为优秀。</w:t>
      </w:r>
    </w:p>
    <w:p>
      <w:pPr>
        <w:spacing w:line="570" w:lineRule="exact"/>
        <w:ind w:firstLine="640" w:firstLineChars="200"/>
        <w:rPr>
          <w:rFonts w:ascii="宋体" w:hAnsi="宋体" w:eastAsia="方正黑体简体" w:cs="宋体"/>
          <w:color w:val="333333"/>
          <w:kern w:val="0"/>
          <w:szCs w:val="28"/>
        </w:rPr>
      </w:pPr>
      <w:r>
        <w:rPr>
          <w:rFonts w:hint="eastAsia" w:ascii="宋体" w:hAnsi="宋体" w:eastAsia="方正黑体简体" w:cs="宋体"/>
          <w:color w:val="333333"/>
          <w:kern w:val="0"/>
          <w:szCs w:val="28"/>
        </w:rPr>
        <w:t>四、绩效评价指标分析</w:t>
      </w:r>
    </w:p>
    <w:p>
      <w:pPr>
        <w:spacing w:line="570" w:lineRule="exact"/>
        <w:ind w:firstLine="614" w:firstLineChars="192"/>
        <w:rPr>
          <w:rFonts w:ascii="宋体" w:hAnsi="宋体" w:eastAsia="方正楷体简体" w:cs="宋体"/>
          <w:color w:val="333333"/>
          <w:kern w:val="0"/>
          <w:szCs w:val="28"/>
        </w:rPr>
      </w:pPr>
      <w:r>
        <w:rPr>
          <w:rFonts w:hint="eastAsia" w:ascii="宋体" w:hAnsi="宋体" w:eastAsia="方正楷体简体" w:cs="宋体"/>
          <w:color w:val="333333"/>
          <w:kern w:val="0"/>
          <w:szCs w:val="28"/>
        </w:rPr>
        <w:t>（一）项目决策情况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1</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项目目标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2</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决策过程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决策依据，是指项目是否符合经济发展规划和部门年度工作计划，是否根据需要制定中长期实施规划。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项目符合经济发展规划和部门年度工作计划，根据需要制定中长期实施规划。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决策程序，是指项目是否符合申报条件，申报、批复程序是否符合相关管理办法，项目调整是否履行相应手续。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项目符合申报条件，申报批复程序符合相关管理办法，项目调整履行相应手续。</w:t>
      </w:r>
    </w:p>
    <w:p>
      <w:pPr>
        <w:spacing w:line="570" w:lineRule="exact"/>
        <w:ind w:firstLine="640" w:firstLineChars="200"/>
        <w:rPr>
          <w:rFonts w:ascii="宋体" w:hAnsi="宋体" w:eastAsia="方正楷体简体" w:cs="宋体"/>
          <w:color w:val="333333"/>
          <w:kern w:val="0"/>
          <w:szCs w:val="28"/>
        </w:rPr>
      </w:pPr>
      <w:r>
        <w:rPr>
          <w:rFonts w:hint="eastAsia" w:ascii="宋体" w:hAnsi="宋体" w:eastAsia="方正楷体简体" w:cs="宋体"/>
          <w:color w:val="333333"/>
          <w:kern w:val="0"/>
          <w:szCs w:val="28"/>
        </w:rPr>
        <w:t>（二）项目过程情况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1</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资金管理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2</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3</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4</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管理制度，是指是否建立建全项目管理制度；是否严格执行相关项目管理制度。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管理制度完善，建立健全项目管理制度,严格执行相关项目管理制度.</w:t>
      </w:r>
    </w:p>
    <w:p>
      <w:pPr>
        <w:spacing w:line="570" w:lineRule="exact"/>
        <w:ind w:firstLine="640" w:firstLineChars="200"/>
        <w:rPr>
          <w:rFonts w:ascii="宋体" w:hAnsi="宋体" w:eastAsia="方正楷体简体" w:cs="宋体"/>
          <w:color w:val="333333"/>
          <w:kern w:val="0"/>
          <w:szCs w:val="28"/>
        </w:rPr>
      </w:pPr>
      <w:r>
        <w:rPr>
          <w:rFonts w:hint="eastAsia" w:ascii="宋体" w:hAnsi="宋体" w:eastAsia="方正楷体简体" w:cs="宋体"/>
          <w:color w:val="333333"/>
          <w:kern w:val="0"/>
          <w:szCs w:val="28"/>
        </w:rPr>
        <w:t>（三）项目产出情况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1</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数量指标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综合业务管理工作完成率，各项综合业务工作任务完成情况占各项综合业务工作任务的比例，达到优良水平。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2</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质量指标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全年工作任务达标率，全年工作任务达到预期质量目标情况，达到优良水平。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3</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时效指标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报销时效性，按照审批程序及时报销，达到优良水平。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4</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成本指标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s="宋体"/>
          <w:color w:val="333333"/>
          <w:kern w:val="0"/>
          <w:szCs w:val="28"/>
        </w:rPr>
      </w:pPr>
      <w:r>
        <w:rPr>
          <w:rFonts w:hint="eastAsia" w:ascii="宋体" w:hAnsi="宋体" w:eastAsia="方正仿宋简体" w:cs="宋体"/>
          <w:color w:val="333333"/>
          <w:kern w:val="0"/>
          <w:szCs w:val="28"/>
        </w:rPr>
        <w:t>预算资金完成率，预算资金完成率达到财政部门要求，达到优良水平。</w:t>
      </w:r>
    </w:p>
    <w:p>
      <w:pPr>
        <w:spacing w:line="570" w:lineRule="exact"/>
        <w:ind w:firstLine="640" w:firstLineChars="200"/>
        <w:rPr>
          <w:rFonts w:ascii="宋体" w:hAnsi="宋体" w:eastAsia="方正楷体简体" w:cs="宋体"/>
          <w:color w:val="333333"/>
          <w:kern w:val="0"/>
          <w:szCs w:val="28"/>
        </w:rPr>
      </w:pPr>
      <w:r>
        <w:rPr>
          <w:rFonts w:hint="eastAsia" w:ascii="宋体" w:hAnsi="宋体" w:eastAsia="方正楷体简体" w:cs="宋体"/>
          <w:color w:val="333333"/>
          <w:kern w:val="0"/>
          <w:szCs w:val="28"/>
        </w:rPr>
        <w:t>（四）项目效益情况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1</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社会效益指标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 xml:space="preserve">业务保障率，有效保障相关业务、工作等开展的业务次数占总业务量的比率，达到优良水平。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2</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可持续影响指标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提高发改领域服务保障能力，有利于业务开展，提高服务保障能力，达到优良水平。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3</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经济效益指标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节约项目开支，践行厉行节约反对浪费制度体系建设，达到优良水平。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4</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生态效益指标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工作环境改善程度，对工作环境的改善程度，达到优良水平。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5</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s="宋体"/>
          <w:color w:val="333333"/>
          <w:kern w:val="0"/>
          <w:szCs w:val="28"/>
        </w:rPr>
      </w:pPr>
      <w:r>
        <w:rPr>
          <w:rFonts w:hint="eastAsia" w:ascii="宋体" w:hAnsi="宋体" w:eastAsia="方正仿宋简体" w:cs="宋体"/>
          <w:color w:val="333333"/>
          <w:kern w:val="0"/>
          <w:szCs w:val="28"/>
        </w:rPr>
        <w:t>受益群体满意度，受益群体调查中，满意和较满意的人数占全部调查人数的比率，达到优良水平。</w:t>
      </w:r>
    </w:p>
    <w:p>
      <w:pPr>
        <w:spacing w:line="570" w:lineRule="exact"/>
        <w:ind w:firstLine="640" w:firstLineChars="200"/>
        <w:rPr>
          <w:rFonts w:ascii="宋体" w:hAnsi="宋体" w:eastAsia="方正黑体简体" w:cs="宋体"/>
          <w:color w:val="333333"/>
          <w:kern w:val="0"/>
          <w:szCs w:val="28"/>
        </w:rPr>
      </w:pPr>
      <w:r>
        <w:rPr>
          <w:rFonts w:hint="eastAsia" w:ascii="宋体" w:hAnsi="宋体" w:eastAsia="方正黑体简体" w:cs="宋体"/>
          <w:color w:val="333333"/>
          <w:kern w:val="0"/>
          <w:szCs w:val="28"/>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s="宋体"/>
          <w:color w:val="333333"/>
          <w:kern w:val="0"/>
          <w:szCs w:val="28"/>
        </w:rPr>
      </w:pPr>
      <w:r>
        <w:rPr>
          <w:rFonts w:hint="eastAsia" w:ascii="宋体" w:hAnsi="宋体" w:eastAsia="方正仿宋简体" w:cs="宋体"/>
          <w:color w:val="333333"/>
          <w:kern w:val="0"/>
          <w:szCs w:val="28"/>
        </w:rPr>
        <w:t>认真贯彻落实绩效管理办法，把预算绩效管理纳入整体工作，把财政项目支出绩效自评工作列入重要议事日程，做实做好。</w:t>
      </w:r>
    </w:p>
    <w:p>
      <w:pPr>
        <w:spacing w:line="570" w:lineRule="exact"/>
        <w:ind w:firstLine="640" w:firstLineChars="200"/>
        <w:rPr>
          <w:rFonts w:ascii="宋体" w:hAnsi="宋体" w:eastAsia="方正黑体简体" w:cs="宋体"/>
          <w:color w:val="333333"/>
          <w:kern w:val="0"/>
          <w:szCs w:val="28"/>
        </w:rPr>
      </w:pPr>
      <w:r>
        <w:rPr>
          <w:rFonts w:hint="eastAsia" w:ascii="宋体" w:hAnsi="宋体" w:eastAsia="方正黑体简体" w:cs="宋体"/>
          <w:color w:val="333333"/>
          <w:kern w:val="0"/>
          <w:szCs w:val="28"/>
        </w:rPr>
        <w:t>六、有关建议</w:t>
      </w:r>
    </w:p>
    <w:p>
      <w:pPr>
        <w:spacing w:line="570" w:lineRule="exact"/>
        <w:ind w:firstLine="614" w:firstLineChars="192"/>
        <w:rPr>
          <w:rFonts w:ascii="宋体" w:hAnsi="宋体" w:eastAsia="方正仿宋简体" w:cs="宋体"/>
          <w:color w:val="333333"/>
          <w:kern w:val="0"/>
          <w:szCs w:val="28"/>
        </w:rPr>
      </w:pPr>
      <w:r>
        <w:rPr>
          <w:rFonts w:hint="eastAsia" w:ascii="宋体" w:hAnsi="宋体" w:eastAsia="方正仿宋简体" w:cs="宋体"/>
          <w:color w:val="333333"/>
          <w:kern w:val="0"/>
          <w:szCs w:val="28"/>
        </w:rPr>
        <w:t xml:space="preserve"> 无</w:t>
      </w:r>
    </w:p>
    <w:p>
      <w:pPr>
        <w:spacing w:line="570" w:lineRule="exact"/>
        <w:ind w:firstLine="640" w:firstLineChars="200"/>
        <w:rPr>
          <w:rFonts w:ascii="宋体" w:hAnsi="宋体" w:eastAsia="方正黑体简体" w:cs="宋体"/>
          <w:color w:val="333333"/>
          <w:kern w:val="0"/>
          <w:szCs w:val="28"/>
        </w:rPr>
      </w:pPr>
      <w:r>
        <w:rPr>
          <w:rFonts w:hint="eastAsia" w:ascii="宋体" w:hAnsi="宋体" w:eastAsia="方正黑体简体" w:cs="宋体"/>
          <w:color w:val="333333"/>
          <w:kern w:val="0"/>
          <w:szCs w:val="28"/>
        </w:rPr>
        <w:t>七、其他需要说明的问题</w:t>
      </w:r>
    </w:p>
    <w:p>
      <w:pPr>
        <w:spacing w:line="570" w:lineRule="exact"/>
        <w:ind w:firstLine="614" w:firstLineChars="192"/>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 xml:space="preserve"> 无</w:t>
      </w:r>
    </w:p>
    <w:p>
      <w:pPr>
        <w:widowControl/>
        <w:jc w:val="left"/>
        <w:rPr>
          <w:rFonts w:hint="eastAsia" w:ascii="宋体" w:hAnsi="宋体" w:eastAsia="方正仿宋简体" w:cs="宋体"/>
          <w:color w:val="333333"/>
          <w:kern w:val="0"/>
          <w:szCs w:val="28"/>
        </w:rPr>
      </w:pPr>
    </w:p>
    <w:tbl>
      <w:tblPr>
        <w:tblStyle w:val="4"/>
        <w:tblW w:w="9435" w:type="dxa"/>
        <w:tblInd w:w="-6" w:type="dxa"/>
        <w:tblLayout w:type="fixed"/>
        <w:tblCellMar>
          <w:top w:w="0" w:type="dxa"/>
          <w:left w:w="108" w:type="dxa"/>
          <w:bottom w:w="0" w:type="dxa"/>
          <w:right w:w="108" w:type="dxa"/>
        </w:tblCellMar>
      </w:tblPr>
      <w:tblGrid>
        <w:gridCol w:w="615"/>
        <w:gridCol w:w="633"/>
        <w:gridCol w:w="342"/>
        <w:gridCol w:w="1501"/>
        <w:gridCol w:w="1134"/>
        <w:gridCol w:w="851"/>
        <w:gridCol w:w="283"/>
        <w:gridCol w:w="567"/>
        <w:gridCol w:w="567"/>
        <w:gridCol w:w="212"/>
        <w:gridCol w:w="639"/>
        <w:gridCol w:w="561"/>
        <w:gridCol w:w="431"/>
        <w:gridCol w:w="1099"/>
      </w:tblGrid>
      <w:tr>
        <w:tblPrEx>
          <w:tblCellMar>
            <w:top w:w="0" w:type="dxa"/>
            <w:left w:w="108" w:type="dxa"/>
            <w:bottom w:w="0" w:type="dxa"/>
            <w:right w:w="108" w:type="dxa"/>
          </w:tblCellMar>
        </w:tblPrEx>
        <w:trPr>
          <w:trHeight w:val="435" w:hRule="atLeast"/>
        </w:trPr>
        <w:tc>
          <w:tcPr>
            <w:tcW w:w="9435" w:type="dxa"/>
            <w:gridSpan w:val="14"/>
            <w:vMerge w:val="restart"/>
            <w:tcBorders>
              <w:top w:val="nil"/>
              <w:left w:val="nil"/>
              <w:bottom w:val="nil"/>
              <w:right w:val="nil"/>
            </w:tcBorders>
            <w:shd w:val="clear" w:color="auto" w:fill="auto"/>
            <w:vAlign w:val="center"/>
          </w:tcPr>
          <w:p>
            <w:pPr>
              <w:widowControl/>
              <w:jc w:val="center"/>
              <w:rPr>
                <w:rFonts w:hint="eastAsia" w:ascii="宋体" w:hAnsi="宋体" w:cs="宋体"/>
                <w:b/>
                <w:bCs/>
                <w:kern w:val="0"/>
                <w:szCs w:val="32"/>
              </w:rPr>
            </w:pPr>
            <w:r>
              <w:rPr>
                <w:rFonts w:hint="eastAsia" w:ascii="宋体" w:hAnsi="宋体" w:cs="宋体"/>
                <w:b/>
                <w:bCs/>
                <w:kern w:val="0"/>
                <w:szCs w:val="32"/>
              </w:rPr>
              <w:t>2022年度项目支出绩效自评表</w:t>
            </w:r>
          </w:p>
          <w:tbl>
            <w:tblPr>
              <w:tblStyle w:val="4"/>
              <w:tblW w:w="9435" w:type="dxa"/>
              <w:tblInd w:w="-6" w:type="dxa"/>
              <w:tblLayout w:type="fixed"/>
              <w:tblCellMar>
                <w:top w:w="0" w:type="dxa"/>
                <w:left w:w="108" w:type="dxa"/>
                <w:bottom w:w="0" w:type="dxa"/>
                <w:right w:w="108" w:type="dxa"/>
              </w:tblCellMar>
            </w:tblPr>
            <w:tblGrid>
              <w:gridCol w:w="9435"/>
            </w:tblGrid>
            <w:tr>
              <w:tblPrEx>
                <w:tblCellMar>
                  <w:top w:w="0" w:type="dxa"/>
                  <w:left w:w="108" w:type="dxa"/>
                  <w:bottom w:w="0" w:type="dxa"/>
                  <w:right w:w="108" w:type="dxa"/>
                </w:tblCellMar>
              </w:tblPrEx>
              <w:trPr>
                <w:trHeight w:val="315" w:hRule="atLeast"/>
              </w:trPr>
              <w:tc>
                <w:tcPr>
                  <w:tcW w:w="9435" w:type="dxa"/>
                  <w:tcBorders>
                    <w:top w:val="nil"/>
                    <w:left w:val="nil"/>
                    <w:bottom w:val="nil"/>
                    <w:right w:val="nil"/>
                  </w:tcBorders>
                  <w:shd w:val="clear" w:color="auto" w:fill="auto"/>
                </w:tcPr>
                <w:p>
                  <w:pPr>
                    <w:widowControl/>
                    <w:jc w:val="right"/>
                    <w:rPr>
                      <w:rFonts w:ascii="宋体" w:hAnsi="宋体" w:cs="宋体"/>
                      <w:kern w:val="0"/>
                      <w:sz w:val="22"/>
                      <w:szCs w:val="22"/>
                    </w:rPr>
                  </w:pPr>
                  <w:r>
                    <w:rPr>
                      <w:rFonts w:hint="eastAsia" w:ascii="宋体" w:hAnsi="宋体" w:cs="宋体"/>
                      <w:kern w:val="0"/>
                      <w:sz w:val="22"/>
                      <w:szCs w:val="22"/>
                    </w:rPr>
                    <w:t xml:space="preserve">                      金额：万元</w:t>
                  </w:r>
                </w:p>
              </w:tc>
            </w:tr>
          </w:tbl>
          <w:p>
            <w:pPr>
              <w:widowControl/>
              <w:jc w:val="center"/>
              <w:rPr>
                <w:rFonts w:hint="eastAsia" w:ascii="宋体" w:hAnsi="宋体" w:cs="宋体"/>
                <w:b/>
                <w:bCs/>
                <w:kern w:val="0"/>
                <w:szCs w:val="32"/>
              </w:rPr>
            </w:pPr>
          </w:p>
        </w:tc>
      </w:tr>
      <w:tr>
        <w:tblPrEx>
          <w:tblCellMar>
            <w:top w:w="0" w:type="dxa"/>
            <w:left w:w="108" w:type="dxa"/>
            <w:bottom w:w="0" w:type="dxa"/>
            <w:right w:w="108" w:type="dxa"/>
          </w:tblCellMar>
        </w:tblPrEx>
        <w:trPr>
          <w:trHeight w:val="435" w:hRule="atLeast"/>
        </w:trPr>
        <w:tc>
          <w:tcPr>
            <w:tcW w:w="9435" w:type="dxa"/>
            <w:gridSpan w:val="14"/>
            <w:vMerge w:val="continue"/>
            <w:tcBorders>
              <w:top w:val="nil"/>
              <w:left w:val="nil"/>
              <w:bottom w:val="nil"/>
              <w:right w:val="nil"/>
            </w:tcBorders>
            <w:vAlign w:val="center"/>
          </w:tcPr>
          <w:p>
            <w:pPr>
              <w:widowControl/>
              <w:jc w:val="left"/>
              <w:rPr>
                <w:rFonts w:ascii="宋体" w:hAnsi="宋体" w:cs="宋体"/>
                <w:b/>
                <w:bCs/>
                <w:kern w:val="0"/>
                <w:szCs w:val="32"/>
              </w:rPr>
            </w:pPr>
          </w:p>
        </w:tc>
      </w:tr>
      <w:tr>
        <w:tblPrEx>
          <w:tblCellMar>
            <w:top w:w="0" w:type="dxa"/>
            <w:left w:w="108" w:type="dxa"/>
            <w:bottom w:w="0" w:type="dxa"/>
            <w:right w:w="108" w:type="dxa"/>
          </w:tblCellMar>
        </w:tblPrEx>
        <w:trPr>
          <w:trHeight w:val="312" w:hRule="atLeast"/>
        </w:trPr>
        <w:tc>
          <w:tcPr>
            <w:tcW w:w="9435" w:type="dxa"/>
            <w:gridSpan w:val="14"/>
            <w:vMerge w:val="continue"/>
            <w:tcBorders>
              <w:top w:val="nil"/>
              <w:left w:val="nil"/>
              <w:bottom w:val="nil"/>
              <w:right w:val="nil"/>
            </w:tcBorders>
            <w:vAlign w:val="center"/>
          </w:tcPr>
          <w:p>
            <w:pPr>
              <w:widowControl/>
              <w:jc w:val="left"/>
              <w:rPr>
                <w:rFonts w:ascii="宋体" w:hAnsi="宋体" w:cs="宋体"/>
                <w:b/>
                <w:bCs/>
                <w:kern w:val="0"/>
                <w:szCs w:val="32"/>
              </w:rPr>
            </w:pPr>
          </w:p>
        </w:tc>
      </w:tr>
      <w:tr>
        <w:tblPrEx>
          <w:tblCellMar>
            <w:top w:w="0" w:type="dxa"/>
            <w:left w:w="108" w:type="dxa"/>
            <w:bottom w:w="0" w:type="dxa"/>
            <w:right w:w="108" w:type="dxa"/>
          </w:tblCellMar>
        </w:tblPrEx>
        <w:trPr>
          <w:trHeight w:val="383" w:hRule="atLeast"/>
        </w:trPr>
        <w:tc>
          <w:tcPr>
            <w:tcW w:w="1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8187"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综合管理经费</w:t>
            </w:r>
          </w:p>
        </w:tc>
      </w:tr>
      <w:tr>
        <w:tblPrEx>
          <w:tblCellMar>
            <w:top w:w="0" w:type="dxa"/>
            <w:left w:w="108" w:type="dxa"/>
            <w:bottom w:w="0" w:type="dxa"/>
            <w:right w:w="108" w:type="dxa"/>
          </w:tblCellMar>
        </w:tblPrEx>
        <w:trPr>
          <w:trHeight w:val="391" w:hRule="atLeast"/>
        </w:trPr>
        <w:tc>
          <w:tcPr>
            <w:tcW w:w="1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主管部门</w:t>
            </w:r>
          </w:p>
        </w:tc>
        <w:tc>
          <w:tcPr>
            <w:tcW w:w="411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遵化市行政审批局</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实施单位</w:t>
            </w:r>
          </w:p>
        </w:tc>
        <w:tc>
          <w:tcPr>
            <w:tcW w:w="294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遵化市行政审批局</w:t>
            </w:r>
          </w:p>
        </w:tc>
      </w:tr>
      <w:tr>
        <w:tblPrEx>
          <w:tblCellMar>
            <w:top w:w="0" w:type="dxa"/>
            <w:left w:w="108" w:type="dxa"/>
            <w:bottom w:w="0" w:type="dxa"/>
            <w:right w:w="108" w:type="dxa"/>
          </w:tblCellMar>
        </w:tblPrEx>
        <w:trPr>
          <w:trHeight w:val="339" w:hRule="atLeast"/>
        </w:trPr>
        <w:tc>
          <w:tcPr>
            <w:tcW w:w="1248"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项目资金</w:t>
            </w:r>
          </w:p>
          <w:p>
            <w:pPr>
              <w:widowControl/>
              <w:jc w:val="center"/>
              <w:rPr>
                <w:rFonts w:ascii="宋体" w:hAnsi="宋体" w:cs="宋体"/>
                <w:kern w:val="0"/>
                <w:sz w:val="18"/>
                <w:szCs w:val="18"/>
              </w:rPr>
            </w:pPr>
            <w:r>
              <w:rPr>
                <w:rFonts w:hint="eastAsia" w:ascii="宋体" w:hAnsi="宋体" w:cs="宋体"/>
                <w:kern w:val="0"/>
                <w:sz w:val="18"/>
                <w:szCs w:val="18"/>
              </w:rPr>
              <w:t>（万元）</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全年执行数</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执行率</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58" w:hRule="atLeast"/>
        </w:trPr>
        <w:tc>
          <w:tcPr>
            <w:tcW w:w="1248" w:type="dxa"/>
            <w:gridSpan w:val="2"/>
            <w:vMerge w:val="continue"/>
            <w:tcBorders>
              <w:left w:val="single" w:color="auto" w:sz="4" w:space="0"/>
              <w:right w:val="single" w:color="auto" w:sz="4" w:space="0"/>
            </w:tcBorders>
            <w:shd w:val="clear" w:color="auto" w:fill="auto"/>
            <w:vAlign w:val="center"/>
          </w:tcPr>
          <w:p>
            <w:pPr>
              <w:jc w:val="left"/>
              <w:rPr>
                <w:rFonts w:ascii="宋体" w:hAnsi="宋体" w:cs="宋体"/>
                <w:kern w:val="0"/>
                <w:sz w:val="18"/>
                <w:szCs w:val="18"/>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423" w:hRule="atLeast"/>
        </w:trPr>
        <w:tc>
          <w:tcPr>
            <w:tcW w:w="1248" w:type="dxa"/>
            <w:gridSpan w:val="2"/>
            <w:vMerge w:val="continue"/>
            <w:tcBorders>
              <w:left w:val="single" w:color="auto" w:sz="4" w:space="0"/>
              <w:right w:val="single" w:color="auto" w:sz="4" w:space="0"/>
            </w:tcBorders>
            <w:shd w:val="clear" w:color="auto" w:fill="auto"/>
            <w:noWrap/>
            <w:vAlign w:val="center"/>
          </w:tcPr>
          <w:p>
            <w:pPr>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1" w:hRule="atLeast"/>
        </w:trPr>
        <w:tc>
          <w:tcPr>
            <w:tcW w:w="1248" w:type="dxa"/>
            <w:gridSpan w:val="2"/>
            <w:vMerge w:val="continue"/>
            <w:tcBorders>
              <w:left w:val="single" w:color="auto" w:sz="4" w:space="0"/>
              <w:right w:val="single" w:color="auto" w:sz="4" w:space="0"/>
            </w:tcBorders>
            <w:shd w:val="clear" w:color="auto" w:fill="auto"/>
            <w:noWrap/>
            <w:vAlign w:val="center"/>
          </w:tcPr>
          <w:p>
            <w:pPr>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55" w:hRule="atLeast"/>
        </w:trPr>
        <w:tc>
          <w:tcPr>
            <w:tcW w:w="1248"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45" w:hRule="atLeast"/>
        </w:trPr>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年度总体目标</w:t>
            </w:r>
          </w:p>
        </w:tc>
        <w:tc>
          <w:tcPr>
            <w:tcW w:w="474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预期目标</w:t>
            </w:r>
          </w:p>
        </w:tc>
        <w:tc>
          <w:tcPr>
            <w:tcW w:w="4076"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155" w:hRule="atLeast"/>
        </w:trPr>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744"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通过提高工作标准、优化审批流程、压缩审批时间，实现暖心服务，打造最优质、最高效、最规范、最便捷的“审批金牌保姆”服务品牌           </w:t>
            </w:r>
          </w:p>
        </w:tc>
        <w:tc>
          <w:tcPr>
            <w:tcW w:w="4076"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项目已完成。</w:t>
            </w:r>
          </w:p>
        </w:tc>
      </w:tr>
      <w:tr>
        <w:tblPrEx>
          <w:tblCellMar>
            <w:top w:w="0" w:type="dxa"/>
            <w:left w:w="108" w:type="dxa"/>
            <w:bottom w:w="0" w:type="dxa"/>
            <w:right w:w="108" w:type="dxa"/>
          </w:tblCellMar>
        </w:tblPrEx>
        <w:trPr>
          <w:trHeight w:val="270" w:hRule="atLeast"/>
        </w:trPr>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               效              指                 标</w:t>
            </w:r>
          </w:p>
        </w:tc>
        <w:tc>
          <w:tcPr>
            <w:tcW w:w="9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5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tc>
        <w:tc>
          <w:tcPr>
            <w:tcW w:w="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53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120" w:hRule="atLeast"/>
        </w:trPr>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639"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561"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3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18" w:hRule="atLeast"/>
        </w:trPr>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985"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许可申请书审批率%</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6" w:hRule="atLeast"/>
        </w:trPr>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985"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配套设施完成率（%）</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1985"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综合利用率（%）</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5" w:hRule="atLeast"/>
        </w:trPr>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985"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5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1985"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业务保障率（%）</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40" w:hRule="atLeast"/>
        </w:trPr>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985"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综合利用率（%）</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7" w:hRule="atLeast"/>
        </w:trPr>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可持续影响指标</w:t>
            </w:r>
          </w:p>
        </w:tc>
        <w:tc>
          <w:tcPr>
            <w:tcW w:w="1985"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长期使用性</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30" w:hRule="atLeast"/>
        </w:trPr>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满意度指标</w:t>
            </w: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5"/>
                <w:szCs w:val="15"/>
              </w:rPr>
              <w:t>服务对象满意度指标</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5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5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175" w:hRule="atLeast"/>
        </w:trPr>
        <w:tc>
          <w:tcPr>
            <w:tcW w:w="670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c>
          <w:tcPr>
            <w:tcW w:w="15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spacing w:val="-6"/>
                <w:kern w:val="0"/>
                <w:sz w:val="15"/>
                <w:szCs w:val="15"/>
              </w:rPr>
              <w:t>进一步优化预算，严格支出，进一步节约开支</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41" w:hRule="atLeast"/>
        </w:trPr>
        <w:tc>
          <w:tcPr>
            <w:tcW w:w="670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5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20" w:hRule="atLeast"/>
        </w:trPr>
        <w:tc>
          <w:tcPr>
            <w:tcW w:w="9435" w:type="dxa"/>
            <w:gridSpan w:val="14"/>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注：其中预算执行率固定为10分，其中各项指标90分，总分100分。</w:t>
            </w:r>
          </w:p>
        </w:tc>
      </w:tr>
    </w:tbl>
    <w:p>
      <w:pPr>
        <w:snapToGrid w:val="0"/>
        <w:spacing w:line="570" w:lineRule="exact"/>
        <w:ind w:left="810"/>
        <w:jc w:val="center"/>
        <w:rPr>
          <w:rFonts w:hint="eastAsia" w:ascii="宋体" w:hAnsi="宋体" w:eastAsia="方正小标宋简体"/>
          <w:sz w:val="44"/>
          <w:szCs w:val="44"/>
        </w:rPr>
      </w:pPr>
    </w:p>
    <w:p>
      <w:pPr>
        <w:snapToGrid w:val="0"/>
        <w:spacing w:line="570" w:lineRule="exact"/>
        <w:ind w:left="809" w:leftChars="0" w:hanging="809" w:hangingChars="184"/>
        <w:jc w:val="center"/>
        <w:rPr>
          <w:rFonts w:ascii="宋体" w:hAnsi="宋体" w:eastAsia="方正小标宋简体"/>
          <w:sz w:val="44"/>
          <w:szCs w:val="44"/>
        </w:rPr>
      </w:pPr>
      <w:r>
        <w:rPr>
          <w:rFonts w:hint="eastAsia" w:ascii="宋体" w:hAnsi="宋体" w:eastAsia="方正小标宋简体"/>
          <w:sz w:val="44"/>
          <w:szCs w:val="44"/>
        </w:rPr>
        <w:t>遵化市行政审批局</w:t>
      </w:r>
    </w:p>
    <w:p>
      <w:pPr>
        <w:snapToGrid w:val="0"/>
        <w:spacing w:line="570" w:lineRule="exact"/>
        <w:ind w:left="809" w:leftChars="0" w:hanging="809" w:hangingChars="184"/>
        <w:jc w:val="center"/>
        <w:rPr>
          <w:rFonts w:ascii="宋体" w:hAnsi="宋体" w:eastAsia="方正小标宋简体"/>
          <w:sz w:val="44"/>
          <w:szCs w:val="44"/>
        </w:rPr>
      </w:pPr>
      <w:r>
        <w:rPr>
          <w:rFonts w:hint="eastAsia" w:ascii="宋体" w:hAnsi="宋体" w:eastAsia="方正小标宋简体"/>
          <w:sz w:val="44"/>
          <w:szCs w:val="44"/>
        </w:rPr>
        <w:t>综合管理经费项目自评报告</w:t>
      </w:r>
    </w:p>
    <w:p>
      <w:pPr>
        <w:snapToGrid w:val="0"/>
        <w:spacing w:line="570" w:lineRule="exact"/>
        <w:ind w:left="810"/>
        <w:jc w:val="center"/>
        <w:rPr>
          <w:rFonts w:ascii="宋体" w:hAnsi="宋体" w:eastAsia="方正小标宋简体"/>
          <w:sz w:val="44"/>
          <w:szCs w:val="44"/>
        </w:rPr>
      </w:pPr>
    </w:p>
    <w:p>
      <w:pPr>
        <w:spacing w:line="570" w:lineRule="exact"/>
        <w:ind w:right="-509" w:rightChars="-159" w:firstLine="680" w:firstLineChars="200"/>
        <w:rPr>
          <w:rFonts w:ascii="宋体" w:hAnsi="宋体" w:eastAsia="方正黑体简体"/>
          <w:spacing w:val="10"/>
          <w:szCs w:val="28"/>
        </w:rPr>
      </w:pPr>
      <w:r>
        <w:rPr>
          <w:rFonts w:hint="eastAsia" w:ascii="宋体" w:hAnsi="宋体" w:eastAsia="方正黑体简体"/>
          <w:spacing w:val="10"/>
          <w:szCs w:val="28"/>
        </w:rPr>
        <w:t>一、项目基本概况</w:t>
      </w:r>
    </w:p>
    <w:p>
      <w:pPr>
        <w:spacing w:line="570" w:lineRule="exact"/>
        <w:ind w:firstLine="652" w:firstLineChars="192"/>
        <w:rPr>
          <w:rFonts w:ascii="宋体" w:hAnsi="宋体" w:eastAsia="方正楷体简体"/>
          <w:spacing w:val="10"/>
          <w:szCs w:val="28"/>
        </w:rPr>
      </w:pPr>
      <w:r>
        <w:rPr>
          <w:rFonts w:hint="eastAsia" w:ascii="宋体" w:hAnsi="宋体" w:eastAsia="方正楷体简体"/>
          <w:spacing w:val="10"/>
          <w:szCs w:val="28"/>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此项目用于保障我局机关、业务科室及公共资源交易中心的日常办公、业务运转。我局负责全市行政审批、政务服务和公共资源交易管理工作，为了提高审批办事效率、审批服务水平、提高人员专业素质、加强信息公开和宣传引导，充分发挥综合协调和后勤保障作用，结合审批局机关运行实际情况，按月申报，按实际发生支付综合执行管理经费。2022年全年预算</w:t>
      </w:r>
      <w:r>
        <w:rPr>
          <w:rFonts w:hint="eastAsia" w:ascii="宋体" w:hAnsi="宋体" w:eastAsia="方正仿宋简体"/>
          <w:bCs/>
          <w:szCs w:val="32"/>
          <w:lang w:val="en-US" w:eastAsia="zh-CN"/>
        </w:rPr>
        <w:t>安排</w:t>
      </w:r>
      <w:r>
        <w:rPr>
          <w:rFonts w:hint="eastAsia" w:ascii="宋体" w:hAnsi="宋体" w:eastAsia="方正仿宋简体"/>
          <w:bCs/>
          <w:szCs w:val="32"/>
        </w:rPr>
        <w:t>48万，2022年</w:t>
      </w:r>
      <w:r>
        <w:rPr>
          <w:rFonts w:hint="eastAsia" w:ascii="宋体" w:hAnsi="宋体" w:eastAsia="方正仿宋简体" w:cs="宋体"/>
          <w:color w:val="333333"/>
          <w:kern w:val="0"/>
          <w:szCs w:val="28"/>
        </w:rPr>
        <w:t>财政预算资金</w:t>
      </w:r>
      <w:r>
        <w:rPr>
          <w:rFonts w:hint="eastAsia" w:ascii="宋体" w:hAnsi="宋体" w:eastAsia="方正仿宋简体" w:cs="宋体"/>
          <w:color w:val="333333"/>
          <w:kern w:val="0"/>
          <w:szCs w:val="28"/>
          <w:lang w:val="en-US" w:eastAsia="zh-CN"/>
        </w:rPr>
        <w:t>实际</w:t>
      </w:r>
      <w:r>
        <w:rPr>
          <w:rFonts w:hint="eastAsia" w:ascii="宋体" w:hAnsi="宋体" w:eastAsia="方正仿宋简体" w:cs="宋体"/>
          <w:color w:val="333333"/>
          <w:kern w:val="0"/>
          <w:szCs w:val="28"/>
        </w:rPr>
        <w:t>支出</w:t>
      </w:r>
      <w:r>
        <w:rPr>
          <w:rFonts w:hint="eastAsia" w:ascii="宋体" w:hAnsi="宋体" w:eastAsia="方正仿宋简体"/>
          <w:bCs/>
          <w:szCs w:val="32"/>
        </w:rPr>
        <w:t>合计48万元。</w:t>
      </w:r>
    </w:p>
    <w:p>
      <w:pPr>
        <w:numPr>
          <w:ilvl w:val="0"/>
          <w:numId w:val="1"/>
        </w:numPr>
        <w:spacing w:line="570" w:lineRule="exact"/>
        <w:ind w:firstLine="614" w:firstLineChars="192"/>
        <w:rPr>
          <w:rFonts w:ascii="宋体" w:hAnsi="宋体" w:eastAsia="方正楷体简体" w:cs="宋体"/>
          <w:color w:val="333333"/>
          <w:kern w:val="0"/>
          <w:szCs w:val="28"/>
        </w:rPr>
      </w:pPr>
      <w:r>
        <w:rPr>
          <w:rFonts w:hint="eastAsia" w:ascii="宋体" w:hAnsi="宋体" w:eastAsia="方正楷体简体" w:cs="宋体"/>
          <w:color w:val="333333"/>
          <w:kern w:val="0"/>
          <w:szCs w:val="28"/>
        </w:rPr>
        <w:t>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总体目标，通过提高工作标准、优化审批流程、压缩审批时间，实现暖心服务，打造最优质、最高效、最规范、最便捷的“审批金牌保姆”服务品牌。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s="方正仿宋_GBK"/>
          <w:kern w:val="0"/>
          <w:szCs w:val="28"/>
        </w:rPr>
      </w:pPr>
      <w:r>
        <w:rPr>
          <w:rFonts w:hint="eastAsia" w:ascii="宋体" w:hAnsi="宋体" w:eastAsia="方正仿宋简体"/>
          <w:bCs/>
          <w:szCs w:val="32"/>
        </w:rPr>
        <w:t>阶段性目标：按时高效、高质量完成业务。</w:t>
      </w:r>
    </w:p>
    <w:p>
      <w:pPr>
        <w:snapToGrid w:val="0"/>
        <w:spacing w:line="570" w:lineRule="exact"/>
        <w:ind w:firstLine="640" w:firstLineChars="200"/>
        <w:rPr>
          <w:rFonts w:ascii="宋体" w:hAnsi="宋体" w:eastAsia="方正黑体简体"/>
          <w:szCs w:val="28"/>
        </w:rPr>
      </w:pPr>
      <w:r>
        <w:rPr>
          <w:rFonts w:hint="eastAsia" w:ascii="宋体" w:hAnsi="宋体" w:eastAsia="方正黑体简体"/>
          <w:szCs w:val="28"/>
        </w:rPr>
        <w:t>二、绩效评价工作开展情况</w:t>
      </w:r>
    </w:p>
    <w:p>
      <w:pPr>
        <w:spacing w:line="570" w:lineRule="exact"/>
        <w:ind w:firstLine="680" w:firstLineChars="200"/>
        <w:rPr>
          <w:rFonts w:ascii="宋体" w:hAnsi="宋体" w:eastAsia="方正楷体简体"/>
          <w:spacing w:val="10"/>
          <w:szCs w:val="28"/>
        </w:rPr>
      </w:pPr>
      <w:r>
        <w:rPr>
          <w:rFonts w:hint="eastAsia" w:ascii="宋体" w:hAnsi="宋体" w:eastAsia="方正楷体简体"/>
          <w:spacing w:val="10"/>
          <w:szCs w:val="28"/>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绩效评价目的：提高审批办事效率、提高审批服务水平、提高人员专业素质、加强信息公开和宣传引导，充分发挥综合协调和后勤保障作用。以保障我局正常运转，提高审批效率。项目符合遵办字</w:t>
      </w:r>
      <w:r>
        <w:rPr>
          <w:rFonts w:hint="eastAsia" w:ascii="宋体" w:hAnsi="宋体" w:eastAsia="方正仿宋简体" w:cs="宋体"/>
          <w:color w:val="333333"/>
          <w:kern w:val="0"/>
          <w:szCs w:val="28"/>
          <w:lang w:val="en-US" w:eastAsia="zh-CN"/>
        </w:rPr>
        <w:t>〔2017〕</w:t>
      </w:r>
      <w:r>
        <w:rPr>
          <w:rFonts w:hint="eastAsia" w:ascii="宋体" w:hAnsi="宋体" w:eastAsia="方正仿宋简体"/>
          <w:bCs/>
          <w:szCs w:val="32"/>
        </w:rPr>
        <w:t>22号关于印发《遵化市行政审批局组建工作实施方案》的文件精神，以实现暖心服务，打造最优质、最高效、最规范、最便捷的审批金牌保姆”服务品牌。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绩效评价对象：综合管理经费。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绩效评价范围：用于审批局机关、业务科室及公共资源交易中心的日常办公、业务运转。包括办公、邮电等日常所需，按月申报，按实际发生支付综合执行管理经费。</w:t>
      </w:r>
    </w:p>
    <w:p>
      <w:pPr>
        <w:spacing w:line="570" w:lineRule="exact"/>
        <w:ind w:firstLine="640" w:firstLineChars="200"/>
        <w:rPr>
          <w:rFonts w:ascii="宋体" w:hAnsi="宋体" w:eastAsia="方正楷体简体" w:cs="宋体"/>
          <w:color w:val="333333"/>
          <w:kern w:val="0"/>
          <w:szCs w:val="28"/>
        </w:rPr>
      </w:pPr>
      <w:r>
        <w:rPr>
          <w:rFonts w:hint="eastAsia" w:ascii="宋体" w:hAnsi="宋体" w:eastAsia="方正楷体简体" w:cs="宋体"/>
          <w:color w:val="333333"/>
          <w:kern w:val="0"/>
          <w:szCs w:val="28"/>
        </w:rPr>
        <w:t>（二）绩效评价原则、评价指标体系、评价方法及标准。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1</w:t>
      </w:r>
      <w:r>
        <w:rPr>
          <w:rFonts w:hint="eastAsia" w:ascii="宋体" w:hAnsi="宋体" w:eastAsia="方正仿宋简体"/>
          <w:bCs/>
          <w:szCs w:val="32"/>
          <w:lang w:val="en-US" w:eastAsia="zh-CN"/>
        </w:rPr>
        <w:t>.</w:t>
      </w:r>
      <w:r>
        <w:rPr>
          <w:rFonts w:hint="eastAsia" w:ascii="宋体" w:hAnsi="宋体" w:eastAsia="方正仿宋简体"/>
          <w:bCs/>
          <w:szCs w:val="32"/>
        </w:rPr>
        <w:t>绩效评价原则：绩效评价工作遵循全面覆盖、程序简便、客观公正、公开透明的原则。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2</w:t>
      </w:r>
      <w:r>
        <w:rPr>
          <w:rFonts w:hint="eastAsia" w:ascii="宋体" w:hAnsi="宋体" w:eastAsia="方正仿宋简体"/>
          <w:bCs/>
          <w:szCs w:val="32"/>
          <w:lang w:val="en-US" w:eastAsia="zh-CN"/>
        </w:rPr>
        <w:t>.</w:t>
      </w:r>
      <w:r>
        <w:rPr>
          <w:rFonts w:hint="eastAsia" w:ascii="宋体" w:hAnsi="宋体" w:eastAsia="方正仿宋简体"/>
          <w:bCs/>
          <w:szCs w:val="32"/>
        </w:rPr>
        <w:t>评价指标体系</w:t>
      </w:r>
    </w:p>
    <w:p>
      <w:pPr>
        <w:spacing w:line="570" w:lineRule="exact"/>
        <w:ind w:firstLine="614" w:firstLineChars="192"/>
        <w:rPr>
          <w:rFonts w:ascii="宋体" w:hAnsi="宋体" w:eastAsia="方正仿宋简体" w:cs="宋体"/>
          <w:color w:val="333333"/>
          <w:kern w:val="0"/>
          <w:szCs w:val="28"/>
        </w:rPr>
      </w:pPr>
    </w:p>
    <w:tbl>
      <w:tblPr>
        <w:tblStyle w:val="4"/>
        <w:tblW w:w="9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734"/>
        <w:gridCol w:w="1009"/>
        <w:gridCol w:w="2579"/>
        <w:gridCol w:w="3040"/>
        <w:gridCol w:w="576"/>
        <w:gridCol w:w="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38"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一级指标</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二级指标</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三级指标</w:t>
            </w:r>
          </w:p>
        </w:tc>
        <w:tc>
          <w:tcPr>
            <w:tcW w:w="257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指标解释</w:t>
            </w:r>
          </w:p>
        </w:tc>
        <w:tc>
          <w:tcPr>
            <w:tcW w:w="304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评价标准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标准分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投入</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项目目标</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目标内容</w:t>
            </w:r>
          </w:p>
        </w:tc>
        <w:tc>
          <w:tcPr>
            <w:tcW w:w="2579"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目标是否明确、细化、量化</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目标明确（2分），目标细化（2分），目标量化（1分）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决策过程</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决策依据</w:t>
            </w:r>
          </w:p>
        </w:tc>
        <w:tc>
          <w:tcPr>
            <w:tcW w:w="2579"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项目是否符合经济社会发展规划和部门年度工作计划；是否根据需要制定中长期实施规划</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项目符合经济社会发展规划和部门年度工作计划（5分），根据需要制定中长期实施规划（5分）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决策程序</w:t>
            </w:r>
          </w:p>
        </w:tc>
        <w:tc>
          <w:tcPr>
            <w:tcW w:w="2579"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项目是否符合申报条件；申报、批复程序是否符合相关管理办法；项目调整是否履行相应手续</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项目符合申报条件（2分），申报、批复程序符合相关管理办法（2分），项目实施调整履行相应手续（1分）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过程</w:t>
            </w: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资金管理</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资金使用</w:t>
            </w:r>
          </w:p>
        </w:tc>
        <w:tc>
          <w:tcPr>
            <w:tcW w:w="2579"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是否存在支出依据不合规、虚列项目支出的情况；是否存在截留、挤占、挪用项目资金情况；是否存在超标准开支情况</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虚列（套取）扣4分，支出依据不合规扣1分，截留、挤占、挪用扣2分，超标准开支扣1分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财务管理</w:t>
            </w:r>
          </w:p>
        </w:tc>
        <w:tc>
          <w:tcPr>
            <w:tcW w:w="2579"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资金管理、费用支出等制度是否健全，是否严格执行；会计核算是否规范</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财务制度健全（2分），严格执行制度（1分），会计核算规范（1分）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组织实施</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组织机构</w:t>
            </w:r>
          </w:p>
        </w:tc>
        <w:tc>
          <w:tcPr>
            <w:tcW w:w="2579"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机构是否健全、分工是否明确</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机构健全、分工明确（4分）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管理制度</w:t>
            </w:r>
          </w:p>
        </w:tc>
        <w:tc>
          <w:tcPr>
            <w:tcW w:w="2579"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是否建立健全项目管理制度；是否严格执行相关项目管理制度</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建立健全项目管理制度（2分）；严格执行相关项目管理制度(1分）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738" w:type="dxa"/>
            <w:vMerge w:val="restart"/>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产出</w:t>
            </w: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数量指标</w:t>
            </w:r>
          </w:p>
        </w:tc>
        <w:tc>
          <w:tcPr>
            <w:tcW w:w="1009"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综合业务管理工作完成率</w:t>
            </w:r>
          </w:p>
        </w:tc>
        <w:tc>
          <w:tcPr>
            <w:tcW w:w="2579" w:type="dxa"/>
            <w:noWrap/>
            <w:vAlign w:val="center"/>
          </w:tcPr>
          <w:p>
            <w:pPr>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各项综合业务工作任务完成情况占各项综合业务工作任务的比例</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完成100%得10分，完成90%以上得8分，完成70%以上得6分，完成70%以下得4分。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质量指标</w:t>
            </w:r>
          </w:p>
        </w:tc>
        <w:tc>
          <w:tcPr>
            <w:tcW w:w="1009"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全年工作任务达标率</w:t>
            </w:r>
          </w:p>
        </w:tc>
        <w:tc>
          <w:tcPr>
            <w:tcW w:w="2579"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全年工作任务达到预期质量目标情况</w:t>
            </w:r>
          </w:p>
        </w:tc>
        <w:tc>
          <w:tcPr>
            <w:tcW w:w="3040"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完成100%得10分，完成80%以上得8分，完成80%以上得6分，完成80%以下得4分。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时效指标</w:t>
            </w:r>
          </w:p>
        </w:tc>
        <w:tc>
          <w:tcPr>
            <w:tcW w:w="1009"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报销时效性</w:t>
            </w:r>
          </w:p>
        </w:tc>
        <w:tc>
          <w:tcPr>
            <w:tcW w:w="2579"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按照审批程序及时报销</w:t>
            </w:r>
          </w:p>
        </w:tc>
        <w:tc>
          <w:tcPr>
            <w:tcW w:w="3040"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成本指标</w:t>
            </w:r>
          </w:p>
        </w:tc>
        <w:tc>
          <w:tcPr>
            <w:tcW w:w="1009"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2579"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3040"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738" w:type="dxa"/>
            <w:vMerge w:val="restart"/>
            <w:noWrap/>
            <w:vAlign w:val="center"/>
          </w:tcPr>
          <w:p>
            <w:pPr>
              <w:widowControl/>
              <w:spacing w:line="240" w:lineRule="exact"/>
              <w:rPr>
                <w:rFonts w:ascii="宋体" w:hAnsi="宋体" w:eastAsia="方正仿宋简体"/>
                <w:kern w:val="0"/>
                <w:sz w:val="21"/>
                <w:szCs w:val="21"/>
              </w:rPr>
            </w:pPr>
          </w:p>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效果</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可持续影响指标</w:t>
            </w:r>
          </w:p>
        </w:tc>
        <w:tc>
          <w:tcPr>
            <w:tcW w:w="1009" w:type="dxa"/>
            <w:noWrap/>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提高发改领域服务保障能力</w:t>
            </w:r>
          </w:p>
        </w:tc>
        <w:tc>
          <w:tcPr>
            <w:tcW w:w="2579" w:type="dxa"/>
            <w:noWrap/>
          </w:tcPr>
          <w:p>
            <w:pPr>
              <w:spacing w:line="240" w:lineRule="exact"/>
              <w:rPr>
                <w:rFonts w:ascii="宋体" w:hAnsi="宋体" w:eastAsia="方正仿宋简体"/>
                <w:kern w:val="0"/>
                <w:sz w:val="21"/>
                <w:szCs w:val="21"/>
              </w:rPr>
            </w:pPr>
          </w:p>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有利于业务开展，提高服务保障能力</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经济效益指标</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节约项目开支</w:t>
            </w:r>
          </w:p>
        </w:tc>
        <w:tc>
          <w:tcPr>
            <w:tcW w:w="2579"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践行厉行节约反对浪费制度体系建设</w:t>
            </w:r>
          </w:p>
          <w:p>
            <w:pPr>
              <w:widowControl/>
              <w:spacing w:line="240" w:lineRule="exact"/>
              <w:rPr>
                <w:rFonts w:ascii="宋体" w:hAnsi="宋体" w:eastAsia="方正仿宋简体"/>
                <w:kern w:val="0"/>
                <w:sz w:val="21"/>
                <w:szCs w:val="21"/>
              </w:rPr>
            </w:pPr>
          </w:p>
        </w:tc>
        <w:tc>
          <w:tcPr>
            <w:tcW w:w="3040"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社会效益指标</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业务保障率</w:t>
            </w:r>
          </w:p>
        </w:tc>
        <w:tc>
          <w:tcPr>
            <w:tcW w:w="2579" w:type="dxa"/>
            <w:noWrap/>
            <w:vAlign w:val="bottom"/>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有效保障相关业务、工作等开展的业务次数占总业务量的比率</w:t>
            </w:r>
          </w:p>
          <w:p>
            <w:pPr>
              <w:widowControl/>
              <w:spacing w:line="240" w:lineRule="exact"/>
              <w:rPr>
                <w:rFonts w:ascii="宋体" w:hAnsi="宋体" w:eastAsia="方正仿宋简体"/>
                <w:kern w:val="0"/>
                <w:sz w:val="21"/>
                <w:szCs w:val="21"/>
              </w:rPr>
            </w:pPr>
          </w:p>
        </w:tc>
        <w:tc>
          <w:tcPr>
            <w:tcW w:w="3040"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生态效益指标</w:t>
            </w:r>
          </w:p>
        </w:tc>
        <w:tc>
          <w:tcPr>
            <w:tcW w:w="1009"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工作环境改善程度</w:t>
            </w:r>
          </w:p>
        </w:tc>
        <w:tc>
          <w:tcPr>
            <w:tcW w:w="2579"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对工作环境的改善程度</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18"/>
                <w:szCs w:val="18"/>
              </w:rPr>
            </w:pPr>
            <w:r>
              <w:rPr>
                <w:rFonts w:hint="eastAsia" w:ascii="宋体" w:hAnsi="宋体" w:eastAsia="方正仿宋简体"/>
                <w:kern w:val="0"/>
                <w:sz w:val="18"/>
                <w:szCs w:val="18"/>
              </w:rPr>
              <w:t>服务对象满意度指标</w:t>
            </w:r>
          </w:p>
        </w:tc>
        <w:tc>
          <w:tcPr>
            <w:tcW w:w="1009"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受益群体满意度</w:t>
            </w:r>
          </w:p>
        </w:tc>
        <w:tc>
          <w:tcPr>
            <w:tcW w:w="2579"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受益群体调查中，满意和较满意的人数占全部调查人数的比率</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3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总分</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257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304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r>
    </w:tbl>
    <w:p>
      <w:pPr>
        <w:spacing w:line="570" w:lineRule="exact"/>
        <w:rPr>
          <w:rFonts w:ascii="宋体" w:hAnsi="宋体" w:eastAsia="方正仿宋简体"/>
          <w:spacing w:val="10"/>
          <w:szCs w:val="28"/>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s="宋体"/>
          <w:color w:val="333333"/>
          <w:kern w:val="0"/>
          <w:szCs w:val="28"/>
        </w:rPr>
      </w:pPr>
      <w:r>
        <w:rPr>
          <w:rFonts w:hint="eastAsia" w:ascii="宋体" w:hAnsi="宋体" w:eastAsia="方正仿宋简体"/>
          <w:bCs/>
          <w:szCs w:val="32"/>
        </w:rPr>
        <w:t>3</w:t>
      </w:r>
      <w:r>
        <w:rPr>
          <w:rFonts w:hint="eastAsia" w:ascii="宋体" w:hAnsi="宋体" w:eastAsia="方正仿宋简体"/>
          <w:bCs/>
          <w:szCs w:val="32"/>
          <w:lang w:val="en-US" w:eastAsia="zh-CN"/>
        </w:rPr>
        <w:t>.</w:t>
      </w:r>
      <w:r>
        <w:rPr>
          <w:rFonts w:hint="eastAsia" w:ascii="宋体" w:hAnsi="宋体" w:eastAsia="方正仿宋简体"/>
          <w:bCs/>
          <w:szCs w:val="32"/>
        </w:rPr>
        <w:t>绩效评价方法：采用实地检查、实际操作等多种评价方法相结合的综合评价。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4</w:t>
      </w:r>
      <w:r>
        <w:rPr>
          <w:rFonts w:hint="eastAsia" w:ascii="宋体" w:hAnsi="宋体" w:eastAsia="方正仿宋简体"/>
          <w:bCs/>
          <w:szCs w:val="32"/>
          <w:lang w:val="en-US" w:eastAsia="zh-CN"/>
        </w:rPr>
        <w:t>.</w:t>
      </w:r>
      <w:r>
        <w:rPr>
          <w:rFonts w:hint="eastAsia" w:ascii="宋体" w:hAnsi="宋体" w:eastAsia="方正仿宋简体"/>
          <w:bCs/>
          <w:szCs w:val="32"/>
        </w:rPr>
        <w:t>评价标准：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spacing w:line="560" w:lineRule="exact"/>
        <w:ind w:firstLine="320" w:firstLineChars="100"/>
        <w:rPr>
          <w:rFonts w:ascii="宋体" w:hAnsi="宋体" w:eastAsia="方正楷体简体"/>
          <w:szCs w:val="32"/>
        </w:rPr>
      </w:pPr>
      <w:r>
        <w:rPr>
          <w:rFonts w:hint="eastAsia" w:ascii="宋体" w:hAnsi="宋体" w:eastAsia="方正楷体简体"/>
          <w:szCs w:val="32"/>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绩效评价人员查看了相关项目资料，了解资金拨付、使用情况及管理工作。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1.对此项目收集相关资料。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2.实地调研并了解项目实际运行情况。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3.根据调研结果和收集资料进行综合分析，综合评定绩效等级，科学撰写评价报告。</w:t>
      </w:r>
    </w:p>
    <w:p>
      <w:pPr>
        <w:spacing w:line="570" w:lineRule="exact"/>
        <w:ind w:firstLine="640" w:firstLineChars="200"/>
        <w:rPr>
          <w:rFonts w:ascii="宋体" w:hAnsi="宋体" w:eastAsia="方正黑体简体" w:cs="宋体"/>
          <w:color w:val="333333"/>
          <w:kern w:val="0"/>
          <w:szCs w:val="32"/>
        </w:rPr>
      </w:pPr>
      <w:r>
        <w:rPr>
          <w:rFonts w:hint="eastAsia" w:ascii="宋体" w:hAnsi="宋体" w:eastAsia="方正黑体简体" w:cs="宋体"/>
          <w:color w:val="333333"/>
          <w:kern w:val="0"/>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在市委、市政府的坚强领导下，充分发挥综合协调和后勤保障作用，以保障我局的正常运转，提高审批效率。实现暖心服务，打造最优质、最高效、最规范、最便捷的审批金牌保姆”服务品牌。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评价结论：综合评分项目绩效指标得分为100，绩效评分为优秀。</w:t>
      </w:r>
    </w:p>
    <w:p>
      <w:pPr>
        <w:spacing w:line="570" w:lineRule="exact"/>
        <w:ind w:firstLine="640" w:firstLineChars="200"/>
        <w:rPr>
          <w:rFonts w:ascii="宋体" w:hAnsi="宋体" w:eastAsia="方正黑体简体" w:cs="宋体"/>
          <w:color w:val="333333"/>
          <w:kern w:val="0"/>
          <w:szCs w:val="28"/>
        </w:rPr>
      </w:pPr>
      <w:r>
        <w:rPr>
          <w:rFonts w:hint="eastAsia" w:ascii="宋体" w:hAnsi="宋体" w:eastAsia="方正黑体简体" w:cs="宋体"/>
          <w:color w:val="333333"/>
          <w:kern w:val="0"/>
          <w:szCs w:val="28"/>
        </w:rPr>
        <w:t>四、绩效评价指标分析</w:t>
      </w:r>
    </w:p>
    <w:p>
      <w:pPr>
        <w:spacing w:line="570" w:lineRule="exact"/>
        <w:ind w:firstLine="614" w:firstLineChars="192"/>
        <w:rPr>
          <w:rFonts w:ascii="宋体" w:hAnsi="宋体" w:eastAsia="方正楷体简体" w:cs="宋体"/>
          <w:color w:val="333333"/>
          <w:kern w:val="0"/>
          <w:szCs w:val="28"/>
        </w:rPr>
      </w:pPr>
      <w:r>
        <w:rPr>
          <w:rFonts w:hint="eastAsia" w:ascii="宋体" w:hAnsi="宋体" w:eastAsia="方正楷体简体" w:cs="宋体"/>
          <w:color w:val="333333"/>
          <w:kern w:val="0"/>
          <w:szCs w:val="28"/>
        </w:rPr>
        <w:t>（一）项目决策情况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1</w:t>
      </w:r>
      <w:r>
        <w:rPr>
          <w:rFonts w:hint="eastAsia" w:ascii="宋体" w:hAnsi="宋体" w:eastAsia="方正仿宋简体"/>
          <w:bCs/>
          <w:szCs w:val="32"/>
          <w:lang w:val="en-US" w:eastAsia="zh-CN"/>
        </w:rPr>
        <w:t>.</w:t>
      </w:r>
      <w:r>
        <w:rPr>
          <w:rFonts w:hint="eastAsia" w:ascii="宋体" w:hAnsi="宋体" w:eastAsia="方正仿宋简体"/>
          <w:bCs/>
          <w:szCs w:val="32"/>
        </w:rPr>
        <w:t>项目目标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2</w:t>
      </w:r>
      <w:r>
        <w:rPr>
          <w:rFonts w:hint="eastAsia" w:ascii="宋体" w:hAnsi="宋体" w:eastAsia="方正仿宋简体"/>
          <w:bCs/>
          <w:szCs w:val="32"/>
          <w:lang w:val="en-US" w:eastAsia="zh-CN"/>
        </w:rPr>
        <w:t>.</w:t>
      </w:r>
      <w:r>
        <w:rPr>
          <w:rFonts w:hint="eastAsia" w:ascii="宋体" w:hAnsi="宋体" w:eastAsia="方正仿宋简体"/>
          <w:bCs/>
          <w:szCs w:val="32"/>
        </w:rPr>
        <w:t>决策过程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决策依据，是指项目是否符合经济发展规划和部门年度工作计划，是否根据需要制定中长期实施规划。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项目符合经济发展规划和部门年度工作计划，根据需要制定中长期实施规划。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决策程序，是指项目是否符合申报条件，申报、批复程序是否符合相关管理办法，项目调整是否履行相应手续。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项目符合申报条件，申报批复程序符合相关管理办法，项目调整履行相应手续。</w:t>
      </w:r>
    </w:p>
    <w:p>
      <w:pPr>
        <w:spacing w:line="570" w:lineRule="exact"/>
        <w:ind w:firstLine="640" w:firstLineChars="200"/>
        <w:rPr>
          <w:rFonts w:ascii="宋体" w:hAnsi="宋体" w:eastAsia="方正楷体简体" w:cs="宋体"/>
          <w:color w:val="333333"/>
          <w:kern w:val="0"/>
          <w:szCs w:val="28"/>
        </w:rPr>
      </w:pPr>
      <w:r>
        <w:rPr>
          <w:rFonts w:hint="eastAsia" w:ascii="宋体" w:hAnsi="宋体" w:eastAsia="方正楷体简体" w:cs="宋体"/>
          <w:color w:val="333333"/>
          <w:kern w:val="0"/>
          <w:szCs w:val="28"/>
        </w:rPr>
        <w:t>（二）项目过程情况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1</w:t>
      </w:r>
      <w:r>
        <w:rPr>
          <w:rFonts w:hint="eastAsia" w:ascii="宋体" w:hAnsi="宋体" w:eastAsia="方正仿宋简体"/>
          <w:bCs/>
          <w:szCs w:val="32"/>
          <w:lang w:val="en-US" w:eastAsia="zh-CN"/>
        </w:rPr>
        <w:t>.</w:t>
      </w:r>
      <w:r>
        <w:rPr>
          <w:rFonts w:hint="eastAsia" w:ascii="宋体" w:hAnsi="宋体" w:eastAsia="方正仿宋简体"/>
          <w:bCs/>
          <w:szCs w:val="32"/>
        </w:rPr>
        <w:t>资金管理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2</w:t>
      </w:r>
      <w:r>
        <w:rPr>
          <w:rFonts w:hint="eastAsia" w:ascii="宋体" w:hAnsi="宋体" w:eastAsia="方正仿宋简体"/>
          <w:bCs/>
          <w:szCs w:val="32"/>
          <w:lang w:val="en-US" w:eastAsia="zh-CN"/>
        </w:rPr>
        <w:t>.</w:t>
      </w:r>
      <w:r>
        <w:rPr>
          <w:rFonts w:hint="eastAsia" w:ascii="宋体" w:hAnsi="宋体" w:eastAsia="方正仿宋简体"/>
          <w:bCs/>
          <w:szCs w:val="32"/>
        </w:rPr>
        <w:t>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3</w:t>
      </w:r>
      <w:r>
        <w:rPr>
          <w:rFonts w:hint="eastAsia" w:ascii="宋体" w:hAnsi="宋体" w:eastAsia="方正仿宋简体"/>
          <w:bCs/>
          <w:szCs w:val="32"/>
          <w:lang w:val="en-US" w:eastAsia="zh-CN"/>
        </w:rPr>
        <w:t>.</w:t>
      </w:r>
      <w:r>
        <w:rPr>
          <w:rFonts w:hint="eastAsia" w:ascii="宋体" w:hAnsi="宋体" w:eastAsia="方正仿宋简体"/>
          <w:bCs/>
          <w:szCs w:val="32"/>
        </w:rPr>
        <w:t>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szCs w:val="32"/>
        </w:rPr>
      </w:pPr>
      <w:r>
        <w:rPr>
          <w:rFonts w:hint="eastAsia" w:ascii="宋体" w:hAnsi="宋体" w:eastAsia="方正仿宋简体"/>
          <w:bCs/>
          <w:szCs w:val="32"/>
        </w:rPr>
        <w:t>4</w:t>
      </w:r>
      <w:r>
        <w:rPr>
          <w:rFonts w:hint="eastAsia" w:ascii="宋体" w:hAnsi="宋体" w:eastAsia="方正仿宋简体"/>
          <w:bCs/>
          <w:szCs w:val="32"/>
          <w:lang w:val="en-US" w:eastAsia="zh-CN"/>
        </w:rPr>
        <w:t>.</w:t>
      </w:r>
      <w:r>
        <w:rPr>
          <w:rFonts w:hint="eastAsia" w:ascii="宋体" w:hAnsi="宋体" w:eastAsia="方正仿宋简体"/>
          <w:bCs/>
          <w:szCs w:val="32"/>
        </w:rPr>
        <w:t>管理制度，是指是否建立建全项目管理制度；是否严格执行相关项目管理制度。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szCs w:val="32"/>
        </w:rPr>
      </w:pPr>
      <w:r>
        <w:rPr>
          <w:rFonts w:hint="eastAsia" w:ascii="宋体" w:hAnsi="宋体" w:eastAsia="方正仿宋简体"/>
          <w:bCs/>
          <w:szCs w:val="32"/>
        </w:rPr>
        <w:t>管理制度完善，建立健全项目管理制度,严格执行相关项目管理制度.</w:t>
      </w:r>
    </w:p>
    <w:p>
      <w:pPr>
        <w:spacing w:line="570" w:lineRule="exact"/>
        <w:ind w:firstLine="640" w:firstLineChars="200"/>
        <w:rPr>
          <w:rFonts w:ascii="宋体" w:hAnsi="宋体" w:eastAsia="方正楷体简体" w:cs="宋体"/>
          <w:color w:val="333333"/>
          <w:kern w:val="0"/>
          <w:szCs w:val="28"/>
        </w:rPr>
      </w:pPr>
      <w:r>
        <w:rPr>
          <w:rFonts w:hint="eastAsia" w:ascii="宋体" w:hAnsi="宋体" w:eastAsia="方正楷体简体" w:cs="宋体"/>
          <w:color w:val="333333"/>
          <w:kern w:val="0"/>
          <w:szCs w:val="28"/>
        </w:rPr>
        <w:t>（三）项目产出情况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1</w:t>
      </w:r>
      <w:r>
        <w:rPr>
          <w:rFonts w:hint="eastAsia" w:ascii="宋体" w:hAnsi="宋体" w:eastAsia="方正仿宋简体"/>
          <w:bCs/>
          <w:szCs w:val="32"/>
          <w:lang w:val="en-US" w:eastAsia="zh-CN"/>
        </w:rPr>
        <w:t>.</w:t>
      </w:r>
      <w:r>
        <w:rPr>
          <w:rFonts w:hint="eastAsia" w:ascii="宋体" w:hAnsi="宋体" w:eastAsia="方正仿宋简体"/>
          <w:bCs/>
          <w:szCs w:val="32"/>
        </w:rPr>
        <w:t>数量指标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综合业务管理工作完成率，各项综合业务工作任务完成情况占各项综合业务工作任务的比例，达到优良水平。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2</w:t>
      </w:r>
      <w:r>
        <w:rPr>
          <w:rFonts w:hint="eastAsia" w:ascii="宋体" w:hAnsi="宋体" w:eastAsia="方正仿宋简体"/>
          <w:bCs/>
          <w:szCs w:val="32"/>
          <w:lang w:val="en-US" w:eastAsia="zh-CN"/>
        </w:rPr>
        <w:t>.</w:t>
      </w:r>
      <w:r>
        <w:rPr>
          <w:rFonts w:hint="eastAsia" w:ascii="宋体" w:hAnsi="宋体" w:eastAsia="方正仿宋简体"/>
          <w:bCs/>
          <w:szCs w:val="32"/>
        </w:rPr>
        <w:t>质量指标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全年工作任务达标率，全年工作任务达到预期质量目标情况，达到优良水平。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3</w:t>
      </w:r>
      <w:r>
        <w:rPr>
          <w:rFonts w:hint="eastAsia" w:ascii="宋体" w:hAnsi="宋体" w:eastAsia="方正仿宋简体"/>
          <w:bCs/>
          <w:szCs w:val="32"/>
          <w:lang w:val="en-US" w:eastAsia="zh-CN"/>
        </w:rPr>
        <w:t>.</w:t>
      </w:r>
      <w:r>
        <w:rPr>
          <w:rFonts w:hint="eastAsia" w:ascii="宋体" w:hAnsi="宋体" w:eastAsia="方正仿宋简体"/>
          <w:bCs/>
          <w:szCs w:val="32"/>
        </w:rPr>
        <w:t>时效指标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报销时效性，按照审批程序及时报销，达到优良水平。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4</w:t>
      </w:r>
      <w:r>
        <w:rPr>
          <w:rFonts w:hint="eastAsia" w:ascii="宋体" w:hAnsi="宋体" w:eastAsia="方正仿宋简体"/>
          <w:bCs/>
          <w:szCs w:val="32"/>
          <w:lang w:val="en-US" w:eastAsia="zh-CN"/>
        </w:rPr>
        <w:t>.</w:t>
      </w:r>
      <w:r>
        <w:rPr>
          <w:rFonts w:hint="eastAsia" w:ascii="宋体" w:hAnsi="宋体" w:eastAsia="方正仿宋简体"/>
          <w:bCs/>
          <w:szCs w:val="32"/>
        </w:rPr>
        <w:t>成本指标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Cs w:val="32"/>
        </w:rPr>
      </w:pPr>
      <w:r>
        <w:rPr>
          <w:rFonts w:hint="eastAsia" w:ascii="宋体" w:hAnsi="宋体" w:eastAsia="方正仿宋简体"/>
          <w:bCs/>
          <w:szCs w:val="32"/>
        </w:rPr>
        <w:t>预算资金完成率，预算资金完成率达到财政部门要求，达到优良水平。</w:t>
      </w:r>
    </w:p>
    <w:p>
      <w:pPr>
        <w:spacing w:line="570" w:lineRule="exact"/>
        <w:ind w:firstLine="640" w:firstLineChars="200"/>
        <w:rPr>
          <w:rFonts w:ascii="宋体" w:hAnsi="宋体" w:eastAsia="方正楷体简体" w:cs="宋体"/>
          <w:color w:val="333333"/>
          <w:kern w:val="0"/>
          <w:szCs w:val="28"/>
        </w:rPr>
      </w:pPr>
      <w:r>
        <w:rPr>
          <w:rFonts w:hint="eastAsia" w:ascii="宋体" w:hAnsi="宋体" w:eastAsia="方正楷体简体" w:cs="宋体"/>
          <w:color w:val="333333"/>
          <w:kern w:val="0"/>
          <w:szCs w:val="28"/>
        </w:rPr>
        <w:t>（四）项目效益情况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szCs w:val="32"/>
        </w:rPr>
      </w:pPr>
      <w:r>
        <w:rPr>
          <w:rFonts w:hint="eastAsia" w:ascii="宋体" w:hAnsi="宋体" w:eastAsia="方正仿宋简体"/>
          <w:bCs/>
          <w:szCs w:val="32"/>
        </w:rPr>
        <w:t>1</w:t>
      </w:r>
      <w:r>
        <w:rPr>
          <w:rFonts w:hint="eastAsia" w:ascii="宋体" w:hAnsi="宋体" w:eastAsia="方正仿宋简体"/>
          <w:bCs/>
          <w:szCs w:val="32"/>
          <w:lang w:val="en-US" w:eastAsia="zh-CN"/>
        </w:rPr>
        <w:t>.</w:t>
      </w:r>
      <w:r>
        <w:rPr>
          <w:rFonts w:hint="eastAsia" w:ascii="宋体" w:hAnsi="宋体" w:eastAsia="方正仿宋简体"/>
          <w:bCs/>
          <w:szCs w:val="32"/>
        </w:rPr>
        <w:t>社会效益指标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szCs w:val="32"/>
        </w:rPr>
      </w:pPr>
      <w:r>
        <w:rPr>
          <w:rFonts w:hint="eastAsia" w:ascii="宋体" w:hAnsi="宋体" w:eastAsia="方正仿宋简体"/>
          <w:bCs/>
          <w:szCs w:val="32"/>
        </w:rPr>
        <w:t xml:space="preserve">业务保障率，有效保障相关业务、工作等开展的业务次数占总业务量的比率，达到优良水平。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szCs w:val="32"/>
        </w:rPr>
      </w:pPr>
      <w:r>
        <w:rPr>
          <w:rFonts w:hint="eastAsia" w:ascii="宋体" w:hAnsi="宋体" w:eastAsia="方正仿宋简体"/>
          <w:bCs/>
          <w:szCs w:val="32"/>
        </w:rPr>
        <w:t>2</w:t>
      </w:r>
      <w:r>
        <w:rPr>
          <w:rFonts w:hint="eastAsia" w:ascii="宋体" w:hAnsi="宋体" w:eastAsia="方正仿宋简体"/>
          <w:bCs/>
          <w:szCs w:val="32"/>
          <w:lang w:val="en-US" w:eastAsia="zh-CN"/>
        </w:rPr>
        <w:t>.</w:t>
      </w:r>
      <w:r>
        <w:rPr>
          <w:rFonts w:hint="eastAsia" w:ascii="宋体" w:hAnsi="宋体" w:eastAsia="方正仿宋简体"/>
          <w:bCs/>
          <w:szCs w:val="32"/>
        </w:rPr>
        <w:t>可</w:t>
      </w:r>
      <w:r>
        <w:rPr>
          <w:rFonts w:hint="eastAsia" w:ascii="宋体" w:hAnsi="宋体" w:eastAsia="方正仿宋简体"/>
          <w:kern w:val="0"/>
          <w:szCs w:val="32"/>
        </w:rPr>
        <w:t>持续影响指标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szCs w:val="32"/>
        </w:rPr>
      </w:pPr>
      <w:r>
        <w:rPr>
          <w:rFonts w:hint="eastAsia" w:ascii="宋体" w:hAnsi="宋体" w:eastAsia="方正仿宋简体"/>
          <w:bCs/>
          <w:szCs w:val="32"/>
        </w:rPr>
        <w:t>提高发改领域服务保障能力，有利于业务开展，提高服务保障能力，达到优良水平。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szCs w:val="32"/>
        </w:rPr>
      </w:pPr>
      <w:r>
        <w:rPr>
          <w:rFonts w:hint="eastAsia" w:ascii="宋体" w:hAnsi="宋体" w:eastAsia="方正仿宋简体"/>
          <w:bCs/>
          <w:szCs w:val="32"/>
        </w:rPr>
        <w:t>3</w:t>
      </w:r>
      <w:r>
        <w:rPr>
          <w:rFonts w:hint="eastAsia" w:ascii="宋体" w:hAnsi="宋体" w:eastAsia="方正仿宋简体"/>
          <w:bCs/>
          <w:szCs w:val="32"/>
          <w:lang w:val="en-US" w:eastAsia="zh-CN"/>
        </w:rPr>
        <w:t>.</w:t>
      </w:r>
      <w:r>
        <w:rPr>
          <w:rFonts w:hint="eastAsia" w:ascii="宋体" w:hAnsi="宋体" w:eastAsia="方正仿宋简体"/>
          <w:bCs/>
          <w:szCs w:val="32"/>
        </w:rPr>
        <w:t>经济效益指标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lang w:val="zh-CN"/>
        </w:rPr>
      </w:pPr>
      <w:r>
        <w:rPr>
          <w:rFonts w:hint="eastAsia" w:ascii="宋体" w:hAnsi="宋体" w:eastAsia="方正仿宋简体"/>
          <w:bCs/>
          <w:szCs w:val="32"/>
        </w:rPr>
        <w:t>节约项目开支，践行厉行节约反对浪费制度体系建设，</w:t>
      </w:r>
      <w:r>
        <w:rPr>
          <w:rFonts w:hint="eastAsia" w:ascii="宋体" w:hAnsi="宋体" w:eastAsia="方正仿宋简体" w:cs="宋体"/>
          <w:color w:val="333333"/>
          <w:kern w:val="0"/>
          <w:szCs w:val="28"/>
          <w:lang w:val="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lang w:val="zh-CN"/>
        </w:rPr>
      </w:pPr>
      <w:r>
        <w:rPr>
          <w:rFonts w:hint="eastAsia" w:ascii="宋体" w:hAnsi="宋体" w:eastAsia="方正仿宋简体" w:cs="宋体"/>
          <w:color w:val="333333"/>
          <w:kern w:val="0"/>
          <w:szCs w:val="28"/>
          <w:lang w:val="zh-CN"/>
        </w:rPr>
        <w:t>4</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lang w:val="zh-CN"/>
        </w:rPr>
        <w:t>生态效益指标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lang w:val="zh-CN"/>
        </w:rPr>
      </w:pPr>
      <w:r>
        <w:rPr>
          <w:rFonts w:hint="eastAsia" w:ascii="宋体" w:hAnsi="宋体" w:eastAsia="方正仿宋简体" w:cs="宋体"/>
          <w:color w:val="333333"/>
          <w:kern w:val="0"/>
          <w:szCs w:val="28"/>
          <w:lang w:val="zh-CN"/>
        </w:rPr>
        <w:t>工作环境改善程度，对工作环境的改善程度，达到优良水平。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lang w:val="zh-CN"/>
        </w:rPr>
      </w:pPr>
      <w:r>
        <w:rPr>
          <w:rFonts w:hint="eastAsia" w:ascii="宋体" w:hAnsi="宋体" w:eastAsia="方正仿宋简体" w:cs="宋体"/>
          <w:color w:val="333333"/>
          <w:kern w:val="0"/>
          <w:szCs w:val="28"/>
          <w:lang w:val="zh-CN"/>
        </w:rPr>
        <w:t>5</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lang w:val="zh-CN"/>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s="宋体"/>
          <w:color w:val="333333"/>
          <w:kern w:val="0"/>
          <w:szCs w:val="28"/>
        </w:rPr>
      </w:pPr>
      <w:r>
        <w:rPr>
          <w:rFonts w:hint="eastAsia" w:ascii="宋体" w:hAnsi="宋体" w:eastAsia="方正仿宋简体" w:cs="宋体"/>
          <w:color w:val="333333"/>
          <w:kern w:val="0"/>
          <w:szCs w:val="28"/>
          <w:lang w:val="zh-CN"/>
        </w:rPr>
        <w:t>受益群体满意度，受益群体调查中，满意和较满意的人数占全部调查人数的比率，达到优良水平。</w:t>
      </w:r>
    </w:p>
    <w:p>
      <w:pPr>
        <w:spacing w:line="570" w:lineRule="exact"/>
        <w:ind w:firstLine="640" w:firstLineChars="200"/>
        <w:rPr>
          <w:rFonts w:ascii="宋体" w:hAnsi="宋体" w:eastAsia="方正黑体简体" w:cs="宋体"/>
          <w:color w:val="333333"/>
          <w:kern w:val="0"/>
          <w:szCs w:val="28"/>
        </w:rPr>
      </w:pPr>
      <w:r>
        <w:rPr>
          <w:rFonts w:hint="eastAsia" w:ascii="宋体" w:hAnsi="宋体" w:eastAsia="方正黑体简体" w:cs="宋体"/>
          <w:color w:val="333333"/>
          <w:kern w:val="0"/>
          <w:szCs w:val="28"/>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lang w:val="zh-CN"/>
        </w:rPr>
      </w:pPr>
      <w:r>
        <w:rPr>
          <w:rFonts w:hint="eastAsia" w:ascii="宋体" w:hAnsi="宋体" w:eastAsia="方正仿宋简体" w:cs="宋体"/>
          <w:color w:val="333333"/>
          <w:kern w:val="0"/>
          <w:szCs w:val="28"/>
          <w:lang w:val="zh-CN"/>
        </w:rPr>
        <w:t>认真贯彻落实绩效管理办法，把预算绩效管理纳入整体工作，把财政项目支出绩效自评工作列入重要议事日程，做实做好。</w:t>
      </w:r>
    </w:p>
    <w:p>
      <w:pPr>
        <w:spacing w:line="570" w:lineRule="exact"/>
        <w:ind w:firstLine="640" w:firstLineChars="200"/>
        <w:rPr>
          <w:rFonts w:ascii="宋体" w:hAnsi="宋体" w:eastAsia="方正黑体简体" w:cs="宋体"/>
          <w:color w:val="333333"/>
          <w:kern w:val="0"/>
          <w:szCs w:val="28"/>
        </w:rPr>
      </w:pPr>
      <w:r>
        <w:rPr>
          <w:rFonts w:hint="eastAsia" w:ascii="宋体" w:hAnsi="宋体" w:eastAsia="方正黑体简体" w:cs="宋体"/>
          <w:color w:val="333333"/>
          <w:kern w:val="0"/>
          <w:szCs w:val="28"/>
        </w:rPr>
        <w:t>六、有关建议</w:t>
      </w:r>
    </w:p>
    <w:p>
      <w:pPr>
        <w:spacing w:line="570" w:lineRule="exact"/>
        <w:ind w:firstLine="614" w:firstLineChars="192"/>
        <w:rPr>
          <w:rFonts w:ascii="宋体" w:hAnsi="宋体" w:eastAsia="方正仿宋简体" w:cs="宋体"/>
          <w:color w:val="333333"/>
          <w:kern w:val="0"/>
          <w:szCs w:val="28"/>
        </w:rPr>
      </w:pPr>
      <w:r>
        <w:rPr>
          <w:rFonts w:hint="eastAsia" w:ascii="宋体" w:hAnsi="宋体" w:eastAsia="方正仿宋简体" w:cs="宋体"/>
          <w:color w:val="333333"/>
          <w:kern w:val="0"/>
          <w:szCs w:val="28"/>
        </w:rPr>
        <w:t xml:space="preserve"> 无</w:t>
      </w:r>
    </w:p>
    <w:p>
      <w:pPr>
        <w:spacing w:line="570" w:lineRule="exact"/>
        <w:ind w:firstLine="640" w:firstLineChars="200"/>
        <w:rPr>
          <w:rFonts w:ascii="宋体" w:hAnsi="宋体" w:eastAsia="方正黑体简体" w:cs="宋体"/>
          <w:color w:val="333333"/>
          <w:kern w:val="0"/>
          <w:szCs w:val="28"/>
        </w:rPr>
      </w:pPr>
      <w:r>
        <w:rPr>
          <w:rFonts w:hint="eastAsia" w:ascii="宋体" w:hAnsi="宋体" w:eastAsia="方正黑体简体" w:cs="宋体"/>
          <w:color w:val="333333"/>
          <w:kern w:val="0"/>
          <w:szCs w:val="28"/>
        </w:rPr>
        <w:t>七、其他需要说明的问题</w:t>
      </w:r>
    </w:p>
    <w:p>
      <w:pPr>
        <w:spacing w:line="570" w:lineRule="exact"/>
        <w:ind w:firstLine="614" w:firstLineChars="192"/>
        <w:rPr>
          <w:rFonts w:ascii="宋体" w:hAnsi="宋体" w:eastAsia="方正仿宋简体" w:cs="宋体"/>
          <w:color w:val="333333"/>
          <w:kern w:val="0"/>
          <w:szCs w:val="28"/>
        </w:rPr>
      </w:pPr>
      <w:r>
        <w:rPr>
          <w:rFonts w:hint="eastAsia" w:ascii="宋体" w:hAnsi="宋体" w:eastAsia="方正仿宋简体" w:cs="宋体"/>
          <w:color w:val="333333"/>
          <w:kern w:val="0"/>
          <w:szCs w:val="28"/>
        </w:rPr>
        <w:t xml:space="preserve"> 无</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bl>
      <w:tblPr>
        <w:tblStyle w:val="4"/>
        <w:tblW w:w="9765" w:type="dxa"/>
        <w:tblInd w:w="-321" w:type="dxa"/>
        <w:tblLayout w:type="fixed"/>
        <w:tblCellMar>
          <w:top w:w="0" w:type="dxa"/>
          <w:left w:w="108" w:type="dxa"/>
          <w:bottom w:w="0" w:type="dxa"/>
          <w:right w:w="108" w:type="dxa"/>
        </w:tblCellMar>
      </w:tblPr>
      <w:tblGrid>
        <w:gridCol w:w="1093"/>
        <w:gridCol w:w="325"/>
        <w:gridCol w:w="567"/>
        <w:gridCol w:w="1132"/>
        <w:gridCol w:w="125"/>
        <w:gridCol w:w="1132"/>
        <w:gridCol w:w="158"/>
        <w:gridCol w:w="575"/>
        <w:gridCol w:w="417"/>
        <w:gridCol w:w="491"/>
        <w:gridCol w:w="678"/>
        <w:gridCol w:w="103"/>
        <w:gridCol w:w="498"/>
        <w:gridCol w:w="72"/>
        <w:gridCol w:w="855"/>
        <w:gridCol w:w="1544"/>
      </w:tblGrid>
      <w:tr>
        <w:tblPrEx>
          <w:tblCellMar>
            <w:top w:w="0" w:type="dxa"/>
            <w:left w:w="108" w:type="dxa"/>
            <w:bottom w:w="0" w:type="dxa"/>
            <w:right w:w="108" w:type="dxa"/>
          </w:tblCellMar>
        </w:tblPrEx>
        <w:trPr>
          <w:trHeight w:val="435" w:hRule="atLeast"/>
        </w:trPr>
        <w:tc>
          <w:tcPr>
            <w:tcW w:w="9765" w:type="dxa"/>
            <w:gridSpan w:val="16"/>
            <w:vMerge w:val="restart"/>
            <w:tcBorders>
              <w:top w:val="nil"/>
              <w:left w:val="nil"/>
              <w:bottom w:val="nil"/>
              <w:right w:val="nil"/>
            </w:tcBorders>
            <w:shd w:val="clear" w:color="auto" w:fill="auto"/>
            <w:vAlign w:val="center"/>
          </w:tcPr>
          <w:p>
            <w:pPr>
              <w:widowControl/>
              <w:jc w:val="center"/>
              <w:rPr>
                <w:rFonts w:ascii="宋体" w:hAnsi="宋体" w:cs="宋体"/>
                <w:b/>
                <w:bCs/>
                <w:kern w:val="0"/>
                <w:szCs w:val="32"/>
              </w:rPr>
            </w:pPr>
            <w:r>
              <w:rPr>
                <w:rFonts w:hint="eastAsia" w:ascii="宋体" w:hAnsi="宋体" w:cs="宋体"/>
                <w:b/>
                <w:bCs/>
                <w:kern w:val="0"/>
                <w:szCs w:val="32"/>
              </w:rPr>
              <w:t>2022年度项目支出绩效自评表</w:t>
            </w:r>
          </w:p>
        </w:tc>
      </w:tr>
      <w:tr>
        <w:tblPrEx>
          <w:tblCellMar>
            <w:top w:w="0" w:type="dxa"/>
            <w:left w:w="108" w:type="dxa"/>
            <w:bottom w:w="0" w:type="dxa"/>
            <w:right w:w="108" w:type="dxa"/>
          </w:tblCellMar>
        </w:tblPrEx>
        <w:trPr>
          <w:trHeight w:val="312" w:hRule="atLeast"/>
        </w:trPr>
        <w:tc>
          <w:tcPr>
            <w:tcW w:w="9765" w:type="dxa"/>
            <w:gridSpan w:val="16"/>
            <w:vMerge w:val="continue"/>
            <w:tcBorders>
              <w:top w:val="nil"/>
              <w:left w:val="nil"/>
              <w:bottom w:val="nil"/>
              <w:right w:val="nil"/>
            </w:tcBorders>
            <w:vAlign w:val="center"/>
          </w:tcPr>
          <w:p>
            <w:pPr>
              <w:widowControl/>
              <w:jc w:val="left"/>
              <w:rPr>
                <w:rFonts w:ascii="宋体" w:hAnsi="宋体" w:cs="宋体"/>
                <w:b/>
                <w:bCs/>
                <w:kern w:val="0"/>
                <w:szCs w:val="32"/>
              </w:rPr>
            </w:pPr>
          </w:p>
        </w:tc>
      </w:tr>
      <w:tr>
        <w:tblPrEx>
          <w:tblCellMar>
            <w:top w:w="0" w:type="dxa"/>
            <w:left w:w="108" w:type="dxa"/>
            <w:bottom w:w="0" w:type="dxa"/>
            <w:right w:w="108" w:type="dxa"/>
          </w:tblCellMar>
        </w:tblPrEx>
        <w:trPr>
          <w:trHeight w:val="240" w:hRule="atLeast"/>
        </w:trPr>
        <w:tc>
          <w:tcPr>
            <w:tcW w:w="9765" w:type="dxa"/>
            <w:gridSpan w:val="16"/>
            <w:tcBorders>
              <w:top w:val="nil"/>
              <w:left w:val="nil"/>
              <w:bottom w:val="nil"/>
              <w:right w:val="nil"/>
            </w:tcBorders>
            <w:shd w:val="clear" w:color="auto" w:fill="auto"/>
          </w:tcPr>
          <w:p>
            <w:pPr>
              <w:widowControl/>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290" w:hRule="atLeast"/>
        </w:trPr>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8347"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专家评审费、评估费及证照工本费</w:t>
            </w:r>
          </w:p>
        </w:tc>
      </w:tr>
      <w:tr>
        <w:tblPrEx>
          <w:tblCellMar>
            <w:top w:w="0" w:type="dxa"/>
            <w:left w:w="108" w:type="dxa"/>
            <w:bottom w:w="0" w:type="dxa"/>
            <w:right w:w="108" w:type="dxa"/>
          </w:tblCellMar>
        </w:tblPrEx>
        <w:trPr>
          <w:trHeight w:val="350" w:hRule="atLeast"/>
        </w:trPr>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主管部门</w:t>
            </w:r>
          </w:p>
        </w:tc>
        <w:tc>
          <w:tcPr>
            <w:tcW w:w="311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遵化市行政审批局</w:t>
            </w:r>
          </w:p>
        </w:tc>
        <w:tc>
          <w:tcPr>
            <w:tcW w:w="216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实施单位</w:t>
            </w:r>
          </w:p>
        </w:tc>
        <w:tc>
          <w:tcPr>
            <w:tcW w:w="307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遵化市行政审批局</w:t>
            </w:r>
          </w:p>
        </w:tc>
      </w:tr>
      <w:tr>
        <w:tblPrEx>
          <w:tblCellMar>
            <w:top w:w="0" w:type="dxa"/>
            <w:left w:w="108" w:type="dxa"/>
            <w:bottom w:w="0" w:type="dxa"/>
            <w:right w:w="108" w:type="dxa"/>
          </w:tblCellMar>
        </w:tblPrEx>
        <w:trPr>
          <w:trHeight w:val="347" w:hRule="atLeast"/>
        </w:trPr>
        <w:tc>
          <w:tcPr>
            <w:tcW w:w="1418"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项目资金</w:t>
            </w:r>
          </w:p>
          <w:p>
            <w:pPr>
              <w:widowControl/>
              <w:jc w:val="center"/>
              <w:rPr>
                <w:rFonts w:ascii="宋体" w:hAnsi="宋体" w:cs="宋体"/>
                <w:kern w:val="0"/>
                <w:sz w:val="18"/>
                <w:szCs w:val="18"/>
              </w:rPr>
            </w:pPr>
            <w:r>
              <w:rPr>
                <w:rFonts w:hint="eastAsia" w:ascii="宋体" w:hAnsi="宋体" w:cs="宋体"/>
                <w:kern w:val="0"/>
                <w:sz w:val="18"/>
                <w:szCs w:val="18"/>
              </w:rPr>
              <w:t>（万元）</w:t>
            </w:r>
          </w:p>
        </w:tc>
        <w:tc>
          <w:tcPr>
            <w:tcW w:w="182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1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全年预算数</w:t>
            </w:r>
          </w:p>
        </w:tc>
        <w:tc>
          <w:tcPr>
            <w:tcW w:w="11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全年执行数</w:t>
            </w:r>
          </w:p>
        </w:tc>
        <w:tc>
          <w:tcPr>
            <w:tcW w:w="6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9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执行率</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25" w:hRule="atLeast"/>
        </w:trPr>
        <w:tc>
          <w:tcPr>
            <w:tcW w:w="1418" w:type="dxa"/>
            <w:gridSpan w:val="2"/>
            <w:vMerge w:val="continue"/>
            <w:tcBorders>
              <w:left w:val="single" w:color="auto" w:sz="4" w:space="0"/>
              <w:right w:val="single" w:color="auto" w:sz="4" w:space="0"/>
            </w:tcBorders>
            <w:shd w:val="clear" w:color="auto" w:fill="auto"/>
            <w:vAlign w:val="center"/>
          </w:tcPr>
          <w:p>
            <w:pPr>
              <w:jc w:val="left"/>
              <w:rPr>
                <w:rFonts w:ascii="宋体" w:hAnsi="宋体" w:cs="宋体"/>
                <w:kern w:val="0"/>
                <w:sz w:val="18"/>
                <w:szCs w:val="18"/>
              </w:rPr>
            </w:pPr>
          </w:p>
        </w:tc>
        <w:tc>
          <w:tcPr>
            <w:tcW w:w="1824"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年度资金总额</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11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36.05</w:t>
            </w:r>
          </w:p>
        </w:tc>
        <w:tc>
          <w:tcPr>
            <w:tcW w:w="11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36.05</w:t>
            </w:r>
          </w:p>
        </w:tc>
        <w:tc>
          <w:tcPr>
            <w:tcW w:w="6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40" w:hRule="atLeast"/>
        </w:trPr>
        <w:tc>
          <w:tcPr>
            <w:tcW w:w="1418" w:type="dxa"/>
            <w:gridSpan w:val="2"/>
            <w:vMerge w:val="continue"/>
            <w:tcBorders>
              <w:left w:val="single" w:color="auto" w:sz="4" w:space="0"/>
              <w:right w:val="single" w:color="auto" w:sz="4" w:space="0"/>
            </w:tcBorders>
            <w:shd w:val="clear" w:color="auto" w:fill="auto"/>
            <w:noWrap/>
            <w:vAlign w:val="center"/>
          </w:tcPr>
          <w:p>
            <w:pPr>
              <w:jc w:val="left"/>
              <w:rPr>
                <w:rFonts w:ascii="宋体" w:hAnsi="宋体" w:cs="宋体"/>
                <w:kern w:val="0"/>
                <w:sz w:val="24"/>
              </w:rPr>
            </w:pPr>
          </w:p>
        </w:tc>
        <w:tc>
          <w:tcPr>
            <w:tcW w:w="1824"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其中：当年财政拨款</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11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36.05</w:t>
            </w:r>
          </w:p>
        </w:tc>
        <w:tc>
          <w:tcPr>
            <w:tcW w:w="11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36.05</w:t>
            </w:r>
          </w:p>
        </w:tc>
        <w:tc>
          <w:tcPr>
            <w:tcW w:w="6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5" w:hRule="atLeast"/>
        </w:trPr>
        <w:tc>
          <w:tcPr>
            <w:tcW w:w="1418" w:type="dxa"/>
            <w:gridSpan w:val="2"/>
            <w:vMerge w:val="continue"/>
            <w:tcBorders>
              <w:left w:val="single" w:color="auto" w:sz="4" w:space="0"/>
              <w:right w:val="single" w:color="auto" w:sz="4" w:space="0"/>
            </w:tcBorders>
            <w:shd w:val="clear" w:color="auto" w:fill="auto"/>
            <w:noWrap/>
            <w:vAlign w:val="center"/>
          </w:tcPr>
          <w:p>
            <w:pPr>
              <w:jc w:val="left"/>
              <w:rPr>
                <w:rFonts w:ascii="宋体" w:hAnsi="宋体" w:cs="宋体"/>
                <w:kern w:val="0"/>
                <w:sz w:val="24"/>
              </w:rPr>
            </w:pPr>
          </w:p>
        </w:tc>
        <w:tc>
          <w:tcPr>
            <w:tcW w:w="1824"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     上年结转资金</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60" w:hRule="atLeast"/>
        </w:trPr>
        <w:tc>
          <w:tcPr>
            <w:tcW w:w="1418"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c>
          <w:tcPr>
            <w:tcW w:w="1824"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其他资金</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165" w:hRule="atLeast"/>
        </w:trPr>
        <w:tc>
          <w:tcPr>
            <w:tcW w:w="10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年度总体目标</w:t>
            </w:r>
          </w:p>
        </w:tc>
        <w:tc>
          <w:tcPr>
            <w:tcW w:w="4014"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预期目标</w:t>
            </w:r>
          </w:p>
        </w:tc>
        <w:tc>
          <w:tcPr>
            <w:tcW w:w="465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22" w:hRule="atLeast"/>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014"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为广大用户提供最切实的行政审批相关服务，使办事群体更加快捷、安全、方便进行对应的行政审批服务      </w:t>
            </w:r>
          </w:p>
        </w:tc>
        <w:tc>
          <w:tcPr>
            <w:tcW w:w="465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项目已完成。</w:t>
            </w:r>
          </w:p>
        </w:tc>
      </w:tr>
      <w:tr>
        <w:tblPrEx>
          <w:tblCellMar>
            <w:top w:w="0" w:type="dxa"/>
            <w:left w:w="108" w:type="dxa"/>
            <w:bottom w:w="0" w:type="dxa"/>
            <w:right w:w="108" w:type="dxa"/>
          </w:tblCellMar>
        </w:tblPrEx>
        <w:trPr>
          <w:trHeight w:val="475" w:hRule="atLeast"/>
        </w:trPr>
        <w:tc>
          <w:tcPr>
            <w:tcW w:w="10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               效              指                 标</w:t>
            </w:r>
          </w:p>
        </w:tc>
        <w:tc>
          <w:tcPr>
            <w:tcW w:w="89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99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tc>
        <w:tc>
          <w:tcPr>
            <w:tcW w:w="7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tc>
        <w:tc>
          <w:tcPr>
            <w:tcW w:w="5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8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5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15" w:hRule="atLeast"/>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99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7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70"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44"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23" w:hRule="atLeast"/>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9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990" w:type="dxa"/>
            <w:gridSpan w:val="4"/>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许可申请书审批率%</w:t>
            </w:r>
          </w:p>
        </w:tc>
        <w:tc>
          <w:tcPr>
            <w:tcW w:w="9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7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9" w:hRule="atLeast"/>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990" w:type="dxa"/>
            <w:gridSpan w:val="4"/>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档案查准率（%）</w:t>
            </w:r>
          </w:p>
        </w:tc>
        <w:tc>
          <w:tcPr>
            <w:tcW w:w="9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7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72" w:hRule="atLeast"/>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1990" w:type="dxa"/>
            <w:gridSpan w:val="4"/>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消费者满意度测评方案设计、实施</w:t>
            </w:r>
          </w:p>
        </w:tc>
        <w:tc>
          <w:tcPr>
            <w:tcW w:w="9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7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9" w:hRule="atLeast"/>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990" w:type="dxa"/>
            <w:gridSpan w:val="4"/>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审批时限内办结率（%）</w:t>
            </w:r>
          </w:p>
        </w:tc>
        <w:tc>
          <w:tcPr>
            <w:tcW w:w="9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7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2" w:hRule="atLeast"/>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9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  指标</w:t>
            </w:r>
          </w:p>
        </w:tc>
        <w:tc>
          <w:tcPr>
            <w:tcW w:w="11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 指标</w:t>
            </w:r>
          </w:p>
        </w:tc>
        <w:tc>
          <w:tcPr>
            <w:tcW w:w="1990" w:type="dxa"/>
            <w:gridSpan w:val="4"/>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用户使用满意度（%）</w:t>
            </w:r>
          </w:p>
        </w:tc>
        <w:tc>
          <w:tcPr>
            <w:tcW w:w="9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7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1" w:hRule="atLeast"/>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990" w:type="dxa"/>
            <w:gridSpan w:val="4"/>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意见建议采纳率（%）</w:t>
            </w:r>
          </w:p>
        </w:tc>
        <w:tc>
          <w:tcPr>
            <w:tcW w:w="9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7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8" w:hRule="atLeast"/>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990" w:type="dxa"/>
            <w:gridSpan w:val="4"/>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用户友好性(％)</w:t>
            </w:r>
          </w:p>
        </w:tc>
        <w:tc>
          <w:tcPr>
            <w:tcW w:w="9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7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5" w:hRule="atLeast"/>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199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7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35" w:hRule="atLeast"/>
        </w:trPr>
        <w:tc>
          <w:tcPr>
            <w:tcW w:w="679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spacing w:val="-6"/>
                <w:kern w:val="0"/>
                <w:sz w:val="15"/>
                <w:szCs w:val="15"/>
              </w:rPr>
              <w:t>进一步优化预算，严格支出，进一步节约开支</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57" w:hRule="atLeast"/>
        </w:trPr>
        <w:tc>
          <w:tcPr>
            <w:tcW w:w="679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54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20" w:hRule="atLeast"/>
        </w:trPr>
        <w:tc>
          <w:tcPr>
            <w:tcW w:w="9765" w:type="dxa"/>
            <w:gridSpan w:val="16"/>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注：其中预算执行率固定为10分，其中各项指标90分，总分100分。</w:t>
            </w:r>
          </w:p>
        </w:tc>
      </w:tr>
    </w:tbl>
    <w:p>
      <w:pPr>
        <w:snapToGrid w:val="0"/>
        <w:spacing w:line="570" w:lineRule="exact"/>
        <w:ind w:left="809" w:leftChars="0" w:hanging="809" w:hangingChars="184"/>
        <w:jc w:val="center"/>
        <w:rPr>
          <w:rFonts w:ascii="宋体" w:hAnsi="宋体" w:eastAsia="方正小标宋简体"/>
          <w:sz w:val="44"/>
          <w:szCs w:val="44"/>
        </w:rPr>
      </w:pPr>
      <w:r>
        <w:rPr>
          <w:rFonts w:hint="eastAsia" w:ascii="宋体" w:hAnsi="宋体" w:eastAsia="方正小标宋简体"/>
          <w:sz w:val="44"/>
          <w:szCs w:val="44"/>
        </w:rPr>
        <w:t>遵化市行政审批局</w:t>
      </w:r>
    </w:p>
    <w:p>
      <w:pPr>
        <w:snapToGrid w:val="0"/>
        <w:spacing w:line="570" w:lineRule="exact"/>
        <w:ind w:left="0" w:leftChars="0" w:hanging="9" w:firstLineChars="0"/>
        <w:jc w:val="center"/>
        <w:rPr>
          <w:rFonts w:ascii="宋体" w:hAnsi="宋体" w:eastAsia="方正小标宋简体"/>
          <w:sz w:val="44"/>
          <w:szCs w:val="44"/>
        </w:rPr>
      </w:pPr>
      <w:r>
        <w:rPr>
          <w:rFonts w:hint="eastAsia" w:ascii="宋体" w:hAnsi="宋体" w:eastAsia="方正小标宋简体"/>
          <w:sz w:val="44"/>
          <w:szCs w:val="44"/>
        </w:rPr>
        <w:t>专家评审费、评估费及证照工本费项目自评报</w:t>
      </w:r>
      <w:r>
        <w:rPr>
          <w:rFonts w:hint="eastAsia" w:ascii="宋体" w:hAnsi="宋体" w:eastAsia="方正小标宋简体"/>
          <w:sz w:val="44"/>
          <w:szCs w:val="44"/>
          <w:lang w:val="en-US" w:eastAsia="zh-CN"/>
        </w:rPr>
        <w:t xml:space="preserve">  </w:t>
      </w:r>
      <w:r>
        <w:rPr>
          <w:rFonts w:hint="eastAsia" w:ascii="宋体" w:hAnsi="宋体" w:eastAsia="方正小标宋简体"/>
          <w:sz w:val="44"/>
          <w:szCs w:val="44"/>
        </w:rPr>
        <w:t>告</w:t>
      </w:r>
    </w:p>
    <w:p>
      <w:pPr>
        <w:snapToGrid w:val="0"/>
        <w:spacing w:line="570" w:lineRule="exact"/>
        <w:ind w:left="810"/>
        <w:jc w:val="center"/>
        <w:rPr>
          <w:rFonts w:ascii="宋体" w:hAnsi="宋体" w:eastAsia="方正小标宋简体"/>
          <w:sz w:val="44"/>
          <w:szCs w:val="44"/>
        </w:rPr>
      </w:pPr>
    </w:p>
    <w:p>
      <w:pPr>
        <w:spacing w:line="570" w:lineRule="exact"/>
        <w:ind w:right="-509" w:rightChars="-159" w:firstLine="680" w:firstLineChars="200"/>
        <w:rPr>
          <w:rFonts w:ascii="宋体" w:hAnsi="宋体" w:eastAsia="方正黑体简体"/>
          <w:spacing w:val="10"/>
          <w:szCs w:val="28"/>
        </w:rPr>
      </w:pPr>
      <w:r>
        <w:rPr>
          <w:rFonts w:hint="eastAsia" w:ascii="宋体" w:hAnsi="宋体" w:eastAsia="方正黑体简体"/>
          <w:spacing w:val="10"/>
          <w:szCs w:val="28"/>
        </w:rPr>
        <w:t>一、项目基本概况</w:t>
      </w:r>
    </w:p>
    <w:p>
      <w:pPr>
        <w:spacing w:line="570" w:lineRule="exact"/>
        <w:ind w:firstLine="652" w:firstLineChars="192"/>
        <w:rPr>
          <w:rFonts w:ascii="宋体" w:hAnsi="宋体" w:eastAsia="方正楷体简体"/>
          <w:spacing w:val="10"/>
          <w:szCs w:val="28"/>
        </w:rPr>
      </w:pPr>
      <w:r>
        <w:rPr>
          <w:rFonts w:hint="eastAsia" w:ascii="宋体" w:hAnsi="宋体" w:eastAsia="方正楷体简体"/>
          <w:spacing w:val="10"/>
          <w:szCs w:val="28"/>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lang w:val="zh-CN"/>
        </w:rPr>
      </w:pPr>
      <w:r>
        <w:rPr>
          <w:rFonts w:hint="eastAsia" w:ascii="宋体" w:hAnsi="宋体" w:eastAsia="方正仿宋简体" w:cs="宋体"/>
          <w:color w:val="333333"/>
          <w:kern w:val="0"/>
          <w:szCs w:val="28"/>
          <w:lang w:val="zh-CN"/>
        </w:rPr>
        <w:t>按照冀财规</w:t>
      </w:r>
      <w:r>
        <w:rPr>
          <w:rFonts w:hint="eastAsia" w:ascii="宋体" w:hAnsi="宋体" w:eastAsia="方正仿宋简体" w:cs="宋体"/>
          <w:color w:val="333333"/>
          <w:kern w:val="0"/>
          <w:szCs w:val="28"/>
          <w:lang w:val="en-US" w:eastAsia="zh-CN"/>
        </w:rPr>
        <w:t>〔2018〕</w:t>
      </w:r>
      <w:r>
        <w:rPr>
          <w:rFonts w:hint="eastAsia" w:ascii="宋体" w:hAnsi="宋体" w:eastAsia="方正仿宋简体" w:cs="宋体"/>
          <w:color w:val="333333"/>
          <w:kern w:val="0"/>
          <w:szCs w:val="28"/>
          <w:lang w:val="zh-CN"/>
        </w:rPr>
        <w:t>9号关于印发河北省政府采购评审专家抽取规则和评价扣分规则的通知和冀发改投资</w:t>
      </w:r>
      <w:r>
        <w:rPr>
          <w:rFonts w:hint="eastAsia" w:ascii="宋体" w:hAnsi="宋体" w:eastAsia="方正仿宋简体" w:cs="宋体"/>
          <w:color w:val="333333"/>
          <w:kern w:val="0"/>
          <w:szCs w:val="28"/>
          <w:lang w:val="en-US" w:eastAsia="zh-CN"/>
        </w:rPr>
        <w:t>〔2016〕</w:t>
      </w:r>
      <w:r>
        <w:rPr>
          <w:rFonts w:hint="eastAsia" w:ascii="宋体" w:hAnsi="宋体" w:eastAsia="方正仿宋简体" w:cs="宋体"/>
          <w:color w:val="333333"/>
          <w:kern w:val="0"/>
          <w:szCs w:val="28"/>
          <w:lang w:val="zh-CN"/>
        </w:rPr>
        <w:t>1号关于印发《河北省重大固定资产投资项目社会稳定风险评估办法》的通知等文件要求，</w:t>
      </w:r>
      <w:r>
        <w:rPr>
          <w:rFonts w:hint="eastAsia" w:ascii="宋体" w:hAnsi="宋体" w:eastAsia="方正仿宋简体" w:cs="宋体"/>
          <w:color w:val="333333"/>
          <w:kern w:val="0"/>
          <w:szCs w:val="28"/>
        </w:rPr>
        <w:t>严格取水许可、重大固定资产投资项目等审批事项的审批，加强许可事中和事后监管，为保障审批局相关业务的顺利开展提供了保障。</w:t>
      </w:r>
      <w:r>
        <w:rPr>
          <w:rFonts w:hint="eastAsia" w:ascii="宋体" w:hAnsi="宋体" w:eastAsia="方正仿宋简体" w:cs="宋体"/>
          <w:color w:val="333333"/>
          <w:kern w:val="0"/>
          <w:szCs w:val="28"/>
          <w:lang w:val="zh-CN"/>
        </w:rPr>
        <w:t>此项目用于</w:t>
      </w:r>
      <w:r>
        <w:rPr>
          <w:rFonts w:hint="eastAsia" w:ascii="宋体" w:hAnsi="宋体" w:eastAsia="方正仿宋简体" w:cs="宋体"/>
          <w:color w:val="333333"/>
          <w:kern w:val="0"/>
          <w:szCs w:val="28"/>
        </w:rPr>
        <w:t>公共资源交易中心招投标评审专家给予劳务费，并对业务科室制作各类证照工本及各类评估咨询，每月按实际支出。2022年全年预算</w:t>
      </w:r>
      <w:r>
        <w:rPr>
          <w:rFonts w:hint="eastAsia" w:ascii="宋体" w:hAnsi="宋体" w:eastAsia="方正仿宋简体" w:cs="宋体"/>
          <w:color w:val="333333"/>
          <w:kern w:val="0"/>
          <w:szCs w:val="28"/>
          <w:lang w:val="en-US" w:eastAsia="zh-CN"/>
        </w:rPr>
        <w:t>安排</w:t>
      </w:r>
      <w:r>
        <w:rPr>
          <w:rFonts w:hint="eastAsia" w:ascii="宋体" w:hAnsi="宋体" w:eastAsia="方正仿宋简体" w:cs="宋体"/>
          <w:color w:val="333333"/>
          <w:kern w:val="0"/>
          <w:szCs w:val="28"/>
        </w:rPr>
        <w:t>36.05万元，2022年财政预算资金</w:t>
      </w:r>
      <w:r>
        <w:rPr>
          <w:rFonts w:hint="eastAsia" w:ascii="宋体" w:hAnsi="宋体" w:eastAsia="方正仿宋简体" w:cs="宋体"/>
          <w:color w:val="333333"/>
          <w:kern w:val="0"/>
          <w:szCs w:val="28"/>
          <w:lang w:val="en-US" w:eastAsia="zh-CN"/>
        </w:rPr>
        <w:t>实际</w:t>
      </w:r>
      <w:r>
        <w:rPr>
          <w:rFonts w:hint="eastAsia" w:ascii="宋体" w:hAnsi="宋体" w:eastAsia="方正仿宋简体" w:cs="宋体"/>
          <w:color w:val="333333"/>
          <w:kern w:val="0"/>
          <w:szCs w:val="28"/>
        </w:rPr>
        <w:t>支出合计36.05万元。</w:t>
      </w:r>
    </w:p>
    <w:p>
      <w:pPr>
        <w:spacing w:line="570" w:lineRule="exact"/>
        <w:ind w:firstLine="640" w:firstLineChars="200"/>
        <w:rPr>
          <w:rFonts w:ascii="宋体" w:hAnsi="宋体" w:eastAsia="方正楷体简体" w:cs="宋体"/>
          <w:color w:val="333333"/>
          <w:kern w:val="0"/>
          <w:szCs w:val="28"/>
        </w:rPr>
      </w:pPr>
      <w:r>
        <w:rPr>
          <w:rFonts w:hint="eastAsia" w:ascii="宋体" w:hAnsi="宋体" w:eastAsia="方正楷体简体" w:cs="宋体"/>
          <w:color w:val="333333"/>
          <w:kern w:val="0"/>
          <w:szCs w:val="28"/>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s="宋体"/>
          <w:color w:val="333333"/>
          <w:kern w:val="0"/>
          <w:szCs w:val="28"/>
        </w:rPr>
      </w:pPr>
      <w:r>
        <w:rPr>
          <w:rFonts w:hint="eastAsia" w:ascii="宋体" w:hAnsi="宋体" w:eastAsia="方正仿宋简体" w:cs="宋体"/>
          <w:color w:val="333333"/>
          <w:kern w:val="0"/>
          <w:szCs w:val="28"/>
        </w:rPr>
        <w:t>总体目标，通过提高工作标准、优化审批流程、压缩审批时间，实现暖心服务，打造最优质、最高效、最规范、最便捷的“审批金牌保姆”服务品牌。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s="方正仿宋_GBK"/>
          <w:kern w:val="0"/>
          <w:szCs w:val="28"/>
        </w:rPr>
      </w:pPr>
      <w:r>
        <w:rPr>
          <w:rFonts w:hint="eastAsia" w:ascii="宋体" w:hAnsi="宋体" w:eastAsia="方正仿宋简体" w:cs="宋体"/>
          <w:color w:val="333333"/>
          <w:kern w:val="0"/>
          <w:szCs w:val="28"/>
        </w:rPr>
        <w:t>阶段性目标：按时高效、高质量完成业务。</w:t>
      </w:r>
    </w:p>
    <w:p>
      <w:pPr>
        <w:snapToGrid w:val="0"/>
        <w:spacing w:line="570" w:lineRule="exact"/>
        <w:ind w:firstLine="640" w:firstLineChars="200"/>
        <w:rPr>
          <w:rFonts w:ascii="宋体" w:hAnsi="宋体" w:eastAsia="方正黑体简体"/>
          <w:szCs w:val="28"/>
        </w:rPr>
      </w:pPr>
      <w:r>
        <w:rPr>
          <w:rFonts w:hint="eastAsia" w:ascii="宋体" w:hAnsi="宋体" w:eastAsia="方正黑体简体"/>
          <w:szCs w:val="28"/>
        </w:rPr>
        <w:t>二、绩效评价工作开展情况</w:t>
      </w:r>
    </w:p>
    <w:p>
      <w:pPr>
        <w:spacing w:line="570" w:lineRule="exact"/>
        <w:ind w:firstLine="680" w:firstLineChars="200"/>
        <w:rPr>
          <w:rFonts w:ascii="宋体" w:hAnsi="宋体" w:eastAsia="方正楷体简体"/>
          <w:spacing w:val="10"/>
          <w:szCs w:val="28"/>
        </w:rPr>
      </w:pPr>
      <w:r>
        <w:rPr>
          <w:rFonts w:hint="eastAsia" w:ascii="宋体" w:hAnsi="宋体" w:eastAsia="方正楷体简体"/>
          <w:spacing w:val="10"/>
          <w:szCs w:val="28"/>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绩效评价目的：严格规范专家评审程序，严格取水许、重大固定资产投资项目等审批事项的审批，加强许可事中和事后监管，为保障审批局相关业务的顺利开展提供了保障。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绩效评价对象：专家评审费、评估费及证照工本费。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绩效评价范围：用于公共资源交易中心招投标评审专家劳务管理，业务科室制作各类证照工本及各类评估咨询。</w:t>
      </w:r>
    </w:p>
    <w:p>
      <w:pPr>
        <w:spacing w:line="570" w:lineRule="exact"/>
        <w:ind w:firstLine="640" w:firstLineChars="200"/>
        <w:rPr>
          <w:rFonts w:ascii="宋体" w:hAnsi="宋体" w:eastAsia="方正楷体简体" w:cs="宋体"/>
          <w:color w:val="333333"/>
          <w:kern w:val="0"/>
          <w:szCs w:val="28"/>
        </w:rPr>
      </w:pPr>
      <w:r>
        <w:rPr>
          <w:rFonts w:hint="eastAsia" w:ascii="宋体" w:hAnsi="宋体" w:eastAsia="方正楷体简体" w:cs="宋体"/>
          <w:color w:val="333333"/>
          <w:kern w:val="0"/>
          <w:szCs w:val="28"/>
        </w:rPr>
        <w:t>（二）绩效评价原则、评价指标体系、评价方法及标准。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1</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绩效评价原则：绩效评价工作遵循全面覆盖、程序简便、客观公正、公开透明的原则。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s="宋体"/>
          <w:color w:val="333333"/>
          <w:kern w:val="0"/>
          <w:szCs w:val="28"/>
        </w:rPr>
      </w:pPr>
      <w:r>
        <w:rPr>
          <w:rFonts w:hint="eastAsia" w:ascii="宋体" w:hAnsi="宋体" w:eastAsia="方正仿宋简体" w:cs="宋体"/>
          <w:color w:val="333333"/>
          <w:kern w:val="0"/>
          <w:szCs w:val="28"/>
        </w:rPr>
        <w:t>2</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评价指标体系</w:t>
      </w:r>
    </w:p>
    <w:p>
      <w:pPr>
        <w:spacing w:line="570" w:lineRule="exact"/>
        <w:ind w:firstLine="614" w:firstLineChars="192"/>
        <w:rPr>
          <w:rFonts w:ascii="宋体" w:hAnsi="宋体" w:eastAsia="方正仿宋简体" w:cs="宋体"/>
          <w:color w:val="333333"/>
          <w:kern w:val="0"/>
          <w:szCs w:val="28"/>
        </w:rPr>
      </w:pPr>
    </w:p>
    <w:tbl>
      <w:tblPr>
        <w:tblStyle w:val="4"/>
        <w:tblW w:w="9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734"/>
        <w:gridCol w:w="1167"/>
        <w:gridCol w:w="2505"/>
        <w:gridCol w:w="2956"/>
        <w:gridCol w:w="576"/>
        <w:gridCol w:w="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38"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一级指标</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二级指标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三级指标</w:t>
            </w:r>
          </w:p>
        </w:tc>
        <w:tc>
          <w:tcPr>
            <w:tcW w:w="2505"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指标解释</w:t>
            </w:r>
          </w:p>
        </w:tc>
        <w:tc>
          <w:tcPr>
            <w:tcW w:w="295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评价标准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标准分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投入</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项目目标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目标内容</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目标是否明确、细化、量化</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目标明确（2分），目标细化（2分），目标量化（1分）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决策过程</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决策依据</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项目是否符合经济社会发展规划和部门年度工作计划；是否根据需要制定中长期实施规划</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项目符合经济社会发展规划和部门年度工作计划（5分），根据需要制定中长期实施规划（5分）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决策程序</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项目是否符合申报条件；申报、批复程序是否符合相关管理办法；项目调整是否履行相应手续</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项目符合申报条件（2分），申报、批复程序符合相关管理办法（2分），项目实施调整履行相应手续（1分）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过程</w:t>
            </w: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资金管理</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资金使用</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是否存在支出依据不合规、虚列项目支出的情况；是否存在截留、挤占、挪用项目资金情况；是否存在超标准开支情况</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虚列（套取）扣4分，支出依据不合规扣1分，截留、挤占、挪用扣2分，超标准开支扣1分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财务管理</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资金管理、费用支出等制度是否健全，是否严格执行；会计核算是否规范</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财务制度健全（2分），严格执行制度（1分），会计核算规范（1分）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组织实施</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组织机构</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机构是否健全、分工是否明确</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机构健全、分工明确（4分）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管理制度</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是否建立健全项目管理制度；是否严格执行相关项目管理制度</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建立健全项目管理制度（2分）；严格执行相关项目管理制度(1分）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738" w:type="dxa"/>
            <w:vMerge w:val="restart"/>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产出</w:t>
            </w: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数量指标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综合业务管理工作完成率</w:t>
            </w:r>
          </w:p>
        </w:tc>
        <w:tc>
          <w:tcPr>
            <w:tcW w:w="2505" w:type="dxa"/>
            <w:noWrap/>
            <w:vAlign w:val="center"/>
          </w:tcPr>
          <w:p>
            <w:pPr>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各项综合业务工作任务完成情况占各项综合业务工作任务的比例</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完成100%得10分，完成90%以上得8分，完成70%以上得6分，完成70%以下得4分。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质量指标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全年工作任务达标率</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全年工作任务达到预期质量目标情况</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完成100%得10分，完成80%以上得8分，完成80%以上得6分，完成80%以下得4分。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时效指标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报销时效性</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按照审批程序及时报销</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成本指标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738" w:type="dxa"/>
            <w:vMerge w:val="restart"/>
            <w:noWrap/>
            <w:vAlign w:val="center"/>
          </w:tcPr>
          <w:p>
            <w:pPr>
              <w:widowControl/>
              <w:spacing w:line="240" w:lineRule="exact"/>
              <w:rPr>
                <w:rFonts w:ascii="宋体" w:hAnsi="宋体" w:eastAsia="方正仿宋简体"/>
                <w:kern w:val="0"/>
                <w:sz w:val="21"/>
                <w:szCs w:val="21"/>
              </w:rPr>
            </w:pPr>
          </w:p>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效果</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可持续影响指标</w:t>
            </w:r>
          </w:p>
        </w:tc>
        <w:tc>
          <w:tcPr>
            <w:tcW w:w="1167" w:type="dxa"/>
            <w:noWrap/>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提高发改领域服务保障能力</w:t>
            </w:r>
          </w:p>
        </w:tc>
        <w:tc>
          <w:tcPr>
            <w:tcW w:w="2505" w:type="dxa"/>
            <w:noWrap/>
          </w:tcPr>
          <w:p>
            <w:pPr>
              <w:spacing w:line="240" w:lineRule="exact"/>
              <w:rPr>
                <w:rFonts w:ascii="宋体" w:hAnsi="宋体" w:eastAsia="方正仿宋简体"/>
                <w:kern w:val="0"/>
                <w:sz w:val="21"/>
                <w:szCs w:val="21"/>
              </w:rPr>
            </w:pPr>
          </w:p>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有利于业务开展，提高服务保障能力</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经济效益指标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节约项目开支</w:t>
            </w:r>
          </w:p>
        </w:tc>
        <w:tc>
          <w:tcPr>
            <w:tcW w:w="2505"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践行厉行节约反对浪费制度体系建设</w:t>
            </w:r>
          </w:p>
          <w:p>
            <w:pPr>
              <w:widowControl/>
              <w:spacing w:line="240" w:lineRule="exact"/>
              <w:rPr>
                <w:rFonts w:ascii="宋体" w:hAnsi="宋体" w:eastAsia="方正仿宋简体"/>
                <w:kern w:val="0"/>
                <w:sz w:val="21"/>
                <w:szCs w:val="21"/>
              </w:rPr>
            </w:pPr>
          </w:p>
        </w:tc>
        <w:tc>
          <w:tcPr>
            <w:tcW w:w="2956"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社会效益指标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业务保障率</w:t>
            </w:r>
          </w:p>
        </w:tc>
        <w:tc>
          <w:tcPr>
            <w:tcW w:w="2505" w:type="dxa"/>
            <w:noWrap/>
            <w:vAlign w:val="bottom"/>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有效保障相关业务、工作等开展的业务次数占总业务量的比率</w:t>
            </w:r>
          </w:p>
          <w:p>
            <w:pPr>
              <w:widowControl/>
              <w:spacing w:line="240" w:lineRule="exact"/>
              <w:rPr>
                <w:rFonts w:ascii="宋体" w:hAnsi="宋体" w:eastAsia="方正仿宋简体"/>
                <w:kern w:val="0"/>
                <w:sz w:val="21"/>
                <w:szCs w:val="21"/>
              </w:rPr>
            </w:pPr>
          </w:p>
        </w:tc>
        <w:tc>
          <w:tcPr>
            <w:tcW w:w="2956"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生态效益指标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工作环境改善程度</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对工作环境的改善程度</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18"/>
                <w:szCs w:val="18"/>
              </w:rPr>
            </w:pPr>
            <w:r>
              <w:rPr>
                <w:rFonts w:hint="eastAsia" w:ascii="宋体" w:hAnsi="宋体" w:eastAsia="方正仿宋简体"/>
                <w:kern w:val="0"/>
                <w:sz w:val="18"/>
                <w:szCs w:val="18"/>
              </w:rPr>
              <w:t>服务对象满意度指标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受益群体满意度</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受益群体调查中，满意和较满意的人数占全部调查人数的比率</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3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总分</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2505"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295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r>
    </w:tbl>
    <w:p>
      <w:pPr>
        <w:spacing w:line="570" w:lineRule="exact"/>
        <w:rPr>
          <w:rFonts w:ascii="宋体" w:hAnsi="宋体" w:eastAsia="方正仿宋简体"/>
          <w:spacing w:val="10"/>
          <w:szCs w:val="28"/>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3</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绩效评价方法：采用实地检查、实际操作等多种评价方法相结合的综合评价。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4</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评价标准：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spacing w:line="560" w:lineRule="exact"/>
        <w:ind w:firstLine="320" w:firstLineChars="100"/>
        <w:rPr>
          <w:rFonts w:ascii="宋体" w:hAnsi="宋体" w:eastAsia="方正楷体简体"/>
          <w:szCs w:val="32"/>
        </w:rPr>
      </w:pPr>
      <w:r>
        <w:rPr>
          <w:rFonts w:hint="eastAsia" w:ascii="宋体" w:hAnsi="宋体" w:eastAsia="方正楷体简体"/>
          <w:szCs w:val="32"/>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绩效评价人员查看了相关项目资料，了解资金拨付、使用情况及管理工作。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1.对此项目收集相关资料。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2.实地调研并了解项目实际运行情况。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3.根据调研结果和收集资料进行综合分析，综合评定绩效等级，科学撰写评价报告。</w:t>
      </w:r>
    </w:p>
    <w:p>
      <w:pPr>
        <w:spacing w:line="570" w:lineRule="exact"/>
        <w:ind w:firstLine="640" w:firstLineChars="200"/>
        <w:rPr>
          <w:rFonts w:ascii="宋体" w:hAnsi="宋体" w:eastAsia="方正黑体简体" w:cs="宋体"/>
          <w:color w:val="333333"/>
          <w:kern w:val="0"/>
          <w:szCs w:val="32"/>
        </w:rPr>
      </w:pPr>
      <w:r>
        <w:rPr>
          <w:rFonts w:hint="eastAsia" w:ascii="宋体" w:hAnsi="宋体" w:eastAsia="方正黑体简体" w:cs="宋体"/>
          <w:color w:val="333333"/>
          <w:kern w:val="0"/>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在市委、市政府的坚强领导下，充分发挥综合协调和后勤保障作用，严格规范专家评审程序，严格取水许可、重大固定资产投资项目等审批事项的审批，加强许可事中和事后监管，为保障审批局相关业务的顺利开展提供了保障。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评价结论：综合评分项目绩效指标得分为100，绩效评分为优秀。</w:t>
      </w:r>
    </w:p>
    <w:p>
      <w:pPr>
        <w:spacing w:line="570" w:lineRule="exact"/>
        <w:ind w:firstLine="640" w:firstLineChars="200"/>
        <w:rPr>
          <w:rFonts w:ascii="宋体" w:hAnsi="宋体" w:eastAsia="方正黑体简体" w:cs="宋体"/>
          <w:color w:val="333333"/>
          <w:kern w:val="0"/>
          <w:szCs w:val="28"/>
        </w:rPr>
      </w:pPr>
      <w:r>
        <w:rPr>
          <w:rFonts w:hint="eastAsia" w:ascii="宋体" w:hAnsi="宋体" w:eastAsia="方正黑体简体" w:cs="宋体"/>
          <w:color w:val="333333"/>
          <w:kern w:val="0"/>
          <w:szCs w:val="28"/>
        </w:rPr>
        <w:t>四、绩效评价指标分析</w:t>
      </w:r>
    </w:p>
    <w:p>
      <w:pPr>
        <w:spacing w:line="570" w:lineRule="exact"/>
        <w:ind w:firstLine="614" w:firstLineChars="192"/>
        <w:rPr>
          <w:rFonts w:ascii="宋体" w:hAnsi="宋体" w:eastAsia="方正楷体简体" w:cs="宋体"/>
          <w:color w:val="333333"/>
          <w:kern w:val="0"/>
          <w:szCs w:val="28"/>
        </w:rPr>
      </w:pPr>
      <w:r>
        <w:rPr>
          <w:rFonts w:hint="eastAsia" w:ascii="宋体" w:hAnsi="宋体" w:eastAsia="方正楷体简体" w:cs="宋体"/>
          <w:color w:val="333333"/>
          <w:kern w:val="0"/>
          <w:szCs w:val="28"/>
        </w:rPr>
        <w:t>（一）项目决策情况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1</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项目目标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2</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决策过程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决策依据，是指项目是否符合经济发展规划和部门年度工作计划，是否根据需要制定中长期实施规划。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项目符合经济发展规划和部门年度工作计划，根据需要制定中长期实施规划。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决策程序，是指项目是否符合申报条件，申报、批复程序是否符合相关管理办法，项目调整是否履行相应手续。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项目符合申报条件，申报批复程序符合相关管理办法，项目调整履行相应手续。</w:t>
      </w:r>
    </w:p>
    <w:p>
      <w:pPr>
        <w:spacing w:line="570" w:lineRule="exact"/>
        <w:ind w:firstLine="640" w:firstLineChars="200"/>
        <w:rPr>
          <w:rFonts w:ascii="宋体" w:hAnsi="宋体" w:eastAsia="方正楷体简体" w:cs="宋体"/>
          <w:color w:val="333333"/>
          <w:kern w:val="0"/>
          <w:szCs w:val="28"/>
        </w:rPr>
      </w:pPr>
      <w:r>
        <w:rPr>
          <w:rFonts w:hint="eastAsia" w:ascii="宋体" w:hAnsi="宋体" w:eastAsia="方正楷体简体" w:cs="宋体"/>
          <w:color w:val="333333"/>
          <w:kern w:val="0"/>
          <w:szCs w:val="28"/>
        </w:rPr>
        <w:t>（二）项目过程情况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1</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资金管理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2</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3</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4</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管理制度，是指是否建立建全项目管理制度；是否严格执行相关项目管理制度。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楷体简体" w:cs="宋体"/>
          <w:color w:val="333333"/>
          <w:kern w:val="0"/>
          <w:szCs w:val="28"/>
        </w:rPr>
      </w:pPr>
      <w:r>
        <w:rPr>
          <w:rFonts w:hint="eastAsia" w:ascii="宋体" w:hAnsi="宋体" w:eastAsia="方正楷体简体" w:cs="宋体"/>
          <w:color w:val="333333"/>
          <w:kern w:val="0"/>
          <w:szCs w:val="28"/>
        </w:rPr>
        <w:t>（三）项目产出情况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1</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数量指标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综合业务管理工作完成率，各项综合业务工作任务完成情况占各项综合业务工作任务的比例，达到优良水平。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2</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质量指标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全年工作任务达标率，全年工作任务达到预期质量目标情况，达到优良水平。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3</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时效指标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报销时效性，按照审批程序及时报销，达到优良水平。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4</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成本指标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预算资金完成率，预算资金完成率达到财政部门要求，达到优良水平。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楷体简体" w:cs="宋体"/>
          <w:color w:val="333333"/>
          <w:kern w:val="0"/>
          <w:szCs w:val="28"/>
        </w:rPr>
      </w:pPr>
      <w:r>
        <w:rPr>
          <w:rFonts w:hint="eastAsia" w:ascii="宋体" w:hAnsi="宋体" w:eastAsia="方正楷体简体" w:cs="宋体"/>
          <w:color w:val="333333"/>
          <w:kern w:val="0"/>
          <w:szCs w:val="28"/>
        </w:rPr>
        <w:t>（四）项目效益情况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1</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社会效益指标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 xml:space="preserve">业务保障率，有效保障相关业务、工作等开展的业务次数占总业务量的比率，达到优良水平。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2</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可持续影响指标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提高发改领域服务保障能力，有利于业务开展，提高服务保障能力，达到优良水平。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3</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经济效益指标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节约项目开支，践行厉行节约反对浪费制度体系建设，达到优良水平。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4</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生态效益指标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工作环境改善程度，对工作环境的改善程度，达到优良水平。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5</w:t>
      </w:r>
      <w:r>
        <w:rPr>
          <w:rFonts w:hint="eastAsia" w:ascii="宋体" w:hAnsi="宋体" w:eastAsia="方正仿宋简体" w:cs="宋体"/>
          <w:color w:val="333333"/>
          <w:kern w:val="0"/>
          <w:szCs w:val="28"/>
          <w:lang w:val="en-US" w:eastAsia="zh-CN"/>
        </w:rPr>
        <w:t>.</w:t>
      </w:r>
      <w:r>
        <w:rPr>
          <w:rFonts w:hint="eastAsia" w:ascii="宋体" w:hAnsi="宋体" w:eastAsia="方正仿宋简体" w:cs="宋体"/>
          <w:color w:val="333333"/>
          <w:kern w:val="0"/>
          <w:szCs w:val="28"/>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Cs w:val="28"/>
        </w:rPr>
      </w:pPr>
      <w:r>
        <w:rPr>
          <w:rFonts w:hint="eastAsia" w:ascii="宋体" w:hAnsi="宋体" w:eastAsia="方正仿宋简体" w:cs="宋体"/>
          <w:color w:val="333333"/>
          <w:kern w:val="0"/>
          <w:szCs w:val="28"/>
        </w:rPr>
        <w:t>受益群体满意度，受益群体调查中，满意和较满意的人数占全部调查人数的比率，达到优良水平。</w:t>
      </w:r>
    </w:p>
    <w:p>
      <w:pPr>
        <w:spacing w:line="570" w:lineRule="exact"/>
        <w:ind w:firstLine="640" w:firstLineChars="200"/>
        <w:rPr>
          <w:rFonts w:ascii="宋体" w:hAnsi="宋体" w:eastAsia="方正黑体简体" w:cs="宋体"/>
          <w:color w:val="333333"/>
          <w:kern w:val="0"/>
          <w:szCs w:val="28"/>
        </w:rPr>
      </w:pPr>
      <w:r>
        <w:rPr>
          <w:rFonts w:hint="eastAsia" w:ascii="宋体" w:hAnsi="宋体" w:eastAsia="方正黑体简体" w:cs="宋体"/>
          <w:color w:val="333333"/>
          <w:kern w:val="0"/>
          <w:szCs w:val="28"/>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s="宋体"/>
          <w:color w:val="333333"/>
          <w:kern w:val="0"/>
          <w:szCs w:val="28"/>
        </w:rPr>
      </w:pPr>
      <w:r>
        <w:rPr>
          <w:rFonts w:hint="eastAsia" w:ascii="宋体" w:hAnsi="宋体" w:eastAsia="方正仿宋简体" w:cs="宋体"/>
          <w:color w:val="333333"/>
          <w:kern w:val="0"/>
          <w:szCs w:val="28"/>
        </w:rPr>
        <w:t>认真贯彻落实绩效管理办法，把预算绩效管理纳入整体工作，把财政项目支出绩效自评工作列入重要议事日程，做实做好。</w:t>
      </w:r>
    </w:p>
    <w:p>
      <w:pPr>
        <w:spacing w:line="570" w:lineRule="exact"/>
        <w:ind w:firstLine="640" w:firstLineChars="200"/>
        <w:rPr>
          <w:rFonts w:ascii="宋体" w:hAnsi="宋体" w:eastAsia="方正黑体简体" w:cs="宋体"/>
          <w:color w:val="333333"/>
          <w:kern w:val="0"/>
          <w:szCs w:val="28"/>
        </w:rPr>
      </w:pPr>
      <w:r>
        <w:rPr>
          <w:rFonts w:hint="eastAsia" w:ascii="宋体" w:hAnsi="宋体" w:eastAsia="方正黑体简体" w:cs="宋体"/>
          <w:color w:val="333333"/>
          <w:kern w:val="0"/>
          <w:szCs w:val="28"/>
        </w:rPr>
        <w:t>六、有关建议</w:t>
      </w:r>
    </w:p>
    <w:p>
      <w:pPr>
        <w:spacing w:line="570" w:lineRule="exact"/>
        <w:ind w:firstLine="614" w:firstLineChars="192"/>
        <w:rPr>
          <w:rFonts w:ascii="宋体" w:hAnsi="宋体" w:eastAsia="方正仿宋简体" w:cs="宋体"/>
          <w:color w:val="333333"/>
          <w:kern w:val="0"/>
          <w:szCs w:val="28"/>
        </w:rPr>
      </w:pPr>
      <w:r>
        <w:rPr>
          <w:rFonts w:hint="eastAsia" w:ascii="宋体" w:hAnsi="宋体" w:eastAsia="方正仿宋简体" w:cs="宋体"/>
          <w:color w:val="333333"/>
          <w:kern w:val="0"/>
          <w:szCs w:val="28"/>
        </w:rPr>
        <w:t xml:space="preserve"> 无</w:t>
      </w:r>
    </w:p>
    <w:p>
      <w:pPr>
        <w:spacing w:line="570" w:lineRule="exact"/>
        <w:ind w:firstLine="640" w:firstLineChars="200"/>
        <w:rPr>
          <w:rFonts w:ascii="宋体" w:hAnsi="宋体" w:eastAsia="方正黑体简体" w:cs="宋体"/>
          <w:color w:val="333333"/>
          <w:kern w:val="0"/>
          <w:szCs w:val="28"/>
        </w:rPr>
      </w:pPr>
      <w:r>
        <w:rPr>
          <w:rFonts w:hint="eastAsia" w:ascii="宋体" w:hAnsi="宋体" w:eastAsia="方正黑体简体" w:cs="宋体"/>
          <w:color w:val="333333"/>
          <w:kern w:val="0"/>
          <w:szCs w:val="28"/>
        </w:rPr>
        <w:t>七、其他需要说明的问题</w:t>
      </w:r>
    </w:p>
    <w:p>
      <w:pPr>
        <w:spacing w:line="570" w:lineRule="exact"/>
        <w:ind w:firstLine="614" w:firstLineChars="192"/>
        <w:rPr>
          <w:rFonts w:ascii="宋体" w:hAnsi="宋体" w:eastAsia="方正仿宋简体" w:cs="宋体"/>
          <w:color w:val="333333"/>
          <w:kern w:val="0"/>
          <w:szCs w:val="28"/>
        </w:rPr>
      </w:pPr>
      <w:r>
        <w:rPr>
          <w:rFonts w:hint="eastAsia" w:ascii="宋体" w:hAnsi="宋体" w:eastAsia="方正仿宋简体" w:cs="宋体"/>
          <w:color w:val="333333"/>
          <w:kern w:val="0"/>
          <w:szCs w:val="28"/>
        </w:rPr>
        <w:t xml:space="preserve"> 无</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bl>
      <w:tblPr>
        <w:tblStyle w:val="4"/>
        <w:tblpPr w:leftFromText="180" w:rightFromText="180" w:vertAnchor="text" w:horzAnchor="page" w:tblpX="1450" w:tblpY="209"/>
        <w:tblOverlap w:val="never"/>
        <w:tblW w:w="9721" w:type="dxa"/>
        <w:tblInd w:w="0" w:type="dxa"/>
        <w:tblLayout w:type="fixed"/>
        <w:tblCellMar>
          <w:top w:w="0" w:type="dxa"/>
          <w:left w:w="108" w:type="dxa"/>
          <w:bottom w:w="0" w:type="dxa"/>
          <w:right w:w="108" w:type="dxa"/>
        </w:tblCellMar>
      </w:tblPr>
      <w:tblGrid>
        <w:gridCol w:w="695"/>
        <w:gridCol w:w="577"/>
        <w:gridCol w:w="1338"/>
        <w:gridCol w:w="549"/>
        <w:gridCol w:w="1161"/>
        <w:gridCol w:w="1290"/>
        <w:gridCol w:w="1213"/>
        <w:gridCol w:w="197"/>
        <w:gridCol w:w="660"/>
        <w:gridCol w:w="766"/>
        <w:gridCol w:w="1275"/>
      </w:tblGrid>
      <w:tr>
        <w:tblPrEx>
          <w:tblCellMar>
            <w:top w:w="0" w:type="dxa"/>
            <w:left w:w="108" w:type="dxa"/>
            <w:bottom w:w="0" w:type="dxa"/>
            <w:right w:w="108" w:type="dxa"/>
          </w:tblCellMar>
        </w:tblPrEx>
        <w:trPr>
          <w:trHeight w:val="457" w:hRule="exact"/>
        </w:trPr>
        <w:tc>
          <w:tcPr>
            <w:tcW w:w="9721" w:type="dxa"/>
            <w:gridSpan w:val="11"/>
            <w:tcBorders>
              <w:top w:val="nil"/>
              <w:left w:val="nil"/>
              <w:bottom w:val="nil"/>
              <w:right w:val="nil"/>
            </w:tcBorders>
            <w:noWrap/>
            <w:vAlign w:val="center"/>
          </w:tcPr>
          <w:p>
            <w:pPr>
              <w:keepNext w:val="0"/>
              <w:keepLines w:val="0"/>
              <w:widowControl/>
              <w:suppressLineNumbers w:val="0"/>
              <w:jc w:val="center"/>
              <w:textAlignment w:val="center"/>
              <w:rPr>
                <w:rFonts w:ascii="宋体" w:hAnsi="宋体" w:cs="宋体"/>
                <w:b/>
                <w:bCs/>
                <w:kern w:val="0"/>
                <w:szCs w:val="32"/>
              </w:rPr>
            </w:pPr>
            <w:r>
              <w:rPr>
                <w:rFonts w:hint="eastAsia" w:ascii="宋体" w:hAnsi="宋体" w:eastAsia="宋体" w:cs="宋体"/>
                <w:b/>
                <w:i w:val="0"/>
                <w:color w:val="000000"/>
                <w:kern w:val="0"/>
                <w:sz w:val="32"/>
                <w:szCs w:val="32"/>
                <w:u w:val="none"/>
                <w:lang w:val="en-US" w:eastAsia="zh-CN" w:bidi="ar"/>
              </w:rPr>
              <w:t>2022年度项目支出绩效自评表</w:t>
            </w:r>
          </w:p>
        </w:tc>
      </w:tr>
      <w:tr>
        <w:tblPrEx>
          <w:tblCellMar>
            <w:top w:w="0" w:type="dxa"/>
            <w:left w:w="108" w:type="dxa"/>
            <w:bottom w:w="0" w:type="dxa"/>
            <w:right w:w="108" w:type="dxa"/>
          </w:tblCellMar>
        </w:tblPrEx>
        <w:trPr>
          <w:trHeight w:val="330" w:hRule="atLeast"/>
        </w:trPr>
        <w:tc>
          <w:tcPr>
            <w:tcW w:w="9721" w:type="dxa"/>
            <w:gridSpan w:val="11"/>
            <w:tcBorders>
              <w:top w:val="nil"/>
              <w:left w:val="nil"/>
              <w:bottom w:val="nil"/>
              <w:right w:val="nil"/>
            </w:tcBorders>
            <w:noWrap/>
            <w:vAlign w:val="top"/>
          </w:tcPr>
          <w:p>
            <w:pPr>
              <w:keepNext w:val="0"/>
              <w:keepLines w:val="0"/>
              <w:widowControl/>
              <w:suppressLineNumbers w:val="0"/>
              <w:jc w:val="right"/>
              <w:textAlignment w:val="top"/>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                      金额：万元</w:t>
            </w:r>
          </w:p>
        </w:tc>
      </w:tr>
      <w:tr>
        <w:tblPrEx>
          <w:tblCellMar>
            <w:top w:w="0" w:type="dxa"/>
            <w:left w:w="108" w:type="dxa"/>
            <w:bottom w:w="0" w:type="dxa"/>
            <w:right w:w="108" w:type="dxa"/>
          </w:tblCellMar>
        </w:tblPrEx>
        <w:trPr>
          <w:trHeight w:val="404" w:hRule="exact"/>
        </w:trPr>
        <w:tc>
          <w:tcPr>
            <w:tcW w:w="127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项目名称</w:t>
            </w:r>
          </w:p>
        </w:tc>
        <w:tc>
          <w:tcPr>
            <w:tcW w:w="8449" w:type="dxa"/>
            <w:gridSpan w:val="9"/>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2021-2022房屋租赁及物业费</w:t>
            </w:r>
          </w:p>
        </w:tc>
      </w:tr>
      <w:tr>
        <w:tblPrEx>
          <w:tblCellMar>
            <w:top w:w="0" w:type="dxa"/>
            <w:left w:w="108" w:type="dxa"/>
            <w:bottom w:w="0" w:type="dxa"/>
            <w:right w:w="108" w:type="dxa"/>
          </w:tblCellMar>
        </w:tblPrEx>
        <w:trPr>
          <w:trHeight w:val="354" w:hRule="exact"/>
        </w:trPr>
        <w:tc>
          <w:tcPr>
            <w:tcW w:w="127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主管部门</w:t>
            </w:r>
          </w:p>
        </w:tc>
        <w:tc>
          <w:tcPr>
            <w:tcW w:w="4338" w:type="dxa"/>
            <w:gridSpan w:val="4"/>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遵化市行政审批局</w:t>
            </w:r>
          </w:p>
        </w:tc>
        <w:tc>
          <w:tcPr>
            <w:tcW w:w="121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实施单位</w:t>
            </w:r>
          </w:p>
        </w:tc>
        <w:tc>
          <w:tcPr>
            <w:tcW w:w="2898" w:type="dxa"/>
            <w:gridSpan w:val="4"/>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遵化市行政审批局</w:t>
            </w:r>
          </w:p>
        </w:tc>
      </w:tr>
      <w:tr>
        <w:tblPrEx>
          <w:tblCellMar>
            <w:top w:w="0" w:type="dxa"/>
            <w:left w:w="108" w:type="dxa"/>
            <w:bottom w:w="0" w:type="dxa"/>
            <w:right w:w="108" w:type="dxa"/>
          </w:tblCellMar>
        </w:tblPrEx>
        <w:trPr>
          <w:trHeight w:val="434" w:hRule="exact"/>
        </w:trPr>
        <w:tc>
          <w:tcPr>
            <w:tcW w:w="127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项目资金</w:t>
            </w:r>
          </w:p>
        </w:tc>
        <w:tc>
          <w:tcPr>
            <w:tcW w:w="1887"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18"/>
                <w:szCs w:val="18"/>
              </w:rPr>
            </w:pPr>
          </w:p>
        </w:tc>
        <w:tc>
          <w:tcPr>
            <w:tcW w:w="11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年初预算数</w:t>
            </w:r>
          </w:p>
        </w:tc>
        <w:tc>
          <w:tcPr>
            <w:tcW w:w="12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rPr>
            </w:pPr>
            <w:r>
              <w:rPr>
                <w:rFonts w:hint="eastAsia" w:ascii="宋体" w:hAnsi="宋体" w:eastAsia="宋体" w:cs="宋体"/>
                <w:i w:val="0"/>
                <w:color w:val="000000"/>
                <w:kern w:val="0"/>
                <w:sz w:val="18"/>
                <w:szCs w:val="18"/>
                <w:u w:val="none"/>
                <w:lang w:val="en-US" w:eastAsia="zh-CN" w:bidi="ar"/>
              </w:rPr>
              <w:t>全年预算数</w:t>
            </w:r>
          </w:p>
        </w:tc>
        <w:tc>
          <w:tcPr>
            <w:tcW w:w="121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全年执行数</w:t>
            </w:r>
          </w:p>
        </w:tc>
        <w:tc>
          <w:tcPr>
            <w:tcW w:w="85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分值</w:t>
            </w:r>
          </w:p>
        </w:tc>
        <w:tc>
          <w:tcPr>
            <w:tcW w:w="76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执行率</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得分</w:t>
            </w:r>
          </w:p>
        </w:tc>
      </w:tr>
      <w:tr>
        <w:tblPrEx>
          <w:tblCellMar>
            <w:top w:w="0" w:type="dxa"/>
            <w:left w:w="108" w:type="dxa"/>
            <w:bottom w:w="0" w:type="dxa"/>
            <w:right w:w="108" w:type="dxa"/>
          </w:tblCellMar>
        </w:tblPrEx>
        <w:trPr>
          <w:trHeight w:val="369" w:hRule="exact"/>
        </w:trPr>
        <w:tc>
          <w:tcPr>
            <w:tcW w:w="127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（万元）</w:t>
            </w:r>
          </w:p>
        </w:tc>
        <w:tc>
          <w:tcPr>
            <w:tcW w:w="1887"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年度资金总额</w:t>
            </w:r>
          </w:p>
        </w:tc>
        <w:tc>
          <w:tcPr>
            <w:tcW w:w="11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146.66</w:t>
            </w:r>
          </w:p>
        </w:tc>
        <w:tc>
          <w:tcPr>
            <w:tcW w:w="12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rPr>
            </w:pPr>
            <w:r>
              <w:rPr>
                <w:rFonts w:hint="eastAsia" w:ascii="宋体" w:hAnsi="宋体" w:eastAsia="宋体" w:cs="宋体"/>
                <w:i w:val="0"/>
                <w:color w:val="000000"/>
                <w:kern w:val="0"/>
                <w:sz w:val="18"/>
                <w:szCs w:val="18"/>
                <w:u w:val="none"/>
                <w:lang w:val="en-US" w:eastAsia="zh-CN" w:bidi="ar"/>
              </w:rPr>
              <w:t>146.66</w:t>
            </w:r>
          </w:p>
        </w:tc>
        <w:tc>
          <w:tcPr>
            <w:tcW w:w="121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146.66</w:t>
            </w:r>
          </w:p>
        </w:tc>
        <w:tc>
          <w:tcPr>
            <w:tcW w:w="85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76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108" w:type="dxa"/>
            <w:bottom w:w="0" w:type="dxa"/>
            <w:right w:w="108" w:type="dxa"/>
          </w:tblCellMar>
        </w:tblPrEx>
        <w:trPr>
          <w:trHeight w:val="404" w:hRule="exact"/>
        </w:trPr>
        <w:tc>
          <w:tcPr>
            <w:tcW w:w="1272"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其中：当年财政拨款</w:t>
            </w:r>
          </w:p>
        </w:tc>
        <w:tc>
          <w:tcPr>
            <w:tcW w:w="11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146.66</w:t>
            </w:r>
          </w:p>
        </w:tc>
        <w:tc>
          <w:tcPr>
            <w:tcW w:w="12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rPr>
            </w:pPr>
            <w:r>
              <w:rPr>
                <w:rFonts w:hint="eastAsia" w:ascii="宋体" w:hAnsi="宋体" w:eastAsia="宋体" w:cs="宋体"/>
                <w:i w:val="0"/>
                <w:color w:val="000000"/>
                <w:kern w:val="0"/>
                <w:sz w:val="18"/>
                <w:szCs w:val="18"/>
                <w:u w:val="none"/>
                <w:lang w:val="en-US" w:eastAsia="zh-CN" w:bidi="ar"/>
              </w:rPr>
              <w:t>146.66</w:t>
            </w:r>
          </w:p>
        </w:tc>
        <w:tc>
          <w:tcPr>
            <w:tcW w:w="121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146.66</w:t>
            </w:r>
          </w:p>
        </w:tc>
        <w:tc>
          <w:tcPr>
            <w:tcW w:w="85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w:t>
            </w:r>
          </w:p>
        </w:tc>
        <w:tc>
          <w:tcPr>
            <w:tcW w:w="76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354" w:hRule="exact"/>
        </w:trPr>
        <w:tc>
          <w:tcPr>
            <w:tcW w:w="1272"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上年结转资金</w:t>
            </w:r>
          </w:p>
        </w:tc>
        <w:tc>
          <w:tcPr>
            <w:tcW w:w="1161" w:type="dxa"/>
            <w:tcBorders>
              <w:top w:val="nil"/>
              <w:left w:val="nil"/>
              <w:bottom w:val="single" w:color="auto" w:sz="4" w:space="0"/>
              <w:right w:val="single" w:color="auto" w:sz="4" w:space="0"/>
            </w:tcBorders>
            <w:noWrap/>
            <w:vAlign w:val="center"/>
          </w:tcPr>
          <w:p>
            <w:pPr>
              <w:jc w:val="center"/>
              <w:rPr>
                <w:rFonts w:ascii="宋体" w:hAnsi="宋体" w:cs="宋体"/>
                <w:kern w:val="0"/>
                <w:sz w:val="18"/>
                <w:szCs w:val="18"/>
              </w:rPr>
            </w:pPr>
          </w:p>
        </w:tc>
        <w:tc>
          <w:tcPr>
            <w:tcW w:w="1290" w:type="dxa"/>
            <w:tcBorders>
              <w:top w:val="nil"/>
              <w:left w:val="nil"/>
              <w:bottom w:val="single" w:color="auto" w:sz="4" w:space="0"/>
              <w:right w:val="single" w:color="auto" w:sz="4" w:space="0"/>
            </w:tcBorders>
            <w:noWrap/>
            <w:vAlign w:val="center"/>
          </w:tcPr>
          <w:p>
            <w:pPr>
              <w:jc w:val="center"/>
              <w:rPr>
                <w:rFonts w:ascii="宋体" w:hAnsi="宋体"/>
              </w:rPr>
            </w:pPr>
          </w:p>
        </w:tc>
        <w:tc>
          <w:tcPr>
            <w:tcW w:w="1213" w:type="dxa"/>
            <w:tcBorders>
              <w:top w:val="nil"/>
              <w:left w:val="nil"/>
              <w:bottom w:val="single" w:color="auto" w:sz="4" w:space="0"/>
              <w:right w:val="single" w:color="auto" w:sz="4" w:space="0"/>
            </w:tcBorders>
            <w:noWrap/>
            <w:vAlign w:val="center"/>
          </w:tcPr>
          <w:p>
            <w:pPr>
              <w:jc w:val="center"/>
              <w:rPr>
                <w:rFonts w:ascii="宋体" w:hAnsi="宋体" w:cs="宋体"/>
                <w:kern w:val="0"/>
                <w:sz w:val="18"/>
                <w:szCs w:val="18"/>
              </w:rPr>
            </w:pPr>
          </w:p>
        </w:tc>
        <w:tc>
          <w:tcPr>
            <w:tcW w:w="85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w:t>
            </w:r>
          </w:p>
        </w:tc>
        <w:tc>
          <w:tcPr>
            <w:tcW w:w="766"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399" w:hRule="exact"/>
        </w:trPr>
        <w:tc>
          <w:tcPr>
            <w:tcW w:w="1272"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其他资金</w:t>
            </w:r>
          </w:p>
        </w:tc>
        <w:tc>
          <w:tcPr>
            <w:tcW w:w="1161" w:type="dxa"/>
            <w:tcBorders>
              <w:top w:val="nil"/>
              <w:left w:val="nil"/>
              <w:bottom w:val="single" w:color="auto" w:sz="4" w:space="0"/>
              <w:right w:val="single" w:color="auto" w:sz="4" w:space="0"/>
            </w:tcBorders>
            <w:noWrap/>
            <w:vAlign w:val="center"/>
          </w:tcPr>
          <w:p>
            <w:pPr>
              <w:jc w:val="center"/>
              <w:rPr>
                <w:rFonts w:ascii="宋体" w:hAnsi="宋体" w:cs="宋体"/>
                <w:kern w:val="0"/>
                <w:sz w:val="18"/>
                <w:szCs w:val="18"/>
              </w:rPr>
            </w:pPr>
          </w:p>
        </w:tc>
        <w:tc>
          <w:tcPr>
            <w:tcW w:w="1290" w:type="dxa"/>
            <w:tcBorders>
              <w:top w:val="nil"/>
              <w:left w:val="nil"/>
              <w:bottom w:val="single" w:color="auto" w:sz="4" w:space="0"/>
              <w:right w:val="single" w:color="auto" w:sz="4" w:space="0"/>
            </w:tcBorders>
            <w:noWrap/>
            <w:vAlign w:val="center"/>
          </w:tcPr>
          <w:p>
            <w:pPr>
              <w:jc w:val="center"/>
              <w:rPr>
                <w:rFonts w:ascii="宋体" w:hAnsi="宋体"/>
              </w:rPr>
            </w:pPr>
          </w:p>
        </w:tc>
        <w:tc>
          <w:tcPr>
            <w:tcW w:w="1213" w:type="dxa"/>
            <w:tcBorders>
              <w:top w:val="nil"/>
              <w:left w:val="nil"/>
              <w:bottom w:val="single" w:color="auto" w:sz="4" w:space="0"/>
              <w:right w:val="single" w:color="auto" w:sz="4" w:space="0"/>
            </w:tcBorders>
            <w:noWrap/>
            <w:vAlign w:val="center"/>
          </w:tcPr>
          <w:p>
            <w:pPr>
              <w:jc w:val="center"/>
              <w:rPr>
                <w:rFonts w:ascii="宋体" w:hAnsi="宋体" w:cs="宋体"/>
                <w:kern w:val="0"/>
                <w:sz w:val="18"/>
                <w:szCs w:val="18"/>
              </w:rPr>
            </w:pPr>
          </w:p>
        </w:tc>
        <w:tc>
          <w:tcPr>
            <w:tcW w:w="85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w:t>
            </w:r>
          </w:p>
        </w:tc>
        <w:tc>
          <w:tcPr>
            <w:tcW w:w="766"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354" w:hRule="exact"/>
        </w:trPr>
        <w:tc>
          <w:tcPr>
            <w:tcW w:w="695"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年度总体目标</w:t>
            </w:r>
          </w:p>
        </w:tc>
        <w:tc>
          <w:tcPr>
            <w:tcW w:w="4915" w:type="dxa"/>
            <w:gridSpan w:val="5"/>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预期目标</w:t>
            </w:r>
          </w:p>
        </w:tc>
        <w:tc>
          <w:tcPr>
            <w:tcW w:w="4111" w:type="dxa"/>
            <w:gridSpan w:val="5"/>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实际完成情况综述</w:t>
            </w:r>
          </w:p>
        </w:tc>
      </w:tr>
      <w:tr>
        <w:tblPrEx>
          <w:tblCellMar>
            <w:top w:w="0" w:type="dxa"/>
            <w:left w:w="108" w:type="dxa"/>
            <w:bottom w:w="0" w:type="dxa"/>
            <w:right w:w="108" w:type="dxa"/>
          </w:tblCellMar>
        </w:tblPrEx>
        <w:trPr>
          <w:trHeight w:val="897" w:hRule="exact"/>
        </w:trPr>
        <w:tc>
          <w:tcPr>
            <w:tcW w:w="695" w:type="dxa"/>
            <w:vMerge w:val="continue"/>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18"/>
                <w:szCs w:val="18"/>
              </w:rPr>
            </w:pPr>
          </w:p>
        </w:tc>
        <w:tc>
          <w:tcPr>
            <w:tcW w:w="4915" w:type="dxa"/>
            <w:gridSpan w:val="5"/>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通过提高工作标准、优化审批流程、压缩审批时间，实现暖心服务，打造最优质、最高效、最规范、最便捷的“审批金牌保姆”服务品牌     </w:t>
            </w:r>
          </w:p>
        </w:tc>
        <w:tc>
          <w:tcPr>
            <w:tcW w:w="4111" w:type="dxa"/>
            <w:gridSpan w:val="5"/>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目前全部支出</w:t>
            </w:r>
          </w:p>
        </w:tc>
      </w:tr>
      <w:tr>
        <w:tblPrEx>
          <w:tblCellMar>
            <w:top w:w="0" w:type="dxa"/>
            <w:left w:w="108" w:type="dxa"/>
            <w:bottom w:w="0" w:type="dxa"/>
            <w:right w:w="108" w:type="dxa"/>
          </w:tblCellMar>
        </w:tblPrEx>
        <w:trPr>
          <w:trHeight w:val="397" w:hRule="exact"/>
        </w:trPr>
        <w:tc>
          <w:tcPr>
            <w:tcW w:w="695" w:type="dxa"/>
            <w:vMerge w:val="restart"/>
            <w:tcBorders>
              <w:top w:val="nil"/>
              <w:left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绩效指标</w:t>
            </w:r>
          </w:p>
        </w:tc>
        <w:tc>
          <w:tcPr>
            <w:tcW w:w="577" w:type="dxa"/>
            <w:vMerge w:val="restart"/>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一级指标</w:t>
            </w:r>
          </w:p>
        </w:tc>
        <w:tc>
          <w:tcPr>
            <w:tcW w:w="1338" w:type="dxa"/>
            <w:vMerge w:val="restart"/>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二级指标</w:t>
            </w:r>
          </w:p>
        </w:tc>
        <w:tc>
          <w:tcPr>
            <w:tcW w:w="1710" w:type="dxa"/>
            <w:gridSpan w:val="2"/>
            <w:vMerge w:val="restar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三级指标</w:t>
            </w:r>
          </w:p>
        </w:tc>
        <w:tc>
          <w:tcPr>
            <w:tcW w:w="12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年度</w:t>
            </w:r>
          </w:p>
        </w:tc>
        <w:tc>
          <w:tcPr>
            <w:tcW w:w="1410"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实际</w:t>
            </w:r>
          </w:p>
        </w:tc>
        <w:tc>
          <w:tcPr>
            <w:tcW w:w="660" w:type="dxa"/>
            <w:vMerge w:val="restart"/>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分值</w:t>
            </w:r>
          </w:p>
        </w:tc>
        <w:tc>
          <w:tcPr>
            <w:tcW w:w="766" w:type="dxa"/>
            <w:vMerge w:val="restart"/>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得分</w:t>
            </w:r>
          </w:p>
        </w:tc>
        <w:tc>
          <w:tcPr>
            <w:tcW w:w="1275" w:type="dxa"/>
            <w:vMerge w:val="restar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偏差原因分析及改进措施</w:t>
            </w:r>
          </w:p>
        </w:tc>
      </w:tr>
      <w:tr>
        <w:tblPrEx>
          <w:tblCellMar>
            <w:top w:w="0" w:type="dxa"/>
            <w:left w:w="108" w:type="dxa"/>
            <w:bottom w:w="0" w:type="dxa"/>
            <w:right w:w="108" w:type="dxa"/>
          </w:tblCellMar>
        </w:tblPrEx>
        <w:trPr>
          <w:trHeight w:val="409" w:hRule="exact"/>
        </w:trPr>
        <w:tc>
          <w:tcPr>
            <w:tcW w:w="695"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577" w:type="dxa"/>
            <w:vMerge w:val="continue"/>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18"/>
                <w:szCs w:val="18"/>
              </w:rPr>
            </w:pPr>
          </w:p>
        </w:tc>
        <w:tc>
          <w:tcPr>
            <w:tcW w:w="1338" w:type="dxa"/>
            <w:vMerge w:val="continue"/>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18"/>
                <w:szCs w:val="18"/>
              </w:rPr>
            </w:pPr>
          </w:p>
        </w:tc>
        <w:tc>
          <w:tcPr>
            <w:tcW w:w="1710" w:type="dxa"/>
            <w:gridSpan w:val="2"/>
            <w:vMerge w:val="continue"/>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p>
        </w:tc>
        <w:tc>
          <w:tcPr>
            <w:tcW w:w="12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18"/>
                <w:szCs w:val="18"/>
                <w:lang w:eastAsia="zh-CN"/>
              </w:rPr>
            </w:pPr>
            <w:r>
              <w:rPr>
                <w:rFonts w:hint="eastAsia" w:ascii="宋体" w:hAnsi="宋体" w:eastAsia="宋体" w:cs="宋体"/>
                <w:i w:val="0"/>
                <w:color w:val="000000"/>
                <w:kern w:val="0"/>
                <w:sz w:val="18"/>
                <w:szCs w:val="18"/>
                <w:u w:val="none"/>
                <w:lang w:val="en-US" w:eastAsia="zh-CN" w:bidi="ar"/>
              </w:rPr>
              <w:t>指标值</w:t>
            </w:r>
          </w:p>
        </w:tc>
        <w:tc>
          <w:tcPr>
            <w:tcW w:w="1410"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完成值</w:t>
            </w:r>
          </w:p>
        </w:tc>
        <w:tc>
          <w:tcPr>
            <w:tcW w:w="660" w:type="dxa"/>
            <w:vMerge w:val="continue"/>
            <w:tcBorders>
              <w:top w:val="nil"/>
              <w:left w:val="nil"/>
              <w:bottom w:val="single" w:color="auto" w:sz="4" w:space="0"/>
              <w:right w:val="single" w:color="auto" w:sz="4" w:space="0"/>
            </w:tcBorders>
            <w:noWrap/>
            <w:vAlign w:val="center"/>
          </w:tcPr>
          <w:p>
            <w:pPr>
              <w:jc w:val="center"/>
              <w:rPr>
                <w:rFonts w:hint="eastAsia" w:ascii="宋体" w:hAnsi="宋体" w:eastAsia="宋体" w:cs="宋体"/>
                <w:kern w:val="0"/>
                <w:sz w:val="18"/>
                <w:szCs w:val="18"/>
                <w:lang w:eastAsia="zh-CN"/>
              </w:rPr>
            </w:pPr>
          </w:p>
        </w:tc>
        <w:tc>
          <w:tcPr>
            <w:tcW w:w="766" w:type="dxa"/>
            <w:vMerge w:val="continue"/>
            <w:tcBorders>
              <w:top w:val="nil"/>
              <w:left w:val="nil"/>
              <w:bottom w:val="single" w:color="auto" w:sz="4" w:space="0"/>
              <w:right w:val="single" w:color="auto" w:sz="4" w:space="0"/>
            </w:tcBorders>
            <w:noWrap/>
            <w:vAlign w:val="center"/>
          </w:tcPr>
          <w:p>
            <w:pPr>
              <w:jc w:val="center"/>
              <w:rPr>
                <w:rFonts w:hint="eastAsia" w:ascii="宋体" w:hAnsi="宋体" w:eastAsia="宋体" w:cs="宋体"/>
                <w:kern w:val="0"/>
                <w:sz w:val="18"/>
                <w:szCs w:val="18"/>
                <w:lang w:eastAsia="zh-CN"/>
              </w:rPr>
            </w:pPr>
          </w:p>
        </w:tc>
        <w:tc>
          <w:tcPr>
            <w:tcW w:w="1275" w:type="dxa"/>
            <w:vMerge w:val="continue"/>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484" w:hRule="exact"/>
        </w:trPr>
        <w:tc>
          <w:tcPr>
            <w:tcW w:w="695"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577"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产出指标</w:t>
            </w:r>
          </w:p>
        </w:tc>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数量指标</w:t>
            </w:r>
          </w:p>
        </w:tc>
        <w:tc>
          <w:tcPr>
            <w:tcW w:w="171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物业费面积</w:t>
            </w:r>
          </w:p>
        </w:tc>
        <w:tc>
          <w:tcPr>
            <w:tcW w:w="12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18"/>
                <w:szCs w:val="18"/>
                <w:lang w:eastAsia="zh-CN"/>
              </w:rPr>
            </w:pPr>
            <w:r>
              <w:rPr>
                <w:rFonts w:hint="eastAsia" w:ascii="宋体" w:hAnsi="宋体" w:eastAsia="宋体" w:cs="宋体"/>
                <w:i w:val="0"/>
                <w:color w:val="000000"/>
                <w:kern w:val="0"/>
                <w:sz w:val="16"/>
                <w:szCs w:val="16"/>
                <w:u w:val="none"/>
                <w:lang w:val="en-US" w:eastAsia="zh-CN" w:bidi="ar"/>
              </w:rPr>
              <w:t>4400平方米</w:t>
            </w:r>
          </w:p>
        </w:tc>
        <w:tc>
          <w:tcPr>
            <w:tcW w:w="1410"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4400平方米</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20</w:t>
            </w:r>
          </w:p>
        </w:tc>
        <w:tc>
          <w:tcPr>
            <w:tcW w:w="76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20</w:t>
            </w:r>
          </w:p>
        </w:tc>
        <w:tc>
          <w:tcPr>
            <w:tcW w:w="12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4" w:hRule="exact"/>
        </w:trPr>
        <w:tc>
          <w:tcPr>
            <w:tcW w:w="695"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577" w:type="dxa"/>
            <w:vMerge w:val="continue"/>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18"/>
                <w:szCs w:val="18"/>
              </w:rPr>
            </w:pPr>
          </w:p>
        </w:tc>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质量指标</w:t>
            </w:r>
          </w:p>
        </w:tc>
        <w:tc>
          <w:tcPr>
            <w:tcW w:w="171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配套设施比率</w:t>
            </w:r>
          </w:p>
        </w:tc>
        <w:tc>
          <w:tcPr>
            <w:tcW w:w="12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6"/>
                <w:szCs w:val="16"/>
                <w:u w:val="none"/>
                <w:lang w:val="en-US" w:eastAsia="zh-CN" w:bidi="ar"/>
              </w:rPr>
              <w:t>≥95%</w:t>
            </w:r>
          </w:p>
        </w:tc>
        <w:tc>
          <w:tcPr>
            <w:tcW w:w="1410"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95%</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76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color w:val="000000"/>
                <w:kern w:val="0"/>
                <w:sz w:val="18"/>
                <w:szCs w:val="18"/>
                <w:u w:val="none"/>
                <w:lang w:val="en-US" w:eastAsia="zh-CN" w:bidi="ar"/>
              </w:rPr>
              <w:t>10</w:t>
            </w:r>
          </w:p>
        </w:tc>
        <w:tc>
          <w:tcPr>
            <w:tcW w:w="12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499" w:hRule="exact"/>
        </w:trPr>
        <w:tc>
          <w:tcPr>
            <w:tcW w:w="695"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577" w:type="dxa"/>
            <w:vMerge w:val="continue"/>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18"/>
                <w:szCs w:val="18"/>
              </w:rPr>
            </w:pPr>
          </w:p>
        </w:tc>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时效指标</w:t>
            </w:r>
          </w:p>
        </w:tc>
        <w:tc>
          <w:tcPr>
            <w:tcW w:w="171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项目完成时限</w:t>
            </w:r>
          </w:p>
        </w:tc>
        <w:tc>
          <w:tcPr>
            <w:tcW w:w="12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6"/>
                <w:szCs w:val="16"/>
                <w:u w:val="none"/>
                <w:lang w:val="en-US" w:eastAsia="zh-CN" w:bidi="ar"/>
              </w:rPr>
              <w:t>100%</w:t>
            </w:r>
          </w:p>
        </w:tc>
        <w:tc>
          <w:tcPr>
            <w:tcW w:w="1410"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76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2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349" w:hRule="exact"/>
        </w:trPr>
        <w:tc>
          <w:tcPr>
            <w:tcW w:w="695"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577" w:type="dxa"/>
            <w:vMerge w:val="continue"/>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18"/>
                <w:szCs w:val="18"/>
              </w:rPr>
            </w:pPr>
          </w:p>
        </w:tc>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成本指标</w:t>
            </w:r>
          </w:p>
        </w:tc>
        <w:tc>
          <w:tcPr>
            <w:tcW w:w="171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预算资金完成率</w:t>
            </w:r>
          </w:p>
        </w:tc>
        <w:tc>
          <w:tcPr>
            <w:tcW w:w="12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6"/>
                <w:szCs w:val="16"/>
                <w:u w:val="none"/>
                <w:lang w:val="en-US" w:eastAsia="zh-CN" w:bidi="ar"/>
              </w:rPr>
              <w:t>≥99%</w:t>
            </w:r>
          </w:p>
        </w:tc>
        <w:tc>
          <w:tcPr>
            <w:tcW w:w="1410"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76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2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4" w:hRule="exact"/>
        </w:trPr>
        <w:tc>
          <w:tcPr>
            <w:tcW w:w="695"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577" w:type="dxa"/>
            <w:vMerge w:val="continue"/>
            <w:tcBorders>
              <w:top w:val="nil"/>
              <w:left w:val="single" w:color="auto" w:sz="4" w:space="0"/>
              <w:right w:val="single" w:color="auto" w:sz="4" w:space="0"/>
            </w:tcBorders>
            <w:noWrap/>
            <w:vAlign w:val="center"/>
          </w:tcPr>
          <w:p>
            <w:pPr>
              <w:jc w:val="center"/>
              <w:rPr>
                <w:rFonts w:hint="eastAsia" w:ascii="宋体" w:hAnsi="宋体" w:cs="宋体"/>
                <w:kern w:val="0"/>
                <w:sz w:val="18"/>
                <w:szCs w:val="18"/>
              </w:rPr>
            </w:pPr>
          </w:p>
        </w:tc>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数量指标</w:t>
            </w:r>
          </w:p>
        </w:tc>
        <w:tc>
          <w:tcPr>
            <w:tcW w:w="171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房屋租赁面积</w:t>
            </w:r>
          </w:p>
        </w:tc>
        <w:tc>
          <w:tcPr>
            <w:tcW w:w="12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6"/>
                <w:szCs w:val="16"/>
                <w:u w:val="none"/>
                <w:lang w:val="en-US" w:eastAsia="zh-CN" w:bidi="ar"/>
              </w:rPr>
              <w:t>4400平方米</w:t>
            </w:r>
          </w:p>
        </w:tc>
        <w:tc>
          <w:tcPr>
            <w:tcW w:w="1410"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4400平方米</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76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2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664" w:hRule="exact"/>
        </w:trPr>
        <w:tc>
          <w:tcPr>
            <w:tcW w:w="695"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577" w:type="dxa"/>
            <w:vMerge w:val="restart"/>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效益指标</w:t>
            </w:r>
          </w:p>
        </w:tc>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可持续影响指标</w:t>
            </w:r>
          </w:p>
        </w:tc>
        <w:tc>
          <w:tcPr>
            <w:tcW w:w="171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长期使用性</w:t>
            </w:r>
          </w:p>
        </w:tc>
        <w:tc>
          <w:tcPr>
            <w:tcW w:w="12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6"/>
                <w:szCs w:val="16"/>
                <w:u w:val="none"/>
                <w:lang w:val="en-US" w:eastAsia="zh-CN" w:bidi="ar"/>
              </w:rPr>
              <w:t>≥95%</w:t>
            </w:r>
          </w:p>
        </w:tc>
        <w:tc>
          <w:tcPr>
            <w:tcW w:w="1410"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95%</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76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2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739" w:hRule="exact"/>
        </w:trPr>
        <w:tc>
          <w:tcPr>
            <w:tcW w:w="695"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577" w:type="dxa"/>
            <w:vMerge w:val="continue"/>
            <w:tcBorders>
              <w:left w:val="single" w:color="auto" w:sz="4" w:space="0"/>
              <w:right w:val="single" w:color="auto" w:sz="4" w:space="0"/>
            </w:tcBorders>
            <w:noWrap/>
            <w:vAlign w:val="center"/>
          </w:tcPr>
          <w:p>
            <w:pPr>
              <w:jc w:val="center"/>
              <w:rPr>
                <w:rFonts w:hint="eastAsia" w:ascii="宋体" w:hAnsi="宋体" w:cs="宋体"/>
                <w:kern w:val="0"/>
                <w:sz w:val="18"/>
                <w:szCs w:val="18"/>
              </w:rPr>
            </w:pPr>
          </w:p>
        </w:tc>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社会效益</w:t>
            </w:r>
          </w:p>
        </w:tc>
        <w:tc>
          <w:tcPr>
            <w:tcW w:w="171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业务保障率</w:t>
            </w:r>
          </w:p>
        </w:tc>
        <w:tc>
          <w:tcPr>
            <w:tcW w:w="12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6"/>
                <w:szCs w:val="16"/>
                <w:u w:val="none"/>
                <w:lang w:val="en-US" w:eastAsia="zh-CN" w:bidi="ar"/>
              </w:rPr>
              <w:t>≥95%</w:t>
            </w:r>
          </w:p>
        </w:tc>
        <w:tc>
          <w:tcPr>
            <w:tcW w:w="1410"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95%</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76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2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1279" w:hRule="exact"/>
        </w:trPr>
        <w:tc>
          <w:tcPr>
            <w:tcW w:w="695"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满意度</w:t>
            </w:r>
          </w:p>
        </w:tc>
        <w:tc>
          <w:tcPr>
            <w:tcW w:w="133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服务对象满意度指标</w:t>
            </w:r>
          </w:p>
        </w:tc>
        <w:tc>
          <w:tcPr>
            <w:tcW w:w="171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服务对象满意度</w:t>
            </w:r>
          </w:p>
        </w:tc>
        <w:tc>
          <w:tcPr>
            <w:tcW w:w="12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6"/>
                <w:szCs w:val="16"/>
                <w:u w:val="none"/>
                <w:lang w:val="en-US" w:eastAsia="zh-CN" w:bidi="ar"/>
              </w:rPr>
              <w:t>≥95%</w:t>
            </w:r>
          </w:p>
        </w:tc>
        <w:tc>
          <w:tcPr>
            <w:tcW w:w="1410"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95%</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76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10</w:t>
            </w:r>
          </w:p>
        </w:tc>
        <w:tc>
          <w:tcPr>
            <w:tcW w:w="12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458" w:hRule="exact"/>
        </w:trPr>
        <w:tc>
          <w:tcPr>
            <w:tcW w:w="7020"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预算执行率</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76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12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391" w:hRule="exact"/>
        </w:trPr>
        <w:tc>
          <w:tcPr>
            <w:tcW w:w="7020"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总分</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76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rPr>
            </w:pPr>
            <w:r>
              <w:rPr>
                <w:rFonts w:hint="eastAsia" w:ascii="宋体" w:hAnsi="宋体" w:cs="宋体"/>
                <w:i w:val="0"/>
                <w:color w:val="000000"/>
                <w:kern w:val="0"/>
                <w:sz w:val="18"/>
                <w:szCs w:val="18"/>
                <w:u w:val="none"/>
                <w:lang w:val="en-US" w:eastAsia="zh-CN" w:bidi="ar"/>
              </w:rPr>
              <w:t>100</w:t>
            </w:r>
          </w:p>
        </w:tc>
        <w:tc>
          <w:tcPr>
            <w:tcW w:w="1275" w:type="dxa"/>
            <w:tcBorders>
              <w:top w:val="single" w:color="auto" w:sz="4" w:space="0"/>
              <w:left w:val="nil"/>
              <w:bottom w:val="single" w:color="auto" w:sz="4" w:space="0"/>
              <w:right w:val="single" w:color="auto" w:sz="4" w:space="0"/>
            </w:tcBorders>
            <w:noWrap/>
            <w:vAlign w:val="center"/>
          </w:tcPr>
          <w:p>
            <w:pPr>
              <w:rPr>
                <w:rFonts w:ascii="宋体" w:hAnsi="宋体" w:cs="宋体"/>
                <w:kern w:val="0"/>
                <w:sz w:val="18"/>
                <w:szCs w:val="18"/>
              </w:rPr>
            </w:pPr>
          </w:p>
        </w:tc>
      </w:tr>
    </w:tbl>
    <w:p>
      <w:pPr>
        <w:rPr>
          <w:rFonts w:ascii="宋体" w:hAnsi="宋体"/>
        </w:rPr>
      </w:pPr>
      <w:r>
        <w:rPr>
          <w:rFonts w:hint="eastAsia" w:ascii="宋体" w:hAnsi="宋体"/>
          <w:sz w:val="21"/>
          <w:szCs w:val="21"/>
        </w:rPr>
        <w:t>注：其中预算执行率固定为10分，其中各项指标90分，总分100分。</w:t>
      </w:r>
    </w:p>
    <w:p>
      <w:pPr>
        <w:rPr>
          <w:rFonts w:ascii="宋体" w:hAnsi="宋体"/>
        </w:rPr>
      </w:pPr>
    </w:p>
    <w:p>
      <w:pPr>
        <w:rPr>
          <w:rFonts w:ascii="宋体" w:hAnsi="宋体"/>
        </w:rPr>
      </w:pPr>
    </w:p>
    <w:p>
      <w:pPr>
        <w:keepNext w:val="0"/>
        <w:keepLines w:val="0"/>
        <w:pageBreakBefore w:val="0"/>
        <w:kinsoku/>
        <w:wordWrap/>
        <w:overflowPunct/>
        <w:topLinePunct w:val="0"/>
        <w:autoSpaceDE/>
        <w:autoSpaceDN/>
        <w:bidi w:val="0"/>
        <w:snapToGrid w:val="0"/>
        <w:spacing w:line="570" w:lineRule="exact"/>
        <w:ind w:left="810"/>
        <w:jc w:val="center"/>
        <w:textAlignment w:val="auto"/>
        <w:rPr>
          <w:rFonts w:hint="eastAsia" w:ascii="宋体" w:hAnsi="宋体"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570" w:lineRule="exact"/>
        <w:ind w:left="809" w:leftChars="0" w:hanging="809" w:hangingChars="184"/>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遵化市行政审批局</w:t>
      </w:r>
    </w:p>
    <w:p>
      <w:pPr>
        <w:keepNext w:val="0"/>
        <w:keepLines w:val="0"/>
        <w:pageBreakBefore w:val="0"/>
        <w:kinsoku/>
        <w:wordWrap/>
        <w:overflowPunct/>
        <w:topLinePunct w:val="0"/>
        <w:autoSpaceDE/>
        <w:autoSpaceDN/>
        <w:bidi w:val="0"/>
        <w:snapToGrid w:val="0"/>
        <w:spacing w:line="570" w:lineRule="exact"/>
        <w:ind w:left="809" w:leftChars="0" w:hanging="809" w:hangingChars="184"/>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lang w:val="en-US" w:eastAsia="zh-CN"/>
        </w:rPr>
        <w:t>2021-2022房屋租赁及物业费</w:t>
      </w:r>
      <w:r>
        <w:rPr>
          <w:rFonts w:hint="eastAsia" w:ascii="宋体" w:hAnsi="宋体" w:eastAsia="方正小标宋简体" w:cs="方正小标宋简体"/>
          <w:sz w:val="44"/>
          <w:szCs w:val="44"/>
        </w:rPr>
        <w:t>自评报告</w:t>
      </w:r>
    </w:p>
    <w:p>
      <w:pPr>
        <w:keepNext w:val="0"/>
        <w:keepLines w:val="0"/>
        <w:pageBreakBefore w:val="0"/>
        <w:kinsoku/>
        <w:wordWrap/>
        <w:overflowPunct/>
        <w:topLinePunct w:val="0"/>
        <w:autoSpaceDE/>
        <w:autoSpaceDN/>
        <w:bidi w:val="0"/>
        <w:snapToGrid w:val="0"/>
        <w:spacing w:line="570" w:lineRule="exact"/>
        <w:ind w:left="810"/>
        <w:jc w:val="center"/>
        <w:textAlignment w:val="auto"/>
        <w:rPr>
          <w:rFonts w:hint="eastAsia" w:ascii="宋体" w:hAnsi="宋体"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509" w:rightChars="-159"/>
        <w:textAlignment w:val="auto"/>
        <w:rPr>
          <w:rFonts w:hint="eastAsia" w:ascii="宋体" w:hAnsi="宋体" w:eastAsia="方正黑体简体" w:cs="方正黑体简体"/>
          <w:kern w:val="0"/>
          <w:sz w:val="32"/>
          <w:szCs w:val="32"/>
          <w:lang w:val="zh-CN"/>
        </w:rPr>
      </w:pPr>
      <w:r>
        <w:rPr>
          <w:rFonts w:hint="eastAsia" w:ascii="宋体" w:hAnsi="宋体" w:eastAsia="方正仿宋简体" w:cs="方正仿宋简体"/>
          <w:kern w:val="0"/>
          <w:szCs w:val="32"/>
          <w:lang w:val="zh-CN"/>
        </w:rPr>
        <w:t xml:space="preserve">  </w:t>
      </w:r>
      <w:r>
        <w:rPr>
          <w:rFonts w:hint="eastAsia" w:ascii="宋体" w:hAnsi="宋体" w:eastAsia="方正黑体简体" w:cs="方正黑体简体"/>
          <w:kern w:val="0"/>
          <w:sz w:val="32"/>
          <w:szCs w:val="32"/>
          <w:lang w:val="zh-CN"/>
        </w:rPr>
        <w:t xml:space="preserve">  一、项目基本概况</w:t>
      </w: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楷体简体" w:cs="方正楷体简体"/>
          <w:b w:val="0"/>
          <w:bCs w:val="0"/>
          <w:color w:val="333333"/>
          <w:kern w:val="0"/>
          <w:sz w:val="32"/>
          <w:szCs w:val="32"/>
        </w:rPr>
      </w:pPr>
      <w:r>
        <w:rPr>
          <w:rFonts w:hint="eastAsia" w:ascii="宋体" w:hAnsi="宋体" w:eastAsia="方正楷体简体" w:cs="方正楷体简体"/>
          <w:b w:val="0"/>
          <w:bCs w:val="0"/>
          <w:color w:val="333333"/>
          <w:kern w:val="0"/>
          <w:sz w:val="32"/>
          <w:szCs w:val="32"/>
        </w:rPr>
        <w:t>（一）项目基本情况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我局位于华明南路华明嘉园西区底商，租赁面积4400平方米，租赁费用为146.67万元（27.78元*4400平方米*12个月）。根据房屋租赁合同，房屋租金为上交款，即每年的10月26日交本年度的租金。用于2021年10月-2022年10月审批局办公楼的物业管理。按合同内容要求，每季度支付一次物业管理费，每次提前10日支付，依据《物业服务收费管理办法》及物价局批准的收费标准，全年物业费合计19万元(按建筑面积4400平米X3.6元/平米/月X12个月）。2022年全年预算安排146.67万元。2022年财政预算资金实际支出合计146.67万元。</w:t>
      </w: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楷体简体" w:cs="方正楷体简体"/>
          <w:b w:val="0"/>
          <w:bCs w:val="0"/>
          <w:color w:val="333333"/>
          <w:kern w:val="0"/>
          <w:sz w:val="32"/>
          <w:szCs w:val="32"/>
          <w:lang w:eastAsia="zh-CN"/>
        </w:rPr>
      </w:pPr>
      <w:r>
        <w:rPr>
          <w:rFonts w:hint="eastAsia" w:ascii="宋体" w:hAnsi="宋体" w:eastAsia="方正楷体简体" w:cs="方正楷体简体"/>
          <w:b w:val="0"/>
          <w:bCs w:val="0"/>
          <w:color w:val="333333"/>
          <w:kern w:val="0"/>
          <w:sz w:val="32"/>
          <w:szCs w:val="32"/>
          <w:lang w:eastAsia="zh-CN"/>
        </w:rPr>
        <w:t>（二）项目绩效目标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总体目标：通过提高工作标准、优化审批流程、压缩审批时间，实现暖心服务，打造最优质、最高效、最规范、最便捷的“审批金牌保姆”服务品牌。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阶段性目标：按时高效、高质量完成业务。</w:t>
      </w:r>
    </w:p>
    <w:p>
      <w:pPr>
        <w:keepNext w:val="0"/>
        <w:keepLines w:val="0"/>
        <w:pageBreakBefore w:val="0"/>
        <w:kinsoku/>
        <w:wordWrap/>
        <w:overflowPunct/>
        <w:topLinePunct w:val="0"/>
        <w:autoSpaceDE/>
        <w:autoSpaceDN/>
        <w:bidi w:val="0"/>
        <w:spacing w:line="570" w:lineRule="exact"/>
        <w:ind w:right="-509" w:rightChars="-159" w:firstLine="640" w:firstLineChars="200"/>
        <w:textAlignment w:val="auto"/>
        <w:rPr>
          <w:rFonts w:hint="eastAsia" w:ascii="宋体" w:hAnsi="宋体" w:eastAsia="方正黑体简体" w:cs="方正黑体简体"/>
          <w:kern w:val="0"/>
          <w:sz w:val="32"/>
          <w:szCs w:val="32"/>
          <w:lang w:val="zh-CN"/>
        </w:rPr>
      </w:pPr>
      <w:r>
        <w:rPr>
          <w:rFonts w:hint="eastAsia" w:ascii="宋体" w:hAnsi="宋体" w:eastAsia="方正黑体简体" w:cs="方正黑体简体"/>
          <w:kern w:val="0"/>
          <w:sz w:val="32"/>
          <w:szCs w:val="32"/>
          <w:lang w:val="zh-CN"/>
        </w:rPr>
        <w:t>二、绩效评价工作开展情况</w:t>
      </w: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楷体简体" w:cs="方正楷体简体"/>
          <w:b w:val="0"/>
          <w:bCs w:val="0"/>
          <w:color w:val="333333"/>
          <w:kern w:val="0"/>
          <w:sz w:val="32"/>
          <w:szCs w:val="32"/>
          <w:lang w:eastAsia="zh-CN"/>
        </w:rPr>
      </w:pPr>
      <w:r>
        <w:rPr>
          <w:rFonts w:hint="eastAsia" w:ascii="宋体" w:hAnsi="宋体" w:eastAsia="方正楷体简体" w:cs="方正楷体简体"/>
          <w:b w:val="0"/>
          <w:bCs w:val="0"/>
          <w:color w:val="333333"/>
          <w:kern w:val="0"/>
          <w:sz w:val="32"/>
          <w:szCs w:val="32"/>
          <w:lang w:eastAsia="zh-CN"/>
        </w:rPr>
        <w:t>（一）绩效评价目的、对象和范围</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绩效评价目的：提高审批办事效率、提高审批服务水平、提高人员专业素质、加强信息公开和宣传引导，充分发挥综合协调和后勤保障作用。以保障中心正常运转，提高审批效率。项目符合遵办字</w:t>
      </w:r>
      <w:r>
        <w:rPr>
          <w:rFonts w:hint="eastAsia" w:ascii="宋体" w:hAnsi="宋体" w:eastAsia="方正仿宋简体" w:cs="宋体"/>
          <w:color w:val="333333"/>
          <w:kern w:val="0"/>
          <w:szCs w:val="28"/>
          <w:lang w:val="en-US" w:eastAsia="zh-CN"/>
        </w:rPr>
        <w:t>〔2017〕</w:t>
      </w:r>
      <w:r>
        <w:rPr>
          <w:rFonts w:hint="eastAsia" w:ascii="宋体" w:hAnsi="宋体" w:eastAsia="方正仿宋简体" w:cs="方正仿宋简体"/>
          <w:color w:val="333333"/>
          <w:kern w:val="0"/>
          <w:sz w:val="32"/>
          <w:szCs w:val="32"/>
          <w:lang w:val="en-US" w:eastAsia="zh-CN"/>
        </w:rPr>
        <w:t>22号关于印发《遵化市行政审批局组建工作实施方案》的文件精神，以实现暖心服务，打造最优质、最高效、最规范、最便捷的审批金牌保姆”服务品牌。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绩效评价对象：2021-2022年租赁及物业费</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绩效评价范围：根据房屋租赁合同，房屋租金为上交款，即每年的10月26日交本年度的租金。物业费用于2022年度审批局办公楼的物业管理。按合同内容要求，每季度支付一次物业管理费，每次提前10日支付，依据《物业服务收费管理办法》及物价局批准的收费标准，全年物业费合计19万元(按建筑面积4400平米X3.6元/平米/月X12个月），租赁面积4400平方米，2021-2022年租赁费用为146.67万元，根据房屋租赁合同，房屋租金为上交款，即每年的10月26日交本年度的租金。</w:t>
      </w: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楷体简体" w:cs="方正楷体简体"/>
          <w:b w:val="0"/>
          <w:bCs w:val="0"/>
          <w:color w:val="333333"/>
          <w:kern w:val="0"/>
          <w:sz w:val="32"/>
          <w:szCs w:val="32"/>
          <w:lang w:eastAsia="zh-CN"/>
        </w:rPr>
      </w:pPr>
      <w:r>
        <w:rPr>
          <w:rFonts w:hint="eastAsia" w:ascii="宋体" w:hAnsi="宋体" w:eastAsia="方正楷体简体" w:cs="方正楷体简体"/>
          <w:b w:val="0"/>
          <w:bCs w:val="0"/>
          <w:color w:val="333333"/>
          <w:kern w:val="0"/>
          <w:sz w:val="32"/>
          <w:szCs w:val="32"/>
          <w:lang w:eastAsia="zh-CN"/>
        </w:rPr>
        <w:t>（二）绩效评价原则、评价指标体系、评价方法及标准。</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val="en-US" w:eastAsia="zh-CN"/>
        </w:rPr>
        <w:t>1.</w:t>
      </w:r>
      <w:r>
        <w:rPr>
          <w:rFonts w:hint="eastAsia" w:ascii="宋体" w:hAnsi="宋体" w:eastAsia="方正仿宋简体" w:cs="方正仿宋简体"/>
          <w:color w:val="333333"/>
          <w:kern w:val="0"/>
          <w:sz w:val="32"/>
          <w:szCs w:val="32"/>
          <w:lang w:eastAsia="zh-CN"/>
        </w:rPr>
        <w:t>绩效评价原则：绩效评价工作遵循全面覆盖、程序简便、客观公正、公开透明的原则。</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val="en-US" w:eastAsia="zh-CN"/>
        </w:rPr>
        <w:t>2.</w:t>
      </w:r>
      <w:r>
        <w:rPr>
          <w:rFonts w:hint="eastAsia" w:ascii="宋体" w:hAnsi="宋体" w:eastAsia="方正仿宋简体" w:cs="方正仿宋简体"/>
          <w:color w:val="333333"/>
          <w:kern w:val="0"/>
          <w:sz w:val="32"/>
          <w:szCs w:val="32"/>
          <w:lang w:eastAsia="zh-CN"/>
        </w:rPr>
        <w:t>评价指标体系</w:t>
      </w:r>
    </w:p>
    <w:p>
      <w:pPr>
        <w:keepNext w:val="0"/>
        <w:keepLines w:val="0"/>
        <w:pageBreakBefore w:val="0"/>
        <w:widowControl w:val="0"/>
        <w:kinsoku/>
        <w:wordWrap/>
        <w:overflowPunct/>
        <w:topLinePunct w:val="0"/>
        <w:autoSpaceDE/>
        <w:autoSpaceDN/>
        <w:bidi w:val="0"/>
        <w:adjustRightInd/>
        <w:snapToGrid w:val="0"/>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tbl>
      <w:tblPr>
        <w:tblStyle w:val="4"/>
        <w:tblW w:w="9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734"/>
        <w:gridCol w:w="1167"/>
        <w:gridCol w:w="2505"/>
        <w:gridCol w:w="2956"/>
        <w:gridCol w:w="576"/>
        <w:gridCol w:w="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38"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一级指标</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二级指标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三级指标</w:t>
            </w:r>
          </w:p>
        </w:tc>
        <w:tc>
          <w:tcPr>
            <w:tcW w:w="2505"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指标解释</w:t>
            </w:r>
          </w:p>
        </w:tc>
        <w:tc>
          <w:tcPr>
            <w:tcW w:w="295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评价标准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标准分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投入</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项目目标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目标内容</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目标是否明确、细化、量化</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目标明确（2分），目标细化（2分），目标量化（1分）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决策过程</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决策依据</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项目是否符合经济社会发展规划和部门年度工作计划；是否根据需要制定中长期实施规划</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项目符合经济社会发展规划和部门年度工作计划（5分），根据需要制定中长期实施规划（5分）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决策程序</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项目是否符合申报条件；申报、批复程序是否符合相关管理办法；项目调整是否履行相应手续</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项目符合申报条件（2分），申报、批复程序符合相关管理办法（2分），项目实施调整履行相应手续（1分）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过程</w:t>
            </w: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资金管理</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资金使用</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是否存在支出依据不合规、虚列项目支出的情况；是否存在截留、挤占、挪用项目资金情况；是否存在超标准开支情况</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虚列（套取）扣4分，支出依据不合规扣1分，截留、挤占、挪用扣2分，超标准开支扣1分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财务管理</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资金管理、费用支出等制度是否健全，是否严格执行；会计核算是否规范</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财务制度健全（2分），严格执行制度（1分），会计核算规范（1分）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组织实施</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组织机构</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机构是否健全、分工是否明确</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机构健全、分工明确（4分）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管理制度</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是否建立健全项目管理制度；是否严格执行相关项目管理制度</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建立健全项目管理制度（2分）；严格执行相关项目管理制度(1分）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738" w:type="dxa"/>
            <w:vMerge w:val="restart"/>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产出</w:t>
            </w: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数量指标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综合业务管理工作完成率</w:t>
            </w:r>
          </w:p>
        </w:tc>
        <w:tc>
          <w:tcPr>
            <w:tcW w:w="2505" w:type="dxa"/>
            <w:noWrap/>
            <w:vAlign w:val="center"/>
          </w:tcPr>
          <w:p>
            <w:pPr>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各项综合业务工作任务完成情况占各项综合业务工作任务的比例</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完成100%得10分，完成90%以上得8分，完成70%以上得6分，完成70%以下得4分。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质量指标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全年工作任务达标率</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全年工作任务达到预期质量目标情况</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完成100%得10分，完成80%以上得8分，完成80%以上得6分，完成80%以下得4分。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时效指标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报销时效性</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按照审批程序及时报销</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成本指标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738" w:type="dxa"/>
            <w:vMerge w:val="restart"/>
            <w:noWrap/>
            <w:vAlign w:val="center"/>
          </w:tcPr>
          <w:p>
            <w:pPr>
              <w:widowControl/>
              <w:spacing w:line="240" w:lineRule="exact"/>
              <w:rPr>
                <w:rFonts w:ascii="宋体" w:hAnsi="宋体" w:eastAsia="方正仿宋简体"/>
                <w:kern w:val="0"/>
                <w:sz w:val="21"/>
                <w:szCs w:val="21"/>
              </w:rPr>
            </w:pPr>
          </w:p>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效果</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可持续影响指标</w:t>
            </w:r>
          </w:p>
        </w:tc>
        <w:tc>
          <w:tcPr>
            <w:tcW w:w="1167" w:type="dxa"/>
            <w:noWrap/>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提高发改领域服务保障能力</w:t>
            </w:r>
          </w:p>
        </w:tc>
        <w:tc>
          <w:tcPr>
            <w:tcW w:w="2505" w:type="dxa"/>
            <w:noWrap/>
          </w:tcPr>
          <w:p>
            <w:pPr>
              <w:spacing w:line="240" w:lineRule="exact"/>
              <w:rPr>
                <w:rFonts w:ascii="宋体" w:hAnsi="宋体" w:eastAsia="方正仿宋简体"/>
                <w:kern w:val="0"/>
                <w:sz w:val="21"/>
                <w:szCs w:val="21"/>
              </w:rPr>
            </w:pPr>
          </w:p>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有利于业务开展，提高服务保障能力</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经济效益指标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节约项目开支</w:t>
            </w:r>
          </w:p>
        </w:tc>
        <w:tc>
          <w:tcPr>
            <w:tcW w:w="2505"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践行厉行节约反对浪费制度体系建设</w:t>
            </w:r>
          </w:p>
          <w:p>
            <w:pPr>
              <w:widowControl/>
              <w:spacing w:line="240" w:lineRule="exact"/>
              <w:rPr>
                <w:rFonts w:ascii="宋体" w:hAnsi="宋体" w:eastAsia="方正仿宋简体"/>
                <w:kern w:val="0"/>
                <w:sz w:val="21"/>
                <w:szCs w:val="21"/>
              </w:rPr>
            </w:pPr>
          </w:p>
        </w:tc>
        <w:tc>
          <w:tcPr>
            <w:tcW w:w="2956"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社会效益指标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业务保障率</w:t>
            </w:r>
          </w:p>
        </w:tc>
        <w:tc>
          <w:tcPr>
            <w:tcW w:w="2505" w:type="dxa"/>
            <w:noWrap/>
            <w:vAlign w:val="bottom"/>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有效保障相关业务、工作等开展的业务次数占总业务量的比率</w:t>
            </w:r>
          </w:p>
          <w:p>
            <w:pPr>
              <w:widowControl/>
              <w:spacing w:line="240" w:lineRule="exact"/>
              <w:rPr>
                <w:rFonts w:ascii="宋体" w:hAnsi="宋体" w:eastAsia="方正仿宋简体"/>
                <w:kern w:val="0"/>
                <w:sz w:val="21"/>
                <w:szCs w:val="21"/>
              </w:rPr>
            </w:pPr>
          </w:p>
        </w:tc>
        <w:tc>
          <w:tcPr>
            <w:tcW w:w="2956"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生态效益指标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工作环境改善程度</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对工作环境的改善程度</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18"/>
                <w:szCs w:val="18"/>
              </w:rPr>
            </w:pPr>
            <w:r>
              <w:rPr>
                <w:rFonts w:hint="eastAsia" w:ascii="宋体" w:hAnsi="宋体" w:eastAsia="方正仿宋简体"/>
                <w:kern w:val="0"/>
                <w:sz w:val="18"/>
                <w:szCs w:val="18"/>
              </w:rPr>
              <w:t>服务对象满意度指标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受益群体满意度</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受益群体调查中，满意和较满意的人数占全部调查人数的比率</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3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总分</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2505"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295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3.绩效评价方法：采用实地检查、实际操作等多种评价方法相结合的综合评价。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4.评价标准：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楷体简体" w:cs="方正楷体简体"/>
          <w:b w:val="0"/>
          <w:bCs w:val="0"/>
          <w:color w:val="333333"/>
          <w:kern w:val="0"/>
          <w:sz w:val="32"/>
          <w:szCs w:val="32"/>
          <w:lang w:eastAsia="zh-CN"/>
        </w:rPr>
      </w:pPr>
      <w:r>
        <w:rPr>
          <w:rFonts w:hint="eastAsia" w:ascii="宋体" w:hAnsi="宋体" w:eastAsia="方正楷体简体" w:cs="方正楷体简体"/>
          <w:b w:val="0"/>
          <w:bCs w:val="0"/>
          <w:color w:val="333333"/>
          <w:kern w:val="0"/>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绩效评价人员查看了相关项目资料，了解资金拨付、使用情况及管理工作。</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1.对此项目收集相关资料。</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2.实地调研并了解项目实际运行情况。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3.根据调研结果和收集资料进行综合分析，综合评定绩效等级，科学撰写评价报告。</w:t>
      </w:r>
    </w:p>
    <w:p>
      <w:pPr>
        <w:keepNext w:val="0"/>
        <w:keepLines w:val="0"/>
        <w:pageBreakBefore w:val="0"/>
        <w:kinsoku/>
        <w:wordWrap/>
        <w:overflowPunct/>
        <w:topLinePunct w:val="0"/>
        <w:autoSpaceDE/>
        <w:autoSpaceDN/>
        <w:bidi w:val="0"/>
        <w:spacing w:line="570" w:lineRule="exact"/>
        <w:ind w:right="-509" w:rightChars="-159" w:firstLine="640" w:firstLineChars="200"/>
        <w:textAlignment w:val="auto"/>
        <w:rPr>
          <w:rFonts w:hint="eastAsia" w:ascii="宋体" w:hAnsi="宋体" w:eastAsia="方正黑体简体" w:cs="方正黑体简体"/>
          <w:kern w:val="0"/>
          <w:sz w:val="32"/>
          <w:szCs w:val="32"/>
          <w:lang w:val="zh-CN"/>
        </w:rPr>
      </w:pPr>
      <w:r>
        <w:rPr>
          <w:rFonts w:hint="eastAsia" w:ascii="宋体" w:hAnsi="宋体" w:eastAsia="方正黑体简体" w:cs="方正黑体简体"/>
          <w:kern w:val="0"/>
          <w:sz w:val="32"/>
          <w:szCs w:val="32"/>
          <w:lang w:val="zh-CN" w:eastAsia="zh-CN"/>
        </w:rPr>
        <w:t>三、</w:t>
      </w:r>
      <w:r>
        <w:rPr>
          <w:rFonts w:hint="eastAsia" w:ascii="宋体" w:hAnsi="宋体" w:eastAsia="方正黑体简体" w:cs="方正黑体简体"/>
          <w:kern w:val="0"/>
          <w:sz w:val="32"/>
          <w:szCs w:val="32"/>
          <w:lang w:val="zh-CN"/>
        </w:rPr>
        <w:t>综合评价情况及评价结论</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在市委、市政府的坚强领导下，充分发挥综合协调和后勤保障作用，以保障我局正常业务运转，提高审批效率。实现暖心服务，打造最优质、最高效、最规范、最便捷的审批金牌保姆”服务品牌。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评价结论：综合评分项目绩效指标得分为100分，绩效评分为优秀。</w:t>
      </w:r>
    </w:p>
    <w:p>
      <w:pPr>
        <w:keepNext w:val="0"/>
        <w:keepLines w:val="0"/>
        <w:pageBreakBefore w:val="0"/>
        <w:kinsoku/>
        <w:wordWrap/>
        <w:overflowPunct/>
        <w:topLinePunct w:val="0"/>
        <w:autoSpaceDE/>
        <w:autoSpaceDN/>
        <w:bidi w:val="0"/>
        <w:spacing w:line="570" w:lineRule="exact"/>
        <w:ind w:right="-509" w:rightChars="-159" w:firstLine="640" w:firstLineChars="200"/>
        <w:textAlignment w:val="auto"/>
        <w:rPr>
          <w:rFonts w:hint="eastAsia" w:ascii="宋体" w:hAnsi="宋体" w:eastAsia="方正黑体简体" w:cs="方正黑体简体"/>
          <w:kern w:val="0"/>
          <w:sz w:val="32"/>
          <w:szCs w:val="32"/>
          <w:lang w:val="zh-CN" w:eastAsia="zh-CN"/>
        </w:rPr>
      </w:pPr>
      <w:r>
        <w:rPr>
          <w:rFonts w:hint="eastAsia" w:ascii="宋体" w:hAnsi="宋体" w:eastAsia="方正黑体简体" w:cs="方正黑体简体"/>
          <w:kern w:val="0"/>
          <w:sz w:val="32"/>
          <w:szCs w:val="32"/>
          <w:lang w:val="zh-CN" w:eastAsia="zh-CN"/>
        </w:rPr>
        <w:t>四、绩效评价指标分析</w:t>
      </w: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楷体简体" w:cs="方正楷体简体"/>
          <w:b w:val="0"/>
          <w:bCs w:val="0"/>
          <w:color w:val="333333"/>
          <w:kern w:val="0"/>
          <w:sz w:val="32"/>
          <w:szCs w:val="32"/>
          <w:lang w:eastAsia="zh-CN"/>
        </w:rPr>
      </w:pPr>
      <w:r>
        <w:rPr>
          <w:rFonts w:hint="eastAsia" w:ascii="宋体" w:hAnsi="宋体" w:eastAsia="方正楷体简体" w:cs="方正楷体简体"/>
          <w:b w:val="0"/>
          <w:bCs w:val="0"/>
          <w:color w:val="333333"/>
          <w:kern w:val="0"/>
          <w:sz w:val="32"/>
          <w:szCs w:val="32"/>
          <w:lang w:eastAsia="zh-CN"/>
        </w:rPr>
        <w:t>（一）项目决策情况</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1.项目目标</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2.决策过程</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决策依据，项目是否符合经济发展规划和部门年度工作计划，是否根据需要制定中长期实施规划。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项目符合经济发展规划和部门年度工作计划，根据需要制定中长期实施规划。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决策程序，是指项目是否符合申报条件，申报、批复程序是否符合相关管理办法，项目调整是否履行相应手续。</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项目符合申报条件，申报批复程序符合相关管理办法，项目调整履行相应手续。</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（二）项目过程情况</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1.资金管理</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3.组织实施</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4.管理制度，是指是否建立建全项目管理制度；是否严格执行相关项目管理制度。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楷体简体" w:cs="方正楷体简体"/>
          <w:b w:val="0"/>
          <w:bCs w:val="0"/>
          <w:color w:val="333333"/>
          <w:kern w:val="0"/>
          <w:sz w:val="32"/>
          <w:szCs w:val="32"/>
          <w:lang w:eastAsia="zh-CN"/>
        </w:rPr>
      </w:pPr>
      <w:r>
        <w:rPr>
          <w:rFonts w:hint="eastAsia" w:ascii="宋体" w:hAnsi="宋体" w:eastAsia="方正楷体简体" w:cs="方正楷体简体"/>
          <w:b w:val="0"/>
          <w:bCs w:val="0"/>
          <w:color w:val="333333"/>
          <w:kern w:val="0"/>
          <w:sz w:val="32"/>
          <w:szCs w:val="32"/>
          <w:lang w:eastAsia="zh-CN"/>
        </w:rPr>
        <w:t>（三）项目产出情况</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1.数量指标</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综合业务管理工作完成率，各项综合业务工作任务完成情况占各项综合业务工作任务的比例，达到优良水平。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2.质量指标</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全年工作任务达标率，全年工作任务达到预期质量目标情况，达到优良水平。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3.时效指标</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报销时效性，按照审批程序及时报销，达到优良水平。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4.成本指标</w:t>
      </w:r>
    </w:p>
    <w:p>
      <w:pPr>
        <w:keepNext w:val="0"/>
        <w:keepLines w:val="0"/>
        <w:pageBreakBefore w:val="0"/>
        <w:widowControl w:val="0"/>
        <w:kinsoku/>
        <w:wordWrap/>
        <w:overflowPunct/>
        <w:topLinePunct w:val="0"/>
        <w:autoSpaceDE/>
        <w:autoSpaceDN/>
        <w:bidi w:val="0"/>
        <w:adjustRightInd/>
        <w:snapToGrid/>
        <w:spacing w:line="570" w:lineRule="exact"/>
        <w:ind w:firstLine="649" w:firstLineChars="191"/>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预算资金完成率，预算资金完成率达到财政部门要求，达到优良水平。</w:t>
      </w: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楷体简体" w:cs="方正楷体简体"/>
          <w:b w:val="0"/>
          <w:bCs w:val="0"/>
          <w:color w:val="333333"/>
          <w:kern w:val="0"/>
          <w:sz w:val="32"/>
          <w:szCs w:val="32"/>
          <w:lang w:eastAsia="zh-CN"/>
        </w:rPr>
      </w:pPr>
      <w:r>
        <w:rPr>
          <w:rFonts w:hint="eastAsia" w:ascii="宋体" w:hAnsi="宋体" w:eastAsia="方正楷体简体" w:cs="方正楷体简体"/>
          <w:b w:val="0"/>
          <w:bCs w:val="0"/>
          <w:color w:val="333333"/>
          <w:kern w:val="0"/>
          <w:sz w:val="32"/>
          <w:szCs w:val="32"/>
          <w:lang w:eastAsia="zh-CN"/>
        </w:rPr>
        <w:t>（四）项目效益情况</w:t>
      </w:r>
    </w:p>
    <w:p>
      <w:pPr>
        <w:keepNext w:val="0"/>
        <w:keepLines w:val="0"/>
        <w:pageBreakBefore w:val="0"/>
        <w:widowControl w:val="0"/>
        <w:kinsoku/>
        <w:wordWrap/>
        <w:overflowPunct/>
        <w:topLinePunct w:val="0"/>
        <w:autoSpaceDE/>
        <w:autoSpaceDN/>
        <w:bidi w:val="0"/>
        <w:adjustRightInd/>
        <w:snapToGrid/>
        <w:spacing w:line="570" w:lineRule="exact"/>
        <w:ind w:firstLine="649" w:firstLineChars="191"/>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1.社会效益指标</w:t>
      </w:r>
    </w:p>
    <w:p>
      <w:pPr>
        <w:keepNext w:val="0"/>
        <w:keepLines w:val="0"/>
        <w:pageBreakBefore w:val="0"/>
        <w:widowControl w:val="0"/>
        <w:kinsoku/>
        <w:wordWrap/>
        <w:overflowPunct/>
        <w:topLinePunct w:val="0"/>
        <w:autoSpaceDE/>
        <w:autoSpaceDN/>
        <w:bidi w:val="0"/>
        <w:adjustRightInd/>
        <w:snapToGrid/>
        <w:spacing w:line="570" w:lineRule="exact"/>
        <w:ind w:firstLine="649" w:firstLineChars="191"/>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spacing w:val="10"/>
          <w:sz w:val="32"/>
          <w:szCs w:val="32"/>
          <w:lang w:val="en-US" w:eastAsia="zh-CN"/>
        </w:rPr>
        <w:t xml:space="preserve">业务保障率，有效保障相关业务、工作等开展的业务次数占总业务量的比率，达到优良水平。 </w:t>
      </w:r>
      <w:r>
        <w:rPr>
          <w:rFonts w:hint="eastAsia" w:ascii="宋体" w:hAnsi="宋体" w:eastAsia="方正仿宋简体" w:cs="方正仿宋简体"/>
          <w:color w:val="333333"/>
          <w:kern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9" w:firstLineChars="191"/>
        <w:textAlignment w:val="auto"/>
        <w:rPr>
          <w:rFonts w:hint="eastAsia" w:ascii="宋体" w:hAnsi="宋体" w:eastAsia="方正仿宋简体" w:cs="方正仿宋简体"/>
          <w:spacing w:val="10"/>
          <w:sz w:val="32"/>
          <w:szCs w:val="32"/>
          <w:lang w:eastAsia="zh-CN"/>
        </w:rPr>
      </w:pPr>
      <w:r>
        <w:rPr>
          <w:rFonts w:hint="eastAsia" w:ascii="宋体" w:hAnsi="宋体" w:eastAsia="方正仿宋简体" w:cs="方正仿宋简体"/>
          <w:spacing w:val="10"/>
          <w:sz w:val="32"/>
          <w:szCs w:val="32"/>
          <w:lang w:val="en-US" w:eastAsia="zh-CN"/>
        </w:rPr>
        <w:t>2.</w:t>
      </w:r>
      <w:r>
        <w:rPr>
          <w:rFonts w:hint="eastAsia" w:ascii="宋体" w:hAnsi="宋体" w:eastAsia="方正仿宋简体" w:cs="方正仿宋简体"/>
          <w:spacing w:val="10"/>
          <w:sz w:val="32"/>
          <w:szCs w:val="32"/>
          <w:lang w:eastAsia="zh-CN"/>
        </w:rPr>
        <w:t>可持续影响指标</w:t>
      </w:r>
    </w:p>
    <w:p>
      <w:pPr>
        <w:keepNext w:val="0"/>
        <w:keepLines w:val="0"/>
        <w:pageBreakBefore w:val="0"/>
        <w:widowControl w:val="0"/>
        <w:kinsoku/>
        <w:wordWrap/>
        <w:overflowPunct/>
        <w:topLinePunct w:val="0"/>
        <w:autoSpaceDE/>
        <w:autoSpaceDN/>
        <w:bidi w:val="0"/>
        <w:adjustRightInd/>
        <w:snapToGrid/>
        <w:spacing w:line="570" w:lineRule="exact"/>
        <w:ind w:firstLine="649" w:firstLineChars="191"/>
        <w:textAlignment w:val="auto"/>
        <w:rPr>
          <w:rFonts w:hint="eastAsia" w:ascii="宋体" w:hAnsi="宋体" w:eastAsia="方正仿宋简体" w:cs="方正仿宋简体"/>
          <w:spacing w:val="10"/>
          <w:sz w:val="32"/>
          <w:szCs w:val="32"/>
          <w:lang w:eastAsia="zh-CN"/>
        </w:rPr>
      </w:pPr>
      <w:r>
        <w:rPr>
          <w:rFonts w:hint="eastAsia" w:ascii="宋体" w:hAnsi="宋体" w:eastAsia="方正仿宋简体" w:cs="方正仿宋简体"/>
          <w:spacing w:val="10"/>
          <w:sz w:val="32"/>
          <w:szCs w:val="32"/>
          <w:lang w:eastAsia="zh-CN"/>
        </w:rPr>
        <w:t>提高发改领域服务保障能力，有利于业务开展，提高服务保障能力，达到优良水平。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9" w:firstLineChars="191"/>
        <w:textAlignment w:val="auto"/>
        <w:rPr>
          <w:rFonts w:hint="eastAsia" w:ascii="宋体" w:hAnsi="宋体" w:eastAsia="方正仿宋简体" w:cs="方正仿宋简体"/>
          <w:spacing w:val="10"/>
          <w:sz w:val="32"/>
          <w:szCs w:val="32"/>
          <w:lang w:eastAsia="zh-CN"/>
        </w:rPr>
      </w:pPr>
      <w:r>
        <w:rPr>
          <w:rFonts w:hint="eastAsia" w:ascii="宋体" w:hAnsi="宋体" w:eastAsia="方正仿宋简体" w:cs="方正仿宋简体"/>
          <w:spacing w:val="10"/>
          <w:sz w:val="32"/>
          <w:szCs w:val="32"/>
          <w:lang w:val="en-US" w:eastAsia="zh-CN"/>
        </w:rPr>
        <w:t>3.</w:t>
      </w:r>
      <w:r>
        <w:rPr>
          <w:rFonts w:hint="eastAsia" w:ascii="宋体" w:hAnsi="宋体" w:eastAsia="方正仿宋简体" w:cs="方正仿宋简体"/>
          <w:spacing w:val="10"/>
          <w:sz w:val="32"/>
          <w:szCs w:val="32"/>
          <w:lang w:eastAsia="zh-CN"/>
        </w:rPr>
        <w:t>经济效益指标</w:t>
      </w:r>
    </w:p>
    <w:p>
      <w:pPr>
        <w:keepNext w:val="0"/>
        <w:keepLines w:val="0"/>
        <w:pageBreakBefore w:val="0"/>
        <w:widowControl w:val="0"/>
        <w:kinsoku/>
        <w:wordWrap/>
        <w:overflowPunct/>
        <w:topLinePunct w:val="0"/>
        <w:autoSpaceDE/>
        <w:autoSpaceDN/>
        <w:bidi w:val="0"/>
        <w:adjustRightInd/>
        <w:snapToGrid/>
        <w:spacing w:line="570" w:lineRule="exact"/>
        <w:ind w:firstLine="649" w:firstLineChars="191"/>
        <w:textAlignment w:val="auto"/>
        <w:rPr>
          <w:rFonts w:hint="eastAsia" w:ascii="宋体" w:hAnsi="宋体" w:eastAsia="方正仿宋简体" w:cs="方正仿宋简体"/>
          <w:spacing w:val="10"/>
          <w:sz w:val="32"/>
          <w:szCs w:val="32"/>
          <w:lang w:eastAsia="zh-CN"/>
        </w:rPr>
      </w:pPr>
      <w:r>
        <w:rPr>
          <w:rFonts w:hint="eastAsia" w:ascii="宋体" w:hAnsi="宋体" w:eastAsia="方正仿宋简体" w:cs="方正仿宋简体"/>
          <w:spacing w:val="10"/>
          <w:sz w:val="32"/>
          <w:szCs w:val="32"/>
          <w:lang w:eastAsia="zh-CN"/>
        </w:rPr>
        <w:t>节约项目开支，践行厉行节约反对浪费制度体系建设，达到优良水平。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9" w:firstLineChars="191"/>
        <w:textAlignment w:val="auto"/>
        <w:rPr>
          <w:rFonts w:hint="eastAsia" w:ascii="宋体" w:hAnsi="宋体" w:eastAsia="方正仿宋简体" w:cs="方正仿宋简体"/>
          <w:spacing w:val="10"/>
          <w:sz w:val="32"/>
          <w:szCs w:val="32"/>
          <w:lang w:eastAsia="zh-CN"/>
        </w:rPr>
      </w:pPr>
      <w:r>
        <w:rPr>
          <w:rFonts w:hint="eastAsia" w:ascii="宋体" w:hAnsi="宋体" w:eastAsia="方正仿宋简体" w:cs="方正仿宋简体"/>
          <w:spacing w:val="10"/>
          <w:sz w:val="32"/>
          <w:szCs w:val="32"/>
          <w:lang w:val="en-US" w:eastAsia="zh-CN"/>
        </w:rPr>
        <w:t>4.</w:t>
      </w:r>
      <w:r>
        <w:rPr>
          <w:rFonts w:hint="eastAsia" w:ascii="宋体" w:hAnsi="宋体" w:eastAsia="方正仿宋简体" w:cs="方正仿宋简体"/>
          <w:spacing w:val="10"/>
          <w:sz w:val="32"/>
          <w:szCs w:val="32"/>
          <w:lang w:eastAsia="zh-CN"/>
        </w:rPr>
        <w:t>生态效益指标</w:t>
      </w:r>
    </w:p>
    <w:p>
      <w:pPr>
        <w:keepNext w:val="0"/>
        <w:keepLines w:val="0"/>
        <w:pageBreakBefore w:val="0"/>
        <w:widowControl w:val="0"/>
        <w:kinsoku/>
        <w:wordWrap/>
        <w:overflowPunct/>
        <w:topLinePunct w:val="0"/>
        <w:autoSpaceDE/>
        <w:autoSpaceDN/>
        <w:bidi w:val="0"/>
        <w:adjustRightInd/>
        <w:snapToGrid/>
        <w:spacing w:line="570" w:lineRule="exact"/>
        <w:ind w:firstLine="649" w:firstLineChars="191"/>
        <w:textAlignment w:val="auto"/>
        <w:rPr>
          <w:rFonts w:hint="eastAsia" w:ascii="宋体" w:hAnsi="宋体" w:eastAsia="方正仿宋简体" w:cs="方正仿宋简体"/>
          <w:spacing w:val="10"/>
          <w:sz w:val="32"/>
          <w:szCs w:val="32"/>
          <w:lang w:eastAsia="zh-CN"/>
        </w:rPr>
      </w:pPr>
      <w:r>
        <w:rPr>
          <w:rFonts w:hint="eastAsia" w:ascii="宋体" w:hAnsi="宋体" w:eastAsia="方正仿宋简体" w:cs="方正仿宋简体"/>
          <w:spacing w:val="10"/>
          <w:sz w:val="32"/>
          <w:szCs w:val="32"/>
          <w:lang w:eastAsia="zh-CN"/>
        </w:rPr>
        <w:t xml:space="preserve"> 工作环境改善程度，对工作环境的改善程度，达到优良水平。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9" w:firstLineChars="191"/>
        <w:textAlignment w:val="auto"/>
        <w:rPr>
          <w:rFonts w:hint="eastAsia" w:ascii="宋体" w:hAnsi="宋体" w:eastAsia="方正仿宋简体" w:cs="方正仿宋简体"/>
          <w:spacing w:val="10"/>
          <w:sz w:val="32"/>
          <w:szCs w:val="32"/>
          <w:lang w:eastAsia="zh-CN"/>
        </w:rPr>
      </w:pPr>
      <w:r>
        <w:rPr>
          <w:rFonts w:hint="eastAsia" w:ascii="宋体" w:hAnsi="宋体" w:eastAsia="方正仿宋简体" w:cs="方正仿宋简体"/>
          <w:spacing w:val="10"/>
          <w:sz w:val="32"/>
          <w:szCs w:val="32"/>
          <w:lang w:val="en-US" w:eastAsia="zh-CN"/>
        </w:rPr>
        <w:t>5.</w:t>
      </w:r>
      <w:r>
        <w:rPr>
          <w:rFonts w:hint="eastAsia" w:ascii="宋体" w:hAnsi="宋体" w:eastAsia="方正仿宋简体" w:cs="方正仿宋简体"/>
          <w:spacing w:val="10"/>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firstLine="649" w:firstLineChars="191"/>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spacing w:val="10"/>
          <w:sz w:val="32"/>
          <w:szCs w:val="32"/>
          <w:lang w:eastAsia="zh-CN"/>
        </w:rPr>
        <w:t xml:space="preserve"> 受益群体满意度，受益群体调查中，满意和较满意的人数占全部调查人数的比率，达到优良水平。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right="-509" w:rightChars="-159" w:firstLine="611" w:firstLineChars="191"/>
        <w:textAlignment w:val="auto"/>
        <w:rPr>
          <w:rFonts w:hint="eastAsia" w:ascii="宋体" w:hAnsi="宋体" w:eastAsia="方正黑体简体" w:cs="方正黑体简体"/>
          <w:kern w:val="0"/>
          <w:sz w:val="32"/>
          <w:szCs w:val="32"/>
          <w:lang w:val="zh-CN" w:eastAsia="zh-CN"/>
        </w:rPr>
      </w:pPr>
      <w:r>
        <w:rPr>
          <w:rFonts w:hint="eastAsia" w:ascii="宋体" w:hAnsi="宋体" w:eastAsia="方正黑体简体" w:cs="方正黑体简体"/>
          <w:kern w:val="0"/>
          <w:sz w:val="32"/>
          <w:szCs w:val="32"/>
          <w:lang w:val="zh-CN"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firstLine="611" w:firstLineChars="191"/>
        <w:textAlignment w:val="auto"/>
        <w:rPr>
          <w:rFonts w:hint="eastAsia" w:ascii="宋体" w:hAnsi="宋体" w:eastAsia="方正仿宋简体" w:cs="方正仿宋简体"/>
          <w:spacing w:val="10"/>
          <w:sz w:val="32"/>
          <w:szCs w:val="32"/>
          <w:lang w:eastAsia="zh-CN"/>
        </w:rPr>
      </w:pPr>
      <w:r>
        <w:rPr>
          <w:rFonts w:hint="eastAsia" w:ascii="宋体" w:hAnsi="宋体" w:eastAsia="方正仿宋简体" w:cs="方正仿宋简体"/>
          <w:bCs/>
          <w:sz w:val="32"/>
          <w:szCs w:val="32"/>
        </w:rPr>
        <w:t xml:space="preserve"> </w:t>
      </w:r>
      <w:r>
        <w:rPr>
          <w:rFonts w:hint="eastAsia" w:ascii="宋体" w:hAnsi="宋体" w:eastAsia="方正仿宋简体" w:cs="方正仿宋简体"/>
          <w:spacing w:val="10"/>
          <w:sz w:val="32"/>
          <w:szCs w:val="32"/>
          <w:lang w:eastAsia="zh-CN"/>
        </w:rPr>
        <w:t>认真贯彻落实绩效管理办法，把预算绩效管理纳入整体工作，把财政项目支出绩效自评工作列入重要议事日程，做实做好。</w:t>
      </w:r>
    </w:p>
    <w:p>
      <w:pPr>
        <w:keepNext w:val="0"/>
        <w:keepLines w:val="0"/>
        <w:pageBreakBefore w:val="0"/>
        <w:widowControl w:val="0"/>
        <w:kinsoku/>
        <w:wordWrap/>
        <w:overflowPunct/>
        <w:topLinePunct w:val="0"/>
        <w:autoSpaceDE/>
        <w:autoSpaceDN/>
        <w:bidi w:val="0"/>
        <w:adjustRightInd/>
        <w:snapToGrid/>
        <w:spacing w:line="570" w:lineRule="exact"/>
        <w:ind w:right="-509" w:rightChars="-159" w:firstLine="611" w:firstLineChars="191"/>
        <w:textAlignment w:val="auto"/>
        <w:rPr>
          <w:rFonts w:hint="eastAsia" w:ascii="宋体" w:hAnsi="宋体" w:eastAsia="方正黑体简体" w:cs="方正黑体简体"/>
          <w:kern w:val="0"/>
          <w:sz w:val="32"/>
          <w:szCs w:val="32"/>
          <w:lang w:val="zh-CN" w:eastAsia="zh-CN"/>
        </w:rPr>
      </w:pPr>
      <w:r>
        <w:rPr>
          <w:rFonts w:hint="eastAsia" w:ascii="宋体" w:hAnsi="宋体" w:eastAsia="方正黑体简体" w:cs="方正黑体简体"/>
          <w:kern w:val="0"/>
          <w:sz w:val="32"/>
          <w:szCs w:val="32"/>
          <w:lang w:val="zh-CN"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611" w:firstLineChars="191"/>
        <w:textAlignment w:val="auto"/>
        <w:rPr>
          <w:rFonts w:hint="eastAsia" w:ascii="宋体" w:hAnsi="宋体" w:eastAsia="方正仿宋简体" w:cs="方正仿宋简体"/>
          <w:color w:val="333333"/>
          <w:kern w:val="0"/>
          <w:sz w:val="32"/>
          <w:szCs w:val="32"/>
        </w:rPr>
      </w:pPr>
      <w:r>
        <w:rPr>
          <w:rFonts w:hint="eastAsia" w:ascii="宋体" w:hAnsi="宋体" w:eastAsia="方正仿宋简体" w:cs="方正仿宋简体"/>
          <w:color w:val="333333"/>
          <w:kern w:val="0"/>
          <w:sz w:val="32"/>
          <w:szCs w:val="32"/>
        </w:rPr>
        <w:t xml:space="preserve">  </w:t>
      </w:r>
      <w:r>
        <w:rPr>
          <w:rFonts w:hint="eastAsia" w:ascii="宋体" w:hAnsi="宋体" w:eastAsia="方正仿宋简体" w:cs="方正仿宋简体"/>
          <w:color w:val="333333"/>
          <w:kern w:val="0"/>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0" w:lineRule="exact"/>
        <w:ind w:right="-509" w:rightChars="-159" w:firstLine="611" w:firstLineChars="191"/>
        <w:textAlignment w:val="auto"/>
        <w:rPr>
          <w:rFonts w:hint="eastAsia" w:ascii="宋体" w:hAnsi="宋体" w:eastAsia="方正黑体简体" w:cs="方正黑体简体"/>
          <w:kern w:val="0"/>
          <w:sz w:val="32"/>
          <w:szCs w:val="32"/>
          <w:lang w:val="zh-CN" w:eastAsia="zh-CN"/>
        </w:rPr>
      </w:pPr>
      <w:r>
        <w:rPr>
          <w:rFonts w:hint="eastAsia" w:ascii="宋体" w:hAnsi="宋体" w:eastAsia="方正黑体简体" w:cs="方正黑体简体"/>
          <w:kern w:val="0"/>
          <w:sz w:val="32"/>
          <w:szCs w:val="32"/>
          <w:lang w:val="zh-CN" w:eastAsia="zh-CN"/>
        </w:rPr>
        <w:t>七、其他需要说明的问题</w:t>
      </w: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rPr>
        <w:t xml:space="preserve">  </w:t>
      </w:r>
      <w:r>
        <w:rPr>
          <w:rFonts w:hint="eastAsia" w:ascii="宋体" w:hAnsi="宋体" w:eastAsia="方正仿宋简体" w:cs="方正仿宋简体"/>
          <w:color w:val="333333"/>
          <w:kern w:val="0"/>
          <w:sz w:val="32"/>
          <w:szCs w:val="32"/>
          <w:lang w:eastAsia="zh-CN"/>
        </w:rPr>
        <w:t>无</w:t>
      </w: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p>
    <w:tbl>
      <w:tblPr>
        <w:tblStyle w:val="4"/>
        <w:tblW w:w="9288" w:type="dxa"/>
        <w:tblInd w:w="-413" w:type="dxa"/>
        <w:shd w:val="clear" w:color="auto" w:fill="auto"/>
        <w:tblLayout w:type="fixed"/>
        <w:tblCellMar>
          <w:top w:w="0" w:type="dxa"/>
          <w:left w:w="0" w:type="dxa"/>
          <w:bottom w:w="0" w:type="dxa"/>
          <w:right w:w="0" w:type="dxa"/>
        </w:tblCellMar>
      </w:tblPr>
      <w:tblGrid>
        <w:gridCol w:w="930"/>
        <w:gridCol w:w="1140"/>
        <w:gridCol w:w="1740"/>
        <w:gridCol w:w="2387"/>
        <w:gridCol w:w="658"/>
        <w:gridCol w:w="843"/>
        <w:gridCol w:w="419"/>
        <w:gridCol w:w="525"/>
        <w:gridCol w:w="646"/>
      </w:tblGrid>
      <w:tr>
        <w:tblPrEx>
          <w:shd w:val="clear" w:color="auto" w:fill="auto"/>
          <w:tblCellMar>
            <w:top w:w="0" w:type="dxa"/>
            <w:left w:w="0" w:type="dxa"/>
            <w:bottom w:w="0" w:type="dxa"/>
            <w:right w:w="0" w:type="dxa"/>
          </w:tblCellMar>
        </w:tblPrEx>
        <w:trPr>
          <w:trHeight w:val="285" w:hRule="atLeast"/>
        </w:trPr>
        <w:tc>
          <w:tcPr>
            <w:tcW w:w="9288" w:type="dxa"/>
            <w:gridSpan w:val="9"/>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2022年度项目支出绩效自评表</w:t>
            </w:r>
          </w:p>
          <w:tbl>
            <w:tblPr>
              <w:tblStyle w:val="4"/>
              <w:tblW w:w="8875" w:type="dxa"/>
              <w:tblInd w:w="0" w:type="dxa"/>
              <w:shd w:val="clear" w:color="auto" w:fill="auto"/>
              <w:tblLayout w:type="fixed"/>
              <w:tblCellMar>
                <w:top w:w="0" w:type="dxa"/>
                <w:left w:w="0" w:type="dxa"/>
                <w:bottom w:w="0" w:type="dxa"/>
                <w:right w:w="0" w:type="dxa"/>
              </w:tblCellMar>
            </w:tblPr>
            <w:tblGrid>
              <w:gridCol w:w="8875"/>
            </w:tblGrid>
            <w:tr>
              <w:tblPrEx>
                <w:shd w:val="clear" w:color="auto" w:fill="auto"/>
                <w:tblCellMar>
                  <w:top w:w="0" w:type="dxa"/>
                  <w:left w:w="0" w:type="dxa"/>
                  <w:bottom w:w="0" w:type="dxa"/>
                  <w:right w:w="0" w:type="dxa"/>
                </w:tblCellMar>
              </w:tblPrEx>
              <w:trPr>
                <w:trHeight w:val="135" w:hRule="atLeast"/>
              </w:trPr>
              <w:tc>
                <w:tcPr>
                  <w:tcW w:w="8875" w:type="dxa"/>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金额：万元</w:t>
                  </w:r>
                </w:p>
              </w:tc>
            </w:tr>
          </w:tbl>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tblPrEx>
          <w:shd w:val="clear" w:color="auto" w:fill="auto"/>
          <w:tblCellMar>
            <w:top w:w="0" w:type="dxa"/>
            <w:left w:w="0" w:type="dxa"/>
            <w:bottom w:w="0" w:type="dxa"/>
            <w:right w:w="0" w:type="dxa"/>
          </w:tblCellMar>
        </w:tblPrEx>
        <w:trPr>
          <w:trHeight w:val="439" w:hRule="atLeast"/>
        </w:trPr>
        <w:tc>
          <w:tcPr>
            <w:tcW w:w="9288" w:type="dxa"/>
            <w:gridSpan w:val="9"/>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shd w:val="clear" w:color="auto" w:fill="auto"/>
          <w:tblCellMar>
            <w:top w:w="0" w:type="dxa"/>
            <w:left w:w="0" w:type="dxa"/>
            <w:bottom w:w="0" w:type="dxa"/>
            <w:right w:w="0" w:type="dxa"/>
          </w:tblCellMar>
        </w:tblPrEx>
        <w:trPr>
          <w:trHeight w:val="312" w:hRule="atLeast"/>
        </w:trPr>
        <w:tc>
          <w:tcPr>
            <w:tcW w:w="9288" w:type="dxa"/>
            <w:gridSpan w:val="9"/>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shd w:val="clear" w:color="auto" w:fill="auto"/>
          <w:tblCellMar>
            <w:top w:w="0" w:type="dxa"/>
            <w:left w:w="0" w:type="dxa"/>
            <w:bottom w:w="0" w:type="dxa"/>
            <w:right w:w="0" w:type="dxa"/>
          </w:tblCellMar>
        </w:tblPrEx>
        <w:trPr>
          <w:trHeight w:val="29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35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2021年网络维护费及开发费</w:t>
            </w:r>
          </w:p>
        </w:tc>
      </w:tr>
      <w:tr>
        <w:tblPrEx>
          <w:shd w:val="clear" w:color="auto" w:fill="auto"/>
          <w:tblCellMar>
            <w:top w:w="0" w:type="dxa"/>
            <w:left w:w="0" w:type="dxa"/>
            <w:bottom w:w="0" w:type="dxa"/>
            <w:right w:w="0" w:type="dxa"/>
          </w:tblCellMar>
        </w:tblPrEx>
        <w:trPr>
          <w:trHeight w:val="77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59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遵化市行政审批局</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遵化市行政审批局</w:t>
            </w:r>
          </w:p>
        </w:tc>
      </w:tr>
      <w:tr>
        <w:tblPrEx>
          <w:shd w:val="clear" w:color="auto" w:fill="auto"/>
          <w:tblCellMar>
            <w:top w:w="0" w:type="dxa"/>
            <w:left w:w="0" w:type="dxa"/>
            <w:bottom w:w="0" w:type="dxa"/>
            <w:right w:w="0" w:type="dxa"/>
          </w:tblCellMar>
        </w:tblPrEx>
        <w:trPr>
          <w:trHeight w:val="49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CellMar>
            <w:top w:w="0" w:type="dxa"/>
            <w:left w:w="0" w:type="dxa"/>
            <w:bottom w:w="0" w:type="dxa"/>
            <w:right w:w="0" w:type="dxa"/>
          </w:tblCellMar>
        </w:tblPrEx>
        <w:trPr>
          <w:trHeight w:val="49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19.22</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19.22</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CellMar>
            <w:top w:w="0" w:type="dxa"/>
            <w:left w:w="0" w:type="dxa"/>
            <w:bottom w:w="0" w:type="dxa"/>
            <w:right w:w="0" w:type="dxa"/>
          </w:tblCellMar>
        </w:tblPrEx>
        <w:trPr>
          <w:trHeight w:val="49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19.22</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19.22</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24"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4"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59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实际完成情况综述</w:t>
            </w:r>
          </w:p>
        </w:tc>
      </w:tr>
      <w:tr>
        <w:tblPrEx>
          <w:shd w:val="clear" w:color="auto" w:fill="auto"/>
          <w:tblCellMar>
            <w:top w:w="0" w:type="dxa"/>
            <w:left w:w="0" w:type="dxa"/>
            <w:bottom w:w="0" w:type="dxa"/>
            <w:right w:w="0" w:type="dxa"/>
          </w:tblCellMar>
        </w:tblPrEx>
        <w:trPr>
          <w:trHeight w:val="308"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实现暖心服务，打造最优质、最高效、最规范、最便捷的审批金牌保姆服务品牌</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项目已完成。</w:t>
            </w:r>
          </w:p>
        </w:tc>
      </w:tr>
      <w:tr>
        <w:tblPrEx>
          <w:shd w:val="clear" w:color="auto" w:fill="auto"/>
          <w:tblCellMar>
            <w:top w:w="0" w:type="dxa"/>
            <w:left w:w="0" w:type="dxa"/>
            <w:bottom w:w="0" w:type="dxa"/>
            <w:right w:w="0" w:type="dxa"/>
          </w:tblCellMar>
        </w:tblPrEx>
        <w:trPr>
          <w:trHeight w:val="499"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                指                  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678"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9"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办公自动化覆盖业务种类比率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14"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信息系统漏洞处置率（%）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r>
              <w:rPr>
                <w:rStyle w:val="9"/>
                <w:rFonts w:ascii="宋体" w:hAnsi="宋体"/>
                <w:sz w:val="18"/>
                <w:szCs w:val="18"/>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r>
              <w:rPr>
                <w:rStyle w:val="9"/>
                <w:rFonts w:ascii="宋体" w:hAnsi="宋体"/>
                <w:sz w:val="18"/>
                <w:szCs w:val="18"/>
                <w:lang w:val="en-US" w:eastAsia="zh-CN" w:bidi="ar"/>
              </w:rPr>
              <w:t>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99"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日常巡查维修及时率（%）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9"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节电量（千瓦时）</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4"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投诉减少率（%）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r>
              <w:rPr>
                <w:rStyle w:val="9"/>
                <w:rFonts w:ascii="宋体" w:hAnsi="宋体"/>
                <w:sz w:val="18"/>
                <w:szCs w:val="18"/>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r>
              <w:rPr>
                <w:rStyle w:val="9"/>
                <w:rFonts w:ascii="宋体" w:hAnsi="宋体"/>
                <w:sz w:val="18"/>
                <w:szCs w:val="18"/>
                <w:lang w:val="en-US" w:eastAsia="zh-CN" w:bidi="ar"/>
              </w:rPr>
              <w:t>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4"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用户友好性(％)</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r>
              <w:rPr>
                <w:rStyle w:val="9"/>
                <w:rFonts w:ascii="宋体" w:hAnsi="宋体"/>
                <w:sz w:val="18"/>
                <w:szCs w:val="18"/>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r>
              <w:rPr>
                <w:rStyle w:val="9"/>
                <w:rFonts w:ascii="宋体" w:hAnsi="宋体"/>
                <w:sz w:val="18"/>
                <w:szCs w:val="18"/>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受益群体满意度（%）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9" w:hRule="atLeast"/>
        </w:trPr>
        <w:tc>
          <w:tcPr>
            <w:tcW w:w="76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5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71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288"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注：其中预算执行率固定为10分，其中各项指标90分，总分100分。</w:t>
            </w:r>
          </w:p>
        </w:tc>
      </w:tr>
    </w:tbl>
    <w:p>
      <w:pPr>
        <w:keepNext w:val="0"/>
        <w:keepLines w:val="0"/>
        <w:pageBreakBefore w:val="0"/>
        <w:kinsoku/>
        <w:wordWrap/>
        <w:overflowPunct/>
        <w:topLinePunct w:val="0"/>
        <w:autoSpaceDE/>
        <w:autoSpaceDN/>
        <w:bidi w:val="0"/>
        <w:snapToGrid w:val="0"/>
        <w:spacing w:line="570" w:lineRule="exact"/>
        <w:jc w:val="both"/>
        <w:textAlignment w:val="auto"/>
        <w:rPr>
          <w:rFonts w:ascii="宋体" w:hAnsi="宋体"/>
        </w:rPr>
      </w:pPr>
    </w:p>
    <w:p>
      <w:pPr>
        <w:keepNext w:val="0"/>
        <w:keepLines w:val="0"/>
        <w:pageBreakBefore w:val="0"/>
        <w:kinsoku/>
        <w:wordWrap/>
        <w:overflowPunct/>
        <w:topLinePunct w:val="0"/>
        <w:autoSpaceDE/>
        <w:autoSpaceDN/>
        <w:bidi w:val="0"/>
        <w:snapToGrid w:val="0"/>
        <w:spacing w:line="570" w:lineRule="exact"/>
        <w:ind w:left="0" w:leftChars="0" w:firstLine="0" w:firstLine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遵化市行政审批局</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宋体" w:hAnsi="宋体" w:eastAsia="方正仿宋简体" w:cs="方正仿宋简体"/>
          <w:kern w:val="0"/>
          <w:sz w:val="32"/>
          <w:szCs w:val="32"/>
          <w:lang w:val="zh-CN"/>
        </w:rPr>
      </w:pPr>
      <w:r>
        <w:rPr>
          <w:rFonts w:hint="eastAsia" w:ascii="宋体" w:hAnsi="宋体" w:eastAsia="方正小标宋简体" w:cs="方正小标宋简体"/>
          <w:sz w:val="44"/>
          <w:szCs w:val="44"/>
          <w:lang w:val="en-US" w:eastAsia="zh-CN"/>
        </w:rPr>
        <w:t>2021年</w:t>
      </w:r>
      <w:r>
        <w:rPr>
          <w:rFonts w:hint="eastAsia" w:ascii="宋体" w:hAnsi="宋体" w:eastAsia="方正小标宋简体" w:cs="方正小标宋简体"/>
          <w:sz w:val="44"/>
          <w:szCs w:val="44"/>
        </w:rPr>
        <w:t>网络维护费及开发费项目自评报告</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rPr>
          <w:rFonts w:hint="eastAsia" w:ascii="宋体" w:hAnsi="宋体" w:eastAsia="方正黑体简体" w:cs="方正黑体简体"/>
          <w:spacing w:val="10"/>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both"/>
        <w:textAlignment w:val="auto"/>
        <w:rPr>
          <w:rFonts w:hint="eastAsia" w:ascii="宋体" w:hAnsi="宋体" w:eastAsia="方正黑体简体" w:cs="方正黑体简体"/>
          <w:spacing w:val="10"/>
          <w:sz w:val="32"/>
          <w:szCs w:val="32"/>
        </w:rPr>
      </w:pPr>
      <w:r>
        <w:rPr>
          <w:rFonts w:hint="eastAsia" w:ascii="宋体" w:hAnsi="宋体" w:eastAsia="方正黑体简体" w:cs="方正黑体简体"/>
          <w:spacing w:val="10"/>
          <w:sz w:val="32"/>
          <w:szCs w:val="32"/>
        </w:rPr>
        <w:t>一、项目基本概况</w:t>
      </w:r>
    </w:p>
    <w:p>
      <w:pPr>
        <w:keepNext w:val="0"/>
        <w:keepLines w:val="0"/>
        <w:pageBreakBefore w:val="0"/>
        <w:widowControl w:val="0"/>
        <w:kinsoku/>
        <w:wordWrap/>
        <w:overflowPunct/>
        <w:topLinePunct w:val="0"/>
        <w:autoSpaceDE/>
        <w:autoSpaceDN/>
        <w:bidi w:val="0"/>
        <w:adjustRightInd/>
        <w:snapToGrid w:val="0"/>
        <w:spacing w:line="570" w:lineRule="exact"/>
        <w:ind w:firstLine="649" w:firstLineChars="191"/>
        <w:jc w:val="both"/>
        <w:textAlignment w:val="auto"/>
        <w:rPr>
          <w:rFonts w:hint="eastAsia" w:ascii="宋体" w:hAnsi="宋体" w:eastAsia="方正楷体简体" w:cs="方正楷体简体"/>
          <w:spacing w:val="10"/>
          <w:sz w:val="32"/>
          <w:szCs w:val="32"/>
          <w:lang w:eastAsia="zh-CN"/>
        </w:rPr>
      </w:pPr>
      <w:r>
        <w:rPr>
          <w:rFonts w:hint="eastAsia" w:ascii="宋体" w:hAnsi="宋体" w:eastAsia="方正楷体简体" w:cs="方正楷体简体"/>
          <w:spacing w:val="10"/>
          <w:sz w:val="32"/>
          <w:szCs w:val="32"/>
        </w:rPr>
        <w:t>（一）项目</w:t>
      </w:r>
      <w:r>
        <w:rPr>
          <w:rFonts w:hint="eastAsia" w:ascii="宋体" w:hAnsi="宋体" w:eastAsia="方正楷体简体" w:cs="方正楷体简体"/>
          <w:spacing w:val="10"/>
          <w:sz w:val="32"/>
          <w:szCs w:val="32"/>
          <w:lang w:eastAsia="zh-CN"/>
        </w:rPr>
        <w:t>概况</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宋体" w:hAnsi="宋体" w:eastAsia="方正仿宋简体" w:cs="方正仿宋简体"/>
          <w:spacing w:val="10"/>
          <w:sz w:val="32"/>
          <w:szCs w:val="32"/>
          <w:lang w:eastAsia="zh-CN"/>
        </w:rPr>
      </w:pPr>
      <w:r>
        <w:rPr>
          <w:rFonts w:hint="eastAsia" w:ascii="宋体" w:hAnsi="宋体" w:eastAsia="方正仿宋简体" w:cs="方正仿宋简体"/>
          <w:spacing w:val="10"/>
          <w:sz w:val="32"/>
          <w:szCs w:val="32"/>
          <w:lang w:eastAsia="zh-CN"/>
        </w:rPr>
        <w:t>主要用于河北省经济户籍管理专网0.5万元，“互联网+政务服务”系统维护费9.2万元，审批局及不动产登记中心机房、监控、触摸屏、叫号系统等网络运行维护费25万元，网上中介超市维护费0.6万元，社会信用网站维护费1.5万元，财政专网0.66万元，公共资源交易平台软件升级改造维护费10万元，社会事务科专网0.7万元，遵行通小程序运维费3万元，云视频会议系统服务费0.84万元。202</w:t>
      </w:r>
      <w:r>
        <w:rPr>
          <w:rFonts w:hint="eastAsia" w:ascii="宋体" w:hAnsi="宋体" w:eastAsia="方正仿宋简体" w:cs="方正仿宋简体"/>
          <w:spacing w:val="10"/>
          <w:sz w:val="32"/>
          <w:szCs w:val="32"/>
          <w:lang w:val="en-US" w:eastAsia="zh-CN"/>
        </w:rPr>
        <w:t>2</w:t>
      </w:r>
      <w:r>
        <w:rPr>
          <w:rFonts w:hint="eastAsia" w:ascii="宋体" w:hAnsi="宋体" w:eastAsia="方正仿宋简体" w:cs="方正仿宋简体"/>
          <w:spacing w:val="10"/>
          <w:sz w:val="32"/>
          <w:szCs w:val="32"/>
          <w:lang w:eastAsia="zh-CN"/>
        </w:rPr>
        <w:t>年</w:t>
      </w:r>
      <w:r>
        <w:rPr>
          <w:rFonts w:hint="eastAsia" w:ascii="宋体" w:hAnsi="宋体" w:eastAsia="方正仿宋简体" w:cs="方正仿宋简体"/>
          <w:spacing w:val="10"/>
          <w:sz w:val="32"/>
          <w:szCs w:val="32"/>
          <w:lang w:val="en-US" w:eastAsia="zh-CN"/>
        </w:rPr>
        <w:t>全年</w:t>
      </w:r>
      <w:r>
        <w:rPr>
          <w:rFonts w:hint="eastAsia" w:ascii="宋体" w:hAnsi="宋体" w:eastAsia="方正仿宋简体" w:cs="方正仿宋简体"/>
          <w:spacing w:val="10"/>
          <w:sz w:val="32"/>
          <w:szCs w:val="32"/>
          <w:lang w:eastAsia="zh-CN"/>
        </w:rPr>
        <w:t>预算安排</w:t>
      </w:r>
      <w:r>
        <w:rPr>
          <w:rFonts w:hint="eastAsia" w:ascii="宋体" w:hAnsi="宋体" w:eastAsia="方正仿宋简体" w:cs="方正仿宋简体"/>
          <w:spacing w:val="10"/>
          <w:sz w:val="32"/>
          <w:szCs w:val="32"/>
          <w:lang w:val="en-US" w:eastAsia="zh-CN"/>
        </w:rPr>
        <w:t>19.22</w:t>
      </w:r>
      <w:r>
        <w:rPr>
          <w:rFonts w:hint="eastAsia" w:ascii="宋体" w:hAnsi="宋体" w:eastAsia="方正仿宋简体" w:cs="方正仿宋简体"/>
          <w:spacing w:val="10"/>
          <w:sz w:val="32"/>
          <w:szCs w:val="32"/>
          <w:lang w:eastAsia="zh-CN"/>
        </w:rPr>
        <w:t>万元。202</w:t>
      </w:r>
      <w:r>
        <w:rPr>
          <w:rFonts w:hint="eastAsia" w:ascii="宋体" w:hAnsi="宋体" w:eastAsia="方正仿宋简体" w:cs="方正仿宋简体"/>
          <w:spacing w:val="10"/>
          <w:sz w:val="32"/>
          <w:szCs w:val="32"/>
          <w:lang w:val="en-US" w:eastAsia="zh-CN"/>
        </w:rPr>
        <w:t>2</w:t>
      </w:r>
      <w:r>
        <w:rPr>
          <w:rFonts w:hint="eastAsia" w:ascii="宋体" w:hAnsi="宋体" w:eastAsia="方正仿宋简体" w:cs="方正仿宋简体"/>
          <w:spacing w:val="10"/>
          <w:sz w:val="32"/>
          <w:szCs w:val="32"/>
          <w:lang w:eastAsia="zh-CN"/>
        </w:rPr>
        <w:t>年</w:t>
      </w:r>
      <w:r>
        <w:rPr>
          <w:rFonts w:hint="eastAsia" w:ascii="宋体" w:hAnsi="宋体" w:eastAsia="方正仿宋简体" w:cs="方正仿宋简体"/>
          <w:color w:val="333333"/>
          <w:kern w:val="0"/>
          <w:sz w:val="32"/>
          <w:szCs w:val="32"/>
          <w:lang w:val="en-US" w:eastAsia="zh-CN"/>
        </w:rPr>
        <w:t>财政预算资金实际支出合计</w:t>
      </w:r>
      <w:r>
        <w:rPr>
          <w:rFonts w:hint="eastAsia" w:ascii="宋体" w:hAnsi="宋体" w:eastAsia="方正仿宋简体" w:cs="方正仿宋简体"/>
          <w:spacing w:val="10"/>
          <w:sz w:val="32"/>
          <w:szCs w:val="32"/>
          <w:lang w:val="en-US" w:eastAsia="zh-CN"/>
        </w:rPr>
        <w:t>19.22</w:t>
      </w:r>
      <w:r>
        <w:rPr>
          <w:rFonts w:hint="eastAsia" w:ascii="宋体" w:hAnsi="宋体" w:eastAsia="方正仿宋简体" w:cs="方正仿宋简体"/>
          <w:spacing w:val="10"/>
          <w:sz w:val="32"/>
          <w:szCs w:val="32"/>
          <w:lang w:eastAsia="zh-CN"/>
        </w:rPr>
        <w:t>万元。</w:t>
      </w:r>
    </w:p>
    <w:p>
      <w:pPr>
        <w:keepNext w:val="0"/>
        <w:keepLines w:val="0"/>
        <w:pageBreakBefore w:val="0"/>
        <w:widowControl w:val="0"/>
        <w:kinsoku/>
        <w:wordWrap/>
        <w:overflowPunct/>
        <w:topLinePunct w:val="0"/>
        <w:autoSpaceDE/>
        <w:autoSpaceDN/>
        <w:bidi w:val="0"/>
        <w:adjustRightInd/>
        <w:snapToGrid w:val="0"/>
        <w:spacing w:line="570" w:lineRule="exact"/>
        <w:ind w:firstLine="649" w:firstLineChars="191"/>
        <w:jc w:val="both"/>
        <w:textAlignment w:val="auto"/>
        <w:rPr>
          <w:rFonts w:hint="eastAsia" w:ascii="宋体" w:hAnsi="宋体" w:eastAsia="方正楷体简体" w:cs="方正楷体简体"/>
          <w:spacing w:val="10"/>
          <w:sz w:val="32"/>
          <w:szCs w:val="32"/>
          <w:lang w:eastAsia="zh-CN"/>
        </w:rPr>
      </w:pPr>
      <w:r>
        <w:rPr>
          <w:rFonts w:hint="eastAsia" w:ascii="宋体" w:hAnsi="宋体" w:eastAsia="方正楷体简体" w:cs="方正楷体简体"/>
          <w:spacing w:val="10"/>
          <w:sz w:val="32"/>
          <w:szCs w:val="32"/>
        </w:rPr>
        <w:t>（二）</w:t>
      </w:r>
      <w:r>
        <w:rPr>
          <w:rFonts w:hint="eastAsia" w:ascii="宋体" w:hAnsi="宋体" w:eastAsia="方正楷体简体" w:cs="方正楷体简体"/>
          <w:spacing w:val="10"/>
          <w:sz w:val="32"/>
          <w:szCs w:val="32"/>
          <w:lang w:eastAsia="zh-CN"/>
        </w:rPr>
        <w:t>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lang w:eastAsia="zh-CN"/>
        </w:rPr>
      </w:pPr>
      <w:r>
        <w:rPr>
          <w:rFonts w:hint="eastAsia" w:ascii="宋体" w:hAnsi="宋体" w:eastAsia="方正仿宋简体" w:cs="方正仿宋简体"/>
          <w:spacing w:val="10"/>
          <w:sz w:val="32"/>
          <w:szCs w:val="32"/>
          <w:lang w:eastAsia="zh-CN"/>
        </w:rPr>
        <w:t>总体目标：</w:t>
      </w:r>
      <w:r>
        <w:rPr>
          <w:rFonts w:hint="eastAsia" w:ascii="宋体" w:hAnsi="宋体" w:eastAsia="方正仿宋简体" w:cs="方正仿宋简体"/>
          <w:spacing w:val="10"/>
          <w:sz w:val="32"/>
          <w:szCs w:val="32"/>
        </w:rPr>
        <w:t>通过提高工作标准、优化审批流程、压缩审批时间，实现暖心服务，打造最优质、最高效、最规范、最便捷的“审批金牌保姆”服务品牌</w:t>
      </w:r>
      <w:r>
        <w:rPr>
          <w:rFonts w:hint="eastAsia" w:ascii="宋体" w:hAnsi="宋体" w:eastAsia="方正仿宋简体" w:cs="方正仿宋简体"/>
          <w:spacing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lang w:eastAsia="zh-CN"/>
        </w:rPr>
        <w:t>阶段性目标：</w:t>
      </w:r>
      <w:r>
        <w:rPr>
          <w:rFonts w:hint="eastAsia" w:ascii="宋体" w:hAnsi="宋体" w:eastAsia="方正仿宋简体" w:cs="方正仿宋简体"/>
          <w:spacing w:val="10"/>
          <w:sz w:val="32"/>
          <w:szCs w:val="32"/>
        </w:rPr>
        <w:t>按时高效、高质量完成业务</w:t>
      </w:r>
      <w:r>
        <w:rPr>
          <w:rFonts w:hint="eastAsia" w:ascii="宋体" w:hAnsi="宋体" w:eastAsia="方正仿宋简体" w:cs="方正仿宋简体"/>
          <w:spacing w:val="1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both"/>
        <w:textAlignment w:val="auto"/>
        <w:rPr>
          <w:rFonts w:hint="eastAsia" w:ascii="宋体" w:hAnsi="宋体" w:eastAsia="方正黑体简体" w:cs="方正黑体简体"/>
          <w:spacing w:val="10"/>
          <w:sz w:val="32"/>
          <w:szCs w:val="32"/>
        </w:rPr>
      </w:pPr>
      <w:r>
        <w:rPr>
          <w:rFonts w:hint="eastAsia" w:ascii="宋体" w:hAnsi="宋体" w:eastAsia="方正黑体简体" w:cs="方正黑体简体"/>
          <w:spacing w:val="10"/>
          <w:sz w:val="32"/>
          <w:szCs w:val="32"/>
        </w:rPr>
        <w:t>二、绩效评价工作开展情况</w:t>
      </w:r>
    </w:p>
    <w:p>
      <w:pPr>
        <w:keepNext w:val="0"/>
        <w:keepLines w:val="0"/>
        <w:pageBreakBefore w:val="0"/>
        <w:widowControl w:val="0"/>
        <w:kinsoku/>
        <w:wordWrap/>
        <w:overflowPunct/>
        <w:topLinePunct w:val="0"/>
        <w:autoSpaceDE/>
        <w:autoSpaceDN/>
        <w:bidi w:val="0"/>
        <w:adjustRightInd/>
        <w:snapToGrid w:val="0"/>
        <w:spacing w:line="570" w:lineRule="exact"/>
        <w:ind w:firstLine="649" w:firstLineChars="191"/>
        <w:jc w:val="both"/>
        <w:textAlignment w:val="auto"/>
        <w:rPr>
          <w:rFonts w:hint="eastAsia" w:ascii="宋体" w:hAnsi="宋体" w:eastAsia="方正楷体简体" w:cs="方正楷体简体"/>
          <w:spacing w:val="10"/>
          <w:sz w:val="32"/>
          <w:szCs w:val="32"/>
        </w:rPr>
      </w:pPr>
      <w:r>
        <w:rPr>
          <w:rFonts w:hint="eastAsia" w:ascii="宋体" w:hAnsi="宋体" w:eastAsia="方正楷体简体" w:cs="方正楷体简体"/>
          <w:spacing w:val="10"/>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pacing w:val="10"/>
          <w:sz w:val="32"/>
          <w:szCs w:val="32"/>
        </w:rPr>
        <w:t>绩</w:t>
      </w:r>
      <w:r>
        <w:rPr>
          <w:rFonts w:hint="eastAsia" w:ascii="宋体" w:hAnsi="宋体" w:eastAsia="方正仿宋简体" w:cs="方正仿宋简体"/>
          <w:sz w:val="32"/>
          <w:szCs w:val="32"/>
          <w:lang w:eastAsia="zh-CN"/>
        </w:rPr>
        <w:t>效评价目的：提高审批办事效率、提高审批服务水平、提高人员专业素质、加强信息公开和宣传引导，充分发挥网络保障作用，以保障我局审批网络业务正常运转，提高审批效率。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绩效评价对象：网络维护及开发费用得使用情况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绩效评价范围：用于审批局机关、业务科室及公共资源交易中心的日常办公、网络业务运转。</w:t>
      </w:r>
    </w:p>
    <w:p>
      <w:pPr>
        <w:keepNext w:val="0"/>
        <w:keepLines w:val="0"/>
        <w:pageBreakBefore w:val="0"/>
        <w:widowControl w:val="0"/>
        <w:kinsoku/>
        <w:wordWrap/>
        <w:overflowPunct/>
        <w:topLinePunct w:val="0"/>
        <w:autoSpaceDE/>
        <w:autoSpaceDN/>
        <w:bidi w:val="0"/>
        <w:adjustRightInd/>
        <w:snapToGrid w:val="0"/>
        <w:spacing w:line="570" w:lineRule="exact"/>
        <w:ind w:firstLine="649" w:firstLineChars="191"/>
        <w:jc w:val="both"/>
        <w:textAlignment w:val="auto"/>
        <w:rPr>
          <w:rFonts w:hint="eastAsia" w:ascii="宋体" w:hAnsi="宋体" w:eastAsia="方正楷体简体" w:cs="方正楷体简体"/>
          <w:spacing w:val="10"/>
          <w:sz w:val="32"/>
          <w:szCs w:val="32"/>
        </w:rPr>
      </w:pPr>
      <w:r>
        <w:rPr>
          <w:rFonts w:hint="eastAsia" w:ascii="宋体" w:hAnsi="宋体" w:eastAsia="方正楷体简体" w:cs="方正楷体简体"/>
          <w:spacing w:val="10"/>
          <w:sz w:val="32"/>
          <w:szCs w:val="32"/>
        </w:rPr>
        <w:t>（二）绩效评价原则、评价指标体系、评价方法及标准。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1.绩效评价原则：绩效评价工作遵循全面覆盖、程序简便、客观公正、公开透明的原则。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2.评价指标体系</w:t>
      </w:r>
    </w:p>
    <w:p>
      <w:pPr>
        <w:keepNext w:val="0"/>
        <w:keepLines w:val="0"/>
        <w:pageBreakBefore w:val="0"/>
        <w:widowControl w:val="0"/>
        <w:kinsoku/>
        <w:wordWrap/>
        <w:overflowPunct/>
        <w:topLinePunct w:val="0"/>
        <w:autoSpaceDE/>
        <w:autoSpaceDN/>
        <w:bidi w:val="0"/>
        <w:adjustRightInd/>
        <w:spacing w:line="570" w:lineRule="exact"/>
        <w:ind w:firstLine="611" w:firstLineChars="191"/>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行政审批局</w:t>
      </w:r>
      <w:r>
        <w:rPr>
          <w:rFonts w:hint="eastAsia" w:ascii="宋体" w:hAnsi="宋体" w:eastAsia="方正仿宋简体" w:cs="方正仿宋简体"/>
          <w:sz w:val="32"/>
          <w:szCs w:val="32"/>
          <w:lang w:val="en-US" w:eastAsia="zh-CN"/>
        </w:rPr>
        <w:t>2021年</w:t>
      </w:r>
      <w:r>
        <w:rPr>
          <w:rFonts w:hint="eastAsia" w:ascii="宋体" w:hAnsi="宋体" w:eastAsia="方正仿宋简体" w:cs="方正仿宋简体"/>
          <w:sz w:val="32"/>
          <w:szCs w:val="32"/>
          <w:lang w:eastAsia="zh-CN"/>
        </w:rPr>
        <w:t>网络维护及开发费绩效评价指标</w:t>
      </w:r>
    </w:p>
    <w:tbl>
      <w:tblPr>
        <w:tblStyle w:val="4"/>
        <w:tblW w:w="9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734"/>
        <w:gridCol w:w="1009"/>
        <w:gridCol w:w="2579"/>
        <w:gridCol w:w="3040"/>
        <w:gridCol w:w="576"/>
        <w:gridCol w:w="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38"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一级指标</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二级指标</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三级指标</w:t>
            </w:r>
          </w:p>
        </w:tc>
        <w:tc>
          <w:tcPr>
            <w:tcW w:w="257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指标解释</w:t>
            </w:r>
          </w:p>
        </w:tc>
        <w:tc>
          <w:tcPr>
            <w:tcW w:w="304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评价标准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标准分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投入</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项目目标</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目标内容</w:t>
            </w:r>
          </w:p>
        </w:tc>
        <w:tc>
          <w:tcPr>
            <w:tcW w:w="2579"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目标是否明确、细化、量化</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目标明确（2分），目标细化（2分），目标量化（1分）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决策过程</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决策依据</w:t>
            </w:r>
          </w:p>
        </w:tc>
        <w:tc>
          <w:tcPr>
            <w:tcW w:w="2579"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项目是否符合经济社会发展规划和部门年度工作计划；是否根据需要制定中长期实施规划</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项目符合经济社会发展规划和部门年度工作计划（5分），根据需要制定中长期实施规划（5分）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决策程序</w:t>
            </w:r>
          </w:p>
        </w:tc>
        <w:tc>
          <w:tcPr>
            <w:tcW w:w="2579"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项目是否符合申报条件；申报、批复程序是否符合相关管理办法；项目调整是否履行相应手续</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项目符合申报条件（2分），申报、批复程序符合相关管理办法（2分），项目实施调整履行相应手续（1分）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过程</w:t>
            </w: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资金管理</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资金使用</w:t>
            </w:r>
          </w:p>
        </w:tc>
        <w:tc>
          <w:tcPr>
            <w:tcW w:w="2579"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是否存在支出依据不合规、虚列项目支出的情况；是否存在截留、挤占、挪用项目资金情况；是否存在超标准开支情况</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虚列（套取）扣4分，支出依据不合规扣1分，截留、挤占、挪用扣2分，超标准开支扣1分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财务管理</w:t>
            </w:r>
          </w:p>
        </w:tc>
        <w:tc>
          <w:tcPr>
            <w:tcW w:w="2579"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资金管理、费用支出等制度是否健全，是否严格执行；会计核算是否规范</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财务制度健全（2分），严格执行制度（1分），会计核算规范（1分）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组织实施</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组织机构</w:t>
            </w:r>
          </w:p>
        </w:tc>
        <w:tc>
          <w:tcPr>
            <w:tcW w:w="2579"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机构是否健全、分工是否明确</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机构健全、分工明确（4分）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管理制度</w:t>
            </w:r>
          </w:p>
        </w:tc>
        <w:tc>
          <w:tcPr>
            <w:tcW w:w="2579"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是否建立健全项目管理制度；是否严格执行相关项目管理制度</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建立健全项目管理制度（2分）；严格执行相关项目管理制度(1分）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738" w:type="dxa"/>
            <w:vMerge w:val="restart"/>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产出</w:t>
            </w: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数量指标</w:t>
            </w:r>
          </w:p>
        </w:tc>
        <w:tc>
          <w:tcPr>
            <w:tcW w:w="1009"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综合业务管理工作完成率</w:t>
            </w:r>
          </w:p>
        </w:tc>
        <w:tc>
          <w:tcPr>
            <w:tcW w:w="2579" w:type="dxa"/>
            <w:noWrap/>
            <w:vAlign w:val="center"/>
          </w:tcPr>
          <w:p>
            <w:pPr>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各项综合业务工作任务完成情况占各项综合业务工作任务的比例</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完成100%得10分，完成90%以上得8分，完成70%以上得6分，完成70%以下得4分。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质量指标</w:t>
            </w:r>
          </w:p>
        </w:tc>
        <w:tc>
          <w:tcPr>
            <w:tcW w:w="1009"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全年工作任务达标率</w:t>
            </w:r>
          </w:p>
        </w:tc>
        <w:tc>
          <w:tcPr>
            <w:tcW w:w="2579"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全年工作任务达到预期质量目标情况</w:t>
            </w:r>
          </w:p>
        </w:tc>
        <w:tc>
          <w:tcPr>
            <w:tcW w:w="3040"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完成100%得10分，完成80%以上得8分，完成80%以上得6分，完成80%以下得4分。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时效指标</w:t>
            </w:r>
          </w:p>
        </w:tc>
        <w:tc>
          <w:tcPr>
            <w:tcW w:w="1009"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报销时效性</w:t>
            </w:r>
          </w:p>
        </w:tc>
        <w:tc>
          <w:tcPr>
            <w:tcW w:w="2579"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按照审批程序及时报销</w:t>
            </w:r>
          </w:p>
        </w:tc>
        <w:tc>
          <w:tcPr>
            <w:tcW w:w="3040"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成本指标</w:t>
            </w:r>
          </w:p>
        </w:tc>
        <w:tc>
          <w:tcPr>
            <w:tcW w:w="1009"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2579"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3040"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738" w:type="dxa"/>
            <w:vMerge w:val="restart"/>
            <w:noWrap/>
            <w:vAlign w:val="center"/>
          </w:tcPr>
          <w:p>
            <w:pPr>
              <w:widowControl/>
              <w:spacing w:line="240" w:lineRule="exact"/>
              <w:rPr>
                <w:rFonts w:ascii="宋体" w:hAnsi="宋体" w:eastAsia="方正仿宋简体"/>
                <w:kern w:val="0"/>
                <w:sz w:val="21"/>
                <w:szCs w:val="21"/>
              </w:rPr>
            </w:pPr>
          </w:p>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效果</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可持续影响指标</w:t>
            </w:r>
          </w:p>
        </w:tc>
        <w:tc>
          <w:tcPr>
            <w:tcW w:w="1009" w:type="dxa"/>
            <w:noWrap/>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提高发改领域服务保障能力</w:t>
            </w:r>
          </w:p>
        </w:tc>
        <w:tc>
          <w:tcPr>
            <w:tcW w:w="2579" w:type="dxa"/>
            <w:noWrap/>
          </w:tcPr>
          <w:p>
            <w:pPr>
              <w:spacing w:line="240" w:lineRule="exact"/>
              <w:rPr>
                <w:rFonts w:ascii="宋体" w:hAnsi="宋体" w:eastAsia="方正仿宋简体"/>
                <w:kern w:val="0"/>
                <w:sz w:val="21"/>
                <w:szCs w:val="21"/>
              </w:rPr>
            </w:pPr>
          </w:p>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有利于业务开展，提高服务保障能力</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经济效益指标</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节约项目开支</w:t>
            </w:r>
          </w:p>
        </w:tc>
        <w:tc>
          <w:tcPr>
            <w:tcW w:w="2579"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践行厉行节约反对浪费制度体系建设</w:t>
            </w:r>
          </w:p>
          <w:p>
            <w:pPr>
              <w:widowControl/>
              <w:spacing w:line="240" w:lineRule="exact"/>
              <w:rPr>
                <w:rFonts w:ascii="宋体" w:hAnsi="宋体" w:eastAsia="方正仿宋简体"/>
                <w:kern w:val="0"/>
                <w:sz w:val="21"/>
                <w:szCs w:val="21"/>
              </w:rPr>
            </w:pPr>
          </w:p>
        </w:tc>
        <w:tc>
          <w:tcPr>
            <w:tcW w:w="3040"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社会效益指标</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业务保障率</w:t>
            </w:r>
          </w:p>
        </w:tc>
        <w:tc>
          <w:tcPr>
            <w:tcW w:w="2579" w:type="dxa"/>
            <w:noWrap/>
            <w:vAlign w:val="bottom"/>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有效保障相关业务、工作等开展的业务次数占总业务量的比率</w:t>
            </w:r>
          </w:p>
          <w:p>
            <w:pPr>
              <w:widowControl/>
              <w:spacing w:line="240" w:lineRule="exact"/>
              <w:rPr>
                <w:rFonts w:ascii="宋体" w:hAnsi="宋体" w:eastAsia="方正仿宋简体"/>
                <w:kern w:val="0"/>
                <w:sz w:val="21"/>
                <w:szCs w:val="21"/>
              </w:rPr>
            </w:pPr>
          </w:p>
        </w:tc>
        <w:tc>
          <w:tcPr>
            <w:tcW w:w="3040"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生态效益指标</w:t>
            </w:r>
          </w:p>
        </w:tc>
        <w:tc>
          <w:tcPr>
            <w:tcW w:w="1009"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工作环境改善程度</w:t>
            </w:r>
          </w:p>
        </w:tc>
        <w:tc>
          <w:tcPr>
            <w:tcW w:w="2579"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对工作环境的改善程度</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18"/>
                <w:szCs w:val="18"/>
              </w:rPr>
            </w:pPr>
            <w:r>
              <w:rPr>
                <w:rFonts w:hint="eastAsia" w:ascii="宋体" w:hAnsi="宋体" w:eastAsia="方正仿宋简体"/>
                <w:kern w:val="0"/>
                <w:sz w:val="18"/>
                <w:szCs w:val="18"/>
              </w:rPr>
              <w:t>服务对象满意度指标</w:t>
            </w:r>
          </w:p>
        </w:tc>
        <w:tc>
          <w:tcPr>
            <w:tcW w:w="1009"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受益群体满意度</w:t>
            </w:r>
          </w:p>
        </w:tc>
        <w:tc>
          <w:tcPr>
            <w:tcW w:w="2579"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受益群体调查中，满意和较满意的人数占全部调查人数的比率</w:t>
            </w:r>
          </w:p>
        </w:tc>
        <w:tc>
          <w:tcPr>
            <w:tcW w:w="3040"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3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总分</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100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2579"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3040"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r>
    </w:tbl>
    <w:p>
      <w:pPr>
        <w:keepNext w:val="0"/>
        <w:keepLines w:val="0"/>
        <w:pageBreakBefore w:val="0"/>
        <w:kinsoku/>
        <w:wordWrap/>
        <w:overflowPunct/>
        <w:topLinePunct w:val="0"/>
        <w:autoSpaceDE/>
        <w:autoSpaceDN/>
        <w:bidi w:val="0"/>
        <w:spacing w:line="570" w:lineRule="exact"/>
        <w:ind w:firstLine="537" w:firstLineChars="192"/>
        <w:textAlignment w:val="auto"/>
        <w:rPr>
          <w:rFonts w:hint="eastAsia" w:ascii="宋体" w:hAnsi="宋体" w:eastAsia="方正仿宋简体" w:cs="宋体"/>
          <w:color w:val="333333"/>
          <w:kern w:val="0"/>
          <w:sz w:val="28"/>
          <w:szCs w:val="28"/>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3.绩效评价方法：采用实地检查、实际操作等多种评价方法相结合的综合评价。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4.评价标准：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both"/>
        <w:textAlignment w:val="auto"/>
        <w:rPr>
          <w:rFonts w:hint="eastAsia" w:ascii="宋体" w:hAnsi="宋体" w:eastAsia="方正楷体简体" w:cs="方正楷体简体"/>
          <w:spacing w:val="10"/>
          <w:sz w:val="32"/>
          <w:szCs w:val="32"/>
        </w:rPr>
      </w:pPr>
      <w:r>
        <w:rPr>
          <w:rFonts w:hint="eastAsia" w:ascii="宋体" w:hAnsi="宋体" w:eastAsia="方正楷体简体" w:cs="方正楷体简体"/>
          <w:spacing w:val="10"/>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绩效评价人员查看了相关项目资料，了解资金拨付、使用情况及管理工作。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1.对此项目收集相关资料。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3.根据调研结果和收集资料进行综合分析，综合评定绩效等级，科学撰写评价报告。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在市委、市政府的坚强领导下，</w:t>
      </w:r>
      <w:r>
        <w:rPr>
          <w:rFonts w:hint="eastAsia" w:ascii="宋体" w:hAnsi="宋体" w:eastAsia="方正仿宋简体" w:cs="方正仿宋简体"/>
          <w:sz w:val="32"/>
          <w:szCs w:val="32"/>
          <w:lang w:val="zh-CN" w:eastAsia="zh-CN"/>
        </w:rPr>
        <w:t>审批局打造成一个集政务服务、公共资源交易等便民功能于一体的城市政务服务综合体，打造审批局营商环境金字招牌，打造事项最少、收费标准最低、办事效率最快、服务水平最优的“四最”审批服务品牌，展示我市政府形象第一窗口，争创全唐山市一流的行政审批局。按照“流程最优、期限最短、成本最低、服务最好”的目标，推进行政审批规范化、标准化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评价结论：综合评分项目绩效指标得分为100分，绩效评分为优秀。</w:t>
      </w:r>
    </w:p>
    <w:p>
      <w:pPr>
        <w:keepNext w:val="0"/>
        <w:keepLines w:val="0"/>
        <w:pageBreakBefore w:val="0"/>
        <w:widowControl w:val="0"/>
        <w:kinsoku/>
        <w:wordWrap/>
        <w:overflowPunct/>
        <w:topLinePunct w:val="0"/>
        <w:autoSpaceDE/>
        <w:autoSpaceDN/>
        <w:bidi w:val="0"/>
        <w:adjustRightInd/>
        <w:spacing w:line="570" w:lineRule="exact"/>
        <w:ind w:firstLine="680" w:firstLineChars="200"/>
        <w:textAlignment w:val="auto"/>
        <w:rPr>
          <w:rFonts w:hint="eastAsia" w:ascii="宋体" w:hAnsi="宋体" w:eastAsia="方正黑体简体" w:cs="方正黑体简体"/>
          <w:spacing w:val="10"/>
          <w:sz w:val="32"/>
          <w:szCs w:val="32"/>
        </w:rPr>
      </w:pPr>
      <w:r>
        <w:rPr>
          <w:rFonts w:hint="eastAsia" w:ascii="宋体" w:hAnsi="宋体" w:eastAsia="方正黑体简体" w:cs="方正黑体简体"/>
          <w:spacing w:val="10"/>
          <w:sz w:val="32"/>
          <w:szCs w:val="32"/>
        </w:rPr>
        <w:t>四、绩效评价指标分析</w:t>
      </w:r>
    </w:p>
    <w:p>
      <w:pPr>
        <w:keepNext w:val="0"/>
        <w:keepLines w:val="0"/>
        <w:pageBreakBefore w:val="0"/>
        <w:widowControl w:val="0"/>
        <w:kinsoku/>
        <w:wordWrap/>
        <w:overflowPunct/>
        <w:topLinePunct w:val="0"/>
        <w:autoSpaceDE/>
        <w:autoSpaceDN/>
        <w:bidi w:val="0"/>
        <w:adjustRightInd/>
        <w:snapToGrid w:val="0"/>
        <w:spacing w:line="570" w:lineRule="exact"/>
        <w:ind w:firstLine="649" w:firstLineChars="191"/>
        <w:jc w:val="both"/>
        <w:textAlignment w:val="auto"/>
        <w:rPr>
          <w:rFonts w:hint="eastAsia" w:ascii="宋体" w:hAnsi="宋体" w:eastAsia="方正楷体简体" w:cs="方正楷体简体"/>
          <w:spacing w:val="10"/>
          <w:sz w:val="32"/>
          <w:szCs w:val="32"/>
          <w:lang w:eastAsia="zh-CN"/>
        </w:rPr>
      </w:pPr>
      <w:r>
        <w:rPr>
          <w:rFonts w:hint="eastAsia" w:ascii="宋体" w:hAnsi="宋体" w:eastAsia="方正楷体简体" w:cs="方正楷体简体"/>
          <w:spacing w:val="10"/>
          <w:sz w:val="32"/>
          <w:szCs w:val="32"/>
          <w:lang w:eastAsia="zh-CN"/>
        </w:rPr>
        <w:t>（一）项目决策情况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1.项目目标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2.决策过程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决策依据，项目是否符合经济发展规划和部门年度工作计划，是否根据需要制定中长期实施规划。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项目符合经济发展规划和部门年度工作计划，根据需要制定中长期实施规划。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决策程序，是指项目是否符合申报条件，申报、批复程序是否符合相关管理办法，项目调整是否履行相应手续。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项目符合申报条件，申报批复程序符合相关管理办法，项目调整履行相应手续。</w:t>
      </w:r>
    </w:p>
    <w:p>
      <w:pPr>
        <w:keepNext w:val="0"/>
        <w:keepLines w:val="0"/>
        <w:pageBreakBefore w:val="0"/>
        <w:widowControl w:val="0"/>
        <w:kinsoku/>
        <w:wordWrap/>
        <w:overflowPunct/>
        <w:topLinePunct w:val="0"/>
        <w:autoSpaceDE/>
        <w:autoSpaceDN/>
        <w:bidi w:val="0"/>
        <w:adjustRightInd/>
        <w:snapToGrid w:val="0"/>
        <w:spacing w:line="570" w:lineRule="exact"/>
        <w:ind w:firstLine="649" w:firstLineChars="191"/>
        <w:jc w:val="both"/>
        <w:textAlignment w:val="auto"/>
        <w:rPr>
          <w:rFonts w:hint="eastAsia" w:ascii="宋体" w:hAnsi="宋体" w:eastAsia="方正楷体简体" w:cs="方正楷体简体"/>
          <w:spacing w:val="10"/>
          <w:sz w:val="32"/>
          <w:szCs w:val="32"/>
          <w:lang w:eastAsia="zh-CN"/>
        </w:rPr>
      </w:pPr>
      <w:r>
        <w:rPr>
          <w:rFonts w:hint="eastAsia" w:ascii="宋体" w:hAnsi="宋体" w:eastAsia="方正楷体简体" w:cs="方正楷体简体"/>
          <w:spacing w:val="10"/>
          <w:sz w:val="32"/>
          <w:szCs w:val="32"/>
          <w:lang w:val="en-US" w:eastAsia="zh-CN"/>
        </w:rPr>
        <w:t>（二）</w:t>
      </w:r>
      <w:r>
        <w:rPr>
          <w:rFonts w:hint="eastAsia" w:ascii="宋体" w:hAnsi="宋体" w:eastAsia="方正楷体简体" w:cs="方正楷体简体"/>
          <w:spacing w:val="10"/>
          <w:sz w:val="32"/>
          <w:szCs w:val="32"/>
          <w:lang w:eastAsia="zh-CN"/>
        </w:rPr>
        <w:t>项目过程情况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1.资金管理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3.组织实施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4.管理制度，是指是否建立建全项目管理制度；是否严格执行相关项目管理制度。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val="0"/>
        <w:spacing w:line="570" w:lineRule="exact"/>
        <w:ind w:firstLine="649" w:firstLineChars="191"/>
        <w:jc w:val="both"/>
        <w:textAlignment w:val="auto"/>
        <w:rPr>
          <w:rFonts w:hint="eastAsia" w:ascii="宋体" w:hAnsi="宋体" w:eastAsia="方正楷体简体" w:cs="方正楷体简体"/>
          <w:spacing w:val="10"/>
          <w:sz w:val="32"/>
          <w:szCs w:val="32"/>
          <w:lang w:val="en-US" w:eastAsia="zh-CN"/>
        </w:rPr>
      </w:pPr>
      <w:r>
        <w:rPr>
          <w:rFonts w:hint="eastAsia" w:ascii="宋体" w:hAnsi="宋体" w:eastAsia="方正楷体简体" w:cs="方正楷体简体"/>
          <w:spacing w:val="10"/>
          <w:sz w:val="32"/>
          <w:szCs w:val="32"/>
          <w:lang w:val="en-US" w:eastAsia="zh-CN"/>
        </w:rPr>
        <w:t>（三）项目产出情况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1.数量指标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综合业务管理工作完成率，各项综合业务工作任务完成情况占各项综合业务工作任务的比例，达到优良水平。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2.质量指标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全年工作任务达标率，全年工作任务达到预期质量目标情况，达到优良水平。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3.时效指标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报销时效性，按照审批程序及时报销，达到优良水平。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4.成本指标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预算资金完成率，预算资金完成率达到财政部门要求，达到优良水平。</w:t>
      </w:r>
    </w:p>
    <w:p>
      <w:pPr>
        <w:keepNext w:val="0"/>
        <w:keepLines w:val="0"/>
        <w:pageBreakBefore w:val="0"/>
        <w:widowControl w:val="0"/>
        <w:kinsoku/>
        <w:wordWrap/>
        <w:overflowPunct/>
        <w:topLinePunct w:val="0"/>
        <w:autoSpaceDE/>
        <w:autoSpaceDN/>
        <w:bidi w:val="0"/>
        <w:adjustRightInd/>
        <w:snapToGrid w:val="0"/>
        <w:spacing w:line="570" w:lineRule="exact"/>
        <w:ind w:firstLine="649" w:firstLineChars="191"/>
        <w:jc w:val="both"/>
        <w:textAlignment w:val="auto"/>
        <w:rPr>
          <w:rFonts w:hint="eastAsia" w:ascii="宋体" w:hAnsi="宋体" w:eastAsia="方正楷体简体" w:cs="方正楷体简体"/>
          <w:spacing w:val="10"/>
          <w:sz w:val="32"/>
          <w:szCs w:val="32"/>
          <w:lang w:val="en-US" w:eastAsia="zh-CN"/>
        </w:rPr>
      </w:pPr>
      <w:r>
        <w:rPr>
          <w:rFonts w:hint="eastAsia" w:ascii="宋体" w:hAnsi="宋体" w:eastAsia="方正楷体简体" w:cs="方正楷体简体"/>
          <w:spacing w:val="10"/>
          <w:sz w:val="32"/>
          <w:szCs w:val="32"/>
          <w:lang w:val="en-US" w:eastAsia="zh-CN"/>
        </w:rPr>
        <w:t>（四）项目效益情况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1.社会效益指标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 xml:space="preserve">业务保障率，有效保障相关业务、工作等开展的业务次数占总业务量的比率，达到优良水平。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2.可持续影响指标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提高发改领域服务保障能力，有利于业务开展，提高服务保障能力，达到优良水平。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3.经济效益指标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节约项目开支，践行厉行节约反对浪费制度体系建设，达到优良水平。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4.生态效益指标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工作环境改善程度，对工作环境的改善程度，达到优良水平。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5.服务对象满意度指标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受益群体满意度，受益群体调查中，满意和较满意的人数占全部调查人数的比率，达到优良水平。</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黑体简体" w:cs="方正黑体简体"/>
          <w:color w:val="333333"/>
          <w:kern w:val="0"/>
          <w:sz w:val="32"/>
          <w:szCs w:val="32"/>
        </w:rPr>
      </w:pPr>
      <w:r>
        <w:rPr>
          <w:rFonts w:hint="eastAsia" w:ascii="宋体" w:hAnsi="宋体" w:eastAsia="方正黑体简体" w:cs="方正黑体简体"/>
          <w:color w:val="333333"/>
          <w:kern w:val="0"/>
          <w:sz w:val="32"/>
          <w:szCs w:val="32"/>
        </w:rPr>
        <w:t>五、</w:t>
      </w:r>
      <w:r>
        <w:rPr>
          <w:rFonts w:hint="eastAsia" w:ascii="宋体" w:hAnsi="宋体" w:eastAsia="方正黑体简体" w:cs="方正黑体简体"/>
          <w:color w:val="333333"/>
          <w:kern w:val="0"/>
          <w:sz w:val="32"/>
          <w:szCs w:val="32"/>
          <w:lang w:eastAsia="zh-CN"/>
        </w:rPr>
        <w:t>主要经验及做法</w:t>
      </w:r>
      <w:r>
        <w:rPr>
          <w:rFonts w:hint="eastAsia" w:ascii="宋体" w:hAnsi="宋体" w:eastAsia="方正黑体简体" w:cs="方正黑体简体"/>
          <w:color w:val="333333"/>
          <w:kern w:val="0"/>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宋体"/>
          <w:color w:val="333333"/>
          <w:kern w:val="0"/>
          <w:sz w:val="28"/>
          <w:szCs w:val="28"/>
        </w:rPr>
        <w:t xml:space="preserve"> </w:t>
      </w:r>
      <w:r>
        <w:rPr>
          <w:rFonts w:hint="eastAsia" w:ascii="宋体" w:hAnsi="宋体" w:eastAsia="方正仿宋简体" w:cs="方正仿宋简体"/>
          <w:sz w:val="32"/>
          <w:szCs w:val="32"/>
          <w:lang w:val="en-US" w:eastAsia="zh-CN"/>
        </w:rPr>
        <w:t>认真贯彻落实绩效管理办法，把预算绩效管理纳入整体工作，把财政项目支出绩效自评工作列入重要议事日程，做实做好。</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黑体简体" w:cs="方正黑体简体"/>
          <w:color w:val="333333"/>
          <w:kern w:val="0"/>
          <w:sz w:val="32"/>
          <w:szCs w:val="32"/>
        </w:rPr>
      </w:pPr>
      <w:r>
        <w:rPr>
          <w:rFonts w:hint="eastAsia" w:ascii="宋体" w:hAnsi="宋体" w:eastAsia="方正黑体简体" w:cs="方正黑体简体"/>
          <w:color w:val="333333"/>
          <w:kern w:val="0"/>
          <w:sz w:val="32"/>
          <w:szCs w:val="32"/>
        </w:rPr>
        <w:t>六、有关建议</w:t>
      </w:r>
    </w:p>
    <w:p>
      <w:pPr>
        <w:keepNext w:val="0"/>
        <w:keepLines w:val="0"/>
        <w:pageBreakBefore w:val="0"/>
        <w:kinsoku/>
        <w:wordWrap/>
        <w:overflowPunct/>
        <w:topLinePunct w:val="0"/>
        <w:autoSpaceDE/>
        <w:autoSpaceDN/>
        <w:bidi w:val="0"/>
        <w:spacing w:line="570" w:lineRule="exact"/>
        <w:ind w:firstLine="537" w:firstLineChars="192"/>
        <w:textAlignment w:val="auto"/>
        <w:rPr>
          <w:rFonts w:hint="eastAsia" w:ascii="宋体" w:hAnsi="宋体" w:eastAsia="方正仿宋简体" w:cs="方正仿宋简体"/>
          <w:sz w:val="32"/>
          <w:szCs w:val="32"/>
          <w:lang w:val="en-US" w:eastAsia="zh-CN"/>
        </w:rPr>
      </w:pPr>
      <w:r>
        <w:rPr>
          <w:rFonts w:hint="eastAsia" w:ascii="宋体" w:hAnsi="宋体" w:eastAsia="方正仿宋简体" w:cs="宋体"/>
          <w:color w:val="333333"/>
          <w:kern w:val="0"/>
          <w:sz w:val="28"/>
          <w:szCs w:val="28"/>
        </w:rPr>
        <w:t xml:space="preserve"> </w:t>
      </w:r>
      <w:r>
        <w:rPr>
          <w:rFonts w:hint="eastAsia" w:ascii="宋体" w:hAnsi="宋体" w:eastAsia="方正仿宋简体" w:cs="方正仿宋简体"/>
          <w:sz w:val="32"/>
          <w:szCs w:val="32"/>
          <w:lang w:val="en-US" w:eastAsia="zh-CN"/>
        </w:rPr>
        <w:t>无</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黑体简体" w:cs="方正黑体简体"/>
          <w:color w:val="333333"/>
          <w:kern w:val="0"/>
          <w:sz w:val="32"/>
          <w:szCs w:val="32"/>
        </w:rPr>
      </w:pPr>
      <w:r>
        <w:rPr>
          <w:rFonts w:hint="eastAsia" w:ascii="宋体" w:hAnsi="宋体" w:eastAsia="方正黑体简体" w:cs="方正黑体简体"/>
          <w:color w:val="333333"/>
          <w:kern w:val="0"/>
          <w:sz w:val="32"/>
          <w:szCs w:val="32"/>
        </w:rPr>
        <w:t>七、其他需要说明的问题</w:t>
      </w:r>
    </w:p>
    <w:p>
      <w:pPr>
        <w:keepNext w:val="0"/>
        <w:keepLines w:val="0"/>
        <w:pageBreakBefore w:val="0"/>
        <w:kinsoku/>
        <w:wordWrap/>
        <w:overflowPunct/>
        <w:topLinePunct w:val="0"/>
        <w:autoSpaceDE/>
        <w:autoSpaceDN/>
        <w:bidi w:val="0"/>
        <w:spacing w:line="570" w:lineRule="exact"/>
        <w:ind w:firstLine="537" w:firstLineChars="192"/>
        <w:textAlignment w:val="auto"/>
        <w:rPr>
          <w:rFonts w:hint="eastAsia" w:ascii="宋体" w:hAnsi="宋体" w:eastAsia="方正仿宋简体" w:cs="方正仿宋简体"/>
          <w:sz w:val="32"/>
          <w:szCs w:val="32"/>
          <w:lang w:val="en-US" w:eastAsia="zh-CN"/>
        </w:rPr>
      </w:pPr>
      <w:r>
        <w:rPr>
          <w:rFonts w:hint="eastAsia" w:ascii="宋体" w:hAnsi="宋体" w:eastAsia="方正仿宋简体" w:cs="宋体"/>
          <w:color w:val="333333"/>
          <w:kern w:val="0"/>
          <w:sz w:val="28"/>
          <w:szCs w:val="28"/>
        </w:rPr>
        <w:t xml:space="preserve"> </w:t>
      </w:r>
      <w:r>
        <w:rPr>
          <w:rFonts w:hint="eastAsia" w:ascii="宋体" w:hAnsi="宋体" w:eastAsia="方正仿宋简体" w:cs="方正仿宋简体"/>
          <w:sz w:val="32"/>
          <w:szCs w:val="32"/>
          <w:lang w:val="en-US" w:eastAsia="zh-CN"/>
        </w:rPr>
        <w:t>无</w:t>
      </w:r>
    </w:p>
    <w:p>
      <w:pPr>
        <w:keepNext w:val="0"/>
        <w:keepLines w:val="0"/>
        <w:pageBreakBefore w:val="0"/>
        <w:kinsoku/>
        <w:wordWrap/>
        <w:overflowPunct/>
        <w:topLinePunct w:val="0"/>
        <w:autoSpaceDE/>
        <w:autoSpaceDN/>
        <w:bidi w:val="0"/>
        <w:spacing w:line="570" w:lineRule="exact"/>
        <w:ind w:firstLine="652" w:firstLineChars="192"/>
        <w:textAlignment w:val="auto"/>
        <w:rPr>
          <w:rFonts w:hint="eastAsia" w:ascii="宋体" w:hAnsi="宋体" w:eastAsia="方正仿宋简体" w:cs="方正仿宋简体"/>
          <w:spacing w:val="10"/>
          <w:sz w:val="32"/>
          <w:szCs w:val="32"/>
          <w:lang w:val="en-US" w:eastAsia="zh-CN"/>
        </w:rPr>
      </w:pPr>
    </w:p>
    <w:p>
      <w:pPr>
        <w:spacing w:line="570" w:lineRule="exact"/>
        <w:ind w:firstLine="652" w:firstLineChars="192"/>
        <w:rPr>
          <w:rFonts w:hint="eastAsia" w:ascii="宋体" w:hAnsi="宋体" w:eastAsia="方正仿宋简体" w:cs="方正仿宋简体"/>
          <w:spacing w:val="10"/>
          <w:sz w:val="32"/>
          <w:szCs w:val="32"/>
          <w:lang w:val="en-US" w:eastAsia="zh-CN"/>
        </w:rPr>
      </w:pPr>
    </w:p>
    <w:p>
      <w:pPr>
        <w:spacing w:line="570" w:lineRule="exact"/>
        <w:ind w:firstLine="652" w:firstLineChars="192"/>
        <w:rPr>
          <w:rFonts w:hint="eastAsia" w:ascii="宋体" w:hAnsi="宋体" w:eastAsia="方正仿宋简体" w:cs="方正仿宋简体"/>
          <w:spacing w:val="10"/>
          <w:sz w:val="32"/>
          <w:szCs w:val="32"/>
          <w:lang w:val="en-US" w:eastAsia="zh-CN"/>
        </w:rPr>
      </w:pPr>
    </w:p>
    <w:p>
      <w:pPr>
        <w:spacing w:line="570" w:lineRule="exact"/>
        <w:ind w:firstLine="652" w:firstLineChars="192"/>
        <w:rPr>
          <w:rFonts w:hint="eastAsia" w:ascii="宋体" w:hAnsi="宋体" w:eastAsia="方正仿宋简体" w:cs="方正仿宋简体"/>
          <w:spacing w:val="10"/>
          <w:sz w:val="32"/>
          <w:szCs w:val="32"/>
          <w:lang w:val="en-US" w:eastAsia="zh-CN"/>
        </w:rPr>
      </w:pPr>
    </w:p>
    <w:p>
      <w:pPr>
        <w:spacing w:line="570" w:lineRule="exact"/>
        <w:ind w:firstLine="652" w:firstLineChars="192"/>
        <w:rPr>
          <w:rFonts w:hint="eastAsia" w:ascii="宋体" w:hAnsi="宋体" w:eastAsia="方正仿宋简体" w:cs="方正仿宋简体"/>
          <w:spacing w:val="10"/>
          <w:sz w:val="32"/>
          <w:szCs w:val="32"/>
          <w:lang w:val="en-US" w:eastAsia="zh-CN"/>
        </w:rPr>
      </w:pPr>
    </w:p>
    <w:p>
      <w:pPr>
        <w:spacing w:line="500" w:lineRule="exact"/>
        <w:rPr>
          <w:rFonts w:ascii="宋体" w:hAnsi="宋体"/>
        </w:rPr>
      </w:pPr>
    </w:p>
    <w:p>
      <w:pPr>
        <w:spacing w:line="500" w:lineRule="exact"/>
        <w:rPr>
          <w:rFonts w:ascii="宋体" w:hAnsi="宋体"/>
        </w:rPr>
      </w:pPr>
    </w:p>
    <w:tbl>
      <w:tblPr>
        <w:tblStyle w:val="4"/>
        <w:tblpPr w:leftFromText="180" w:rightFromText="180" w:vertAnchor="text" w:horzAnchor="page" w:tblpX="1492" w:tblpY="218"/>
        <w:tblOverlap w:val="never"/>
        <w:tblW w:w="9345" w:type="dxa"/>
        <w:tblInd w:w="0" w:type="dxa"/>
        <w:shd w:val="clear" w:color="auto" w:fill="auto"/>
        <w:tblLayout w:type="fixed"/>
        <w:tblCellMar>
          <w:top w:w="0" w:type="dxa"/>
          <w:left w:w="0" w:type="dxa"/>
          <w:bottom w:w="0" w:type="dxa"/>
          <w:right w:w="0" w:type="dxa"/>
        </w:tblCellMar>
      </w:tblPr>
      <w:tblGrid>
        <w:gridCol w:w="510"/>
        <w:gridCol w:w="1095"/>
        <w:gridCol w:w="1680"/>
        <w:gridCol w:w="255"/>
        <w:gridCol w:w="930"/>
        <w:gridCol w:w="105"/>
        <w:gridCol w:w="885"/>
        <w:gridCol w:w="1005"/>
        <w:gridCol w:w="705"/>
        <w:gridCol w:w="705"/>
        <w:gridCol w:w="1470"/>
      </w:tblGrid>
      <w:tr>
        <w:tblPrEx>
          <w:shd w:val="clear" w:color="auto" w:fill="auto"/>
          <w:tblCellMar>
            <w:top w:w="0" w:type="dxa"/>
            <w:left w:w="0" w:type="dxa"/>
            <w:bottom w:w="0" w:type="dxa"/>
            <w:right w:w="0" w:type="dxa"/>
          </w:tblCellMar>
        </w:tblPrEx>
        <w:trPr>
          <w:trHeight w:val="285" w:hRule="atLeast"/>
        </w:trPr>
        <w:tc>
          <w:tcPr>
            <w:tcW w:w="9345" w:type="dxa"/>
            <w:gridSpan w:val="11"/>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2022年度项目支出绩效自评表</w:t>
            </w:r>
          </w:p>
        </w:tc>
      </w:tr>
      <w:tr>
        <w:tblPrEx>
          <w:shd w:val="clear" w:color="auto" w:fill="auto"/>
          <w:tblCellMar>
            <w:top w:w="0" w:type="dxa"/>
            <w:left w:w="0" w:type="dxa"/>
            <w:bottom w:w="0" w:type="dxa"/>
            <w:right w:w="0" w:type="dxa"/>
          </w:tblCellMar>
        </w:tblPrEx>
        <w:trPr>
          <w:trHeight w:val="439" w:hRule="atLeast"/>
        </w:trPr>
        <w:tc>
          <w:tcPr>
            <w:tcW w:w="9345" w:type="dxa"/>
            <w:gridSpan w:val="11"/>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shd w:val="clear" w:color="auto" w:fill="auto"/>
          <w:tblCellMar>
            <w:top w:w="0" w:type="dxa"/>
            <w:left w:w="0" w:type="dxa"/>
            <w:bottom w:w="0" w:type="dxa"/>
            <w:right w:w="0" w:type="dxa"/>
          </w:tblCellMar>
        </w:tblPrEx>
        <w:trPr>
          <w:trHeight w:val="312" w:hRule="atLeast"/>
        </w:trPr>
        <w:tc>
          <w:tcPr>
            <w:tcW w:w="9345" w:type="dxa"/>
            <w:gridSpan w:val="11"/>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shd w:val="clear" w:color="auto" w:fill="auto"/>
          <w:tblCellMar>
            <w:top w:w="0" w:type="dxa"/>
            <w:left w:w="0" w:type="dxa"/>
            <w:bottom w:w="0" w:type="dxa"/>
            <w:right w:w="0" w:type="dxa"/>
          </w:tblCellMar>
        </w:tblPrEx>
        <w:trPr>
          <w:trHeight w:val="315" w:hRule="atLeast"/>
        </w:trPr>
        <w:tc>
          <w:tcPr>
            <w:tcW w:w="9345" w:type="dxa"/>
            <w:gridSpan w:val="11"/>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金额：万元</w:t>
            </w:r>
          </w:p>
        </w:tc>
      </w:tr>
      <w:tr>
        <w:tblPrEx>
          <w:shd w:val="clear" w:color="auto" w:fill="auto"/>
          <w:tblCellMar>
            <w:top w:w="0" w:type="dxa"/>
            <w:left w:w="0" w:type="dxa"/>
            <w:bottom w:w="0" w:type="dxa"/>
            <w:right w:w="0" w:type="dxa"/>
          </w:tblCellMar>
        </w:tblPrEx>
        <w:trPr>
          <w:trHeight w:val="429" w:hRule="atLeast"/>
        </w:trPr>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74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2021年不动产登记中心空调物业费</w:t>
            </w:r>
          </w:p>
        </w:tc>
      </w:tr>
      <w:tr>
        <w:tblPrEx>
          <w:shd w:val="clear" w:color="auto" w:fill="auto"/>
          <w:tblCellMar>
            <w:top w:w="0" w:type="dxa"/>
            <w:left w:w="0" w:type="dxa"/>
            <w:bottom w:w="0" w:type="dxa"/>
            <w:right w:w="0" w:type="dxa"/>
          </w:tblCellMar>
        </w:tblPrEx>
        <w:trPr>
          <w:trHeight w:val="359" w:hRule="atLeast"/>
        </w:trPr>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8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遵化市行政审批局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遵化市行政审批局</w:t>
            </w:r>
          </w:p>
        </w:tc>
      </w:tr>
      <w:tr>
        <w:tblPrEx>
          <w:shd w:val="clear" w:color="auto" w:fill="auto"/>
          <w:tblCellMar>
            <w:top w:w="0" w:type="dxa"/>
            <w:left w:w="0" w:type="dxa"/>
            <w:bottom w:w="0" w:type="dxa"/>
            <w:right w:w="0" w:type="dxa"/>
          </w:tblCellMar>
        </w:tblPrEx>
        <w:trPr>
          <w:trHeight w:val="610" w:hRule="atLeast"/>
        </w:trPr>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CellMar>
            <w:top w:w="0" w:type="dxa"/>
            <w:left w:w="0" w:type="dxa"/>
            <w:bottom w:w="0" w:type="dxa"/>
            <w:right w:w="0" w:type="dxa"/>
          </w:tblCellMar>
        </w:tblPrEx>
        <w:trPr>
          <w:trHeight w:val="350" w:hRule="atLeast"/>
        </w:trPr>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CellMar>
            <w:top w:w="0" w:type="dxa"/>
            <w:left w:w="0" w:type="dxa"/>
            <w:bottom w:w="0" w:type="dxa"/>
            <w:right w:w="0" w:type="dxa"/>
          </w:tblCellMar>
        </w:tblPrEx>
        <w:trPr>
          <w:trHeight w:val="279" w:hRule="atLeast"/>
        </w:trPr>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5" w:hRule="atLeast"/>
        </w:trPr>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35" w:hRule="atLeast"/>
        </w:trPr>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499"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9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实际完成情况综述</w:t>
            </w:r>
          </w:p>
        </w:tc>
      </w:tr>
      <w:tr>
        <w:tblPrEx>
          <w:shd w:val="clear" w:color="auto" w:fill="auto"/>
          <w:tblCellMar>
            <w:top w:w="0" w:type="dxa"/>
            <w:left w:w="0" w:type="dxa"/>
            <w:bottom w:w="0" w:type="dxa"/>
            <w:right w:w="0" w:type="dxa"/>
          </w:tblCellMar>
        </w:tblPrEx>
        <w:trPr>
          <w:trHeight w:val="11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通过提高工作标准、优化审批流程、压缩审批时间，实现暖心服务，打造最优质、最高效、最规范、最便捷的“审批金牌保姆”服务品牌     </w:t>
            </w:r>
          </w:p>
        </w:tc>
        <w:tc>
          <w:tcPr>
            <w:tcW w:w="3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r>
              <w:rPr>
                <w:rFonts w:hint="eastAsia" w:ascii="宋体" w:hAnsi="宋体" w:cs="宋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374"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8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64"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物业费面积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2000平方米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2000平方米</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空调费面积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2000平方米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2000平方米</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2022年12月31日前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2022年12月31日前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9"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配套设施完好率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9"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项目实际成本</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4"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业务保障率（%）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综合利用率（%）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满意度</w:t>
            </w:r>
            <w:r>
              <w:rPr>
                <w:rFonts w:hint="eastAsia" w:ascii="宋体" w:hAnsi="宋体" w:cs="宋体"/>
                <w:i w:val="0"/>
                <w:color w:val="000000"/>
                <w:kern w:val="0"/>
                <w:sz w:val="18"/>
                <w:szCs w:val="18"/>
                <w:u w:val="none"/>
                <w:lang w:val="en-US" w:eastAsia="zh-CN" w:bidi="ar"/>
              </w:rPr>
              <w:t>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6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5" w:hRule="atLeast"/>
        </w:trPr>
        <w:tc>
          <w:tcPr>
            <w:tcW w:w="6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99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9345"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注：其中预算执行率固定为10分，其中各项指标90分，总分100分。</w:t>
            </w:r>
          </w:p>
        </w:tc>
      </w:tr>
    </w:tbl>
    <w:p>
      <w:pPr>
        <w:keepNext w:val="0"/>
        <w:keepLines w:val="0"/>
        <w:pageBreakBefore w:val="0"/>
        <w:kinsoku/>
        <w:wordWrap/>
        <w:overflowPunct/>
        <w:topLinePunct w:val="0"/>
        <w:autoSpaceDE/>
        <w:autoSpaceDN/>
        <w:bidi w:val="0"/>
        <w:spacing w:line="570" w:lineRule="exact"/>
        <w:jc w:val="both"/>
        <w:textAlignment w:val="auto"/>
        <w:rPr>
          <w:rFonts w:ascii="宋体" w:hAnsi="宋体"/>
        </w:rPr>
      </w:pPr>
    </w:p>
    <w:p>
      <w:pPr>
        <w:keepNext w:val="0"/>
        <w:keepLines w:val="0"/>
        <w:pageBreakBefore w:val="0"/>
        <w:tabs>
          <w:tab w:val="left" w:pos="640"/>
        </w:tabs>
        <w:kinsoku/>
        <w:wordWrap/>
        <w:overflowPunct/>
        <w:topLinePunct w:val="0"/>
        <w:autoSpaceDE/>
        <w:autoSpaceDN/>
        <w:bidi w:val="0"/>
        <w:snapToGrid w:val="0"/>
        <w:spacing w:line="570" w:lineRule="exact"/>
        <w:ind w:left="0" w:leftChars="0" w:hanging="9" w:firstLine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遵化市行政审批局</w:t>
      </w:r>
    </w:p>
    <w:p>
      <w:pPr>
        <w:keepNext w:val="0"/>
        <w:keepLines w:val="0"/>
        <w:pageBreakBefore w:val="0"/>
        <w:kinsoku/>
        <w:wordWrap/>
        <w:overflowPunct/>
        <w:topLinePunct w:val="0"/>
        <w:autoSpaceDE/>
        <w:autoSpaceDN/>
        <w:bidi w:val="0"/>
        <w:snapToGrid w:val="0"/>
        <w:spacing w:line="570" w:lineRule="exact"/>
        <w:ind w:left="10" w:leftChars="0" w:hanging="10" w:firstLineChars="0"/>
        <w:jc w:val="center"/>
        <w:textAlignment w:val="auto"/>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lang w:val="en-US" w:eastAsia="zh-CN"/>
        </w:rPr>
        <w:t>2021年</w:t>
      </w:r>
      <w:r>
        <w:rPr>
          <w:rFonts w:hint="eastAsia" w:ascii="宋体" w:hAnsi="宋体" w:eastAsia="方正小标宋简体" w:cs="方正小标宋简体"/>
          <w:sz w:val="44"/>
          <w:szCs w:val="44"/>
        </w:rPr>
        <w:t>不动产登记中心</w:t>
      </w:r>
      <w:r>
        <w:rPr>
          <w:rFonts w:hint="eastAsia" w:ascii="宋体" w:hAnsi="宋体" w:eastAsia="方正小标宋简体" w:cs="方正小标宋简体"/>
          <w:sz w:val="44"/>
          <w:szCs w:val="44"/>
          <w:lang w:eastAsia="zh-CN"/>
        </w:rPr>
        <w:t>空调物业费</w:t>
      </w:r>
    </w:p>
    <w:p>
      <w:pPr>
        <w:keepNext w:val="0"/>
        <w:keepLines w:val="0"/>
        <w:pageBreakBefore w:val="0"/>
        <w:kinsoku/>
        <w:wordWrap/>
        <w:overflowPunct/>
        <w:topLinePunct w:val="0"/>
        <w:autoSpaceDE/>
        <w:autoSpaceDN/>
        <w:bidi w:val="0"/>
        <w:snapToGrid w:val="0"/>
        <w:spacing w:line="570" w:lineRule="exact"/>
        <w:ind w:left="0" w:leftChars="0" w:firstLine="0" w:firstLine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项目自评报告</w:t>
      </w:r>
    </w:p>
    <w:p>
      <w:pPr>
        <w:keepNext w:val="0"/>
        <w:keepLines w:val="0"/>
        <w:pageBreakBefore w:val="0"/>
        <w:kinsoku/>
        <w:wordWrap/>
        <w:overflowPunct/>
        <w:topLinePunct w:val="0"/>
        <w:autoSpaceDE/>
        <w:autoSpaceDN/>
        <w:bidi w:val="0"/>
        <w:spacing w:line="570" w:lineRule="exact"/>
        <w:ind w:right="-509" w:rightChars="-159"/>
        <w:textAlignment w:val="auto"/>
        <w:rPr>
          <w:rFonts w:hint="eastAsia" w:ascii="宋体" w:hAnsi="宋体" w:eastAsia="方正黑体简体"/>
          <w:spacing w:val="10"/>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right="-509" w:rightChars="-159" w:firstLine="680" w:firstLineChars="200"/>
        <w:textAlignment w:val="auto"/>
        <w:rPr>
          <w:rFonts w:hint="eastAsia" w:ascii="宋体" w:hAnsi="宋体" w:eastAsia="方正黑体简体"/>
          <w:spacing w:val="10"/>
          <w:szCs w:val="28"/>
        </w:rPr>
      </w:pPr>
      <w:r>
        <w:rPr>
          <w:rFonts w:hint="eastAsia" w:ascii="宋体" w:hAnsi="宋体" w:eastAsia="方正黑体简体"/>
          <w:spacing w:val="10"/>
          <w:szCs w:val="28"/>
        </w:rPr>
        <w:t>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509" w:rightChars="-159" w:firstLine="640" w:firstLineChars="200"/>
        <w:textAlignment w:val="auto"/>
        <w:rPr>
          <w:rFonts w:hint="eastAsia" w:ascii="宋体" w:hAnsi="宋体" w:eastAsia="方正楷体简体" w:cs="方正楷体简体"/>
          <w:color w:val="333333"/>
          <w:kern w:val="0"/>
          <w:sz w:val="32"/>
          <w:szCs w:val="32"/>
          <w:lang w:val="en-US" w:eastAsia="zh-CN"/>
        </w:rPr>
      </w:pPr>
      <w:r>
        <w:rPr>
          <w:rFonts w:hint="eastAsia" w:ascii="宋体" w:hAnsi="宋体" w:eastAsia="方正楷体简体" w:cs="方正楷体简体"/>
          <w:color w:val="333333"/>
          <w:kern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根据遵办字</w:t>
      </w:r>
      <w:r>
        <w:rPr>
          <w:rFonts w:hint="eastAsia" w:ascii="方正仿宋简体" w:hAnsi="方正仿宋简体" w:eastAsia="方正仿宋简体" w:cs="方正仿宋简体"/>
          <w:color w:val="333333"/>
          <w:kern w:val="0"/>
          <w:sz w:val="32"/>
          <w:szCs w:val="32"/>
          <w:lang w:val="en-US" w:eastAsia="zh-CN"/>
        </w:rPr>
        <w:t>〔</w:t>
      </w:r>
      <w:r>
        <w:rPr>
          <w:rFonts w:hint="eastAsia" w:ascii="宋体" w:hAnsi="宋体" w:eastAsia="方正仿宋简体" w:cs="方正仿宋简体"/>
          <w:color w:val="333333"/>
          <w:kern w:val="0"/>
          <w:sz w:val="32"/>
          <w:szCs w:val="32"/>
          <w:lang w:val="en-US" w:eastAsia="zh-CN"/>
        </w:rPr>
        <w:t>2017</w:t>
      </w:r>
      <w:r>
        <w:rPr>
          <w:rFonts w:hint="eastAsia" w:ascii="方正仿宋简体" w:hAnsi="方正仿宋简体" w:eastAsia="方正仿宋简体" w:cs="方正仿宋简体"/>
          <w:color w:val="333333"/>
          <w:kern w:val="0"/>
          <w:sz w:val="32"/>
          <w:szCs w:val="32"/>
          <w:lang w:val="en-US" w:eastAsia="zh-CN"/>
        </w:rPr>
        <w:t>〕</w:t>
      </w:r>
      <w:r>
        <w:rPr>
          <w:rFonts w:hint="eastAsia" w:ascii="宋体" w:hAnsi="宋体" w:eastAsia="方正仿宋简体" w:cs="方正仿宋简体"/>
          <w:color w:val="333333"/>
          <w:kern w:val="0"/>
          <w:sz w:val="32"/>
          <w:szCs w:val="32"/>
          <w:lang w:val="en-US" w:eastAsia="zh-CN"/>
        </w:rPr>
        <w:t>22号关于印发《遵化市行政审批局组建工作实施方案》的文件要求，成立行政审批局。此项目用于不动产登记中心日常运转办公费用。包括办公、邮电等日常所需。按实际发生支出。不动产登记中心办公面积2000平方米，27元/平方米*2000平方米*2次，包括2021年夏季、冬季电费。每年分两次，按实际发生额支付。按合同内容要求，每半年支付一次，2021年年底前支付完当年物业费用。全年物业费合计36万元(按建筑面积2000平米X15元/平米/月X12个月）。提高审批办事效率、提高审批服务水平、提高人员专业素质、加强信息公开和宣传引导，充分发挥综合协调和后勤保障作用。以保障中心正常运转，提高审批效率。2022年全年预算安排46.8万，2022年财政预算资金实际支出合计46.8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楷体简体" w:cs="方正楷体简体"/>
          <w:color w:val="333333"/>
          <w:kern w:val="0"/>
          <w:sz w:val="32"/>
          <w:szCs w:val="32"/>
          <w:lang w:val="en-US" w:eastAsia="zh-CN"/>
        </w:rPr>
      </w:pPr>
      <w:r>
        <w:rPr>
          <w:rFonts w:hint="eastAsia" w:ascii="宋体" w:hAnsi="宋体" w:eastAsia="方正楷体简体" w:cs="方正楷体简体"/>
          <w:color w:val="333333"/>
          <w:kern w:val="0"/>
          <w:sz w:val="32"/>
          <w:szCs w:val="32"/>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总体目标：通过提高工作标准、优化审批流程、压缩审批时间，实现暖心服务，打造最优质、最高效、最规范、最便捷的“审批金牌保姆”服务品牌。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val="en-US" w:eastAsia="zh-CN"/>
        </w:rPr>
        <w:t>阶段性目标：按时高效、高质量完成业务。</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黑体简体" w:cs="方正黑体简体"/>
          <w:color w:val="333333"/>
          <w:kern w:val="0"/>
          <w:sz w:val="32"/>
          <w:szCs w:val="32"/>
          <w:lang w:eastAsia="zh-CN"/>
        </w:rPr>
      </w:pPr>
      <w:r>
        <w:rPr>
          <w:rFonts w:hint="eastAsia" w:ascii="宋体" w:hAnsi="宋体" w:eastAsia="方正黑体简体" w:cs="方正黑体简体"/>
          <w:color w:val="333333"/>
          <w:kern w:val="0"/>
          <w:sz w:val="32"/>
          <w:szCs w:val="32"/>
          <w:lang w:eastAsia="zh-CN"/>
        </w:rPr>
        <w:t>二、绩效评价工作开展情况</w:t>
      </w:r>
    </w:p>
    <w:p>
      <w:pPr>
        <w:keepNext w:val="0"/>
        <w:keepLines w:val="0"/>
        <w:pageBreakBefore w:val="0"/>
        <w:numPr>
          <w:ilvl w:val="0"/>
          <w:numId w:val="0"/>
        </w:numPr>
        <w:kinsoku/>
        <w:wordWrap/>
        <w:overflowPunct/>
        <w:topLinePunct w:val="0"/>
        <w:autoSpaceDE/>
        <w:autoSpaceDN/>
        <w:bidi w:val="0"/>
        <w:spacing w:line="570" w:lineRule="exact"/>
        <w:ind w:firstLine="320" w:firstLineChars="100"/>
        <w:textAlignment w:val="auto"/>
        <w:rPr>
          <w:rFonts w:hint="eastAsia" w:ascii="宋体" w:hAnsi="宋体" w:eastAsia="方正楷体简体" w:cs="方正楷体简体"/>
          <w:color w:val="333333"/>
          <w:kern w:val="0"/>
          <w:sz w:val="32"/>
          <w:szCs w:val="32"/>
          <w:lang w:val="en-US" w:eastAsia="zh-CN"/>
        </w:rPr>
      </w:pPr>
      <w:r>
        <w:rPr>
          <w:rFonts w:hint="eastAsia" w:ascii="宋体" w:hAnsi="宋体" w:eastAsia="方正楷体简体" w:cs="方正楷体简体"/>
          <w:color w:val="333333"/>
          <w:kern w:val="0"/>
          <w:sz w:val="32"/>
          <w:szCs w:val="32"/>
          <w:lang w:val="en-US" w:eastAsia="zh-CN"/>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绩效评价目的：提高审批办事效率、提高审批服务水平、提高人员专业素质、加强信息公开和宣传引导，充分发挥综合协调和后勤保障作用。以保障中心正常运转，提高审批效率。项目符合遵办字【2017】22号关于印发《遵化市行政审批局组建工作实施方案》的文件精神，以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绩效评价对象：不动产登记中心综合业务费用。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rPr>
      </w:pPr>
      <w:r>
        <w:rPr>
          <w:rFonts w:hint="eastAsia" w:ascii="宋体" w:hAnsi="宋体" w:eastAsia="方正仿宋简体" w:cs="方正仿宋简体"/>
          <w:color w:val="333333"/>
          <w:kern w:val="0"/>
          <w:sz w:val="32"/>
          <w:szCs w:val="32"/>
          <w:lang w:val="en-US" w:eastAsia="zh-CN"/>
        </w:rPr>
        <w:t>绩效评价范围：包括办公、邮电等日常所需，按实际发生支出。不动产登记中心办公面积2000平方米，27元/平方米*2000平方米*2次，包括2020年夏季、冬季电费。每年分两次，按实际发生额支付。按合同内容要求，每半年支付一次，2020年年底前支付完当年物业费用。全年物业费合计36万元(按建筑面积2000平米X15元/平米/月X12个月）。</w:t>
      </w:r>
    </w:p>
    <w:p>
      <w:pPr>
        <w:keepNext w:val="0"/>
        <w:keepLines w:val="0"/>
        <w:pageBreakBefore w:val="0"/>
        <w:numPr>
          <w:ilvl w:val="0"/>
          <w:numId w:val="0"/>
        </w:numPr>
        <w:kinsoku/>
        <w:wordWrap/>
        <w:overflowPunct/>
        <w:topLinePunct w:val="0"/>
        <w:autoSpaceDE/>
        <w:autoSpaceDN/>
        <w:bidi w:val="0"/>
        <w:spacing w:line="570" w:lineRule="exact"/>
        <w:ind w:firstLine="320" w:firstLineChars="100"/>
        <w:textAlignment w:val="auto"/>
        <w:rPr>
          <w:rFonts w:hint="eastAsia" w:ascii="宋体" w:hAnsi="宋体" w:eastAsia="方正楷体简体" w:cs="方正楷体简体"/>
          <w:color w:val="333333"/>
          <w:kern w:val="0"/>
          <w:sz w:val="32"/>
          <w:szCs w:val="32"/>
          <w:lang w:val="en-US" w:eastAsia="zh-CN"/>
        </w:rPr>
      </w:pPr>
      <w:r>
        <w:rPr>
          <w:rFonts w:hint="eastAsia" w:ascii="宋体" w:hAnsi="宋体" w:eastAsia="方正楷体简体" w:cs="方正楷体简体"/>
          <w:color w:val="333333"/>
          <w:kern w:val="0"/>
          <w:sz w:val="32"/>
          <w:szCs w:val="32"/>
          <w:lang w:val="en-US" w:eastAsia="zh-CN"/>
        </w:rPr>
        <w:t>（二）绩效评价原则、评价指标体系、评价方法及标准。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val="en-US" w:eastAsia="zh-CN"/>
        </w:rPr>
        <w:t>1.</w:t>
      </w:r>
      <w:r>
        <w:rPr>
          <w:rFonts w:hint="eastAsia" w:ascii="宋体" w:hAnsi="宋体" w:eastAsia="方正仿宋简体" w:cs="方正仿宋简体"/>
          <w:color w:val="333333"/>
          <w:kern w:val="0"/>
          <w:sz w:val="32"/>
          <w:szCs w:val="32"/>
          <w:lang w:eastAsia="zh-CN"/>
        </w:rPr>
        <w:t>绩效评价原则：绩效评价工作遵循全面覆盖、程序简便、客观公正、公开透明的原则。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宋体"/>
          <w:color w:val="333333"/>
          <w:kern w:val="0"/>
          <w:sz w:val="28"/>
          <w:szCs w:val="28"/>
        </w:rPr>
      </w:pPr>
      <w:r>
        <w:rPr>
          <w:rFonts w:hint="eastAsia" w:ascii="宋体" w:hAnsi="宋体" w:eastAsia="方正仿宋简体" w:cs="方正仿宋简体"/>
          <w:color w:val="333333"/>
          <w:kern w:val="0"/>
          <w:sz w:val="32"/>
          <w:szCs w:val="32"/>
          <w:lang w:val="en-US" w:eastAsia="zh-CN"/>
        </w:rPr>
        <w:t>2.</w:t>
      </w:r>
      <w:r>
        <w:rPr>
          <w:rFonts w:hint="eastAsia" w:ascii="宋体" w:hAnsi="宋体" w:eastAsia="方正仿宋简体" w:cs="方正仿宋简体"/>
          <w:color w:val="333333"/>
          <w:kern w:val="0"/>
          <w:sz w:val="32"/>
          <w:szCs w:val="32"/>
          <w:lang w:eastAsia="zh-CN"/>
        </w:rPr>
        <w:t>评价指标体系</w:t>
      </w:r>
    </w:p>
    <w:tbl>
      <w:tblPr>
        <w:tblStyle w:val="4"/>
        <w:tblW w:w="9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734"/>
        <w:gridCol w:w="1167"/>
        <w:gridCol w:w="2505"/>
        <w:gridCol w:w="2956"/>
        <w:gridCol w:w="576"/>
        <w:gridCol w:w="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38"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一级指标</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二级指标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三级指标</w:t>
            </w:r>
          </w:p>
        </w:tc>
        <w:tc>
          <w:tcPr>
            <w:tcW w:w="2505"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指标解释</w:t>
            </w:r>
          </w:p>
        </w:tc>
        <w:tc>
          <w:tcPr>
            <w:tcW w:w="295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评价标准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标准分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投入</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项目目标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目标内容</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目标是否明确、细化、量化</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目标明确（2分），目标细化（2分），目标量化（1分）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决策过程</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决策依据</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项目是否符合经济社会发展规划和部门年度工作计划；是否根据需要制定中长期实施规划</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项目符合经济社会发展规划和部门年度工作计划（5分），根据需要制定中长期实施规划（5分）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决策程序</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项目是否符合申报条件；申报、批复程序是否符合相关管理办法；项目调整是否履行相应手续</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项目符合申报条件（2分），申报、批复程序符合相关管理办法（2分），项目实施调整履行相应手续（1分）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过程</w:t>
            </w: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资金管理</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资金使用</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是否存在支出依据不合规、虚列项目支出的情况；是否存在截留、挤占、挪用项目资金情况；是否存在超标准开支情况</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虚列（套取）扣4分，支出依据不合规扣1分，截留、挤占、挪用扣2分，超标准开支扣1分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财务管理</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资金管理、费用支出等制度是否健全，是否严格执行；会计核算是否规范</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财务制度健全（2分），严格执行制度（1分），会计核算规范（1分）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组织实施</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组织机构</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机构是否健全、分工是否明确</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机构健全、分工明确（4分）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管理制度</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是否建立健全项目管理制度；是否严格执行相关项目管理制度</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建立健全项目管理制度（2分）；严格执行相关项目管理制度(1分）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738" w:type="dxa"/>
            <w:vMerge w:val="restart"/>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产出</w:t>
            </w: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数量指标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综合业务管理工作完成率</w:t>
            </w:r>
          </w:p>
        </w:tc>
        <w:tc>
          <w:tcPr>
            <w:tcW w:w="2505" w:type="dxa"/>
            <w:noWrap/>
            <w:vAlign w:val="center"/>
          </w:tcPr>
          <w:p>
            <w:pPr>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各项综合业务工作任务完成情况占各项综合业务工作任务的比例</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完成100%得10分，完成90%以上得8分，完成70%以上得6分，完成70%以下得4分。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质量指标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全年工作任务达标率</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全年工作任务达到预期质量目标情况</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完成100%得10分，完成80%以上得8分，完成80%以上得6分，完成80%以下得4分。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时效指标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报销时效性</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按照审批程序及时报销</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成本指标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738" w:type="dxa"/>
            <w:vMerge w:val="restart"/>
            <w:noWrap/>
            <w:vAlign w:val="center"/>
          </w:tcPr>
          <w:p>
            <w:pPr>
              <w:widowControl/>
              <w:spacing w:line="240" w:lineRule="exact"/>
              <w:rPr>
                <w:rFonts w:ascii="宋体" w:hAnsi="宋体" w:eastAsia="方正仿宋简体"/>
                <w:kern w:val="0"/>
                <w:sz w:val="21"/>
                <w:szCs w:val="21"/>
              </w:rPr>
            </w:pPr>
          </w:p>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效果</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可持续影响指标</w:t>
            </w:r>
          </w:p>
        </w:tc>
        <w:tc>
          <w:tcPr>
            <w:tcW w:w="1167" w:type="dxa"/>
            <w:noWrap/>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提高发改领域服务保障能力</w:t>
            </w:r>
          </w:p>
        </w:tc>
        <w:tc>
          <w:tcPr>
            <w:tcW w:w="2505" w:type="dxa"/>
            <w:noWrap/>
          </w:tcPr>
          <w:p>
            <w:pPr>
              <w:spacing w:line="240" w:lineRule="exact"/>
              <w:rPr>
                <w:rFonts w:ascii="宋体" w:hAnsi="宋体" w:eastAsia="方正仿宋简体"/>
                <w:kern w:val="0"/>
                <w:sz w:val="21"/>
                <w:szCs w:val="21"/>
              </w:rPr>
            </w:pPr>
          </w:p>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有利于业务开展，提高服务保障能力</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经济效益指标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节约项目开支</w:t>
            </w:r>
          </w:p>
        </w:tc>
        <w:tc>
          <w:tcPr>
            <w:tcW w:w="2505"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践行厉行节约反对浪费制度体系建设</w:t>
            </w:r>
          </w:p>
          <w:p>
            <w:pPr>
              <w:widowControl/>
              <w:spacing w:line="240" w:lineRule="exact"/>
              <w:rPr>
                <w:rFonts w:ascii="宋体" w:hAnsi="宋体" w:eastAsia="方正仿宋简体"/>
                <w:kern w:val="0"/>
                <w:sz w:val="21"/>
                <w:szCs w:val="21"/>
              </w:rPr>
            </w:pPr>
          </w:p>
        </w:tc>
        <w:tc>
          <w:tcPr>
            <w:tcW w:w="2956"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社会效益指标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业务保障率</w:t>
            </w:r>
          </w:p>
        </w:tc>
        <w:tc>
          <w:tcPr>
            <w:tcW w:w="2505" w:type="dxa"/>
            <w:noWrap/>
            <w:vAlign w:val="bottom"/>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有效保障相关业务、工作等开展的业务次数占总业务量的比率</w:t>
            </w:r>
          </w:p>
          <w:p>
            <w:pPr>
              <w:widowControl/>
              <w:spacing w:line="240" w:lineRule="exact"/>
              <w:rPr>
                <w:rFonts w:ascii="宋体" w:hAnsi="宋体" w:eastAsia="方正仿宋简体"/>
                <w:kern w:val="0"/>
                <w:sz w:val="21"/>
                <w:szCs w:val="21"/>
              </w:rPr>
            </w:pPr>
          </w:p>
        </w:tc>
        <w:tc>
          <w:tcPr>
            <w:tcW w:w="2956"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生态效益指标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工作环境改善程度</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对工作环境的改善程度</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18"/>
                <w:szCs w:val="18"/>
              </w:rPr>
            </w:pPr>
            <w:r>
              <w:rPr>
                <w:rFonts w:hint="eastAsia" w:ascii="宋体" w:hAnsi="宋体" w:eastAsia="方正仿宋简体"/>
                <w:kern w:val="0"/>
                <w:sz w:val="18"/>
                <w:szCs w:val="18"/>
              </w:rPr>
              <w:t>服务对象满意度指标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受益群体满意度</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受益群体调查中，满意和较满意的人数占全部调查人数的比率</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3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总分</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2505"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295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3.绩效评价方法：采用实地检查、实际操作等多种评价方法相结合的综合评价。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4.评价标准：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keepNext w:val="0"/>
        <w:keepLines w:val="0"/>
        <w:pageBreakBefore w:val="0"/>
        <w:kinsoku/>
        <w:wordWrap/>
        <w:overflowPunct/>
        <w:topLinePunct w:val="0"/>
        <w:autoSpaceDE/>
        <w:autoSpaceDN/>
        <w:bidi w:val="0"/>
        <w:spacing w:line="570" w:lineRule="exact"/>
        <w:ind w:firstLine="320" w:firstLineChars="100"/>
        <w:textAlignment w:val="auto"/>
        <w:rPr>
          <w:rFonts w:hint="eastAsia" w:ascii="宋体" w:hAnsi="宋体" w:eastAsia="方正楷体简体"/>
          <w:szCs w:val="32"/>
        </w:rPr>
      </w:pPr>
      <w:r>
        <w:rPr>
          <w:rFonts w:hint="eastAsia" w:ascii="宋体" w:hAnsi="宋体" w:eastAsia="方正楷体简体"/>
          <w:szCs w:val="32"/>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绩效评价人员查看了相关项目资料，了解资金拨付、使用情况及管理工作。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1.对此项目收集相关资料。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2.实地调研并了解项目实际运行情况。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3.根据调研结果和收集资料进行综合分析，综合评定绩效等级，科学撰写评价报告。</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黑体简体" w:cs="方正黑体简体"/>
          <w:color w:val="333333"/>
          <w:kern w:val="0"/>
          <w:sz w:val="32"/>
          <w:szCs w:val="32"/>
        </w:rPr>
      </w:pPr>
      <w:r>
        <w:rPr>
          <w:rFonts w:hint="eastAsia" w:ascii="宋体" w:hAnsi="宋体" w:eastAsia="方正黑体简体" w:cs="方正黑体简体"/>
          <w:color w:val="333333"/>
          <w:kern w:val="0"/>
          <w:sz w:val="32"/>
          <w:szCs w:val="32"/>
          <w:lang w:eastAsia="zh-CN"/>
        </w:rPr>
        <w:t>三、</w:t>
      </w:r>
      <w:r>
        <w:rPr>
          <w:rFonts w:hint="eastAsia" w:ascii="宋体" w:hAnsi="宋体" w:eastAsia="方正黑体简体" w:cs="方正黑体简体"/>
          <w:color w:val="333333"/>
          <w:kern w:val="0"/>
          <w:sz w:val="32"/>
          <w:szCs w:val="32"/>
        </w:rPr>
        <w:t>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在市委、市政府的坚强领导下，充分发挥综合协调和后勤保障作用，以保障不动产登记中心正常运转，提高审批效率。实现暖心服务，打造最优质、最高效、最规范、最便捷的审批金牌保姆”服务品牌。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评价结论：综合评分项目绩效指标得分为100分，绩效评分为优秀。</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黑体简体" w:cs="方正黑体简体"/>
          <w:color w:val="333333"/>
          <w:kern w:val="0"/>
          <w:sz w:val="32"/>
          <w:szCs w:val="32"/>
        </w:rPr>
      </w:pPr>
      <w:r>
        <w:rPr>
          <w:rFonts w:hint="eastAsia" w:ascii="宋体" w:hAnsi="宋体" w:eastAsia="方正黑体简体" w:cs="方正黑体简体"/>
          <w:color w:val="333333"/>
          <w:kern w:val="0"/>
          <w:sz w:val="32"/>
          <w:szCs w:val="32"/>
        </w:rPr>
        <w:t>四、绩效评价指标分析</w:t>
      </w:r>
    </w:p>
    <w:p>
      <w:pPr>
        <w:keepNext w:val="0"/>
        <w:keepLines w:val="0"/>
        <w:pageBreakBefore w:val="0"/>
        <w:numPr>
          <w:ilvl w:val="0"/>
          <w:numId w:val="0"/>
        </w:numPr>
        <w:kinsoku/>
        <w:wordWrap/>
        <w:overflowPunct/>
        <w:topLinePunct w:val="0"/>
        <w:autoSpaceDE/>
        <w:autoSpaceDN/>
        <w:bidi w:val="0"/>
        <w:spacing w:line="570" w:lineRule="exact"/>
        <w:ind w:leftChars="192"/>
        <w:textAlignment w:val="auto"/>
        <w:rPr>
          <w:rFonts w:hint="eastAsia" w:ascii="宋体" w:hAnsi="宋体" w:eastAsia="方正楷体简体" w:cs="方正楷体简体"/>
          <w:color w:val="333333"/>
          <w:kern w:val="0"/>
          <w:sz w:val="32"/>
          <w:szCs w:val="32"/>
          <w:lang w:val="en-US" w:eastAsia="zh-CN"/>
        </w:rPr>
      </w:pPr>
      <w:r>
        <w:rPr>
          <w:rFonts w:hint="eastAsia" w:ascii="宋体" w:hAnsi="宋体" w:eastAsia="方正楷体简体" w:cs="方正楷体简体"/>
          <w:color w:val="333333"/>
          <w:kern w:val="0"/>
          <w:sz w:val="32"/>
          <w:szCs w:val="32"/>
          <w:lang w:val="en-US" w:eastAsia="zh-CN"/>
        </w:rPr>
        <w:t>（一）项目决策情况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1.项目目标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2.决策过程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决策依据，项目是否符合经济发展规划和部门年度工作计划，是否根据需要制定中长期实施规划。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项目符合经济发展规划和部门年度工作计划，根据需要制定中长期实施规划。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决策程序，是指项目是否符合申报条件，申报、批复程序是否符合相关管理办法，项目调整是否履行相应手续。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项目符合申报条件，申报批复程序符合相关管理办法，项目调整履行相应手续。</w:t>
      </w:r>
    </w:p>
    <w:p>
      <w:pPr>
        <w:keepNext w:val="0"/>
        <w:keepLines w:val="0"/>
        <w:pageBreakBefore w:val="0"/>
        <w:numPr>
          <w:ilvl w:val="0"/>
          <w:numId w:val="0"/>
        </w:numPr>
        <w:kinsoku/>
        <w:wordWrap/>
        <w:overflowPunct/>
        <w:topLinePunct w:val="0"/>
        <w:autoSpaceDE/>
        <w:autoSpaceDN/>
        <w:bidi w:val="0"/>
        <w:spacing w:line="570" w:lineRule="exact"/>
        <w:ind w:leftChars="192"/>
        <w:textAlignment w:val="auto"/>
        <w:rPr>
          <w:rFonts w:hint="eastAsia" w:ascii="宋体" w:hAnsi="宋体" w:eastAsia="方正楷体简体" w:cs="方正楷体简体"/>
          <w:color w:val="333333"/>
          <w:kern w:val="0"/>
          <w:sz w:val="32"/>
          <w:szCs w:val="32"/>
          <w:lang w:val="en-US" w:eastAsia="zh-CN"/>
        </w:rPr>
      </w:pPr>
      <w:r>
        <w:rPr>
          <w:rFonts w:hint="eastAsia" w:ascii="宋体" w:hAnsi="宋体" w:eastAsia="方正楷体简体" w:cs="方正楷体简体"/>
          <w:color w:val="333333"/>
          <w:kern w:val="0"/>
          <w:sz w:val="32"/>
          <w:szCs w:val="32"/>
          <w:lang w:val="en-US" w:eastAsia="zh-CN"/>
        </w:rPr>
        <w:t>（二）项目过程情况</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1.资金管理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firstLine="596" w:firstLineChars="200"/>
        <w:textAlignment w:val="auto"/>
        <w:rPr>
          <w:rFonts w:hint="eastAsia" w:ascii="宋体" w:hAnsi="宋体" w:eastAsia="方正仿宋简体" w:cs="方正仿宋简体"/>
          <w:color w:val="333333"/>
          <w:spacing w:val="-11"/>
          <w:kern w:val="0"/>
          <w:sz w:val="32"/>
          <w:szCs w:val="32"/>
          <w:lang w:val="en-US" w:eastAsia="zh-CN"/>
        </w:rPr>
      </w:pPr>
      <w:r>
        <w:rPr>
          <w:rFonts w:hint="eastAsia" w:ascii="宋体" w:hAnsi="宋体" w:eastAsia="方正仿宋简体" w:cs="方正仿宋简体"/>
          <w:color w:val="333333"/>
          <w:spacing w:val="-11"/>
          <w:kern w:val="0"/>
          <w:sz w:val="32"/>
          <w:szCs w:val="32"/>
          <w:lang w:val="en-US" w:eastAsia="zh-CN"/>
        </w:rPr>
        <w:t>财务管理制度健全，严格执行各项财务制度,会计核算规范。</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3.组织实施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机构组织健全，分工明确。</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4.管理制度，是指是否建立建全项目管理制度；是否严格执行相关项目管理制度。</w:t>
      </w:r>
    </w:p>
    <w:p>
      <w:pPr>
        <w:keepNext w:val="0"/>
        <w:keepLines w:val="0"/>
        <w:pageBreakBefore w:val="0"/>
        <w:kinsoku/>
        <w:wordWrap/>
        <w:overflowPunct/>
        <w:topLinePunct w:val="0"/>
        <w:autoSpaceDE/>
        <w:autoSpaceDN/>
        <w:bidi w:val="0"/>
        <w:spacing w:line="570" w:lineRule="exact"/>
        <w:ind w:firstLine="614" w:firstLineChars="192"/>
        <w:textAlignment w:val="auto"/>
        <w:rPr>
          <w:rFonts w:hint="default"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管理制度完善，建立健全项目管理制度,严格执行相关项目管理制度。</w:t>
      </w:r>
    </w:p>
    <w:p>
      <w:pPr>
        <w:keepNext w:val="0"/>
        <w:keepLines w:val="0"/>
        <w:pageBreakBefore w:val="0"/>
        <w:numPr>
          <w:ilvl w:val="0"/>
          <w:numId w:val="0"/>
        </w:numPr>
        <w:kinsoku/>
        <w:wordWrap/>
        <w:overflowPunct/>
        <w:topLinePunct w:val="0"/>
        <w:autoSpaceDE/>
        <w:autoSpaceDN/>
        <w:bidi w:val="0"/>
        <w:spacing w:line="570" w:lineRule="exact"/>
        <w:ind w:leftChars="192"/>
        <w:textAlignment w:val="auto"/>
        <w:rPr>
          <w:rFonts w:hint="eastAsia" w:ascii="宋体" w:hAnsi="宋体" w:eastAsia="方正楷体简体" w:cs="方正楷体简体"/>
          <w:color w:val="333333"/>
          <w:kern w:val="0"/>
          <w:sz w:val="32"/>
          <w:szCs w:val="32"/>
          <w:lang w:eastAsia="zh-CN"/>
        </w:rPr>
      </w:pPr>
      <w:r>
        <w:rPr>
          <w:rFonts w:hint="eastAsia" w:ascii="宋体" w:hAnsi="宋体" w:eastAsia="方正楷体简体" w:cs="方正楷体简体"/>
          <w:color w:val="333333"/>
          <w:kern w:val="0"/>
          <w:sz w:val="32"/>
          <w:szCs w:val="32"/>
          <w:lang w:eastAsia="zh-CN"/>
        </w:rPr>
        <w:t>（三）项目产出情况</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1.数量指标</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综合业务管理工作完成率，各项综合业务工作任务完成情况占各项综合业务工作任务的比例，达到优良水平。</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2.质量指标</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全年工作任务达标率，全年工作任务达到预期质量目标情况，达到优良水平。</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3.时效指标</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报销时效性，按照审批程序及时报销，达到优良水平。</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4.成本指标</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预算资金完成率，预算资金完成率达到财政部门要求，达到优良水平。</w:t>
      </w:r>
    </w:p>
    <w:p>
      <w:pPr>
        <w:keepNext w:val="0"/>
        <w:keepLines w:val="0"/>
        <w:pageBreakBefore w:val="0"/>
        <w:numPr>
          <w:ilvl w:val="0"/>
          <w:numId w:val="0"/>
        </w:numPr>
        <w:kinsoku/>
        <w:wordWrap/>
        <w:overflowPunct/>
        <w:topLinePunct w:val="0"/>
        <w:autoSpaceDE/>
        <w:autoSpaceDN/>
        <w:bidi w:val="0"/>
        <w:spacing w:line="570" w:lineRule="exact"/>
        <w:ind w:leftChars="192"/>
        <w:textAlignment w:val="auto"/>
        <w:rPr>
          <w:rFonts w:hint="eastAsia" w:ascii="宋体" w:hAnsi="宋体" w:eastAsia="方正楷体简体" w:cs="方正楷体简体"/>
          <w:color w:val="333333"/>
          <w:kern w:val="0"/>
          <w:sz w:val="32"/>
          <w:szCs w:val="32"/>
          <w:lang w:eastAsia="zh-CN"/>
        </w:rPr>
      </w:pPr>
      <w:r>
        <w:rPr>
          <w:rFonts w:hint="eastAsia" w:ascii="宋体" w:hAnsi="宋体" w:eastAsia="方正楷体简体" w:cs="方正楷体简体"/>
          <w:color w:val="333333"/>
          <w:kern w:val="0"/>
          <w:sz w:val="32"/>
          <w:szCs w:val="32"/>
          <w:lang w:eastAsia="zh-CN"/>
        </w:rPr>
        <w:t>（四）项目效益情况</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1.社会效益指标</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 xml:space="preserve">业务保障率，有效保障相关业务、工作等开展的业务次数占总业务量的比率，达到优良水平。                         </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2.可持续影响指标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提高发改领域服务保障能力，有利于业务开展，提高服务保障能力，达到优良水平。</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3.经济效益指标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节约项目开支，践行厉行节约反对浪费制度体系建设，达到优良水平。</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4.生态效益指标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工作环境改善程度，对工作环境的改善程度，达到优良水平。</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5.服务对象满意度指标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受益群体满意度，受益群体调查中，满意和较满意的人数占全部调查人数的比率，达到优良水平。</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黑体简体" w:cs="方正黑体简体"/>
          <w:color w:val="333333"/>
          <w:kern w:val="0"/>
          <w:sz w:val="32"/>
          <w:szCs w:val="32"/>
        </w:rPr>
      </w:pPr>
      <w:r>
        <w:rPr>
          <w:rFonts w:hint="eastAsia" w:ascii="宋体" w:hAnsi="宋体" w:eastAsia="方正黑体简体" w:cs="方正黑体简体"/>
          <w:color w:val="333333"/>
          <w:kern w:val="0"/>
          <w:sz w:val="32"/>
          <w:szCs w:val="32"/>
        </w:rPr>
        <w:t>五、</w:t>
      </w:r>
      <w:r>
        <w:rPr>
          <w:rFonts w:hint="eastAsia" w:ascii="宋体" w:hAnsi="宋体" w:eastAsia="方正黑体简体" w:cs="方正黑体简体"/>
          <w:color w:val="333333"/>
          <w:kern w:val="0"/>
          <w:sz w:val="32"/>
          <w:szCs w:val="32"/>
          <w:lang w:eastAsia="zh-CN"/>
        </w:rPr>
        <w:t>主要经验及做法</w:t>
      </w:r>
      <w:r>
        <w:rPr>
          <w:rFonts w:hint="eastAsia" w:ascii="宋体" w:hAnsi="宋体" w:eastAsia="方正黑体简体" w:cs="方正黑体简体"/>
          <w:color w:val="333333"/>
          <w:kern w:val="0"/>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认真贯彻落实绩效管理办法，把预算绩效管理纳入整体工作，把财政项目支出绩效自评工作列入重要议事日程，做实做好。</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黑体简体" w:cs="方正黑体简体"/>
          <w:color w:val="333333"/>
          <w:kern w:val="0"/>
          <w:sz w:val="32"/>
          <w:szCs w:val="32"/>
        </w:rPr>
        <w:t>六、有关建议</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无</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黑体简体" w:cs="方正黑体简体"/>
          <w:color w:val="333333"/>
          <w:kern w:val="0"/>
          <w:sz w:val="32"/>
          <w:szCs w:val="32"/>
        </w:rPr>
      </w:pPr>
      <w:r>
        <w:rPr>
          <w:rFonts w:hint="eastAsia" w:ascii="宋体" w:hAnsi="宋体" w:eastAsia="方正黑体简体" w:cs="方正黑体简体"/>
          <w:color w:val="333333"/>
          <w:kern w:val="0"/>
          <w:sz w:val="32"/>
          <w:szCs w:val="32"/>
        </w:rPr>
        <w:t>七、其他需要说明的问题</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无</w:t>
      </w:r>
    </w:p>
    <w:p>
      <w:pPr>
        <w:keepNext w:val="0"/>
        <w:keepLines w:val="0"/>
        <w:pageBreakBefore w:val="0"/>
        <w:kinsoku/>
        <w:wordWrap/>
        <w:overflowPunct/>
        <w:topLinePunct w:val="0"/>
        <w:autoSpaceDE/>
        <w:autoSpaceDN/>
        <w:bidi w:val="0"/>
        <w:spacing w:line="570" w:lineRule="exact"/>
        <w:ind w:firstLine="614" w:firstLineChars="192"/>
        <w:textAlignment w:val="auto"/>
        <w:rPr>
          <w:rFonts w:hint="eastAsia" w:ascii="宋体" w:hAnsi="宋体" w:eastAsia="方正仿宋简体" w:cs="方正仿宋简体"/>
          <w:color w:val="333333"/>
          <w:kern w:val="0"/>
          <w:sz w:val="32"/>
          <w:szCs w:val="32"/>
          <w:lang w:val="en-US" w:eastAsia="zh-CN"/>
        </w:rPr>
      </w:pPr>
    </w:p>
    <w:p>
      <w:pPr>
        <w:keepNext w:val="0"/>
        <w:keepLines w:val="0"/>
        <w:pageBreakBefore w:val="0"/>
        <w:kinsoku/>
        <w:wordWrap/>
        <w:overflowPunct/>
        <w:topLinePunct w:val="0"/>
        <w:autoSpaceDE/>
        <w:autoSpaceDN/>
        <w:bidi w:val="0"/>
        <w:spacing w:line="570" w:lineRule="exact"/>
        <w:textAlignment w:val="auto"/>
        <w:rPr>
          <w:rFonts w:hint="eastAsia" w:ascii="宋体" w:hAnsi="宋体" w:eastAsia="方正仿宋简体" w:cs="方正仿宋简体"/>
          <w:color w:val="333333"/>
          <w:kern w:val="0"/>
          <w:sz w:val="32"/>
          <w:szCs w:val="32"/>
          <w:lang w:val="en-US" w:eastAsia="zh-CN"/>
        </w:rPr>
      </w:pPr>
    </w:p>
    <w:tbl>
      <w:tblPr>
        <w:tblStyle w:val="4"/>
        <w:tblW w:w="9600" w:type="dxa"/>
        <w:tblInd w:w="-384" w:type="dxa"/>
        <w:shd w:val="clear" w:color="auto" w:fill="auto"/>
        <w:tblLayout w:type="fixed"/>
        <w:tblCellMar>
          <w:top w:w="0" w:type="dxa"/>
          <w:left w:w="0" w:type="dxa"/>
          <w:bottom w:w="0" w:type="dxa"/>
          <w:right w:w="0" w:type="dxa"/>
        </w:tblCellMar>
      </w:tblPr>
      <w:tblGrid>
        <w:gridCol w:w="930"/>
        <w:gridCol w:w="1080"/>
        <w:gridCol w:w="1665"/>
        <w:gridCol w:w="180"/>
        <w:gridCol w:w="602"/>
        <w:gridCol w:w="1183"/>
        <w:gridCol w:w="585"/>
        <w:gridCol w:w="945"/>
        <w:gridCol w:w="435"/>
        <w:gridCol w:w="150"/>
        <w:gridCol w:w="615"/>
        <w:gridCol w:w="150"/>
        <w:gridCol w:w="1080"/>
      </w:tblGrid>
      <w:tr>
        <w:tblPrEx>
          <w:shd w:val="clear" w:color="auto" w:fill="auto"/>
          <w:tblCellMar>
            <w:top w:w="0" w:type="dxa"/>
            <w:left w:w="0" w:type="dxa"/>
            <w:bottom w:w="0" w:type="dxa"/>
            <w:right w:w="0" w:type="dxa"/>
          </w:tblCellMar>
        </w:tblPrEx>
        <w:trPr>
          <w:trHeight w:val="499" w:hRule="atLeast"/>
        </w:trPr>
        <w:tc>
          <w:tcPr>
            <w:tcW w:w="9600" w:type="dxa"/>
            <w:gridSpan w:val="13"/>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2022年度项目支出绩效自评表</w:t>
            </w:r>
          </w:p>
          <w:p>
            <w:pPr>
              <w:keepNext w:val="0"/>
              <w:keepLines w:val="0"/>
              <w:widowControl/>
              <w:suppressLineNumbers w:val="0"/>
              <w:jc w:val="right"/>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i w:val="0"/>
                <w:color w:val="000000"/>
                <w:kern w:val="0"/>
                <w:sz w:val="22"/>
                <w:szCs w:val="22"/>
                <w:u w:val="none"/>
                <w:lang w:val="en-US" w:eastAsia="zh-CN" w:bidi="ar"/>
              </w:rPr>
              <w:t>金额：万元</w:t>
            </w:r>
          </w:p>
        </w:tc>
      </w:tr>
      <w:tr>
        <w:tblPrEx>
          <w:shd w:val="clear" w:color="auto" w:fill="auto"/>
          <w:tblCellMar>
            <w:top w:w="0" w:type="dxa"/>
            <w:left w:w="0" w:type="dxa"/>
            <w:bottom w:w="0" w:type="dxa"/>
            <w:right w:w="0" w:type="dxa"/>
          </w:tblCellMar>
        </w:tblPrEx>
        <w:trPr>
          <w:trHeight w:val="499" w:hRule="atLeast"/>
        </w:trPr>
        <w:tc>
          <w:tcPr>
            <w:tcW w:w="9600"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shd w:val="clear" w:color="auto" w:fill="auto"/>
          <w:tblCellMar>
            <w:top w:w="0" w:type="dxa"/>
            <w:left w:w="0" w:type="dxa"/>
            <w:bottom w:w="0" w:type="dxa"/>
            <w:right w:w="0" w:type="dxa"/>
          </w:tblCellMar>
        </w:tblPrEx>
        <w:trPr>
          <w:trHeight w:val="312" w:hRule="atLeast"/>
        </w:trPr>
        <w:tc>
          <w:tcPr>
            <w:tcW w:w="9600"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shd w:val="clear" w:color="auto" w:fill="auto"/>
          <w:tblCellMar>
            <w:top w:w="0" w:type="dxa"/>
            <w:left w:w="0" w:type="dxa"/>
            <w:bottom w:w="0" w:type="dxa"/>
            <w:right w:w="0" w:type="dxa"/>
          </w:tblCellMar>
        </w:tblPrEx>
        <w:trPr>
          <w:trHeight w:val="399" w:hRule="atLeast"/>
        </w:trPr>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5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2021年专家评审费、评估费及证照工本费</w:t>
            </w:r>
          </w:p>
        </w:tc>
      </w:tr>
      <w:tr>
        <w:tblPrEx>
          <w:shd w:val="clear" w:color="auto" w:fill="auto"/>
          <w:tblCellMar>
            <w:top w:w="0" w:type="dxa"/>
            <w:left w:w="0" w:type="dxa"/>
            <w:bottom w:w="0" w:type="dxa"/>
            <w:right w:w="0" w:type="dxa"/>
          </w:tblCellMar>
        </w:tblPrEx>
        <w:trPr>
          <w:trHeight w:val="520" w:hRule="atLeast"/>
        </w:trPr>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2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遵化市行政审批局</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遵化市行政审批局</w:t>
            </w:r>
          </w:p>
        </w:tc>
      </w:tr>
      <w:tr>
        <w:tblPrEx>
          <w:shd w:val="clear" w:color="auto" w:fill="auto"/>
          <w:tblCellMar>
            <w:top w:w="0" w:type="dxa"/>
            <w:left w:w="0" w:type="dxa"/>
            <w:bottom w:w="0" w:type="dxa"/>
            <w:right w:w="0" w:type="dxa"/>
          </w:tblCellMar>
        </w:tblPrEx>
        <w:trPr>
          <w:trHeight w:val="499" w:hRule="atLeast"/>
        </w:trPr>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CellMar>
            <w:top w:w="0" w:type="dxa"/>
            <w:left w:w="0" w:type="dxa"/>
            <w:bottom w:w="0" w:type="dxa"/>
            <w:right w:w="0" w:type="dxa"/>
          </w:tblCellMar>
        </w:tblPrEx>
        <w:trPr>
          <w:trHeight w:val="499" w:hRule="atLeast"/>
        </w:trPr>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12.44</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CellMar>
            <w:top w:w="0" w:type="dxa"/>
            <w:left w:w="0" w:type="dxa"/>
            <w:bottom w:w="0" w:type="dxa"/>
            <w:right w:w="0" w:type="dxa"/>
          </w:tblCellMar>
        </w:tblPrEx>
        <w:trPr>
          <w:trHeight w:val="369" w:hRule="atLeast"/>
        </w:trPr>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12.44</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60" w:hRule="atLeast"/>
        </w:trPr>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0" w:hRule="atLeast"/>
        </w:trPr>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35"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52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3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实际完成情况综述</w:t>
            </w:r>
          </w:p>
        </w:tc>
      </w:tr>
      <w:tr>
        <w:tblPrEx>
          <w:shd w:val="clear" w:color="auto" w:fill="auto"/>
          <w:tblCellMar>
            <w:top w:w="0" w:type="dxa"/>
            <w:left w:w="0" w:type="dxa"/>
            <w:bottom w:w="0" w:type="dxa"/>
            <w:right w:w="0" w:type="dxa"/>
          </w:tblCellMar>
        </w:tblPrEx>
        <w:trPr>
          <w:trHeight w:val="695"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为广大用户提供最切实的行政审批相关服务，使办事群体更加快捷、安全、方便进行对应的行政审批服务      </w:t>
            </w:r>
          </w:p>
        </w:tc>
        <w:tc>
          <w:tcPr>
            <w:tcW w:w="33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项目已经完成。</w:t>
            </w:r>
          </w:p>
        </w:tc>
      </w:tr>
      <w:tr>
        <w:tblPrEx>
          <w:shd w:val="clear" w:color="auto" w:fill="auto"/>
          <w:tblCellMar>
            <w:top w:w="0" w:type="dxa"/>
            <w:left w:w="0" w:type="dxa"/>
            <w:bottom w:w="0" w:type="dxa"/>
            <w:right w:w="0" w:type="dxa"/>
          </w:tblCellMar>
        </w:tblPrEx>
        <w:trPr>
          <w:trHeight w:val="499"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               效              指                 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9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p>
        </w:tc>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2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许可申请书审批率%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档案查准率（%）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r>
              <w:rPr>
                <w:rStyle w:val="10"/>
                <w:rFonts w:ascii="宋体" w:hAnsi="宋体"/>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r>
              <w:rPr>
                <w:rStyle w:val="10"/>
                <w:rFonts w:ascii="宋体" w:hAnsi="宋体"/>
                <w:lang w:val="en-US" w:eastAsia="zh-CN" w:bidi="ar"/>
              </w:rPr>
              <w:t>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8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消费者满意度测评方案设计、实施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审批时限内办结率（%）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用户使用满意度（%）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意见建议采纳率（%）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用户友好性(％)</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35"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0" w:hRule="atLeast"/>
        </w:trPr>
        <w:tc>
          <w:tcPr>
            <w:tcW w:w="71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0" w:hRule="atLeast"/>
        </w:trPr>
        <w:tc>
          <w:tcPr>
            <w:tcW w:w="71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960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注：其中预算执行率固定为10分，其中各项指标90分，总分100分。</w:t>
            </w:r>
          </w:p>
        </w:tc>
      </w:tr>
    </w:tbl>
    <w:p>
      <w:pPr>
        <w:spacing w:line="570" w:lineRule="exact"/>
        <w:rPr>
          <w:rFonts w:hint="eastAsia" w:ascii="宋体" w:hAnsi="宋体" w:eastAsia="方正小标宋简体" w:cs="方正小标宋简体"/>
          <w:spacing w:val="10"/>
          <w:sz w:val="44"/>
          <w:szCs w:val="44"/>
          <w:lang w:val="en-US" w:eastAsia="zh-CN"/>
        </w:rPr>
      </w:pPr>
    </w:p>
    <w:p>
      <w:pPr>
        <w:keepNext w:val="0"/>
        <w:keepLines w:val="0"/>
        <w:pageBreakBefore w:val="0"/>
        <w:kinsoku/>
        <w:wordWrap/>
        <w:overflowPunct/>
        <w:topLinePunct w:val="0"/>
        <w:autoSpaceDE/>
        <w:autoSpaceDN/>
        <w:bidi w:val="0"/>
        <w:snapToGrid w:val="0"/>
        <w:spacing w:line="570" w:lineRule="exact"/>
        <w:ind w:left="0" w:leftChars="0" w:firstLine="0" w:firstLine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遵化市行政审批局</w:t>
      </w:r>
    </w:p>
    <w:p>
      <w:pPr>
        <w:keepNext w:val="0"/>
        <w:keepLines w:val="0"/>
        <w:pageBreakBefore w:val="0"/>
        <w:kinsoku/>
        <w:wordWrap/>
        <w:overflowPunct/>
        <w:topLinePunct w:val="0"/>
        <w:autoSpaceDE/>
        <w:autoSpaceDN/>
        <w:bidi w:val="0"/>
        <w:snapToGrid w:val="0"/>
        <w:spacing w:line="570" w:lineRule="exact"/>
        <w:ind w:left="10" w:leftChars="0" w:hanging="10" w:firstLine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lang w:val="en-US" w:eastAsia="zh-CN"/>
        </w:rPr>
        <w:t>2021年</w:t>
      </w:r>
      <w:r>
        <w:rPr>
          <w:rFonts w:hint="eastAsia" w:ascii="宋体" w:hAnsi="宋体" w:eastAsia="方正小标宋简体" w:cs="方正小标宋简体"/>
          <w:sz w:val="44"/>
          <w:szCs w:val="44"/>
        </w:rPr>
        <w:t>专家评审费、评估费及证照工本费</w:t>
      </w:r>
    </w:p>
    <w:p>
      <w:pPr>
        <w:keepNext w:val="0"/>
        <w:keepLines w:val="0"/>
        <w:pageBreakBefore w:val="0"/>
        <w:kinsoku/>
        <w:wordWrap/>
        <w:overflowPunct/>
        <w:topLinePunct w:val="0"/>
        <w:autoSpaceDE/>
        <w:autoSpaceDN/>
        <w:bidi w:val="0"/>
        <w:snapToGrid w:val="0"/>
        <w:spacing w:line="570" w:lineRule="exact"/>
        <w:ind w:left="10" w:leftChars="0" w:hanging="10" w:firstLine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项目自评报告</w:t>
      </w:r>
    </w:p>
    <w:p>
      <w:pPr>
        <w:keepNext w:val="0"/>
        <w:keepLines w:val="0"/>
        <w:pageBreakBefore w:val="0"/>
        <w:kinsoku/>
        <w:wordWrap/>
        <w:overflowPunct/>
        <w:topLinePunct w:val="0"/>
        <w:autoSpaceDE/>
        <w:autoSpaceDN/>
        <w:bidi w:val="0"/>
        <w:snapToGrid w:val="0"/>
        <w:spacing w:line="570" w:lineRule="exact"/>
        <w:ind w:left="810"/>
        <w:jc w:val="center"/>
        <w:textAlignment w:val="auto"/>
        <w:rPr>
          <w:rFonts w:hint="eastAsia" w:ascii="宋体" w:hAnsi="宋体" w:eastAsia="方正小标宋简体" w:cs="方正小标宋简体"/>
          <w:sz w:val="44"/>
          <w:szCs w:val="44"/>
        </w:rPr>
      </w:pPr>
    </w:p>
    <w:p>
      <w:pPr>
        <w:keepNext w:val="0"/>
        <w:keepLines w:val="0"/>
        <w:pageBreakBefore w:val="0"/>
        <w:kinsoku/>
        <w:wordWrap/>
        <w:overflowPunct/>
        <w:topLinePunct w:val="0"/>
        <w:autoSpaceDE/>
        <w:autoSpaceDN/>
        <w:bidi w:val="0"/>
        <w:spacing w:line="570" w:lineRule="exact"/>
        <w:ind w:right="-509" w:rightChars="-159"/>
        <w:textAlignment w:val="auto"/>
        <w:rPr>
          <w:rFonts w:ascii="宋体" w:hAnsi="宋体" w:eastAsia="方正仿宋简体"/>
          <w:spacing w:val="10"/>
          <w:sz w:val="28"/>
          <w:szCs w:val="28"/>
        </w:rPr>
      </w:pPr>
      <w:r>
        <w:rPr>
          <w:rFonts w:hint="eastAsia" w:ascii="宋体" w:hAnsi="宋体" w:eastAsia="方正仿宋简体" w:cs="方正仿宋简体"/>
          <w:kern w:val="0"/>
          <w:szCs w:val="32"/>
          <w:lang w:val="zh-CN"/>
        </w:rPr>
        <w:t xml:space="preserve"> </w:t>
      </w:r>
      <w:r>
        <w:rPr>
          <w:rFonts w:hint="eastAsia" w:ascii="宋体" w:hAnsi="宋体" w:eastAsia="方正仿宋简体" w:cs="方正仿宋简体"/>
          <w:kern w:val="0"/>
          <w:szCs w:val="32"/>
          <w:lang w:val="en-US" w:eastAsia="zh-CN"/>
        </w:rPr>
        <w:t xml:space="preserve">    </w:t>
      </w:r>
      <w:r>
        <w:rPr>
          <w:rFonts w:hint="eastAsia" w:ascii="宋体" w:hAnsi="宋体" w:eastAsia="方正黑体简体" w:cs="方正黑体简体"/>
          <w:spacing w:val="10"/>
          <w:sz w:val="32"/>
          <w:szCs w:val="32"/>
        </w:rPr>
        <w:t>一、项目基本概况</w:t>
      </w:r>
    </w:p>
    <w:p>
      <w:pPr>
        <w:keepNext w:val="0"/>
        <w:keepLines w:val="0"/>
        <w:pageBreakBefore w:val="0"/>
        <w:kinsoku/>
        <w:wordWrap/>
        <w:overflowPunct/>
        <w:topLinePunct w:val="0"/>
        <w:autoSpaceDE/>
        <w:autoSpaceDN/>
        <w:bidi w:val="0"/>
        <w:spacing w:line="570" w:lineRule="exact"/>
        <w:ind w:firstLine="652" w:firstLineChars="192"/>
        <w:textAlignment w:val="auto"/>
        <w:rPr>
          <w:rFonts w:hint="eastAsia" w:ascii="宋体" w:hAnsi="宋体" w:eastAsia="方正仿宋简体"/>
          <w:spacing w:val="10"/>
          <w:sz w:val="28"/>
          <w:szCs w:val="28"/>
          <w:lang w:val="en-US" w:eastAsia="zh-CN"/>
        </w:rPr>
      </w:pPr>
      <w:r>
        <w:rPr>
          <w:rFonts w:hint="eastAsia" w:ascii="宋体" w:hAnsi="宋体" w:eastAsia="方正楷体简体" w:cs="方正楷体简体"/>
          <w:spacing w:val="10"/>
          <w:sz w:val="32"/>
          <w:szCs w:val="32"/>
        </w:rPr>
        <w:t>（一）项目</w:t>
      </w:r>
      <w:r>
        <w:rPr>
          <w:rFonts w:hint="eastAsia" w:ascii="宋体" w:hAnsi="宋体" w:eastAsia="方正楷体简体" w:cs="方正楷体简体"/>
          <w:spacing w:val="10"/>
          <w:sz w:val="32"/>
          <w:szCs w:val="32"/>
          <w:lang w:eastAsia="zh-CN"/>
        </w:rPr>
        <w:t>概况</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rPr>
        <w:t>用于公共资源交易中心招投标评审专家劳务管理，业务科室制作各类证照工本及各类评估咨询。</w:t>
      </w:r>
      <w:r>
        <w:rPr>
          <w:rFonts w:hint="eastAsia" w:ascii="宋体" w:hAnsi="宋体" w:eastAsia="方正仿宋简体" w:cs="方正仿宋简体"/>
          <w:spacing w:val="10"/>
          <w:sz w:val="32"/>
          <w:szCs w:val="32"/>
          <w:lang w:eastAsia="zh-CN"/>
        </w:rPr>
        <w:t>此项目资金为</w:t>
      </w:r>
      <w:r>
        <w:rPr>
          <w:rFonts w:hint="eastAsia" w:ascii="宋体" w:hAnsi="宋体" w:eastAsia="方正仿宋简体" w:cs="方正仿宋简体"/>
          <w:spacing w:val="10"/>
          <w:sz w:val="32"/>
          <w:szCs w:val="32"/>
          <w:lang w:val="en-US" w:eastAsia="zh-CN"/>
        </w:rPr>
        <w:t>2021年度专家评审费、评估费及证照工本费。</w:t>
      </w:r>
      <w:r>
        <w:rPr>
          <w:rFonts w:hint="eastAsia" w:ascii="宋体" w:hAnsi="宋体" w:eastAsia="方正仿宋简体" w:cs="方正仿宋简体"/>
          <w:kern w:val="0"/>
          <w:sz w:val="32"/>
          <w:szCs w:val="32"/>
        </w:rPr>
        <w:t>202</w:t>
      </w:r>
      <w:r>
        <w:rPr>
          <w:rFonts w:hint="eastAsia" w:ascii="宋体" w:hAnsi="宋体" w:eastAsia="方正仿宋简体" w:cs="方正仿宋简体"/>
          <w:kern w:val="0"/>
          <w:sz w:val="32"/>
          <w:szCs w:val="32"/>
          <w:lang w:val="en-US" w:eastAsia="zh-CN"/>
        </w:rPr>
        <w:t>2</w:t>
      </w:r>
      <w:r>
        <w:rPr>
          <w:rFonts w:hint="eastAsia" w:ascii="宋体" w:hAnsi="宋体" w:eastAsia="方正仿宋简体" w:cs="方正仿宋简体"/>
          <w:kern w:val="0"/>
          <w:sz w:val="32"/>
          <w:szCs w:val="32"/>
        </w:rPr>
        <w:t>年</w:t>
      </w:r>
      <w:r>
        <w:rPr>
          <w:rFonts w:hint="eastAsia" w:ascii="宋体" w:hAnsi="宋体" w:eastAsia="方正仿宋简体" w:cs="方正仿宋简体"/>
          <w:kern w:val="0"/>
          <w:sz w:val="32"/>
          <w:szCs w:val="32"/>
          <w:lang w:eastAsia="zh-CN"/>
        </w:rPr>
        <w:t>全年预算</w:t>
      </w:r>
      <w:r>
        <w:rPr>
          <w:rFonts w:hint="eastAsia" w:ascii="宋体" w:hAnsi="宋体" w:eastAsia="方正仿宋简体" w:cs="方正仿宋简体"/>
          <w:kern w:val="0"/>
          <w:sz w:val="32"/>
          <w:szCs w:val="32"/>
          <w:lang w:val="en-US" w:eastAsia="zh-CN"/>
        </w:rPr>
        <w:t>安排12.44万元，2022年</w:t>
      </w:r>
      <w:r>
        <w:rPr>
          <w:rFonts w:hint="eastAsia" w:ascii="宋体" w:hAnsi="宋体" w:eastAsia="方正仿宋简体" w:cs="方正仿宋简体"/>
          <w:kern w:val="0"/>
          <w:sz w:val="32"/>
          <w:szCs w:val="32"/>
        </w:rPr>
        <w:t>财政预算</w:t>
      </w:r>
      <w:r>
        <w:rPr>
          <w:rFonts w:hint="eastAsia" w:ascii="宋体" w:hAnsi="宋体" w:eastAsia="方正仿宋简体" w:cs="方正仿宋简体"/>
          <w:kern w:val="0"/>
          <w:sz w:val="32"/>
          <w:szCs w:val="32"/>
          <w:lang w:eastAsia="zh-CN"/>
        </w:rPr>
        <w:t>实际支出合计</w:t>
      </w:r>
      <w:r>
        <w:rPr>
          <w:rFonts w:hint="eastAsia" w:ascii="宋体" w:hAnsi="宋体" w:eastAsia="方正仿宋简体" w:cs="方正仿宋简体"/>
          <w:kern w:val="0"/>
          <w:sz w:val="32"/>
          <w:szCs w:val="32"/>
          <w:lang w:val="en-US" w:eastAsia="zh-CN"/>
        </w:rPr>
        <w:t>12.44</w:t>
      </w:r>
      <w:r>
        <w:rPr>
          <w:rFonts w:hint="eastAsia" w:ascii="宋体" w:hAnsi="宋体" w:eastAsia="方正仿宋简体" w:cs="方正仿宋简体"/>
          <w:kern w:val="0"/>
          <w:sz w:val="32"/>
          <w:szCs w:val="32"/>
        </w:rPr>
        <w:t>万元</w:t>
      </w:r>
      <w:r>
        <w:rPr>
          <w:rFonts w:hint="eastAsia" w:ascii="宋体" w:hAnsi="宋体" w:eastAsia="方正仿宋简体" w:cs="方正仿宋简体"/>
          <w:spacing w:val="10"/>
          <w:sz w:val="32"/>
          <w:szCs w:val="32"/>
        </w:rPr>
        <w:t>。</w:t>
      </w:r>
    </w:p>
    <w:p>
      <w:pPr>
        <w:keepNext w:val="0"/>
        <w:keepLines w:val="0"/>
        <w:pageBreakBefore w:val="0"/>
        <w:kinsoku/>
        <w:wordWrap/>
        <w:overflowPunct/>
        <w:topLinePunct w:val="0"/>
        <w:autoSpaceDE/>
        <w:autoSpaceDN/>
        <w:bidi w:val="0"/>
        <w:spacing w:line="570" w:lineRule="exact"/>
        <w:ind w:firstLine="652" w:firstLineChars="192"/>
        <w:textAlignment w:val="auto"/>
        <w:rPr>
          <w:rFonts w:hint="eastAsia" w:ascii="宋体" w:hAnsi="宋体" w:eastAsia="方正楷体简体" w:cs="方正楷体简体"/>
          <w:spacing w:val="10"/>
          <w:sz w:val="32"/>
          <w:szCs w:val="32"/>
          <w:lang w:eastAsia="zh-CN"/>
        </w:rPr>
      </w:pPr>
      <w:r>
        <w:rPr>
          <w:rFonts w:hint="eastAsia" w:ascii="宋体" w:hAnsi="宋体" w:eastAsia="方正楷体简体" w:cs="方正楷体简体"/>
          <w:spacing w:val="10"/>
          <w:sz w:val="32"/>
          <w:szCs w:val="32"/>
          <w:lang w:eastAsia="zh-CN"/>
        </w:rPr>
        <w:t>（二）项目绩效目标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总体目标，通过提高工作标准、优化审批流程、压缩审批时间，实现暖心服务，打造最优质、最高效、最规范、最便捷的“审批金牌保姆”服务品牌。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color w:val="333333"/>
          <w:kern w:val="0"/>
          <w:sz w:val="32"/>
          <w:szCs w:val="32"/>
          <w:lang w:val="en-US" w:eastAsia="zh-CN"/>
        </w:rPr>
        <w:t>阶段性目标：按时高效、高质量完成业务。</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黑体简体" w:cs="方正黑体简体"/>
          <w:kern w:val="0"/>
          <w:sz w:val="32"/>
          <w:szCs w:val="32"/>
          <w:lang w:val="zh-CN"/>
        </w:rPr>
      </w:pPr>
      <w:r>
        <w:rPr>
          <w:rFonts w:hint="eastAsia" w:ascii="宋体" w:hAnsi="宋体" w:eastAsia="方正黑体简体" w:cs="方正黑体简体"/>
          <w:kern w:val="0"/>
          <w:sz w:val="32"/>
          <w:szCs w:val="32"/>
          <w:lang w:val="zh-CN"/>
        </w:rPr>
        <w:t>二、绩效评价工作开展情况</w:t>
      </w:r>
    </w:p>
    <w:p>
      <w:pPr>
        <w:keepNext w:val="0"/>
        <w:keepLines w:val="0"/>
        <w:pageBreakBefore w:val="0"/>
        <w:kinsoku/>
        <w:wordWrap/>
        <w:overflowPunct/>
        <w:topLinePunct w:val="0"/>
        <w:autoSpaceDE/>
        <w:autoSpaceDN/>
        <w:bidi w:val="0"/>
        <w:spacing w:line="570" w:lineRule="exact"/>
        <w:ind w:firstLine="652" w:firstLineChars="192"/>
        <w:textAlignment w:val="auto"/>
        <w:rPr>
          <w:rFonts w:hint="eastAsia" w:ascii="宋体" w:hAnsi="宋体" w:eastAsia="方正楷体简体" w:cs="方正楷体简体"/>
          <w:spacing w:val="10"/>
          <w:sz w:val="32"/>
          <w:szCs w:val="32"/>
          <w:lang w:eastAsia="zh-CN"/>
        </w:rPr>
      </w:pPr>
      <w:r>
        <w:rPr>
          <w:rFonts w:hint="eastAsia" w:ascii="宋体" w:hAnsi="宋体" w:eastAsia="方正楷体简体" w:cs="方正楷体简体"/>
          <w:spacing w:val="10"/>
          <w:sz w:val="32"/>
          <w:szCs w:val="32"/>
          <w:lang w:eastAsia="zh-CN"/>
        </w:rPr>
        <w:t>（一）绩效评价目的、对象和范围</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绩效评价目的：提高审批办事效率、提高审批服务水平、提高人员专业素质、加强信息公开和宣传引导，充分发挥综合协调和后勤保障作用。以保障中心正常运转，提高审批效率。项目符合遵办字〔2017〕22号关于印发《遵化市行政审批局组建工作实施方案》的文件精神，以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绩效评价对象：用于公共资源交易中心招投标评审专家劳务管理，业务科室制作各类证照工本及各类评估咨询。</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仿宋简体" w:cs="方正仿宋简体"/>
          <w:spacing w:val="10"/>
          <w:sz w:val="32"/>
          <w:szCs w:val="32"/>
          <w:lang w:eastAsia="zh-CN"/>
        </w:rPr>
      </w:pPr>
      <w:r>
        <w:rPr>
          <w:rFonts w:hint="eastAsia" w:ascii="宋体" w:hAnsi="宋体" w:eastAsia="方正仿宋简体" w:cs="方正仿宋简体"/>
          <w:color w:val="333333"/>
          <w:kern w:val="0"/>
          <w:sz w:val="32"/>
          <w:szCs w:val="32"/>
          <w:lang w:val="en-US" w:eastAsia="zh-CN"/>
        </w:rPr>
        <w:t>绩效评价范围：专家评审程序，取水许可、重大固定资产投资项目等审批事项的审批，加强许可事中和事后监管。</w:t>
      </w:r>
    </w:p>
    <w:p>
      <w:pPr>
        <w:keepNext w:val="0"/>
        <w:keepLines w:val="0"/>
        <w:pageBreakBefore w:val="0"/>
        <w:kinsoku/>
        <w:wordWrap/>
        <w:overflowPunct/>
        <w:topLinePunct w:val="0"/>
        <w:autoSpaceDE/>
        <w:autoSpaceDN/>
        <w:bidi w:val="0"/>
        <w:spacing w:line="570" w:lineRule="exact"/>
        <w:ind w:firstLine="680" w:firstLineChars="200"/>
        <w:textAlignment w:val="auto"/>
        <w:rPr>
          <w:rFonts w:ascii="宋体" w:hAnsi="宋体" w:eastAsia="方正仿宋简体" w:cs="宋体"/>
          <w:color w:val="333333"/>
          <w:kern w:val="0"/>
          <w:sz w:val="28"/>
          <w:szCs w:val="28"/>
        </w:rPr>
      </w:pPr>
      <w:r>
        <w:rPr>
          <w:rFonts w:hint="eastAsia" w:ascii="宋体" w:hAnsi="宋体" w:eastAsia="方正楷体简体" w:cs="方正楷体简体"/>
          <w:spacing w:val="10"/>
          <w:sz w:val="32"/>
          <w:szCs w:val="32"/>
          <w:lang w:eastAsia="zh-CN"/>
        </w:rPr>
        <w:t>（二）绩效评价原则、评价指标体系、评价方法及标准。</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eastAsia="zh-CN"/>
        </w:rPr>
      </w:pPr>
      <w:r>
        <w:rPr>
          <w:rFonts w:hint="eastAsia" w:ascii="宋体" w:hAnsi="宋体" w:eastAsia="方正仿宋简体" w:cs="方正仿宋简体"/>
          <w:spacing w:val="10"/>
          <w:sz w:val="32"/>
          <w:szCs w:val="32"/>
          <w:lang w:val="en-US" w:eastAsia="zh-CN"/>
        </w:rPr>
        <w:t>1.</w:t>
      </w:r>
      <w:r>
        <w:rPr>
          <w:rFonts w:hint="eastAsia" w:ascii="宋体" w:hAnsi="宋体" w:eastAsia="方正仿宋简体" w:cs="方正仿宋简体"/>
          <w:spacing w:val="10"/>
          <w:sz w:val="32"/>
          <w:szCs w:val="32"/>
          <w:lang w:eastAsia="zh-CN"/>
        </w:rPr>
        <w:t>绩效评价原则：绩效评价工作遵循全面覆盖、程序简便、客观公正、公开透明的原则。</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lang w:val="en-US" w:eastAsia="zh-CN"/>
        </w:rPr>
        <w:t>2.</w:t>
      </w:r>
      <w:r>
        <w:rPr>
          <w:rFonts w:hint="eastAsia" w:ascii="宋体" w:hAnsi="宋体" w:eastAsia="方正仿宋简体" w:cs="方正仿宋简体"/>
          <w:spacing w:val="10"/>
          <w:sz w:val="32"/>
          <w:szCs w:val="32"/>
          <w:lang w:eastAsia="zh-CN"/>
        </w:rPr>
        <w:t>评价指标体系</w:t>
      </w:r>
    </w:p>
    <w:tbl>
      <w:tblPr>
        <w:tblStyle w:val="4"/>
        <w:tblW w:w="9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734"/>
        <w:gridCol w:w="1167"/>
        <w:gridCol w:w="2505"/>
        <w:gridCol w:w="2956"/>
        <w:gridCol w:w="576"/>
        <w:gridCol w:w="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38"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一级指标</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二级指标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三级指标</w:t>
            </w:r>
          </w:p>
        </w:tc>
        <w:tc>
          <w:tcPr>
            <w:tcW w:w="2505"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指标解释</w:t>
            </w:r>
          </w:p>
        </w:tc>
        <w:tc>
          <w:tcPr>
            <w:tcW w:w="295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评价标准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标准分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投入</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项目目标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目标内容</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目标是否明确、细化、量化</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目标明确（2分），目标细化（2分），目标量化（1分）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决策过程</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决策依据</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项目是否符合经济社会发展规划和部门年度工作计划；是否根据需要制定中长期实施规划</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项目符合经济社会发展规划和部门年度工作计划（5分），根据需要制定中长期实施规划（5分）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决策程序</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项目是否符合申报条件；申报、批复程序是否符合相关管理办法；项目调整是否履行相应手续</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项目符合申报条件（2分），申报、批复程序符合相关管理办法（2分），项目实施调整履行相应手续（1分）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过程</w:t>
            </w: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资金管理</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资金使用</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是否存在支出依据不合规、虚列项目支出的情况；是否存在截留、挤占、挪用项目资金情况；是否存在超标准开支情况</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虚列（套取）扣4分，支出依据不合规扣1分，截留、挤占、挪用扣2分，超标准开支扣1分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财务管理</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资金管理、费用支出等制度是否健全，是否严格执行；会计核算是否规范</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财务制度健全（2分），严格执行制度（1分），会计核算规范（1分）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组织实施</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组织机构</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机构是否健全、分工是否明确</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机构健全、分工明确（4分）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管理制度</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是否建立健全项目管理制度；是否严格执行相关项目管理制度</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建立健全项目管理制度（2分）；严格执行相关项目管理制度(1分）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738" w:type="dxa"/>
            <w:vMerge w:val="restart"/>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产出</w:t>
            </w: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数量指标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综合业务管理工作完成率</w:t>
            </w:r>
          </w:p>
        </w:tc>
        <w:tc>
          <w:tcPr>
            <w:tcW w:w="2505" w:type="dxa"/>
            <w:noWrap/>
            <w:vAlign w:val="center"/>
          </w:tcPr>
          <w:p>
            <w:pPr>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各项综合业务工作任务完成情况占各项综合业务工作任务的比例</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完成100%得10分，完成90%以上得8分，完成70%以上得6分，完成70%以下得4分。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质量指标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全年工作任务达标率</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全年工作任务达到预期质量目标情况</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完成100%得10分，完成80%以上得8分，完成80%以上得6分，完成80%以下得4分。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时效指标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报销时效性</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按照审批程序及时报销</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成本指标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738" w:type="dxa"/>
            <w:vMerge w:val="restart"/>
            <w:noWrap/>
            <w:vAlign w:val="center"/>
          </w:tcPr>
          <w:p>
            <w:pPr>
              <w:widowControl/>
              <w:spacing w:line="240" w:lineRule="exact"/>
              <w:rPr>
                <w:rFonts w:ascii="宋体" w:hAnsi="宋体" w:eastAsia="方正仿宋简体"/>
                <w:kern w:val="0"/>
                <w:sz w:val="21"/>
                <w:szCs w:val="21"/>
              </w:rPr>
            </w:pPr>
          </w:p>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效果</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可持续影响指标</w:t>
            </w:r>
          </w:p>
        </w:tc>
        <w:tc>
          <w:tcPr>
            <w:tcW w:w="1167" w:type="dxa"/>
            <w:noWrap/>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提高发改领域服务保障能力</w:t>
            </w:r>
          </w:p>
        </w:tc>
        <w:tc>
          <w:tcPr>
            <w:tcW w:w="2505" w:type="dxa"/>
            <w:noWrap/>
          </w:tcPr>
          <w:p>
            <w:pPr>
              <w:spacing w:line="240" w:lineRule="exact"/>
              <w:rPr>
                <w:rFonts w:ascii="宋体" w:hAnsi="宋体" w:eastAsia="方正仿宋简体"/>
                <w:kern w:val="0"/>
                <w:sz w:val="21"/>
                <w:szCs w:val="21"/>
              </w:rPr>
            </w:pPr>
          </w:p>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有利于业务开展，提高服务保障能力</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经济效益指标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节约项目开支</w:t>
            </w:r>
          </w:p>
        </w:tc>
        <w:tc>
          <w:tcPr>
            <w:tcW w:w="2505"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践行厉行节约反对浪费制度体系建设</w:t>
            </w:r>
          </w:p>
          <w:p>
            <w:pPr>
              <w:widowControl/>
              <w:spacing w:line="240" w:lineRule="exact"/>
              <w:rPr>
                <w:rFonts w:ascii="宋体" w:hAnsi="宋体" w:eastAsia="方正仿宋简体"/>
                <w:kern w:val="0"/>
                <w:sz w:val="21"/>
                <w:szCs w:val="21"/>
              </w:rPr>
            </w:pPr>
          </w:p>
        </w:tc>
        <w:tc>
          <w:tcPr>
            <w:tcW w:w="2956"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社会效益指标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业务保障率</w:t>
            </w:r>
          </w:p>
        </w:tc>
        <w:tc>
          <w:tcPr>
            <w:tcW w:w="2505" w:type="dxa"/>
            <w:noWrap/>
            <w:vAlign w:val="bottom"/>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有效保障相关业务、工作等开展的业务次数占总业务量的比率</w:t>
            </w:r>
          </w:p>
          <w:p>
            <w:pPr>
              <w:widowControl/>
              <w:spacing w:line="240" w:lineRule="exact"/>
              <w:rPr>
                <w:rFonts w:ascii="宋体" w:hAnsi="宋体" w:eastAsia="方正仿宋简体"/>
                <w:kern w:val="0"/>
                <w:sz w:val="21"/>
                <w:szCs w:val="21"/>
              </w:rPr>
            </w:pPr>
          </w:p>
        </w:tc>
        <w:tc>
          <w:tcPr>
            <w:tcW w:w="2956"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生态效益指标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工作环境改善程度</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对工作环境的改善程度</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18"/>
                <w:szCs w:val="18"/>
              </w:rPr>
            </w:pPr>
            <w:r>
              <w:rPr>
                <w:rFonts w:hint="eastAsia" w:ascii="宋体" w:hAnsi="宋体" w:eastAsia="方正仿宋简体"/>
                <w:kern w:val="0"/>
                <w:sz w:val="18"/>
                <w:szCs w:val="18"/>
              </w:rPr>
              <w:t>服务对象满意度指标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受益群体满意度</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受益群体调查中，满意和较满意的人数占全部调查人数的比率</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3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总分</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2505"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295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r>
    </w:tbl>
    <w:p>
      <w:pPr>
        <w:keepNext w:val="0"/>
        <w:keepLines w:val="0"/>
        <w:pageBreakBefore w:val="0"/>
        <w:kinsoku/>
        <w:wordWrap/>
        <w:overflowPunct/>
        <w:topLinePunct w:val="0"/>
        <w:autoSpaceDE/>
        <w:autoSpaceDN/>
        <w:bidi w:val="0"/>
        <w:spacing w:line="570" w:lineRule="exact"/>
        <w:textAlignment w:val="auto"/>
        <w:rPr>
          <w:rFonts w:hint="eastAsia" w:ascii="宋体" w:hAnsi="宋体" w:eastAsia="方正仿宋简体" w:cs="宋体"/>
          <w:color w:val="333333"/>
          <w:kern w:val="0"/>
          <w:sz w:val="28"/>
          <w:szCs w:val="28"/>
        </w:rPr>
      </w:pP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3.绩效评价方法：采用实地检查、实际操作等多种评价方法相结合的综合评价。</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4.评价标准：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楷体简体"/>
          <w:szCs w:val="32"/>
        </w:rPr>
      </w:pPr>
      <w:r>
        <w:rPr>
          <w:rFonts w:hint="eastAsia" w:ascii="宋体" w:hAnsi="宋体" w:eastAsia="方正楷体简体"/>
          <w:szCs w:val="32"/>
        </w:rPr>
        <w:t>（三）绩效评价工作过程</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绩效评价人员查看了相关项目资料，了解资金拨付、使用情况及管理工作。</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1.对此项目收集相关资料。</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2.实地调研并了解项目实际运行情况。</w:t>
      </w:r>
    </w:p>
    <w:p>
      <w:pPr>
        <w:keepNext w:val="0"/>
        <w:keepLines w:val="0"/>
        <w:pageBreakBefore w:val="0"/>
        <w:kinsoku/>
        <w:wordWrap/>
        <w:overflowPunct/>
        <w:topLinePunct w:val="0"/>
        <w:autoSpaceDE/>
        <w:autoSpaceDN/>
        <w:bidi w:val="0"/>
        <w:spacing w:line="570" w:lineRule="exact"/>
        <w:ind w:firstLine="680" w:firstLineChars="200"/>
        <w:textAlignment w:val="auto"/>
        <w:rPr>
          <w:rFonts w:hint="default"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3.根据调研结果和收集资料进行综合分析，综合评定绩效等级，科学撰写评价报告。</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黑体简体" w:cs="方正黑体简体"/>
          <w:color w:val="333333"/>
          <w:kern w:val="0"/>
          <w:sz w:val="32"/>
          <w:szCs w:val="32"/>
        </w:rPr>
      </w:pPr>
      <w:r>
        <w:rPr>
          <w:rFonts w:hint="eastAsia" w:ascii="宋体" w:hAnsi="宋体" w:eastAsia="方正黑体简体" w:cs="方正黑体简体"/>
          <w:color w:val="333333"/>
          <w:kern w:val="0"/>
          <w:sz w:val="32"/>
          <w:szCs w:val="32"/>
          <w:lang w:eastAsia="zh-CN"/>
        </w:rPr>
        <w:t>三、</w:t>
      </w:r>
      <w:r>
        <w:rPr>
          <w:rFonts w:hint="eastAsia" w:ascii="宋体" w:hAnsi="宋体" w:eastAsia="方正黑体简体" w:cs="方正黑体简体"/>
          <w:color w:val="333333"/>
          <w:kern w:val="0"/>
          <w:sz w:val="32"/>
          <w:szCs w:val="32"/>
        </w:rPr>
        <w:t>综合评价情况及评价结论</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在市委、市政府的坚强领导下，规范专家评审程序，严格取水许可、重大固定资产投资项目等审批事项的审批，加强许可事中和事后监管以保障业务运转，提高审批效率。实现暖心服务，打造最优质、最高效、最规范、最便捷的审批金牌保姆”服务品牌。</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该项目完成年初绩效目标，切实发挥了财政资金的使用效果。</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评价结论：综合评分项目绩效指标得分为100分，绩效评分为优秀。</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黑体简体" w:cs="方正黑体简体"/>
          <w:color w:val="333333"/>
          <w:kern w:val="0"/>
          <w:sz w:val="32"/>
          <w:szCs w:val="32"/>
          <w:lang w:eastAsia="zh-CN"/>
        </w:rPr>
      </w:pPr>
      <w:r>
        <w:rPr>
          <w:rFonts w:hint="eastAsia" w:ascii="宋体" w:hAnsi="宋体" w:eastAsia="方正黑体简体" w:cs="方正黑体简体"/>
          <w:color w:val="333333"/>
          <w:kern w:val="0"/>
          <w:sz w:val="32"/>
          <w:szCs w:val="32"/>
          <w:lang w:eastAsia="zh-CN"/>
        </w:rPr>
        <w:t>四、绩效评价指标分析</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楷体简体"/>
          <w:szCs w:val="32"/>
          <w:lang w:eastAsia="zh-CN"/>
        </w:rPr>
      </w:pPr>
      <w:r>
        <w:rPr>
          <w:rFonts w:hint="eastAsia" w:ascii="宋体" w:hAnsi="宋体" w:eastAsia="方正楷体简体"/>
          <w:szCs w:val="32"/>
          <w:lang w:eastAsia="zh-CN"/>
        </w:rPr>
        <w:t>（一）项目决策情况</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1.项目目标</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目标内容，该指标是指依据绩效目标设定的绩效指标是否清晰、细化、可衡量等，用以反映和考核绩效目标的实施情况。</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对各项任务指标分解下达，强化督导，密切配合，确保全面完成承担的任务指标。</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2.决策过程</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决策依据，项目是否符合经济发展规划和部门年度工作计划，是否根据需要制定中长期实施规划。</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项目符合经济发展规划和部门年度工作计划，根据需要制定中长期实施规划。</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决策程序，是指项目是否符合申报条件，申报、批复程序是否符合相关管理办法，项目调整是否履行相应手续。</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项目符合申报条件，申报批复程序符合相关管理办法，项目调整履行相应手续。</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楷体简体"/>
          <w:szCs w:val="32"/>
          <w:lang w:eastAsia="zh-CN"/>
        </w:rPr>
      </w:pPr>
      <w:r>
        <w:rPr>
          <w:rFonts w:hint="eastAsia" w:ascii="宋体" w:hAnsi="宋体" w:eastAsia="方正楷体简体"/>
          <w:szCs w:val="32"/>
          <w:lang w:eastAsia="zh-CN"/>
        </w:rPr>
        <w:t>（二）项目过程情况</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1.资金管理</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资金使用，是指是否存在支出依据不合规、虚列项目支出的情况，是否存在截留、挤占、挪用项目资金情况，是否存在超标准开支情况。</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不存在支出依据不合规虚列项目支出的情况，不存在截留、挤占、挪用项目资金情况，不存在超标准开支情况。</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2.财务管理，是指资金管理、费用支出等制度是否健全，是否严格执行，会计核算是否合规。</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财务管理制度健全，严格执行各项财务制度,会计核算规范。</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3.组织实施</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组织机构，是指机构组织是否健全，分工是否明确。</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机构组织健全，分工明确。</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4.管理制度，是指是否建立建全项目管理制度；是否严格执行相关项目管理制度。</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r>
        <w:rPr>
          <w:rFonts w:hint="eastAsia" w:ascii="宋体" w:hAnsi="宋体" w:eastAsia="方正仿宋简体" w:cs="方正仿宋简体"/>
          <w:spacing w:val="10"/>
          <w:sz w:val="32"/>
          <w:szCs w:val="32"/>
          <w:lang w:val="en-US" w:eastAsia="zh-CN"/>
        </w:rPr>
        <w:t>管理制度完善，建立健全项目管理制度,严格执行相关项目管理制度.</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楷体简体"/>
          <w:szCs w:val="32"/>
          <w:lang w:eastAsia="zh-CN"/>
        </w:rPr>
      </w:pPr>
      <w:r>
        <w:rPr>
          <w:rFonts w:hint="eastAsia" w:ascii="宋体" w:hAnsi="宋体" w:eastAsia="方正楷体简体"/>
          <w:szCs w:val="32"/>
          <w:lang w:eastAsia="zh-CN"/>
        </w:rPr>
        <w:t>（三）项目产出情况</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rPr>
        <w:t>1</w:t>
      </w:r>
      <w:r>
        <w:rPr>
          <w:rFonts w:hint="eastAsia" w:ascii="宋体" w:hAnsi="宋体" w:eastAsia="方正仿宋简体" w:cs="方正仿宋简体"/>
          <w:spacing w:val="10"/>
          <w:sz w:val="32"/>
          <w:szCs w:val="32"/>
          <w:lang w:val="en-US" w:eastAsia="zh-CN"/>
        </w:rPr>
        <w:t>.</w:t>
      </w:r>
      <w:r>
        <w:rPr>
          <w:rFonts w:hint="eastAsia" w:ascii="宋体" w:hAnsi="宋体" w:eastAsia="方正仿宋简体" w:cs="方正仿宋简体"/>
          <w:spacing w:val="10"/>
          <w:sz w:val="32"/>
          <w:szCs w:val="32"/>
        </w:rPr>
        <w:t>数量指标</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rPr>
        <w:t>综合业务管理工作完成率，各项综合业务工作任务完成情况占各项综合业务工作任务的比例，达到优良水平。</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rPr>
        <w:t>2</w:t>
      </w:r>
      <w:r>
        <w:rPr>
          <w:rFonts w:hint="eastAsia" w:ascii="宋体" w:hAnsi="宋体" w:eastAsia="方正仿宋简体" w:cs="方正仿宋简体"/>
          <w:spacing w:val="10"/>
          <w:sz w:val="32"/>
          <w:szCs w:val="32"/>
          <w:lang w:val="en-US" w:eastAsia="zh-CN"/>
        </w:rPr>
        <w:t>.</w:t>
      </w:r>
      <w:r>
        <w:rPr>
          <w:rFonts w:hint="eastAsia" w:ascii="宋体" w:hAnsi="宋体" w:eastAsia="方正仿宋简体" w:cs="方正仿宋简体"/>
          <w:spacing w:val="10"/>
          <w:sz w:val="32"/>
          <w:szCs w:val="32"/>
        </w:rPr>
        <w:t>质量指标</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rPr>
        <w:t>全年工作任务达标率，全年工作任务达到预期质量目标情况，达到优良水平。</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rPr>
        <w:t>3</w:t>
      </w:r>
      <w:r>
        <w:rPr>
          <w:rFonts w:hint="eastAsia" w:ascii="宋体" w:hAnsi="宋体" w:eastAsia="方正仿宋简体" w:cs="方正仿宋简体"/>
          <w:spacing w:val="10"/>
          <w:sz w:val="32"/>
          <w:szCs w:val="32"/>
          <w:lang w:val="en-US" w:eastAsia="zh-CN"/>
        </w:rPr>
        <w:t>.</w:t>
      </w:r>
      <w:r>
        <w:rPr>
          <w:rFonts w:hint="eastAsia" w:ascii="宋体" w:hAnsi="宋体" w:eastAsia="方正仿宋简体" w:cs="方正仿宋简体"/>
          <w:spacing w:val="10"/>
          <w:sz w:val="32"/>
          <w:szCs w:val="32"/>
        </w:rPr>
        <w:t>时效指标</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rPr>
        <w:t>报销时效性，按照审批程序及时报销，达到优良水平。</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rPr>
        <w:t>4</w:t>
      </w:r>
      <w:r>
        <w:rPr>
          <w:rFonts w:hint="eastAsia" w:ascii="宋体" w:hAnsi="宋体" w:eastAsia="方正仿宋简体" w:cs="方正仿宋简体"/>
          <w:spacing w:val="10"/>
          <w:sz w:val="32"/>
          <w:szCs w:val="32"/>
          <w:lang w:val="en-US" w:eastAsia="zh-CN"/>
        </w:rPr>
        <w:t>.</w:t>
      </w:r>
      <w:r>
        <w:rPr>
          <w:rFonts w:hint="eastAsia" w:ascii="宋体" w:hAnsi="宋体" w:eastAsia="方正仿宋简体" w:cs="方正仿宋简体"/>
          <w:spacing w:val="10"/>
          <w:sz w:val="32"/>
          <w:szCs w:val="32"/>
        </w:rPr>
        <w:t>成本指标</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eastAsia="zh-CN"/>
        </w:rPr>
      </w:pPr>
      <w:r>
        <w:rPr>
          <w:rFonts w:hint="eastAsia" w:ascii="宋体" w:hAnsi="宋体" w:eastAsia="方正仿宋简体" w:cs="方正仿宋简体"/>
          <w:spacing w:val="10"/>
          <w:sz w:val="32"/>
          <w:szCs w:val="32"/>
        </w:rPr>
        <w:t>预算资金完成率，预算资金完成率达到财政部门要求，达到优良水平。</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楷体简体"/>
          <w:szCs w:val="32"/>
          <w:lang w:eastAsia="zh-CN"/>
        </w:rPr>
      </w:pPr>
      <w:r>
        <w:rPr>
          <w:rFonts w:hint="eastAsia" w:ascii="宋体" w:hAnsi="宋体" w:eastAsia="方正楷体简体"/>
          <w:szCs w:val="32"/>
          <w:lang w:eastAsia="zh-CN"/>
        </w:rPr>
        <w:t>（四）项目效益情况</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lang w:val="en-US" w:eastAsia="zh-CN"/>
        </w:rPr>
        <w:t>1.</w:t>
      </w:r>
      <w:r>
        <w:rPr>
          <w:rFonts w:hint="eastAsia" w:ascii="宋体" w:hAnsi="宋体" w:eastAsia="方正仿宋简体" w:cs="方正仿宋简体"/>
          <w:spacing w:val="10"/>
          <w:sz w:val="32"/>
          <w:szCs w:val="32"/>
        </w:rPr>
        <w:t>社会效益指标</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rPr>
        <w:t xml:space="preserve">业务保障率，有效保障相关业务、工作等开展的业务次数占总业务量的比率，达到优良水平。                         </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lang w:val="en-US" w:eastAsia="zh-CN"/>
        </w:rPr>
        <w:t>2.</w:t>
      </w:r>
      <w:r>
        <w:rPr>
          <w:rFonts w:hint="eastAsia" w:ascii="宋体" w:hAnsi="宋体" w:eastAsia="方正仿宋简体" w:cs="方正仿宋简体"/>
          <w:spacing w:val="10"/>
          <w:sz w:val="32"/>
          <w:szCs w:val="32"/>
        </w:rPr>
        <w:t>可持续影响指标</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rPr>
        <w:t>提高发改领域服务保障能力，有利于业务开展，提高服务保障能力，达到优良水平。</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lang w:val="en-US" w:eastAsia="zh-CN"/>
        </w:rPr>
        <w:t>3.</w:t>
      </w:r>
      <w:r>
        <w:rPr>
          <w:rFonts w:hint="eastAsia" w:ascii="宋体" w:hAnsi="宋体" w:eastAsia="方正仿宋简体" w:cs="方正仿宋简体"/>
          <w:spacing w:val="10"/>
          <w:sz w:val="32"/>
          <w:szCs w:val="32"/>
        </w:rPr>
        <w:t>经济效益指标</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rPr>
        <w:t>节约项目开支，践行厉行节约反对浪费制度体系建设，达到优良水平。</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lang w:val="en-US" w:eastAsia="zh-CN"/>
        </w:rPr>
        <w:t>4.</w:t>
      </w:r>
      <w:r>
        <w:rPr>
          <w:rFonts w:hint="eastAsia" w:ascii="宋体" w:hAnsi="宋体" w:eastAsia="方正仿宋简体" w:cs="方正仿宋简体"/>
          <w:spacing w:val="10"/>
          <w:sz w:val="32"/>
          <w:szCs w:val="32"/>
        </w:rPr>
        <w:t>生态效益指标</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rPr>
        <w:t>工作环境改善程度，对工作环境的改善程度，达到优良水平。</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spacing w:val="10"/>
          <w:sz w:val="32"/>
          <w:szCs w:val="32"/>
          <w:lang w:val="en-US" w:eastAsia="zh-CN"/>
        </w:rPr>
        <w:t>5.</w:t>
      </w:r>
      <w:r>
        <w:rPr>
          <w:rFonts w:hint="eastAsia" w:ascii="宋体" w:hAnsi="宋体" w:eastAsia="方正仿宋简体" w:cs="方正仿宋简体"/>
          <w:spacing w:val="10"/>
          <w:sz w:val="32"/>
          <w:szCs w:val="32"/>
        </w:rPr>
        <w:t>服务对象满意度指标</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eastAsia="zh-CN"/>
        </w:rPr>
      </w:pPr>
      <w:r>
        <w:rPr>
          <w:rFonts w:hint="eastAsia" w:ascii="宋体" w:hAnsi="宋体" w:eastAsia="方正仿宋简体" w:cs="方正仿宋简体"/>
          <w:spacing w:val="10"/>
          <w:sz w:val="32"/>
          <w:szCs w:val="32"/>
        </w:rPr>
        <w:t>受益群体满意度，受益群体调查中，满意和较满意的人数占全部调查人数的比率，达到优良水平。</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黑体简体" w:cs="方正黑体简体"/>
          <w:color w:val="333333"/>
          <w:kern w:val="0"/>
          <w:sz w:val="32"/>
          <w:szCs w:val="32"/>
        </w:rPr>
      </w:pPr>
      <w:r>
        <w:rPr>
          <w:rFonts w:hint="eastAsia" w:ascii="宋体" w:hAnsi="宋体" w:eastAsia="方正黑体简体" w:cs="方正黑体简体"/>
          <w:color w:val="333333"/>
          <w:kern w:val="0"/>
          <w:sz w:val="32"/>
          <w:szCs w:val="32"/>
        </w:rPr>
        <w:t>五、</w:t>
      </w:r>
      <w:r>
        <w:rPr>
          <w:rFonts w:hint="eastAsia" w:ascii="宋体" w:hAnsi="宋体" w:eastAsia="方正黑体简体" w:cs="方正黑体简体"/>
          <w:color w:val="333333"/>
          <w:kern w:val="0"/>
          <w:sz w:val="32"/>
          <w:szCs w:val="32"/>
          <w:lang w:eastAsia="zh-CN"/>
        </w:rPr>
        <w:t>主要经验及做法</w:t>
      </w:r>
      <w:r>
        <w:rPr>
          <w:rFonts w:hint="eastAsia" w:ascii="宋体" w:hAnsi="宋体" w:eastAsia="方正黑体简体" w:cs="方正黑体简体"/>
          <w:color w:val="333333"/>
          <w:kern w:val="0"/>
          <w:sz w:val="32"/>
          <w:szCs w:val="32"/>
        </w:rPr>
        <w:t>存在的问题及原因分析</w:t>
      </w:r>
    </w:p>
    <w:p>
      <w:pPr>
        <w:keepNext w:val="0"/>
        <w:keepLines w:val="0"/>
        <w:pageBreakBefore w:val="0"/>
        <w:kinsoku/>
        <w:wordWrap/>
        <w:overflowPunct/>
        <w:topLinePunct w:val="0"/>
        <w:autoSpaceDE/>
        <w:autoSpaceDN/>
        <w:bidi w:val="0"/>
        <w:spacing w:line="570" w:lineRule="exact"/>
        <w:ind w:firstLine="537" w:firstLineChars="192"/>
        <w:textAlignment w:val="auto"/>
        <w:rPr>
          <w:rFonts w:hint="eastAsia" w:ascii="宋体" w:hAnsi="宋体" w:eastAsia="方正仿宋简体"/>
          <w:bCs/>
          <w:szCs w:val="32"/>
        </w:rPr>
      </w:pPr>
      <w:r>
        <w:rPr>
          <w:rFonts w:hint="eastAsia" w:ascii="宋体" w:hAnsi="宋体" w:eastAsia="方正仿宋简体" w:cs="宋体"/>
          <w:color w:val="333333"/>
          <w:kern w:val="0"/>
          <w:sz w:val="28"/>
          <w:szCs w:val="28"/>
        </w:rPr>
        <w:t xml:space="preserve"> </w:t>
      </w:r>
      <w:r>
        <w:rPr>
          <w:rFonts w:hint="eastAsia" w:ascii="宋体" w:hAnsi="宋体" w:eastAsia="方正仿宋简体"/>
          <w:bCs/>
          <w:szCs w:val="32"/>
        </w:rPr>
        <w:t>认真贯彻落实绩效管理办法，把预算绩效管理纳入整体工作，把财政项目支出绩效自评工作列入重要议事日程，做实做好。</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仿宋简体" w:cs="方正仿宋简体"/>
          <w:spacing w:val="10"/>
          <w:sz w:val="32"/>
          <w:szCs w:val="32"/>
        </w:rPr>
      </w:pPr>
      <w:r>
        <w:rPr>
          <w:rFonts w:hint="eastAsia" w:ascii="宋体" w:hAnsi="宋体" w:eastAsia="方正黑体简体" w:cs="方正黑体简体"/>
          <w:color w:val="333333"/>
          <w:kern w:val="0"/>
          <w:sz w:val="32"/>
          <w:szCs w:val="32"/>
        </w:rPr>
        <w:t>六、有关建议</w:t>
      </w:r>
    </w:p>
    <w:p>
      <w:pPr>
        <w:keepNext w:val="0"/>
        <w:keepLines w:val="0"/>
        <w:pageBreakBefore w:val="0"/>
        <w:kinsoku/>
        <w:wordWrap/>
        <w:overflowPunct/>
        <w:topLinePunct w:val="0"/>
        <w:autoSpaceDE/>
        <w:autoSpaceDN/>
        <w:bidi w:val="0"/>
        <w:spacing w:line="570" w:lineRule="exact"/>
        <w:ind w:firstLine="680" w:firstLineChars="200"/>
        <w:textAlignment w:val="auto"/>
        <w:rPr>
          <w:rFonts w:ascii="宋体" w:hAnsi="宋体" w:eastAsia="方正仿宋简体" w:cs="宋体"/>
          <w:color w:val="333333"/>
          <w:kern w:val="0"/>
          <w:sz w:val="28"/>
          <w:szCs w:val="28"/>
        </w:rPr>
      </w:pPr>
      <w:r>
        <w:rPr>
          <w:rFonts w:hint="eastAsia" w:ascii="宋体" w:hAnsi="宋体" w:eastAsia="方正仿宋简体" w:cs="方正仿宋简体"/>
          <w:spacing w:val="10"/>
          <w:sz w:val="32"/>
          <w:szCs w:val="32"/>
        </w:rPr>
        <w:t>无</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仿宋简体" w:cs="方正仿宋简体"/>
          <w:spacing w:val="10"/>
          <w:sz w:val="32"/>
          <w:szCs w:val="32"/>
        </w:rPr>
      </w:pPr>
      <w:r>
        <w:rPr>
          <w:rFonts w:hint="eastAsia" w:ascii="宋体" w:hAnsi="宋体" w:eastAsia="方正黑体简体" w:cs="方正黑体简体"/>
          <w:color w:val="333333"/>
          <w:kern w:val="0"/>
          <w:sz w:val="32"/>
          <w:szCs w:val="32"/>
        </w:rPr>
        <w:t>七、其他需要说明的问题</w:t>
      </w: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宋体"/>
          <w:color w:val="333333"/>
          <w:kern w:val="0"/>
          <w:sz w:val="28"/>
          <w:szCs w:val="28"/>
        </w:rPr>
      </w:pPr>
      <w:r>
        <w:rPr>
          <w:rFonts w:hint="eastAsia" w:ascii="宋体" w:hAnsi="宋体" w:eastAsia="方正仿宋简体" w:cs="方正仿宋简体"/>
          <w:spacing w:val="10"/>
          <w:sz w:val="32"/>
          <w:szCs w:val="32"/>
        </w:rPr>
        <w:t>无</w:t>
      </w:r>
    </w:p>
    <w:p>
      <w:pPr>
        <w:keepNext w:val="0"/>
        <w:keepLines w:val="0"/>
        <w:pageBreakBefore w:val="0"/>
        <w:kinsoku/>
        <w:wordWrap/>
        <w:overflowPunct/>
        <w:topLinePunct w:val="0"/>
        <w:autoSpaceDE/>
        <w:autoSpaceDN/>
        <w:bidi w:val="0"/>
        <w:spacing w:line="570" w:lineRule="exact"/>
        <w:textAlignment w:val="auto"/>
        <w:rPr>
          <w:rFonts w:ascii="宋体" w:hAnsi="宋体"/>
        </w:rPr>
      </w:pPr>
    </w:p>
    <w:p>
      <w:pPr>
        <w:keepNext w:val="0"/>
        <w:keepLines w:val="0"/>
        <w:pageBreakBefore w:val="0"/>
        <w:kinsoku/>
        <w:wordWrap/>
        <w:overflowPunct/>
        <w:topLinePunct w:val="0"/>
        <w:autoSpaceDE/>
        <w:autoSpaceDN/>
        <w:bidi w:val="0"/>
        <w:spacing w:line="570" w:lineRule="exact"/>
        <w:textAlignment w:val="auto"/>
        <w:rPr>
          <w:rFonts w:ascii="宋体" w:hAnsi="宋体"/>
        </w:rPr>
      </w:pPr>
    </w:p>
    <w:p>
      <w:pPr>
        <w:keepNext w:val="0"/>
        <w:keepLines w:val="0"/>
        <w:pageBreakBefore w:val="0"/>
        <w:kinsoku/>
        <w:wordWrap/>
        <w:overflowPunct/>
        <w:topLinePunct w:val="0"/>
        <w:autoSpaceDE/>
        <w:autoSpaceDN/>
        <w:bidi w:val="0"/>
        <w:spacing w:line="570" w:lineRule="exact"/>
        <w:textAlignment w:val="auto"/>
        <w:rPr>
          <w:rFonts w:ascii="宋体" w:hAnsi="宋体"/>
        </w:rPr>
      </w:pPr>
    </w:p>
    <w:tbl>
      <w:tblPr>
        <w:tblStyle w:val="4"/>
        <w:tblW w:w="9825" w:type="dxa"/>
        <w:tblInd w:w="-669" w:type="dxa"/>
        <w:shd w:val="clear" w:color="auto" w:fill="auto"/>
        <w:tblLayout w:type="fixed"/>
        <w:tblCellMar>
          <w:top w:w="0" w:type="dxa"/>
          <w:left w:w="0" w:type="dxa"/>
          <w:bottom w:w="0" w:type="dxa"/>
          <w:right w:w="0" w:type="dxa"/>
        </w:tblCellMar>
      </w:tblPr>
      <w:tblGrid>
        <w:gridCol w:w="1111"/>
        <w:gridCol w:w="850"/>
        <w:gridCol w:w="1684"/>
        <w:gridCol w:w="120"/>
        <w:gridCol w:w="1161"/>
        <w:gridCol w:w="550"/>
        <w:gridCol w:w="1107"/>
        <w:gridCol w:w="1127"/>
        <w:gridCol w:w="464"/>
        <w:gridCol w:w="170"/>
        <w:gridCol w:w="602"/>
        <w:gridCol w:w="245"/>
        <w:gridCol w:w="634"/>
      </w:tblGrid>
      <w:tr>
        <w:tblPrEx>
          <w:shd w:val="clear" w:color="auto" w:fill="auto"/>
          <w:tblCellMar>
            <w:top w:w="0" w:type="dxa"/>
            <w:left w:w="0" w:type="dxa"/>
            <w:bottom w:w="0" w:type="dxa"/>
            <w:right w:w="0" w:type="dxa"/>
          </w:tblCellMar>
        </w:tblPrEx>
        <w:trPr>
          <w:trHeight w:val="439" w:hRule="atLeast"/>
        </w:trPr>
        <w:tc>
          <w:tcPr>
            <w:tcW w:w="9825" w:type="dxa"/>
            <w:gridSpan w:val="13"/>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2022年度项目支出绩效自评表</w:t>
            </w:r>
          </w:p>
        </w:tc>
      </w:tr>
      <w:tr>
        <w:tblPrEx>
          <w:shd w:val="clear" w:color="auto" w:fill="auto"/>
          <w:tblCellMar>
            <w:top w:w="0" w:type="dxa"/>
            <w:left w:w="0" w:type="dxa"/>
            <w:bottom w:w="0" w:type="dxa"/>
            <w:right w:w="0" w:type="dxa"/>
          </w:tblCellMar>
        </w:tblPrEx>
        <w:trPr>
          <w:trHeight w:val="499" w:hRule="atLeast"/>
        </w:trPr>
        <w:tc>
          <w:tcPr>
            <w:tcW w:w="9825"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shd w:val="clear" w:color="auto" w:fill="auto"/>
          <w:tblCellMar>
            <w:top w:w="0" w:type="dxa"/>
            <w:left w:w="0" w:type="dxa"/>
            <w:bottom w:w="0" w:type="dxa"/>
            <w:right w:w="0" w:type="dxa"/>
          </w:tblCellMar>
        </w:tblPrEx>
        <w:trPr>
          <w:trHeight w:val="312" w:hRule="atLeast"/>
        </w:trPr>
        <w:tc>
          <w:tcPr>
            <w:tcW w:w="9825"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shd w:val="clear" w:color="auto" w:fill="auto"/>
          <w:tblCellMar>
            <w:top w:w="0" w:type="dxa"/>
            <w:left w:w="0" w:type="dxa"/>
            <w:bottom w:w="0" w:type="dxa"/>
            <w:right w:w="0" w:type="dxa"/>
          </w:tblCellMar>
        </w:tblPrEx>
        <w:trPr>
          <w:trHeight w:val="499" w:hRule="atLeast"/>
        </w:trPr>
        <w:tc>
          <w:tcPr>
            <w:tcW w:w="9825" w:type="dxa"/>
            <w:gridSpan w:val="13"/>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金额：万元</w:t>
            </w:r>
          </w:p>
        </w:tc>
      </w:tr>
      <w:tr>
        <w:tblPrEx>
          <w:shd w:val="clear" w:color="auto" w:fill="auto"/>
          <w:tblCellMar>
            <w:top w:w="0" w:type="dxa"/>
            <w:left w:w="0" w:type="dxa"/>
            <w:bottom w:w="0" w:type="dxa"/>
            <w:right w:w="0" w:type="dxa"/>
          </w:tblCellMar>
        </w:tblPrEx>
        <w:trPr>
          <w:trHeight w:val="499" w:hRule="atLeast"/>
        </w:trPr>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8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2021年三四季度物业费</w:t>
            </w:r>
          </w:p>
        </w:tc>
      </w:tr>
      <w:tr>
        <w:tblPrEx>
          <w:shd w:val="clear" w:color="auto" w:fill="auto"/>
          <w:tblCellMar>
            <w:top w:w="0" w:type="dxa"/>
            <w:left w:w="0" w:type="dxa"/>
            <w:bottom w:w="0" w:type="dxa"/>
            <w:right w:w="0" w:type="dxa"/>
          </w:tblCellMar>
        </w:tblPrEx>
        <w:trPr>
          <w:trHeight w:val="414" w:hRule="atLeast"/>
        </w:trPr>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6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遵化市行政审批局</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遵化市行政审批局</w:t>
            </w:r>
          </w:p>
        </w:tc>
      </w:tr>
      <w:tr>
        <w:tblPrEx>
          <w:shd w:val="clear" w:color="auto" w:fill="auto"/>
          <w:tblCellMar>
            <w:top w:w="0" w:type="dxa"/>
            <w:left w:w="0" w:type="dxa"/>
            <w:bottom w:w="0" w:type="dxa"/>
            <w:right w:w="0" w:type="dxa"/>
          </w:tblCellMar>
        </w:tblPrEx>
        <w:trPr>
          <w:trHeight w:val="499" w:hRule="atLeast"/>
        </w:trPr>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CellMar>
            <w:top w:w="0" w:type="dxa"/>
            <w:left w:w="0" w:type="dxa"/>
            <w:bottom w:w="0" w:type="dxa"/>
            <w:right w:w="0" w:type="dxa"/>
          </w:tblCellMar>
        </w:tblPrEx>
        <w:trPr>
          <w:trHeight w:val="499" w:hRule="atLeast"/>
        </w:trPr>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CellMar>
            <w:top w:w="0" w:type="dxa"/>
            <w:left w:w="0" w:type="dxa"/>
            <w:bottom w:w="0" w:type="dxa"/>
            <w:right w:w="0" w:type="dxa"/>
          </w:tblCellMar>
        </w:tblPrEx>
        <w:trPr>
          <w:trHeight w:val="260" w:hRule="atLeast"/>
        </w:trPr>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24" w:hRule="atLeast"/>
        </w:trPr>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5" w:hRule="atLeast"/>
        </w:trPr>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09" w:hRule="atLeast"/>
        </w:trPr>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54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实际完成情况综述</w:t>
            </w:r>
          </w:p>
        </w:tc>
      </w:tr>
      <w:tr>
        <w:tblPrEx>
          <w:shd w:val="clear" w:color="auto" w:fill="auto"/>
          <w:tblCellMar>
            <w:top w:w="0" w:type="dxa"/>
            <w:left w:w="0" w:type="dxa"/>
            <w:bottom w:w="0" w:type="dxa"/>
            <w:right w:w="0" w:type="dxa"/>
          </w:tblCellMar>
        </w:tblPrEx>
        <w:trPr>
          <w:trHeight w:val="499"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实现暖心服务，打造最优质、最高效、最规范、最便捷的审批金牌保姆服务品牌</w:t>
            </w:r>
          </w:p>
        </w:tc>
        <w:tc>
          <w:tcPr>
            <w:tcW w:w="3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目标完成情况：目前已全部完成</w:t>
            </w:r>
          </w:p>
        </w:tc>
      </w:tr>
      <w:tr>
        <w:tblPrEx>
          <w:shd w:val="clear" w:color="auto" w:fill="auto"/>
          <w:tblCellMar>
            <w:top w:w="0" w:type="dxa"/>
            <w:left w:w="0" w:type="dxa"/>
            <w:bottom w:w="0" w:type="dxa"/>
            <w:right w:w="0" w:type="dxa"/>
          </w:tblCellMar>
        </w:tblPrEx>
        <w:trPr>
          <w:trHeight w:val="499" w:hRule="atLeast"/>
        </w:trPr>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8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7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8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rPr>
            </w:pPr>
            <w:r>
              <w:rPr>
                <w:rFonts w:hint="eastAsia" w:ascii="宋体" w:hAnsi="宋体" w:eastAsia="宋体" w:cs="宋体"/>
                <w:i w:val="0"/>
                <w:color w:val="000000"/>
                <w:kern w:val="0"/>
                <w:sz w:val="18"/>
                <w:szCs w:val="18"/>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486"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rPr>
            </w:pPr>
          </w:p>
        </w:tc>
      </w:tr>
      <w:tr>
        <w:tblPrEx>
          <w:shd w:val="clear" w:color="auto" w:fill="auto"/>
          <w:tblCellMar>
            <w:top w:w="0" w:type="dxa"/>
            <w:left w:w="0" w:type="dxa"/>
            <w:bottom w:w="0" w:type="dxa"/>
            <w:right w:w="0" w:type="dxa"/>
          </w:tblCellMar>
        </w:tblPrEx>
        <w:trPr>
          <w:trHeight w:val="499"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8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物业费面积</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4400平方米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4400平方米</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rPr>
            </w:pPr>
          </w:p>
        </w:tc>
      </w:tr>
      <w:tr>
        <w:tblPrEx>
          <w:shd w:val="clear" w:color="auto" w:fill="auto"/>
          <w:tblCellMar>
            <w:top w:w="0" w:type="dxa"/>
            <w:left w:w="0" w:type="dxa"/>
            <w:bottom w:w="0" w:type="dxa"/>
            <w:right w:w="0" w:type="dxa"/>
          </w:tblCellMar>
        </w:tblPrEx>
        <w:trPr>
          <w:trHeight w:val="499"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配套设施比率</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95%</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rPr>
            </w:pPr>
          </w:p>
        </w:tc>
      </w:tr>
      <w:tr>
        <w:tblPrEx>
          <w:shd w:val="clear" w:color="auto" w:fill="auto"/>
          <w:tblCellMar>
            <w:top w:w="0" w:type="dxa"/>
            <w:left w:w="0" w:type="dxa"/>
            <w:bottom w:w="0" w:type="dxa"/>
            <w:right w:w="0" w:type="dxa"/>
          </w:tblCellMar>
        </w:tblPrEx>
        <w:trPr>
          <w:trHeight w:val="499"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100%</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rPr>
            </w:pPr>
          </w:p>
        </w:tc>
      </w:tr>
      <w:tr>
        <w:tblPrEx>
          <w:shd w:val="clear" w:color="auto" w:fill="auto"/>
          <w:tblCellMar>
            <w:top w:w="0" w:type="dxa"/>
            <w:left w:w="0" w:type="dxa"/>
            <w:bottom w:w="0" w:type="dxa"/>
            <w:right w:w="0" w:type="dxa"/>
          </w:tblCellMar>
        </w:tblPrEx>
        <w:trPr>
          <w:trHeight w:val="499"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预算资金完成率</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100%</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rPr>
            </w:pPr>
          </w:p>
        </w:tc>
      </w:tr>
      <w:tr>
        <w:tblPrEx>
          <w:shd w:val="clear" w:color="auto" w:fill="auto"/>
          <w:tblCellMar>
            <w:top w:w="0" w:type="dxa"/>
            <w:left w:w="0" w:type="dxa"/>
            <w:bottom w:w="0" w:type="dxa"/>
            <w:right w:w="0" w:type="dxa"/>
          </w:tblCellMar>
        </w:tblPrEx>
        <w:trPr>
          <w:trHeight w:val="499"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房屋租赁面积</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4400平方米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4400平方米</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rPr>
            </w:pPr>
          </w:p>
        </w:tc>
      </w:tr>
      <w:tr>
        <w:tblPrEx>
          <w:shd w:val="clear" w:color="auto" w:fill="auto"/>
          <w:tblCellMar>
            <w:top w:w="0" w:type="dxa"/>
            <w:left w:w="0" w:type="dxa"/>
            <w:bottom w:w="0" w:type="dxa"/>
            <w:right w:w="0" w:type="dxa"/>
          </w:tblCellMar>
        </w:tblPrEx>
        <w:trPr>
          <w:trHeight w:val="499"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长期使用性</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95%</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rPr>
            </w:pPr>
          </w:p>
        </w:tc>
      </w:tr>
      <w:tr>
        <w:tblPrEx>
          <w:shd w:val="clear" w:color="auto" w:fill="auto"/>
          <w:tblCellMar>
            <w:top w:w="0" w:type="dxa"/>
            <w:left w:w="0" w:type="dxa"/>
            <w:bottom w:w="0" w:type="dxa"/>
            <w:right w:w="0" w:type="dxa"/>
          </w:tblCellMar>
        </w:tblPrEx>
        <w:trPr>
          <w:trHeight w:val="270"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业务保障率</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95%</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rPr>
            </w:pPr>
          </w:p>
        </w:tc>
      </w:tr>
      <w:tr>
        <w:tblPrEx>
          <w:tblCellMar>
            <w:top w:w="0" w:type="dxa"/>
            <w:left w:w="0" w:type="dxa"/>
            <w:bottom w:w="0" w:type="dxa"/>
            <w:right w:w="0" w:type="dxa"/>
          </w:tblCellMar>
        </w:tblPrEx>
        <w:trPr>
          <w:trHeight w:val="440"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95%</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rPr>
            </w:pPr>
          </w:p>
        </w:tc>
      </w:tr>
      <w:tr>
        <w:tblPrEx>
          <w:tblCellMar>
            <w:top w:w="0" w:type="dxa"/>
            <w:left w:w="0" w:type="dxa"/>
            <w:bottom w:w="0" w:type="dxa"/>
            <w:right w:w="0" w:type="dxa"/>
          </w:tblCellMar>
        </w:tblPrEx>
        <w:trPr>
          <w:trHeight w:val="440" w:hRule="atLeast"/>
        </w:trPr>
        <w:tc>
          <w:tcPr>
            <w:tcW w:w="771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rPr>
            </w:pPr>
          </w:p>
        </w:tc>
      </w:tr>
      <w:tr>
        <w:tblPrEx>
          <w:tblCellMar>
            <w:top w:w="0" w:type="dxa"/>
            <w:left w:w="0" w:type="dxa"/>
            <w:bottom w:w="0" w:type="dxa"/>
            <w:right w:w="0" w:type="dxa"/>
          </w:tblCellMar>
        </w:tblPrEx>
        <w:trPr>
          <w:trHeight w:val="440" w:hRule="atLeast"/>
        </w:trPr>
        <w:tc>
          <w:tcPr>
            <w:tcW w:w="771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100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rPr>
            </w:pPr>
          </w:p>
        </w:tc>
      </w:tr>
      <w:tr>
        <w:tblPrEx>
          <w:tblCellMar>
            <w:top w:w="0" w:type="dxa"/>
            <w:left w:w="0" w:type="dxa"/>
            <w:bottom w:w="0" w:type="dxa"/>
            <w:right w:w="0" w:type="dxa"/>
          </w:tblCellMar>
        </w:tblPrEx>
        <w:trPr>
          <w:trHeight w:val="285" w:hRule="atLeast"/>
        </w:trPr>
        <w:tc>
          <w:tcPr>
            <w:tcW w:w="9825"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注：其中预算执行率固定为10分，其中各项指标90分，总分100分。</w:t>
            </w:r>
          </w:p>
        </w:tc>
      </w:tr>
    </w:tbl>
    <w:p>
      <w:pPr>
        <w:keepNext w:val="0"/>
        <w:keepLines w:val="0"/>
        <w:pageBreakBefore w:val="0"/>
        <w:kinsoku/>
        <w:wordWrap/>
        <w:overflowPunct/>
        <w:topLinePunct w:val="0"/>
        <w:autoSpaceDE/>
        <w:autoSpaceDN/>
        <w:bidi w:val="0"/>
        <w:snapToGrid w:val="0"/>
        <w:spacing w:line="570" w:lineRule="exact"/>
        <w:ind w:left="810" w:firstLine="880" w:firstLineChars="200"/>
        <w:jc w:val="center"/>
        <w:textAlignment w:val="auto"/>
        <w:rPr>
          <w:rFonts w:hint="eastAsia" w:ascii="宋体" w:hAnsi="宋体"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570" w:lineRule="exact"/>
        <w:ind w:left="0" w:leftChars="0" w:hanging="9" w:firstLine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遵化市行政审批局</w:t>
      </w:r>
    </w:p>
    <w:p>
      <w:pPr>
        <w:keepNext w:val="0"/>
        <w:keepLines w:val="0"/>
        <w:pageBreakBefore w:val="0"/>
        <w:kinsoku/>
        <w:wordWrap/>
        <w:overflowPunct/>
        <w:topLinePunct w:val="0"/>
        <w:autoSpaceDE/>
        <w:autoSpaceDN/>
        <w:bidi w:val="0"/>
        <w:snapToGrid w:val="0"/>
        <w:spacing w:line="570" w:lineRule="exact"/>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lang w:val="en-US" w:eastAsia="zh-CN"/>
        </w:rPr>
        <w:t>2021年三四季度物业费项目</w:t>
      </w:r>
      <w:r>
        <w:rPr>
          <w:rFonts w:hint="eastAsia" w:ascii="宋体" w:hAnsi="宋体" w:eastAsia="方正小标宋简体" w:cs="方正小标宋简体"/>
          <w:sz w:val="44"/>
          <w:szCs w:val="44"/>
        </w:rPr>
        <w:t>自评报告</w:t>
      </w:r>
    </w:p>
    <w:p>
      <w:pPr>
        <w:keepNext w:val="0"/>
        <w:keepLines w:val="0"/>
        <w:pageBreakBefore w:val="0"/>
        <w:kinsoku/>
        <w:wordWrap/>
        <w:overflowPunct/>
        <w:topLinePunct w:val="0"/>
        <w:autoSpaceDE/>
        <w:autoSpaceDN/>
        <w:bidi w:val="0"/>
        <w:snapToGrid w:val="0"/>
        <w:spacing w:line="570" w:lineRule="exact"/>
        <w:jc w:val="center"/>
        <w:textAlignment w:val="auto"/>
        <w:rPr>
          <w:rFonts w:hint="eastAsia" w:ascii="宋体" w:hAnsi="宋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宋体" w:hAnsi="宋体" w:eastAsia="方正黑体简体" w:cs="方正黑体简体"/>
          <w:kern w:val="0"/>
          <w:sz w:val="32"/>
          <w:szCs w:val="32"/>
          <w:lang w:val="zh-CN"/>
        </w:rPr>
      </w:pPr>
      <w:r>
        <w:rPr>
          <w:rFonts w:hint="eastAsia" w:ascii="宋体" w:hAnsi="宋体" w:eastAsia="方正黑体简体" w:cs="方正黑体简体"/>
          <w:kern w:val="0"/>
          <w:sz w:val="32"/>
          <w:szCs w:val="32"/>
          <w:lang w:val="zh-CN"/>
        </w:rPr>
        <w:t>一、项目基本概况</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宋体" w:hAnsi="宋体" w:eastAsia="方正楷体简体" w:cs="方正楷体简体"/>
          <w:b w:val="0"/>
          <w:bCs w:val="0"/>
          <w:color w:val="333333"/>
          <w:kern w:val="0"/>
          <w:sz w:val="32"/>
          <w:szCs w:val="32"/>
        </w:rPr>
      </w:pPr>
      <w:r>
        <w:rPr>
          <w:rFonts w:hint="eastAsia" w:ascii="宋体" w:hAnsi="宋体" w:eastAsia="方正楷体简体" w:cs="方正楷体简体"/>
          <w:b w:val="0"/>
          <w:bCs w:val="0"/>
          <w:color w:val="333333"/>
          <w:kern w:val="0"/>
          <w:sz w:val="32"/>
          <w:szCs w:val="32"/>
        </w:rPr>
        <w:t>（一）项目基本情况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spacing w:val="10"/>
          <w:sz w:val="32"/>
          <w:szCs w:val="32"/>
        </w:rPr>
      </w:pPr>
      <w:r>
        <w:rPr>
          <w:rFonts w:hint="eastAsia" w:ascii="宋体" w:hAnsi="宋体" w:eastAsia="方正仿宋简体" w:cs="方正仿宋简体"/>
          <w:color w:val="333333"/>
          <w:kern w:val="0"/>
          <w:sz w:val="32"/>
          <w:szCs w:val="32"/>
          <w:lang w:eastAsia="zh-CN"/>
        </w:rPr>
        <w:t>我局</w:t>
      </w:r>
      <w:r>
        <w:rPr>
          <w:rFonts w:hint="eastAsia" w:ascii="宋体" w:hAnsi="宋体" w:eastAsia="方正仿宋简体" w:cs="方正仿宋简体"/>
          <w:color w:val="333333"/>
          <w:kern w:val="0"/>
          <w:sz w:val="32"/>
          <w:szCs w:val="32"/>
        </w:rPr>
        <w:t>位于华明南路华明嘉园西区底商，租赁面积4400平方米，根据房屋租赁合同，房屋租金为上交款，即每年的10月26日交本年度的租金。用于20</w:t>
      </w:r>
      <w:r>
        <w:rPr>
          <w:rFonts w:hint="eastAsia" w:ascii="宋体" w:hAnsi="宋体" w:eastAsia="方正仿宋简体" w:cs="方正仿宋简体"/>
          <w:color w:val="333333"/>
          <w:kern w:val="0"/>
          <w:sz w:val="32"/>
          <w:szCs w:val="32"/>
          <w:lang w:val="en-US" w:eastAsia="zh-CN"/>
        </w:rPr>
        <w:t>21</w:t>
      </w:r>
      <w:r>
        <w:rPr>
          <w:rFonts w:hint="eastAsia" w:ascii="宋体" w:hAnsi="宋体" w:eastAsia="方正仿宋简体" w:cs="方正仿宋简体"/>
          <w:color w:val="333333"/>
          <w:kern w:val="0"/>
          <w:sz w:val="32"/>
          <w:szCs w:val="32"/>
        </w:rPr>
        <w:t>年</w:t>
      </w:r>
      <w:r>
        <w:rPr>
          <w:rFonts w:hint="eastAsia" w:ascii="宋体" w:hAnsi="宋体" w:eastAsia="方正仿宋简体" w:cs="方正仿宋简体"/>
          <w:color w:val="333333"/>
          <w:kern w:val="0"/>
          <w:sz w:val="32"/>
          <w:szCs w:val="32"/>
          <w:lang w:val="en-US" w:eastAsia="zh-CN"/>
        </w:rPr>
        <w:t>10月-2022年10月</w:t>
      </w:r>
      <w:r>
        <w:rPr>
          <w:rFonts w:hint="eastAsia" w:ascii="宋体" w:hAnsi="宋体" w:eastAsia="方正仿宋简体" w:cs="方正仿宋简体"/>
          <w:color w:val="333333"/>
          <w:kern w:val="0"/>
          <w:sz w:val="32"/>
          <w:szCs w:val="32"/>
        </w:rPr>
        <w:t>审批局办公楼的物业管理。按合同内容要求，每季度支付一次物业管理费，每次提前10日支付，依据《物业服务收费管理办法》及物价局批准的收费标准，全年物业费合计19万元(按建筑面积4400平米X3.6元/平米/月X12个月）。</w:t>
      </w:r>
      <w:r>
        <w:rPr>
          <w:rFonts w:hint="eastAsia" w:ascii="宋体" w:hAnsi="宋体" w:eastAsia="方正仿宋简体" w:cs="方正仿宋简体"/>
          <w:color w:val="333333"/>
          <w:kern w:val="0"/>
          <w:sz w:val="32"/>
          <w:szCs w:val="32"/>
          <w:lang w:eastAsia="zh-CN"/>
        </w:rPr>
        <w:t>此项目为</w:t>
      </w:r>
      <w:r>
        <w:rPr>
          <w:rFonts w:hint="eastAsia" w:ascii="宋体" w:hAnsi="宋体" w:eastAsia="方正仿宋简体" w:cs="方正仿宋简体"/>
          <w:color w:val="333333"/>
          <w:kern w:val="0"/>
          <w:sz w:val="32"/>
          <w:szCs w:val="32"/>
          <w:lang w:val="en-US" w:eastAsia="zh-CN"/>
        </w:rPr>
        <w:t>2021年三四季度的物业费，9.5万元。2022年全年预算资金9.5万元。</w:t>
      </w:r>
      <w:r>
        <w:rPr>
          <w:rFonts w:hint="eastAsia" w:ascii="宋体" w:hAnsi="宋体" w:eastAsia="方正仿宋简体" w:cs="方正仿宋简体"/>
          <w:color w:val="333333"/>
          <w:kern w:val="0"/>
          <w:sz w:val="32"/>
          <w:szCs w:val="32"/>
        </w:rPr>
        <w:t>202</w:t>
      </w:r>
      <w:r>
        <w:rPr>
          <w:rFonts w:hint="eastAsia" w:ascii="宋体" w:hAnsi="宋体" w:eastAsia="方正仿宋简体" w:cs="方正仿宋简体"/>
          <w:color w:val="333333"/>
          <w:kern w:val="0"/>
          <w:sz w:val="32"/>
          <w:szCs w:val="32"/>
          <w:lang w:val="en-US" w:eastAsia="zh-CN"/>
        </w:rPr>
        <w:t>2</w:t>
      </w:r>
      <w:r>
        <w:rPr>
          <w:rFonts w:hint="eastAsia" w:ascii="宋体" w:hAnsi="宋体" w:eastAsia="方正仿宋简体" w:cs="方正仿宋简体"/>
          <w:color w:val="333333"/>
          <w:kern w:val="0"/>
          <w:sz w:val="32"/>
          <w:szCs w:val="32"/>
        </w:rPr>
        <w:t>年财政预算资金支出合计</w:t>
      </w:r>
      <w:r>
        <w:rPr>
          <w:rFonts w:hint="eastAsia" w:ascii="宋体" w:hAnsi="宋体" w:eastAsia="方正仿宋简体" w:cs="方正仿宋简体"/>
          <w:color w:val="333333"/>
          <w:kern w:val="0"/>
          <w:sz w:val="32"/>
          <w:szCs w:val="32"/>
          <w:lang w:val="en-US" w:eastAsia="zh-CN"/>
        </w:rPr>
        <w:t>9.5</w:t>
      </w:r>
      <w:r>
        <w:rPr>
          <w:rFonts w:hint="eastAsia" w:ascii="宋体" w:hAnsi="宋体" w:eastAsia="方正仿宋简体" w:cs="方正仿宋简体"/>
          <w:kern w:val="0"/>
          <w:sz w:val="32"/>
          <w:szCs w:val="32"/>
        </w:rPr>
        <w:t>万元</w:t>
      </w:r>
      <w:r>
        <w:rPr>
          <w:rFonts w:hint="eastAsia" w:ascii="宋体" w:hAnsi="宋体" w:eastAsia="方正仿宋简体" w:cs="方正仿宋简体"/>
          <w:spacing w:val="10"/>
          <w:sz w:val="32"/>
          <w:szCs w:val="32"/>
        </w:rPr>
        <w:t>。</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楷体简体" w:cs="方正楷体简体"/>
          <w:b w:val="0"/>
          <w:bCs w:val="0"/>
          <w:color w:val="333333"/>
          <w:kern w:val="0"/>
          <w:sz w:val="32"/>
          <w:szCs w:val="32"/>
          <w:lang w:eastAsia="zh-CN"/>
        </w:rPr>
      </w:pPr>
      <w:r>
        <w:rPr>
          <w:rFonts w:hint="eastAsia" w:ascii="宋体" w:hAnsi="宋体" w:eastAsia="方正楷体简体" w:cs="方正楷体简体"/>
          <w:b w:val="0"/>
          <w:bCs w:val="0"/>
          <w:color w:val="333333"/>
          <w:kern w:val="0"/>
          <w:sz w:val="32"/>
          <w:szCs w:val="32"/>
          <w:lang w:eastAsia="zh-CN"/>
        </w:rPr>
        <w:t>（二）项目绩效目标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总体目标：通过提高工作标准、优化审批流程、压缩审批时间，实现暖心服务，打造最优质、最高效、最规范、最便捷的“审批金牌保姆”服务品牌。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阶段性目标：按时高效、高质量完成业务。</w:t>
      </w:r>
    </w:p>
    <w:p>
      <w:pPr>
        <w:keepNext w:val="0"/>
        <w:keepLines w:val="0"/>
        <w:pageBreakBefore w:val="0"/>
        <w:kinsoku/>
        <w:wordWrap/>
        <w:overflowPunct/>
        <w:topLinePunct w:val="0"/>
        <w:autoSpaceDE/>
        <w:autoSpaceDN/>
        <w:bidi w:val="0"/>
        <w:spacing w:line="570" w:lineRule="exact"/>
        <w:ind w:right="-509" w:rightChars="-159" w:firstLine="640" w:firstLineChars="200"/>
        <w:textAlignment w:val="auto"/>
        <w:rPr>
          <w:rFonts w:hint="eastAsia" w:ascii="宋体" w:hAnsi="宋体" w:eastAsia="方正黑体简体" w:cs="方正黑体简体"/>
          <w:kern w:val="0"/>
          <w:sz w:val="32"/>
          <w:szCs w:val="32"/>
          <w:lang w:val="zh-CN"/>
        </w:rPr>
      </w:pPr>
      <w:r>
        <w:rPr>
          <w:rFonts w:hint="eastAsia" w:ascii="宋体" w:hAnsi="宋体" w:eastAsia="方正黑体简体" w:cs="方正黑体简体"/>
          <w:kern w:val="0"/>
          <w:sz w:val="32"/>
          <w:szCs w:val="32"/>
          <w:lang w:val="zh-CN"/>
        </w:rPr>
        <w:t>二、绩效评价工作开展情况</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楷体简体" w:cs="方正楷体简体"/>
          <w:b w:val="0"/>
          <w:bCs w:val="0"/>
          <w:color w:val="333333"/>
          <w:kern w:val="0"/>
          <w:sz w:val="32"/>
          <w:szCs w:val="32"/>
          <w:lang w:eastAsia="zh-CN"/>
        </w:rPr>
      </w:pPr>
      <w:r>
        <w:rPr>
          <w:rFonts w:hint="eastAsia" w:ascii="宋体" w:hAnsi="宋体" w:eastAsia="方正楷体简体" w:cs="方正楷体简体"/>
          <w:b w:val="0"/>
          <w:bCs w:val="0"/>
          <w:color w:val="333333"/>
          <w:kern w:val="0"/>
          <w:sz w:val="32"/>
          <w:szCs w:val="32"/>
          <w:lang w:eastAsia="zh-CN"/>
        </w:rPr>
        <w:t>（一）绩效评价目的、对象和范围</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绩效评价目的：提高审批办事效率、提高审批服务水平、提高人员专业素质、加强信息公开和宣传引导，充分发挥综合协调和后勤保障作用。以保障中心正常运转，提高审批效率。项目符合遵办字</w:t>
      </w:r>
      <w:r>
        <w:rPr>
          <w:rFonts w:hint="eastAsia" w:ascii="方正仿宋简体" w:hAnsi="方正仿宋简体" w:eastAsia="方正仿宋简体" w:cs="方正仿宋简体"/>
          <w:color w:val="333333"/>
          <w:kern w:val="0"/>
          <w:sz w:val="32"/>
          <w:szCs w:val="32"/>
          <w:lang w:eastAsia="zh-CN"/>
        </w:rPr>
        <w:t>〔</w:t>
      </w:r>
      <w:r>
        <w:rPr>
          <w:rFonts w:hint="eastAsia" w:ascii="宋体" w:hAnsi="宋体" w:eastAsia="方正仿宋简体" w:cs="方正仿宋简体"/>
          <w:color w:val="333333"/>
          <w:kern w:val="0"/>
          <w:sz w:val="32"/>
          <w:szCs w:val="32"/>
          <w:lang w:eastAsia="zh-CN"/>
        </w:rPr>
        <w:t>2017</w:t>
      </w:r>
      <w:r>
        <w:rPr>
          <w:rFonts w:hint="eastAsia" w:ascii="方正仿宋简体" w:hAnsi="方正仿宋简体" w:eastAsia="方正仿宋简体" w:cs="方正仿宋简体"/>
          <w:color w:val="333333"/>
          <w:kern w:val="0"/>
          <w:sz w:val="32"/>
          <w:szCs w:val="32"/>
          <w:lang w:eastAsia="zh-CN"/>
        </w:rPr>
        <w:t>〕</w:t>
      </w:r>
      <w:r>
        <w:rPr>
          <w:rFonts w:hint="eastAsia" w:ascii="宋体" w:hAnsi="宋体" w:eastAsia="方正仿宋简体" w:cs="方正仿宋简体"/>
          <w:color w:val="333333"/>
          <w:kern w:val="0"/>
          <w:sz w:val="32"/>
          <w:szCs w:val="32"/>
          <w:lang w:eastAsia="zh-CN"/>
        </w:rPr>
        <w:t>22号关于印发《遵化市行政审批局组建工作实施方案》的文件精神，以实现暖心服务，打造最优质、最高效、最规范、最便捷的审批金牌保姆”服务品牌。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绩效评价对象：2021-2022年租赁及物业费</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绩效评价范围：根据房屋租赁合同，房屋租金为上交款，即每年的10月26日交本年度的租金。此项物业费用于202</w:t>
      </w:r>
      <w:r>
        <w:rPr>
          <w:rFonts w:hint="eastAsia" w:ascii="宋体" w:hAnsi="宋体" w:eastAsia="方正仿宋简体" w:cs="方正仿宋简体"/>
          <w:color w:val="333333"/>
          <w:kern w:val="0"/>
          <w:sz w:val="32"/>
          <w:szCs w:val="32"/>
          <w:lang w:val="en-US" w:eastAsia="zh-CN"/>
        </w:rPr>
        <w:t>1</w:t>
      </w:r>
      <w:r>
        <w:rPr>
          <w:rFonts w:hint="eastAsia" w:ascii="宋体" w:hAnsi="宋体" w:eastAsia="方正仿宋简体" w:cs="方正仿宋简体"/>
          <w:color w:val="333333"/>
          <w:kern w:val="0"/>
          <w:sz w:val="32"/>
          <w:szCs w:val="32"/>
          <w:lang w:eastAsia="zh-CN"/>
        </w:rPr>
        <w:t>年三四季度审批局办公楼的物业管理。按合同内容要求，每季度支付一次物业管理费，每次提前10日支付，依据《物业服务收费管理办法》及物价局批准的收费标准，全年物业费合计19万元(按建筑面积4400平米X3.6元/平米/月X12个月），租赁面积4400平方米。</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楷体简体" w:cs="方正楷体简体"/>
          <w:b w:val="0"/>
          <w:bCs w:val="0"/>
          <w:color w:val="333333"/>
          <w:kern w:val="0"/>
          <w:sz w:val="32"/>
          <w:szCs w:val="32"/>
          <w:lang w:eastAsia="zh-CN"/>
        </w:rPr>
      </w:pPr>
      <w:r>
        <w:rPr>
          <w:rFonts w:hint="eastAsia" w:ascii="宋体" w:hAnsi="宋体" w:eastAsia="方正楷体简体" w:cs="方正楷体简体"/>
          <w:b w:val="0"/>
          <w:bCs w:val="0"/>
          <w:color w:val="333333"/>
          <w:kern w:val="0"/>
          <w:sz w:val="32"/>
          <w:szCs w:val="32"/>
          <w:lang w:eastAsia="zh-CN"/>
        </w:rPr>
        <w:t>（二）绩效评价原则、评价指标体系、评价方法及标准。</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val="en-US" w:eastAsia="zh-CN"/>
        </w:rPr>
        <w:t>1.</w:t>
      </w:r>
      <w:r>
        <w:rPr>
          <w:rFonts w:hint="eastAsia" w:ascii="宋体" w:hAnsi="宋体" w:eastAsia="方正仿宋简体" w:cs="方正仿宋简体"/>
          <w:color w:val="333333"/>
          <w:kern w:val="0"/>
          <w:sz w:val="32"/>
          <w:szCs w:val="32"/>
          <w:lang w:eastAsia="zh-CN"/>
        </w:rPr>
        <w:t>绩效评价原则：绩效评价工作遵循全面覆盖、程序简便、客观公正、公开透明的原则。</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val="en-US" w:eastAsia="zh-CN"/>
        </w:rPr>
        <w:t>2.</w:t>
      </w:r>
      <w:r>
        <w:rPr>
          <w:rFonts w:hint="eastAsia" w:ascii="宋体" w:hAnsi="宋体" w:eastAsia="方正仿宋简体" w:cs="方正仿宋简体"/>
          <w:color w:val="333333"/>
          <w:kern w:val="0"/>
          <w:sz w:val="32"/>
          <w:szCs w:val="32"/>
          <w:lang w:eastAsia="zh-CN"/>
        </w:rPr>
        <w:t>评价指标体系</w:t>
      </w:r>
    </w:p>
    <w:tbl>
      <w:tblPr>
        <w:tblStyle w:val="4"/>
        <w:tblW w:w="9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734"/>
        <w:gridCol w:w="1167"/>
        <w:gridCol w:w="2505"/>
        <w:gridCol w:w="2956"/>
        <w:gridCol w:w="576"/>
        <w:gridCol w:w="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38"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一级指标</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二级指标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三级指标</w:t>
            </w:r>
          </w:p>
        </w:tc>
        <w:tc>
          <w:tcPr>
            <w:tcW w:w="2505"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指标解释</w:t>
            </w:r>
          </w:p>
        </w:tc>
        <w:tc>
          <w:tcPr>
            <w:tcW w:w="295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评价标准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标准分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投入</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项目目标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目标内容</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目标是否明确、细化、量化</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目标明确（2分），目标细化（2分），目标量化（1分）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决策过程</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决策依据</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项目是否符合经济社会发展规划和部门年度工作计划；是否根据需要制定中长期实施规划</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项目符合经济社会发展规划和部门年度工作计划（5分），根据需要制定中长期实施规划（5分）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决策程序</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项目是否符合申报条件；申报、批复程序是否符合相关管理办法；项目调整是否履行相应手续</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项目符合申报条件（2分），申报、批复程序符合相关管理办法（2分），项目实施调整履行相应手续（1分）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jc w:val="center"/>
        </w:trPr>
        <w:tc>
          <w:tcPr>
            <w:tcW w:w="738"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过程</w:t>
            </w: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资金管理</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资金使用</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是否存在支出依据不合规、虚列项目支出的情况；是否存在截留、挤占、挪用项目资金情况；是否存在超标准开支情况</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虚列（套取）扣4分，支出依据不合规扣1分，截留、挤占、挪用扣2分，超标准开支扣1分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财务管理</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资金管理、费用支出等制度是否健全，是否严格执行；会计核算是否规范</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财务制度健全（2分），严格执行制度（1分），会计核算规范（1分）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restart"/>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组织实施</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组织机构</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机构是否健全、分工是否明确</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机构健全、分工明确（4分）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vMerge w:val="continue"/>
            <w:noWrap/>
            <w:vAlign w:val="center"/>
          </w:tcPr>
          <w:p>
            <w:pPr>
              <w:widowControl/>
              <w:spacing w:line="240" w:lineRule="exact"/>
              <w:jc w:val="left"/>
              <w:rPr>
                <w:rFonts w:ascii="宋体" w:hAnsi="宋体" w:eastAsia="方正仿宋简体"/>
                <w:kern w:val="0"/>
                <w:sz w:val="21"/>
                <w:szCs w:val="21"/>
              </w:rPr>
            </w:pP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管理制度</w:t>
            </w:r>
          </w:p>
        </w:tc>
        <w:tc>
          <w:tcPr>
            <w:tcW w:w="2505"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是否建立健全项目管理制度；是否严格执行相关项目管理制度</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建立健全项目管理制度（2分）；严格执行相关项目管理制度(1分）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738" w:type="dxa"/>
            <w:vMerge w:val="restart"/>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产出</w:t>
            </w: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数量指标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综合业务管理工作完成率</w:t>
            </w:r>
          </w:p>
        </w:tc>
        <w:tc>
          <w:tcPr>
            <w:tcW w:w="2505" w:type="dxa"/>
            <w:noWrap/>
            <w:vAlign w:val="center"/>
          </w:tcPr>
          <w:p>
            <w:pPr>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各项综合业务工作任务完成情况占各项综合业务工作任务的比例</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完成100%得10分，完成90%以上得8分，完成70%以上得6分，完成70%以下得4分。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质量指标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全年工作任务达标率</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全年工作任务达到预期质量目标情况</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完成100%得10分，完成80%以上得8分，完成80%以上得6分，完成80%以下得4分。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时效指标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报销时效性</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按照审批程序及时报销</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738" w:type="dxa"/>
            <w:vMerge w:val="continue"/>
            <w:shd w:val="clear" w:color="auto" w:fill="auto"/>
            <w:noWrap/>
            <w:vAlign w:val="center"/>
          </w:tcPr>
          <w:p>
            <w:pPr>
              <w:widowControl/>
              <w:spacing w:line="240" w:lineRule="exact"/>
              <w:jc w:val="left"/>
              <w:rPr>
                <w:rFonts w:ascii="宋体" w:hAnsi="宋体" w:eastAsia="方正仿宋简体"/>
                <w:kern w:val="0"/>
                <w:sz w:val="21"/>
                <w:szCs w:val="21"/>
              </w:rPr>
            </w:pPr>
          </w:p>
        </w:tc>
        <w:tc>
          <w:tcPr>
            <w:tcW w:w="734" w:type="dxa"/>
            <w:shd w:val="clear" w:color="auto" w:fill="auto"/>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成本指标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预算资金完成率</w:t>
            </w:r>
          </w:p>
        </w:tc>
        <w:tc>
          <w:tcPr>
            <w:tcW w:w="2956"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完成100%得10分，完成90%以上得8分，完成80%以上得6分，完成80%以下得4分。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738" w:type="dxa"/>
            <w:vMerge w:val="restart"/>
            <w:noWrap/>
            <w:vAlign w:val="center"/>
          </w:tcPr>
          <w:p>
            <w:pPr>
              <w:widowControl/>
              <w:spacing w:line="240" w:lineRule="exact"/>
              <w:rPr>
                <w:rFonts w:ascii="宋体" w:hAnsi="宋体" w:eastAsia="方正仿宋简体"/>
                <w:kern w:val="0"/>
                <w:sz w:val="21"/>
                <w:szCs w:val="21"/>
              </w:rPr>
            </w:pPr>
          </w:p>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效果</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可持续影响指标</w:t>
            </w:r>
          </w:p>
        </w:tc>
        <w:tc>
          <w:tcPr>
            <w:tcW w:w="1167" w:type="dxa"/>
            <w:noWrap/>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提高发改领域服务保障能力</w:t>
            </w:r>
          </w:p>
        </w:tc>
        <w:tc>
          <w:tcPr>
            <w:tcW w:w="2505" w:type="dxa"/>
            <w:noWrap/>
          </w:tcPr>
          <w:p>
            <w:pPr>
              <w:spacing w:line="240" w:lineRule="exact"/>
              <w:rPr>
                <w:rFonts w:ascii="宋体" w:hAnsi="宋体" w:eastAsia="方正仿宋简体"/>
                <w:kern w:val="0"/>
                <w:sz w:val="21"/>
                <w:szCs w:val="21"/>
              </w:rPr>
            </w:pPr>
          </w:p>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有利于业务开展，提高服务保障能力</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经济效益指标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节约项目开支</w:t>
            </w:r>
          </w:p>
        </w:tc>
        <w:tc>
          <w:tcPr>
            <w:tcW w:w="2505"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践行厉行节约反对浪费制度体系建设</w:t>
            </w:r>
          </w:p>
          <w:p>
            <w:pPr>
              <w:widowControl/>
              <w:spacing w:line="240" w:lineRule="exact"/>
              <w:rPr>
                <w:rFonts w:ascii="宋体" w:hAnsi="宋体" w:eastAsia="方正仿宋简体"/>
                <w:kern w:val="0"/>
                <w:sz w:val="21"/>
                <w:szCs w:val="21"/>
              </w:rPr>
            </w:pPr>
          </w:p>
        </w:tc>
        <w:tc>
          <w:tcPr>
            <w:tcW w:w="2956"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社会效益指标</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业务保障率</w:t>
            </w:r>
          </w:p>
        </w:tc>
        <w:tc>
          <w:tcPr>
            <w:tcW w:w="2505" w:type="dxa"/>
            <w:noWrap/>
            <w:vAlign w:val="bottom"/>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有效保障相关业务、工作等开展的业务次数占总业务量的比率</w:t>
            </w:r>
          </w:p>
          <w:p>
            <w:pPr>
              <w:widowControl/>
              <w:spacing w:line="240" w:lineRule="exact"/>
              <w:rPr>
                <w:rFonts w:ascii="宋体" w:hAnsi="宋体" w:eastAsia="方正仿宋简体"/>
                <w:kern w:val="0"/>
                <w:sz w:val="21"/>
                <w:szCs w:val="21"/>
              </w:rPr>
            </w:pPr>
          </w:p>
        </w:tc>
        <w:tc>
          <w:tcPr>
            <w:tcW w:w="2956" w:type="dxa"/>
            <w:noWrap/>
            <w:vAlign w:val="center"/>
          </w:tcPr>
          <w:p>
            <w:pPr>
              <w:widowControl/>
              <w:spacing w:line="240" w:lineRule="exac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生态效益指标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工作环境改善程度</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对工作环境的改善程度</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jc w:val="center"/>
        </w:trPr>
        <w:tc>
          <w:tcPr>
            <w:tcW w:w="738" w:type="dxa"/>
            <w:vMerge w:val="continue"/>
            <w:noWrap/>
            <w:vAlign w:val="center"/>
          </w:tcPr>
          <w:p>
            <w:pPr>
              <w:widowControl/>
              <w:spacing w:line="240" w:lineRule="exact"/>
              <w:jc w:val="left"/>
              <w:rPr>
                <w:rFonts w:ascii="宋体" w:hAnsi="宋体" w:eastAsia="方正仿宋简体"/>
                <w:kern w:val="0"/>
                <w:sz w:val="21"/>
                <w:szCs w:val="21"/>
              </w:rPr>
            </w:pPr>
          </w:p>
        </w:tc>
        <w:tc>
          <w:tcPr>
            <w:tcW w:w="734" w:type="dxa"/>
            <w:noWrap/>
            <w:vAlign w:val="center"/>
          </w:tcPr>
          <w:p>
            <w:pPr>
              <w:widowControl/>
              <w:spacing w:line="240" w:lineRule="exact"/>
              <w:jc w:val="center"/>
              <w:rPr>
                <w:rFonts w:ascii="宋体" w:hAnsi="宋体" w:eastAsia="方正仿宋简体"/>
                <w:kern w:val="0"/>
                <w:sz w:val="18"/>
                <w:szCs w:val="18"/>
              </w:rPr>
            </w:pPr>
            <w:r>
              <w:rPr>
                <w:rFonts w:hint="eastAsia" w:ascii="宋体" w:hAnsi="宋体" w:eastAsia="方正仿宋简体"/>
                <w:kern w:val="0"/>
                <w:sz w:val="18"/>
                <w:szCs w:val="18"/>
              </w:rPr>
              <w:t>服务对象满意度指标</w:t>
            </w:r>
          </w:p>
        </w:tc>
        <w:tc>
          <w:tcPr>
            <w:tcW w:w="1167" w:type="dxa"/>
            <w:noWrap/>
            <w:vAlign w:val="center"/>
          </w:tcPr>
          <w:p>
            <w:pPr>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受益群体满意度</w:t>
            </w:r>
          </w:p>
        </w:tc>
        <w:tc>
          <w:tcPr>
            <w:tcW w:w="2505" w:type="dxa"/>
            <w:noWrap/>
            <w:vAlign w:val="center"/>
          </w:tcPr>
          <w:p>
            <w:pPr>
              <w:spacing w:line="240" w:lineRule="exact"/>
              <w:rPr>
                <w:rFonts w:ascii="宋体" w:hAnsi="宋体" w:eastAsia="方正仿宋简体"/>
                <w:kern w:val="0"/>
                <w:sz w:val="21"/>
                <w:szCs w:val="21"/>
              </w:rPr>
            </w:pPr>
            <w:r>
              <w:rPr>
                <w:rFonts w:hint="eastAsia" w:ascii="宋体" w:hAnsi="宋体" w:eastAsia="方正仿宋简体"/>
                <w:kern w:val="0"/>
                <w:sz w:val="21"/>
                <w:szCs w:val="21"/>
              </w:rPr>
              <w:t>受益群体调查中，满意和较满意的人数占全部调查人数的比率</w:t>
            </w:r>
          </w:p>
        </w:tc>
        <w:tc>
          <w:tcPr>
            <w:tcW w:w="2956"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完成100%得6分，完成90%以上得5分，完成80%以上得4分，完成80%以下得3分。</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38" w:type="dxa"/>
            <w:noWrap/>
            <w:vAlign w:val="center"/>
          </w:tcPr>
          <w:p>
            <w:pPr>
              <w:widowControl/>
              <w:spacing w:line="240" w:lineRule="exact"/>
              <w:jc w:val="left"/>
              <w:rPr>
                <w:rFonts w:ascii="宋体" w:hAnsi="宋体" w:eastAsia="方正仿宋简体"/>
                <w:kern w:val="0"/>
                <w:sz w:val="21"/>
                <w:szCs w:val="21"/>
              </w:rPr>
            </w:pPr>
            <w:r>
              <w:rPr>
                <w:rFonts w:hint="eastAsia" w:ascii="宋体" w:hAnsi="宋体" w:eastAsia="方正仿宋简体"/>
                <w:kern w:val="0"/>
                <w:sz w:val="21"/>
                <w:szCs w:val="21"/>
              </w:rPr>
              <w:t>总分</w:t>
            </w:r>
          </w:p>
        </w:tc>
        <w:tc>
          <w:tcPr>
            <w:tcW w:w="734"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1167"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2505"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295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　</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c>
          <w:tcPr>
            <w:tcW w:w="576" w:type="dxa"/>
            <w:noWrap/>
            <w:vAlign w:val="center"/>
          </w:tcPr>
          <w:p>
            <w:pPr>
              <w:widowControl/>
              <w:spacing w:line="240" w:lineRule="exact"/>
              <w:jc w:val="center"/>
              <w:rPr>
                <w:rFonts w:ascii="宋体" w:hAnsi="宋体" w:eastAsia="方正仿宋简体"/>
                <w:kern w:val="0"/>
                <w:sz w:val="21"/>
                <w:szCs w:val="21"/>
              </w:rPr>
            </w:pPr>
            <w:r>
              <w:rPr>
                <w:rFonts w:hint="eastAsia" w:ascii="宋体" w:hAnsi="宋体" w:eastAsia="方正仿宋简体"/>
                <w:kern w:val="0"/>
                <w:sz w:val="21"/>
                <w:szCs w:val="21"/>
              </w:rPr>
              <w:t>100</w:t>
            </w:r>
          </w:p>
        </w:tc>
      </w:tr>
    </w:tbl>
    <w:p>
      <w:pPr>
        <w:keepNext w:val="0"/>
        <w:keepLines w:val="0"/>
        <w:pageBreakBefore w:val="0"/>
        <w:kinsoku/>
        <w:wordWrap/>
        <w:overflowPunct/>
        <w:topLinePunct w:val="0"/>
        <w:autoSpaceDE/>
        <w:autoSpaceDN/>
        <w:bidi w:val="0"/>
        <w:spacing w:line="570" w:lineRule="exact"/>
        <w:ind w:firstLine="560" w:firstLineChars="200"/>
        <w:textAlignment w:val="auto"/>
        <w:rPr>
          <w:rFonts w:hint="eastAsia" w:ascii="宋体" w:hAnsi="宋体" w:eastAsia="方正仿宋简体" w:cs="宋体"/>
          <w:color w:val="333333"/>
          <w:kern w:val="0"/>
          <w:sz w:val="28"/>
          <w:szCs w:val="28"/>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val="en-US" w:eastAsia="zh-CN"/>
        </w:rPr>
        <w:t>3.</w:t>
      </w:r>
      <w:r>
        <w:rPr>
          <w:rFonts w:hint="eastAsia" w:ascii="宋体" w:hAnsi="宋体" w:eastAsia="方正仿宋简体" w:cs="方正仿宋简体"/>
          <w:color w:val="333333"/>
          <w:kern w:val="0"/>
          <w:sz w:val="32"/>
          <w:szCs w:val="32"/>
          <w:lang w:eastAsia="zh-CN"/>
        </w:rPr>
        <w:t>绩效评价方法：采用实地检查、实际操作等多种评价方法相结合的综合评价。</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4.评价标准：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绩效评价人员查看了相关项目资料，了解资金拨付、使用情况及管理工作。</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1.对此项目收集相关资料。</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2.实地调研并了解项目实际运行情况。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3.根据调研结果和收集资料进行综合分析，综合评定绩效等级，科学撰写评价报告。</w:t>
      </w:r>
    </w:p>
    <w:p>
      <w:pPr>
        <w:keepNext w:val="0"/>
        <w:keepLines w:val="0"/>
        <w:pageBreakBefore w:val="0"/>
        <w:kinsoku/>
        <w:wordWrap/>
        <w:overflowPunct/>
        <w:topLinePunct w:val="0"/>
        <w:autoSpaceDE/>
        <w:autoSpaceDN/>
        <w:bidi w:val="0"/>
        <w:spacing w:line="570" w:lineRule="exact"/>
        <w:ind w:right="-509" w:rightChars="-159" w:firstLine="640" w:firstLineChars="200"/>
        <w:textAlignment w:val="auto"/>
        <w:rPr>
          <w:rFonts w:hint="eastAsia" w:ascii="宋体" w:hAnsi="宋体" w:eastAsia="方正黑体简体" w:cs="方正黑体简体"/>
          <w:kern w:val="0"/>
          <w:sz w:val="32"/>
          <w:szCs w:val="32"/>
          <w:lang w:val="zh-CN"/>
        </w:rPr>
      </w:pPr>
      <w:r>
        <w:rPr>
          <w:rFonts w:hint="eastAsia" w:ascii="宋体" w:hAnsi="宋体" w:eastAsia="方正黑体简体" w:cs="方正黑体简体"/>
          <w:kern w:val="0"/>
          <w:sz w:val="32"/>
          <w:szCs w:val="32"/>
          <w:lang w:val="zh-CN" w:eastAsia="zh-CN"/>
        </w:rPr>
        <w:t>三、</w:t>
      </w:r>
      <w:r>
        <w:rPr>
          <w:rFonts w:hint="eastAsia" w:ascii="宋体" w:hAnsi="宋体" w:eastAsia="方正黑体简体" w:cs="方正黑体简体"/>
          <w:kern w:val="0"/>
          <w:sz w:val="32"/>
          <w:szCs w:val="32"/>
          <w:lang w:val="zh-CN"/>
        </w:rPr>
        <w:t>综合评价情况及评价结论</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在市委、市政府的坚强领导下，充分发挥综合协调和后勤保障作用，以保障我局正常业务运转，提高审批效率。实现暖心服务，打造最优质、最高效、最规范、最便捷的审批金牌保姆”服务品牌。</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bookmarkStart w:id="0" w:name="_GoBack"/>
      <w:r>
        <w:rPr>
          <w:rFonts w:hint="eastAsia" w:ascii="宋体" w:hAnsi="宋体" w:eastAsia="方正仿宋简体" w:cs="方正仿宋简体"/>
          <w:color w:val="333333"/>
          <w:kern w:val="0"/>
          <w:sz w:val="32"/>
          <w:szCs w:val="32"/>
          <w:lang w:val="en-US" w:eastAsia="zh-CN"/>
        </w:rPr>
        <w:t>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val="en-US" w:eastAsia="zh-CN"/>
        </w:rPr>
      </w:pPr>
      <w:r>
        <w:rPr>
          <w:rFonts w:hint="eastAsia" w:ascii="宋体" w:hAnsi="宋体" w:eastAsia="方正仿宋简体" w:cs="方正仿宋简体"/>
          <w:color w:val="333333"/>
          <w:kern w:val="0"/>
          <w:sz w:val="32"/>
          <w:szCs w:val="32"/>
          <w:lang w:val="en-US" w:eastAsia="zh-CN"/>
        </w:rPr>
        <w:t>评价结论：综合评分项目绩效指标得分为100分，绩效评分为优秀。</w:t>
      </w:r>
      <w:bookmarkEnd w:id="0"/>
    </w:p>
    <w:p>
      <w:pPr>
        <w:keepNext w:val="0"/>
        <w:keepLines w:val="0"/>
        <w:pageBreakBefore w:val="0"/>
        <w:kinsoku/>
        <w:wordWrap/>
        <w:overflowPunct/>
        <w:topLinePunct w:val="0"/>
        <w:autoSpaceDE/>
        <w:autoSpaceDN/>
        <w:bidi w:val="0"/>
        <w:spacing w:line="570" w:lineRule="exact"/>
        <w:ind w:right="-509" w:rightChars="-159" w:firstLine="640" w:firstLineChars="200"/>
        <w:textAlignment w:val="auto"/>
        <w:rPr>
          <w:rFonts w:hint="eastAsia" w:ascii="宋体" w:hAnsi="宋体" w:eastAsia="方正黑体简体" w:cs="方正黑体简体"/>
          <w:kern w:val="0"/>
          <w:sz w:val="32"/>
          <w:szCs w:val="32"/>
          <w:lang w:val="zh-CN" w:eastAsia="zh-CN"/>
        </w:rPr>
      </w:pPr>
      <w:r>
        <w:rPr>
          <w:rFonts w:hint="eastAsia" w:ascii="宋体" w:hAnsi="宋体" w:eastAsia="方正黑体简体" w:cs="方正黑体简体"/>
          <w:kern w:val="0"/>
          <w:sz w:val="32"/>
          <w:szCs w:val="32"/>
          <w:lang w:val="zh-CN" w:eastAsia="zh-CN"/>
        </w:rPr>
        <w:t>四、绩效评价指标分析</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楷体简体" w:cs="方正楷体简体"/>
          <w:b w:val="0"/>
          <w:bCs w:val="0"/>
          <w:color w:val="333333"/>
          <w:kern w:val="0"/>
          <w:sz w:val="32"/>
          <w:szCs w:val="32"/>
          <w:lang w:eastAsia="zh-CN"/>
        </w:rPr>
      </w:pPr>
      <w:r>
        <w:rPr>
          <w:rFonts w:hint="eastAsia" w:ascii="宋体" w:hAnsi="宋体" w:eastAsia="方正楷体简体" w:cs="方正楷体简体"/>
          <w:b w:val="0"/>
          <w:bCs w:val="0"/>
          <w:color w:val="333333"/>
          <w:kern w:val="0"/>
          <w:sz w:val="32"/>
          <w:szCs w:val="32"/>
          <w:lang w:eastAsia="zh-CN"/>
        </w:rPr>
        <w:t>（一）项目决策情况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1</w:t>
      </w:r>
      <w:r>
        <w:rPr>
          <w:rFonts w:hint="eastAsia" w:ascii="宋体" w:hAnsi="宋体" w:eastAsia="方正仿宋简体" w:cs="方正仿宋简体"/>
          <w:color w:val="333333"/>
          <w:kern w:val="0"/>
          <w:sz w:val="32"/>
          <w:szCs w:val="32"/>
          <w:lang w:val="en-US" w:eastAsia="zh-CN"/>
        </w:rPr>
        <w:t>.</w:t>
      </w:r>
      <w:r>
        <w:rPr>
          <w:rFonts w:hint="eastAsia" w:ascii="宋体" w:hAnsi="宋体" w:eastAsia="方正仿宋简体" w:cs="方正仿宋简体"/>
          <w:color w:val="333333"/>
          <w:kern w:val="0"/>
          <w:sz w:val="32"/>
          <w:szCs w:val="32"/>
          <w:lang w:eastAsia="zh-CN"/>
        </w:rPr>
        <w:t>项目目标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2</w:t>
      </w:r>
      <w:r>
        <w:rPr>
          <w:rFonts w:hint="eastAsia" w:ascii="宋体" w:hAnsi="宋体" w:eastAsia="方正仿宋简体" w:cs="方正仿宋简体"/>
          <w:color w:val="333333"/>
          <w:kern w:val="0"/>
          <w:sz w:val="32"/>
          <w:szCs w:val="32"/>
          <w:lang w:val="en-US" w:eastAsia="zh-CN"/>
        </w:rPr>
        <w:t>.</w:t>
      </w:r>
      <w:r>
        <w:rPr>
          <w:rFonts w:hint="eastAsia" w:ascii="宋体" w:hAnsi="宋体" w:eastAsia="方正仿宋简体" w:cs="方正仿宋简体"/>
          <w:color w:val="333333"/>
          <w:kern w:val="0"/>
          <w:sz w:val="32"/>
          <w:szCs w:val="32"/>
          <w:lang w:eastAsia="zh-CN"/>
        </w:rPr>
        <w:t>决策过程</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决策依据，项目是否符合经济发展规划和部门年度工作计划，是否根据需要制定中长期实施规划。</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项目符合经济发展规划和部门年度工作计划，根据需要制定中长期实施规划。</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决策程序，是指项目是否符合申报条件，申报、批复程序是否符合相关管理办法，项目调整是否履行相应手续。</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项目符合申报条件，申报批复程序符合相关管理办法，项目调整履行相应手续。</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方正楷体简体" w:cs="方正楷体简体"/>
          <w:b w:val="0"/>
          <w:bCs w:val="0"/>
          <w:color w:val="333333"/>
          <w:kern w:val="0"/>
          <w:sz w:val="32"/>
          <w:szCs w:val="32"/>
          <w:lang w:eastAsia="zh-CN"/>
        </w:rPr>
      </w:pPr>
      <w:r>
        <w:rPr>
          <w:rFonts w:hint="eastAsia" w:ascii="宋体" w:hAnsi="宋体" w:eastAsia="方正楷体简体" w:cs="方正楷体简体"/>
          <w:b w:val="0"/>
          <w:bCs w:val="0"/>
          <w:color w:val="333333"/>
          <w:kern w:val="0"/>
          <w:sz w:val="32"/>
          <w:szCs w:val="32"/>
          <w:lang w:eastAsia="zh-CN"/>
        </w:rPr>
        <w:t>（二）项目过程情况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1</w:t>
      </w:r>
      <w:r>
        <w:rPr>
          <w:rFonts w:hint="eastAsia" w:ascii="宋体" w:hAnsi="宋体" w:eastAsia="方正仿宋简体" w:cs="方正仿宋简体"/>
          <w:color w:val="333333"/>
          <w:kern w:val="0"/>
          <w:sz w:val="32"/>
          <w:szCs w:val="32"/>
          <w:lang w:val="en-US" w:eastAsia="zh-CN"/>
        </w:rPr>
        <w:t>.</w:t>
      </w:r>
      <w:r>
        <w:rPr>
          <w:rFonts w:hint="eastAsia" w:ascii="宋体" w:hAnsi="宋体" w:eastAsia="方正仿宋简体" w:cs="方正仿宋简体"/>
          <w:color w:val="333333"/>
          <w:kern w:val="0"/>
          <w:sz w:val="32"/>
          <w:szCs w:val="32"/>
          <w:lang w:eastAsia="zh-CN"/>
        </w:rPr>
        <w:t>资金管理</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2</w:t>
      </w:r>
      <w:r>
        <w:rPr>
          <w:rFonts w:hint="eastAsia" w:ascii="宋体" w:hAnsi="宋体" w:eastAsia="方正仿宋简体" w:cs="方正仿宋简体"/>
          <w:color w:val="333333"/>
          <w:kern w:val="0"/>
          <w:sz w:val="32"/>
          <w:szCs w:val="32"/>
          <w:lang w:val="en-US" w:eastAsia="zh-CN"/>
        </w:rPr>
        <w:t>.</w:t>
      </w:r>
      <w:r>
        <w:rPr>
          <w:rFonts w:hint="eastAsia" w:ascii="宋体" w:hAnsi="宋体" w:eastAsia="方正仿宋简体" w:cs="方正仿宋简体"/>
          <w:color w:val="333333"/>
          <w:kern w:val="0"/>
          <w:sz w:val="32"/>
          <w:szCs w:val="32"/>
          <w:lang w:eastAsia="zh-CN"/>
        </w:rPr>
        <w:t>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3</w:t>
      </w:r>
      <w:r>
        <w:rPr>
          <w:rFonts w:hint="eastAsia" w:ascii="宋体" w:hAnsi="宋体" w:eastAsia="方正仿宋简体" w:cs="方正仿宋简体"/>
          <w:color w:val="333333"/>
          <w:kern w:val="0"/>
          <w:sz w:val="32"/>
          <w:szCs w:val="32"/>
          <w:lang w:val="en-US" w:eastAsia="zh-CN"/>
        </w:rPr>
        <w:t>.</w:t>
      </w:r>
      <w:r>
        <w:rPr>
          <w:rFonts w:hint="eastAsia" w:ascii="宋体" w:hAnsi="宋体" w:eastAsia="方正仿宋简体" w:cs="方正仿宋简体"/>
          <w:color w:val="333333"/>
          <w:kern w:val="0"/>
          <w:sz w:val="32"/>
          <w:szCs w:val="32"/>
          <w:lang w:eastAsia="zh-CN"/>
        </w:rPr>
        <w:t>组织实施</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机构组织健全，分工明确。</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4</w:t>
      </w:r>
      <w:r>
        <w:rPr>
          <w:rFonts w:hint="eastAsia" w:ascii="宋体" w:hAnsi="宋体" w:eastAsia="方正仿宋简体" w:cs="方正仿宋简体"/>
          <w:color w:val="333333"/>
          <w:kern w:val="0"/>
          <w:sz w:val="32"/>
          <w:szCs w:val="32"/>
          <w:lang w:val="en-US" w:eastAsia="zh-CN"/>
        </w:rPr>
        <w:t>.</w:t>
      </w:r>
      <w:r>
        <w:rPr>
          <w:rFonts w:hint="eastAsia" w:ascii="宋体" w:hAnsi="宋体" w:eastAsia="方正仿宋简体" w:cs="方正仿宋简体"/>
          <w:color w:val="333333"/>
          <w:kern w:val="0"/>
          <w:sz w:val="32"/>
          <w:szCs w:val="32"/>
          <w:lang w:eastAsia="zh-CN"/>
        </w:rPr>
        <w:t>管理制度，是指是否建立建全项目管理制度；是否严格执行相关项目管理制度。</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楷体简体" w:cs="方正楷体简体"/>
          <w:color w:val="333333"/>
          <w:kern w:val="0"/>
          <w:sz w:val="32"/>
          <w:szCs w:val="32"/>
          <w:lang w:eastAsia="zh-CN"/>
        </w:rPr>
      </w:pPr>
      <w:r>
        <w:rPr>
          <w:rFonts w:hint="eastAsia" w:ascii="宋体" w:hAnsi="宋体" w:eastAsia="方正楷体简体" w:cs="方正楷体简体"/>
          <w:color w:val="333333"/>
          <w:kern w:val="0"/>
          <w:sz w:val="32"/>
          <w:szCs w:val="32"/>
          <w:lang w:eastAsia="zh-CN"/>
        </w:rPr>
        <w:t>（三）项目产出情况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1</w:t>
      </w:r>
      <w:r>
        <w:rPr>
          <w:rFonts w:hint="eastAsia" w:ascii="宋体" w:hAnsi="宋体" w:eastAsia="方正仿宋简体" w:cs="方正仿宋简体"/>
          <w:color w:val="333333"/>
          <w:kern w:val="0"/>
          <w:sz w:val="32"/>
          <w:szCs w:val="32"/>
          <w:lang w:val="en-US" w:eastAsia="zh-CN"/>
        </w:rPr>
        <w:t>.</w:t>
      </w:r>
      <w:r>
        <w:rPr>
          <w:rFonts w:hint="eastAsia" w:ascii="宋体" w:hAnsi="宋体" w:eastAsia="方正仿宋简体" w:cs="方正仿宋简体"/>
          <w:color w:val="333333"/>
          <w:kern w:val="0"/>
          <w:sz w:val="32"/>
          <w:szCs w:val="32"/>
          <w:lang w:eastAsia="zh-CN"/>
        </w:rPr>
        <w:t>数量指标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综合业务管理工作完成率，各项综合业务工作任务完成情况占各项综合业务工作任务的比例，达到优良水平。</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2</w:t>
      </w:r>
      <w:r>
        <w:rPr>
          <w:rFonts w:hint="eastAsia" w:ascii="宋体" w:hAnsi="宋体" w:eastAsia="方正仿宋简体" w:cs="方正仿宋简体"/>
          <w:color w:val="333333"/>
          <w:kern w:val="0"/>
          <w:sz w:val="32"/>
          <w:szCs w:val="32"/>
          <w:lang w:val="en-US" w:eastAsia="zh-CN"/>
        </w:rPr>
        <w:t>.</w:t>
      </w:r>
      <w:r>
        <w:rPr>
          <w:rFonts w:hint="eastAsia" w:ascii="宋体" w:hAnsi="宋体" w:eastAsia="方正仿宋简体" w:cs="方正仿宋简体"/>
          <w:color w:val="333333"/>
          <w:kern w:val="0"/>
          <w:sz w:val="32"/>
          <w:szCs w:val="32"/>
          <w:lang w:eastAsia="zh-CN"/>
        </w:rPr>
        <w:t>质量指标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全年工作任务达标率，全年工作任务达到预期质量目标情况，达到优良水平。</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3</w:t>
      </w:r>
      <w:r>
        <w:rPr>
          <w:rFonts w:hint="eastAsia" w:ascii="宋体" w:hAnsi="宋体" w:eastAsia="方正仿宋简体" w:cs="方正仿宋简体"/>
          <w:color w:val="333333"/>
          <w:kern w:val="0"/>
          <w:sz w:val="32"/>
          <w:szCs w:val="32"/>
          <w:lang w:val="en-US" w:eastAsia="zh-CN"/>
        </w:rPr>
        <w:t>.</w:t>
      </w:r>
      <w:r>
        <w:rPr>
          <w:rFonts w:hint="eastAsia" w:ascii="宋体" w:hAnsi="宋体" w:eastAsia="方正仿宋简体" w:cs="方正仿宋简体"/>
          <w:color w:val="333333"/>
          <w:kern w:val="0"/>
          <w:sz w:val="32"/>
          <w:szCs w:val="32"/>
          <w:lang w:eastAsia="zh-CN"/>
        </w:rPr>
        <w:t>时效指标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报销时效性，按照审批程序及时报销，达到优良水平。</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4</w:t>
      </w:r>
      <w:r>
        <w:rPr>
          <w:rFonts w:hint="eastAsia" w:ascii="宋体" w:hAnsi="宋体" w:eastAsia="方正仿宋简体" w:cs="方正仿宋简体"/>
          <w:color w:val="333333"/>
          <w:kern w:val="0"/>
          <w:sz w:val="32"/>
          <w:szCs w:val="32"/>
          <w:lang w:val="en-US" w:eastAsia="zh-CN"/>
        </w:rPr>
        <w:t>.</w:t>
      </w:r>
      <w:r>
        <w:rPr>
          <w:rFonts w:hint="eastAsia" w:ascii="宋体" w:hAnsi="宋体" w:eastAsia="方正仿宋简体" w:cs="方正仿宋简体"/>
          <w:color w:val="333333"/>
          <w:kern w:val="0"/>
          <w:sz w:val="32"/>
          <w:szCs w:val="32"/>
          <w:lang w:eastAsia="zh-CN"/>
        </w:rPr>
        <w:t>成本指标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预算资金完成率，预算资金完成率达到财政部门要求，达到优良水平。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楷体简体" w:cs="方正楷体简体"/>
          <w:color w:val="333333"/>
          <w:kern w:val="0"/>
          <w:sz w:val="32"/>
          <w:szCs w:val="32"/>
          <w:lang w:eastAsia="zh-CN"/>
        </w:rPr>
      </w:pPr>
      <w:r>
        <w:rPr>
          <w:rFonts w:hint="eastAsia" w:ascii="宋体" w:hAnsi="宋体" w:eastAsia="方正楷体简体" w:cs="方正楷体简体"/>
          <w:color w:val="333333"/>
          <w:kern w:val="0"/>
          <w:sz w:val="32"/>
          <w:szCs w:val="32"/>
          <w:lang w:eastAsia="zh-CN"/>
        </w:rPr>
        <w:t>（四）项目效益情况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val="en-US" w:eastAsia="zh-CN"/>
        </w:rPr>
        <w:t>1.</w:t>
      </w:r>
      <w:r>
        <w:rPr>
          <w:rFonts w:hint="eastAsia" w:ascii="宋体" w:hAnsi="宋体" w:eastAsia="方正仿宋简体" w:cs="方正仿宋简体"/>
          <w:color w:val="333333"/>
          <w:kern w:val="0"/>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 xml:space="preserve">业务保障率，有效保障相关业务、工作等开展的业务次数占总业务量的比率，达到优良水平。                         </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val="en-US" w:eastAsia="zh-CN"/>
        </w:rPr>
        <w:t>2.</w:t>
      </w:r>
      <w:r>
        <w:rPr>
          <w:rFonts w:hint="eastAsia" w:ascii="宋体" w:hAnsi="宋体" w:eastAsia="方正仿宋简体" w:cs="方正仿宋简体"/>
          <w:color w:val="333333"/>
          <w:kern w:val="0"/>
          <w:sz w:val="32"/>
          <w:szCs w:val="32"/>
          <w:lang w:eastAsia="zh-CN"/>
        </w:rPr>
        <w:t>可持续影响指标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提高发改领域服务保障能力，有利于业务开展，提高服务保障能力，达到优良水平。</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val="en-US" w:eastAsia="zh-CN"/>
        </w:rPr>
        <w:t>3.</w:t>
      </w:r>
      <w:r>
        <w:rPr>
          <w:rFonts w:hint="eastAsia" w:ascii="宋体" w:hAnsi="宋体" w:eastAsia="方正仿宋简体" w:cs="方正仿宋简体"/>
          <w:color w:val="333333"/>
          <w:kern w:val="0"/>
          <w:sz w:val="32"/>
          <w:szCs w:val="32"/>
          <w:lang w:eastAsia="zh-CN"/>
        </w:rPr>
        <w:t>经济效益指标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节约项目开支，践行厉行节约反对浪费制度体系建设，达到优良水平。</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val="en-US" w:eastAsia="zh-CN"/>
        </w:rPr>
        <w:t>4.</w:t>
      </w:r>
      <w:r>
        <w:rPr>
          <w:rFonts w:hint="eastAsia" w:ascii="宋体" w:hAnsi="宋体" w:eastAsia="方正仿宋简体" w:cs="方正仿宋简体"/>
          <w:color w:val="333333"/>
          <w:kern w:val="0"/>
          <w:sz w:val="32"/>
          <w:szCs w:val="32"/>
          <w:lang w:eastAsia="zh-CN"/>
        </w:rPr>
        <w:t>生态效益指标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工作环境改善程度，对工作环境的改善程度，达到优良水平。</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val="en-US" w:eastAsia="zh-CN"/>
        </w:rPr>
        <w:t>5.</w:t>
      </w:r>
      <w:r>
        <w:rPr>
          <w:rFonts w:hint="eastAsia" w:ascii="宋体" w:hAnsi="宋体" w:eastAsia="方正仿宋简体" w:cs="方正仿宋简体"/>
          <w:color w:val="333333"/>
          <w:kern w:val="0"/>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受益群体满意度，受益群体调查中，满意和较满意的人数占全部调查人数的比率，达到优良水平。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right="-509" w:rightChars="-159" w:firstLine="640" w:firstLineChars="200"/>
        <w:textAlignment w:val="auto"/>
        <w:rPr>
          <w:rFonts w:hint="eastAsia" w:ascii="宋体" w:hAnsi="宋体" w:eastAsia="方正黑体简体" w:cs="方正黑体简体"/>
          <w:kern w:val="0"/>
          <w:sz w:val="32"/>
          <w:szCs w:val="32"/>
          <w:lang w:val="zh-CN" w:eastAsia="zh-CN"/>
        </w:rPr>
      </w:pPr>
      <w:r>
        <w:rPr>
          <w:rFonts w:hint="eastAsia" w:ascii="宋体" w:hAnsi="宋体" w:eastAsia="方正黑体简体" w:cs="方正黑体简体"/>
          <w:kern w:val="0"/>
          <w:sz w:val="32"/>
          <w:szCs w:val="32"/>
          <w:lang w:val="zh-CN"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方正仿宋简体" w:cs="方正仿宋简体"/>
          <w:color w:val="333333"/>
          <w:kern w:val="0"/>
          <w:sz w:val="32"/>
          <w:szCs w:val="32"/>
          <w:lang w:eastAsia="zh-CN"/>
        </w:rPr>
      </w:pPr>
      <w:r>
        <w:rPr>
          <w:rFonts w:hint="eastAsia" w:ascii="宋体" w:hAnsi="宋体" w:eastAsia="方正仿宋简体" w:cs="方正仿宋简体"/>
          <w:color w:val="333333"/>
          <w:kern w:val="0"/>
          <w:sz w:val="32"/>
          <w:szCs w:val="32"/>
          <w:lang w:eastAsia="zh-CN"/>
        </w:rPr>
        <w:t>认真贯彻落实绩效管理办法，把预算绩效管理纳入整体工作，把财政项目支出绩效自评工作列入重要议事日程，做实做好。</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right="-509" w:rightChars="-159" w:firstLine="640" w:firstLineChars="200"/>
        <w:textAlignment w:val="auto"/>
        <w:rPr>
          <w:rFonts w:hint="eastAsia" w:ascii="宋体" w:hAnsi="宋体" w:eastAsia="方正黑体简体" w:cs="方正黑体简体"/>
          <w:kern w:val="0"/>
          <w:sz w:val="32"/>
          <w:szCs w:val="32"/>
          <w:lang w:val="zh-CN" w:eastAsia="zh-CN"/>
        </w:rPr>
      </w:pPr>
      <w:r>
        <w:rPr>
          <w:rFonts w:hint="eastAsia" w:ascii="宋体" w:hAnsi="宋体" w:eastAsia="方正黑体简体" w:cs="方正黑体简体"/>
          <w:kern w:val="0"/>
          <w:sz w:val="32"/>
          <w:szCs w:val="32"/>
          <w:lang w:val="zh-CN" w:eastAsia="zh-CN"/>
        </w:rPr>
        <w:t>有关建议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509" w:rightChars="-159" w:firstLine="640" w:firstLineChars="200"/>
        <w:textAlignment w:val="auto"/>
        <w:rPr>
          <w:rFonts w:hint="eastAsia" w:ascii="宋体" w:hAnsi="宋体" w:eastAsia="方正仿宋简体" w:cs="方正仿宋简体"/>
          <w:color w:val="333333"/>
          <w:kern w:val="0"/>
          <w:sz w:val="32"/>
          <w:szCs w:val="32"/>
        </w:rPr>
      </w:pPr>
      <w:r>
        <w:rPr>
          <w:rFonts w:hint="eastAsia" w:ascii="宋体" w:hAnsi="宋体" w:eastAsia="方正仿宋简体" w:cs="方正仿宋简体"/>
          <w:color w:val="333333"/>
          <w:kern w:val="0"/>
          <w:sz w:val="32"/>
          <w:szCs w:val="32"/>
        </w:rPr>
        <w:t>无</w:t>
      </w:r>
    </w:p>
    <w:p>
      <w:pPr>
        <w:keepNext w:val="0"/>
        <w:keepLines w:val="0"/>
        <w:pageBreakBefore w:val="0"/>
        <w:widowControl w:val="0"/>
        <w:kinsoku/>
        <w:wordWrap/>
        <w:overflowPunct/>
        <w:topLinePunct w:val="0"/>
        <w:autoSpaceDE/>
        <w:autoSpaceDN/>
        <w:bidi w:val="0"/>
        <w:adjustRightInd/>
        <w:snapToGrid/>
        <w:spacing w:line="570" w:lineRule="exact"/>
        <w:ind w:right="-509" w:rightChars="-159" w:firstLine="640" w:firstLineChars="200"/>
        <w:textAlignment w:val="auto"/>
        <w:rPr>
          <w:rFonts w:hint="eastAsia" w:ascii="宋体" w:hAnsi="宋体" w:eastAsia="方正黑体简体" w:cs="方正黑体简体"/>
          <w:kern w:val="0"/>
          <w:sz w:val="32"/>
          <w:szCs w:val="32"/>
          <w:lang w:val="zh-CN" w:eastAsia="zh-CN"/>
        </w:rPr>
      </w:pPr>
      <w:r>
        <w:rPr>
          <w:rFonts w:hint="eastAsia" w:ascii="宋体" w:hAnsi="宋体" w:eastAsia="方正黑体简体" w:cs="方正黑体简体"/>
          <w:kern w:val="0"/>
          <w:sz w:val="32"/>
          <w:szCs w:val="32"/>
          <w:lang w:val="zh-CN"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color w:val="333333"/>
          <w:kern w:val="0"/>
          <w:sz w:val="32"/>
          <w:szCs w:val="32"/>
        </w:rPr>
      </w:pPr>
      <w:r>
        <w:rPr>
          <w:rFonts w:hint="eastAsia" w:ascii="宋体" w:hAnsi="宋体" w:eastAsia="方正仿宋简体" w:cs="方正仿宋简体"/>
          <w:color w:val="333333"/>
          <w:kern w:val="0"/>
          <w:sz w:val="32"/>
          <w:szCs w:val="32"/>
        </w:rPr>
        <w:t>无</w:t>
      </w:r>
    </w:p>
    <w:p>
      <w:pPr>
        <w:keepNext w:val="0"/>
        <w:keepLines w:val="0"/>
        <w:pageBreakBefore w:val="0"/>
        <w:kinsoku/>
        <w:wordWrap/>
        <w:overflowPunct/>
        <w:topLinePunct w:val="0"/>
        <w:autoSpaceDE/>
        <w:autoSpaceDN/>
        <w:bidi w:val="0"/>
        <w:spacing w:line="570" w:lineRule="exact"/>
        <w:ind w:firstLine="640" w:firstLineChars="200"/>
        <w:textAlignment w:val="auto"/>
        <w:rPr>
          <w:rFonts w:ascii="宋体" w:hAnsi="宋体"/>
        </w:rPr>
      </w:pPr>
    </w:p>
    <w:p>
      <w:pPr>
        <w:keepNext w:val="0"/>
        <w:keepLines w:val="0"/>
        <w:pageBreakBefore w:val="0"/>
        <w:kinsoku/>
        <w:wordWrap/>
        <w:overflowPunct/>
        <w:topLinePunct w:val="0"/>
        <w:autoSpaceDE/>
        <w:autoSpaceDN/>
        <w:bidi w:val="0"/>
        <w:spacing w:line="570" w:lineRule="exact"/>
        <w:ind w:firstLine="680" w:firstLineChars="200"/>
        <w:textAlignment w:val="auto"/>
        <w:rPr>
          <w:rFonts w:hint="eastAsia" w:ascii="宋体" w:hAnsi="宋体" w:eastAsia="方正仿宋简体" w:cs="方正仿宋简体"/>
          <w:spacing w:val="10"/>
          <w:sz w:val="32"/>
          <w:szCs w:val="32"/>
          <w:lang w:val="en-US" w:eastAsia="zh-CN"/>
        </w:rPr>
      </w:pPr>
    </w:p>
    <w:sectPr>
      <w:footerReference r:id="rId4" w:type="default"/>
      <w:pgSz w:w="11906" w:h="16838"/>
      <w:pgMar w:top="1440" w:right="1800" w:bottom="1440" w:left="1800" w:header="851" w:footer="992" w:gutter="0"/>
      <w:pgNumType w:fmt="decimal"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358D8"/>
    <w:multiLevelType w:val="singleLevel"/>
    <w:tmpl w:val="9EB358D8"/>
    <w:lvl w:ilvl="0" w:tentative="0">
      <w:start w:val="2"/>
      <w:numFmt w:val="chineseCounting"/>
      <w:suff w:val="nothing"/>
      <w:lvlText w:val="（%1）"/>
      <w:lvlJc w:val="left"/>
      <w:rPr>
        <w:rFonts w:hint="eastAsia"/>
      </w:rPr>
    </w:lvl>
  </w:abstractNum>
  <w:abstractNum w:abstractNumId="1">
    <w:nsid w:val="CA99D308"/>
    <w:multiLevelType w:val="singleLevel"/>
    <w:tmpl w:val="CA99D308"/>
    <w:lvl w:ilvl="0" w:tentative="0">
      <w:start w:val="1"/>
      <w:numFmt w:val="chineseCounting"/>
      <w:suff w:val="nothing"/>
      <w:lvlText w:val="%1、"/>
      <w:lvlJc w:val="left"/>
      <w:rPr>
        <w:rFonts w:hint="eastAsia"/>
      </w:rPr>
    </w:lvl>
  </w:abstractNum>
  <w:abstractNum w:abstractNumId="2">
    <w:nsid w:val="0DD1300E"/>
    <w:multiLevelType w:val="singleLevel"/>
    <w:tmpl w:val="0DD1300E"/>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OGY1OTgwYzQyNmQ4ZWU4Y2YzMGQ2NGRjNDdmYzQifQ=="/>
  </w:docVars>
  <w:rsids>
    <w:rsidRoot w:val="00545DAC"/>
    <w:rsid w:val="00033193"/>
    <w:rsid w:val="0006448C"/>
    <w:rsid w:val="000C16D3"/>
    <w:rsid w:val="00170B9C"/>
    <w:rsid w:val="00185D4C"/>
    <w:rsid w:val="001A2A2D"/>
    <w:rsid w:val="00306CC9"/>
    <w:rsid w:val="003278A9"/>
    <w:rsid w:val="00381C93"/>
    <w:rsid w:val="0041240F"/>
    <w:rsid w:val="004D19DA"/>
    <w:rsid w:val="004D225D"/>
    <w:rsid w:val="004D4013"/>
    <w:rsid w:val="004E2FD1"/>
    <w:rsid w:val="00545DAC"/>
    <w:rsid w:val="00564667"/>
    <w:rsid w:val="00645CC3"/>
    <w:rsid w:val="006D29D2"/>
    <w:rsid w:val="006F3A10"/>
    <w:rsid w:val="00701737"/>
    <w:rsid w:val="00841E75"/>
    <w:rsid w:val="00852EE4"/>
    <w:rsid w:val="008A55F6"/>
    <w:rsid w:val="0097607E"/>
    <w:rsid w:val="009D30F4"/>
    <w:rsid w:val="00A36F08"/>
    <w:rsid w:val="00B0645D"/>
    <w:rsid w:val="00C007A6"/>
    <w:rsid w:val="00C4537E"/>
    <w:rsid w:val="00C82B37"/>
    <w:rsid w:val="00D07348"/>
    <w:rsid w:val="00D14477"/>
    <w:rsid w:val="00DA5B8E"/>
    <w:rsid w:val="00DF1C3A"/>
    <w:rsid w:val="00F74C22"/>
    <w:rsid w:val="00F925BE"/>
    <w:rsid w:val="00FC70A6"/>
    <w:rsid w:val="04054843"/>
    <w:rsid w:val="0D3A380A"/>
    <w:rsid w:val="0F37511A"/>
    <w:rsid w:val="1255330F"/>
    <w:rsid w:val="169A3A63"/>
    <w:rsid w:val="19EA1AF3"/>
    <w:rsid w:val="2206510F"/>
    <w:rsid w:val="229336B1"/>
    <w:rsid w:val="23814AE0"/>
    <w:rsid w:val="23A65165"/>
    <w:rsid w:val="254B78D0"/>
    <w:rsid w:val="2DED5CAE"/>
    <w:rsid w:val="306828FC"/>
    <w:rsid w:val="31B27B26"/>
    <w:rsid w:val="337649DC"/>
    <w:rsid w:val="36F84B88"/>
    <w:rsid w:val="37E113A4"/>
    <w:rsid w:val="386C070B"/>
    <w:rsid w:val="44C448D1"/>
    <w:rsid w:val="497A1B47"/>
    <w:rsid w:val="4A2D652C"/>
    <w:rsid w:val="4E665674"/>
    <w:rsid w:val="4E9B66A3"/>
    <w:rsid w:val="51282833"/>
    <w:rsid w:val="56521D3A"/>
    <w:rsid w:val="58D66E0A"/>
    <w:rsid w:val="5A704614"/>
    <w:rsid w:val="5C7B745F"/>
    <w:rsid w:val="5EA32C7E"/>
    <w:rsid w:val="60835832"/>
    <w:rsid w:val="63E7630F"/>
    <w:rsid w:val="659C5A09"/>
    <w:rsid w:val="665A0B68"/>
    <w:rsid w:val="6A8F340C"/>
    <w:rsid w:val="6D5149CF"/>
    <w:rsid w:val="6F6B7429"/>
    <w:rsid w:val="7053101B"/>
    <w:rsid w:val="70D16EDB"/>
    <w:rsid w:val="730B0B2B"/>
    <w:rsid w:val="73AA2742"/>
    <w:rsid w:val="7A1C39F6"/>
    <w:rsid w:val="7C6A43A0"/>
    <w:rsid w:val="7EC301BA"/>
    <w:rsid w:val="7F0479F9"/>
    <w:rsid w:val="7FC80C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character" w:customStyle="1" w:styleId="9">
    <w:name w:val="font31"/>
    <w:basedOn w:val="6"/>
    <w:qFormat/>
    <w:uiPriority w:val="0"/>
    <w:rPr>
      <w:rFonts w:hint="eastAsia" w:ascii="宋体" w:hAnsi="宋体" w:eastAsia="宋体" w:cs="宋体"/>
      <w:color w:val="000000"/>
      <w:sz w:val="18"/>
      <w:szCs w:val="18"/>
      <w:u w:val="none"/>
    </w:rPr>
  </w:style>
  <w:style w:type="character" w:customStyle="1" w:styleId="10">
    <w:name w:val="font1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31037</Words>
  <Characters>33566</Characters>
  <Lines>19</Lines>
  <Paragraphs>27</Paragraphs>
  <TotalTime>17</TotalTime>
  <ScaleCrop>false</ScaleCrop>
  <LinksUpToDate>false</LinksUpToDate>
  <CharactersWithSpaces>34290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2022-04-25T00:36:00Z</dcterms:created>
  <dc:creator>pc-01</dc:creator>
  <cp:lastModifiedBy>Administrator</cp:lastModifiedBy>
  <cp:lastPrinted>2023-04-20T03:50:00Z</cp:lastPrinted>
  <dcterms:modified xsi:type="dcterms:W3CDTF">2023-05-12T02:52:23Z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1E567543695B4F5B893BBCAA9D5ECDAF</vt:lpwstr>
  </property>
</Properties>
</file>