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480" w:lineRule="exact"/>
        <w:jc w:val="center"/>
        <w:rPr>
          <w:rFonts w:eastAsia="黑体"/>
          <w:bCs/>
          <w:spacing w:val="30"/>
          <w:sz w:val="36"/>
          <w:highlight w:val="none"/>
        </w:rPr>
      </w:pPr>
      <w:bookmarkStart w:id="0" w:name="_Toc246763511"/>
    </w:p>
    <w:p>
      <w:pPr>
        <w:spacing w:line="480" w:lineRule="exact"/>
        <w:jc w:val="center"/>
        <w:rPr>
          <w:rFonts w:eastAsia="黑体"/>
          <w:bCs/>
          <w:spacing w:val="30"/>
          <w:sz w:val="36"/>
          <w:highlight w:val="none"/>
        </w:rPr>
      </w:pPr>
      <w:r>
        <w:rPr>
          <w:sz w:val="36"/>
          <w:highlight w:val="none"/>
        </w:rPr>
        <mc:AlternateContent>
          <mc:Choice Requires="wps">
            <w:drawing>
              <wp:anchor distT="0" distB="0" distL="114300" distR="114300" simplePos="0" relativeHeight="251664384" behindDoc="0" locked="0" layoutInCell="1" allowOverlap="1">
                <wp:simplePos x="0" y="0"/>
                <wp:positionH relativeFrom="column">
                  <wp:posOffset>-2402840</wp:posOffset>
                </wp:positionH>
                <wp:positionV relativeFrom="paragraph">
                  <wp:posOffset>-1094105</wp:posOffset>
                </wp:positionV>
                <wp:extent cx="635" cy="635"/>
                <wp:effectExtent l="0" t="1270" r="1905" b="0"/>
                <wp:wrapNone/>
                <wp:docPr id="220" name="直线 8577"/>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line">
                          <a:avLst/>
                        </a:prstGeom>
                        <a:noFill/>
                        <a:ln>
                          <a:noFill/>
                        </a:ln>
                      </wps:spPr>
                      <wps:bodyPr/>
                    </wps:wsp>
                  </a:graphicData>
                </a:graphic>
              </wp:anchor>
            </w:drawing>
          </mc:Choice>
          <mc:Fallback>
            <w:pict>
              <v:line id="直线 8577" o:spid="_x0000_s1026" o:spt="20" style="position:absolute;left:0pt;margin-left:-189.2pt;margin-top:-86.15pt;height:0.05pt;width:0.05pt;z-index:251664384;mso-width-relative:page;mso-height-relative:page;" filled="f" stroked="f" coordsize="21600,21600" o:gfxdata="UEsDBAoAAAAAAIdO4kAAAAAAAAAAAAAAAAAEAAAAZHJzL1BLAwQUAAAACACHTuJAZfw1S9oAAAAP&#10;AQAADwAAAGRycy9kb3ducmV2LnhtbE2PzU7DMBCE70i8g7VI3FrnB5EQ4vQAAg6caJEqbm68JKHx&#10;OordpH17tuJQbrOzo9lvy9XR9mLC0XeOFMTLCARS7UxHjYLPzcsiB+GDJqN7R6jghB5W1fVVqQvj&#10;ZvrAaR0awSXkC62gDWEopPR1i1b7pRuQePftRqsDj2MjzahnLre9TKLoXlrdEV9o9YBPLdb79cEq&#10;8M/7rfv5mt/y6WHc4PtpW2evqVK3N3H0CCLgMVzCcMZndKiYaecOZLzoFSzSLL/jLKs4S1IQnDl7&#10;rHZ/XgKyKuX/P6pfUEsDBBQAAAAIAIdO4kAOZ8wHuAEAAGgDAAAOAAAAZHJzL2Uyb0RvYy54bWyt&#10;U0tu2zAQ3RfoHQjua9ku8oFgOYsY6SZtDSQ5wJgiLaIkhyBpSz5Lr9FVNz1OrtEhZbtNusmiG2L4&#10;OPNm3htpcTNYw/YyRI2u4bPJlDPpBLbabRv+9Hj34ZqzmMC1YNDJhh9k5DfL9+8Wva/lHDs0rQyM&#10;SFyse9/wLiVfV1UUnbQQJ+ilo0eFwUKia9hWbYCe2K2p5tPpZdVjaH1AIWMkdDU+8iNjeAshKqWF&#10;XKHYWenSyBqkgUSSYqd95MsyrVJSpK9KRZmYaTgpTeWkJhRv8lktF1BvA/hOi+MI8JYRXmmyoB01&#10;PVOtIAHbBf0PldUiYESVJgJtNQopjpCK2fSVNw8deFm0kNXRn02P/49WfNmvA9Ntw+dz8sSBpZU/&#10;f//x/PMXu764usoG9T7WlHfr1iFLFIN78PcovkXm8LYDt5Vl0MeDp9pZrqhelORL9NRm03/GlnJg&#10;l7C4NahgMyX5wIaylMN5KXJITBB4+fGCM0F4DjI31KcyH2L6JNGyHDTcaJfdghr29zGNqaeUDDu8&#10;08YQDrVxLwDizEgZO086at5ge1iHkxxaQGl+/Fjyhv++l+o/P8jy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GX8NUvaAAAADwEAAA8AAAAAAAAAAQAgAAAAIgAAAGRycy9kb3ducmV2LnhtbFBLAQIU&#10;ABQAAAAIAIdO4kAOZ8wHuAEAAGgDAAAOAAAAAAAAAAEAIAAAACkBAABkcnMvZTJvRG9jLnhtbFBL&#10;BQYAAAAABgAGAFkBAABTBQAAAAA=&#10;">
                <v:fill on="f" focussize="0,0"/>
                <v:stroke on="f"/>
                <v:imagedata o:title=""/>
                <o:lock v:ext="edit" aspectratio="f"/>
              </v:line>
            </w:pict>
          </mc:Fallback>
        </mc:AlternateContent>
      </w:r>
    </w:p>
    <w:p>
      <w:pPr>
        <w:spacing w:line="480" w:lineRule="exact"/>
        <w:jc w:val="center"/>
        <w:rPr>
          <w:rFonts w:eastAsia="黑体"/>
          <w:bCs/>
          <w:spacing w:val="30"/>
          <w:sz w:val="36"/>
          <w:highlight w:val="none"/>
        </w:rPr>
      </w:pPr>
    </w:p>
    <w:p>
      <w:pPr>
        <w:spacing w:line="480" w:lineRule="exact"/>
        <w:jc w:val="center"/>
        <w:rPr>
          <w:rFonts w:eastAsia="黑体"/>
          <w:bCs/>
          <w:spacing w:val="30"/>
          <w:sz w:val="36"/>
          <w:highlight w:val="none"/>
        </w:rPr>
      </w:pPr>
    </w:p>
    <w:p>
      <w:pPr>
        <w:spacing w:line="600" w:lineRule="exact"/>
        <w:jc w:val="center"/>
        <w:rPr>
          <w:b/>
          <w:bCs/>
          <w:sz w:val="44"/>
          <w:szCs w:val="44"/>
          <w:highlight w:val="none"/>
        </w:rPr>
      </w:pPr>
      <w:r>
        <w:rPr>
          <w:rFonts w:hint="eastAsia"/>
          <w:b/>
          <w:bCs/>
          <w:sz w:val="44"/>
          <w:szCs w:val="44"/>
          <w:highlight w:val="none"/>
        </w:rPr>
        <w:t>遵化市昌明水力发电有限公司</w:t>
      </w:r>
    </w:p>
    <w:p>
      <w:pPr>
        <w:spacing w:after="312" w:afterLines="100" w:line="600" w:lineRule="exact"/>
        <w:jc w:val="center"/>
        <w:rPr>
          <w:b/>
          <w:bCs/>
          <w:sz w:val="44"/>
          <w:szCs w:val="44"/>
          <w:highlight w:val="none"/>
        </w:rPr>
      </w:pPr>
      <w:r>
        <w:rPr>
          <w:b/>
          <w:bCs/>
          <w:sz w:val="44"/>
          <w:szCs w:val="44"/>
          <w:highlight w:val="none"/>
        </w:rPr>
        <w:t>遵化市</w:t>
      </w:r>
      <w:r>
        <w:rPr>
          <w:rFonts w:hint="eastAsia"/>
          <w:b/>
          <w:bCs/>
          <w:sz w:val="44"/>
          <w:szCs w:val="44"/>
          <w:highlight w:val="none"/>
          <w:lang w:eastAsia="zh-CN"/>
        </w:rPr>
        <w:t>黎河四级水电站</w:t>
      </w:r>
      <w:r>
        <w:rPr>
          <w:b/>
          <w:bCs/>
          <w:sz w:val="44"/>
          <w:szCs w:val="44"/>
          <w:highlight w:val="none"/>
        </w:rPr>
        <w:t>项目</w:t>
      </w:r>
    </w:p>
    <w:p>
      <w:pPr>
        <w:spacing w:before="156" w:beforeLines="50" w:line="800" w:lineRule="exact"/>
        <w:jc w:val="center"/>
        <w:rPr>
          <w:b/>
          <w:spacing w:val="24"/>
          <w:sz w:val="72"/>
          <w:szCs w:val="72"/>
          <w:highlight w:val="none"/>
        </w:rPr>
      </w:pPr>
      <w:r>
        <w:rPr>
          <w:b/>
          <w:bCs/>
          <w:spacing w:val="24"/>
          <w:sz w:val="72"/>
          <w:szCs w:val="72"/>
          <w:highlight w:val="none"/>
        </w:rPr>
        <w:t>环境影响报告书</w:t>
      </w:r>
    </w:p>
    <w:p>
      <w:pPr>
        <w:spacing w:line="580" w:lineRule="exact"/>
        <w:jc w:val="center"/>
        <w:rPr>
          <w:sz w:val="36"/>
          <w:szCs w:val="36"/>
          <w:highlight w:val="none"/>
        </w:rPr>
      </w:pPr>
      <w:r>
        <w:rPr>
          <w:rFonts w:hint="eastAsia"/>
          <w:sz w:val="36"/>
          <w:szCs w:val="36"/>
          <w:highlight w:val="none"/>
        </w:rPr>
        <w:t>（报</w:t>
      </w:r>
      <w:r>
        <w:rPr>
          <w:rFonts w:hint="eastAsia"/>
          <w:sz w:val="36"/>
          <w:szCs w:val="36"/>
          <w:highlight w:val="none"/>
          <w:lang w:eastAsia="zh-CN"/>
        </w:rPr>
        <w:t>审</w:t>
      </w:r>
      <w:r>
        <w:rPr>
          <w:rFonts w:hint="eastAsia"/>
          <w:sz w:val="36"/>
          <w:szCs w:val="36"/>
          <w:highlight w:val="none"/>
        </w:rPr>
        <w:t>版）</w:t>
      </w:r>
    </w:p>
    <w:p>
      <w:pPr>
        <w:spacing w:line="580" w:lineRule="exact"/>
        <w:ind w:firstLine="2814" w:firstLineChars="1005"/>
        <w:rPr>
          <w:sz w:val="28"/>
          <w:highlight w:val="none"/>
        </w:rPr>
      </w:pPr>
    </w:p>
    <w:p>
      <w:pPr>
        <w:spacing w:line="580" w:lineRule="exact"/>
        <w:ind w:firstLine="2814" w:firstLineChars="1005"/>
        <w:rPr>
          <w:sz w:val="28"/>
          <w:highlight w:val="none"/>
        </w:rPr>
      </w:pPr>
    </w:p>
    <w:p>
      <w:pPr>
        <w:spacing w:line="580" w:lineRule="exact"/>
        <w:ind w:firstLine="2814" w:firstLineChars="1005"/>
        <w:rPr>
          <w:sz w:val="28"/>
          <w:highlight w:val="none"/>
        </w:rPr>
      </w:pPr>
    </w:p>
    <w:p>
      <w:pPr>
        <w:spacing w:line="580" w:lineRule="exact"/>
        <w:ind w:firstLine="2814" w:firstLineChars="1005"/>
        <w:rPr>
          <w:sz w:val="28"/>
          <w:highlight w:val="none"/>
        </w:rPr>
      </w:pPr>
    </w:p>
    <w:p>
      <w:pPr>
        <w:spacing w:line="580" w:lineRule="exact"/>
        <w:ind w:firstLine="2814" w:firstLineChars="1005"/>
        <w:rPr>
          <w:sz w:val="28"/>
          <w:highlight w:val="none"/>
        </w:rPr>
      </w:pPr>
    </w:p>
    <w:p>
      <w:pPr>
        <w:spacing w:line="580" w:lineRule="exact"/>
        <w:rPr>
          <w:sz w:val="28"/>
          <w:highlight w:val="none"/>
        </w:rPr>
      </w:pPr>
    </w:p>
    <w:p>
      <w:pPr>
        <w:spacing w:line="580" w:lineRule="exact"/>
        <w:rPr>
          <w:sz w:val="28"/>
          <w:highlight w:val="none"/>
        </w:rPr>
      </w:pPr>
    </w:p>
    <w:p>
      <w:pPr>
        <w:spacing w:line="580" w:lineRule="exact"/>
        <w:rPr>
          <w:sz w:val="28"/>
          <w:highlight w:val="none"/>
        </w:rPr>
      </w:pPr>
    </w:p>
    <w:p>
      <w:pPr>
        <w:spacing w:line="580" w:lineRule="exact"/>
        <w:rPr>
          <w:sz w:val="28"/>
          <w:highlight w:val="none"/>
        </w:rPr>
      </w:pPr>
    </w:p>
    <w:p>
      <w:pPr>
        <w:spacing w:line="580" w:lineRule="exact"/>
        <w:rPr>
          <w:sz w:val="28"/>
          <w:highlight w:val="none"/>
        </w:rPr>
      </w:pPr>
    </w:p>
    <w:p>
      <w:pPr>
        <w:spacing w:line="500" w:lineRule="exact"/>
        <w:ind w:left="0" w:leftChars="0" w:right="0" w:rightChars="0" w:firstLine="0" w:firstLineChars="0"/>
        <w:jc w:val="center"/>
        <w:rPr>
          <w:sz w:val="32"/>
          <w:highlight w:val="none"/>
        </w:rPr>
      </w:pPr>
      <w:r>
        <w:rPr>
          <w:sz w:val="32"/>
          <w:highlight w:val="none"/>
        </w:rPr>
        <w:t>建设单位：</w:t>
      </w:r>
      <w:r>
        <w:rPr>
          <w:rFonts w:hint="eastAsia"/>
          <w:sz w:val="32"/>
          <w:highlight w:val="none"/>
        </w:rPr>
        <w:t>遵化市昌明水力发电有限公司</w:t>
      </w:r>
    </w:p>
    <w:p>
      <w:pPr>
        <w:spacing w:line="500" w:lineRule="exact"/>
        <w:ind w:firstLine="1280" w:firstLineChars="400"/>
        <w:rPr>
          <w:sz w:val="32"/>
          <w:highlight w:val="none"/>
        </w:rPr>
      </w:pPr>
      <w:r>
        <w:rPr>
          <w:sz w:val="32"/>
          <w:highlight w:val="none"/>
        </w:rPr>
        <w:t>编制单位：</w:t>
      </w:r>
      <w:r>
        <w:rPr>
          <w:rFonts w:hint="eastAsia"/>
          <w:sz w:val="32"/>
          <w:highlight w:val="none"/>
        </w:rPr>
        <w:t>唐山正论环境科技</w:t>
      </w:r>
      <w:r>
        <w:rPr>
          <w:sz w:val="32"/>
          <w:highlight w:val="none"/>
        </w:rPr>
        <w:t>有限公司</w:t>
      </w:r>
    </w:p>
    <w:p>
      <w:pPr>
        <w:spacing w:line="500" w:lineRule="exact"/>
        <w:ind w:firstLine="1280" w:firstLineChars="400"/>
        <w:rPr>
          <w:rFonts w:eastAsia="黑体"/>
          <w:sz w:val="32"/>
          <w:highlight w:val="none"/>
        </w:rPr>
      </w:pPr>
      <w:r>
        <w:rPr>
          <w:sz w:val="32"/>
          <w:highlight w:val="none"/>
        </w:rPr>
        <w:t>编制时间：二〇二</w:t>
      </w:r>
      <w:r>
        <w:rPr>
          <w:rFonts w:hint="eastAsia"/>
          <w:sz w:val="32"/>
          <w:highlight w:val="none"/>
          <w:lang w:eastAsia="zh-CN"/>
        </w:rPr>
        <w:t>三</w:t>
      </w:r>
      <w:r>
        <w:rPr>
          <w:sz w:val="32"/>
          <w:highlight w:val="none"/>
        </w:rPr>
        <w:t>年</w:t>
      </w:r>
      <w:r>
        <w:rPr>
          <w:rFonts w:hint="eastAsia"/>
          <w:sz w:val="32"/>
          <w:highlight w:val="none"/>
          <w:lang w:eastAsia="zh-CN"/>
        </w:rPr>
        <w:t>七</w:t>
      </w:r>
      <w:r>
        <w:rPr>
          <w:sz w:val="32"/>
          <w:highlight w:val="none"/>
        </w:rPr>
        <w:t>月</w:t>
      </w:r>
    </w:p>
    <w:p>
      <w:pPr>
        <w:spacing w:line="580" w:lineRule="exact"/>
        <w:ind w:firstLine="960" w:firstLineChars="300"/>
        <w:rPr>
          <w:rFonts w:eastAsia="黑体"/>
          <w:sz w:val="32"/>
          <w:highlight w:val="none"/>
        </w:rPr>
      </w:pPr>
    </w:p>
    <w:p>
      <w:pPr>
        <w:spacing w:line="580" w:lineRule="exact"/>
        <w:ind w:firstLine="960" w:firstLineChars="300"/>
        <w:rPr>
          <w:rFonts w:eastAsia="黑体"/>
          <w:sz w:val="32"/>
          <w:highlight w:val="none"/>
        </w:rPr>
      </w:pPr>
    </w:p>
    <w:p>
      <w:pPr>
        <w:pStyle w:val="7"/>
        <w:rPr>
          <w:rFonts w:eastAsia="黑体"/>
          <w:sz w:val="32"/>
          <w:highlight w:val="none"/>
        </w:rPr>
      </w:pPr>
    </w:p>
    <w:p>
      <w:pPr>
        <w:rPr>
          <w:rFonts w:eastAsia="黑体"/>
          <w:sz w:val="32"/>
          <w:highlight w:val="none"/>
        </w:rPr>
      </w:pPr>
      <w:r>
        <w:rPr>
          <w:rFonts w:hint="eastAsia" w:eastAsia="黑体"/>
          <w:sz w:val="32"/>
          <w:highlight w:val="none"/>
          <w:lang w:eastAsia="zh-CN"/>
        </w:rPr>
        <w:drawing>
          <wp:anchor distT="0" distB="0" distL="114300" distR="114300" simplePos="0" relativeHeight="251720704" behindDoc="0" locked="0" layoutInCell="1" allowOverlap="1">
            <wp:simplePos x="0" y="0"/>
            <wp:positionH relativeFrom="column">
              <wp:posOffset>-1146175</wp:posOffset>
            </wp:positionH>
            <wp:positionV relativeFrom="paragraph">
              <wp:posOffset>-916305</wp:posOffset>
            </wp:positionV>
            <wp:extent cx="7566660" cy="10704195"/>
            <wp:effectExtent l="0" t="0" r="15240" b="1905"/>
            <wp:wrapNone/>
            <wp:docPr id="34" name="图片 34" descr="资质扫描件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资质扫描件_页面_1"/>
                    <pic:cNvPicPr>
                      <a:picLocks noChangeAspect="1"/>
                    </pic:cNvPicPr>
                  </pic:nvPicPr>
                  <pic:blipFill>
                    <a:blip r:embed="rId27"/>
                    <a:stretch>
                      <a:fillRect/>
                    </a:stretch>
                  </pic:blipFill>
                  <pic:spPr>
                    <a:xfrm>
                      <a:off x="0" y="0"/>
                      <a:ext cx="7566660" cy="10704195"/>
                    </a:xfrm>
                    <a:prstGeom prst="rect">
                      <a:avLst/>
                    </a:prstGeom>
                  </pic:spPr>
                </pic:pic>
              </a:graphicData>
            </a:graphic>
          </wp:anchor>
        </w:drawing>
      </w:r>
    </w:p>
    <w:p>
      <w:pPr>
        <w:pStyle w:val="50"/>
        <w:rPr>
          <w:rFonts w:hint="eastAsia" w:eastAsia="黑体"/>
          <w:sz w:val="32"/>
          <w:highlight w:val="none"/>
          <w:lang w:eastAsia="zh-CN"/>
        </w:rPr>
      </w:pPr>
    </w:p>
    <w:p>
      <w:pPr>
        <w:rPr>
          <w:rFonts w:eastAsia="黑体"/>
          <w:sz w:val="32"/>
          <w:highlight w:val="none"/>
        </w:rPr>
      </w:pPr>
    </w:p>
    <w:p>
      <w:pPr>
        <w:pStyle w:val="50"/>
        <w:rPr>
          <w:rFonts w:eastAsia="黑体"/>
          <w:sz w:val="32"/>
          <w:highlight w:val="none"/>
        </w:rPr>
        <w:sectPr>
          <w:headerReference r:id="rId5" w:type="first"/>
          <w:footerReference r:id="rId7" w:type="first"/>
          <w:headerReference r:id="rId3" w:type="default"/>
          <w:headerReference r:id="rId4" w:type="even"/>
          <w:footerReference r:id="rId6" w:type="even"/>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p>
    <w:p>
      <w:pPr>
        <w:rPr>
          <w:rFonts w:hint="eastAsia" w:eastAsia="宋体"/>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r>
        <w:rPr>
          <w:rFonts w:hint="eastAsia" w:eastAsia="宋体"/>
          <w:lang w:eastAsia="zh-CN"/>
        </w:rPr>
        <w:drawing>
          <wp:anchor distT="0" distB="0" distL="114300" distR="114300" simplePos="0" relativeHeight="251721728" behindDoc="0" locked="0" layoutInCell="1" allowOverlap="1">
            <wp:simplePos x="0" y="0"/>
            <wp:positionH relativeFrom="column">
              <wp:posOffset>-1133475</wp:posOffset>
            </wp:positionH>
            <wp:positionV relativeFrom="paragraph">
              <wp:posOffset>-902970</wp:posOffset>
            </wp:positionV>
            <wp:extent cx="7539355" cy="10666095"/>
            <wp:effectExtent l="0" t="0" r="4445" b="1905"/>
            <wp:wrapNone/>
            <wp:docPr id="56" name="图片 56" descr="资质扫描件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资质扫描件_页面_2"/>
                    <pic:cNvPicPr>
                      <a:picLocks noChangeAspect="1"/>
                    </pic:cNvPicPr>
                  </pic:nvPicPr>
                  <pic:blipFill>
                    <a:blip r:embed="rId28"/>
                    <a:stretch>
                      <a:fillRect/>
                    </a:stretch>
                  </pic:blipFill>
                  <pic:spPr>
                    <a:xfrm>
                      <a:off x="0" y="0"/>
                      <a:ext cx="7539355" cy="10666095"/>
                    </a:xfrm>
                    <a:prstGeom prst="rect">
                      <a:avLst/>
                    </a:prstGeom>
                  </pic:spPr>
                </pic:pic>
              </a:graphicData>
            </a:graphic>
          </wp:anchor>
        </w:drawing>
      </w:r>
    </w:p>
    <w:p>
      <w:pPr>
        <w:rPr>
          <w:rFonts w:hint="eastAsia" w:eastAsia="宋体"/>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r>
        <w:rPr>
          <w:rFonts w:hint="eastAsia" w:eastAsia="宋体"/>
          <w:lang w:eastAsia="zh-CN"/>
        </w:rPr>
        <w:drawing>
          <wp:anchor distT="0" distB="0" distL="114300" distR="114300" simplePos="0" relativeHeight="251722752" behindDoc="0" locked="0" layoutInCell="1" allowOverlap="1">
            <wp:simplePos x="0" y="0"/>
            <wp:positionH relativeFrom="column">
              <wp:posOffset>-1152525</wp:posOffset>
            </wp:positionH>
            <wp:positionV relativeFrom="paragraph">
              <wp:posOffset>-893445</wp:posOffset>
            </wp:positionV>
            <wp:extent cx="7528560" cy="10650220"/>
            <wp:effectExtent l="0" t="0" r="15240" b="17780"/>
            <wp:wrapNone/>
            <wp:docPr id="75" name="图片 75" descr="资质扫描件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资质扫描件_页面_3"/>
                    <pic:cNvPicPr>
                      <a:picLocks noChangeAspect="1"/>
                    </pic:cNvPicPr>
                  </pic:nvPicPr>
                  <pic:blipFill>
                    <a:blip r:embed="rId29"/>
                    <a:stretch>
                      <a:fillRect/>
                    </a:stretch>
                  </pic:blipFill>
                  <pic:spPr>
                    <a:xfrm>
                      <a:off x="0" y="0"/>
                      <a:ext cx="7528560" cy="10650220"/>
                    </a:xfrm>
                    <a:prstGeom prst="rect">
                      <a:avLst/>
                    </a:prstGeom>
                  </pic:spPr>
                </pic:pic>
              </a:graphicData>
            </a:graphic>
          </wp:anchor>
        </w:drawing>
      </w:r>
    </w:p>
    <w:p>
      <w:pPr>
        <w:rPr>
          <w:rFonts w:hint="eastAsia" w:eastAsia="宋体"/>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r>
        <w:rPr>
          <w:rFonts w:hint="eastAsia" w:eastAsia="宋体"/>
          <w:lang w:eastAsia="zh-CN"/>
        </w:rPr>
        <w:drawing>
          <wp:anchor distT="0" distB="0" distL="114300" distR="114300" simplePos="0" relativeHeight="251723776" behindDoc="0" locked="0" layoutInCell="1" allowOverlap="1">
            <wp:simplePos x="0" y="0"/>
            <wp:positionH relativeFrom="column">
              <wp:posOffset>-1133475</wp:posOffset>
            </wp:positionH>
            <wp:positionV relativeFrom="paragraph">
              <wp:posOffset>-912495</wp:posOffset>
            </wp:positionV>
            <wp:extent cx="7539355" cy="10666095"/>
            <wp:effectExtent l="0" t="0" r="4445" b="1905"/>
            <wp:wrapNone/>
            <wp:docPr id="78" name="图片 78" descr="资质扫描件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资质扫描件_页面_4"/>
                    <pic:cNvPicPr>
                      <a:picLocks noChangeAspect="1"/>
                    </pic:cNvPicPr>
                  </pic:nvPicPr>
                  <pic:blipFill>
                    <a:blip r:embed="rId30"/>
                    <a:stretch>
                      <a:fillRect/>
                    </a:stretch>
                  </pic:blipFill>
                  <pic:spPr>
                    <a:xfrm>
                      <a:off x="0" y="0"/>
                      <a:ext cx="7539355" cy="10666095"/>
                    </a:xfrm>
                    <a:prstGeom prst="rect">
                      <a:avLst/>
                    </a:prstGeom>
                  </pic:spPr>
                </pic:pic>
              </a:graphicData>
            </a:graphic>
          </wp:anchor>
        </w:drawing>
      </w:r>
    </w:p>
    <w:p>
      <w:pPr>
        <w:rPr>
          <w:rFonts w:hint="eastAsia" w:eastAsia="宋体"/>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r>
        <w:rPr>
          <w:rFonts w:hint="eastAsia" w:eastAsia="宋体"/>
          <w:lang w:eastAsia="zh-CN"/>
        </w:rPr>
        <w:drawing>
          <wp:anchor distT="0" distB="0" distL="114300" distR="114300" simplePos="0" relativeHeight="251724800" behindDoc="0" locked="0" layoutInCell="1" allowOverlap="1">
            <wp:simplePos x="0" y="0"/>
            <wp:positionH relativeFrom="column">
              <wp:posOffset>-1133475</wp:posOffset>
            </wp:positionH>
            <wp:positionV relativeFrom="paragraph">
              <wp:posOffset>-931545</wp:posOffset>
            </wp:positionV>
            <wp:extent cx="7566660" cy="10704830"/>
            <wp:effectExtent l="0" t="0" r="15240" b="1270"/>
            <wp:wrapNone/>
            <wp:docPr id="79" name="图片 79" descr="资质扫描件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资质扫描件_页面_5"/>
                    <pic:cNvPicPr>
                      <a:picLocks noChangeAspect="1"/>
                    </pic:cNvPicPr>
                  </pic:nvPicPr>
                  <pic:blipFill>
                    <a:blip r:embed="rId31"/>
                    <a:stretch>
                      <a:fillRect/>
                    </a:stretch>
                  </pic:blipFill>
                  <pic:spPr>
                    <a:xfrm>
                      <a:off x="0" y="0"/>
                      <a:ext cx="7566660" cy="10704830"/>
                    </a:xfrm>
                    <a:prstGeom prst="rect">
                      <a:avLst/>
                    </a:prstGeom>
                  </pic:spPr>
                </pic:pic>
              </a:graphicData>
            </a:graphic>
          </wp:anchor>
        </w:drawing>
      </w:r>
    </w:p>
    <w:p>
      <w:pPr>
        <w:rPr>
          <w:rFonts w:hint="eastAsia" w:eastAsia="宋体"/>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r>
        <w:rPr>
          <w:rFonts w:hint="eastAsia" w:eastAsia="宋体"/>
          <w:lang w:eastAsia="zh-CN"/>
        </w:rPr>
        <w:drawing>
          <wp:anchor distT="0" distB="0" distL="114300" distR="114300" simplePos="0" relativeHeight="251725824" behindDoc="0" locked="0" layoutInCell="1" allowOverlap="1">
            <wp:simplePos x="0" y="0"/>
            <wp:positionH relativeFrom="column">
              <wp:posOffset>-1133475</wp:posOffset>
            </wp:positionH>
            <wp:positionV relativeFrom="paragraph">
              <wp:posOffset>-893445</wp:posOffset>
            </wp:positionV>
            <wp:extent cx="7526020" cy="10647045"/>
            <wp:effectExtent l="0" t="0" r="17780" b="1905"/>
            <wp:wrapNone/>
            <wp:docPr id="80" name="图片 80" descr="资质扫描件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资质扫描件_页面_6"/>
                    <pic:cNvPicPr>
                      <a:picLocks noChangeAspect="1"/>
                    </pic:cNvPicPr>
                  </pic:nvPicPr>
                  <pic:blipFill>
                    <a:blip r:embed="rId32"/>
                    <a:stretch>
                      <a:fillRect/>
                    </a:stretch>
                  </pic:blipFill>
                  <pic:spPr>
                    <a:xfrm>
                      <a:off x="0" y="0"/>
                      <a:ext cx="7526020" cy="10647045"/>
                    </a:xfrm>
                    <a:prstGeom prst="rect">
                      <a:avLst/>
                    </a:prstGeom>
                  </pic:spPr>
                </pic:pic>
              </a:graphicData>
            </a:graphic>
          </wp:anchor>
        </w:drawing>
      </w:r>
    </w:p>
    <w:p>
      <w:pPr>
        <w:rPr>
          <w:highlight w:val="none"/>
        </w:rPr>
      </w:pPr>
    </w:p>
    <w:p>
      <w:pPr>
        <w:pStyle w:val="7"/>
        <w:rPr>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p>
    <w:p>
      <w:pPr>
        <w:keepNext w:val="0"/>
        <w:keepLines w:val="0"/>
        <w:pageBreakBefore w:val="0"/>
        <w:widowControl w:val="0"/>
        <w:kinsoku/>
        <w:wordWrap/>
        <w:overflowPunct/>
        <w:topLinePunct w:val="0"/>
        <w:autoSpaceDE w:val="0"/>
        <w:autoSpaceDN w:val="0"/>
        <w:bidi w:val="0"/>
        <w:adjustRightInd w:val="0"/>
        <w:snapToGrid/>
        <w:spacing w:line="480" w:lineRule="exact"/>
        <w:ind w:firstLine="602" w:firstLineChars="200"/>
        <w:jc w:val="center"/>
        <w:textAlignment w:val="auto"/>
        <w:rPr>
          <w:b/>
          <w:sz w:val="24"/>
          <w:szCs w:val="24"/>
          <w:highlight w:val="none"/>
        </w:rPr>
      </w:pPr>
      <w:r>
        <w:rPr>
          <w:b/>
          <w:sz w:val="30"/>
          <w:szCs w:val="30"/>
          <w:highlight w:val="none"/>
        </w:rPr>
        <w:t>目  录</w:t>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b/>
          <w:bCs/>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TOC \o "1-2" \h \u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b/>
          <w:bCs/>
          <w:sz w:val="24"/>
          <w:szCs w:val="24"/>
          <w:highlight w:val="none"/>
        </w:rPr>
        <w:fldChar w:fldCharType="begin"/>
      </w:r>
      <w:r>
        <w:rPr>
          <w:rFonts w:hint="default" w:ascii="Times New Roman" w:hAnsi="Times New Roman" w:eastAsia="宋体" w:cs="Times New Roman"/>
          <w:b/>
          <w:bCs/>
          <w:sz w:val="24"/>
          <w:szCs w:val="24"/>
          <w:highlight w:val="none"/>
        </w:rPr>
        <w:instrText xml:space="preserve"> HYPERLINK \l _Toc16069 </w:instrText>
      </w:r>
      <w:r>
        <w:rPr>
          <w:rFonts w:hint="default" w:ascii="Times New Roman" w:hAnsi="Times New Roman" w:eastAsia="宋体" w:cs="Times New Roman"/>
          <w:b/>
          <w:bCs/>
          <w:sz w:val="24"/>
          <w:szCs w:val="24"/>
          <w:highlight w:val="none"/>
        </w:rPr>
        <w:fldChar w:fldCharType="separate"/>
      </w:r>
      <w:r>
        <w:rPr>
          <w:rFonts w:hint="default" w:ascii="Times New Roman" w:hAnsi="Times New Roman" w:eastAsia="宋体" w:cs="Times New Roman"/>
          <w:b/>
          <w:bCs/>
          <w:sz w:val="24"/>
          <w:szCs w:val="24"/>
          <w:highlight w:val="none"/>
        </w:rPr>
        <w:t>0 前言</w:t>
      </w:r>
      <w:r>
        <w:rPr>
          <w:rFonts w:hint="default" w:ascii="Times New Roman" w:hAnsi="Times New Roman" w:eastAsia="宋体" w:cs="Times New Roman"/>
          <w:b/>
          <w:bCs/>
          <w:sz w:val="24"/>
          <w:szCs w:val="24"/>
          <w:highlight w:val="none"/>
        </w:rPr>
        <w:tab/>
      </w:r>
      <w:r>
        <w:rPr>
          <w:rFonts w:hint="default" w:ascii="Times New Roman" w:hAnsi="Times New Roman" w:eastAsia="宋体" w:cs="Times New Roman"/>
          <w:b/>
          <w:bCs/>
          <w:sz w:val="24"/>
          <w:szCs w:val="24"/>
          <w:highlight w:val="none"/>
        </w:rPr>
        <w:fldChar w:fldCharType="begin"/>
      </w:r>
      <w:r>
        <w:rPr>
          <w:rFonts w:hint="default" w:ascii="Times New Roman" w:hAnsi="Times New Roman" w:eastAsia="宋体" w:cs="Times New Roman"/>
          <w:b/>
          <w:bCs/>
          <w:sz w:val="24"/>
          <w:szCs w:val="24"/>
          <w:highlight w:val="none"/>
        </w:rPr>
        <w:instrText xml:space="preserve"> PAGEREF _Toc16069 \h </w:instrText>
      </w:r>
      <w:r>
        <w:rPr>
          <w:rFonts w:hint="default" w:ascii="Times New Roman" w:hAnsi="Times New Roman" w:eastAsia="宋体" w:cs="Times New Roman"/>
          <w:b/>
          <w:bCs/>
          <w:sz w:val="24"/>
          <w:szCs w:val="24"/>
          <w:highlight w:val="none"/>
        </w:rPr>
        <w:fldChar w:fldCharType="separate"/>
      </w:r>
      <w:r>
        <w:rPr>
          <w:rFonts w:hint="default" w:ascii="Times New Roman" w:hAnsi="Times New Roman" w:eastAsia="宋体" w:cs="Times New Roman"/>
          <w:b/>
          <w:bCs/>
          <w:sz w:val="24"/>
          <w:szCs w:val="24"/>
          <w:highlight w:val="none"/>
        </w:rPr>
        <w:t>1</w:t>
      </w:r>
      <w:r>
        <w:rPr>
          <w:rFonts w:hint="default" w:ascii="Times New Roman" w:hAnsi="Times New Roman" w:eastAsia="宋体" w:cs="Times New Roman"/>
          <w:b/>
          <w:bCs/>
          <w:sz w:val="24"/>
          <w:szCs w:val="24"/>
          <w:highlight w:val="none"/>
        </w:rPr>
        <w:fldChar w:fldCharType="end"/>
      </w:r>
      <w:r>
        <w:rPr>
          <w:rFonts w:hint="default" w:ascii="Times New Roman" w:hAnsi="Times New Roman" w:eastAsia="宋体" w:cs="Times New Roman"/>
          <w:b/>
          <w:bCs/>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_Toc3392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0.1项目背景</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_Toc3392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_Toc25056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0.2 建设项目特点</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_Toc25056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6</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_Toc28921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0.3 环境影响评价工作过程</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_Toc28921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7</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_Toc29997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0.4 分析判断情况</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_Toc29997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7</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_Toc2759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0.5评价等级判定</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_Toc2759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23</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_Toc32584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0.6关注的主要环境问题及环境影响</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_Toc32584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23</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_Toc28173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0.7环境影响评价主要结论</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_Toc28173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24</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bCs/>
          <w:sz w:val="24"/>
          <w:szCs w:val="24"/>
          <w:highlight w:val="none"/>
        </w:rPr>
        <w:fldChar w:fldCharType="begin"/>
      </w:r>
      <w:r>
        <w:rPr>
          <w:rFonts w:hint="default" w:ascii="Times New Roman" w:hAnsi="Times New Roman" w:eastAsia="宋体" w:cs="Times New Roman"/>
          <w:b/>
          <w:bCs/>
          <w:sz w:val="24"/>
          <w:szCs w:val="24"/>
          <w:highlight w:val="none"/>
        </w:rPr>
        <w:instrText xml:space="preserve"> HYPERLINK \l _Toc14420 </w:instrText>
      </w:r>
      <w:r>
        <w:rPr>
          <w:rFonts w:hint="default" w:ascii="Times New Roman" w:hAnsi="Times New Roman" w:eastAsia="宋体" w:cs="Times New Roman"/>
          <w:b/>
          <w:bCs/>
          <w:sz w:val="24"/>
          <w:szCs w:val="24"/>
          <w:highlight w:val="none"/>
        </w:rPr>
        <w:fldChar w:fldCharType="separate"/>
      </w:r>
      <w:r>
        <w:rPr>
          <w:rFonts w:hint="default" w:ascii="Times New Roman" w:hAnsi="Times New Roman" w:eastAsia="宋体" w:cs="Times New Roman"/>
          <w:b/>
          <w:bCs/>
          <w:sz w:val="24"/>
          <w:szCs w:val="24"/>
          <w:highlight w:val="none"/>
        </w:rPr>
        <w:t>1 总则</w:t>
      </w:r>
      <w:r>
        <w:rPr>
          <w:rFonts w:hint="default" w:ascii="Times New Roman" w:hAnsi="Times New Roman" w:eastAsia="宋体" w:cs="Times New Roman"/>
          <w:b/>
          <w:bCs/>
          <w:sz w:val="24"/>
          <w:szCs w:val="24"/>
          <w:highlight w:val="none"/>
        </w:rPr>
        <w:tab/>
      </w:r>
      <w:r>
        <w:rPr>
          <w:rFonts w:hint="default" w:ascii="Times New Roman" w:hAnsi="Times New Roman" w:eastAsia="宋体" w:cs="Times New Roman"/>
          <w:b/>
          <w:bCs/>
          <w:sz w:val="24"/>
          <w:szCs w:val="24"/>
          <w:highlight w:val="none"/>
        </w:rPr>
        <w:fldChar w:fldCharType="begin"/>
      </w:r>
      <w:r>
        <w:rPr>
          <w:rFonts w:hint="default" w:ascii="Times New Roman" w:hAnsi="Times New Roman" w:eastAsia="宋体" w:cs="Times New Roman"/>
          <w:b/>
          <w:bCs/>
          <w:sz w:val="24"/>
          <w:szCs w:val="24"/>
          <w:highlight w:val="none"/>
        </w:rPr>
        <w:instrText xml:space="preserve"> PAGEREF _Toc14420 \h </w:instrText>
      </w:r>
      <w:r>
        <w:rPr>
          <w:rFonts w:hint="default" w:ascii="Times New Roman" w:hAnsi="Times New Roman" w:eastAsia="宋体" w:cs="Times New Roman"/>
          <w:b/>
          <w:bCs/>
          <w:sz w:val="24"/>
          <w:szCs w:val="24"/>
          <w:highlight w:val="none"/>
        </w:rPr>
        <w:fldChar w:fldCharType="separate"/>
      </w:r>
      <w:r>
        <w:rPr>
          <w:rFonts w:hint="default" w:ascii="Times New Roman" w:hAnsi="Times New Roman" w:eastAsia="宋体" w:cs="Times New Roman"/>
          <w:b/>
          <w:bCs/>
          <w:sz w:val="24"/>
          <w:szCs w:val="24"/>
          <w:highlight w:val="none"/>
        </w:rPr>
        <w:t>26</w:t>
      </w:r>
      <w:r>
        <w:rPr>
          <w:rFonts w:hint="default" w:ascii="Times New Roman" w:hAnsi="Times New Roman" w:eastAsia="宋体" w:cs="Times New Roman"/>
          <w:b/>
          <w:bCs/>
          <w:sz w:val="24"/>
          <w:szCs w:val="24"/>
          <w:highlight w:val="none"/>
        </w:rPr>
        <w:fldChar w:fldCharType="end"/>
      </w:r>
      <w:r>
        <w:rPr>
          <w:rFonts w:hint="default" w:ascii="Times New Roman" w:hAnsi="Times New Roman" w:eastAsia="宋体" w:cs="Times New Roman"/>
          <w:b/>
          <w:bCs/>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_Toc25448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1.1评价目的</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_Toc25448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26</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_Toc7010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1.2 编制依据</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_Toc7010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26</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_Toc774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w:t>
      </w:r>
      <w:r>
        <w:rPr>
          <w:rFonts w:hint="default" w:ascii="Times New Roman" w:hAnsi="Times New Roman" w:eastAsia="宋体" w:cs="Times New Roman"/>
          <w:sz w:val="24"/>
          <w:szCs w:val="24"/>
          <w:highlight w:val="none"/>
          <w:lang w:val="en-US" w:eastAsia="zh-CN"/>
        </w:rPr>
        <w:t>3</w:t>
      </w:r>
      <w:r>
        <w:rPr>
          <w:rFonts w:hint="default" w:ascii="Times New Roman" w:hAnsi="Times New Roman" w:eastAsia="宋体" w:cs="Times New Roman"/>
          <w:sz w:val="24"/>
          <w:szCs w:val="24"/>
          <w:highlight w:val="none"/>
        </w:rPr>
        <w:t xml:space="preserve"> 环境影响要素识别和评价因子筛选</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_Toc774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32</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_Toc11223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w:t>
      </w:r>
      <w:r>
        <w:rPr>
          <w:rFonts w:hint="default" w:ascii="Times New Roman" w:hAnsi="Times New Roman" w:eastAsia="宋体" w:cs="Times New Roman"/>
          <w:sz w:val="24"/>
          <w:szCs w:val="24"/>
          <w:highlight w:val="none"/>
          <w:lang w:val="en-US" w:eastAsia="zh-CN"/>
        </w:rPr>
        <w:t>4</w:t>
      </w:r>
      <w:r>
        <w:rPr>
          <w:rFonts w:hint="default" w:ascii="Times New Roman" w:hAnsi="Times New Roman" w:eastAsia="宋体" w:cs="Times New Roman"/>
          <w:sz w:val="24"/>
          <w:szCs w:val="24"/>
          <w:highlight w:val="none"/>
        </w:rPr>
        <w:t xml:space="preserve"> 评价标准</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_Toc11223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35</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_Toc9947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w:t>
      </w:r>
      <w:r>
        <w:rPr>
          <w:rFonts w:hint="default" w:ascii="Times New Roman" w:hAnsi="Times New Roman" w:eastAsia="宋体" w:cs="Times New Roman"/>
          <w:sz w:val="24"/>
          <w:szCs w:val="24"/>
          <w:highlight w:val="none"/>
          <w:lang w:val="en-US" w:eastAsia="zh-CN"/>
        </w:rPr>
        <w:t>5</w:t>
      </w:r>
      <w:r>
        <w:rPr>
          <w:rFonts w:hint="default" w:ascii="Times New Roman" w:hAnsi="Times New Roman" w:eastAsia="宋体" w:cs="Times New Roman"/>
          <w:sz w:val="24"/>
          <w:szCs w:val="24"/>
          <w:highlight w:val="none"/>
        </w:rPr>
        <w:t>评价等级、评价范围、评价时段</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_Toc9947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38</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_Toc22359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w:t>
      </w:r>
      <w:r>
        <w:rPr>
          <w:rFonts w:hint="default" w:ascii="Times New Roman" w:hAnsi="Times New Roman" w:eastAsia="宋体" w:cs="Times New Roman"/>
          <w:sz w:val="24"/>
          <w:szCs w:val="24"/>
          <w:highlight w:val="none"/>
          <w:lang w:val="en-US" w:eastAsia="zh-CN"/>
        </w:rPr>
        <w:t>6</w:t>
      </w:r>
      <w:r>
        <w:rPr>
          <w:rFonts w:hint="default" w:ascii="Times New Roman" w:hAnsi="Times New Roman" w:eastAsia="宋体" w:cs="Times New Roman"/>
          <w:sz w:val="24"/>
          <w:szCs w:val="24"/>
          <w:highlight w:val="none"/>
        </w:rPr>
        <w:t>环境敏感区域环境保护目标</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_Toc22359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47</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_Toc7033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w:t>
      </w:r>
      <w:r>
        <w:rPr>
          <w:rFonts w:hint="default" w:ascii="Times New Roman" w:hAnsi="Times New Roman" w:eastAsia="宋体" w:cs="Times New Roman"/>
          <w:sz w:val="24"/>
          <w:szCs w:val="24"/>
          <w:highlight w:val="none"/>
          <w:lang w:val="en-US" w:eastAsia="zh-CN"/>
        </w:rPr>
        <w:t>7</w:t>
      </w:r>
      <w:r>
        <w:rPr>
          <w:rFonts w:hint="default" w:ascii="Times New Roman" w:hAnsi="Times New Roman" w:eastAsia="宋体" w:cs="Times New Roman"/>
          <w:sz w:val="24"/>
          <w:szCs w:val="24"/>
          <w:highlight w:val="none"/>
        </w:rPr>
        <w:t xml:space="preserve"> 环境功能区划</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_Toc7033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50</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bCs/>
          <w:sz w:val="24"/>
          <w:szCs w:val="24"/>
          <w:highlight w:val="none"/>
        </w:rPr>
        <w:fldChar w:fldCharType="begin"/>
      </w:r>
      <w:r>
        <w:rPr>
          <w:rFonts w:hint="default" w:ascii="Times New Roman" w:hAnsi="Times New Roman" w:eastAsia="宋体" w:cs="Times New Roman"/>
          <w:b/>
          <w:bCs/>
          <w:sz w:val="24"/>
          <w:szCs w:val="24"/>
          <w:highlight w:val="none"/>
        </w:rPr>
        <w:instrText xml:space="preserve"> HYPERLINK \l _Toc24514 </w:instrText>
      </w:r>
      <w:r>
        <w:rPr>
          <w:rFonts w:hint="default" w:ascii="Times New Roman" w:hAnsi="Times New Roman" w:eastAsia="宋体" w:cs="Times New Roman"/>
          <w:b/>
          <w:bCs/>
          <w:sz w:val="24"/>
          <w:szCs w:val="24"/>
          <w:highlight w:val="none"/>
        </w:rPr>
        <w:fldChar w:fldCharType="separate"/>
      </w:r>
      <w:r>
        <w:rPr>
          <w:rFonts w:hint="default" w:ascii="Times New Roman" w:hAnsi="Times New Roman" w:eastAsia="宋体" w:cs="Times New Roman"/>
          <w:b/>
          <w:bCs/>
          <w:sz w:val="24"/>
          <w:szCs w:val="24"/>
          <w:highlight w:val="none"/>
        </w:rPr>
        <w:t>2 工程概况</w:t>
      </w:r>
      <w:r>
        <w:rPr>
          <w:rFonts w:hint="default" w:ascii="Times New Roman" w:hAnsi="Times New Roman" w:eastAsia="宋体" w:cs="Times New Roman"/>
          <w:b/>
          <w:bCs/>
          <w:sz w:val="24"/>
          <w:szCs w:val="24"/>
          <w:highlight w:val="none"/>
        </w:rPr>
        <w:tab/>
      </w:r>
      <w:r>
        <w:rPr>
          <w:rFonts w:hint="default" w:ascii="Times New Roman" w:hAnsi="Times New Roman" w:eastAsia="宋体" w:cs="Times New Roman"/>
          <w:b/>
          <w:bCs/>
          <w:sz w:val="24"/>
          <w:szCs w:val="24"/>
          <w:highlight w:val="none"/>
        </w:rPr>
        <w:fldChar w:fldCharType="begin"/>
      </w:r>
      <w:r>
        <w:rPr>
          <w:rFonts w:hint="default" w:ascii="Times New Roman" w:hAnsi="Times New Roman" w:eastAsia="宋体" w:cs="Times New Roman"/>
          <w:b/>
          <w:bCs/>
          <w:sz w:val="24"/>
          <w:szCs w:val="24"/>
          <w:highlight w:val="none"/>
        </w:rPr>
        <w:instrText xml:space="preserve"> PAGEREF _Toc24514 \h </w:instrText>
      </w:r>
      <w:r>
        <w:rPr>
          <w:rFonts w:hint="default" w:ascii="Times New Roman" w:hAnsi="Times New Roman" w:eastAsia="宋体" w:cs="Times New Roman"/>
          <w:b/>
          <w:bCs/>
          <w:sz w:val="24"/>
          <w:szCs w:val="24"/>
          <w:highlight w:val="none"/>
        </w:rPr>
        <w:fldChar w:fldCharType="separate"/>
      </w:r>
      <w:r>
        <w:rPr>
          <w:rFonts w:hint="default" w:ascii="Times New Roman" w:hAnsi="Times New Roman" w:eastAsia="宋体" w:cs="Times New Roman"/>
          <w:b/>
          <w:bCs/>
          <w:sz w:val="24"/>
          <w:szCs w:val="24"/>
          <w:highlight w:val="none"/>
        </w:rPr>
        <w:t>51</w:t>
      </w:r>
      <w:r>
        <w:rPr>
          <w:rFonts w:hint="default" w:ascii="Times New Roman" w:hAnsi="Times New Roman" w:eastAsia="宋体" w:cs="Times New Roman"/>
          <w:b/>
          <w:bCs/>
          <w:sz w:val="24"/>
          <w:szCs w:val="24"/>
          <w:highlight w:val="none"/>
        </w:rPr>
        <w:fldChar w:fldCharType="end"/>
      </w:r>
      <w:r>
        <w:rPr>
          <w:rFonts w:hint="default" w:ascii="Times New Roman" w:hAnsi="Times New Roman" w:eastAsia="宋体" w:cs="Times New Roman"/>
          <w:b/>
          <w:bCs/>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_Toc27786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2.1 流域及水电规划概况</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_Toc27786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51</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_Toc22073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2.2 工程地理位置</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_Toc22073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53</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_Toc21058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2.3 工程任务与工程规模</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_Toc21058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53</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_Toc14165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w:t>
      </w:r>
      <w:r>
        <w:rPr>
          <w:rFonts w:hint="default" w:ascii="Times New Roman" w:hAnsi="Times New Roman" w:eastAsia="宋体" w:cs="Times New Roman"/>
          <w:sz w:val="24"/>
          <w:szCs w:val="24"/>
          <w:highlight w:val="none"/>
          <w:lang w:val="en-US" w:eastAsia="zh-CN"/>
        </w:rPr>
        <w:t>4</w:t>
      </w:r>
      <w:r>
        <w:rPr>
          <w:rFonts w:hint="default" w:ascii="Times New Roman" w:hAnsi="Times New Roman" w:eastAsia="宋体" w:cs="Times New Roman"/>
          <w:sz w:val="24"/>
          <w:szCs w:val="24"/>
          <w:highlight w:val="none"/>
        </w:rPr>
        <w:t xml:space="preserve"> 工程运行方式</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_Toc14165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56</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_Toc12102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w:t>
      </w:r>
      <w:r>
        <w:rPr>
          <w:rFonts w:hint="default" w:ascii="Times New Roman" w:hAnsi="Times New Roman" w:eastAsia="宋体" w:cs="Times New Roman"/>
          <w:sz w:val="24"/>
          <w:szCs w:val="24"/>
          <w:highlight w:val="none"/>
          <w:lang w:val="en-US" w:eastAsia="zh-CN"/>
        </w:rPr>
        <w:t>5</w:t>
      </w:r>
      <w:r>
        <w:rPr>
          <w:rFonts w:hint="default" w:ascii="Times New Roman" w:hAnsi="Times New Roman" w:eastAsia="宋体" w:cs="Times New Roman"/>
          <w:sz w:val="24"/>
          <w:szCs w:val="24"/>
          <w:highlight w:val="none"/>
        </w:rPr>
        <w:t xml:space="preserve"> 工程项目组成</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_Toc12102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56</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_Toc31208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w:t>
      </w:r>
      <w:r>
        <w:rPr>
          <w:rFonts w:hint="default" w:ascii="Times New Roman" w:hAnsi="Times New Roman" w:eastAsia="宋体" w:cs="Times New Roman"/>
          <w:sz w:val="24"/>
          <w:szCs w:val="24"/>
          <w:highlight w:val="none"/>
          <w:lang w:val="en-US" w:eastAsia="zh-CN"/>
        </w:rPr>
        <w:t>6</w:t>
      </w:r>
      <w:r>
        <w:rPr>
          <w:rFonts w:hint="default" w:ascii="Times New Roman" w:hAnsi="Times New Roman" w:eastAsia="宋体" w:cs="Times New Roman"/>
          <w:sz w:val="24"/>
          <w:szCs w:val="24"/>
          <w:highlight w:val="none"/>
        </w:rPr>
        <w:t xml:space="preserve"> 主要原辅材料</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_Toc31208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58</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_Toc19156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w:t>
      </w:r>
      <w:r>
        <w:rPr>
          <w:rFonts w:hint="default" w:ascii="Times New Roman" w:hAnsi="Times New Roman" w:eastAsia="宋体" w:cs="Times New Roman"/>
          <w:sz w:val="24"/>
          <w:szCs w:val="24"/>
          <w:highlight w:val="none"/>
          <w:lang w:val="en-US" w:eastAsia="zh-CN"/>
        </w:rPr>
        <w:t>7</w:t>
      </w:r>
      <w:r>
        <w:rPr>
          <w:rFonts w:hint="default" w:ascii="Times New Roman" w:hAnsi="Times New Roman" w:eastAsia="宋体" w:cs="Times New Roman"/>
          <w:sz w:val="24"/>
          <w:szCs w:val="24"/>
          <w:highlight w:val="none"/>
        </w:rPr>
        <w:t xml:space="preserve"> 工程等级和洪水标准</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_Toc19156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58</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_Toc11528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w:t>
      </w:r>
      <w:r>
        <w:rPr>
          <w:rFonts w:hint="default" w:ascii="Times New Roman" w:hAnsi="Times New Roman" w:eastAsia="宋体" w:cs="Times New Roman"/>
          <w:sz w:val="24"/>
          <w:szCs w:val="24"/>
          <w:highlight w:val="none"/>
          <w:lang w:val="en-US" w:eastAsia="zh-CN"/>
        </w:rPr>
        <w:t>8</w:t>
      </w:r>
      <w:r>
        <w:rPr>
          <w:rFonts w:hint="default" w:ascii="Times New Roman" w:hAnsi="Times New Roman" w:eastAsia="宋体" w:cs="Times New Roman"/>
          <w:sz w:val="24"/>
          <w:szCs w:val="24"/>
          <w:highlight w:val="none"/>
        </w:rPr>
        <w:t xml:space="preserve"> 工程布置及主要构筑物</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_Toc11528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58</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_Toc13517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w:t>
      </w:r>
      <w:r>
        <w:rPr>
          <w:rFonts w:hint="default" w:ascii="Times New Roman" w:hAnsi="Times New Roman" w:eastAsia="宋体" w:cs="Times New Roman"/>
          <w:sz w:val="24"/>
          <w:szCs w:val="24"/>
          <w:highlight w:val="none"/>
          <w:lang w:val="en-US" w:eastAsia="zh-CN"/>
        </w:rPr>
        <w:t>9</w:t>
      </w:r>
      <w:r>
        <w:rPr>
          <w:rFonts w:hint="default" w:ascii="Times New Roman" w:hAnsi="Times New Roman" w:eastAsia="宋体" w:cs="Times New Roman"/>
          <w:sz w:val="24"/>
          <w:szCs w:val="24"/>
          <w:highlight w:val="none"/>
        </w:rPr>
        <w:t xml:space="preserve"> 工程施工布置及进度</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_Toc13517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62</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_Toc6092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2.1</w:t>
      </w:r>
      <w:r>
        <w:rPr>
          <w:rFonts w:hint="default" w:ascii="Times New Roman" w:hAnsi="Times New Roman" w:eastAsia="宋体" w:cs="Times New Roman"/>
          <w:sz w:val="24"/>
          <w:szCs w:val="24"/>
          <w:highlight w:val="none"/>
          <w:lang w:val="en-US" w:eastAsia="zh-CN"/>
        </w:rPr>
        <w:t>0</w:t>
      </w:r>
      <w:r>
        <w:rPr>
          <w:rFonts w:hint="default" w:ascii="Times New Roman" w:hAnsi="Times New Roman" w:eastAsia="宋体" w:cs="Times New Roman"/>
          <w:sz w:val="24"/>
          <w:szCs w:val="24"/>
          <w:highlight w:val="none"/>
        </w:rPr>
        <w:t xml:space="preserve"> 淹没、占地及移民安置规划概况</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_Toc6092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62</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_Toc7194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lang w:val="en-US" w:eastAsia="zh-CN"/>
        </w:rPr>
        <w:t>2</w:t>
      </w:r>
      <w:r>
        <w:rPr>
          <w:rFonts w:hint="default" w:ascii="Times New Roman" w:hAnsi="Times New Roman" w:eastAsia="宋体" w:cs="Times New Roman"/>
          <w:sz w:val="24"/>
          <w:szCs w:val="24"/>
          <w:highlight w:val="none"/>
        </w:rPr>
        <w:t>.1</w:t>
      </w:r>
      <w:r>
        <w:rPr>
          <w:rFonts w:hint="default" w:ascii="Times New Roman" w:hAnsi="Times New Roman" w:eastAsia="宋体" w:cs="Times New Roman"/>
          <w:sz w:val="24"/>
          <w:szCs w:val="24"/>
          <w:highlight w:val="none"/>
          <w:lang w:val="en-US" w:eastAsia="zh-CN"/>
        </w:rPr>
        <w:t>1</w:t>
      </w:r>
      <w:r>
        <w:rPr>
          <w:rFonts w:hint="default" w:ascii="Times New Roman" w:hAnsi="Times New Roman" w:eastAsia="宋体" w:cs="Times New Roman"/>
          <w:sz w:val="24"/>
          <w:szCs w:val="24"/>
          <w:highlight w:val="none"/>
        </w:rPr>
        <w:t>生态流量</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_Toc7194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62</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_Toc5440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2.1</w:t>
      </w:r>
      <w:r>
        <w:rPr>
          <w:rFonts w:hint="default" w:ascii="Times New Roman" w:hAnsi="Times New Roman" w:eastAsia="宋体" w:cs="Times New Roman"/>
          <w:sz w:val="24"/>
          <w:szCs w:val="24"/>
          <w:highlight w:val="none"/>
          <w:lang w:val="en-US" w:eastAsia="zh-CN"/>
        </w:rPr>
        <w:t>2</w:t>
      </w:r>
      <w:r>
        <w:rPr>
          <w:rFonts w:hint="default" w:ascii="Times New Roman" w:hAnsi="Times New Roman" w:eastAsia="宋体" w:cs="Times New Roman"/>
          <w:sz w:val="24"/>
          <w:szCs w:val="24"/>
          <w:highlight w:val="none"/>
        </w:rPr>
        <w:t>水土保持</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_Toc5440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64</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_Toc11726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2.1</w:t>
      </w:r>
      <w:r>
        <w:rPr>
          <w:rFonts w:hint="default" w:ascii="Times New Roman" w:hAnsi="Times New Roman" w:eastAsia="宋体" w:cs="Times New Roman"/>
          <w:sz w:val="24"/>
          <w:szCs w:val="24"/>
          <w:highlight w:val="none"/>
          <w:lang w:val="en-US" w:eastAsia="zh-CN"/>
        </w:rPr>
        <w:t>3</w:t>
      </w:r>
      <w:r>
        <w:rPr>
          <w:rFonts w:hint="default" w:ascii="Times New Roman" w:hAnsi="Times New Roman" w:eastAsia="宋体" w:cs="Times New Roman"/>
          <w:sz w:val="24"/>
          <w:szCs w:val="24"/>
          <w:highlight w:val="none"/>
        </w:rPr>
        <w:t xml:space="preserve"> 公用工程</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_Toc11726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64</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_Toc21908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w:t>
      </w:r>
      <w:r>
        <w:rPr>
          <w:rFonts w:hint="default" w:ascii="Times New Roman" w:hAnsi="Times New Roman" w:eastAsia="宋体" w:cs="Times New Roman"/>
          <w:sz w:val="24"/>
          <w:szCs w:val="24"/>
          <w:highlight w:val="none"/>
          <w:lang w:val="en-US" w:eastAsia="zh-CN"/>
        </w:rPr>
        <w:t>14</w:t>
      </w:r>
      <w:r>
        <w:rPr>
          <w:rFonts w:hint="default" w:ascii="Times New Roman" w:hAnsi="Times New Roman" w:eastAsia="宋体" w:cs="Times New Roman"/>
          <w:sz w:val="24"/>
          <w:szCs w:val="24"/>
          <w:highlight w:val="none"/>
        </w:rPr>
        <w:t xml:space="preserve"> 工程</w:t>
      </w:r>
      <w:r>
        <w:rPr>
          <w:rFonts w:hint="default" w:ascii="Times New Roman" w:hAnsi="Times New Roman" w:eastAsia="宋体" w:cs="Times New Roman"/>
          <w:sz w:val="24"/>
          <w:szCs w:val="24"/>
          <w:highlight w:val="none"/>
          <w:lang w:eastAsia="zh-CN"/>
        </w:rPr>
        <w:t>管理</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_Toc21908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65</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_Toc20903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w:t>
      </w:r>
      <w:r>
        <w:rPr>
          <w:rFonts w:hint="default" w:ascii="Times New Roman" w:hAnsi="Times New Roman" w:eastAsia="宋体" w:cs="Times New Roman"/>
          <w:sz w:val="24"/>
          <w:szCs w:val="24"/>
          <w:highlight w:val="none"/>
          <w:lang w:val="en-US" w:eastAsia="zh-CN"/>
        </w:rPr>
        <w:t>15</w:t>
      </w:r>
      <w:r>
        <w:rPr>
          <w:rFonts w:hint="default" w:ascii="Times New Roman" w:hAnsi="Times New Roman" w:eastAsia="宋体" w:cs="Times New Roman"/>
          <w:sz w:val="24"/>
          <w:szCs w:val="24"/>
          <w:highlight w:val="none"/>
        </w:rPr>
        <w:t xml:space="preserve"> 工程</w:t>
      </w:r>
      <w:r>
        <w:rPr>
          <w:rFonts w:hint="default" w:ascii="Times New Roman" w:hAnsi="Times New Roman" w:eastAsia="宋体" w:cs="Times New Roman"/>
          <w:sz w:val="24"/>
          <w:szCs w:val="24"/>
          <w:highlight w:val="none"/>
          <w:lang w:eastAsia="zh-CN"/>
        </w:rPr>
        <w:t>投资</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_Toc20903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65</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bCs/>
          <w:sz w:val="24"/>
          <w:szCs w:val="24"/>
          <w:highlight w:val="none"/>
        </w:rPr>
        <w:fldChar w:fldCharType="begin"/>
      </w:r>
      <w:r>
        <w:rPr>
          <w:rFonts w:hint="default" w:ascii="Times New Roman" w:hAnsi="Times New Roman" w:eastAsia="宋体" w:cs="Times New Roman"/>
          <w:b/>
          <w:bCs/>
          <w:sz w:val="24"/>
          <w:szCs w:val="24"/>
          <w:highlight w:val="none"/>
        </w:rPr>
        <w:instrText xml:space="preserve"> HYPERLINK \l _Toc27694 </w:instrText>
      </w:r>
      <w:r>
        <w:rPr>
          <w:rFonts w:hint="default" w:ascii="Times New Roman" w:hAnsi="Times New Roman" w:eastAsia="宋体" w:cs="Times New Roman"/>
          <w:b/>
          <w:bCs/>
          <w:sz w:val="24"/>
          <w:szCs w:val="24"/>
          <w:highlight w:val="none"/>
        </w:rPr>
        <w:fldChar w:fldCharType="separate"/>
      </w:r>
      <w:r>
        <w:rPr>
          <w:rFonts w:hint="default" w:ascii="Times New Roman" w:hAnsi="Times New Roman" w:eastAsia="宋体" w:cs="Times New Roman"/>
          <w:b/>
          <w:bCs/>
          <w:sz w:val="24"/>
          <w:szCs w:val="24"/>
          <w:highlight w:val="none"/>
        </w:rPr>
        <w:t>3工程分析</w:t>
      </w:r>
      <w:r>
        <w:rPr>
          <w:rFonts w:hint="default" w:ascii="Times New Roman" w:hAnsi="Times New Roman" w:eastAsia="宋体" w:cs="Times New Roman"/>
          <w:b/>
          <w:bCs/>
          <w:sz w:val="24"/>
          <w:szCs w:val="24"/>
          <w:highlight w:val="none"/>
        </w:rPr>
        <w:tab/>
      </w:r>
      <w:r>
        <w:rPr>
          <w:rFonts w:hint="default" w:ascii="Times New Roman" w:hAnsi="Times New Roman" w:eastAsia="宋体" w:cs="Times New Roman"/>
          <w:b/>
          <w:bCs/>
          <w:sz w:val="24"/>
          <w:szCs w:val="24"/>
          <w:highlight w:val="none"/>
        </w:rPr>
        <w:fldChar w:fldCharType="begin"/>
      </w:r>
      <w:r>
        <w:rPr>
          <w:rFonts w:hint="default" w:ascii="Times New Roman" w:hAnsi="Times New Roman" w:eastAsia="宋体" w:cs="Times New Roman"/>
          <w:b/>
          <w:bCs/>
          <w:sz w:val="24"/>
          <w:szCs w:val="24"/>
          <w:highlight w:val="none"/>
        </w:rPr>
        <w:instrText xml:space="preserve"> PAGEREF _Toc27694 \h </w:instrText>
      </w:r>
      <w:r>
        <w:rPr>
          <w:rFonts w:hint="default" w:ascii="Times New Roman" w:hAnsi="Times New Roman" w:eastAsia="宋体" w:cs="Times New Roman"/>
          <w:b/>
          <w:bCs/>
          <w:sz w:val="24"/>
          <w:szCs w:val="24"/>
          <w:highlight w:val="none"/>
        </w:rPr>
        <w:fldChar w:fldCharType="separate"/>
      </w:r>
      <w:r>
        <w:rPr>
          <w:rFonts w:hint="default" w:ascii="Times New Roman" w:hAnsi="Times New Roman" w:eastAsia="宋体" w:cs="Times New Roman"/>
          <w:b/>
          <w:bCs/>
          <w:sz w:val="24"/>
          <w:szCs w:val="24"/>
          <w:highlight w:val="none"/>
        </w:rPr>
        <w:t>66</w:t>
      </w:r>
      <w:r>
        <w:rPr>
          <w:rFonts w:hint="default" w:ascii="Times New Roman" w:hAnsi="Times New Roman" w:eastAsia="宋体" w:cs="Times New Roman"/>
          <w:b/>
          <w:bCs/>
          <w:sz w:val="24"/>
          <w:szCs w:val="24"/>
          <w:highlight w:val="none"/>
        </w:rPr>
        <w:fldChar w:fldCharType="end"/>
      </w:r>
      <w:r>
        <w:rPr>
          <w:rFonts w:hint="default" w:ascii="Times New Roman" w:hAnsi="Times New Roman" w:eastAsia="宋体" w:cs="Times New Roman"/>
          <w:b/>
          <w:bCs/>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_Toc30089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 xml:space="preserve">3.1 </w:t>
      </w:r>
      <w:r>
        <w:rPr>
          <w:rFonts w:hint="default" w:ascii="Times New Roman" w:hAnsi="Times New Roman" w:eastAsia="宋体" w:cs="Times New Roman"/>
          <w:sz w:val="24"/>
          <w:szCs w:val="24"/>
          <w:highlight w:val="none"/>
          <w:lang w:eastAsia="zh-CN"/>
        </w:rPr>
        <w:t>施工期回顾性分析</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_Toc30089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66</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_Toc32532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3.2 运营期环境影响</w:t>
      </w:r>
      <w:r>
        <w:rPr>
          <w:rFonts w:hint="default" w:ascii="Times New Roman" w:hAnsi="Times New Roman" w:eastAsia="宋体" w:cs="Times New Roman"/>
          <w:sz w:val="24"/>
          <w:szCs w:val="24"/>
          <w:highlight w:val="none"/>
          <w:lang w:eastAsia="zh-CN"/>
        </w:rPr>
        <w:t>分析</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_Toc32532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69</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_Toc8271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3.3 现有的环境保护措施实施情况</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_Toc8271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78</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_Toc14072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3.4  现有环境问题及整改建议</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_Toc14072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81</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bCs/>
          <w:sz w:val="24"/>
          <w:szCs w:val="24"/>
          <w:highlight w:val="none"/>
        </w:rPr>
        <w:fldChar w:fldCharType="begin"/>
      </w:r>
      <w:r>
        <w:rPr>
          <w:rFonts w:hint="default" w:ascii="Times New Roman" w:hAnsi="Times New Roman" w:eastAsia="宋体" w:cs="Times New Roman"/>
          <w:b/>
          <w:bCs/>
          <w:sz w:val="24"/>
          <w:szCs w:val="24"/>
          <w:highlight w:val="none"/>
        </w:rPr>
        <w:instrText xml:space="preserve"> HYPERLINK \l _Toc10267 </w:instrText>
      </w:r>
      <w:r>
        <w:rPr>
          <w:rFonts w:hint="default" w:ascii="Times New Roman" w:hAnsi="Times New Roman" w:eastAsia="宋体" w:cs="Times New Roman"/>
          <w:b/>
          <w:bCs/>
          <w:sz w:val="24"/>
          <w:szCs w:val="24"/>
          <w:highlight w:val="none"/>
        </w:rPr>
        <w:fldChar w:fldCharType="separate"/>
      </w:r>
      <w:r>
        <w:rPr>
          <w:rFonts w:hint="default" w:ascii="Times New Roman" w:hAnsi="Times New Roman" w:eastAsia="宋体" w:cs="Times New Roman"/>
          <w:b/>
          <w:bCs/>
          <w:sz w:val="24"/>
          <w:szCs w:val="24"/>
          <w:highlight w:val="none"/>
        </w:rPr>
        <w:t>4 区域环境概况</w:t>
      </w:r>
      <w:r>
        <w:rPr>
          <w:rFonts w:hint="default" w:ascii="Times New Roman" w:hAnsi="Times New Roman" w:eastAsia="宋体" w:cs="Times New Roman"/>
          <w:b/>
          <w:bCs/>
          <w:sz w:val="24"/>
          <w:szCs w:val="24"/>
          <w:highlight w:val="none"/>
        </w:rPr>
        <w:tab/>
      </w:r>
      <w:r>
        <w:rPr>
          <w:rFonts w:hint="default" w:ascii="Times New Roman" w:hAnsi="Times New Roman" w:eastAsia="宋体" w:cs="Times New Roman"/>
          <w:b/>
          <w:bCs/>
          <w:sz w:val="24"/>
          <w:szCs w:val="24"/>
          <w:highlight w:val="none"/>
        </w:rPr>
        <w:fldChar w:fldCharType="begin"/>
      </w:r>
      <w:r>
        <w:rPr>
          <w:rFonts w:hint="default" w:ascii="Times New Roman" w:hAnsi="Times New Roman" w:eastAsia="宋体" w:cs="Times New Roman"/>
          <w:b/>
          <w:bCs/>
          <w:sz w:val="24"/>
          <w:szCs w:val="24"/>
          <w:highlight w:val="none"/>
        </w:rPr>
        <w:instrText xml:space="preserve"> PAGEREF _Toc10267 \h </w:instrText>
      </w:r>
      <w:r>
        <w:rPr>
          <w:rFonts w:hint="default" w:ascii="Times New Roman" w:hAnsi="Times New Roman" w:eastAsia="宋体" w:cs="Times New Roman"/>
          <w:b/>
          <w:bCs/>
          <w:sz w:val="24"/>
          <w:szCs w:val="24"/>
          <w:highlight w:val="none"/>
        </w:rPr>
        <w:fldChar w:fldCharType="separate"/>
      </w:r>
      <w:r>
        <w:rPr>
          <w:rFonts w:hint="default" w:ascii="Times New Roman" w:hAnsi="Times New Roman" w:eastAsia="宋体" w:cs="Times New Roman"/>
          <w:b/>
          <w:bCs/>
          <w:sz w:val="24"/>
          <w:szCs w:val="24"/>
          <w:highlight w:val="none"/>
        </w:rPr>
        <w:t>83</w:t>
      </w:r>
      <w:r>
        <w:rPr>
          <w:rFonts w:hint="default" w:ascii="Times New Roman" w:hAnsi="Times New Roman" w:eastAsia="宋体" w:cs="Times New Roman"/>
          <w:b/>
          <w:bCs/>
          <w:sz w:val="24"/>
          <w:szCs w:val="24"/>
          <w:highlight w:val="none"/>
        </w:rPr>
        <w:fldChar w:fldCharType="end"/>
      </w:r>
      <w:r>
        <w:rPr>
          <w:rFonts w:hint="default" w:ascii="Times New Roman" w:hAnsi="Times New Roman" w:eastAsia="宋体" w:cs="Times New Roman"/>
          <w:b/>
          <w:bCs/>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_Toc2248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4.1 流域环境现状</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_Toc2248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83</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_Toc4144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4.2 工程影响地区环境现状</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_Toc4144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84</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_Toc27805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4.3环境质量现状调查与评价</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_Toc27805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88</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_Toc29341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4.4 地表水环境</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_Toc29341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90</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_Toc30009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4.5地下水环境</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_Toc30009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96</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_Toc15426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4.6声环境</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_Toc15426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102</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_Toc5246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4.7土壤环境</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_Toc5246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102</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_Toc30197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4.8 富营养化现状调查</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_Toc30197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106</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_Toc31868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4.9 生态环境现状调查</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_Toc31868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108</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bCs/>
          <w:sz w:val="24"/>
          <w:szCs w:val="24"/>
          <w:highlight w:val="none"/>
        </w:rPr>
        <w:fldChar w:fldCharType="begin"/>
      </w:r>
      <w:r>
        <w:rPr>
          <w:rFonts w:hint="default" w:ascii="Times New Roman" w:hAnsi="Times New Roman" w:eastAsia="宋体" w:cs="Times New Roman"/>
          <w:b/>
          <w:bCs/>
          <w:sz w:val="24"/>
          <w:szCs w:val="24"/>
          <w:highlight w:val="none"/>
        </w:rPr>
        <w:instrText xml:space="preserve"> HYPERLINK \l _Toc27601 </w:instrText>
      </w:r>
      <w:r>
        <w:rPr>
          <w:rFonts w:hint="default" w:ascii="Times New Roman" w:hAnsi="Times New Roman" w:eastAsia="宋体" w:cs="Times New Roman"/>
          <w:b/>
          <w:bCs/>
          <w:sz w:val="24"/>
          <w:szCs w:val="24"/>
          <w:highlight w:val="none"/>
        </w:rPr>
        <w:fldChar w:fldCharType="separate"/>
      </w:r>
      <w:r>
        <w:rPr>
          <w:rFonts w:hint="default" w:ascii="Times New Roman" w:hAnsi="Times New Roman" w:eastAsia="宋体" w:cs="Times New Roman"/>
          <w:b/>
          <w:bCs/>
          <w:sz w:val="24"/>
          <w:szCs w:val="24"/>
          <w:highlight w:val="none"/>
        </w:rPr>
        <w:t>5 环境影响</w:t>
      </w:r>
      <w:r>
        <w:rPr>
          <w:rFonts w:hint="default" w:ascii="Times New Roman" w:hAnsi="Times New Roman" w:eastAsia="宋体" w:cs="Times New Roman"/>
          <w:b/>
          <w:bCs/>
          <w:sz w:val="24"/>
          <w:szCs w:val="24"/>
          <w:highlight w:val="none"/>
          <w:lang w:eastAsia="zh-CN"/>
        </w:rPr>
        <w:t>预测与</w:t>
      </w:r>
      <w:r>
        <w:rPr>
          <w:rFonts w:hint="default" w:ascii="Times New Roman" w:hAnsi="Times New Roman" w:eastAsia="宋体" w:cs="Times New Roman"/>
          <w:b/>
          <w:bCs/>
          <w:sz w:val="24"/>
          <w:szCs w:val="24"/>
          <w:highlight w:val="none"/>
        </w:rPr>
        <w:t>评价</w:t>
      </w:r>
      <w:r>
        <w:rPr>
          <w:rFonts w:hint="default" w:ascii="Times New Roman" w:hAnsi="Times New Roman" w:eastAsia="宋体" w:cs="Times New Roman"/>
          <w:b/>
          <w:bCs/>
          <w:sz w:val="24"/>
          <w:szCs w:val="24"/>
          <w:highlight w:val="none"/>
        </w:rPr>
        <w:tab/>
      </w:r>
      <w:r>
        <w:rPr>
          <w:rFonts w:hint="default" w:ascii="Times New Roman" w:hAnsi="Times New Roman" w:eastAsia="宋体" w:cs="Times New Roman"/>
          <w:b/>
          <w:bCs/>
          <w:sz w:val="24"/>
          <w:szCs w:val="24"/>
          <w:highlight w:val="none"/>
        </w:rPr>
        <w:fldChar w:fldCharType="begin"/>
      </w:r>
      <w:r>
        <w:rPr>
          <w:rFonts w:hint="default" w:ascii="Times New Roman" w:hAnsi="Times New Roman" w:eastAsia="宋体" w:cs="Times New Roman"/>
          <w:b/>
          <w:bCs/>
          <w:sz w:val="24"/>
          <w:szCs w:val="24"/>
          <w:highlight w:val="none"/>
        </w:rPr>
        <w:instrText xml:space="preserve"> PAGEREF _Toc27601 \h </w:instrText>
      </w:r>
      <w:r>
        <w:rPr>
          <w:rFonts w:hint="default" w:ascii="Times New Roman" w:hAnsi="Times New Roman" w:eastAsia="宋体" w:cs="Times New Roman"/>
          <w:b/>
          <w:bCs/>
          <w:sz w:val="24"/>
          <w:szCs w:val="24"/>
          <w:highlight w:val="none"/>
        </w:rPr>
        <w:fldChar w:fldCharType="separate"/>
      </w:r>
      <w:r>
        <w:rPr>
          <w:rFonts w:hint="default" w:ascii="Times New Roman" w:hAnsi="Times New Roman" w:eastAsia="宋体" w:cs="Times New Roman"/>
          <w:b/>
          <w:bCs/>
          <w:sz w:val="24"/>
          <w:szCs w:val="24"/>
          <w:highlight w:val="none"/>
        </w:rPr>
        <w:t>127</w:t>
      </w:r>
      <w:r>
        <w:rPr>
          <w:rFonts w:hint="default" w:ascii="Times New Roman" w:hAnsi="Times New Roman" w:eastAsia="宋体" w:cs="Times New Roman"/>
          <w:b/>
          <w:bCs/>
          <w:sz w:val="24"/>
          <w:szCs w:val="24"/>
          <w:highlight w:val="none"/>
        </w:rPr>
        <w:fldChar w:fldCharType="end"/>
      </w:r>
      <w:r>
        <w:rPr>
          <w:rFonts w:hint="default" w:ascii="Times New Roman" w:hAnsi="Times New Roman" w:eastAsia="宋体" w:cs="Times New Roman"/>
          <w:b/>
          <w:bCs/>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_Toc18951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5.1 环境影响回顾性</w:t>
      </w:r>
      <w:r>
        <w:rPr>
          <w:rFonts w:hint="default" w:ascii="Times New Roman" w:hAnsi="Times New Roman" w:eastAsia="宋体" w:cs="Times New Roman"/>
          <w:sz w:val="24"/>
          <w:szCs w:val="24"/>
          <w:highlight w:val="none"/>
          <w:lang w:eastAsia="zh-CN"/>
        </w:rPr>
        <w:t>评价</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_Toc18951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127</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_Toc19442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5.</w:t>
      </w:r>
      <w:r>
        <w:rPr>
          <w:rFonts w:hint="default" w:ascii="Times New Roman" w:hAnsi="Times New Roman" w:eastAsia="宋体" w:cs="Times New Roman"/>
          <w:sz w:val="24"/>
          <w:szCs w:val="24"/>
          <w:highlight w:val="none"/>
          <w:lang w:val="en-US" w:eastAsia="zh-CN"/>
        </w:rPr>
        <w:t>2</w:t>
      </w:r>
      <w:r>
        <w:rPr>
          <w:rFonts w:hint="default" w:ascii="Times New Roman" w:hAnsi="Times New Roman" w:eastAsia="宋体" w:cs="Times New Roman"/>
          <w:sz w:val="24"/>
          <w:szCs w:val="24"/>
          <w:highlight w:val="none"/>
        </w:rPr>
        <w:t xml:space="preserve"> </w:t>
      </w:r>
      <w:r>
        <w:rPr>
          <w:rFonts w:hint="default" w:ascii="Times New Roman" w:hAnsi="Times New Roman" w:eastAsia="宋体" w:cs="Times New Roman"/>
          <w:sz w:val="24"/>
          <w:szCs w:val="24"/>
          <w:highlight w:val="none"/>
          <w:lang w:eastAsia="zh-CN"/>
        </w:rPr>
        <w:t>水文情势影响评价</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_Toc19442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133</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_Toc19707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5.</w:t>
      </w:r>
      <w:r>
        <w:rPr>
          <w:rFonts w:hint="default" w:ascii="Times New Roman" w:hAnsi="Times New Roman" w:eastAsia="宋体" w:cs="Times New Roman"/>
          <w:sz w:val="24"/>
          <w:szCs w:val="24"/>
          <w:highlight w:val="none"/>
          <w:lang w:val="en-US" w:eastAsia="zh-CN"/>
        </w:rPr>
        <w:t>3</w:t>
      </w:r>
      <w:r>
        <w:rPr>
          <w:rFonts w:hint="default" w:ascii="Times New Roman" w:hAnsi="Times New Roman" w:eastAsia="宋体" w:cs="Times New Roman"/>
          <w:sz w:val="24"/>
          <w:szCs w:val="24"/>
          <w:highlight w:val="none"/>
        </w:rPr>
        <w:t xml:space="preserve"> </w:t>
      </w:r>
      <w:r>
        <w:rPr>
          <w:rFonts w:hint="default" w:ascii="Times New Roman" w:hAnsi="Times New Roman" w:eastAsia="宋体" w:cs="Times New Roman"/>
          <w:sz w:val="24"/>
          <w:szCs w:val="24"/>
          <w:highlight w:val="none"/>
          <w:lang w:eastAsia="zh-CN"/>
        </w:rPr>
        <w:t>地表水环境影响评价</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_Toc19707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134</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_Toc24625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5.</w:t>
      </w:r>
      <w:r>
        <w:rPr>
          <w:rFonts w:hint="default" w:ascii="Times New Roman" w:hAnsi="Times New Roman" w:eastAsia="宋体" w:cs="Times New Roman"/>
          <w:sz w:val="24"/>
          <w:szCs w:val="24"/>
          <w:highlight w:val="none"/>
          <w:lang w:val="en-US" w:eastAsia="zh-CN"/>
        </w:rPr>
        <w:t>4</w:t>
      </w:r>
      <w:r>
        <w:rPr>
          <w:rFonts w:hint="default" w:ascii="Times New Roman" w:hAnsi="Times New Roman" w:eastAsia="宋体" w:cs="Times New Roman"/>
          <w:sz w:val="24"/>
          <w:szCs w:val="24"/>
          <w:highlight w:val="none"/>
        </w:rPr>
        <w:t xml:space="preserve"> </w:t>
      </w:r>
      <w:r>
        <w:rPr>
          <w:rFonts w:hint="default" w:ascii="Times New Roman" w:hAnsi="Times New Roman" w:eastAsia="宋体" w:cs="Times New Roman"/>
          <w:sz w:val="24"/>
          <w:szCs w:val="24"/>
          <w:highlight w:val="none"/>
          <w:lang w:eastAsia="zh-CN"/>
        </w:rPr>
        <w:t>生态环境影响评价</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_Toc24625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143</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_Toc9105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5.</w:t>
      </w:r>
      <w:r>
        <w:rPr>
          <w:rFonts w:hint="default" w:ascii="Times New Roman" w:hAnsi="Times New Roman" w:eastAsia="宋体" w:cs="Times New Roman"/>
          <w:sz w:val="24"/>
          <w:szCs w:val="24"/>
          <w:highlight w:val="none"/>
          <w:lang w:val="en-US" w:eastAsia="zh-CN"/>
        </w:rPr>
        <w:t>5</w:t>
      </w:r>
      <w:r>
        <w:rPr>
          <w:rFonts w:hint="default" w:ascii="Times New Roman" w:hAnsi="Times New Roman" w:eastAsia="宋体" w:cs="Times New Roman"/>
          <w:sz w:val="24"/>
          <w:szCs w:val="24"/>
          <w:highlight w:val="none"/>
        </w:rPr>
        <w:t>地下水环境影响评价</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_Toc9105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145</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_Toc25241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5.</w:t>
      </w:r>
      <w:r>
        <w:rPr>
          <w:rFonts w:hint="default" w:ascii="Times New Roman" w:hAnsi="Times New Roman" w:eastAsia="宋体" w:cs="Times New Roman"/>
          <w:sz w:val="24"/>
          <w:szCs w:val="24"/>
          <w:highlight w:val="none"/>
          <w:lang w:val="en-US" w:eastAsia="zh-CN"/>
        </w:rPr>
        <w:t>6</w:t>
      </w:r>
      <w:r>
        <w:rPr>
          <w:rFonts w:hint="default" w:ascii="Times New Roman" w:hAnsi="Times New Roman" w:eastAsia="宋体" w:cs="Times New Roman"/>
          <w:sz w:val="24"/>
          <w:szCs w:val="24"/>
          <w:highlight w:val="none"/>
        </w:rPr>
        <w:t>大气环境影响评价</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_Toc25241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158</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_Toc18808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5.</w:t>
      </w:r>
      <w:r>
        <w:rPr>
          <w:rFonts w:hint="default" w:ascii="Times New Roman" w:hAnsi="Times New Roman" w:eastAsia="宋体" w:cs="Times New Roman"/>
          <w:sz w:val="24"/>
          <w:szCs w:val="24"/>
          <w:highlight w:val="none"/>
          <w:lang w:val="en-US" w:eastAsia="zh-CN"/>
        </w:rPr>
        <w:t>7</w:t>
      </w:r>
      <w:r>
        <w:rPr>
          <w:rFonts w:hint="default" w:ascii="Times New Roman" w:hAnsi="Times New Roman" w:eastAsia="宋体" w:cs="Times New Roman"/>
          <w:sz w:val="24"/>
          <w:szCs w:val="24"/>
          <w:highlight w:val="none"/>
        </w:rPr>
        <w:t>声环境影响评价</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_Toc18808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158</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_Toc10925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5.</w:t>
      </w:r>
      <w:r>
        <w:rPr>
          <w:rFonts w:hint="default" w:ascii="Times New Roman" w:hAnsi="Times New Roman" w:eastAsia="宋体" w:cs="Times New Roman"/>
          <w:sz w:val="24"/>
          <w:szCs w:val="24"/>
          <w:highlight w:val="none"/>
          <w:lang w:val="en-US" w:eastAsia="zh-CN"/>
        </w:rPr>
        <w:t>8</w:t>
      </w:r>
      <w:r>
        <w:rPr>
          <w:rFonts w:hint="default" w:ascii="Times New Roman" w:hAnsi="Times New Roman" w:eastAsia="宋体" w:cs="Times New Roman"/>
          <w:sz w:val="24"/>
          <w:szCs w:val="24"/>
          <w:highlight w:val="none"/>
        </w:rPr>
        <w:t>固体废物影响分析</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_Toc10925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160</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_Toc135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5.</w:t>
      </w:r>
      <w:r>
        <w:rPr>
          <w:rFonts w:hint="default" w:ascii="Times New Roman" w:hAnsi="Times New Roman" w:eastAsia="宋体" w:cs="Times New Roman"/>
          <w:sz w:val="24"/>
          <w:szCs w:val="24"/>
          <w:highlight w:val="none"/>
          <w:lang w:val="en-US" w:eastAsia="zh-CN"/>
        </w:rPr>
        <w:t>9</w:t>
      </w:r>
      <w:r>
        <w:rPr>
          <w:rFonts w:hint="default" w:ascii="Times New Roman" w:hAnsi="Times New Roman" w:eastAsia="宋体" w:cs="Times New Roman"/>
          <w:sz w:val="24"/>
          <w:szCs w:val="24"/>
          <w:highlight w:val="none"/>
        </w:rPr>
        <w:t>土壤环境影响分析</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_Toc135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164</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_Toc8633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5.</w:t>
      </w:r>
      <w:r>
        <w:rPr>
          <w:rFonts w:hint="default" w:ascii="Times New Roman" w:hAnsi="Times New Roman" w:eastAsia="宋体" w:cs="Times New Roman"/>
          <w:sz w:val="24"/>
          <w:szCs w:val="24"/>
          <w:highlight w:val="none"/>
          <w:lang w:val="en-US" w:eastAsia="zh-CN"/>
        </w:rPr>
        <w:t>10</w:t>
      </w:r>
      <w:r>
        <w:rPr>
          <w:rFonts w:hint="default" w:ascii="Times New Roman" w:hAnsi="Times New Roman" w:eastAsia="宋体" w:cs="Times New Roman"/>
          <w:sz w:val="24"/>
          <w:szCs w:val="24"/>
          <w:highlight w:val="none"/>
        </w:rPr>
        <w:t xml:space="preserve"> 人群健康</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_Toc8633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167</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_Toc26702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5.1</w:t>
      </w:r>
      <w:r>
        <w:rPr>
          <w:rFonts w:hint="default" w:ascii="Times New Roman" w:hAnsi="Times New Roman" w:eastAsia="宋体" w:cs="Times New Roman"/>
          <w:sz w:val="24"/>
          <w:szCs w:val="24"/>
          <w:highlight w:val="none"/>
          <w:lang w:val="en-US" w:eastAsia="zh-CN"/>
        </w:rPr>
        <w:t>1</w:t>
      </w:r>
      <w:r>
        <w:rPr>
          <w:rFonts w:hint="default" w:ascii="Times New Roman" w:hAnsi="Times New Roman" w:eastAsia="宋体" w:cs="Times New Roman"/>
          <w:sz w:val="24"/>
          <w:szCs w:val="24"/>
          <w:highlight w:val="none"/>
        </w:rPr>
        <w:t>对社会经济的影响</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_Toc26702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168</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_Toc7872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5.1</w:t>
      </w:r>
      <w:r>
        <w:rPr>
          <w:rFonts w:hint="default" w:ascii="Times New Roman" w:hAnsi="Times New Roman" w:eastAsia="宋体" w:cs="Times New Roman"/>
          <w:sz w:val="24"/>
          <w:szCs w:val="24"/>
          <w:highlight w:val="none"/>
          <w:lang w:val="en-US" w:eastAsia="zh-CN"/>
        </w:rPr>
        <w:t>2</w:t>
      </w:r>
      <w:r>
        <w:rPr>
          <w:rFonts w:hint="default" w:ascii="Times New Roman" w:hAnsi="Times New Roman" w:eastAsia="宋体" w:cs="Times New Roman"/>
          <w:sz w:val="24"/>
          <w:szCs w:val="24"/>
          <w:highlight w:val="none"/>
        </w:rPr>
        <w:t>对景观与文物的影响</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_Toc7872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168</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_Toc712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5.1</w:t>
      </w:r>
      <w:r>
        <w:rPr>
          <w:rFonts w:hint="default" w:ascii="Times New Roman" w:hAnsi="Times New Roman" w:eastAsia="宋体" w:cs="Times New Roman"/>
          <w:sz w:val="24"/>
          <w:szCs w:val="24"/>
          <w:highlight w:val="none"/>
          <w:lang w:val="en-US" w:eastAsia="zh-CN"/>
        </w:rPr>
        <w:t>3</w:t>
      </w:r>
      <w:r>
        <w:rPr>
          <w:rFonts w:hint="default" w:ascii="Times New Roman" w:hAnsi="Times New Roman" w:eastAsia="宋体" w:cs="Times New Roman"/>
          <w:sz w:val="24"/>
          <w:szCs w:val="24"/>
          <w:highlight w:val="none"/>
        </w:rPr>
        <w:t xml:space="preserve"> 移民环境</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_Toc712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168</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_Toc3782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5.1</w:t>
      </w:r>
      <w:r>
        <w:rPr>
          <w:rFonts w:hint="default" w:ascii="Times New Roman" w:hAnsi="Times New Roman" w:eastAsia="宋体" w:cs="Times New Roman"/>
          <w:sz w:val="24"/>
          <w:szCs w:val="24"/>
          <w:highlight w:val="none"/>
          <w:lang w:val="en-US" w:eastAsia="zh-CN"/>
        </w:rPr>
        <w:t>4</w:t>
      </w:r>
      <w:r>
        <w:rPr>
          <w:rFonts w:hint="default" w:ascii="Times New Roman" w:hAnsi="Times New Roman" w:eastAsia="宋体" w:cs="Times New Roman"/>
          <w:sz w:val="24"/>
          <w:szCs w:val="24"/>
          <w:highlight w:val="none"/>
        </w:rPr>
        <w:t xml:space="preserve"> </w:t>
      </w:r>
      <w:r>
        <w:rPr>
          <w:rFonts w:hint="default" w:ascii="Times New Roman" w:hAnsi="Times New Roman" w:eastAsia="宋体" w:cs="Times New Roman"/>
          <w:sz w:val="24"/>
          <w:szCs w:val="24"/>
          <w:highlight w:val="none"/>
          <w:lang w:val="en-US" w:eastAsia="zh-CN"/>
        </w:rPr>
        <w:t>电磁环境影响</w:t>
      </w:r>
      <w:r>
        <w:rPr>
          <w:rFonts w:hint="default" w:ascii="Times New Roman" w:hAnsi="Times New Roman" w:eastAsia="宋体" w:cs="Times New Roman"/>
          <w:sz w:val="24"/>
          <w:szCs w:val="24"/>
          <w:highlight w:val="none"/>
          <w:lang w:eastAsia="zh-CN"/>
        </w:rPr>
        <w:t>分析</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_Toc3782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168</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bCs/>
          <w:sz w:val="24"/>
          <w:szCs w:val="24"/>
          <w:highlight w:val="none"/>
        </w:rPr>
        <w:fldChar w:fldCharType="begin"/>
      </w:r>
      <w:r>
        <w:rPr>
          <w:rFonts w:hint="default" w:ascii="Times New Roman" w:hAnsi="Times New Roman" w:eastAsia="宋体" w:cs="Times New Roman"/>
          <w:b/>
          <w:bCs/>
          <w:sz w:val="24"/>
          <w:szCs w:val="24"/>
          <w:highlight w:val="none"/>
        </w:rPr>
        <w:instrText xml:space="preserve"> HYPERLINK \l _Toc6138 </w:instrText>
      </w:r>
      <w:r>
        <w:rPr>
          <w:rFonts w:hint="default" w:ascii="Times New Roman" w:hAnsi="Times New Roman" w:eastAsia="宋体" w:cs="Times New Roman"/>
          <w:b/>
          <w:bCs/>
          <w:sz w:val="24"/>
          <w:szCs w:val="24"/>
          <w:highlight w:val="none"/>
        </w:rPr>
        <w:fldChar w:fldCharType="separate"/>
      </w:r>
      <w:r>
        <w:rPr>
          <w:rFonts w:hint="default" w:ascii="Times New Roman" w:hAnsi="Times New Roman" w:eastAsia="宋体" w:cs="Times New Roman"/>
          <w:b/>
          <w:bCs/>
          <w:sz w:val="24"/>
          <w:szCs w:val="24"/>
          <w:highlight w:val="none"/>
        </w:rPr>
        <w:t>6 环境风险评价</w:t>
      </w:r>
      <w:r>
        <w:rPr>
          <w:rFonts w:hint="default" w:ascii="Times New Roman" w:hAnsi="Times New Roman" w:eastAsia="宋体" w:cs="Times New Roman"/>
          <w:b/>
          <w:bCs/>
          <w:sz w:val="24"/>
          <w:szCs w:val="24"/>
          <w:highlight w:val="none"/>
        </w:rPr>
        <w:tab/>
      </w:r>
      <w:r>
        <w:rPr>
          <w:rFonts w:hint="default" w:ascii="Times New Roman" w:hAnsi="Times New Roman" w:eastAsia="宋体" w:cs="Times New Roman"/>
          <w:b/>
          <w:bCs/>
          <w:sz w:val="24"/>
          <w:szCs w:val="24"/>
          <w:highlight w:val="none"/>
        </w:rPr>
        <w:fldChar w:fldCharType="begin"/>
      </w:r>
      <w:r>
        <w:rPr>
          <w:rFonts w:hint="default" w:ascii="Times New Roman" w:hAnsi="Times New Roman" w:eastAsia="宋体" w:cs="Times New Roman"/>
          <w:b/>
          <w:bCs/>
          <w:sz w:val="24"/>
          <w:szCs w:val="24"/>
          <w:highlight w:val="none"/>
        </w:rPr>
        <w:instrText xml:space="preserve"> PAGEREF _Toc6138 \h </w:instrText>
      </w:r>
      <w:r>
        <w:rPr>
          <w:rFonts w:hint="default" w:ascii="Times New Roman" w:hAnsi="Times New Roman" w:eastAsia="宋体" w:cs="Times New Roman"/>
          <w:b/>
          <w:bCs/>
          <w:sz w:val="24"/>
          <w:szCs w:val="24"/>
          <w:highlight w:val="none"/>
        </w:rPr>
        <w:fldChar w:fldCharType="separate"/>
      </w:r>
      <w:r>
        <w:rPr>
          <w:rFonts w:hint="default" w:ascii="Times New Roman" w:hAnsi="Times New Roman" w:eastAsia="宋体" w:cs="Times New Roman"/>
          <w:b/>
          <w:bCs/>
          <w:sz w:val="24"/>
          <w:szCs w:val="24"/>
          <w:highlight w:val="none"/>
        </w:rPr>
        <w:t>170</w:t>
      </w:r>
      <w:r>
        <w:rPr>
          <w:rFonts w:hint="default" w:ascii="Times New Roman" w:hAnsi="Times New Roman" w:eastAsia="宋体" w:cs="Times New Roman"/>
          <w:b/>
          <w:bCs/>
          <w:sz w:val="24"/>
          <w:szCs w:val="24"/>
          <w:highlight w:val="none"/>
        </w:rPr>
        <w:fldChar w:fldCharType="end"/>
      </w:r>
      <w:r>
        <w:rPr>
          <w:rFonts w:hint="default" w:ascii="Times New Roman" w:hAnsi="Times New Roman" w:eastAsia="宋体" w:cs="Times New Roman"/>
          <w:b/>
          <w:bCs/>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_Toc13448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6.1风险调查</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_Toc13448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170</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_Toc14157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6.2 风险识别</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_Toc14157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170</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_Toc25315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6.3危险物质识别及风险评价级别</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_Toc25315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170</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_Toc19675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6.4环境敏感目标调查</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_Toc19675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171</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_Toc28535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6.5环境风险影响分析</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_Toc28535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171</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bCs/>
          <w:sz w:val="24"/>
          <w:szCs w:val="24"/>
          <w:highlight w:val="none"/>
        </w:rPr>
        <w:fldChar w:fldCharType="begin"/>
      </w:r>
      <w:r>
        <w:rPr>
          <w:rFonts w:hint="default" w:ascii="Times New Roman" w:hAnsi="Times New Roman" w:eastAsia="宋体" w:cs="Times New Roman"/>
          <w:b/>
          <w:bCs/>
          <w:sz w:val="24"/>
          <w:szCs w:val="24"/>
          <w:highlight w:val="none"/>
        </w:rPr>
        <w:instrText xml:space="preserve"> HYPERLINK \l _Toc18241 </w:instrText>
      </w:r>
      <w:r>
        <w:rPr>
          <w:rFonts w:hint="default" w:ascii="Times New Roman" w:hAnsi="Times New Roman" w:eastAsia="宋体" w:cs="Times New Roman"/>
          <w:b/>
          <w:bCs/>
          <w:sz w:val="24"/>
          <w:szCs w:val="24"/>
          <w:highlight w:val="none"/>
        </w:rPr>
        <w:fldChar w:fldCharType="separate"/>
      </w:r>
      <w:r>
        <w:rPr>
          <w:rFonts w:hint="default" w:ascii="Times New Roman" w:hAnsi="Times New Roman" w:eastAsia="宋体" w:cs="Times New Roman"/>
          <w:b/>
          <w:bCs/>
          <w:sz w:val="24"/>
          <w:szCs w:val="24"/>
          <w:highlight w:val="none"/>
        </w:rPr>
        <w:t>7环境保护措施及其可行性分析</w:t>
      </w:r>
      <w:r>
        <w:rPr>
          <w:rFonts w:hint="default" w:ascii="Times New Roman" w:hAnsi="Times New Roman" w:eastAsia="宋体" w:cs="Times New Roman"/>
          <w:b/>
          <w:bCs/>
          <w:sz w:val="24"/>
          <w:szCs w:val="24"/>
          <w:highlight w:val="none"/>
        </w:rPr>
        <w:tab/>
      </w:r>
      <w:r>
        <w:rPr>
          <w:rFonts w:hint="default" w:ascii="Times New Roman" w:hAnsi="Times New Roman" w:eastAsia="宋体" w:cs="Times New Roman"/>
          <w:b/>
          <w:bCs/>
          <w:sz w:val="24"/>
          <w:szCs w:val="24"/>
          <w:highlight w:val="none"/>
        </w:rPr>
        <w:fldChar w:fldCharType="begin"/>
      </w:r>
      <w:r>
        <w:rPr>
          <w:rFonts w:hint="default" w:ascii="Times New Roman" w:hAnsi="Times New Roman" w:eastAsia="宋体" w:cs="Times New Roman"/>
          <w:b/>
          <w:bCs/>
          <w:sz w:val="24"/>
          <w:szCs w:val="24"/>
          <w:highlight w:val="none"/>
        </w:rPr>
        <w:instrText xml:space="preserve"> PAGEREF _Toc18241 \h </w:instrText>
      </w:r>
      <w:r>
        <w:rPr>
          <w:rFonts w:hint="default" w:ascii="Times New Roman" w:hAnsi="Times New Roman" w:eastAsia="宋体" w:cs="Times New Roman"/>
          <w:b/>
          <w:bCs/>
          <w:sz w:val="24"/>
          <w:szCs w:val="24"/>
          <w:highlight w:val="none"/>
        </w:rPr>
        <w:fldChar w:fldCharType="separate"/>
      </w:r>
      <w:r>
        <w:rPr>
          <w:rFonts w:hint="default" w:ascii="Times New Roman" w:hAnsi="Times New Roman" w:eastAsia="宋体" w:cs="Times New Roman"/>
          <w:b/>
          <w:bCs/>
          <w:sz w:val="24"/>
          <w:szCs w:val="24"/>
          <w:highlight w:val="none"/>
        </w:rPr>
        <w:t>179</w:t>
      </w:r>
      <w:r>
        <w:rPr>
          <w:rFonts w:hint="default" w:ascii="Times New Roman" w:hAnsi="Times New Roman" w:eastAsia="宋体" w:cs="Times New Roman"/>
          <w:b/>
          <w:bCs/>
          <w:sz w:val="24"/>
          <w:szCs w:val="24"/>
          <w:highlight w:val="none"/>
        </w:rPr>
        <w:fldChar w:fldCharType="end"/>
      </w:r>
      <w:r>
        <w:rPr>
          <w:rFonts w:hint="default" w:ascii="Times New Roman" w:hAnsi="Times New Roman" w:eastAsia="宋体" w:cs="Times New Roman"/>
          <w:b/>
          <w:bCs/>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_Toc7222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7.1 施工期环境保护措施落实情况</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_Toc7222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179</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_Toc7500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7.2 运营期环境保护措施</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_Toc7500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179</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_Toc8476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7.3 污染物排放总量控制分析</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_Toc8476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186</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_Toc11176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7.4 排污许可申请</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_Toc11176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186</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_Toc2173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7.5 环境保护措施汇总</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_Toc2173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186</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bCs/>
          <w:sz w:val="24"/>
          <w:szCs w:val="24"/>
          <w:highlight w:val="none"/>
        </w:rPr>
        <w:fldChar w:fldCharType="begin"/>
      </w:r>
      <w:r>
        <w:rPr>
          <w:rFonts w:hint="default" w:ascii="Times New Roman" w:hAnsi="Times New Roman" w:eastAsia="宋体" w:cs="Times New Roman"/>
          <w:b/>
          <w:bCs/>
          <w:sz w:val="24"/>
          <w:szCs w:val="24"/>
          <w:highlight w:val="none"/>
        </w:rPr>
        <w:instrText xml:space="preserve"> HYPERLINK \l _Toc321 </w:instrText>
      </w:r>
      <w:r>
        <w:rPr>
          <w:rFonts w:hint="default" w:ascii="Times New Roman" w:hAnsi="Times New Roman" w:eastAsia="宋体" w:cs="Times New Roman"/>
          <w:b/>
          <w:bCs/>
          <w:sz w:val="24"/>
          <w:szCs w:val="24"/>
          <w:highlight w:val="none"/>
        </w:rPr>
        <w:fldChar w:fldCharType="separate"/>
      </w:r>
      <w:r>
        <w:rPr>
          <w:rFonts w:hint="default" w:ascii="Times New Roman" w:hAnsi="Times New Roman" w:eastAsia="宋体" w:cs="Times New Roman"/>
          <w:b/>
          <w:bCs/>
          <w:sz w:val="24"/>
          <w:szCs w:val="24"/>
          <w:highlight w:val="none"/>
        </w:rPr>
        <w:t>8环境影响经济损益分析</w:t>
      </w:r>
      <w:r>
        <w:rPr>
          <w:rFonts w:hint="default" w:ascii="Times New Roman" w:hAnsi="Times New Roman" w:eastAsia="宋体" w:cs="Times New Roman"/>
          <w:b/>
          <w:bCs/>
          <w:sz w:val="24"/>
          <w:szCs w:val="24"/>
          <w:highlight w:val="none"/>
        </w:rPr>
        <w:tab/>
      </w:r>
      <w:r>
        <w:rPr>
          <w:rFonts w:hint="default" w:ascii="Times New Roman" w:hAnsi="Times New Roman" w:eastAsia="宋体" w:cs="Times New Roman"/>
          <w:b/>
          <w:bCs/>
          <w:sz w:val="24"/>
          <w:szCs w:val="24"/>
          <w:highlight w:val="none"/>
        </w:rPr>
        <w:fldChar w:fldCharType="begin"/>
      </w:r>
      <w:r>
        <w:rPr>
          <w:rFonts w:hint="default" w:ascii="Times New Roman" w:hAnsi="Times New Roman" w:eastAsia="宋体" w:cs="Times New Roman"/>
          <w:b/>
          <w:bCs/>
          <w:sz w:val="24"/>
          <w:szCs w:val="24"/>
          <w:highlight w:val="none"/>
        </w:rPr>
        <w:instrText xml:space="preserve"> PAGEREF _Toc321 \h </w:instrText>
      </w:r>
      <w:r>
        <w:rPr>
          <w:rFonts w:hint="default" w:ascii="Times New Roman" w:hAnsi="Times New Roman" w:eastAsia="宋体" w:cs="Times New Roman"/>
          <w:b/>
          <w:bCs/>
          <w:sz w:val="24"/>
          <w:szCs w:val="24"/>
          <w:highlight w:val="none"/>
        </w:rPr>
        <w:fldChar w:fldCharType="separate"/>
      </w:r>
      <w:r>
        <w:rPr>
          <w:rFonts w:hint="default" w:ascii="Times New Roman" w:hAnsi="Times New Roman" w:eastAsia="宋体" w:cs="Times New Roman"/>
          <w:b/>
          <w:bCs/>
          <w:sz w:val="24"/>
          <w:szCs w:val="24"/>
          <w:highlight w:val="none"/>
        </w:rPr>
        <w:t>188</w:t>
      </w:r>
      <w:r>
        <w:rPr>
          <w:rFonts w:hint="default" w:ascii="Times New Roman" w:hAnsi="Times New Roman" w:eastAsia="宋体" w:cs="Times New Roman"/>
          <w:b/>
          <w:bCs/>
          <w:sz w:val="24"/>
          <w:szCs w:val="24"/>
          <w:highlight w:val="none"/>
        </w:rPr>
        <w:fldChar w:fldCharType="end"/>
      </w:r>
      <w:r>
        <w:rPr>
          <w:rFonts w:hint="default" w:ascii="Times New Roman" w:hAnsi="Times New Roman" w:eastAsia="宋体" w:cs="Times New Roman"/>
          <w:b/>
          <w:bCs/>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_Toc6937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8.1 经济效益分析</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_Toc6937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188</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_Toc27475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8.2社会效益分析</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_Toc27475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188</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_Toc25297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8.3 环境经济损益分析</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_Toc25297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188</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_Toc16262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8.4 环境经济分析结论</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_Toc16262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190</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bCs/>
          <w:sz w:val="24"/>
          <w:szCs w:val="24"/>
          <w:highlight w:val="none"/>
        </w:rPr>
        <w:fldChar w:fldCharType="begin"/>
      </w:r>
      <w:r>
        <w:rPr>
          <w:rFonts w:hint="default" w:ascii="Times New Roman" w:hAnsi="Times New Roman" w:eastAsia="宋体" w:cs="Times New Roman"/>
          <w:b/>
          <w:bCs/>
          <w:sz w:val="24"/>
          <w:szCs w:val="24"/>
          <w:highlight w:val="none"/>
        </w:rPr>
        <w:instrText xml:space="preserve"> HYPERLINK \l _Toc11466 </w:instrText>
      </w:r>
      <w:r>
        <w:rPr>
          <w:rFonts w:hint="default" w:ascii="Times New Roman" w:hAnsi="Times New Roman" w:eastAsia="宋体" w:cs="Times New Roman"/>
          <w:b/>
          <w:bCs/>
          <w:sz w:val="24"/>
          <w:szCs w:val="24"/>
          <w:highlight w:val="none"/>
        </w:rPr>
        <w:fldChar w:fldCharType="separate"/>
      </w:r>
      <w:r>
        <w:rPr>
          <w:rFonts w:hint="default" w:ascii="Times New Roman" w:hAnsi="Times New Roman" w:eastAsia="宋体" w:cs="Times New Roman"/>
          <w:b/>
          <w:bCs/>
          <w:sz w:val="24"/>
          <w:szCs w:val="24"/>
          <w:highlight w:val="none"/>
        </w:rPr>
        <w:t>9 环境管理与环境监测</w:t>
      </w:r>
      <w:r>
        <w:rPr>
          <w:rFonts w:hint="default" w:ascii="Times New Roman" w:hAnsi="Times New Roman" w:eastAsia="宋体" w:cs="Times New Roman"/>
          <w:b/>
          <w:bCs/>
          <w:sz w:val="24"/>
          <w:szCs w:val="24"/>
          <w:highlight w:val="none"/>
        </w:rPr>
        <w:tab/>
      </w:r>
      <w:r>
        <w:rPr>
          <w:rFonts w:hint="default" w:ascii="Times New Roman" w:hAnsi="Times New Roman" w:eastAsia="宋体" w:cs="Times New Roman"/>
          <w:b/>
          <w:bCs/>
          <w:sz w:val="24"/>
          <w:szCs w:val="24"/>
          <w:highlight w:val="none"/>
        </w:rPr>
        <w:fldChar w:fldCharType="begin"/>
      </w:r>
      <w:r>
        <w:rPr>
          <w:rFonts w:hint="default" w:ascii="Times New Roman" w:hAnsi="Times New Roman" w:eastAsia="宋体" w:cs="Times New Roman"/>
          <w:b/>
          <w:bCs/>
          <w:sz w:val="24"/>
          <w:szCs w:val="24"/>
          <w:highlight w:val="none"/>
        </w:rPr>
        <w:instrText xml:space="preserve"> PAGEREF _Toc11466 \h </w:instrText>
      </w:r>
      <w:r>
        <w:rPr>
          <w:rFonts w:hint="default" w:ascii="Times New Roman" w:hAnsi="Times New Roman" w:eastAsia="宋体" w:cs="Times New Roman"/>
          <w:b/>
          <w:bCs/>
          <w:sz w:val="24"/>
          <w:szCs w:val="24"/>
          <w:highlight w:val="none"/>
        </w:rPr>
        <w:fldChar w:fldCharType="separate"/>
      </w:r>
      <w:r>
        <w:rPr>
          <w:rFonts w:hint="default" w:ascii="Times New Roman" w:hAnsi="Times New Roman" w:eastAsia="宋体" w:cs="Times New Roman"/>
          <w:b/>
          <w:bCs/>
          <w:sz w:val="24"/>
          <w:szCs w:val="24"/>
          <w:highlight w:val="none"/>
        </w:rPr>
        <w:t>191</w:t>
      </w:r>
      <w:r>
        <w:rPr>
          <w:rFonts w:hint="default" w:ascii="Times New Roman" w:hAnsi="Times New Roman" w:eastAsia="宋体" w:cs="Times New Roman"/>
          <w:b/>
          <w:bCs/>
          <w:sz w:val="24"/>
          <w:szCs w:val="24"/>
          <w:highlight w:val="none"/>
        </w:rPr>
        <w:fldChar w:fldCharType="end"/>
      </w:r>
      <w:r>
        <w:rPr>
          <w:rFonts w:hint="default" w:ascii="Times New Roman" w:hAnsi="Times New Roman" w:eastAsia="宋体" w:cs="Times New Roman"/>
          <w:b/>
          <w:bCs/>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_Toc13313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9.1环境管理</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_Toc13313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191</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_Toc26053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9.2监测计划</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_Toc26053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192</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_Toc7407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9.3 环境信息公开</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_Toc7407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193</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_Toc27137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9.4排污口规范化管理</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_Toc27137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194</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_Toc25417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9.5 项目污染物排放清单</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_Toc25417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195</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_Toc28005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9.6环保措施“三同时”验收</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_Toc28005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195</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bCs/>
          <w:sz w:val="24"/>
          <w:szCs w:val="24"/>
          <w:highlight w:val="none"/>
        </w:rPr>
        <w:fldChar w:fldCharType="begin"/>
      </w:r>
      <w:r>
        <w:rPr>
          <w:rFonts w:hint="default" w:ascii="Times New Roman" w:hAnsi="Times New Roman" w:eastAsia="宋体" w:cs="Times New Roman"/>
          <w:b/>
          <w:bCs/>
          <w:sz w:val="24"/>
          <w:szCs w:val="24"/>
          <w:highlight w:val="none"/>
        </w:rPr>
        <w:instrText xml:space="preserve"> HYPERLINK \l _Toc26346 </w:instrText>
      </w:r>
      <w:r>
        <w:rPr>
          <w:rFonts w:hint="default" w:ascii="Times New Roman" w:hAnsi="Times New Roman" w:eastAsia="宋体" w:cs="Times New Roman"/>
          <w:b/>
          <w:bCs/>
          <w:sz w:val="24"/>
          <w:szCs w:val="24"/>
          <w:highlight w:val="none"/>
        </w:rPr>
        <w:fldChar w:fldCharType="separate"/>
      </w:r>
      <w:r>
        <w:rPr>
          <w:rFonts w:hint="default" w:ascii="Times New Roman" w:hAnsi="Times New Roman" w:eastAsia="宋体" w:cs="Times New Roman"/>
          <w:b/>
          <w:bCs/>
          <w:sz w:val="24"/>
          <w:szCs w:val="24"/>
          <w:highlight w:val="none"/>
        </w:rPr>
        <w:t>10结论与建议</w:t>
      </w:r>
      <w:r>
        <w:rPr>
          <w:rFonts w:hint="default" w:ascii="Times New Roman" w:hAnsi="Times New Roman" w:eastAsia="宋体" w:cs="Times New Roman"/>
          <w:b/>
          <w:bCs/>
          <w:sz w:val="24"/>
          <w:szCs w:val="24"/>
          <w:highlight w:val="none"/>
        </w:rPr>
        <w:tab/>
      </w:r>
      <w:r>
        <w:rPr>
          <w:rFonts w:hint="default" w:ascii="Times New Roman" w:hAnsi="Times New Roman" w:eastAsia="宋体" w:cs="Times New Roman"/>
          <w:b/>
          <w:bCs/>
          <w:sz w:val="24"/>
          <w:szCs w:val="24"/>
          <w:highlight w:val="none"/>
        </w:rPr>
        <w:fldChar w:fldCharType="begin"/>
      </w:r>
      <w:r>
        <w:rPr>
          <w:rFonts w:hint="default" w:ascii="Times New Roman" w:hAnsi="Times New Roman" w:eastAsia="宋体" w:cs="Times New Roman"/>
          <w:b/>
          <w:bCs/>
          <w:sz w:val="24"/>
          <w:szCs w:val="24"/>
          <w:highlight w:val="none"/>
        </w:rPr>
        <w:instrText xml:space="preserve"> PAGEREF _Toc26346 \h </w:instrText>
      </w:r>
      <w:r>
        <w:rPr>
          <w:rFonts w:hint="default" w:ascii="Times New Roman" w:hAnsi="Times New Roman" w:eastAsia="宋体" w:cs="Times New Roman"/>
          <w:b/>
          <w:bCs/>
          <w:sz w:val="24"/>
          <w:szCs w:val="24"/>
          <w:highlight w:val="none"/>
        </w:rPr>
        <w:fldChar w:fldCharType="separate"/>
      </w:r>
      <w:r>
        <w:rPr>
          <w:rFonts w:hint="default" w:ascii="Times New Roman" w:hAnsi="Times New Roman" w:eastAsia="宋体" w:cs="Times New Roman"/>
          <w:b/>
          <w:bCs/>
          <w:sz w:val="24"/>
          <w:szCs w:val="24"/>
          <w:highlight w:val="none"/>
        </w:rPr>
        <w:t>198</w:t>
      </w:r>
      <w:r>
        <w:rPr>
          <w:rFonts w:hint="default" w:ascii="Times New Roman" w:hAnsi="Times New Roman" w:eastAsia="宋体" w:cs="Times New Roman"/>
          <w:b/>
          <w:bCs/>
          <w:sz w:val="24"/>
          <w:szCs w:val="24"/>
          <w:highlight w:val="none"/>
        </w:rPr>
        <w:fldChar w:fldCharType="end"/>
      </w:r>
      <w:r>
        <w:rPr>
          <w:rFonts w:hint="default" w:ascii="Times New Roman" w:hAnsi="Times New Roman" w:eastAsia="宋体" w:cs="Times New Roman"/>
          <w:b/>
          <w:bCs/>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_Toc1475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10.1建设项目情况</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_Toc1475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198</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_Toc20014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10.2 产业政策符合性</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_Toc20014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200</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_Toc28791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10.3 环境现状结论</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_Toc28791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200</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_Toc6067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 xml:space="preserve">10.4 </w:t>
      </w:r>
      <w:r>
        <w:rPr>
          <w:rFonts w:hint="default" w:ascii="Times New Roman" w:hAnsi="Times New Roman" w:eastAsia="宋体" w:cs="Times New Roman"/>
          <w:sz w:val="24"/>
          <w:szCs w:val="24"/>
          <w:highlight w:val="none"/>
          <w:lang w:val="zh-CN"/>
        </w:rPr>
        <w:t>环境保护目标</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_Toc6067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201</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_Toc13737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10.5 拟采取环保措施的可行性</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_Toc13737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201</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_Toc9971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10.6 项目对环境的影响</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_Toc9971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202</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_Toc7936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10.7 总量控制分析</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_Toc7936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203</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_Toc2763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10.8 环境影响经济损益分析</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_Toc2763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203</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_Toc25734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 xml:space="preserve">10.9 </w:t>
      </w:r>
      <w:r>
        <w:rPr>
          <w:rFonts w:hint="default" w:ascii="Times New Roman" w:hAnsi="Times New Roman" w:eastAsia="宋体" w:cs="Times New Roman"/>
          <w:sz w:val="24"/>
          <w:szCs w:val="24"/>
          <w:highlight w:val="none"/>
          <w:lang w:val="zh-CN"/>
        </w:rPr>
        <w:t>环境管理与监测计划</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_Toc25734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203</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_Toc30001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10.10 公众意见调查</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_Toc30001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203</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_Toc18954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10.11 工程可行性结论</w:t>
      </w:r>
      <w:r>
        <w:rPr>
          <w:rFonts w:hint="default" w:ascii="Times New Roman" w:hAnsi="Times New Roman" w:eastAsia="宋体" w:cs="Times New Roman"/>
          <w:sz w:val="24"/>
          <w:szCs w:val="24"/>
          <w:highlight w:val="none"/>
        </w:rPr>
        <w:tab/>
      </w: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PAGEREF _Toc18954 \h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203</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fldChar w:fldCharType="end"/>
      </w:r>
    </w:p>
    <w:p>
      <w:pPr>
        <w:pStyle w:val="41"/>
        <w:keepNext w:val="0"/>
        <w:keepLines w:val="0"/>
        <w:pageBreakBefore w:val="0"/>
        <w:widowControl w:val="0"/>
        <w:tabs>
          <w:tab w:val="right" w:leader="dot" w:pos="8280"/>
        </w:tabs>
        <w:kinsoku/>
        <w:wordWrap/>
        <w:overflowPunct/>
        <w:topLinePunct w:val="0"/>
        <w:autoSpaceDE/>
        <w:autoSpaceDN/>
        <w:bidi w:val="0"/>
        <w:adjustRightInd/>
        <w:snapToGrid/>
        <w:spacing w:line="480" w:lineRule="exact"/>
        <w:ind w:left="21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b/>
          <w:bCs/>
          <w:sz w:val="24"/>
          <w:szCs w:val="24"/>
          <w:highlight w:val="none"/>
        </w:rPr>
        <w:t>项目附图</w:t>
      </w:r>
      <w:r>
        <w:rPr>
          <w:rFonts w:hint="default" w:ascii="Times New Roman" w:hAnsi="Times New Roman" w:eastAsia="宋体" w:cs="Times New Roman"/>
          <w:sz w:val="24"/>
          <w:szCs w:val="24"/>
          <w:highlight w:val="none"/>
        </w:rPr>
        <w:t>:</w:t>
      </w:r>
    </w:p>
    <w:p>
      <w:pPr>
        <w:keepNext w:val="0"/>
        <w:keepLines w:val="0"/>
        <w:pageBreakBefore w:val="0"/>
        <w:widowControl w:val="0"/>
        <w:kinsoku/>
        <w:wordWrap/>
        <w:overflowPunct/>
        <w:topLinePunct w:val="0"/>
        <w:autoSpaceDE w:val="0"/>
        <w:autoSpaceDN w:val="0"/>
        <w:bidi w:val="0"/>
        <w:adjustRightInd w:val="0"/>
        <w:snapToGrid/>
        <w:spacing w:line="480" w:lineRule="exact"/>
        <w:ind w:firstLine="480" w:firstLineChars="200"/>
        <w:textAlignment w:val="auto"/>
        <w:rPr>
          <w:snapToGrid w:val="0"/>
          <w:kern w:val="0"/>
          <w:sz w:val="24"/>
          <w:highlight w:val="none"/>
        </w:rPr>
      </w:pPr>
      <w:r>
        <w:rPr>
          <w:snapToGrid w:val="0"/>
          <w:kern w:val="0"/>
          <w:sz w:val="24"/>
          <w:szCs w:val="24"/>
          <w:highlight w:val="none"/>
        </w:rPr>
        <w:t>附图1  地理位</w:t>
      </w:r>
      <w:r>
        <w:rPr>
          <w:snapToGrid w:val="0"/>
          <w:kern w:val="0"/>
          <w:sz w:val="24"/>
          <w:highlight w:val="none"/>
        </w:rPr>
        <w:t>置图</w:t>
      </w:r>
    </w:p>
    <w:p>
      <w:pPr>
        <w:keepNext w:val="0"/>
        <w:keepLines w:val="0"/>
        <w:pageBreakBefore w:val="0"/>
        <w:widowControl w:val="0"/>
        <w:kinsoku/>
        <w:wordWrap/>
        <w:overflowPunct/>
        <w:topLinePunct w:val="0"/>
        <w:bidi w:val="0"/>
        <w:snapToGrid/>
        <w:spacing w:line="480" w:lineRule="exact"/>
        <w:ind w:firstLine="480" w:firstLineChars="200"/>
        <w:textAlignment w:val="auto"/>
        <w:rPr>
          <w:snapToGrid w:val="0"/>
          <w:kern w:val="0"/>
          <w:sz w:val="24"/>
          <w:highlight w:val="none"/>
        </w:rPr>
      </w:pPr>
      <w:r>
        <w:rPr>
          <w:snapToGrid w:val="0"/>
          <w:kern w:val="0"/>
          <w:sz w:val="24"/>
          <w:highlight w:val="none"/>
        </w:rPr>
        <w:t>附图2  周边关系图</w:t>
      </w:r>
    </w:p>
    <w:p>
      <w:pPr>
        <w:keepNext w:val="0"/>
        <w:keepLines w:val="0"/>
        <w:pageBreakBefore w:val="0"/>
        <w:widowControl w:val="0"/>
        <w:kinsoku/>
        <w:wordWrap/>
        <w:overflowPunct/>
        <w:topLinePunct w:val="0"/>
        <w:bidi w:val="0"/>
        <w:snapToGrid/>
        <w:spacing w:line="480" w:lineRule="exact"/>
        <w:ind w:firstLine="480" w:firstLineChars="200"/>
        <w:textAlignment w:val="auto"/>
        <w:rPr>
          <w:snapToGrid w:val="0"/>
          <w:kern w:val="0"/>
          <w:sz w:val="24"/>
          <w:highlight w:val="none"/>
        </w:rPr>
      </w:pPr>
      <w:r>
        <w:rPr>
          <w:snapToGrid w:val="0"/>
          <w:kern w:val="0"/>
          <w:sz w:val="24"/>
          <w:highlight w:val="none"/>
        </w:rPr>
        <w:t>附图3  平面布置图</w:t>
      </w:r>
    </w:p>
    <w:p>
      <w:pPr>
        <w:keepNext w:val="0"/>
        <w:keepLines w:val="0"/>
        <w:pageBreakBefore w:val="0"/>
        <w:widowControl w:val="0"/>
        <w:kinsoku/>
        <w:wordWrap/>
        <w:overflowPunct/>
        <w:topLinePunct w:val="0"/>
        <w:bidi w:val="0"/>
        <w:snapToGrid/>
        <w:spacing w:line="480" w:lineRule="exact"/>
        <w:ind w:firstLine="480" w:firstLineChars="200"/>
        <w:textAlignment w:val="auto"/>
        <w:rPr>
          <w:snapToGrid w:val="0"/>
          <w:kern w:val="0"/>
          <w:sz w:val="24"/>
          <w:highlight w:val="none"/>
        </w:rPr>
      </w:pPr>
      <w:r>
        <w:rPr>
          <w:snapToGrid w:val="0"/>
          <w:kern w:val="0"/>
          <w:sz w:val="24"/>
          <w:highlight w:val="none"/>
        </w:rPr>
        <w:t>附图4  防渗区域图</w:t>
      </w:r>
    </w:p>
    <w:p>
      <w:pPr>
        <w:keepNext w:val="0"/>
        <w:keepLines w:val="0"/>
        <w:pageBreakBefore w:val="0"/>
        <w:widowControl w:val="0"/>
        <w:kinsoku/>
        <w:wordWrap/>
        <w:overflowPunct/>
        <w:topLinePunct w:val="0"/>
        <w:bidi w:val="0"/>
        <w:snapToGrid/>
        <w:spacing w:line="480" w:lineRule="exact"/>
        <w:ind w:firstLine="480" w:firstLineChars="200"/>
        <w:textAlignment w:val="auto"/>
        <w:rPr>
          <w:snapToGrid w:val="0"/>
          <w:kern w:val="0"/>
          <w:sz w:val="24"/>
          <w:highlight w:val="none"/>
        </w:rPr>
      </w:pPr>
      <w:r>
        <w:rPr>
          <w:snapToGrid w:val="0"/>
          <w:kern w:val="0"/>
          <w:sz w:val="24"/>
          <w:highlight w:val="none"/>
        </w:rPr>
        <w:t xml:space="preserve">附图5  </w:t>
      </w:r>
      <w:r>
        <w:rPr>
          <w:rFonts w:hint="eastAsia"/>
          <w:snapToGrid w:val="0"/>
          <w:kern w:val="0"/>
          <w:sz w:val="24"/>
          <w:highlight w:val="none"/>
          <w:lang w:eastAsia="zh-CN"/>
        </w:rPr>
        <w:t>土地利用性质</w:t>
      </w:r>
      <w:r>
        <w:rPr>
          <w:snapToGrid w:val="0"/>
          <w:kern w:val="0"/>
          <w:sz w:val="24"/>
          <w:highlight w:val="none"/>
        </w:rPr>
        <w:t>图</w:t>
      </w:r>
    </w:p>
    <w:p>
      <w:pPr>
        <w:keepNext w:val="0"/>
        <w:keepLines w:val="0"/>
        <w:pageBreakBefore w:val="0"/>
        <w:widowControl w:val="0"/>
        <w:kinsoku/>
        <w:wordWrap/>
        <w:overflowPunct/>
        <w:topLinePunct w:val="0"/>
        <w:bidi w:val="0"/>
        <w:snapToGrid/>
        <w:spacing w:line="480" w:lineRule="exact"/>
        <w:ind w:firstLine="480" w:firstLineChars="200"/>
        <w:textAlignment w:val="auto"/>
        <w:rPr>
          <w:snapToGrid w:val="0"/>
          <w:kern w:val="0"/>
          <w:sz w:val="24"/>
          <w:highlight w:val="none"/>
        </w:rPr>
      </w:pPr>
      <w:r>
        <w:rPr>
          <w:snapToGrid w:val="0"/>
          <w:kern w:val="0"/>
          <w:sz w:val="24"/>
          <w:highlight w:val="none"/>
        </w:rPr>
        <w:t>附图6  监测布点图</w:t>
      </w:r>
    </w:p>
    <w:p>
      <w:pPr>
        <w:keepNext w:val="0"/>
        <w:keepLines w:val="0"/>
        <w:pageBreakBefore w:val="0"/>
        <w:widowControl w:val="0"/>
        <w:kinsoku/>
        <w:wordWrap/>
        <w:overflowPunct/>
        <w:topLinePunct w:val="0"/>
        <w:bidi w:val="0"/>
        <w:snapToGrid/>
        <w:spacing w:line="480" w:lineRule="exact"/>
        <w:ind w:firstLine="480" w:firstLineChars="200"/>
        <w:textAlignment w:val="auto"/>
        <w:rPr>
          <w:rFonts w:hint="eastAsia" w:eastAsia="宋体"/>
          <w:snapToGrid w:val="0"/>
          <w:kern w:val="0"/>
          <w:sz w:val="24"/>
          <w:highlight w:val="none"/>
          <w:lang w:eastAsia="zh-CN"/>
        </w:rPr>
      </w:pPr>
      <w:r>
        <w:rPr>
          <w:snapToGrid w:val="0"/>
          <w:kern w:val="0"/>
          <w:sz w:val="24"/>
          <w:highlight w:val="none"/>
        </w:rPr>
        <w:t>附图</w:t>
      </w:r>
      <w:r>
        <w:rPr>
          <w:rFonts w:hint="eastAsia"/>
          <w:snapToGrid w:val="0"/>
          <w:kern w:val="0"/>
          <w:sz w:val="24"/>
          <w:highlight w:val="none"/>
          <w:lang w:val="en-US" w:eastAsia="zh-CN"/>
        </w:rPr>
        <w:t>7</w:t>
      </w:r>
      <w:r>
        <w:rPr>
          <w:snapToGrid w:val="0"/>
          <w:kern w:val="0"/>
          <w:sz w:val="24"/>
          <w:highlight w:val="none"/>
        </w:rPr>
        <w:t xml:space="preserve">  </w:t>
      </w:r>
      <w:r>
        <w:rPr>
          <w:rFonts w:hint="eastAsia"/>
          <w:snapToGrid w:val="0"/>
          <w:kern w:val="0"/>
          <w:sz w:val="24"/>
          <w:highlight w:val="none"/>
          <w:lang w:eastAsia="zh-CN"/>
        </w:rPr>
        <w:t>水电站相对位置图</w:t>
      </w:r>
    </w:p>
    <w:p>
      <w:pPr>
        <w:keepNext w:val="0"/>
        <w:keepLines w:val="0"/>
        <w:pageBreakBefore w:val="0"/>
        <w:widowControl w:val="0"/>
        <w:kinsoku/>
        <w:wordWrap/>
        <w:overflowPunct/>
        <w:topLinePunct w:val="0"/>
        <w:bidi w:val="0"/>
        <w:snapToGrid/>
        <w:spacing w:line="480" w:lineRule="exact"/>
        <w:ind w:firstLine="480" w:firstLineChars="200"/>
        <w:textAlignment w:val="auto"/>
        <w:rPr>
          <w:rFonts w:hint="eastAsia" w:eastAsia="宋体"/>
          <w:snapToGrid w:val="0"/>
          <w:kern w:val="0"/>
          <w:sz w:val="24"/>
          <w:highlight w:val="none"/>
          <w:lang w:eastAsia="zh-CN"/>
        </w:rPr>
      </w:pPr>
      <w:r>
        <w:rPr>
          <w:snapToGrid w:val="0"/>
          <w:kern w:val="0"/>
          <w:sz w:val="24"/>
          <w:highlight w:val="none"/>
        </w:rPr>
        <w:t>附图</w:t>
      </w:r>
      <w:r>
        <w:rPr>
          <w:rFonts w:hint="eastAsia"/>
          <w:snapToGrid w:val="0"/>
          <w:kern w:val="0"/>
          <w:sz w:val="24"/>
          <w:highlight w:val="none"/>
          <w:lang w:val="en-US" w:eastAsia="zh-CN"/>
        </w:rPr>
        <w:t>8</w:t>
      </w:r>
      <w:r>
        <w:rPr>
          <w:snapToGrid w:val="0"/>
          <w:kern w:val="0"/>
          <w:sz w:val="24"/>
          <w:highlight w:val="none"/>
        </w:rPr>
        <w:t xml:space="preserve">  </w:t>
      </w:r>
      <w:r>
        <w:rPr>
          <w:rFonts w:hint="eastAsia"/>
          <w:snapToGrid w:val="0"/>
          <w:kern w:val="0"/>
          <w:sz w:val="24"/>
          <w:highlight w:val="none"/>
          <w:lang w:eastAsia="zh-CN"/>
        </w:rPr>
        <w:t>地下水评价范围及检测布点图</w:t>
      </w:r>
    </w:p>
    <w:p>
      <w:pPr>
        <w:keepNext w:val="0"/>
        <w:keepLines w:val="0"/>
        <w:pageBreakBefore w:val="0"/>
        <w:widowControl w:val="0"/>
        <w:kinsoku/>
        <w:wordWrap/>
        <w:overflowPunct/>
        <w:topLinePunct w:val="0"/>
        <w:bidi w:val="0"/>
        <w:snapToGrid/>
        <w:spacing w:line="480" w:lineRule="exact"/>
        <w:ind w:firstLine="480" w:firstLineChars="200"/>
        <w:textAlignment w:val="auto"/>
        <w:rPr>
          <w:rFonts w:hint="eastAsia" w:eastAsia="宋体"/>
          <w:snapToGrid w:val="0"/>
          <w:kern w:val="0"/>
          <w:sz w:val="24"/>
          <w:highlight w:val="none"/>
          <w:lang w:eastAsia="zh-CN"/>
        </w:rPr>
      </w:pPr>
      <w:r>
        <w:rPr>
          <w:snapToGrid w:val="0"/>
          <w:kern w:val="0"/>
          <w:sz w:val="24"/>
          <w:highlight w:val="none"/>
        </w:rPr>
        <w:t>附图</w:t>
      </w:r>
      <w:r>
        <w:rPr>
          <w:rFonts w:hint="eastAsia"/>
          <w:snapToGrid w:val="0"/>
          <w:kern w:val="0"/>
          <w:sz w:val="24"/>
          <w:highlight w:val="none"/>
          <w:lang w:val="en-US" w:eastAsia="zh-CN"/>
        </w:rPr>
        <w:t>9</w:t>
      </w:r>
      <w:r>
        <w:rPr>
          <w:snapToGrid w:val="0"/>
          <w:kern w:val="0"/>
          <w:sz w:val="24"/>
          <w:highlight w:val="none"/>
        </w:rPr>
        <w:t xml:space="preserve">  </w:t>
      </w:r>
      <w:r>
        <w:rPr>
          <w:rFonts w:hint="eastAsia"/>
          <w:snapToGrid w:val="0"/>
          <w:kern w:val="0"/>
          <w:sz w:val="24"/>
          <w:highlight w:val="none"/>
          <w:lang w:eastAsia="zh-CN"/>
        </w:rPr>
        <w:t>地表水断面图</w:t>
      </w:r>
    </w:p>
    <w:p>
      <w:pPr>
        <w:keepNext w:val="0"/>
        <w:keepLines w:val="0"/>
        <w:pageBreakBefore w:val="0"/>
        <w:widowControl w:val="0"/>
        <w:kinsoku/>
        <w:wordWrap/>
        <w:overflowPunct/>
        <w:topLinePunct w:val="0"/>
        <w:bidi w:val="0"/>
        <w:snapToGrid/>
        <w:spacing w:line="480" w:lineRule="exact"/>
        <w:ind w:firstLine="480" w:firstLineChars="200"/>
        <w:textAlignment w:val="auto"/>
        <w:rPr>
          <w:snapToGrid w:val="0"/>
          <w:kern w:val="0"/>
          <w:sz w:val="24"/>
          <w:highlight w:val="none"/>
        </w:rPr>
      </w:pPr>
      <w:r>
        <w:rPr>
          <w:snapToGrid w:val="0"/>
          <w:kern w:val="0"/>
          <w:sz w:val="24"/>
          <w:highlight w:val="none"/>
        </w:rPr>
        <w:t>附图</w:t>
      </w:r>
      <w:r>
        <w:rPr>
          <w:rFonts w:hint="eastAsia"/>
          <w:snapToGrid w:val="0"/>
          <w:kern w:val="0"/>
          <w:sz w:val="24"/>
          <w:highlight w:val="none"/>
          <w:lang w:val="en-US" w:eastAsia="zh-CN"/>
        </w:rPr>
        <w:t>10</w:t>
      </w:r>
      <w:r>
        <w:rPr>
          <w:snapToGrid w:val="0"/>
          <w:kern w:val="0"/>
          <w:sz w:val="24"/>
          <w:highlight w:val="none"/>
        </w:rPr>
        <w:t xml:space="preserve">  </w:t>
      </w:r>
      <w:r>
        <w:rPr>
          <w:rFonts w:hint="eastAsia"/>
          <w:snapToGrid w:val="0"/>
          <w:kern w:val="0"/>
          <w:sz w:val="24"/>
          <w:highlight w:val="none"/>
          <w:lang w:eastAsia="zh-CN"/>
        </w:rPr>
        <w:t>评价范围</w:t>
      </w:r>
      <w:r>
        <w:rPr>
          <w:snapToGrid w:val="0"/>
          <w:kern w:val="0"/>
          <w:sz w:val="24"/>
          <w:highlight w:val="none"/>
        </w:rPr>
        <w:t>图</w:t>
      </w:r>
    </w:p>
    <w:p>
      <w:pPr>
        <w:keepNext w:val="0"/>
        <w:keepLines w:val="0"/>
        <w:pageBreakBefore w:val="0"/>
        <w:widowControl w:val="0"/>
        <w:kinsoku/>
        <w:wordWrap/>
        <w:overflowPunct/>
        <w:topLinePunct w:val="0"/>
        <w:bidi w:val="0"/>
        <w:snapToGrid/>
        <w:spacing w:line="480" w:lineRule="exact"/>
        <w:ind w:firstLine="480" w:firstLineChars="200"/>
        <w:textAlignment w:val="auto"/>
        <w:rPr>
          <w:rFonts w:hint="eastAsia" w:eastAsia="宋体"/>
          <w:snapToGrid w:val="0"/>
          <w:kern w:val="0"/>
          <w:sz w:val="24"/>
          <w:highlight w:val="none"/>
          <w:lang w:eastAsia="zh-CN"/>
        </w:rPr>
      </w:pPr>
      <w:r>
        <w:rPr>
          <w:rFonts w:hint="eastAsia"/>
          <w:snapToGrid w:val="0"/>
          <w:kern w:val="0"/>
          <w:sz w:val="24"/>
          <w:highlight w:val="none"/>
          <w:lang w:eastAsia="zh-CN"/>
        </w:rPr>
        <w:t>附图</w:t>
      </w:r>
      <w:r>
        <w:rPr>
          <w:rFonts w:hint="eastAsia"/>
          <w:snapToGrid w:val="0"/>
          <w:kern w:val="0"/>
          <w:sz w:val="24"/>
          <w:highlight w:val="none"/>
          <w:lang w:val="en-US" w:eastAsia="zh-CN"/>
        </w:rPr>
        <w:t>11  项目与黎河生态红线关系图</w:t>
      </w:r>
    </w:p>
    <w:p>
      <w:pPr>
        <w:spacing w:line="480" w:lineRule="exact"/>
        <w:ind w:firstLine="241" w:firstLineChars="100"/>
        <w:rPr>
          <w:b/>
          <w:snapToGrid w:val="0"/>
          <w:kern w:val="0"/>
          <w:sz w:val="24"/>
          <w:highlight w:val="none"/>
        </w:rPr>
      </w:pPr>
      <w:r>
        <w:rPr>
          <w:b/>
          <w:snapToGrid w:val="0"/>
          <w:kern w:val="0"/>
          <w:sz w:val="24"/>
          <w:highlight w:val="none"/>
        </w:rPr>
        <w:t>项目附件:</w:t>
      </w:r>
    </w:p>
    <w:p>
      <w:pPr>
        <w:spacing w:line="480" w:lineRule="exact"/>
        <w:ind w:firstLine="480" w:firstLineChars="200"/>
        <w:rPr>
          <w:snapToGrid w:val="0"/>
          <w:kern w:val="0"/>
          <w:sz w:val="24"/>
          <w:highlight w:val="none"/>
        </w:rPr>
      </w:pPr>
      <w:r>
        <w:rPr>
          <w:snapToGrid w:val="0"/>
          <w:kern w:val="0"/>
          <w:sz w:val="24"/>
          <w:highlight w:val="none"/>
        </w:rPr>
        <w:t>附件1：营业执照</w:t>
      </w:r>
    </w:p>
    <w:p>
      <w:pPr>
        <w:spacing w:line="480" w:lineRule="exact"/>
        <w:ind w:firstLine="480" w:firstLineChars="200"/>
        <w:rPr>
          <w:snapToGrid w:val="0"/>
          <w:kern w:val="0"/>
          <w:sz w:val="24"/>
          <w:highlight w:val="none"/>
        </w:rPr>
      </w:pPr>
      <w:r>
        <w:rPr>
          <w:snapToGrid w:val="0"/>
          <w:kern w:val="0"/>
          <w:sz w:val="24"/>
          <w:highlight w:val="none"/>
        </w:rPr>
        <w:t>附件2：土地证</w:t>
      </w:r>
    </w:p>
    <w:p>
      <w:pPr>
        <w:spacing w:line="480" w:lineRule="exact"/>
        <w:ind w:firstLine="480" w:firstLineChars="200"/>
        <w:rPr>
          <w:snapToGrid w:val="0"/>
          <w:kern w:val="0"/>
          <w:sz w:val="24"/>
          <w:highlight w:val="none"/>
        </w:rPr>
      </w:pPr>
      <w:r>
        <w:rPr>
          <w:snapToGrid w:val="0"/>
          <w:kern w:val="0"/>
          <w:sz w:val="24"/>
          <w:highlight w:val="none"/>
        </w:rPr>
        <w:t>附件</w:t>
      </w:r>
      <w:r>
        <w:rPr>
          <w:rFonts w:hint="eastAsia"/>
          <w:snapToGrid w:val="0"/>
          <w:kern w:val="0"/>
          <w:sz w:val="24"/>
          <w:highlight w:val="none"/>
          <w:lang w:val="en-US" w:eastAsia="zh-CN"/>
        </w:rPr>
        <w:t>3</w:t>
      </w:r>
      <w:r>
        <w:rPr>
          <w:snapToGrid w:val="0"/>
          <w:kern w:val="0"/>
          <w:sz w:val="24"/>
          <w:highlight w:val="none"/>
        </w:rPr>
        <w:t>：</w:t>
      </w:r>
      <w:r>
        <w:rPr>
          <w:rFonts w:hint="eastAsia"/>
          <w:snapToGrid w:val="0"/>
          <w:kern w:val="0"/>
          <w:sz w:val="24"/>
          <w:highlight w:val="none"/>
        </w:rPr>
        <w:t>关于在黎河上段修建水力发电站的报告</w:t>
      </w:r>
    </w:p>
    <w:p>
      <w:pPr>
        <w:spacing w:line="480" w:lineRule="exact"/>
        <w:ind w:firstLine="480" w:firstLineChars="200"/>
        <w:rPr>
          <w:snapToGrid w:val="0"/>
          <w:kern w:val="0"/>
          <w:sz w:val="24"/>
          <w:highlight w:val="none"/>
        </w:rPr>
      </w:pPr>
      <w:r>
        <w:rPr>
          <w:snapToGrid w:val="0"/>
          <w:kern w:val="0"/>
          <w:sz w:val="24"/>
          <w:highlight w:val="none"/>
        </w:rPr>
        <w:t>附件</w:t>
      </w:r>
      <w:r>
        <w:rPr>
          <w:rFonts w:hint="eastAsia"/>
          <w:snapToGrid w:val="0"/>
          <w:kern w:val="0"/>
          <w:sz w:val="24"/>
          <w:highlight w:val="none"/>
          <w:lang w:val="en-US" w:eastAsia="zh-CN"/>
        </w:rPr>
        <w:t>4</w:t>
      </w:r>
      <w:r>
        <w:rPr>
          <w:snapToGrid w:val="0"/>
          <w:kern w:val="0"/>
          <w:sz w:val="24"/>
          <w:highlight w:val="none"/>
        </w:rPr>
        <w:t>：天津市水利局《关于引滦入津黎河上段水能利用规划报告的批复》（[1992]津水规70号）</w:t>
      </w:r>
    </w:p>
    <w:p>
      <w:pPr>
        <w:spacing w:line="480" w:lineRule="exact"/>
        <w:ind w:firstLine="480" w:firstLineChars="200"/>
        <w:rPr>
          <w:snapToGrid w:val="0"/>
          <w:kern w:val="0"/>
          <w:sz w:val="24"/>
          <w:highlight w:val="none"/>
        </w:rPr>
      </w:pPr>
      <w:r>
        <w:rPr>
          <w:snapToGrid w:val="0"/>
          <w:kern w:val="0"/>
          <w:sz w:val="24"/>
          <w:highlight w:val="none"/>
        </w:rPr>
        <w:t>附件</w:t>
      </w:r>
      <w:r>
        <w:rPr>
          <w:rFonts w:hint="eastAsia"/>
          <w:snapToGrid w:val="0"/>
          <w:kern w:val="0"/>
          <w:sz w:val="24"/>
          <w:highlight w:val="none"/>
          <w:lang w:val="en-US" w:eastAsia="zh-CN"/>
        </w:rPr>
        <w:t>5</w:t>
      </w:r>
      <w:r>
        <w:rPr>
          <w:snapToGrid w:val="0"/>
          <w:kern w:val="0"/>
          <w:sz w:val="24"/>
          <w:highlight w:val="none"/>
        </w:rPr>
        <w:t>：河北省水利厅《关于</w:t>
      </w:r>
      <w:r>
        <w:rPr>
          <w:rFonts w:hint="default"/>
          <w:snapToGrid w:val="0"/>
          <w:color w:val="auto"/>
          <w:kern w:val="0"/>
          <w:sz w:val="24"/>
          <w:highlight w:val="none"/>
          <w:lang w:eastAsia="zh-CN"/>
        </w:rPr>
        <w:t>遵化市黎河第四～七级水电站可行性研究报告</w:t>
      </w:r>
      <w:r>
        <w:rPr>
          <w:snapToGrid w:val="0"/>
          <w:kern w:val="0"/>
          <w:sz w:val="24"/>
          <w:highlight w:val="none"/>
        </w:rPr>
        <w:t>的</w:t>
      </w:r>
      <w:r>
        <w:rPr>
          <w:rFonts w:hint="eastAsia"/>
          <w:snapToGrid w:val="0"/>
          <w:kern w:val="0"/>
          <w:sz w:val="24"/>
          <w:highlight w:val="none"/>
          <w:lang w:eastAsia="zh-CN"/>
        </w:rPr>
        <w:t>批复</w:t>
      </w:r>
      <w:r>
        <w:rPr>
          <w:snapToGrid w:val="0"/>
          <w:kern w:val="0"/>
          <w:sz w:val="24"/>
          <w:highlight w:val="none"/>
        </w:rPr>
        <w:t>》（冀水电[199</w:t>
      </w:r>
      <w:r>
        <w:rPr>
          <w:rFonts w:hint="eastAsia"/>
          <w:snapToGrid w:val="0"/>
          <w:kern w:val="0"/>
          <w:sz w:val="24"/>
          <w:highlight w:val="none"/>
          <w:lang w:val="en-US" w:eastAsia="zh-CN"/>
        </w:rPr>
        <w:t>9</w:t>
      </w:r>
      <w:r>
        <w:rPr>
          <w:snapToGrid w:val="0"/>
          <w:kern w:val="0"/>
          <w:sz w:val="24"/>
          <w:highlight w:val="none"/>
        </w:rPr>
        <w:t>]</w:t>
      </w:r>
      <w:r>
        <w:rPr>
          <w:rFonts w:hint="eastAsia"/>
          <w:snapToGrid w:val="0"/>
          <w:kern w:val="0"/>
          <w:sz w:val="24"/>
          <w:highlight w:val="none"/>
          <w:lang w:val="en-US" w:eastAsia="zh-CN"/>
        </w:rPr>
        <w:t>5</w:t>
      </w:r>
      <w:r>
        <w:rPr>
          <w:snapToGrid w:val="0"/>
          <w:kern w:val="0"/>
          <w:sz w:val="24"/>
          <w:highlight w:val="none"/>
        </w:rPr>
        <w:t>号）</w:t>
      </w:r>
    </w:p>
    <w:p>
      <w:pPr>
        <w:spacing w:line="480" w:lineRule="exact"/>
        <w:ind w:firstLine="480" w:firstLineChars="200"/>
        <w:rPr>
          <w:snapToGrid w:val="0"/>
          <w:kern w:val="0"/>
          <w:sz w:val="24"/>
          <w:highlight w:val="none"/>
        </w:rPr>
      </w:pPr>
      <w:r>
        <w:rPr>
          <w:snapToGrid w:val="0"/>
          <w:kern w:val="0"/>
          <w:sz w:val="24"/>
          <w:highlight w:val="none"/>
        </w:rPr>
        <w:t>附件</w:t>
      </w:r>
      <w:r>
        <w:rPr>
          <w:rFonts w:hint="eastAsia"/>
          <w:snapToGrid w:val="0"/>
          <w:kern w:val="0"/>
          <w:sz w:val="24"/>
          <w:highlight w:val="none"/>
          <w:lang w:val="en-US" w:eastAsia="zh-CN"/>
        </w:rPr>
        <w:t>6</w:t>
      </w:r>
      <w:r>
        <w:rPr>
          <w:snapToGrid w:val="0"/>
          <w:kern w:val="0"/>
          <w:sz w:val="24"/>
          <w:highlight w:val="none"/>
        </w:rPr>
        <w:t>：河北省水利厅《</w:t>
      </w:r>
      <w:r>
        <w:rPr>
          <w:rFonts w:hint="eastAsia"/>
          <w:snapToGrid w:val="0"/>
          <w:kern w:val="0"/>
          <w:sz w:val="24"/>
          <w:highlight w:val="none"/>
        </w:rPr>
        <w:t>关于遵化市黎河四级水电站初步设计的批复</w:t>
      </w:r>
      <w:r>
        <w:rPr>
          <w:snapToGrid w:val="0"/>
          <w:kern w:val="0"/>
          <w:sz w:val="24"/>
          <w:highlight w:val="none"/>
        </w:rPr>
        <w:t>》（冀水电[</w:t>
      </w:r>
      <w:r>
        <w:rPr>
          <w:rFonts w:hint="eastAsia"/>
          <w:snapToGrid w:val="0"/>
          <w:kern w:val="0"/>
          <w:sz w:val="24"/>
          <w:highlight w:val="none"/>
          <w:lang w:val="en-US" w:eastAsia="zh-CN"/>
        </w:rPr>
        <w:t>2004</w:t>
      </w:r>
      <w:r>
        <w:rPr>
          <w:snapToGrid w:val="0"/>
          <w:kern w:val="0"/>
          <w:sz w:val="24"/>
          <w:highlight w:val="none"/>
        </w:rPr>
        <w:t>]</w:t>
      </w:r>
      <w:r>
        <w:rPr>
          <w:rFonts w:hint="eastAsia"/>
          <w:snapToGrid w:val="0"/>
          <w:kern w:val="0"/>
          <w:sz w:val="24"/>
          <w:highlight w:val="none"/>
          <w:lang w:val="en-US" w:eastAsia="zh-CN"/>
        </w:rPr>
        <w:t>52</w:t>
      </w:r>
      <w:r>
        <w:rPr>
          <w:snapToGrid w:val="0"/>
          <w:kern w:val="0"/>
          <w:sz w:val="24"/>
          <w:highlight w:val="none"/>
        </w:rPr>
        <w:t>号）</w:t>
      </w:r>
    </w:p>
    <w:p>
      <w:pPr>
        <w:spacing w:line="480" w:lineRule="exact"/>
        <w:ind w:firstLine="480" w:firstLineChars="200"/>
        <w:rPr>
          <w:rFonts w:hint="default" w:eastAsia="宋体"/>
          <w:snapToGrid w:val="0"/>
          <w:kern w:val="0"/>
          <w:sz w:val="24"/>
          <w:highlight w:val="none"/>
          <w:lang w:val="en-US" w:eastAsia="zh-CN"/>
        </w:rPr>
      </w:pPr>
      <w:r>
        <w:rPr>
          <w:rFonts w:hint="eastAsia"/>
          <w:snapToGrid w:val="0"/>
          <w:kern w:val="0"/>
          <w:sz w:val="24"/>
          <w:highlight w:val="none"/>
          <w:lang w:eastAsia="zh-CN"/>
        </w:rPr>
        <w:t>附件</w:t>
      </w:r>
      <w:r>
        <w:rPr>
          <w:rFonts w:hint="eastAsia"/>
          <w:snapToGrid w:val="0"/>
          <w:kern w:val="0"/>
          <w:sz w:val="24"/>
          <w:highlight w:val="none"/>
          <w:lang w:val="en-US" w:eastAsia="zh-CN"/>
        </w:rPr>
        <w:t>7：</w:t>
      </w:r>
      <w:r>
        <w:rPr>
          <w:snapToGrid w:val="0"/>
          <w:kern w:val="0"/>
          <w:sz w:val="24"/>
          <w:highlight w:val="none"/>
        </w:rPr>
        <w:t>河北省水利厅</w:t>
      </w:r>
      <w:r>
        <w:rPr>
          <w:rFonts w:hint="eastAsia"/>
          <w:snapToGrid w:val="0"/>
          <w:kern w:val="0"/>
          <w:sz w:val="24"/>
          <w:highlight w:val="none"/>
          <w:lang w:val="en-US" w:eastAsia="zh-CN"/>
        </w:rPr>
        <w:t>《关于遵化市黎河四级水电站修改初步设计的批复》</w:t>
      </w:r>
      <w:r>
        <w:rPr>
          <w:snapToGrid w:val="0"/>
          <w:kern w:val="0"/>
          <w:sz w:val="24"/>
          <w:highlight w:val="none"/>
        </w:rPr>
        <w:t>（冀水电</w:t>
      </w:r>
      <w:r>
        <w:rPr>
          <w:rFonts w:hint="eastAsia"/>
          <w:snapToGrid w:val="0"/>
          <w:kern w:val="0"/>
          <w:sz w:val="24"/>
          <w:highlight w:val="none"/>
          <w:lang w:eastAsia="zh-CN"/>
        </w:rPr>
        <w:t>函</w:t>
      </w:r>
      <w:r>
        <w:rPr>
          <w:snapToGrid w:val="0"/>
          <w:kern w:val="0"/>
          <w:sz w:val="24"/>
          <w:highlight w:val="none"/>
        </w:rPr>
        <w:t>[</w:t>
      </w:r>
      <w:r>
        <w:rPr>
          <w:rFonts w:hint="eastAsia"/>
          <w:snapToGrid w:val="0"/>
          <w:kern w:val="0"/>
          <w:sz w:val="24"/>
          <w:highlight w:val="none"/>
          <w:lang w:val="en-US" w:eastAsia="zh-CN"/>
        </w:rPr>
        <w:t>2005</w:t>
      </w:r>
      <w:r>
        <w:rPr>
          <w:snapToGrid w:val="0"/>
          <w:kern w:val="0"/>
          <w:sz w:val="24"/>
          <w:highlight w:val="none"/>
        </w:rPr>
        <w:t>]</w:t>
      </w:r>
      <w:r>
        <w:rPr>
          <w:rFonts w:hint="eastAsia"/>
          <w:snapToGrid w:val="0"/>
          <w:kern w:val="0"/>
          <w:sz w:val="24"/>
          <w:highlight w:val="none"/>
          <w:lang w:val="en-US" w:eastAsia="zh-CN"/>
        </w:rPr>
        <w:t>40</w:t>
      </w:r>
      <w:r>
        <w:rPr>
          <w:snapToGrid w:val="0"/>
          <w:kern w:val="0"/>
          <w:sz w:val="24"/>
          <w:highlight w:val="none"/>
        </w:rPr>
        <w:t>号）</w:t>
      </w:r>
    </w:p>
    <w:p>
      <w:pPr>
        <w:spacing w:line="480" w:lineRule="exact"/>
        <w:ind w:firstLine="480" w:firstLineChars="200"/>
        <w:rPr>
          <w:rFonts w:hint="eastAsia" w:eastAsia="宋体"/>
          <w:snapToGrid w:val="0"/>
          <w:kern w:val="0"/>
          <w:sz w:val="24"/>
          <w:highlight w:val="none"/>
          <w:lang w:val="en-US" w:eastAsia="zh-CN"/>
        </w:rPr>
      </w:pPr>
      <w:r>
        <w:rPr>
          <w:rFonts w:hint="eastAsia"/>
          <w:snapToGrid w:val="0"/>
          <w:kern w:val="0"/>
          <w:sz w:val="24"/>
          <w:highlight w:val="none"/>
          <w:lang w:val="en-US" w:eastAsia="zh-CN"/>
        </w:rPr>
        <w:t>附件8：</w:t>
      </w:r>
      <w:r>
        <w:rPr>
          <w:snapToGrid w:val="0"/>
          <w:kern w:val="0"/>
          <w:sz w:val="24"/>
          <w:highlight w:val="none"/>
        </w:rPr>
        <w:t>遵化市黎河</w:t>
      </w:r>
      <w:r>
        <w:rPr>
          <w:rFonts w:hint="eastAsia"/>
          <w:snapToGrid w:val="0"/>
          <w:kern w:val="0"/>
          <w:sz w:val="24"/>
          <w:highlight w:val="none"/>
          <w:lang w:eastAsia="zh-CN"/>
        </w:rPr>
        <w:t>四</w:t>
      </w:r>
      <w:r>
        <w:rPr>
          <w:snapToGrid w:val="0"/>
          <w:kern w:val="0"/>
          <w:sz w:val="24"/>
          <w:highlight w:val="none"/>
        </w:rPr>
        <w:t>级水电站工程竣工验收</w:t>
      </w:r>
      <w:r>
        <w:rPr>
          <w:rFonts w:hint="eastAsia"/>
          <w:snapToGrid w:val="0"/>
          <w:kern w:val="0"/>
          <w:sz w:val="24"/>
          <w:highlight w:val="none"/>
          <w:lang w:eastAsia="zh-CN"/>
        </w:rPr>
        <w:t>鉴定书</w:t>
      </w:r>
    </w:p>
    <w:p>
      <w:pPr>
        <w:spacing w:line="480" w:lineRule="exact"/>
        <w:ind w:firstLine="480" w:firstLineChars="200"/>
        <w:rPr>
          <w:snapToGrid w:val="0"/>
          <w:kern w:val="0"/>
          <w:sz w:val="24"/>
          <w:highlight w:val="none"/>
        </w:rPr>
      </w:pPr>
      <w:r>
        <w:rPr>
          <w:snapToGrid w:val="0"/>
          <w:kern w:val="0"/>
          <w:sz w:val="24"/>
          <w:highlight w:val="none"/>
        </w:rPr>
        <w:t>附件</w:t>
      </w:r>
      <w:r>
        <w:rPr>
          <w:rFonts w:hint="eastAsia"/>
          <w:snapToGrid w:val="0"/>
          <w:kern w:val="0"/>
          <w:sz w:val="24"/>
          <w:highlight w:val="none"/>
          <w:lang w:val="en-US" w:eastAsia="zh-CN"/>
        </w:rPr>
        <w:t>9</w:t>
      </w:r>
      <w:r>
        <w:rPr>
          <w:snapToGrid w:val="0"/>
          <w:kern w:val="0"/>
          <w:sz w:val="24"/>
          <w:highlight w:val="none"/>
        </w:rPr>
        <w:t>：河北省水利厅《关于遵化市黎河</w:t>
      </w:r>
      <w:r>
        <w:rPr>
          <w:rFonts w:hint="eastAsia"/>
          <w:snapToGrid w:val="0"/>
          <w:kern w:val="0"/>
          <w:sz w:val="24"/>
          <w:highlight w:val="none"/>
          <w:lang w:eastAsia="zh-CN"/>
        </w:rPr>
        <w:t>四</w:t>
      </w:r>
      <w:r>
        <w:rPr>
          <w:snapToGrid w:val="0"/>
          <w:kern w:val="0"/>
          <w:sz w:val="24"/>
          <w:highlight w:val="none"/>
        </w:rPr>
        <w:t>级水电站工程竣工验收的批复》（</w:t>
      </w:r>
      <w:r>
        <w:rPr>
          <w:rFonts w:hint="default"/>
          <w:snapToGrid w:val="0"/>
          <w:kern w:val="0"/>
          <w:sz w:val="24"/>
          <w:highlight w:val="none"/>
          <w:lang w:eastAsia="zh-CN"/>
        </w:rPr>
        <w:t>冀水电【2012】27号</w:t>
      </w:r>
      <w:r>
        <w:rPr>
          <w:snapToGrid w:val="0"/>
          <w:kern w:val="0"/>
          <w:sz w:val="24"/>
          <w:highlight w:val="none"/>
        </w:rPr>
        <w:t>）</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Fonts w:hint="eastAsia" w:eastAsia="宋体"/>
          <w:snapToGrid w:val="0"/>
          <w:kern w:val="0"/>
          <w:sz w:val="24"/>
          <w:highlight w:val="none"/>
          <w:lang w:eastAsia="zh-CN"/>
        </w:rPr>
      </w:pPr>
      <w:r>
        <w:rPr>
          <w:snapToGrid w:val="0"/>
          <w:kern w:val="0"/>
          <w:sz w:val="24"/>
          <w:highlight w:val="none"/>
        </w:rPr>
        <w:t>附件</w:t>
      </w:r>
      <w:r>
        <w:rPr>
          <w:rFonts w:hint="eastAsia"/>
          <w:snapToGrid w:val="0"/>
          <w:kern w:val="0"/>
          <w:sz w:val="24"/>
          <w:highlight w:val="none"/>
          <w:lang w:val="en-US" w:eastAsia="zh-CN"/>
        </w:rPr>
        <w:t>10</w:t>
      </w:r>
      <w:r>
        <w:rPr>
          <w:snapToGrid w:val="0"/>
          <w:kern w:val="0"/>
          <w:sz w:val="24"/>
          <w:highlight w:val="none"/>
        </w:rPr>
        <w:t>：</w:t>
      </w:r>
      <w:r>
        <w:rPr>
          <w:rFonts w:hint="eastAsia"/>
          <w:snapToGrid w:val="0"/>
          <w:kern w:val="0"/>
          <w:sz w:val="24"/>
          <w:highlight w:val="none"/>
          <w:lang w:eastAsia="zh-CN"/>
        </w:rPr>
        <w:t>水电站并网协议</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Fonts w:hint="eastAsia" w:eastAsia="宋体"/>
          <w:snapToGrid w:val="0"/>
          <w:kern w:val="0"/>
          <w:sz w:val="24"/>
          <w:highlight w:val="none"/>
          <w:lang w:eastAsia="zh-CN"/>
        </w:rPr>
      </w:pPr>
      <w:r>
        <w:rPr>
          <w:snapToGrid w:val="0"/>
          <w:kern w:val="0"/>
          <w:sz w:val="24"/>
          <w:highlight w:val="none"/>
        </w:rPr>
        <w:t>附件</w:t>
      </w:r>
      <w:r>
        <w:rPr>
          <w:rFonts w:hint="eastAsia"/>
          <w:snapToGrid w:val="0"/>
          <w:kern w:val="0"/>
          <w:sz w:val="24"/>
          <w:highlight w:val="none"/>
          <w:lang w:val="en-US" w:eastAsia="zh-CN"/>
        </w:rPr>
        <w:t>11</w:t>
      </w:r>
      <w:r>
        <w:rPr>
          <w:snapToGrid w:val="0"/>
          <w:kern w:val="0"/>
          <w:sz w:val="24"/>
          <w:highlight w:val="none"/>
        </w:rPr>
        <w:t>：</w:t>
      </w:r>
      <w:r>
        <w:rPr>
          <w:rFonts w:hint="eastAsia"/>
          <w:snapToGrid w:val="0"/>
          <w:kern w:val="0"/>
          <w:sz w:val="24"/>
          <w:highlight w:val="none"/>
          <w:lang w:eastAsia="zh-CN"/>
        </w:rPr>
        <w:t>关于小水电电价及有关问题的通知</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Fonts w:hint="eastAsia" w:eastAsia="宋体"/>
          <w:snapToGrid w:val="0"/>
          <w:kern w:val="0"/>
          <w:sz w:val="24"/>
          <w:highlight w:val="none"/>
          <w:lang w:eastAsia="zh-CN"/>
        </w:rPr>
      </w:pPr>
      <w:r>
        <w:rPr>
          <w:snapToGrid w:val="0"/>
          <w:kern w:val="0"/>
          <w:sz w:val="24"/>
          <w:highlight w:val="none"/>
        </w:rPr>
        <w:t>附件</w:t>
      </w:r>
      <w:r>
        <w:rPr>
          <w:rFonts w:hint="eastAsia"/>
          <w:snapToGrid w:val="0"/>
          <w:kern w:val="0"/>
          <w:sz w:val="24"/>
          <w:highlight w:val="none"/>
          <w:lang w:val="en-US" w:eastAsia="zh-CN"/>
        </w:rPr>
        <w:t>12</w:t>
      </w:r>
      <w:r>
        <w:rPr>
          <w:snapToGrid w:val="0"/>
          <w:kern w:val="0"/>
          <w:sz w:val="24"/>
          <w:highlight w:val="none"/>
        </w:rPr>
        <w:t>：</w:t>
      </w:r>
      <w:r>
        <w:rPr>
          <w:rFonts w:hint="eastAsia"/>
          <w:snapToGrid w:val="0"/>
          <w:kern w:val="0"/>
          <w:sz w:val="24"/>
          <w:szCs w:val="24"/>
          <w:highlight w:val="none"/>
          <w:lang w:val="en-US" w:eastAsia="zh-CN"/>
        </w:rPr>
        <w:t>河北省水利厅关于遵化市黎河四级水电站工程调整概算的批复</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Fonts w:hint="default" w:eastAsia="宋体"/>
          <w:snapToGrid w:val="0"/>
          <w:kern w:val="0"/>
          <w:sz w:val="24"/>
          <w:szCs w:val="24"/>
          <w:highlight w:val="none"/>
          <w:lang w:val="en-US" w:eastAsia="zh-CN"/>
        </w:rPr>
      </w:pPr>
      <w:r>
        <w:rPr>
          <w:rFonts w:hint="eastAsia"/>
          <w:snapToGrid w:val="0"/>
          <w:kern w:val="0"/>
          <w:sz w:val="24"/>
          <w:szCs w:val="24"/>
          <w:highlight w:val="none"/>
          <w:lang w:eastAsia="zh-CN"/>
        </w:rPr>
        <w:t>附件</w:t>
      </w:r>
      <w:r>
        <w:rPr>
          <w:rFonts w:hint="eastAsia"/>
          <w:snapToGrid w:val="0"/>
          <w:kern w:val="0"/>
          <w:sz w:val="24"/>
          <w:szCs w:val="24"/>
          <w:highlight w:val="none"/>
          <w:lang w:val="en-US" w:eastAsia="zh-CN"/>
        </w:rPr>
        <w:t>13：</w:t>
      </w:r>
      <w:r>
        <w:rPr>
          <w:rFonts w:hint="eastAsia"/>
          <w:snapToGrid w:val="0"/>
          <w:kern w:val="0"/>
          <w:sz w:val="24"/>
          <w:highlight w:val="none"/>
          <w:lang w:eastAsia="zh-CN"/>
        </w:rPr>
        <w:t>取水许可批复</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Fonts w:hint="eastAsia"/>
          <w:snapToGrid w:val="0"/>
          <w:kern w:val="0"/>
          <w:sz w:val="24"/>
          <w:highlight w:val="none"/>
          <w:lang w:eastAsia="zh-CN"/>
        </w:rPr>
      </w:pPr>
      <w:r>
        <w:rPr>
          <w:snapToGrid w:val="0"/>
          <w:kern w:val="0"/>
          <w:sz w:val="24"/>
          <w:highlight w:val="none"/>
        </w:rPr>
        <w:t>附件1</w:t>
      </w:r>
      <w:r>
        <w:rPr>
          <w:rFonts w:hint="eastAsia"/>
          <w:snapToGrid w:val="0"/>
          <w:kern w:val="0"/>
          <w:sz w:val="24"/>
          <w:highlight w:val="none"/>
          <w:lang w:val="en-US" w:eastAsia="zh-CN"/>
        </w:rPr>
        <w:t>4</w:t>
      </w:r>
      <w:r>
        <w:rPr>
          <w:snapToGrid w:val="0"/>
          <w:kern w:val="0"/>
          <w:sz w:val="24"/>
          <w:highlight w:val="none"/>
        </w:rPr>
        <w:t>：</w:t>
      </w:r>
      <w:r>
        <w:rPr>
          <w:rFonts w:hint="eastAsia"/>
          <w:snapToGrid w:val="0"/>
          <w:kern w:val="0"/>
          <w:sz w:val="24"/>
          <w:highlight w:val="none"/>
          <w:lang w:val="en-US" w:eastAsia="zh-CN"/>
        </w:rPr>
        <w:t>遵化市小水电分类整改综合评估报告</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snapToGrid w:val="0"/>
          <w:kern w:val="0"/>
          <w:sz w:val="24"/>
          <w:highlight w:val="none"/>
        </w:rPr>
      </w:pPr>
      <w:r>
        <w:rPr>
          <w:snapToGrid w:val="0"/>
          <w:kern w:val="0"/>
          <w:sz w:val="24"/>
          <w:highlight w:val="none"/>
        </w:rPr>
        <w:t>附件1</w:t>
      </w:r>
      <w:r>
        <w:rPr>
          <w:rFonts w:hint="eastAsia"/>
          <w:snapToGrid w:val="0"/>
          <w:kern w:val="0"/>
          <w:sz w:val="24"/>
          <w:highlight w:val="none"/>
          <w:lang w:val="en-US" w:eastAsia="zh-CN"/>
        </w:rPr>
        <w:t>5</w:t>
      </w:r>
      <w:r>
        <w:rPr>
          <w:snapToGrid w:val="0"/>
          <w:kern w:val="0"/>
          <w:sz w:val="24"/>
          <w:highlight w:val="none"/>
        </w:rPr>
        <w:t>：</w:t>
      </w:r>
      <w:r>
        <w:rPr>
          <w:rFonts w:hint="eastAsia"/>
          <w:snapToGrid w:val="0"/>
          <w:kern w:val="0"/>
          <w:sz w:val="24"/>
          <w:highlight w:val="none"/>
          <w:lang w:eastAsia="zh-CN"/>
        </w:rPr>
        <w:t>关于做好全市小水电分类整改实施意见</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snapToGrid w:val="0"/>
          <w:kern w:val="0"/>
          <w:sz w:val="24"/>
          <w:highlight w:val="none"/>
        </w:rPr>
      </w:pPr>
      <w:r>
        <w:rPr>
          <w:snapToGrid w:val="0"/>
          <w:kern w:val="0"/>
          <w:sz w:val="24"/>
          <w:highlight w:val="none"/>
        </w:rPr>
        <w:t>附件</w:t>
      </w:r>
      <w:r>
        <w:rPr>
          <w:rFonts w:hint="eastAsia"/>
          <w:snapToGrid w:val="0"/>
          <w:kern w:val="0"/>
          <w:sz w:val="24"/>
          <w:highlight w:val="none"/>
          <w:lang w:val="en-US" w:eastAsia="zh-CN"/>
        </w:rPr>
        <w:t>16</w:t>
      </w:r>
      <w:r>
        <w:rPr>
          <w:snapToGrid w:val="0"/>
          <w:kern w:val="0"/>
          <w:sz w:val="24"/>
          <w:highlight w:val="none"/>
        </w:rPr>
        <w:t>：现状监测报告</w:t>
      </w:r>
    </w:p>
    <w:p>
      <w:pPr>
        <w:rPr>
          <w:rFonts w:hint="default"/>
          <w:highlight w:val="none"/>
          <w:lang w:val="en-US" w:eastAsia="zh-CN"/>
        </w:rPr>
      </w:pPr>
    </w:p>
    <w:bookmarkEnd w:id="0"/>
    <w:p>
      <w:pPr>
        <w:keepNext w:val="0"/>
        <w:keepLines w:val="0"/>
        <w:pageBreakBefore w:val="0"/>
        <w:widowControl w:val="0"/>
        <w:kinsoku/>
        <w:wordWrap/>
        <w:overflowPunct/>
        <w:topLinePunct w:val="0"/>
        <w:autoSpaceDE/>
        <w:autoSpaceDN/>
        <w:bidi w:val="0"/>
        <w:adjustRightInd/>
        <w:snapToGrid/>
        <w:spacing w:before="469" w:beforeLines="150" w:line="480" w:lineRule="exact"/>
        <w:textAlignment w:val="auto"/>
        <w:outlineLvl w:val="0"/>
        <w:rPr>
          <w:rFonts w:hint="eastAsia"/>
          <w:b/>
          <w:sz w:val="28"/>
          <w:szCs w:val="28"/>
          <w:highlight w:val="none"/>
        </w:rPr>
      </w:pPr>
      <w:bookmarkStart w:id="1" w:name="_Toc529673406"/>
      <w:bookmarkStart w:id="2" w:name="_Toc29783533"/>
      <w:bookmarkStart w:id="3" w:name="_Toc2851221"/>
      <w:bookmarkStart w:id="4" w:name="_Toc36962132"/>
      <w:bookmarkStart w:id="5" w:name="_Toc528460453"/>
      <w:bookmarkStart w:id="6" w:name="_Toc529673118"/>
      <w:bookmarkStart w:id="7" w:name="_Toc38273046"/>
      <w:bookmarkStart w:id="8" w:name="_Toc528460305"/>
      <w:bookmarkStart w:id="9" w:name="_Toc25718056"/>
      <w:bookmarkStart w:id="10" w:name="_Toc528460542"/>
      <w:bookmarkStart w:id="11" w:name="_Toc32742181"/>
      <w:bookmarkStart w:id="12" w:name="_Toc20645402"/>
      <w:bookmarkStart w:id="13" w:name="_Toc99941153"/>
      <w:bookmarkStart w:id="14" w:name="_Toc528460232"/>
      <w:bookmarkStart w:id="15" w:name="_Toc25040837"/>
      <w:bookmarkStart w:id="16" w:name="_Toc32742808"/>
      <w:bookmarkStart w:id="17" w:name="_Toc528460163"/>
      <w:bookmarkStart w:id="18" w:name="_Toc2851375"/>
      <w:bookmarkStart w:id="19" w:name="_Toc34467801"/>
      <w:bookmarkStart w:id="20" w:name="_Toc529673267"/>
      <w:bookmarkStart w:id="21" w:name="_Toc528460586"/>
      <w:bookmarkStart w:id="22" w:name="_Toc24278987"/>
      <w:bookmarkStart w:id="23" w:name="_Toc36967959"/>
      <w:bookmarkStart w:id="24" w:name="_Toc23732363"/>
      <w:bookmarkStart w:id="25" w:name="_Toc528460412"/>
      <w:bookmarkStart w:id="26" w:name="_Toc20104503"/>
    </w:p>
    <w:p>
      <w:pPr>
        <w:keepNext w:val="0"/>
        <w:keepLines w:val="0"/>
        <w:pageBreakBefore w:val="0"/>
        <w:widowControl w:val="0"/>
        <w:kinsoku/>
        <w:wordWrap/>
        <w:overflowPunct/>
        <w:topLinePunct w:val="0"/>
        <w:autoSpaceDE/>
        <w:autoSpaceDN/>
        <w:bidi w:val="0"/>
        <w:adjustRightInd/>
        <w:snapToGrid/>
        <w:spacing w:before="469" w:beforeLines="150" w:line="480" w:lineRule="exact"/>
        <w:textAlignment w:val="auto"/>
        <w:outlineLvl w:val="0"/>
        <w:rPr>
          <w:rFonts w:hint="eastAsia"/>
          <w:b/>
          <w:sz w:val="28"/>
          <w:szCs w:val="28"/>
          <w:highlight w:val="none"/>
        </w:rPr>
        <w:sectPr>
          <w:headerReference r:id="rId9" w:type="first"/>
          <w:footerReference r:id="rId12" w:type="first"/>
          <w:headerReference r:id="rId8" w:type="default"/>
          <w:footerReference r:id="rId10" w:type="default"/>
          <w:footerReference r:id="rId11" w:type="even"/>
          <w:pgSz w:w="11906" w:h="16838"/>
          <w:pgMar w:top="1440" w:right="1826" w:bottom="1440" w:left="1800" w:header="851" w:footer="992" w:gutter="0"/>
          <w:pgBorders>
            <w:top w:val="none" w:sz="0" w:space="0"/>
            <w:left w:val="none" w:sz="0" w:space="0"/>
            <w:bottom w:val="none" w:sz="0" w:space="0"/>
            <w:right w:val="none" w:sz="0" w:space="0"/>
          </w:pgBorders>
          <w:pgNumType w:fmt="upperRoman" w:start="1"/>
          <w:cols w:space="720" w:num="1"/>
          <w:titlePg/>
          <w:docGrid w:type="lines" w:linePitch="312" w:charSpace="0"/>
        </w:sectPr>
      </w:pPr>
      <w:bookmarkStart w:id="27" w:name="_Toc16069"/>
    </w:p>
    <w:p>
      <w:pPr>
        <w:keepNext w:val="0"/>
        <w:keepLines w:val="0"/>
        <w:pageBreakBefore w:val="0"/>
        <w:widowControl w:val="0"/>
        <w:kinsoku/>
        <w:wordWrap/>
        <w:overflowPunct/>
        <w:topLinePunct w:val="0"/>
        <w:autoSpaceDE/>
        <w:autoSpaceDN/>
        <w:bidi w:val="0"/>
        <w:adjustRightInd/>
        <w:snapToGrid/>
        <w:spacing w:before="469" w:beforeLines="150" w:line="480" w:lineRule="exact"/>
        <w:textAlignment w:val="auto"/>
        <w:outlineLvl w:val="0"/>
        <w:rPr>
          <w:rFonts w:hint="eastAsia"/>
          <w:b/>
          <w:sz w:val="28"/>
          <w:szCs w:val="28"/>
          <w:highlight w:val="none"/>
        </w:rPr>
      </w:pPr>
    </w:p>
    <w:p>
      <w:pPr>
        <w:keepNext w:val="0"/>
        <w:keepLines w:val="0"/>
        <w:pageBreakBefore w:val="0"/>
        <w:widowControl w:val="0"/>
        <w:kinsoku/>
        <w:wordWrap/>
        <w:overflowPunct/>
        <w:topLinePunct w:val="0"/>
        <w:autoSpaceDE/>
        <w:autoSpaceDN/>
        <w:bidi w:val="0"/>
        <w:adjustRightInd/>
        <w:snapToGrid/>
        <w:spacing w:before="469" w:beforeLines="150" w:line="480" w:lineRule="exact"/>
        <w:textAlignment w:val="auto"/>
        <w:outlineLvl w:val="0"/>
        <w:rPr>
          <w:rFonts w:hint="eastAsia"/>
          <w:b/>
          <w:sz w:val="28"/>
          <w:szCs w:val="28"/>
          <w:highlight w:val="none"/>
        </w:rPr>
        <w:sectPr>
          <w:footerReference r:id="rId14" w:type="first"/>
          <w:footerReference r:id="rId13" w:type="default"/>
          <w:pgSz w:w="11906" w:h="16838"/>
          <w:pgMar w:top="1440" w:right="1826" w:bottom="1440" w:left="1800" w:header="851" w:footer="992" w:gutter="0"/>
          <w:pgBorders>
            <w:top w:val="none" w:sz="0" w:space="0"/>
            <w:left w:val="none" w:sz="0" w:space="0"/>
            <w:bottom w:val="none" w:sz="0" w:space="0"/>
            <w:right w:val="none" w:sz="0" w:space="0"/>
          </w:pgBorders>
          <w:pgNumType w:fmt="decimal" w:start="1"/>
          <w:cols w:space="720" w:num="1"/>
          <w:titlePg/>
          <w:docGrid w:type="lines" w:linePitch="312" w:charSpace="0"/>
        </w:sectPr>
      </w:pPr>
    </w:p>
    <w:p>
      <w:pPr>
        <w:keepNext w:val="0"/>
        <w:keepLines w:val="0"/>
        <w:pageBreakBefore w:val="0"/>
        <w:widowControl w:val="0"/>
        <w:kinsoku/>
        <w:wordWrap/>
        <w:overflowPunct/>
        <w:topLinePunct w:val="0"/>
        <w:autoSpaceDE/>
        <w:autoSpaceDN/>
        <w:bidi w:val="0"/>
        <w:adjustRightInd/>
        <w:snapToGrid/>
        <w:spacing w:before="469" w:beforeLines="150" w:line="480" w:lineRule="exact"/>
        <w:textAlignment w:val="auto"/>
        <w:outlineLvl w:val="0"/>
        <w:rPr>
          <w:b/>
          <w:sz w:val="28"/>
          <w:szCs w:val="28"/>
          <w:highlight w:val="none"/>
        </w:rPr>
      </w:pPr>
      <w:r>
        <w:rPr>
          <w:rFonts w:hint="eastAsia"/>
          <w:b/>
          <w:sz w:val="28"/>
          <w:szCs w:val="28"/>
          <w:highlight w:val="none"/>
        </w:rPr>
        <w:t>0 前言</w:t>
      </w:r>
      <w:bookmarkEnd w:id="27"/>
    </w:p>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p>
      <w:pPr>
        <w:spacing w:line="480" w:lineRule="exact"/>
        <w:outlineLvl w:val="1"/>
        <w:rPr>
          <w:b/>
          <w:sz w:val="24"/>
          <w:highlight w:val="none"/>
        </w:rPr>
      </w:pPr>
      <w:bookmarkStart w:id="28" w:name="_Toc3392"/>
      <w:bookmarkStart w:id="29" w:name="_Toc246763513"/>
      <w:r>
        <w:rPr>
          <w:rFonts w:hint="eastAsia"/>
          <w:b/>
          <w:sz w:val="24"/>
          <w:highlight w:val="none"/>
        </w:rPr>
        <w:t>0.1项目背景</w:t>
      </w:r>
      <w:bookmarkEnd w:id="28"/>
    </w:p>
    <w:p>
      <w:pPr>
        <w:spacing w:line="480" w:lineRule="exact"/>
        <w:ind w:right="28" w:firstLine="480" w:firstLineChars="200"/>
        <w:rPr>
          <w:snapToGrid w:val="0"/>
          <w:kern w:val="0"/>
          <w:sz w:val="24"/>
          <w:highlight w:val="none"/>
        </w:rPr>
      </w:pPr>
      <w:r>
        <w:rPr>
          <w:rFonts w:hint="eastAsia"/>
          <w:snapToGrid w:val="0"/>
          <w:kern w:val="0"/>
          <w:sz w:val="24"/>
          <w:highlight w:val="none"/>
        </w:rPr>
        <w:t>遵化市昌明水力发电有限公司遵化市</w:t>
      </w:r>
      <w:r>
        <w:rPr>
          <w:rFonts w:hint="eastAsia"/>
          <w:snapToGrid w:val="0"/>
          <w:kern w:val="0"/>
          <w:sz w:val="24"/>
          <w:highlight w:val="none"/>
          <w:lang w:eastAsia="zh-CN"/>
        </w:rPr>
        <w:t>黎河四级水电站</w:t>
      </w:r>
      <w:r>
        <w:rPr>
          <w:rFonts w:hint="eastAsia"/>
          <w:snapToGrid w:val="0"/>
          <w:kern w:val="0"/>
          <w:sz w:val="24"/>
          <w:highlight w:val="none"/>
        </w:rPr>
        <w:t>项目位于遵化市建明镇西铺村西南1200m，始建于2006年</w:t>
      </w:r>
      <w:r>
        <w:rPr>
          <w:snapToGrid w:val="0"/>
          <w:kern w:val="0"/>
          <w:sz w:val="24"/>
          <w:highlight w:val="none"/>
        </w:rPr>
        <w:t>，厂区中心地理坐标</w:t>
      </w:r>
      <w:r>
        <w:rPr>
          <w:rFonts w:hint="eastAsia"/>
          <w:snapToGrid w:val="0"/>
          <w:kern w:val="0"/>
          <w:sz w:val="24"/>
          <w:highlight w:val="none"/>
        </w:rPr>
        <w:t>北纬40.183881°，东经118.119378°</w:t>
      </w:r>
      <w:r>
        <w:rPr>
          <w:sz w:val="24"/>
          <w:highlight w:val="none"/>
          <w:lang w:val="zh-CN"/>
        </w:rPr>
        <w:t>，</w:t>
      </w:r>
      <w:r>
        <w:rPr>
          <w:rFonts w:hint="eastAsia"/>
          <w:sz w:val="24"/>
          <w:highlight w:val="none"/>
          <w:lang w:val="zh-CN"/>
        </w:rPr>
        <w:t>厂址北侧为引水渠、南侧为排水渠，东侧为黎河，西侧为进厂道路，隔路为农田</w:t>
      </w:r>
      <w:r>
        <w:rPr>
          <w:sz w:val="24"/>
          <w:highlight w:val="none"/>
          <w:lang w:val="zh-CN"/>
        </w:rPr>
        <w:t>。</w:t>
      </w:r>
      <w:r>
        <w:rPr>
          <w:rFonts w:hint="eastAsia"/>
          <w:sz w:val="24"/>
          <w:highlight w:val="none"/>
          <w:lang w:val="zh-CN"/>
        </w:rPr>
        <w:t>地理位置图见附图 1。</w:t>
      </w:r>
    </w:p>
    <w:p>
      <w:pPr>
        <w:spacing w:line="480" w:lineRule="exact"/>
        <w:ind w:firstLine="482"/>
        <w:rPr>
          <w:rFonts w:hint="eastAsia" w:eastAsia="宋体"/>
          <w:color w:val="000000" w:themeColor="text1"/>
          <w:sz w:val="24"/>
          <w:highlight w:val="none"/>
          <w:lang w:eastAsia="zh-CN"/>
          <w14:textFill>
            <w14:solidFill>
              <w14:schemeClr w14:val="tx1"/>
            </w14:solidFill>
          </w14:textFill>
        </w:rPr>
      </w:pP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1</w:t>
      </w:r>
      <w:r>
        <w:rPr>
          <w:rFonts w:hint="eastAsia"/>
          <w:color w:val="000000" w:themeColor="text1"/>
          <w:sz w:val="24"/>
          <w:highlight w:val="none"/>
          <w:lang w:eastAsia="zh-CN"/>
          <w14:textFill>
            <w14:solidFill>
              <w14:schemeClr w14:val="tx1"/>
            </w14:solidFill>
          </w14:textFill>
        </w:rPr>
        <w:t>）建设过程</w:t>
      </w:r>
    </w:p>
    <w:p>
      <w:pPr>
        <w:spacing w:line="480" w:lineRule="exact"/>
        <w:ind w:firstLine="482"/>
        <w:rPr>
          <w:rFonts w:hint="default"/>
          <w:snapToGrid w:val="0"/>
          <w:color w:val="auto"/>
          <w:kern w:val="0"/>
          <w:sz w:val="24"/>
          <w:highlight w:val="none"/>
        </w:rPr>
      </w:pPr>
      <w:r>
        <w:rPr>
          <w:rFonts w:hint="eastAsia"/>
          <w:snapToGrid w:val="0"/>
          <w:color w:val="000000" w:themeColor="text1"/>
          <w:kern w:val="0"/>
          <w:sz w:val="24"/>
          <w:highlight w:val="none"/>
          <w14:textFill>
            <w14:solidFill>
              <w14:schemeClr w14:val="tx1"/>
            </w14:solidFill>
          </w14:textFill>
        </w:rPr>
        <w:t>1982年，遵化市境内的黎河开始实施“引滦入津”输水工程，即</w:t>
      </w:r>
      <w:r>
        <w:rPr>
          <w:snapToGrid w:val="0"/>
          <w:color w:val="000000" w:themeColor="text1"/>
          <w:kern w:val="0"/>
          <w:sz w:val="24"/>
          <w:highlight w:val="none"/>
          <w14:textFill>
            <w14:solidFill>
              <w14:schemeClr w14:val="tx1"/>
            </w14:solidFill>
          </w14:textFill>
        </w:rPr>
        <w:t>将</w:t>
      </w:r>
      <w:r>
        <w:rPr>
          <w:highlight w:val="none"/>
        </w:rPr>
        <w:fldChar w:fldCharType="begin"/>
      </w:r>
      <w:r>
        <w:rPr>
          <w:highlight w:val="none"/>
        </w:rPr>
        <w:instrText xml:space="preserve"> HYPERLINK "https://baike.baidu.com/item/%E6%B2%B3%E5%8C%97%E7%9C%81" \t "_blank" </w:instrText>
      </w:r>
      <w:r>
        <w:rPr>
          <w:highlight w:val="none"/>
        </w:rPr>
        <w:fldChar w:fldCharType="separate"/>
      </w:r>
      <w:r>
        <w:rPr>
          <w:snapToGrid w:val="0"/>
          <w:color w:val="000000" w:themeColor="text1"/>
          <w:kern w:val="0"/>
          <w:sz w:val="24"/>
          <w:highlight w:val="none"/>
          <w14:textFill>
            <w14:solidFill>
              <w14:schemeClr w14:val="tx1"/>
            </w14:solidFill>
          </w14:textFill>
        </w:rPr>
        <w:t>河北省</w:t>
      </w:r>
      <w:r>
        <w:rPr>
          <w:snapToGrid w:val="0"/>
          <w:color w:val="000000" w:themeColor="text1"/>
          <w:kern w:val="0"/>
          <w:sz w:val="24"/>
          <w:highlight w:val="none"/>
          <w14:textFill>
            <w14:solidFill>
              <w14:schemeClr w14:val="tx1"/>
            </w14:solidFill>
          </w14:textFill>
        </w:rPr>
        <w:fldChar w:fldCharType="end"/>
      </w:r>
      <w:r>
        <w:rPr>
          <w:snapToGrid w:val="0"/>
          <w:color w:val="000000" w:themeColor="text1"/>
          <w:kern w:val="0"/>
          <w:sz w:val="24"/>
          <w:highlight w:val="none"/>
          <w14:textFill>
            <w14:solidFill>
              <w14:schemeClr w14:val="tx1"/>
            </w14:solidFill>
          </w14:textFill>
        </w:rPr>
        <w:t>境内的</w:t>
      </w:r>
      <w:r>
        <w:rPr>
          <w:highlight w:val="none"/>
        </w:rPr>
        <w:fldChar w:fldCharType="begin"/>
      </w:r>
      <w:r>
        <w:rPr>
          <w:highlight w:val="none"/>
        </w:rPr>
        <w:instrText xml:space="preserve"> HYPERLINK "https://baike.baidu.com/item/%E6%BB%A6%E6%B2%B3" \t "_blank" </w:instrText>
      </w:r>
      <w:r>
        <w:rPr>
          <w:highlight w:val="none"/>
        </w:rPr>
        <w:fldChar w:fldCharType="separate"/>
      </w:r>
      <w:r>
        <w:rPr>
          <w:snapToGrid w:val="0"/>
          <w:color w:val="000000" w:themeColor="text1"/>
          <w:kern w:val="0"/>
          <w:sz w:val="24"/>
          <w:highlight w:val="none"/>
          <w14:textFill>
            <w14:solidFill>
              <w14:schemeClr w14:val="tx1"/>
            </w14:solidFill>
          </w14:textFill>
        </w:rPr>
        <w:t>滦河</w:t>
      </w:r>
      <w:r>
        <w:rPr>
          <w:snapToGrid w:val="0"/>
          <w:color w:val="000000" w:themeColor="text1"/>
          <w:kern w:val="0"/>
          <w:sz w:val="24"/>
          <w:highlight w:val="none"/>
          <w14:textFill>
            <w14:solidFill>
              <w14:schemeClr w14:val="tx1"/>
            </w14:solidFill>
          </w14:textFill>
        </w:rPr>
        <w:fldChar w:fldCharType="end"/>
      </w:r>
      <w:r>
        <w:rPr>
          <w:snapToGrid w:val="0"/>
          <w:color w:val="000000" w:themeColor="text1"/>
          <w:kern w:val="0"/>
          <w:sz w:val="24"/>
          <w:highlight w:val="none"/>
          <w14:textFill>
            <w14:solidFill>
              <w14:schemeClr w14:val="tx1"/>
            </w14:solidFill>
          </w14:textFill>
        </w:rPr>
        <w:t>水跨流域引入天津市的城市供水工程。</w:t>
      </w:r>
      <w:r>
        <w:rPr>
          <w:rFonts w:hint="eastAsia"/>
          <w:snapToGrid w:val="0"/>
          <w:color w:val="000000" w:themeColor="text1"/>
          <w:kern w:val="0"/>
          <w:sz w:val="24"/>
          <w:highlight w:val="none"/>
          <w14:textFill>
            <w14:solidFill>
              <w14:schemeClr w14:val="tx1"/>
            </w14:solidFill>
          </w14:textFill>
        </w:rPr>
        <w:t>该工程以潘家口水库为</w:t>
      </w:r>
      <w:r>
        <w:rPr>
          <w:rFonts w:hint="eastAsia"/>
          <w:snapToGrid w:val="0"/>
          <w:color w:val="000000" w:themeColor="text1"/>
          <w:kern w:val="0"/>
          <w:sz w:val="24"/>
          <w:highlight w:val="none"/>
          <w:lang w:eastAsia="zh-CN"/>
          <w14:textFill>
            <w14:solidFill>
              <w14:schemeClr w14:val="tx1"/>
            </w14:solidFill>
          </w14:textFill>
        </w:rPr>
        <w:t>起点</w:t>
      </w:r>
      <w:r>
        <w:rPr>
          <w:rFonts w:hint="eastAsia"/>
          <w:snapToGrid w:val="0"/>
          <w:color w:val="000000" w:themeColor="text1"/>
          <w:kern w:val="0"/>
          <w:sz w:val="24"/>
          <w:highlight w:val="none"/>
          <w14:textFill>
            <w14:solidFill>
              <w14:schemeClr w14:val="tx1"/>
            </w14:solidFill>
          </w14:textFill>
        </w:rPr>
        <w:t>，经过大黑汀水库调节后，</w:t>
      </w:r>
      <w:r>
        <w:rPr>
          <w:rFonts w:hint="eastAsia"/>
          <w:snapToGrid w:val="0"/>
          <w:color w:val="000000" w:themeColor="text1"/>
          <w:kern w:val="0"/>
          <w:sz w:val="24"/>
          <w:highlight w:val="none"/>
          <w:lang w:eastAsia="zh-CN"/>
          <w14:textFill>
            <w14:solidFill>
              <w14:schemeClr w14:val="tx1"/>
            </w14:solidFill>
          </w14:textFill>
        </w:rPr>
        <w:t>通过</w:t>
      </w:r>
      <w:r>
        <w:rPr>
          <w:rFonts w:hint="eastAsia"/>
          <w:snapToGrid w:val="0"/>
          <w:color w:val="000000" w:themeColor="text1"/>
          <w:kern w:val="0"/>
          <w:sz w:val="24"/>
          <w:highlight w:val="none"/>
          <w14:textFill>
            <w14:solidFill>
              <w14:schemeClr w14:val="tx1"/>
            </w14:solidFill>
          </w14:textFill>
        </w:rPr>
        <w:t>输水干渠</w:t>
      </w:r>
      <w:r>
        <w:rPr>
          <w:rFonts w:hint="eastAsia"/>
          <w:snapToGrid w:val="0"/>
          <w:color w:val="000000" w:themeColor="text1"/>
          <w:kern w:val="0"/>
          <w:sz w:val="24"/>
          <w:highlight w:val="none"/>
          <w:lang w:eastAsia="zh-CN"/>
          <w14:textFill>
            <w14:solidFill>
              <w14:schemeClr w14:val="tx1"/>
            </w14:solidFill>
          </w14:textFill>
        </w:rPr>
        <w:t>、</w:t>
      </w:r>
      <w:r>
        <w:rPr>
          <w:rFonts w:hint="eastAsia"/>
          <w:snapToGrid w:val="0"/>
          <w:color w:val="000000" w:themeColor="text1"/>
          <w:kern w:val="0"/>
          <w:sz w:val="24"/>
          <w:highlight w:val="none"/>
          <w14:textFill>
            <w14:solidFill>
              <w14:schemeClr w14:val="tx1"/>
            </w14:solidFill>
          </w14:textFill>
        </w:rPr>
        <w:t>引水隧道</w:t>
      </w:r>
      <w:r>
        <w:rPr>
          <w:rFonts w:hint="eastAsia"/>
          <w:snapToGrid w:val="0"/>
          <w:color w:val="000000" w:themeColor="text1"/>
          <w:kern w:val="0"/>
          <w:sz w:val="24"/>
          <w:highlight w:val="none"/>
          <w:lang w:eastAsia="zh-CN"/>
          <w14:textFill>
            <w14:solidFill>
              <w14:schemeClr w14:val="tx1"/>
            </w14:solidFill>
          </w14:textFill>
        </w:rPr>
        <w:t>进入</w:t>
      </w:r>
      <w:r>
        <w:rPr>
          <w:rFonts w:hint="eastAsia"/>
          <w:snapToGrid w:val="0"/>
          <w:color w:val="000000" w:themeColor="text1"/>
          <w:kern w:val="0"/>
          <w:sz w:val="24"/>
          <w:highlight w:val="none"/>
          <w14:textFill>
            <w14:solidFill>
              <w14:schemeClr w14:val="tx1"/>
            </w14:solidFill>
          </w14:textFill>
        </w:rPr>
        <w:t>遵化市境内的黎河</w:t>
      </w:r>
      <w:r>
        <w:rPr>
          <w:rFonts w:hint="eastAsia"/>
          <w:snapToGrid w:val="0"/>
          <w:color w:val="000000" w:themeColor="text1"/>
          <w:kern w:val="0"/>
          <w:sz w:val="24"/>
          <w:highlight w:val="none"/>
          <w:lang w:eastAsia="zh-CN"/>
          <w14:textFill>
            <w14:solidFill>
              <w14:schemeClr w14:val="tx1"/>
            </w14:solidFill>
          </w14:textFill>
        </w:rPr>
        <w:t>。经黎河进入</w:t>
      </w:r>
      <w:r>
        <w:rPr>
          <w:rFonts w:hint="eastAsia"/>
          <w:snapToGrid w:val="0"/>
          <w:color w:val="000000" w:themeColor="text1"/>
          <w:kern w:val="0"/>
          <w:sz w:val="24"/>
          <w:highlight w:val="none"/>
          <w14:textFill>
            <w14:solidFill>
              <w14:schemeClr w14:val="tx1"/>
            </w14:solidFill>
          </w14:textFill>
        </w:rPr>
        <w:t>天津市蓟县境内于桥水库，为天津市供水。</w:t>
      </w:r>
      <w:r>
        <w:rPr>
          <w:rFonts w:hint="eastAsia"/>
          <w:snapToGrid w:val="0"/>
          <w:color w:val="000000" w:themeColor="text1"/>
          <w:kern w:val="0"/>
          <w:sz w:val="24"/>
          <w:highlight w:val="none"/>
          <w:lang w:eastAsia="zh-CN"/>
          <w14:textFill>
            <w14:solidFill>
              <w14:schemeClr w14:val="tx1"/>
            </w14:solidFill>
          </w14:textFill>
        </w:rPr>
        <w:t>该工程于</w:t>
      </w:r>
      <w:r>
        <w:rPr>
          <w:rFonts w:hint="eastAsia"/>
          <w:snapToGrid w:val="0"/>
          <w:color w:val="000000" w:themeColor="text1"/>
          <w:kern w:val="0"/>
          <w:sz w:val="24"/>
          <w:highlight w:val="none"/>
          <w14:textFill>
            <w14:solidFill>
              <w14:schemeClr w14:val="tx1"/>
            </w14:solidFill>
          </w14:textFill>
        </w:rPr>
        <w:t>1982年5月11日</w:t>
      </w:r>
      <w:r>
        <w:rPr>
          <w:rFonts w:hint="eastAsia"/>
          <w:snapToGrid w:val="0"/>
          <w:color w:val="000000" w:themeColor="text1"/>
          <w:kern w:val="0"/>
          <w:sz w:val="24"/>
          <w:highlight w:val="none"/>
          <w:lang w:eastAsia="zh-CN"/>
          <w14:textFill>
            <w14:solidFill>
              <w14:schemeClr w14:val="tx1"/>
            </w14:solidFill>
          </w14:textFill>
        </w:rPr>
        <w:t>动工</w:t>
      </w:r>
      <w:r>
        <w:rPr>
          <w:rFonts w:hint="eastAsia"/>
          <w:snapToGrid w:val="0"/>
          <w:color w:val="000000" w:themeColor="text1"/>
          <w:kern w:val="0"/>
          <w:sz w:val="24"/>
          <w:highlight w:val="none"/>
          <w14:textFill>
            <w14:solidFill>
              <w14:schemeClr w14:val="tx1"/>
            </w14:solidFill>
          </w14:textFill>
        </w:rPr>
        <w:t>，</w:t>
      </w:r>
      <w:r>
        <w:rPr>
          <w:rFonts w:hint="default"/>
          <w:snapToGrid w:val="0"/>
          <w:color w:val="000000" w:themeColor="text1"/>
          <w:kern w:val="0"/>
          <w:sz w:val="24"/>
          <w:highlight w:val="none"/>
          <w14:textFill>
            <w14:solidFill>
              <w14:schemeClr w14:val="tx1"/>
            </w14:solidFill>
          </w14:textFill>
        </w:rPr>
        <w:t>1983年9月11日建成。工程自大黑汀水库开始，通过输水干渠经迁西、</w:t>
      </w:r>
      <w:r>
        <w:rPr>
          <w:rFonts w:hint="default"/>
          <w:snapToGrid w:val="0"/>
          <w:color w:val="000000" w:themeColor="text1"/>
          <w:kern w:val="0"/>
          <w:sz w:val="24"/>
          <w:highlight w:val="none"/>
          <w14:textFill>
            <w14:solidFill>
              <w14:schemeClr w14:val="tx1"/>
            </w14:solidFill>
          </w14:textFill>
        </w:rPr>
        <w:fldChar w:fldCharType="begin"/>
      </w:r>
      <w:r>
        <w:rPr>
          <w:rFonts w:hint="default"/>
          <w:snapToGrid w:val="0"/>
          <w:color w:val="000000" w:themeColor="text1"/>
          <w:kern w:val="0"/>
          <w:sz w:val="24"/>
          <w:highlight w:val="none"/>
          <w14:textFill>
            <w14:solidFill>
              <w14:schemeClr w14:val="tx1"/>
            </w14:solidFill>
          </w14:textFill>
        </w:rPr>
        <w:instrText xml:space="preserve"> HYPERLINK "https://baike.so.com/doc/5742087-5954840.html" \t "https://baike.so.com/doc/_blank" </w:instrText>
      </w:r>
      <w:r>
        <w:rPr>
          <w:rFonts w:hint="default"/>
          <w:snapToGrid w:val="0"/>
          <w:color w:val="000000" w:themeColor="text1"/>
          <w:kern w:val="0"/>
          <w:sz w:val="24"/>
          <w:highlight w:val="none"/>
          <w14:textFill>
            <w14:solidFill>
              <w14:schemeClr w14:val="tx1"/>
            </w14:solidFill>
          </w14:textFill>
        </w:rPr>
        <w:fldChar w:fldCharType="separate"/>
      </w:r>
      <w:r>
        <w:rPr>
          <w:rFonts w:hint="default"/>
          <w:snapToGrid w:val="0"/>
          <w:color w:val="000000" w:themeColor="text1"/>
          <w:kern w:val="0"/>
          <w:sz w:val="24"/>
          <w:highlight w:val="none"/>
          <w14:textFill>
            <w14:solidFill>
              <w14:schemeClr w14:val="tx1"/>
            </w14:solidFill>
          </w14:textFill>
        </w:rPr>
        <w:t>遵化</w:t>
      </w:r>
      <w:r>
        <w:rPr>
          <w:rFonts w:hint="default"/>
          <w:snapToGrid w:val="0"/>
          <w:color w:val="000000" w:themeColor="text1"/>
          <w:kern w:val="0"/>
          <w:sz w:val="24"/>
          <w:highlight w:val="none"/>
          <w14:textFill>
            <w14:solidFill>
              <w14:schemeClr w14:val="tx1"/>
            </w14:solidFill>
          </w14:textFill>
        </w:rPr>
        <w:fldChar w:fldCharType="end"/>
      </w:r>
      <w:r>
        <w:rPr>
          <w:rFonts w:hint="default"/>
          <w:snapToGrid w:val="0"/>
          <w:color w:val="000000" w:themeColor="text1"/>
          <w:kern w:val="0"/>
          <w:sz w:val="24"/>
          <w:highlight w:val="none"/>
          <w14:textFill>
            <w14:solidFill>
              <w14:schemeClr w14:val="tx1"/>
            </w14:solidFill>
          </w14:textFill>
        </w:rPr>
        <w:t>进入天津市蓟县</w:t>
      </w:r>
      <w:r>
        <w:rPr>
          <w:rFonts w:hint="default"/>
          <w:snapToGrid w:val="0"/>
          <w:color w:val="000000" w:themeColor="text1"/>
          <w:kern w:val="0"/>
          <w:sz w:val="24"/>
          <w:highlight w:val="none"/>
          <w14:textFill>
            <w14:solidFill>
              <w14:schemeClr w14:val="tx1"/>
            </w14:solidFill>
          </w14:textFill>
        </w:rPr>
        <w:fldChar w:fldCharType="begin"/>
      </w:r>
      <w:r>
        <w:rPr>
          <w:rFonts w:hint="default"/>
          <w:snapToGrid w:val="0"/>
          <w:color w:val="000000" w:themeColor="text1"/>
          <w:kern w:val="0"/>
          <w:sz w:val="24"/>
          <w:highlight w:val="none"/>
          <w14:textFill>
            <w14:solidFill>
              <w14:schemeClr w14:val="tx1"/>
            </w14:solidFill>
          </w14:textFill>
        </w:rPr>
        <w:instrText xml:space="preserve"> HYPERLINK "https://baike.so.com/doc/6388746-6602401.html" \t "https://baike.so.com/doc/_blank" </w:instrText>
      </w:r>
      <w:r>
        <w:rPr>
          <w:rFonts w:hint="default"/>
          <w:snapToGrid w:val="0"/>
          <w:color w:val="000000" w:themeColor="text1"/>
          <w:kern w:val="0"/>
          <w:sz w:val="24"/>
          <w:highlight w:val="none"/>
          <w14:textFill>
            <w14:solidFill>
              <w14:schemeClr w14:val="tx1"/>
            </w14:solidFill>
          </w14:textFill>
        </w:rPr>
        <w:fldChar w:fldCharType="separate"/>
      </w:r>
      <w:r>
        <w:rPr>
          <w:rFonts w:hint="default"/>
          <w:snapToGrid w:val="0"/>
          <w:color w:val="000000" w:themeColor="text1"/>
          <w:kern w:val="0"/>
          <w:sz w:val="24"/>
          <w:highlight w:val="none"/>
          <w14:textFill>
            <w14:solidFill>
              <w14:schemeClr w14:val="tx1"/>
            </w14:solidFill>
          </w14:textFill>
        </w:rPr>
        <w:t>于桥水库</w:t>
      </w:r>
      <w:r>
        <w:rPr>
          <w:rFonts w:hint="default"/>
          <w:snapToGrid w:val="0"/>
          <w:color w:val="000000" w:themeColor="text1"/>
          <w:kern w:val="0"/>
          <w:sz w:val="24"/>
          <w:highlight w:val="none"/>
          <w14:textFill>
            <w14:solidFill>
              <w14:schemeClr w14:val="tx1"/>
            </w14:solidFill>
          </w14:textFill>
        </w:rPr>
        <w:fldChar w:fldCharType="end"/>
      </w:r>
      <w:r>
        <w:rPr>
          <w:rFonts w:hint="default"/>
          <w:snapToGrid w:val="0"/>
          <w:color w:val="000000" w:themeColor="text1"/>
          <w:kern w:val="0"/>
          <w:sz w:val="24"/>
          <w:highlight w:val="none"/>
          <w14:textFill>
            <w14:solidFill>
              <w14:schemeClr w14:val="tx1"/>
            </w14:solidFill>
          </w14:textFill>
        </w:rPr>
        <w:t>，再经</w:t>
      </w:r>
      <w:r>
        <w:rPr>
          <w:rFonts w:hint="default"/>
          <w:snapToGrid w:val="0"/>
          <w:color w:val="000000" w:themeColor="text1"/>
          <w:kern w:val="0"/>
          <w:sz w:val="24"/>
          <w:highlight w:val="none"/>
          <w14:textFill>
            <w14:solidFill>
              <w14:schemeClr w14:val="tx1"/>
            </w14:solidFill>
          </w14:textFill>
        </w:rPr>
        <w:fldChar w:fldCharType="begin"/>
      </w:r>
      <w:r>
        <w:rPr>
          <w:rFonts w:hint="default"/>
          <w:snapToGrid w:val="0"/>
          <w:color w:val="000000" w:themeColor="text1"/>
          <w:kern w:val="0"/>
          <w:sz w:val="24"/>
          <w:highlight w:val="none"/>
          <w14:textFill>
            <w14:solidFill>
              <w14:schemeClr w14:val="tx1"/>
            </w14:solidFill>
          </w14:textFill>
        </w:rPr>
        <w:instrText xml:space="preserve"> HYPERLINK "https://baike.so.com/doc/5369914-5605768.html" \t "https://baike.so.com/doc/_blank" </w:instrText>
      </w:r>
      <w:r>
        <w:rPr>
          <w:rFonts w:hint="default"/>
          <w:snapToGrid w:val="0"/>
          <w:color w:val="000000" w:themeColor="text1"/>
          <w:kern w:val="0"/>
          <w:sz w:val="24"/>
          <w:highlight w:val="none"/>
          <w14:textFill>
            <w14:solidFill>
              <w14:schemeClr w14:val="tx1"/>
            </w14:solidFill>
          </w14:textFill>
        </w:rPr>
        <w:fldChar w:fldCharType="separate"/>
      </w:r>
      <w:r>
        <w:rPr>
          <w:rFonts w:hint="default"/>
          <w:snapToGrid w:val="0"/>
          <w:color w:val="000000" w:themeColor="text1"/>
          <w:kern w:val="0"/>
          <w:sz w:val="24"/>
          <w:highlight w:val="none"/>
          <w14:textFill>
            <w14:solidFill>
              <w14:schemeClr w14:val="tx1"/>
            </w14:solidFill>
          </w14:textFill>
        </w:rPr>
        <w:t>宝坻区</w:t>
      </w:r>
      <w:r>
        <w:rPr>
          <w:rFonts w:hint="default"/>
          <w:snapToGrid w:val="0"/>
          <w:color w:val="000000" w:themeColor="text1"/>
          <w:kern w:val="0"/>
          <w:sz w:val="24"/>
          <w:highlight w:val="none"/>
          <w14:textFill>
            <w14:solidFill>
              <w14:schemeClr w14:val="tx1"/>
            </w14:solidFill>
          </w14:textFill>
        </w:rPr>
        <w:fldChar w:fldCharType="end"/>
      </w:r>
      <w:r>
        <w:rPr>
          <w:rFonts w:hint="default"/>
          <w:snapToGrid w:val="0"/>
          <w:color w:val="000000" w:themeColor="text1"/>
          <w:kern w:val="0"/>
          <w:sz w:val="24"/>
          <w:highlight w:val="none"/>
          <w14:textFill>
            <w14:solidFill>
              <w14:schemeClr w14:val="tx1"/>
            </w14:solidFill>
          </w14:textFill>
        </w:rPr>
        <w:t>至宜兴埠泵站，全长234千米。输水总距离为234</w:t>
      </w:r>
      <w:r>
        <w:rPr>
          <w:rFonts w:hint="default"/>
          <w:snapToGrid w:val="0"/>
          <w:color w:val="auto"/>
          <w:kern w:val="0"/>
          <w:sz w:val="24"/>
          <w:highlight w:val="none"/>
        </w:rPr>
        <w:t>千米，年输水量10亿立方米，最大输水能力60-100立方米/秒。</w:t>
      </w:r>
    </w:p>
    <w:p>
      <w:pPr>
        <w:spacing w:line="480" w:lineRule="exact"/>
        <w:ind w:firstLine="480"/>
        <w:rPr>
          <w:rFonts w:hint="eastAsia" w:eastAsia="宋体"/>
          <w:snapToGrid w:val="0"/>
          <w:color w:val="auto"/>
          <w:kern w:val="0"/>
          <w:sz w:val="24"/>
          <w:highlight w:val="none"/>
          <w:lang w:eastAsia="zh-CN"/>
        </w:rPr>
      </w:pPr>
      <w:r>
        <w:rPr>
          <w:rFonts w:hint="eastAsia"/>
          <w:snapToGrid w:val="0"/>
          <w:color w:val="auto"/>
          <w:kern w:val="0"/>
          <w:sz w:val="24"/>
          <w:highlight w:val="none"/>
        </w:rPr>
        <w:t>黎河</w:t>
      </w:r>
      <w:r>
        <w:rPr>
          <w:rFonts w:hint="eastAsia"/>
          <w:snapToGrid w:val="0"/>
          <w:color w:val="auto"/>
          <w:kern w:val="0"/>
          <w:sz w:val="24"/>
          <w:highlight w:val="none"/>
          <w:lang w:eastAsia="zh-CN"/>
        </w:rPr>
        <w:t>河道全长</w:t>
      </w:r>
      <w:r>
        <w:rPr>
          <w:rFonts w:hint="eastAsia"/>
          <w:snapToGrid w:val="0"/>
          <w:color w:val="auto"/>
          <w:kern w:val="0"/>
          <w:sz w:val="24"/>
          <w:highlight w:val="none"/>
          <w:lang w:val="en-US" w:eastAsia="zh-CN"/>
        </w:rPr>
        <w:t>76</w:t>
      </w:r>
      <w:r>
        <w:rPr>
          <w:rFonts w:hint="eastAsia"/>
          <w:snapToGrid w:val="0"/>
          <w:color w:val="auto"/>
          <w:kern w:val="0"/>
          <w:sz w:val="24"/>
          <w:highlight w:val="none"/>
        </w:rPr>
        <w:t>km，引滦入津工程</w:t>
      </w:r>
      <w:r>
        <w:rPr>
          <w:rFonts w:hint="eastAsia"/>
          <w:snapToGrid w:val="0"/>
          <w:color w:val="auto"/>
          <w:kern w:val="0"/>
          <w:sz w:val="24"/>
          <w:highlight w:val="none"/>
          <w:lang w:eastAsia="zh-CN"/>
        </w:rPr>
        <w:t>实施后，黎河由只承担天然泄洪任务改为主要承担</w:t>
      </w:r>
      <w:r>
        <w:rPr>
          <w:rFonts w:hint="eastAsia"/>
          <w:snapToGrid w:val="0"/>
          <w:color w:val="auto"/>
          <w:kern w:val="0"/>
          <w:sz w:val="24"/>
          <w:highlight w:val="none"/>
        </w:rPr>
        <w:t>引滦入津工程</w:t>
      </w:r>
      <w:r>
        <w:rPr>
          <w:rFonts w:hint="eastAsia"/>
          <w:snapToGrid w:val="0"/>
          <w:color w:val="auto"/>
          <w:kern w:val="0"/>
          <w:sz w:val="24"/>
          <w:highlight w:val="none"/>
          <w:lang w:eastAsia="zh-CN"/>
        </w:rPr>
        <w:t>输水任务兼雨季泄洪，输水干线长度</w:t>
      </w:r>
      <w:r>
        <w:rPr>
          <w:rFonts w:hint="eastAsia"/>
          <w:snapToGrid w:val="0"/>
          <w:color w:val="auto"/>
          <w:kern w:val="0"/>
          <w:sz w:val="24"/>
          <w:highlight w:val="none"/>
          <w:lang w:val="en-US" w:eastAsia="zh-CN"/>
        </w:rPr>
        <w:t>57.6</w:t>
      </w:r>
      <w:r>
        <w:rPr>
          <w:rFonts w:hint="eastAsia"/>
          <w:snapToGrid w:val="0"/>
          <w:color w:val="auto"/>
          <w:kern w:val="0"/>
          <w:sz w:val="24"/>
          <w:highlight w:val="none"/>
        </w:rPr>
        <w:t>km，输水规模60m</w:t>
      </w:r>
      <w:r>
        <w:rPr>
          <w:rFonts w:hint="eastAsia"/>
          <w:snapToGrid w:val="0"/>
          <w:color w:val="auto"/>
          <w:kern w:val="0"/>
          <w:sz w:val="24"/>
          <w:highlight w:val="none"/>
          <w:vertAlign w:val="superscript"/>
        </w:rPr>
        <w:t>3</w:t>
      </w:r>
      <w:r>
        <w:rPr>
          <w:rFonts w:hint="eastAsia"/>
          <w:snapToGrid w:val="0"/>
          <w:color w:val="auto"/>
          <w:kern w:val="0"/>
          <w:sz w:val="24"/>
          <w:highlight w:val="none"/>
        </w:rPr>
        <w:t>/s，</w:t>
      </w:r>
      <w:r>
        <w:rPr>
          <w:rFonts w:hint="eastAsia"/>
          <w:snapToGrid w:val="0"/>
          <w:color w:val="auto"/>
          <w:kern w:val="0"/>
          <w:sz w:val="24"/>
          <w:highlight w:val="none"/>
          <w:lang w:eastAsia="zh-CN"/>
        </w:rPr>
        <w:t>校核规模</w:t>
      </w:r>
      <w:r>
        <w:rPr>
          <w:rFonts w:hint="eastAsia"/>
          <w:snapToGrid w:val="0"/>
          <w:color w:val="auto"/>
          <w:kern w:val="0"/>
          <w:sz w:val="24"/>
          <w:highlight w:val="none"/>
          <w:lang w:val="en-US" w:eastAsia="zh-CN"/>
        </w:rPr>
        <w:t>75</w:t>
      </w:r>
      <w:r>
        <w:rPr>
          <w:rFonts w:hint="eastAsia"/>
          <w:snapToGrid w:val="0"/>
          <w:color w:val="auto"/>
          <w:kern w:val="0"/>
          <w:sz w:val="24"/>
          <w:highlight w:val="none"/>
        </w:rPr>
        <w:t>m</w:t>
      </w:r>
      <w:r>
        <w:rPr>
          <w:rFonts w:hint="eastAsia"/>
          <w:snapToGrid w:val="0"/>
          <w:color w:val="auto"/>
          <w:kern w:val="0"/>
          <w:sz w:val="24"/>
          <w:highlight w:val="none"/>
          <w:vertAlign w:val="superscript"/>
        </w:rPr>
        <w:t>3</w:t>
      </w:r>
      <w:r>
        <w:rPr>
          <w:rFonts w:hint="eastAsia"/>
          <w:snapToGrid w:val="0"/>
          <w:color w:val="auto"/>
          <w:kern w:val="0"/>
          <w:sz w:val="24"/>
          <w:highlight w:val="none"/>
        </w:rPr>
        <w:t>/s</w:t>
      </w:r>
      <w:r>
        <w:rPr>
          <w:rFonts w:hint="eastAsia"/>
          <w:snapToGrid w:val="0"/>
          <w:color w:val="auto"/>
          <w:kern w:val="0"/>
          <w:sz w:val="24"/>
          <w:highlight w:val="none"/>
          <w:lang w:eastAsia="zh-CN"/>
        </w:rPr>
        <w:t>，</w:t>
      </w:r>
      <w:r>
        <w:rPr>
          <w:rFonts w:hint="eastAsia"/>
          <w:snapToGrid w:val="0"/>
          <w:color w:val="auto"/>
          <w:kern w:val="0"/>
          <w:sz w:val="24"/>
          <w:highlight w:val="none"/>
        </w:rPr>
        <w:t>河底宽50m-90m，纵坡1/141-1/337，</w:t>
      </w:r>
      <w:r>
        <w:rPr>
          <w:snapToGrid w:val="0"/>
          <w:color w:val="auto"/>
          <w:kern w:val="0"/>
          <w:sz w:val="24"/>
          <w:highlight w:val="none"/>
        </w:rPr>
        <w:t>总落差94.4m，蕴藏着较大的水能开发潜力。</w:t>
      </w:r>
      <w:r>
        <w:rPr>
          <w:rFonts w:hint="eastAsia"/>
          <w:snapToGrid w:val="0"/>
          <w:color w:val="auto"/>
          <w:kern w:val="0"/>
          <w:sz w:val="24"/>
          <w:highlight w:val="none"/>
          <w:lang w:eastAsia="zh-CN"/>
        </w:rPr>
        <w:t>根据</w:t>
      </w:r>
      <w:r>
        <w:rPr>
          <w:rFonts w:hint="eastAsia"/>
          <w:snapToGrid w:val="0"/>
          <w:color w:val="auto"/>
          <w:kern w:val="0"/>
          <w:sz w:val="24"/>
          <w:highlight w:val="none"/>
        </w:rPr>
        <w:t>引滦入津</w:t>
      </w:r>
      <w:r>
        <w:rPr>
          <w:rFonts w:hint="eastAsia"/>
          <w:snapToGrid w:val="0"/>
          <w:color w:val="auto"/>
          <w:kern w:val="0"/>
          <w:sz w:val="24"/>
          <w:highlight w:val="none"/>
          <w:lang w:eastAsia="zh-CN"/>
        </w:rPr>
        <w:t>黎河上段水能利用规划，共开发建设</w:t>
      </w:r>
      <w:r>
        <w:rPr>
          <w:rFonts w:hint="eastAsia"/>
          <w:snapToGrid w:val="0"/>
          <w:color w:val="auto"/>
          <w:kern w:val="0"/>
          <w:sz w:val="24"/>
          <w:highlight w:val="none"/>
          <w:lang w:val="en-US" w:eastAsia="zh-CN"/>
        </w:rPr>
        <w:t>8座梯级水电站，目前</w:t>
      </w:r>
      <w:r>
        <w:rPr>
          <w:rFonts w:hint="eastAsia"/>
          <w:snapToGrid w:val="0"/>
          <w:color w:val="auto"/>
          <w:kern w:val="0"/>
          <w:sz w:val="24"/>
          <w:highlight w:val="none"/>
        </w:rPr>
        <w:t>引滦入津工程黎河段先后建设引式水电站4座</w:t>
      </w:r>
      <w:r>
        <w:rPr>
          <w:rFonts w:hint="eastAsia"/>
          <w:snapToGrid w:val="0"/>
          <w:color w:val="auto"/>
          <w:kern w:val="0"/>
          <w:sz w:val="24"/>
          <w:highlight w:val="none"/>
          <w:lang w:val="en-US" w:eastAsia="zh-CN"/>
        </w:rPr>
        <w:t>，即</w:t>
      </w:r>
      <w:r>
        <w:rPr>
          <w:snapToGrid w:val="0"/>
          <w:color w:val="auto"/>
          <w:kern w:val="0"/>
          <w:sz w:val="24"/>
          <w:highlight w:val="none"/>
        </w:rPr>
        <w:t>二级</w:t>
      </w:r>
      <w:r>
        <w:rPr>
          <w:rFonts w:hint="eastAsia"/>
          <w:snapToGrid w:val="0"/>
          <w:color w:val="auto"/>
          <w:kern w:val="0"/>
          <w:sz w:val="24"/>
          <w:highlight w:val="none"/>
          <w:lang w:val="en-US" w:eastAsia="zh-CN"/>
        </w:rPr>
        <w:t>1座</w:t>
      </w:r>
      <w:r>
        <w:rPr>
          <w:snapToGrid w:val="0"/>
          <w:color w:val="auto"/>
          <w:kern w:val="0"/>
          <w:sz w:val="24"/>
          <w:highlight w:val="none"/>
        </w:rPr>
        <w:t>（</w:t>
      </w:r>
      <w:r>
        <w:rPr>
          <w:rFonts w:hint="eastAsia"/>
          <w:snapToGrid w:val="0"/>
          <w:color w:val="auto"/>
          <w:kern w:val="0"/>
          <w:sz w:val="24"/>
          <w:highlight w:val="none"/>
          <w:lang w:val="en-US" w:eastAsia="zh-CN"/>
        </w:rPr>
        <w:t>3</w:t>
      </w:r>
      <w:r>
        <w:rPr>
          <w:rFonts w:hint="default" w:ascii="Arial" w:hAnsi="Arial" w:cs="Arial"/>
          <w:snapToGrid w:val="0"/>
          <w:color w:val="auto"/>
          <w:kern w:val="0"/>
          <w:sz w:val="24"/>
          <w:highlight w:val="none"/>
          <w:lang w:val="en-US" w:eastAsia="zh-CN"/>
        </w:rPr>
        <w:t>×</w:t>
      </w:r>
      <w:r>
        <w:rPr>
          <w:rFonts w:hint="eastAsia"/>
          <w:snapToGrid w:val="0"/>
          <w:color w:val="auto"/>
          <w:kern w:val="0"/>
          <w:sz w:val="24"/>
          <w:highlight w:val="none"/>
          <w:lang w:val="en-US" w:eastAsia="zh-CN"/>
        </w:rPr>
        <w:t>12</w:t>
      </w:r>
      <w:r>
        <w:rPr>
          <w:snapToGrid w:val="0"/>
          <w:color w:val="auto"/>
          <w:kern w:val="0"/>
          <w:sz w:val="24"/>
          <w:highlight w:val="none"/>
        </w:rPr>
        <w:t>50kW）、三级</w:t>
      </w:r>
      <w:r>
        <w:rPr>
          <w:rFonts w:hint="eastAsia"/>
          <w:snapToGrid w:val="0"/>
          <w:color w:val="auto"/>
          <w:kern w:val="0"/>
          <w:sz w:val="24"/>
          <w:highlight w:val="none"/>
          <w:lang w:val="en-US" w:eastAsia="zh-CN"/>
        </w:rPr>
        <w:t>1座（1</w:t>
      </w:r>
      <w:r>
        <w:rPr>
          <w:rFonts w:hint="default" w:ascii="Arial" w:hAnsi="Arial" w:cs="Arial"/>
          <w:snapToGrid w:val="0"/>
          <w:color w:val="auto"/>
          <w:kern w:val="0"/>
          <w:sz w:val="24"/>
          <w:highlight w:val="none"/>
          <w:lang w:val="en-US" w:eastAsia="zh-CN"/>
        </w:rPr>
        <w:t>×</w:t>
      </w:r>
      <w:r>
        <w:rPr>
          <w:rFonts w:hint="eastAsia"/>
          <w:snapToGrid w:val="0"/>
          <w:color w:val="auto"/>
          <w:kern w:val="0"/>
          <w:sz w:val="24"/>
          <w:highlight w:val="none"/>
          <w:lang w:val="en-US" w:eastAsia="zh-CN"/>
        </w:rPr>
        <w:t>400</w:t>
      </w:r>
      <w:r>
        <w:rPr>
          <w:snapToGrid w:val="0"/>
          <w:color w:val="auto"/>
          <w:kern w:val="0"/>
          <w:sz w:val="24"/>
          <w:highlight w:val="none"/>
        </w:rPr>
        <w:t>0kW</w:t>
      </w:r>
      <w:r>
        <w:rPr>
          <w:rFonts w:hint="eastAsia"/>
          <w:snapToGrid w:val="0"/>
          <w:color w:val="auto"/>
          <w:kern w:val="0"/>
          <w:sz w:val="24"/>
          <w:highlight w:val="none"/>
          <w:lang w:val="en-US" w:eastAsia="zh-CN"/>
        </w:rPr>
        <w:t>）</w:t>
      </w:r>
      <w:r>
        <w:rPr>
          <w:snapToGrid w:val="0"/>
          <w:color w:val="auto"/>
          <w:kern w:val="0"/>
          <w:sz w:val="24"/>
          <w:highlight w:val="none"/>
        </w:rPr>
        <w:t>、四级</w:t>
      </w:r>
      <w:r>
        <w:rPr>
          <w:rFonts w:hint="eastAsia"/>
          <w:snapToGrid w:val="0"/>
          <w:color w:val="auto"/>
          <w:kern w:val="0"/>
          <w:sz w:val="24"/>
          <w:highlight w:val="none"/>
          <w:lang w:val="en-US" w:eastAsia="zh-CN"/>
        </w:rPr>
        <w:t>1座（本项目1</w:t>
      </w:r>
      <w:r>
        <w:rPr>
          <w:rFonts w:hint="default" w:ascii="Arial" w:hAnsi="Arial" w:cs="Arial"/>
          <w:snapToGrid w:val="0"/>
          <w:color w:val="auto"/>
          <w:kern w:val="0"/>
          <w:sz w:val="24"/>
          <w:highlight w:val="none"/>
          <w:lang w:val="en-US" w:eastAsia="zh-CN"/>
        </w:rPr>
        <w:t>×</w:t>
      </w:r>
      <w:r>
        <w:rPr>
          <w:rFonts w:hint="eastAsia"/>
          <w:snapToGrid w:val="0"/>
          <w:color w:val="auto"/>
          <w:kern w:val="0"/>
          <w:sz w:val="24"/>
          <w:highlight w:val="none"/>
          <w:lang w:val="en-US" w:eastAsia="zh-CN"/>
        </w:rPr>
        <w:t>500</w:t>
      </w:r>
      <w:r>
        <w:rPr>
          <w:snapToGrid w:val="0"/>
          <w:color w:val="auto"/>
          <w:kern w:val="0"/>
          <w:sz w:val="24"/>
          <w:highlight w:val="none"/>
        </w:rPr>
        <w:t>0kW</w:t>
      </w:r>
      <w:r>
        <w:rPr>
          <w:rFonts w:hint="eastAsia"/>
          <w:snapToGrid w:val="0"/>
          <w:color w:val="auto"/>
          <w:kern w:val="0"/>
          <w:sz w:val="24"/>
          <w:highlight w:val="none"/>
          <w:lang w:val="en-US" w:eastAsia="zh-CN"/>
        </w:rPr>
        <w:t>）</w:t>
      </w:r>
      <w:r>
        <w:rPr>
          <w:snapToGrid w:val="0"/>
          <w:color w:val="auto"/>
          <w:kern w:val="0"/>
          <w:sz w:val="24"/>
          <w:highlight w:val="none"/>
        </w:rPr>
        <w:t>、八级水电站</w:t>
      </w:r>
      <w:r>
        <w:rPr>
          <w:rFonts w:hint="eastAsia"/>
          <w:snapToGrid w:val="0"/>
          <w:color w:val="auto"/>
          <w:kern w:val="0"/>
          <w:sz w:val="24"/>
          <w:highlight w:val="none"/>
          <w:lang w:val="en-US" w:eastAsia="zh-CN"/>
        </w:rPr>
        <w:t>1座（1</w:t>
      </w:r>
      <w:r>
        <w:rPr>
          <w:rFonts w:hint="default" w:ascii="Arial" w:hAnsi="Arial" w:cs="Arial"/>
          <w:snapToGrid w:val="0"/>
          <w:color w:val="auto"/>
          <w:kern w:val="0"/>
          <w:sz w:val="24"/>
          <w:highlight w:val="none"/>
          <w:lang w:val="en-US" w:eastAsia="zh-CN"/>
        </w:rPr>
        <w:t>×</w:t>
      </w:r>
      <w:r>
        <w:rPr>
          <w:rFonts w:hint="eastAsia"/>
          <w:snapToGrid w:val="0"/>
          <w:color w:val="auto"/>
          <w:kern w:val="0"/>
          <w:sz w:val="24"/>
          <w:highlight w:val="none"/>
          <w:lang w:val="en-US" w:eastAsia="zh-CN"/>
        </w:rPr>
        <w:t>400</w:t>
      </w:r>
      <w:r>
        <w:rPr>
          <w:snapToGrid w:val="0"/>
          <w:color w:val="auto"/>
          <w:kern w:val="0"/>
          <w:sz w:val="24"/>
          <w:highlight w:val="none"/>
        </w:rPr>
        <w:t>0kW</w:t>
      </w:r>
      <w:r>
        <w:rPr>
          <w:rFonts w:hint="eastAsia"/>
          <w:snapToGrid w:val="0"/>
          <w:color w:val="auto"/>
          <w:kern w:val="0"/>
          <w:sz w:val="24"/>
          <w:highlight w:val="none"/>
          <w:lang w:val="en-US" w:eastAsia="zh-CN"/>
        </w:rPr>
        <w:t>）</w:t>
      </w:r>
      <w:r>
        <w:rPr>
          <w:rFonts w:hint="eastAsia"/>
          <w:snapToGrid w:val="0"/>
          <w:color w:val="auto"/>
          <w:kern w:val="0"/>
          <w:sz w:val="24"/>
          <w:highlight w:val="none"/>
        </w:rPr>
        <w:t>，总装机容量</w:t>
      </w:r>
      <w:r>
        <w:rPr>
          <w:rFonts w:hint="eastAsia"/>
          <w:snapToGrid w:val="0"/>
          <w:color w:val="auto"/>
          <w:kern w:val="0"/>
          <w:sz w:val="24"/>
          <w:highlight w:val="none"/>
          <w:lang w:val="en-US" w:eastAsia="zh-CN"/>
        </w:rPr>
        <w:t>1675</w:t>
      </w:r>
      <w:r>
        <w:rPr>
          <w:rFonts w:hint="eastAsia"/>
          <w:snapToGrid w:val="0"/>
          <w:color w:val="auto"/>
          <w:kern w:val="0"/>
          <w:sz w:val="24"/>
          <w:highlight w:val="none"/>
        </w:rPr>
        <w:t>0</w:t>
      </w:r>
      <w:r>
        <w:rPr>
          <w:snapToGrid w:val="0"/>
          <w:color w:val="auto"/>
          <w:kern w:val="0"/>
          <w:sz w:val="24"/>
          <w:highlight w:val="none"/>
        </w:rPr>
        <w:t>kW</w:t>
      </w:r>
      <w:r>
        <w:rPr>
          <w:rFonts w:hint="eastAsia"/>
          <w:snapToGrid w:val="0"/>
          <w:color w:val="auto"/>
          <w:kern w:val="0"/>
          <w:sz w:val="24"/>
          <w:highlight w:val="none"/>
        </w:rPr>
        <w:t>。</w:t>
      </w:r>
    </w:p>
    <w:p>
      <w:pPr>
        <w:spacing w:line="480" w:lineRule="exact"/>
        <w:ind w:firstLine="482"/>
        <w:rPr>
          <w:rFonts w:hint="eastAsia" w:eastAsia="宋体"/>
          <w:snapToGrid w:val="0"/>
          <w:color w:val="auto"/>
          <w:kern w:val="0"/>
          <w:sz w:val="24"/>
          <w:highlight w:val="none"/>
          <w:lang w:eastAsia="zh-CN"/>
        </w:rPr>
      </w:pPr>
      <w:r>
        <w:rPr>
          <w:rFonts w:hint="eastAsia"/>
          <w:color w:val="auto"/>
          <w:sz w:val="24"/>
          <w:highlight w:val="none"/>
          <w:lang w:eastAsia="zh-CN"/>
        </w:rPr>
        <w:t>遵化市黎河四级水电站（以下简称本项目）开始筹建于</w:t>
      </w:r>
      <w:r>
        <w:rPr>
          <w:snapToGrid w:val="0"/>
          <w:color w:val="auto"/>
          <w:kern w:val="0"/>
          <w:sz w:val="24"/>
          <w:highlight w:val="none"/>
        </w:rPr>
        <w:t>1992年</w:t>
      </w:r>
      <w:r>
        <w:rPr>
          <w:rFonts w:hint="eastAsia"/>
          <w:snapToGrid w:val="0"/>
          <w:color w:val="auto"/>
          <w:kern w:val="0"/>
          <w:sz w:val="24"/>
          <w:highlight w:val="none"/>
          <w:lang w:val="en-US" w:eastAsia="zh-CN"/>
        </w:rPr>
        <w:t>4</w:t>
      </w:r>
      <w:r>
        <w:rPr>
          <w:snapToGrid w:val="0"/>
          <w:color w:val="auto"/>
          <w:kern w:val="0"/>
          <w:sz w:val="24"/>
          <w:highlight w:val="none"/>
        </w:rPr>
        <w:t>月，</w:t>
      </w:r>
      <w:r>
        <w:rPr>
          <w:rFonts w:hint="eastAsia"/>
          <w:snapToGrid w:val="0"/>
          <w:color w:val="auto"/>
          <w:kern w:val="0"/>
          <w:sz w:val="24"/>
          <w:highlight w:val="none"/>
          <w:lang w:eastAsia="zh-CN"/>
        </w:rPr>
        <w:t>建设过程如下：</w:t>
      </w:r>
    </w:p>
    <w:p>
      <w:pPr>
        <w:spacing w:line="480" w:lineRule="exact"/>
        <w:ind w:firstLine="480"/>
        <w:rPr>
          <w:rFonts w:hint="eastAsia"/>
          <w:snapToGrid w:val="0"/>
          <w:color w:val="auto"/>
          <w:kern w:val="0"/>
          <w:sz w:val="24"/>
          <w:highlight w:val="none"/>
          <w:lang w:val="en-US" w:eastAsia="zh-CN"/>
        </w:rPr>
      </w:pPr>
      <w:r>
        <w:rPr>
          <w:snapToGrid w:val="0"/>
          <w:color w:val="auto"/>
          <w:kern w:val="0"/>
          <w:sz w:val="24"/>
          <w:highlight w:val="none"/>
        </w:rPr>
        <w:t>1992年</w:t>
      </w:r>
      <w:r>
        <w:rPr>
          <w:rFonts w:hint="eastAsia"/>
          <w:snapToGrid w:val="0"/>
          <w:color w:val="auto"/>
          <w:kern w:val="0"/>
          <w:sz w:val="24"/>
          <w:highlight w:val="none"/>
          <w:lang w:val="en-US" w:eastAsia="zh-CN"/>
        </w:rPr>
        <w:t>4</w:t>
      </w:r>
      <w:r>
        <w:rPr>
          <w:snapToGrid w:val="0"/>
          <w:color w:val="auto"/>
          <w:kern w:val="0"/>
          <w:sz w:val="24"/>
          <w:highlight w:val="none"/>
        </w:rPr>
        <w:t>月，</w:t>
      </w:r>
      <w:r>
        <w:rPr>
          <w:rFonts w:hint="eastAsia"/>
          <w:snapToGrid w:val="0"/>
          <w:color w:val="auto"/>
          <w:kern w:val="0"/>
          <w:sz w:val="24"/>
          <w:highlight w:val="none"/>
          <w:lang w:eastAsia="zh-CN"/>
        </w:rPr>
        <w:t>水利部海河水利委员会批复了《关于黎河上段水电梯度开发的报告》，海管字</w:t>
      </w:r>
      <w:r>
        <w:rPr>
          <w:rFonts w:hint="eastAsia"/>
          <w:snapToGrid w:val="0"/>
          <w:color w:val="auto"/>
          <w:kern w:val="0"/>
          <w:sz w:val="24"/>
          <w:highlight w:val="none"/>
          <w:lang w:val="en-US" w:eastAsia="zh-CN"/>
        </w:rPr>
        <w:t>[1992]第3号。</w:t>
      </w:r>
    </w:p>
    <w:p>
      <w:pPr>
        <w:spacing w:line="480" w:lineRule="exact"/>
        <w:ind w:firstLine="480"/>
        <w:rPr>
          <w:rFonts w:hint="eastAsia"/>
          <w:snapToGrid w:val="0"/>
          <w:color w:val="auto"/>
          <w:kern w:val="0"/>
          <w:sz w:val="24"/>
          <w:highlight w:val="none"/>
          <w:lang w:eastAsia="zh-CN"/>
        </w:rPr>
      </w:pPr>
      <w:r>
        <w:rPr>
          <w:snapToGrid w:val="0"/>
          <w:color w:val="auto"/>
          <w:kern w:val="0"/>
          <w:sz w:val="24"/>
          <w:highlight w:val="none"/>
        </w:rPr>
        <w:t>1992年5月，</w:t>
      </w:r>
      <w:r>
        <w:rPr>
          <w:rFonts w:hint="eastAsia" w:cs="Times New Roman" w:eastAsiaTheme="minorEastAsia"/>
          <w:snapToGrid w:val="0"/>
          <w:color w:val="auto"/>
          <w:kern w:val="0"/>
          <w:sz w:val="24"/>
          <w:highlight w:val="none"/>
          <w:lang w:val="en-US" w:eastAsia="zh-CN"/>
        </w:rPr>
        <w:t>立项并进行初步设计、勘查；</w:t>
      </w:r>
      <w:r>
        <w:rPr>
          <w:snapToGrid w:val="0"/>
          <w:color w:val="auto"/>
          <w:kern w:val="0"/>
          <w:sz w:val="24"/>
          <w:highlight w:val="none"/>
        </w:rPr>
        <w:t>天津市水利勘察设计院编制完成《引滦入津黎河上段水能利用规划报告》，1992年8月取得了批复[（1992）津水规70号]</w:t>
      </w:r>
      <w:r>
        <w:rPr>
          <w:rFonts w:hint="eastAsia"/>
          <w:snapToGrid w:val="0"/>
          <w:color w:val="auto"/>
          <w:kern w:val="0"/>
          <w:sz w:val="24"/>
          <w:highlight w:val="none"/>
          <w:lang w:eastAsia="zh-CN"/>
        </w:rPr>
        <w:t>。</w:t>
      </w:r>
    </w:p>
    <w:p>
      <w:pPr>
        <w:spacing w:line="480" w:lineRule="exact"/>
        <w:ind w:firstLine="480"/>
        <w:rPr>
          <w:rFonts w:hint="eastAsia"/>
          <w:snapToGrid w:val="0"/>
          <w:color w:val="auto"/>
          <w:kern w:val="0"/>
          <w:sz w:val="24"/>
          <w:highlight w:val="none"/>
          <w:lang w:eastAsia="zh-CN"/>
        </w:rPr>
      </w:pPr>
      <w:r>
        <w:rPr>
          <w:rFonts w:hint="default"/>
          <w:snapToGrid w:val="0"/>
          <w:color w:val="auto"/>
          <w:kern w:val="0"/>
          <w:sz w:val="24"/>
          <w:highlight w:val="none"/>
          <w:lang w:eastAsia="zh-CN"/>
        </w:rPr>
        <w:t>1999年3月河北省水利厅以冀水电[1999]5号文批复了《遵化市黎河第四～七级水电站可行性研究报告》</w:t>
      </w:r>
      <w:r>
        <w:rPr>
          <w:rFonts w:hint="eastAsia"/>
          <w:snapToGrid w:val="0"/>
          <w:color w:val="auto"/>
          <w:kern w:val="0"/>
          <w:sz w:val="24"/>
          <w:highlight w:val="none"/>
          <w:lang w:eastAsia="zh-CN"/>
        </w:rPr>
        <w:t>；</w:t>
      </w:r>
    </w:p>
    <w:p>
      <w:pPr>
        <w:spacing w:line="480" w:lineRule="exact"/>
        <w:ind w:firstLine="480"/>
        <w:rPr>
          <w:rFonts w:hint="default"/>
          <w:snapToGrid w:val="0"/>
          <w:color w:val="auto"/>
          <w:kern w:val="0"/>
          <w:sz w:val="24"/>
          <w:highlight w:val="none"/>
          <w:lang w:val="en-US" w:eastAsia="zh-CN"/>
        </w:rPr>
      </w:pPr>
      <w:r>
        <w:rPr>
          <w:rFonts w:hint="eastAsia"/>
          <w:snapToGrid w:val="0"/>
          <w:color w:val="auto"/>
          <w:kern w:val="0"/>
          <w:sz w:val="24"/>
          <w:highlight w:val="none"/>
          <w:lang w:val="en-US" w:eastAsia="zh-CN"/>
        </w:rPr>
        <w:t>2004年11月，河北省水利厅以</w:t>
      </w:r>
      <w:r>
        <w:rPr>
          <w:rFonts w:hint="default"/>
          <w:snapToGrid w:val="0"/>
          <w:color w:val="auto"/>
          <w:kern w:val="0"/>
          <w:sz w:val="24"/>
          <w:highlight w:val="none"/>
          <w:lang w:eastAsia="zh-CN"/>
        </w:rPr>
        <w:t>冀水电[</w:t>
      </w:r>
      <w:r>
        <w:rPr>
          <w:rFonts w:hint="eastAsia"/>
          <w:snapToGrid w:val="0"/>
          <w:color w:val="auto"/>
          <w:kern w:val="0"/>
          <w:sz w:val="24"/>
          <w:highlight w:val="none"/>
          <w:lang w:val="en-US" w:eastAsia="zh-CN"/>
        </w:rPr>
        <w:t>2004</w:t>
      </w:r>
      <w:r>
        <w:rPr>
          <w:rFonts w:hint="default"/>
          <w:snapToGrid w:val="0"/>
          <w:color w:val="auto"/>
          <w:kern w:val="0"/>
          <w:sz w:val="24"/>
          <w:highlight w:val="none"/>
          <w:lang w:eastAsia="zh-CN"/>
        </w:rPr>
        <w:t>]5</w:t>
      </w:r>
      <w:r>
        <w:rPr>
          <w:rFonts w:hint="eastAsia"/>
          <w:snapToGrid w:val="0"/>
          <w:color w:val="auto"/>
          <w:kern w:val="0"/>
          <w:sz w:val="24"/>
          <w:highlight w:val="none"/>
          <w:lang w:val="en-US" w:eastAsia="zh-CN"/>
        </w:rPr>
        <w:t>2</w:t>
      </w:r>
      <w:r>
        <w:rPr>
          <w:rFonts w:hint="default"/>
          <w:snapToGrid w:val="0"/>
          <w:color w:val="auto"/>
          <w:kern w:val="0"/>
          <w:sz w:val="24"/>
          <w:highlight w:val="none"/>
          <w:lang w:eastAsia="zh-CN"/>
        </w:rPr>
        <w:t>号文</w:t>
      </w:r>
      <w:r>
        <w:rPr>
          <w:rFonts w:hint="eastAsia"/>
          <w:snapToGrid w:val="0"/>
          <w:color w:val="auto"/>
          <w:kern w:val="0"/>
          <w:sz w:val="24"/>
          <w:highlight w:val="none"/>
          <w:lang w:eastAsia="zh-CN"/>
        </w:rPr>
        <w:t>批复了《遵化市黎河四级水电站初步设计》；</w:t>
      </w:r>
    </w:p>
    <w:p>
      <w:pPr>
        <w:spacing w:line="480" w:lineRule="exact"/>
        <w:ind w:firstLine="480"/>
        <w:rPr>
          <w:rFonts w:hint="eastAsia"/>
          <w:snapToGrid w:val="0"/>
          <w:color w:val="auto"/>
          <w:kern w:val="0"/>
          <w:sz w:val="24"/>
          <w:highlight w:val="none"/>
          <w:lang w:val="en-US" w:eastAsia="zh-CN"/>
        </w:rPr>
      </w:pPr>
      <w:r>
        <w:rPr>
          <w:rFonts w:hint="default"/>
          <w:snapToGrid w:val="0"/>
          <w:color w:val="auto"/>
          <w:kern w:val="0"/>
          <w:sz w:val="24"/>
          <w:highlight w:val="none"/>
          <w:lang w:val="en-US" w:eastAsia="zh-CN"/>
        </w:rPr>
        <w:t>2005年4月</w:t>
      </w:r>
      <w:r>
        <w:rPr>
          <w:rFonts w:hint="eastAsia"/>
          <w:snapToGrid w:val="0"/>
          <w:color w:val="auto"/>
          <w:kern w:val="0"/>
          <w:sz w:val="24"/>
          <w:highlight w:val="none"/>
          <w:lang w:val="en-US" w:eastAsia="zh-CN"/>
        </w:rPr>
        <w:t>，河北省水利厅以</w:t>
      </w:r>
      <w:r>
        <w:rPr>
          <w:rFonts w:hint="default"/>
          <w:snapToGrid w:val="0"/>
          <w:color w:val="auto"/>
          <w:kern w:val="0"/>
          <w:sz w:val="24"/>
          <w:highlight w:val="none"/>
          <w:lang w:eastAsia="zh-CN"/>
        </w:rPr>
        <w:t>冀水电</w:t>
      </w:r>
      <w:r>
        <w:rPr>
          <w:rFonts w:hint="eastAsia"/>
          <w:snapToGrid w:val="0"/>
          <w:color w:val="auto"/>
          <w:kern w:val="0"/>
          <w:sz w:val="24"/>
          <w:highlight w:val="none"/>
          <w:lang w:eastAsia="zh-CN"/>
        </w:rPr>
        <w:t>函</w:t>
      </w:r>
      <w:r>
        <w:rPr>
          <w:rFonts w:hint="default"/>
          <w:snapToGrid w:val="0"/>
          <w:color w:val="auto"/>
          <w:kern w:val="0"/>
          <w:sz w:val="24"/>
          <w:highlight w:val="none"/>
          <w:lang w:eastAsia="zh-CN"/>
        </w:rPr>
        <w:t>[</w:t>
      </w:r>
      <w:r>
        <w:rPr>
          <w:rFonts w:hint="eastAsia"/>
          <w:snapToGrid w:val="0"/>
          <w:color w:val="auto"/>
          <w:kern w:val="0"/>
          <w:sz w:val="24"/>
          <w:highlight w:val="none"/>
          <w:lang w:val="en-US" w:eastAsia="zh-CN"/>
        </w:rPr>
        <w:t>2005</w:t>
      </w:r>
      <w:r>
        <w:rPr>
          <w:rFonts w:hint="default"/>
          <w:snapToGrid w:val="0"/>
          <w:color w:val="auto"/>
          <w:kern w:val="0"/>
          <w:sz w:val="24"/>
          <w:highlight w:val="none"/>
          <w:lang w:eastAsia="zh-CN"/>
        </w:rPr>
        <w:t>]</w:t>
      </w:r>
      <w:r>
        <w:rPr>
          <w:rFonts w:hint="eastAsia"/>
          <w:snapToGrid w:val="0"/>
          <w:color w:val="auto"/>
          <w:kern w:val="0"/>
          <w:sz w:val="24"/>
          <w:highlight w:val="none"/>
          <w:lang w:val="en-US" w:eastAsia="zh-CN"/>
        </w:rPr>
        <w:t>40</w:t>
      </w:r>
      <w:r>
        <w:rPr>
          <w:rFonts w:hint="default"/>
          <w:snapToGrid w:val="0"/>
          <w:color w:val="auto"/>
          <w:kern w:val="0"/>
          <w:sz w:val="24"/>
          <w:highlight w:val="none"/>
          <w:lang w:eastAsia="zh-CN"/>
        </w:rPr>
        <w:t>号文</w:t>
      </w:r>
      <w:r>
        <w:rPr>
          <w:rFonts w:hint="eastAsia"/>
          <w:snapToGrid w:val="0"/>
          <w:color w:val="auto"/>
          <w:kern w:val="0"/>
          <w:sz w:val="24"/>
          <w:highlight w:val="none"/>
          <w:lang w:eastAsia="zh-CN"/>
        </w:rPr>
        <w:t>批复了《遵化市黎河四级水电站修改初步设计》</w:t>
      </w:r>
      <w:r>
        <w:rPr>
          <w:rFonts w:hint="eastAsia"/>
          <w:snapToGrid w:val="0"/>
          <w:color w:val="auto"/>
          <w:kern w:val="0"/>
          <w:sz w:val="24"/>
          <w:highlight w:val="none"/>
          <w:lang w:val="en-US" w:eastAsia="zh-CN"/>
        </w:rPr>
        <w:t>；</w:t>
      </w:r>
    </w:p>
    <w:p>
      <w:pPr>
        <w:spacing w:line="480" w:lineRule="exact"/>
        <w:ind w:firstLine="480"/>
        <w:rPr>
          <w:rFonts w:hint="default"/>
          <w:snapToGrid w:val="0"/>
          <w:color w:val="auto"/>
          <w:kern w:val="0"/>
          <w:sz w:val="24"/>
          <w:highlight w:val="none"/>
          <w:lang w:val="en-US" w:eastAsia="zh-CN"/>
        </w:rPr>
      </w:pPr>
      <w:r>
        <w:rPr>
          <w:rFonts w:hint="default"/>
          <w:snapToGrid w:val="0"/>
          <w:color w:val="auto"/>
          <w:kern w:val="0"/>
          <w:sz w:val="24"/>
          <w:highlight w:val="none"/>
          <w:lang w:val="en-US" w:eastAsia="zh-CN"/>
        </w:rPr>
        <w:t>2005年11月，取得用地预审意见，并与引滦工程黎河管理处签土地征用协议书，黎河四级水电站土地预审和使用评估为合格</w:t>
      </w:r>
      <w:r>
        <w:rPr>
          <w:rFonts w:hint="eastAsia"/>
          <w:snapToGrid w:val="0"/>
          <w:color w:val="auto"/>
          <w:kern w:val="0"/>
          <w:sz w:val="24"/>
          <w:highlight w:val="none"/>
          <w:lang w:val="en-US" w:eastAsia="zh-CN"/>
        </w:rPr>
        <w:t>；</w:t>
      </w:r>
    </w:p>
    <w:p>
      <w:pPr>
        <w:spacing w:line="480" w:lineRule="exact"/>
        <w:ind w:firstLine="480"/>
        <w:rPr>
          <w:rFonts w:hint="eastAsia"/>
          <w:snapToGrid w:val="0"/>
          <w:color w:val="auto"/>
          <w:kern w:val="0"/>
          <w:sz w:val="24"/>
          <w:highlight w:val="none"/>
          <w:lang w:val="en-US" w:eastAsia="zh-CN"/>
        </w:rPr>
      </w:pPr>
      <w:r>
        <w:rPr>
          <w:rFonts w:hint="default"/>
          <w:snapToGrid w:val="0"/>
          <w:color w:val="auto"/>
          <w:kern w:val="0"/>
          <w:sz w:val="24"/>
          <w:highlight w:val="none"/>
          <w:lang w:val="en-US" w:eastAsia="zh-CN"/>
        </w:rPr>
        <w:t>2011年10月</w:t>
      </w:r>
      <w:r>
        <w:rPr>
          <w:rFonts w:hint="eastAsia"/>
          <w:snapToGrid w:val="0"/>
          <w:color w:val="auto"/>
          <w:kern w:val="0"/>
          <w:sz w:val="24"/>
          <w:highlight w:val="none"/>
          <w:lang w:val="en-US" w:eastAsia="zh-CN"/>
        </w:rPr>
        <w:t>，河北省水利厅以</w:t>
      </w:r>
      <w:r>
        <w:rPr>
          <w:rFonts w:hint="default"/>
          <w:snapToGrid w:val="0"/>
          <w:color w:val="auto"/>
          <w:kern w:val="0"/>
          <w:sz w:val="24"/>
          <w:highlight w:val="none"/>
          <w:lang w:val="en-US" w:eastAsia="zh-CN"/>
        </w:rPr>
        <w:t>冀水电[2011]36号文批复黎河四级水电站项目调整概算，批复总投资3613万元</w:t>
      </w:r>
      <w:r>
        <w:rPr>
          <w:rFonts w:hint="eastAsia"/>
          <w:snapToGrid w:val="0"/>
          <w:color w:val="auto"/>
          <w:kern w:val="0"/>
          <w:sz w:val="24"/>
          <w:highlight w:val="none"/>
          <w:lang w:val="en-US" w:eastAsia="zh-CN"/>
        </w:rPr>
        <w:t>；</w:t>
      </w:r>
    </w:p>
    <w:p>
      <w:pPr>
        <w:spacing w:line="480" w:lineRule="exact"/>
        <w:ind w:firstLine="482"/>
        <w:rPr>
          <w:rFonts w:hint="eastAsia"/>
          <w:color w:val="auto"/>
          <w:sz w:val="24"/>
          <w:highlight w:val="none"/>
          <w:lang w:val="en-US" w:eastAsia="zh-CN"/>
        </w:rPr>
      </w:pPr>
      <w:r>
        <w:rPr>
          <w:rFonts w:hint="default"/>
          <w:color w:val="auto"/>
          <w:sz w:val="24"/>
          <w:highlight w:val="none"/>
          <w:lang w:eastAsia="zh-CN"/>
        </w:rPr>
        <w:t>2008年11月通过机组启动验收，2012年8月，河北省水利厅以冀水电【2012】27号批复遵化市黎河四级水电站通过竣工验收</w:t>
      </w:r>
      <w:r>
        <w:rPr>
          <w:rFonts w:hint="eastAsia"/>
          <w:color w:val="auto"/>
          <w:sz w:val="24"/>
          <w:highlight w:val="none"/>
          <w:lang w:val="en-US" w:eastAsia="zh-CN"/>
        </w:rPr>
        <w:t>；</w:t>
      </w:r>
    </w:p>
    <w:p>
      <w:pPr>
        <w:spacing w:line="480" w:lineRule="exact"/>
        <w:ind w:firstLine="482"/>
        <w:rPr>
          <w:rFonts w:hint="default"/>
          <w:color w:val="auto"/>
          <w:sz w:val="24"/>
          <w:highlight w:val="none"/>
          <w:lang w:val="en-US" w:eastAsia="zh-CN"/>
        </w:rPr>
      </w:pPr>
      <w:r>
        <w:rPr>
          <w:rFonts w:hint="default"/>
          <w:color w:val="auto"/>
          <w:sz w:val="24"/>
          <w:highlight w:val="none"/>
          <w:lang w:eastAsia="zh-CN"/>
        </w:rPr>
        <w:t>2021年4月25日召开水资源论证报告书技术审查会，并顺利通过;4月29日通过现场审查，6月17日取得取水许可证，证书编号：B130281S2021-21823。取水许可评估为合格</w:t>
      </w:r>
      <w:r>
        <w:rPr>
          <w:rFonts w:hint="eastAsia"/>
          <w:color w:val="auto"/>
          <w:sz w:val="24"/>
          <w:highlight w:val="none"/>
          <w:lang w:eastAsia="zh-CN"/>
        </w:rPr>
        <w:t>；</w:t>
      </w:r>
    </w:p>
    <w:p>
      <w:pPr>
        <w:spacing w:line="480" w:lineRule="exact"/>
        <w:ind w:firstLine="482"/>
        <w:rPr>
          <w:rFonts w:hint="eastAsia" w:eastAsia="宋体"/>
          <w:snapToGrid w:val="0"/>
          <w:color w:val="000000" w:themeColor="text1"/>
          <w:kern w:val="0"/>
          <w:sz w:val="24"/>
          <w:highlight w:val="none"/>
          <w:lang w:eastAsia="zh-CN"/>
          <w14:textFill>
            <w14:solidFill>
              <w14:schemeClr w14:val="tx1"/>
            </w14:solidFill>
          </w14:textFill>
        </w:rPr>
      </w:pPr>
      <w:r>
        <w:rPr>
          <w:rFonts w:hint="eastAsia"/>
          <w:color w:val="auto"/>
          <w:sz w:val="24"/>
          <w:highlight w:val="none"/>
        </w:rPr>
        <w:t>本</w:t>
      </w:r>
      <w:r>
        <w:rPr>
          <w:rFonts w:hint="eastAsia"/>
          <w:color w:val="auto"/>
          <w:sz w:val="24"/>
          <w:highlight w:val="none"/>
          <w:lang w:eastAsia="zh-CN"/>
        </w:rPr>
        <w:t>项目</w:t>
      </w:r>
      <w:r>
        <w:rPr>
          <w:rFonts w:hint="eastAsia"/>
          <w:color w:val="auto"/>
          <w:sz w:val="24"/>
          <w:highlight w:val="none"/>
        </w:rPr>
        <w:t>于</w:t>
      </w:r>
      <w:r>
        <w:rPr>
          <w:rFonts w:hint="eastAsia"/>
          <w:color w:val="auto"/>
          <w:sz w:val="24"/>
          <w:highlight w:val="none"/>
          <w:lang w:eastAsia="zh-CN"/>
        </w:rPr>
        <w:t>自</w:t>
      </w:r>
      <w:r>
        <w:rPr>
          <w:color w:val="auto"/>
          <w:sz w:val="24"/>
          <w:highlight w:val="none"/>
        </w:rPr>
        <w:t>20</w:t>
      </w:r>
      <w:r>
        <w:rPr>
          <w:rFonts w:hint="eastAsia"/>
          <w:color w:val="auto"/>
          <w:sz w:val="24"/>
          <w:highlight w:val="none"/>
          <w:lang w:val="en-US" w:eastAsia="zh-CN"/>
        </w:rPr>
        <w:t>06</w:t>
      </w:r>
      <w:r>
        <w:rPr>
          <w:color w:val="auto"/>
          <w:sz w:val="24"/>
          <w:highlight w:val="none"/>
        </w:rPr>
        <w:t>年</w:t>
      </w:r>
      <w:r>
        <w:rPr>
          <w:rFonts w:hint="eastAsia"/>
          <w:color w:val="auto"/>
          <w:sz w:val="24"/>
          <w:highlight w:val="none"/>
        </w:rPr>
        <w:t>建设完成</w:t>
      </w:r>
      <w:r>
        <w:rPr>
          <w:rFonts w:hint="eastAsia"/>
          <w:color w:val="auto"/>
          <w:sz w:val="24"/>
          <w:highlight w:val="none"/>
          <w:lang w:eastAsia="zh-CN"/>
        </w:rPr>
        <w:t>并开始发电</w:t>
      </w:r>
      <w:r>
        <w:rPr>
          <w:rFonts w:hint="eastAsia"/>
          <w:color w:val="auto"/>
          <w:sz w:val="24"/>
          <w:highlight w:val="none"/>
        </w:rPr>
        <w:t>，</w:t>
      </w:r>
      <w:r>
        <w:rPr>
          <w:rFonts w:hint="eastAsia"/>
          <w:color w:val="auto"/>
          <w:sz w:val="24"/>
          <w:highlight w:val="none"/>
          <w:lang w:eastAsia="zh-CN"/>
        </w:rPr>
        <w:t>现已</w:t>
      </w:r>
      <w:r>
        <w:rPr>
          <w:rFonts w:hint="eastAsia"/>
          <w:color w:val="auto"/>
          <w:sz w:val="24"/>
          <w:highlight w:val="none"/>
        </w:rPr>
        <w:t>稳定运营多年</w:t>
      </w:r>
      <w:r>
        <w:rPr>
          <w:rFonts w:hint="eastAsia"/>
          <w:color w:val="auto"/>
          <w:sz w:val="24"/>
          <w:highlight w:val="none"/>
          <w:lang w:eastAsia="zh-CN"/>
        </w:rPr>
        <w:t>。</w:t>
      </w:r>
    </w:p>
    <w:p>
      <w:pPr>
        <w:spacing w:line="480" w:lineRule="exact"/>
        <w:ind w:firstLine="482"/>
        <w:rPr>
          <w:rFonts w:hint="eastAsia"/>
          <w:snapToGrid w:val="0"/>
          <w:color w:val="000000" w:themeColor="text1"/>
          <w:kern w:val="0"/>
          <w:sz w:val="24"/>
          <w:highlight w:val="none"/>
          <w:lang w:eastAsia="zh-CN"/>
          <w14:textFill>
            <w14:solidFill>
              <w14:schemeClr w14:val="tx1"/>
            </w14:solidFill>
          </w14:textFill>
        </w:rPr>
      </w:pPr>
      <w:r>
        <w:rPr>
          <w:rFonts w:hint="eastAsia"/>
          <w:snapToGrid w:val="0"/>
          <w:color w:val="000000" w:themeColor="text1"/>
          <w:kern w:val="0"/>
          <w:sz w:val="24"/>
          <w:highlight w:val="none"/>
          <w14:textFill>
            <w14:solidFill>
              <w14:schemeClr w14:val="tx1"/>
            </w14:solidFill>
          </w14:textFill>
        </w:rPr>
        <w:t>本项目为民营电站，</w:t>
      </w:r>
      <w:r>
        <w:rPr>
          <w:color w:val="000000" w:themeColor="text1"/>
          <w:sz w:val="24"/>
          <w:szCs w:val="24"/>
          <w:highlight w:val="none"/>
          <w14:textFill>
            <w14:solidFill>
              <w14:schemeClr w14:val="tx1"/>
            </w14:solidFill>
          </w14:textFill>
        </w:rPr>
        <w:t>工程规模为小(</w:t>
      </w:r>
      <w:r>
        <w:rPr>
          <w:rFonts w:hint="eastAsia" w:ascii="宋体" w:hAnsi="宋体" w:cs="宋体"/>
          <w:color w:val="000000" w:themeColor="text1"/>
          <w:sz w:val="24"/>
          <w:szCs w:val="24"/>
          <w:highlight w:val="none"/>
          <w14:textFill>
            <w14:solidFill>
              <w14:schemeClr w14:val="tx1"/>
            </w14:solidFill>
          </w14:textFill>
        </w:rPr>
        <w:t>Ⅱ</w:t>
      </w:r>
      <w:r>
        <w:rPr>
          <w:color w:val="000000" w:themeColor="text1"/>
          <w:sz w:val="24"/>
          <w:szCs w:val="24"/>
          <w:highlight w:val="none"/>
          <w14:textFill>
            <w14:solidFill>
              <w14:schemeClr w14:val="tx1"/>
            </w14:solidFill>
          </w14:textFill>
        </w:rPr>
        <w:t>)型，工程等别为V等。建设内容</w:t>
      </w:r>
      <w:r>
        <w:rPr>
          <w:snapToGrid w:val="0"/>
          <w:color w:val="000000" w:themeColor="text1"/>
          <w:kern w:val="0"/>
          <w:sz w:val="24"/>
          <w:highlight w:val="none"/>
          <w14:textFill>
            <w14:solidFill>
              <w14:schemeClr w14:val="tx1"/>
            </w14:solidFill>
          </w14:textFill>
        </w:rPr>
        <w:t>包括</w:t>
      </w:r>
      <w:r>
        <w:rPr>
          <w:rFonts w:hint="eastAsia"/>
          <w:snapToGrid w:val="0"/>
          <w:color w:val="000000" w:themeColor="text1"/>
          <w:kern w:val="0"/>
          <w:sz w:val="24"/>
          <w:highlight w:val="none"/>
          <w:lang w:eastAsia="zh-CN"/>
          <w14:textFill>
            <w14:solidFill>
              <w14:schemeClr w14:val="tx1"/>
            </w14:solidFill>
          </w14:textFill>
        </w:rPr>
        <w:t>橡胶坝、</w:t>
      </w:r>
      <w:r>
        <w:rPr>
          <w:rFonts w:hint="eastAsia"/>
          <w:snapToGrid w:val="0"/>
          <w:color w:val="000000" w:themeColor="text1"/>
          <w:kern w:val="0"/>
          <w:sz w:val="24"/>
          <w:highlight w:val="none"/>
          <w14:textFill>
            <w14:solidFill>
              <w14:schemeClr w14:val="tx1"/>
            </w14:solidFill>
          </w14:textFill>
        </w:rPr>
        <w:t>进口节制闸、引水渠、前池、压力管道、主副厂房、尾水渠、厂区附属设施、并网线路等建筑物</w:t>
      </w:r>
      <w:r>
        <w:rPr>
          <w:rFonts w:hint="eastAsia"/>
          <w:snapToGrid w:val="0"/>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highlight w:val="none"/>
          <w:lang w:eastAsia="zh-CN"/>
          <w14:textFill>
            <w14:solidFill>
              <w14:schemeClr w14:val="tx1"/>
            </w14:solidFill>
          </w14:textFill>
        </w:rPr>
        <w:t>电站设计流量55.92m³/s，设计水头10.1m，总装机容量1×5000KW，年利用小时数2931小时，年发电量1465.5万kw·h</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p>
      <w:pPr>
        <w:spacing w:line="480" w:lineRule="exact"/>
        <w:ind w:firstLine="482"/>
        <w:rPr>
          <w:rFonts w:hint="eastAsia" w:eastAsia="宋体"/>
          <w:snapToGrid w:val="0"/>
          <w:color w:val="auto"/>
          <w:kern w:val="0"/>
          <w:sz w:val="24"/>
          <w:highlight w:val="none"/>
          <w:lang w:eastAsia="zh-CN"/>
        </w:rPr>
      </w:pPr>
      <w:r>
        <w:rPr>
          <w:rFonts w:hint="eastAsia"/>
          <w:snapToGrid w:val="0"/>
          <w:color w:val="000000" w:themeColor="text1"/>
          <w:kern w:val="0"/>
          <w:sz w:val="24"/>
          <w:highlight w:val="none"/>
          <w:lang w:eastAsia="zh-CN"/>
          <w14:textFill>
            <w14:solidFill>
              <w14:schemeClr w14:val="tx1"/>
            </w14:solidFill>
          </w14:textFill>
        </w:rPr>
        <w:t>（</w:t>
      </w:r>
      <w:r>
        <w:rPr>
          <w:rFonts w:hint="eastAsia"/>
          <w:snapToGrid w:val="0"/>
          <w:color w:val="auto"/>
          <w:kern w:val="0"/>
          <w:sz w:val="24"/>
          <w:highlight w:val="none"/>
          <w:lang w:val="en-US" w:eastAsia="zh-CN"/>
        </w:rPr>
        <w:t>2</w:t>
      </w:r>
      <w:r>
        <w:rPr>
          <w:rFonts w:hint="eastAsia"/>
          <w:snapToGrid w:val="0"/>
          <w:color w:val="auto"/>
          <w:kern w:val="0"/>
          <w:sz w:val="24"/>
          <w:highlight w:val="none"/>
          <w:lang w:eastAsia="zh-CN"/>
        </w:rPr>
        <w:t>）补办环评手续的相关依据</w:t>
      </w:r>
    </w:p>
    <w:p>
      <w:pPr>
        <w:spacing w:line="480" w:lineRule="exact"/>
        <w:ind w:firstLine="480"/>
        <w:rPr>
          <w:rFonts w:hint="eastAsia"/>
          <w:snapToGrid w:val="0"/>
          <w:color w:val="auto"/>
          <w:kern w:val="0"/>
          <w:sz w:val="24"/>
          <w:highlight w:val="none"/>
          <w:lang w:val="en-US" w:eastAsia="zh-CN"/>
        </w:rPr>
      </w:pPr>
      <w:r>
        <w:rPr>
          <w:rFonts w:hint="eastAsia"/>
          <w:snapToGrid w:val="0"/>
          <w:color w:val="auto"/>
          <w:kern w:val="0"/>
          <w:sz w:val="24"/>
          <w:highlight w:val="none"/>
          <w:lang w:eastAsia="zh-CN"/>
        </w:rPr>
        <w:t>本项目始建于</w:t>
      </w:r>
      <w:r>
        <w:rPr>
          <w:rFonts w:hint="eastAsia"/>
          <w:snapToGrid w:val="0"/>
          <w:color w:val="auto"/>
          <w:kern w:val="0"/>
          <w:sz w:val="24"/>
          <w:highlight w:val="none"/>
          <w:lang w:val="en-US" w:eastAsia="zh-CN"/>
        </w:rPr>
        <w:t>2005</w:t>
      </w:r>
      <w:r>
        <w:rPr>
          <w:snapToGrid w:val="0"/>
          <w:color w:val="auto"/>
          <w:kern w:val="0"/>
          <w:sz w:val="24"/>
          <w:highlight w:val="none"/>
        </w:rPr>
        <w:t>年，</w:t>
      </w:r>
      <w:r>
        <w:rPr>
          <w:rFonts w:hint="eastAsia"/>
          <w:snapToGrid w:val="0"/>
          <w:color w:val="auto"/>
          <w:kern w:val="0"/>
          <w:sz w:val="24"/>
          <w:highlight w:val="none"/>
          <w:lang w:val="en-US" w:eastAsia="zh-CN"/>
        </w:rPr>
        <w:t>2006年10月投产。2012年8月通过河北省水利厅遵化市黎河二级水电站工程竣工验收，并予以批复（冀水电【2012】27号），验收包括档案专项验收、水土保持工程专项验收、消防验收，防雷装置检测；运行至今设备设施均运行正常，对周围环境影响较小，满足环境保护相关要求。</w:t>
      </w:r>
    </w:p>
    <w:p>
      <w:pPr>
        <w:spacing w:line="480" w:lineRule="exact"/>
        <w:ind w:firstLine="480"/>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pP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1988年4月9日，为加强建设项目的环境保护管理，根据原国务院环保委、国家计委、国家经委制发的《</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fldChar w:fldCharType="begin"/>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instrText xml:space="preserve"> HYPERLINK "javascript:SLC(10080,0)" </w:instrTex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fldChar w:fldCharType="separate"/>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建设项目环境保护管理办法</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fldChar w:fldCharType="end"/>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》的规定精神，河北省人民政府发布《河北省建设项目环境保护管理实施办法》，规定“小型基本建设项目和限额以下的技术改造项目填报环境影响报告表”。</w:t>
      </w:r>
    </w:p>
    <w:p>
      <w:pPr>
        <w:spacing w:line="480" w:lineRule="exact"/>
        <w:ind w:firstLine="480"/>
        <w:rPr>
          <w:rFonts w:hint="default" w:ascii="Times New Roman" w:hAnsi="Times New Roman" w:cs="Times New Roman" w:eastAsiaTheme="majorEastAsia"/>
          <w:i w:val="0"/>
          <w:iCs w:val="0"/>
          <w:caps w:val="0"/>
          <w:color w:val="auto"/>
          <w:spacing w:val="0"/>
          <w:sz w:val="24"/>
          <w:szCs w:val="24"/>
          <w:highlight w:val="none"/>
          <w:shd w:val="clear" w:fill="FFFFFF"/>
          <w:lang w:eastAsia="zh-CN"/>
        </w:rPr>
      </w:pP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1998年11月29日</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fldChar w:fldCharType="begin"/>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instrText xml:space="preserve"> HYPERLINK "http://www.so.com/s?q=%E5%9B%BD%E5%8A%A1%E9%99%A2&amp;ie=utf-8&amp;src=internal_wenda_recommend_textn" \t "https://wenda.so.com/q/_blank" </w:instrTex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fldChar w:fldCharType="separate"/>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国务院</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fldChar w:fldCharType="end"/>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颁布了《建设项目环境保护管理条例》</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（国务院令第253号，1998年11月29日），</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提高了环境影响评价制度的立法规格，同时明确了环境影响评价的适用范围、评价时机、审批程序、法律责任等方面的程序，由此确立建设项目需要分类开展环评。</w:t>
      </w:r>
    </w:p>
    <w:p>
      <w:pPr>
        <w:spacing w:line="480" w:lineRule="exact"/>
        <w:ind w:firstLine="480"/>
        <w:rPr>
          <w:rFonts w:hint="default" w:ascii="Times New Roman" w:hAnsi="Times New Roman" w:cs="Times New Roman" w:eastAsiaTheme="majorEastAsia"/>
          <w:i w:val="0"/>
          <w:iCs w:val="0"/>
          <w:caps w:val="0"/>
          <w:color w:val="auto"/>
          <w:spacing w:val="0"/>
          <w:sz w:val="24"/>
          <w:szCs w:val="24"/>
          <w:highlight w:val="none"/>
          <w:shd w:val="clear" w:fill="FFFFFF"/>
          <w:lang w:eastAsia="zh-CN"/>
        </w:rPr>
      </w:pP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1998年</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fldChar w:fldCharType="begin"/>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instrText xml:space="preserve"> HYPERLINK "http://www.so.com/s?q=%E4%B9%8B%E5%89%8D&amp;ie=utf-8&amp;src=internal_wenda_recommend_textn" \t "https://wenda.so.com/q/_blank" </w:instrTex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fldChar w:fldCharType="separate"/>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之前</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fldChar w:fldCharType="end"/>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对于具体的建设项目是否需要进行环评规定不够明确，一般非</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fldChar w:fldCharType="begin"/>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instrText xml:space="preserve"> HYPERLINK "http://www.so.com/s?q=%E6%94%BF%E5%BA%9C&amp;ie=utf-8&amp;src=internal_wenda_recommend_textn" \t "https://wenda.so.com/q/_blank" </w:instrTex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fldChar w:fldCharType="separate"/>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政府</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fldChar w:fldCharType="end"/>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指令要求环评的</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fldChar w:fldCharType="begin"/>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instrText xml:space="preserve"> HYPERLINK "http://www.so.com/s?q=%E9%A1%B9%E7%9B%AE&amp;ie=utf-8&amp;src=internal_wenda_recommend_textn" \t "https://wenda.so.com/q/_blank" </w:instrTex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fldChar w:fldCharType="separate"/>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项目</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fldChar w:fldCharType="end"/>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都没履行环评</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fldChar w:fldCharType="begin"/>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instrText xml:space="preserve"> HYPERLINK "http://www.so.com/s?q=%E6%89%8B%E7%BB%AD&amp;ie=utf-8&amp;src=internal_wenda_recommend_textn" \t "https://wenda.so.com/q/_blank" </w:instrTex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fldChar w:fldCharType="separate"/>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手续</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fldChar w:fldCharType="end"/>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中华人民共和国环境影响评价法》于2003年9月1日实施，2018年2月22日原环境保护部《关于建设项目“未批先建”违法行为法律适用问题的意见》（环政法函[2018]31号）第三条同时规定“建设单位主动补交环境影响报告书、报告表并报送环保部门审查的，有权审批的环保部门应当受理。”“对符合环境影响评价审批要求的，依法作出批准决定”。</w:t>
      </w:r>
    </w:p>
    <w:p>
      <w:pPr>
        <w:spacing w:line="480" w:lineRule="exact"/>
        <w:ind w:firstLine="480"/>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pP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2021年7月15日起施行《中华人民共和国行政处罚法》，第三十三条规定：“违法行为轻微并及时改正，没有造成危害后果的，不予行政处罚。初次违法且危害后果轻微并及时改正的，可以不予行政处罚。”</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2022年8月20日，河北省生态环境厅印发</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《河北省生态环境厅生态环境轻微违法行为免罚办法（试行）》及《河北省生态环境领域轻微违法行为包容免罚清单》，其中第</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2项：“对未按规定进行环境影响评价，擅自开工建设的处罚”免罚情形为包括：“1.违法行为轻微；2.及时改正；3.没有造成危害后果的；4.无污染物产生；5.企业主动停止建设或者恢复原状的”，未规定需要</w:t>
      </w:r>
      <w:r>
        <w:rPr>
          <w:rFonts w:hint="default" w:ascii="Times New Roman" w:hAnsi="Times New Roman" w:cs="Times New Roman" w:eastAsiaTheme="majorEastAsia"/>
          <w:i w:val="0"/>
          <w:iCs w:val="0"/>
          <w:caps w:val="0"/>
          <w:color w:val="auto"/>
          <w:spacing w:val="0"/>
          <w:sz w:val="24"/>
          <w:szCs w:val="24"/>
          <w:highlight w:val="none"/>
          <w:shd w:val="clear" w:fill="FFFFFF"/>
        </w:rPr>
        <w:t>符合全部情形，</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即为符合</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5种情形之一及可免于处罚。本项目属于生态类项目，不属于工业类项目，引水、发电、尾水均对环境无污染，电站运行多年来，未发生环境违法行为，属于“违法行为轻微”、“及时改正”、“没有造成危害后果”，故可免于行政处罚。</w:t>
      </w:r>
    </w:p>
    <w:p>
      <w:pPr>
        <w:pStyle w:val="4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right="0" w:firstLine="480" w:firstLineChars="200"/>
        <w:jc w:val="both"/>
        <w:textAlignment w:val="auto"/>
        <w:rPr>
          <w:rFonts w:hint="default" w:ascii="Times New Roman" w:hAnsi="Times New Roman" w:cs="Times New Roman" w:eastAsiaTheme="majorEastAsia"/>
          <w:i w:val="0"/>
          <w:iCs w:val="0"/>
          <w:caps w:val="0"/>
          <w:color w:val="auto"/>
          <w:spacing w:val="0"/>
          <w:sz w:val="24"/>
          <w:szCs w:val="24"/>
          <w:highlight w:val="none"/>
          <w:shd w:val="clear" w:fill="FFFFFF"/>
        </w:rPr>
      </w:pP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3</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）与</w:t>
      </w:r>
      <w:r>
        <w:rPr>
          <w:rFonts w:hint="default" w:ascii="Times New Roman" w:hAnsi="Times New Roman" w:cs="Times New Roman" w:eastAsiaTheme="majorEastAsia"/>
          <w:i w:val="0"/>
          <w:iCs w:val="0"/>
          <w:caps w:val="0"/>
          <w:color w:val="auto"/>
          <w:spacing w:val="0"/>
          <w:sz w:val="24"/>
          <w:szCs w:val="24"/>
          <w:highlight w:val="none"/>
          <w:shd w:val="clear" w:fill="FFFFFF"/>
        </w:rPr>
        <w:t>水利部</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发展改革委</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自然资源部</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生态环境部</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农业农村部</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能源局</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林草局</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联合《</w:t>
      </w:r>
      <w:r>
        <w:rPr>
          <w:rFonts w:hint="default" w:ascii="Times New Roman" w:hAnsi="Times New Roman" w:cs="Times New Roman" w:eastAsiaTheme="majorEastAsia"/>
          <w:i w:val="0"/>
          <w:iCs w:val="0"/>
          <w:caps w:val="0"/>
          <w:color w:val="auto"/>
          <w:spacing w:val="0"/>
          <w:sz w:val="24"/>
          <w:szCs w:val="24"/>
          <w:highlight w:val="none"/>
          <w:shd w:val="clear" w:fill="FFFFFF"/>
        </w:rPr>
        <w:t>关于进一步做好</w:t>
      </w:r>
      <w:r>
        <w:rPr>
          <w:rFonts w:hint="default" w:ascii="Times New Roman" w:hAnsi="Times New Roman" w:cs="Times New Roman" w:eastAsiaTheme="majorEastAsia"/>
          <w:i w:val="0"/>
          <w:iCs w:val="0"/>
          <w:caps w:val="0"/>
          <w:color w:val="auto"/>
          <w:spacing w:val="0"/>
          <w:sz w:val="24"/>
          <w:szCs w:val="24"/>
          <w:highlight w:val="none"/>
          <w:shd w:val="clear" w:fill="FFFFFF"/>
        </w:rPr>
        <w:fldChar w:fldCharType="begin"/>
      </w:r>
      <w:r>
        <w:rPr>
          <w:rFonts w:hint="default" w:ascii="Times New Roman" w:hAnsi="Times New Roman" w:cs="Times New Roman" w:eastAsiaTheme="majorEastAsia"/>
          <w:i w:val="0"/>
          <w:iCs w:val="0"/>
          <w:caps w:val="0"/>
          <w:color w:val="auto"/>
          <w:spacing w:val="0"/>
          <w:sz w:val="24"/>
          <w:szCs w:val="24"/>
          <w:highlight w:val="none"/>
          <w:shd w:val="clear" w:fill="FFFFFF"/>
        </w:rPr>
        <w:instrText xml:space="preserve"> HYPERLINK "https://news.bjx.com.cn/zt.asp?topic=%d0%a1%cb%ae%b5%e7" \t "http://www.hydropower.org.cn/_blank" </w:instrText>
      </w:r>
      <w:r>
        <w:rPr>
          <w:rFonts w:hint="default" w:ascii="Times New Roman" w:hAnsi="Times New Roman" w:cs="Times New Roman" w:eastAsiaTheme="majorEastAsia"/>
          <w:i w:val="0"/>
          <w:iCs w:val="0"/>
          <w:caps w:val="0"/>
          <w:color w:val="auto"/>
          <w:spacing w:val="0"/>
          <w:sz w:val="24"/>
          <w:szCs w:val="24"/>
          <w:highlight w:val="none"/>
          <w:shd w:val="clear" w:fill="FFFFFF"/>
        </w:rPr>
        <w:fldChar w:fldCharType="separate"/>
      </w:r>
      <w:r>
        <w:rPr>
          <w:rFonts w:hint="default" w:ascii="Times New Roman" w:hAnsi="Times New Roman" w:cs="Times New Roman" w:eastAsiaTheme="majorEastAsia"/>
          <w:i w:val="0"/>
          <w:iCs w:val="0"/>
          <w:caps w:val="0"/>
          <w:color w:val="auto"/>
          <w:spacing w:val="0"/>
          <w:sz w:val="24"/>
          <w:szCs w:val="24"/>
          <w:highlight w:val="none"/>
          <w:shd w:val="clear" w:fill="FFFFFF"/>
        </w:rPr>
        <w:t>小水电</w:t>
      </w:r>
      <w:r>
        <w:rPr>
          <w:rFonts w:hint="default" w:ascii="Times New Roman" w:hAnsi="Times New Roman" w:cs="Times New Roman" w:eastAsiaTheme="majorEastAsia"/>
          <w:i w:val="0"/>
          <w:iCs w:val="0"/>
          <w:caps w:val="0"/>
          <w:color w:val="auto"/>
          <w:spacing w:val="0"/>
          <w:sz w:val="24"/>
          <w:szCs w:val="24"/>
          <w:highlight w:val="none"/>
          <w:shd w:val="clear" w:fill="FFFFFF"/>
        </w:rPr>
        <w:fldChar w:fldCharType="end"/>
      </w:r>
      <w:r>
        <w:rPr>
          <w:rFonts w:hint="default" w:ascii="Times New Roman" w:hAnsi="Times New Roman" w:cs="Times New Roman" w:eastAsiaTheme="majorEastAsia"/>
          <w:i w:val="0"/>
          <w:iCs w:val="0"/>
          <w:caps w:val="0"/>
          <w:color w:val="auto"/>
          <w:spacing w:val="0"/>
          <w:sz w:val="24"/>
          <w:szCs w:val="24"/>
          <w:highlight w:val="none"/>
          <w:shd w:val="clear" w:fill="FFFFFF"/>
        </w:rPr>
        <w:t>分类整改工作的意见</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水电〔2021〕397号</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）比对。</w:t>
      </w:r>
      <w:r>
        <w:rPr>
          <w:rFonts w:hint="default" w:ascii="Times New Roman" w:hAnsi="Times New Roman" w:cs="Times New Roman" w:eastAsiaTheme="majorEastAsia"/>
          <w:i w:val="0"/>
          <w:iCs w:val="0"/>
          <w:caps w:val="0"/>
          <w:color w:val="auto"/>
          <w:spacing w:val="0"/>
          <w:sz w:val="24"/>
          <w:szCs w:val="24"/>
          <w:highlight w:val="none"/>
          <w:shd w:val="clear" w:fill="FFFFFF"/>
        </w:rPr>
        <w:t>为积极稳妥地推进</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小水电</w:t>
      </w:r>
      <w:r>
        <w:rPr>
          <w:rFonts w:hint="default" w:ascii="Times New Roman" w:hAnsi="Times New Roman" w:cs="Times New Roman" w:eastAsiaTheme="majorEastAsia"/>
          <w:i w:val="0"/>
          <w:iCs w:val="0"/>
          <w:caps w:val="0"/>
          <w:color w:val="auto"/>
          <w:spacing w:val="0"/>
          <w:sz w:val="24"/>
          <w:szCs w:val="24"/>
          <w:highlight w:val="none"/>
          <w:shd w:val="clear" w:fill="FFFFFF"/>
        </w:rPr>
        <w:t>整改，</w:t>
      </w:r>
      <w:r>
        <w:rPr>
          <w:rFonts w:hint="default" w:ascii="Times New Roman" w:hAnsi="Times New Roman" w:cs="Times New Roman" w:eastAsiaTheme="majorEastAsia"/>
          <w:b w:val="0"/>
          <w:bCs w:val="0"/>
          <w:i w:val="0"/>
          <w:iCs w:val="0"/>
          <w:caps w:val="0"/>
          <w:color w:val="auto"/>
          <w:spacing w:val="0"/>
          <w:sz w:val="24"/>
          <w:szCs w:val="24"/>
          <w:highlight w:val="none"/>
          <w:shd w:val="clear" w:fill="FFFFFF"/>
        </w:rPr>
        <w:t>2021年12月23日</w:t>
      </w:r>
      <w:r>
        <w:rPr>
          <w:rFonts w:hint="default" w:ascii="Times New Roman" w:hAnsi="Times New Roman" w:cs="Times New Roman" w:eastAsiaTheme="majorEastAsia"/>
          <w:b w:val="0"/>
          <w:bCs w:val="0"/>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水利部</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发展改革委</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自然资源部</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生态环境部</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农业农村部</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能源局</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林草局</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联合印发了《</w:t>
      </w:r>
      <w:r>
        <w:rPr>
          <w:rFonts w:hint="default" w:ascii="Times New Roman" w:hAnsi="Times New Roman" w:cs="Times New Roman" w:eastAsiaTheme="majorEastAsia"/>
          <w:i w:val="0"/>
          <w:iCs w:val="0"/>
          <w:caps w:val="0"/>
          <w:color w:val="auto"/>
          <w:spacing w:val="0"/>
          <w:sz w:val="24"/>
          <w:szCs w:val="24"/>
          <w:highlight w:val="none"/>
          <w:shd w:val="clear" w:fill="FFFFFF"/>
        </w:rPr>
        <w:t>关于进一步做好</w:t>
      </w:r>
      <w:r>
        <w:rPr>
          <w:rFonts w:hint="default" w:ascii="Times New Roman" w:hAnsi="Times New Roman" w:cs="Times New Roman" w:eastAsiaTheme="majorEastAsia"/>
          <w:i w:val="0"/>
          <w:iCs w:val="0"/>
          <w:caps w:val="0"/>
          <w:color w:val="auto"/>
          <w:spacing w:val="0"/>
          <w:sz w:val="24"/>
          <w:szCs w:val="24"/>
          <w:highlight w:val="none"/>
          <w:shd w:val="clear" w:fill="FFFFFF"/>
        </w:rPr>
        <w:fldChar w:fldCharType="begin"/>
      </w:r>
      <w:r>
        <w:rPr>
          <w:rFonts w:hint="default" w:ascii="Times New Roman" w:hAnsi="Times New Roman" w:cs="Times New Roman" w:eastAsiaTheme="majorEastAsia"/>
          <w:i w:val="0"/>
          <w:iCs w:val="0"/>
          <w:caps w:val="0"/>
          <w:color w:val="auto"/>
          <w:spacing w:val="0"/>
          <w:sz w:val="24"/>
          <w:szCs w:val="24"/>
          <w:highlight w:val="none"/>
          <w:shd w:val="clear" w:fill="FFFFFF"/>
        </w:rPr>
        <w:instrText xml:space="preserve"> HYPERLINK "https://news.bjx.com.cn/zt.asp?topic=%d0%a1%cb%ae%b5%e7" \t "http://www.hydropower.org.cn/_blank" </w:instrText>
      </w:r>
      <w:r>
        <w:rPr>
          <w:rFonts w:hint="default" w:ascii="Times New Roman" w:hAnsi="Times New Roman" w:cs="Times New Roman" w:eastAsiaTheme="majorEastAsia"/>
          <w:i w:val="0"/>
          <w:iCs w:val="0"/>
          <w:caps w:val="0"/>
          <w:color w:val="auto"/>
          <w:spacing w:val="0"/>
          <w:sz w:val="24"/>
          <w:szCs w:val="24"/>
          <w:highlight w:val="none"/>
          <w:shd w:val="clear" w:fill="FFFFFF"/>
        </w:rPr>
        <w:fldChar w:fldCharType="separate"/>
      </w:r>
      <w:r>
        <w:rPr>
          <w:rFonts w:hint="default" w:ascii="Times New Roman" w:hAnsi="Times New Roman" w:cs="Times New Roman" w:eastAsiaTheme="majorEastAsia"/>
          <w:i w:val="0"/>
          <w:iCs w:val="0"/>
          <w:caps w:val="0"/>
          <w:color w:val="auto"/>
          <w:spacing w:val="0"/>
          <w:sz w:val="24"/>
          <w:szCs w:val="24"/>
          <w:highlight w:val="none"/>
          <w:shd w:val="clear" w:fill="FFFFFF"/>
        </w:rPr>
        <w:t>小水电</w:t>
      </w:r>
      <w:r>
        <w:rPr>
          <w:rFonts w:hint="default" w:ascii="Times New Roman" w:hAnsi="Times New Roman" w:cs="Times New Roman" w:eastAsiaTheme="majorEastAsia"/>
          <w:i w:val="0"/>
          <w:iCs w:val="0"/>
          <w:caps w:val="0"/>
          <w:color w:val="auto"/>
          <w:spacing w:val="0"/>
          <w:sz w:val="24"/>
          <w:szCs w:val="24"/>
          <w:highlight w:val="none"/>
          <w:shd w:val="clear" w:fill="FFFFFF"/>
        </w:rPr>
        <w:fldChar w:fldCharType="end"/>
      </w:r>
      <w:r>
        <w:rPr>
          <w:rFonts w:hint="default" w:ascii="Times New Roman" w:hAnsi="Times New Roman" w:cs="Times New Roman" w:eastAsiaTheme="majorEastAsia"/>
          <w:i w:val="0"/>
          <w:iCs w:val="0"/>
          <w:caps w:val="0"/>
          <w:color w:val="auto"/>
          <w:spacing w:val="0"/>
          <w:sz w:val="24"/>
          <w:szCs w:val="24"/>
          <w:highlight w:val="none"/>
          <w:shd w:val="clear" w:fill="FFFFFF"/>
        </w:rPr>
        <w:t>分类整改工作的意见</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水电〔2021〕397号</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）。文件规定，</w:t>
      </w:r>
      <w:r>
        <w:rPr>
          <w:rFonts w:hint="default" w:ascii="Times New Roman" w:hAnsi="Times New Roman" w:cs="Times New Roman" w:eastAsiaTheme="majorEastAsia"/>
          <w:i w:val="0"/>
          <w:iCs w:val="0"/>
          <w:caps w:val="0"/>
          <w:color w:val="auto"/>
          <w:spacing w:val="0"/>
          <w:sz w:val="24"/>
          <w:szCs w:val="24"/>
          <w:highlight w:val="none"/>
          <w:shd w:val="clear" w:fill="FFFFFF"/>
        </w:rPr>
        <w:t>进一步做好小水电分类整改</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，具体</w:t>
      </w:r>
      <w:r>
        <w:rPr>
          <w:rFonts w:hint="default" w:ascii="Times New Roman" w:hAnsi="Times New Roman" w:cs="Times New Roman" w:eastAsiaTheme="majorEastAsia"/>
          <w:i w:val="0"/>
          <w:iCs w:val="0"/>
          <w:caps w:val="0"/>
          <w:color w:val="auto"/>
          <w:spacing w:val="0"/>
          <w:sz w:val="24"/>
          <w:szCs w:val="24"/>
          <w:highlight w:val="none"/>
          <w:shd w:val="clear" w:fill="FFFFFF"/>
        </w:rPr>
        <w:t>意见</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如下</w:t>
      </w:r>
      <w:r>
        <w:rPr>
          <w:rFonts w:hint="default" w:ascii="Times New Roman" w:hAnsi="Times New Roman" w:cs="Times New Roman" w:eastAsiaTheme="majorEastAsia"/>
          <w:i w:val="0"/>
          <w:iCs w:val="0"/>
          <w:caps w:val="0"/>
          <w:color w:val="auto"/>
          <w:spacing w:val="0"/>
          <w:sz w:val="24"/>
          <w:szCs w:val="24"/>
          <w:highlight w:val="none"/>
          <w:shd w:val="clear" w:fill="FFFFFF"/>
        </w:rPr>
        <w:t>：</w:t>
      </w:r>
    </w:p>
    <w:p>
      <w:pPr>
        <w:pStyle w:val="4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right="0" w:firstLine="480" w:firstLineChars="200"/>
        <w:jc w:val="both"/>
        <w:textAlignment w:val="auto"/>
        <w:rPr>
          <w:rFonts w:hint="default" w:ascii="Times New Roman" w:hAnsi="Times New Roman" w:cs="Times New Roman" w:eastAsiaTheme="majorEastAsia"/>
          <w:i w:val="0"/>
          <w:iCs w:val="0"/>
          <w:caps w:val="0"/>
          <w:color w:val="auto"/>
          <w:spacing w:val="0"/>
          <w:sz w:val="24"/>
          <w:szCs w:val="24"/>
          <w:highlight w:val="none"/>
          <w:shd w:val="clear" w:fill="FFFFFF"/>
          <w:lang w:eastAsia="zh-CN"/>
        </w:rPr>
      </w:pPr>
      <w:r>
        <w:rPr>
          <w:rFonts w:hint="default" w:ascii="Times New Roman" w:hAnsi="Times New Roman" w:cs="Times New Roman" w:eastAsiaTheme="majorEastAsia"/>
          <w:i w:val="0"/>
          <w:iCs w:val="0"/>
          <w:caps w:val="0"/>
          <w:color w:val="auto"/>
          <w:spacing w:val="0"/>
          <w:sz w:val="24"/>
          <w:szCs w:val="24"/>
          <w:highlight w:val="none"/>
          <w:shd w:val="clear" w:fill="FFFFFF"/>
        </w:rPr>
        <w:t>（一）符合以下任一情形的，列为退出类</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p>
    <w:p>
      <w:pPr>
        <w:pStyle w:val="4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right="0" w:firstLine="480" w:firstLineChars="200"/>
        <w:jc w:val="both"/>
        <w:textAlignment w:val="auto"/>
        <w:rPr>
          <w:rFonts w:hint="default" w:ascii="Times New Roman" w:hAnsi="Times New Roman" w:cs="Times New Roman" w:eastAsiaTheme="majorEastAsia"/>
          <w:i w:val="0"/>
          <w:iCs w:val="0"/>
          <w:caps w:val="0"/>
          <w:color w:val="auto"/>
          <w:spacing w:val="0"/>
          <w:sz w:val="24"/>
          <w:szCs w:val="24"/>
          <w:highlight w:val="none"/>
          <w:shd w:val="clear" w:fill="FFFFFF"/>
        </w:rPr>
      </w:pPr>
      <w:r>
        <w:rPr>
          <w:rFonts w:hint="default" w:ascii="Times New Roman" w:hAnsi="Times New Roman" w:cs="Times New Roman" w:eastAsiaTheme="majorEastAsia"/>
          <w:i w:val="0"/>
          <w:iCs w:val="0"/>
          <w:caps w:val="0"/>
          <w:color w:val="auto"/>
          <w:spacing w:val="0"/>
          <w:sz w:val="24"/>
          <w:szCs w:val="24"/>
          <w:highlight w:val="none"/>
          <w:shd w:val="clear" w:fill="FFFFFF"/>
        </w:rPr>
        <w:t>一是位于自然保护区核心区、缓冲区（未分区的自然保护区视为核心区和缓冲区）。二是违法违规建设且无法按照法律法规整改纠正到位。三是大坝阻隔对珍稀特有水生生物造成严重影响，且整改纠正达不到要求。四是厂坝间河段减水脱流问题突出，严重影响生活、生产、生态用水，且整改纠正达不到要求。五是大坝已成为危坝或多年未发电，严重影响防洪，且重新整改又不经济。</w:t>
      </w:r>
    </w:p>
    <w:p>
      <w:pPr>
        <w:pStyle w:val="4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right="0" w:firstLine="480" w:firstLineChars="200"/>
        <w:jc w:val="both"/>
        <w:textAlignment w:val="auto"/>
        <w:rPr>
          <w:rFonts w:hint="default" w:ascii="Times New Roman" w:hAnsi="Times New Roman" w:cs="Times New Roman" w:eastAsiaTheme="majorEastAsia"/>
          <w:i w:val="0"/>
          <w:iCs w:val="0"/>
          <w:caps w:val="0"/>
          <w:color w:val="auto"/>
          <w:spacing w:val="0"/>
          <w:sz w:val="24"/>
          <w:szCs w:val="24"/>
          <w:highlight w:val="none"/>
          <w:shd w:val="clear" w:fill="FFFFFF"/>
        </w:rPr>
      </w:pPr>
      <w:r>
        <w:rPr>
          <w:rFonts w:hint="default" w:ascii="Times New Roman" w:hAnsi="Times New Roman" w:cs="Times New Roman" w:eastAsiaTheme="majorEastAsia"/>
          <w:i w:val="0"/>
          <w:iCs w:val="0"/>
          <w:caps w:val="0"/>
          <w:color w:val="auto"/>
          <w:spacing w:val="0"/>
          <w:sz w:val="24"/>
          <w:szCs w:val="24"/>
          <w:highlight w:val="none"/>
          <w:shd w:val="clear" w:fill="FFFFFF"/>
        </w:rPr>
        <w:t>（二）符合以下任一情形的，列为整改类</w:t>
      </w:r>
    </w:p>
    <w:p>
      <w:pPr>
        <w:pStyle w:val="4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right="0" w:firstLine="480" w:firstLineChars="200"/>
        <w:jc w:val="both"/>
        <w:textAlignment w:val="auto"/>
        <w:rPr>
          <w:rFonts w:hint="default" w:ascii="Times New Roman" w:hAnsi="Times New Roman" w:cs="Times New Roman" w:eastAsiaTheme="majorEastAsia"/>
          <w:i w:val="0"/>
          <w:iCs w:val="0"/>
          <w:caps w:val="0"/>
          <w:color w:val="auto"/>
          <w:spacing w:val="0"/>
          <w:sz w:val="24"/>
          <w:szCs w:val="24"/>
          <w:highlight w:val="none"/>
          <w:shd w:val="clear" w:fill="FFFFFF"/>
        </w:rPr>
      </w:pPr>
      <w:r>
        <w:rPr>
          <w:rFonts w:hint="default" w:ascii="Times New Roman" w:hAnsi="Times New Roman" w:cs="Times New Roman" w:eastAsiaTheme="majorEastAsia"/>
          <w:i w:val="0"/>
          <w:iCs w:val="0"/>
          <w:caps w:val="0"/>
          <w:color w:val="auto"/>
          <w:spacing w:val="0"/>
          <w:sz w:val="24"/>
          <w:szCs w:val="24"/>
          <w:highlight w:val="none"/>
          <w:shd w:val="clear" w:fill="FFFFFF"/>
        </w:rPr>
        <w:t>一是未按规定泄放、监控生态流量，或生态流量不足导致厂坝间河段水质不达标。二是河流连通性不满足水生生物保护要求。三是大坝存在安全隐患。四是设施设备不符合安全标准。五是水库行政、巡查、技术责任人或电站生产、监管责任主体不落实，管理不到位。</w:t>
      </w:r>
    </w:p>
    <w:p>
      <w:pPr>
        <w:pStyle w:val="4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right="0" w:firstLine="480" w:firstLineChars="200"/>
        <w:jc w:val="both"/>
        <w:textAlignment w:val="auto"/>
        <w:rPr>
          <w:rFonts w:hint="default" w:ascii="Times New Roman" w:hAnsi="Times New Roman" w:cs="Times New Roman" w:eastAsiaTheme="majorEastAsia"/>
          <w:i w:val="0"/>
          <w:iCs w:val="0"/>
          <w:caps w:val="0"/>
          <w:color w:val="auto"/>
          <w:spacing w:val="0"/>
          <w:sz w:val="24"/>
          <w:szCs w:val="24"/>
          <w:highlight w:val="none"/>
          <w:shd w:val="clear" w:fill="FFFFFF"/>
        </w:rPr>
      </w:pPr>
      <w:r>
        <w:rPr>
          <w:rFonts w:hint="default" w:ascii="Times New Roman" w:hAnsi="Times New Roman" w:cs="Times New Roman" w:eastAsiaTheme="majorEastAsia"/>
          <w:i w:val="0"/>
          <w:iCs w:val="0"/>
          <w:caps w:val="0"/>
          <w:color w:val="auto"/>
          <w:spacing w:val="0"/>
          <w:sz w:val="24"/>
          <w:szCs w:val="24"/>
          <w:highlight w:val="none"/>
          <w:shd w:val="clear" w:fill="FFFFFF"/>
        </w:rPr>
        <w:t>（三）符合以下全部情形的，列为保留类</w:t>
      </w:r>
    </w:p>
    <w:p>
      <w:pPr>
        <w:pStyle w:val="4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right="0" w:firstLine="480" w:firstLineChars="200"/>
        <w:jc w:val="both"/>
        <w:textAlignment w:val="auto"/>
        <w:rPr>
          <w:rFonts w:hint="default" w:ascii="Times New Roman" w:hAnsi="Times New Roman" w:cs="Times New Roman" w:eastAsiaTheme="majorEastAsia"/>
          <w:i w:val="0"/>
          <w:iCs w:val="0"/>
          <w:caps w:val="0"/>
          <w:color w:val="auto"/>
          <w:spacing w:val="0"/>
          <w:sz w:val="24"/>
          <w:szCs w:val="24"/>
          <w:highlight w:val="none"/>
          <w:shd w:val="clear" w:fill="FFFFFF"/>
        </w:rPr>
      </w:pPr>
      <w:r>
        <w:rPr>
          <w:rFonts w:hint="default" w:ascii="Times New Roman" w:hAnsi="Times New Roman" w:cs="Times New Roman" w:eastAsiaTheme="majorEastAsia"/>
          <w:i w:val="0"/>
          <w:iCs w:val="0"/>
          <w:caps w:val="0"/>
          <w:color w:val="auto"/>
          <w:spacing w:val="0"/>
          <w:sz w:val="24"/>
          <w:szCs w:val="24"/>
          <w:highlight w:val="none"/>
          <w:shd w:val="clear" w:fill="FFFFFF"/>
        </w:rPr>
        <w:t>一是依法依规建设。二是不涉及自然保护区核心区、缓冲区。三是生态环境保护和安全生产管理措施到位。</w:t>
      </w:r>
    </w:p>
    <w:p>
      <w:pPr>
        <w:pStyle w:val="4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right="0" w:firstLine="480" w:firstLineChars="200"/>
        <w:jc w:val="both"/>
        <w:textAlignment w:val="auto"/>
        <w:rPr>
          <w:rFonts w:hint="default" w:ascii="Times New Roman" w:hAnsi="Times New Roman" w:cs="Times New Roman" w:eastAsiaTheme="majorEastAsia"/>
          <w:i w:val="0"/>
          <w:iCs w:val="0"/>
          <w:caps w:val="0"/>
          <w:color w:val="auto"/>
          <w:spacing w:val="0"/>
          <w:sz w:val="24"/>
          <w:szCs w:val="24"/>
          <w:highlight w:val="none"/>
          <w:shd w:val="clear" w:fill="FFFFFF"/>
          <w:lang w:eastAsia="zh-CN"/>
        </w:rPr>
      </w:pP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与上述三种情况比对：</w:t>
      </w:r>
    </w:p>
    <w:p>
      <w:pPr>
        <w:pStyle w:val="4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right="0" w:firstLine="480" w:firstLineChars="200"/>
        <w:jc w:val="both"/>
        <w:textAlignment w:val="auto"/>
        <w:rPr>
          <w:rFonts w:hint="default" w:ascii="Times New Roman" w:hAnsi="Times New Roman" w:cs="Times New Roman" w:eastAsiaTheme="majorEastAsia"/>
          <w:i w:val="0"/>
          <w:iCs w:val="0"/>
          <w:caps w:val="0"/>
          <w:color w:val="auto"/>
          <w:spacing w:val="0"/>
          <w:sz w:val="24"/>
          <w:szCs w:val="24"/>
          <w:highlight w:val="none"/>
          <w:shd w:val="clear" w:fill="FFFFFF"/>
          <w:lang w:eastAsia="zh-CN"/>
        </w:rPr>
      </w:pP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fldChar w:fldCharType="begin"/>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instrText xml:space="preserve"> = 1 \* GB3 \* MERGEFORMAT </w:instrTex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fldChar w:fldCharType="separate"/>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①</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fldChar w:fldCharType="end"/>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退出类：本项目不在自然保护区核心区、缓冲区（未分区的自然保护区视为核心区和缓冲区）范围内；本项目</w:t>
      </w:r>
      <w:r>
        <w:rPr>
          <w:rFonts w:hint="eastAsia" w:ascii="Times New Roman" w:hAnsi="Times New Roman" w:cs="Times New Roman" w:eastAsiaTheme="majorEastAsia"/>
          <w:i w:val="0"/>
          <w:iCs w:val="0"/>
          <w:caps w:val="0"/>
          <w:color w:val="auto"/>
          <w:spacing w:val="0"/>
          <w:sz w:val="24"/>
          <w:szCs w:val="24"/>
          <w:highlight w:val="none"/>
          <w:shd w:val="clear" w:fill="FFFFFF"/>
          <w:lang w:eastAsia="zh-CN"/>
        </w:rPr>
        <w:t>始建</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于</w:t>
      </w:r>
      <w:r>
        <w:rPr>
          <w:rFonts w:hint="eastAsia" w:ascii="Times New Roman" w:hAnsi="Times New Roman" w:cs="Times New Roman" w:eastAsiaTheme="majorEastAsia"/>
          <w:i w:val="0"/>
          <w:iCs w:val="0"/>
          <w:caps w:val="0"/>
          <w:color w:val="auto"/>
          <w:spacing w:val="0"/>
          <w:sz w:val="24"/>
          <w:szCs w:val="24"/>
          <w:highlight w:val="none"/>
          <w:shd w:val="clear" w:fill="FFFFFF"/>
          <w:lang w:val="en-US" w:eastAsia="zh-CN"/>
        </w:rPr>
        <w:t>2005</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年，</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1988年以前河北省小型项目</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尚未执行环境影响评价制度，各种手续齐全（我国尚未执行环境影响评价制度）不属于违法违规建设且按照法律法规可以整改纠正到位。黎河内无珍稀特有水生生物。引水期为引滦入津输水期间，不影响生活、生产、生态用水。本项目为橡胶坝，引滦入津输水期正常</w:t>
      </w:r>
      <w:r>
        <w:rPr>
          <w:rFonts w:hint="default" w:ascii="Times New Roman" w:hAnsi="Times New Roman" w:cs="Times New Roman" w:eastAsiaTheme="majorEastAsia"/>
          <w:i w:val="0"/>
          <w:iCs w:val="0"/>
          <w:caps w:val="0"/>
          <w:color w:val="auto"/>
          <w:spacing w:val="0"/>
          <w:sz w:val="24"/>
          <w:szCs w:val="24"/>
          <w:highlight w:val="none"/>
          <w:shd w:val="clear" w:fill="FFFFFF"/>
        </w:rPr>
        <w:t>发电。</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故不属于</w:t>
      </w:r>
      <w:r>
        <w:rPr>
          <w:rFonts w:hint="default" w:ascii="Times New Roman" w:hAnsi="Times New Roman" w:cs="Times New Roman" w:eastAsiaTheme="majorEastAsia"/>
          <w:i w:val="0"/>
          <w:iCs w:val="0"/>
          <w:caps w:val="0"/>
          <w:color w:val="auto"/>
          <w:spacing w:val="0"/>
          <w:sz w:val="24"/>
          <w:szCs w:val="24"/>
          <w:highlight w:val="none"/>
          <w:shd w:val="clear" w:fill="FFFFFF"/>
        </w:rPr>
        <w:t>退出类</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p>
    <w:p>
      <w:pPr>
        <w:pStyle w:val="4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right="0" w:firstLine="480" w:firstLineChars="200"/>
        <w:jc w:val="both"/>
        <w:textAlignment w:val="auto"/>
        <w:rPr>
          <w:rFonts w:hint="default" w:ascii="Times New Roman" w:hAnsi="Times New Roman" w:cs="Times New Roman" w:eastAsiaTheme="majorEastAsia"/>
          <w:i w:val="0"/>
          <w:iCs w:val="0"/>
          <w:caps w:val="0"/>
          <w:color w:val="auto"/>
          <w:spacing w:val="0"/>
          <w:sz w:val="24"/>
          <w:szCs w:val="24"/>
          <w:highlight w:val="none"/>
          <w:shd w:val="clear" w:fill="FFFFFF"/>
          <w:lang w:eastAsia="zh-CN"/>
        </w:rPr>
      </w:pP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fldChar w:fldCharType="begin"/>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instrText xml:space="preserve"> = 2 \* GB3 \* MERGEFORMAT </w:instrTex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fldChar w:fldCharType="separate"/>
      </w:r>
      <w:r>
        <w:rPr>
          <w:rFonts w:hint="default" w:ascii="Times New Roman" w:hAnsi="Times New Roman" w:cs="Times New Roman"/>
          <w:color w:val="auto"/>
          <w:highlight w:val="none"/>
        </w:rPr>
        <w:t>②</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fldChar w:fldCharType="end"/>
      </w:r>
      <w:r>
        <w:rPr>
          <w:rFonts w:hint="default" w:ascii="Times New Roman" w:hAnsi="Times New Roman" w:cs="Times New Roman" w:eastAsiaTheme="majorEastAsia"/>
          <w:i w:val="0"/>
          <w:iCs w:val="0"/>
          <w:caps w:val="0"/>
          <w:color w:val="auto"/>
          <w:spacing w:val="0"/>
          <w:sz w:val="24"/>
          <w:szCs w:val="24"/>
          <w:highlight w:val="none"/>
          <w:shd w:val="clear" w:fill="FFFFFF"/>
        </w:rPr>
        <w:t>整改类</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：黎河</w:t>
      </w:r>
      <w:r>
        <w:rPr>
          <w:rFonts w:hint="default" w:ascii="Times New Roman" w:hAnsi="Times New Roman" w:cs="Times New Roman" w:eastAsiaTheme="majorEastAsia"/>
          <w:i w:val="0"/>
          <w:iCs w:val="0"/>
          <w:caps w:val="0"/>
          <w:color w:val="auto"/>
          <w:spacing w:val="0"/>
          <w:sz w:val="24"/>
          <w:szCs w:val="24"/>
          <w:highlight w:val="none"/>
          <w:shd w:val="clear" w:fill="FFFFFF"/>
        </w:rPr>
        <w:t>河段水质达标。</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橡胶坝不影响</w:t>
      </w:r>
      <w:r>
        <w:rPr>
          <w:rFonts w:hint="default" w:ascii="Times New Roman" w:hAnsi="Times New Roman" w:cs="Times New Roman" w:eastAsiaTheme="majorEastAsia"/>
          <w:i w:val="0"/>
          <w:iCs w:val="0"/>
          <w:caps w:val="0"/>
          <w:color w:val="auto"/>
          <w:spacing w:val="0"/>
          <w:sz w:val="24"/>
          <w:szCs w:val="24"/>
          <w:highlight w:val="none"/>
          <w:shd w:val="clear" w:fill="FFFFFF"/>
        </w:rPr>
        <w:t>河流连通性</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。橡胶坝不</w:t>
      </w:r>
      <w:r>
        <w:rPr>
          <w:rFonts w:hint="default" w:ascii="Times New Roman" w:hAnsi="Times New Roman" w:cs="Times New Roman" w:eastAsiaTheme="majorEastAsia"/>
          <w:i w:val="0"/>
          <w:iCs w:val="0"/>
          <w:caps w:val="0"/>
          <w:color w:val="auto"/>
          <w:spacing w:val="0"/>
          <w:sz w:val="24"/>
          <w:szCs w:val="24"/>
          <w:highlight w:val="none"/>
          <w:shd w:val="clear" w:fill="FFFFFF"/>
        </w:rPr>
        <w:t>存在安全隐患。</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水电站</w:t>
      </w:r>
      <w:r>
        <w:rPr>
          <w:rFonts w:hint="default" w:ascii="Times New Roman" w:hAnsi="Times New Roman" w:cs="Times New Roman" w:eastAsiaTheme="majorEastAsia"/>
          <w:i w:val="0"/>
          <w:iCs w:val="0"/>
          <w:caps w:val="0"/>
          <w:color w:val="auto"/>
          <w:spacing w:val="0"/>
          <w:sz w:val="24"/>
          <w:szCs w:val="24"/>
          <w:highlight w:val="none"/>
          <w:shd w:val="clear" w:fill="FFFFFF"/>
        </w:rPr>
        <w:t>设施设备符合安全标准。</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不属于</w:t>
      </w:r>
      <w:r>
        <w:rPr>
          <w:rFonts w:hint="default" w:ascii="Times New Roman" w:hAnsi="Times New Roman" w:cs="Times New Roman" w:eastAsiaTheme="majorEastAsia"/>
          <w:i w:val="0"/>
          <w:iCs w:val="0"/>
          <w:caps w:val="0"/>
          <w:color w:val="auto"/>
          <w:spacing w:val="0"/>
          <w:sz w:val="24"/>
          <w:szCs w:val="24"/>
          <w:highlight w:val="none"/>
          <w:shd w:val="clear" w:fill="FFFFFF"/>
        </w:rPr>
        <w:t>水库。</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故不属于整改类。</w:t>
      </w:r>
    </w:p>
    <w:p>
      <w:pPr>
        <w:pStyle w:val="4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right="0" w:firstLine="480" w:firstLineChars="200"/>
        <w:jc w:val="both"/>
        <w:textAlignment w:val="auto"/>
        <w:rPr>
          <w:rFonts w:hint="default" w:ascii="Times New Roman" w:hAnsi="Times New Roman" w:cs="Times New Roman" w:eastAsiaTheme="majorEastAsia"/>
          <w:i w:val="0"/>
          <w:iCs w:val="0"/>
          <w:caps w:val="0"/>
          <w:color w:val="auto"/>
          <w:spacing w:val="0"/>
          <w:sz w:val="24"/>
          <w:szCs w:val="24"/>
          <w:highlight w:val="none"/>
          <w:shd w:val="clear" w:fill="FFFFFF"/>
        </w:rPr>
      </w:pP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fldChar w:fldCharType="begin"/>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instrText xml:space="preserve"> = 3 \* GB3 \* MERGEFORMAT </w:instrTex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fldChar w:fldCharType="separate"/>
      </w:r>
      <w:r>
        <w:rPr>
          <w:rFonts w:hint="default" w:ascii="Times New Roman" w:hAnsi="Times New Roman" w:cs="Times New Roman"/>
          <w:color w:val="auto"/>
          <w:highlight w:val="none"/>
        </w:rPr>
        <w:t>③</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fldChar w:fldCharType="end"/>
      </w:r>
      <w:r>
        <w:rPr>
          <w:rFonts w:hint="default" w:ascii="Times New Roman" w:hAnsi="Times New Roman" w:cs="Times New Roman" w:eastAsiaTheme="majorEastAsia"/>
          <w:i w:val="0"/>
          <w:iCs w:val="0"/>
          <w:caps w:val="0"/>
          <w:color w:val="auto"/>
          <w:spacing w:val="0"/>
          <w:sz w:val="24"/>
          <w:szCs w:val="24"/>
          <w:highlight w:val="none"/>
          <w:shd w:val="clear" w:fill="FFFFFF"/>
        </w:rPr>
        <w:t>保留类</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：1998年《建设项目环境保护管理条例》颁布</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fldChar w:fldCharType="begin"/>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instrText xml:space="preserve"> HYPERLINK "http://www.so.com/s?q=%E4%B9%8B%E5%89%8D&amp;ie=utf-8&amp;src=internal_wenda_recommend_textn" \t "https://wenda.so.com/q/_blank" </w:instrTex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fldChar w:fldCharType="separate"/>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之前</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fldChar w:fldCharType="end"/>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，对于具体的建设项目是否需要进行环评规定不够明确，本项目履行了立项、验收等手续，并通过河北省水务厅验收，且环保局出具了验收意见，故属于</w:t>
      </w:r>
      <w:r>
        <w:rPr>
          <w:rFonts w:hint="default" w:ascii="Times New Roman" w:hAnsi="Times New Roman" w:cs="Times New Roman" w:eastAsiaTheme="majorEastAsia"/>
          <w:i w:val="0"/>
          <w:iCs w:val="0"/>
          <w:caps w:val="0"/>
          <w:color w:val="auto"/>
          <w:spacing w:val="0"/>
          <w:sz w:val="24"/>
          <w:szCs w:val="24"/>
          <w:highlight w:val="none"/>
          <w:shd w:val="clear" w:fill="FFFFFF"/>
        </w:rPr>
        <w:t>依法依规建设。</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本项目</w:t>
      </w:r>
      <w:r>
        <w:rPr>
          <w:rFonts w:hint="default" w:ascii="Times New Roman" w:hAnsi="Times New Roman" w:cs="Times New Roman" w:eastAsiaTheme="majorEastAsia"/>
          <w:i w:val="0"/>
          <w:iCs w:val="0"/>
          <w:caps w:val="0"/>
          <w:color w:val="auto"/>
          <w:spacing w:val="0"/>
          <w:sz w:val="24"/>
          <w:szCs w:val="24"/>
          <w:highlight w:val="none"/>
          <w:shd w:val="clear" w:fill="FFFFFF"/>
        </w:rPr>
        <w:t>不涉及自然保护区核心区、缓冲区。生态环境保护和安全生产管理措施到位。</w:t>
      </w:r>
    </w:p>
    <w:p>
      <w:pPr>
        <w:spacing w:line="480" w:lineRule="exact"/>
        <w:ind w:firstLine="480"/>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pP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由上述法律法规可知，</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本项目</w:t>
      </w:r>
      <w:r>
        <w:rPr>
          <w:rFonts w:hint="eastAsia" w:cs="Times New Roman" w:eastAsiaTheme="majorEastAsia"/>
          <w:i w:val="0"/>
          <w:iCs w:val="0"/>
          <w:caps w:val="0"/>
          <w:color w:val="auto"/>
          <w:spacing w:val="0"/>
          <w:sz w:val="24"/>
          <w:szCs w:val="24"/>
          <w:highlight w:val="none"/>
          <w:shd w:val="clear" w:fill="FFFFFF"/>
          <w:lang w:eastAsia="zh-CN"/>
        </w:rPr>
        <w:t>始</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建</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于</w:t>
      </w:r>
      <w:r>
        <w:rPr>
          <w:rFonts w:hint="eastAsia" w:cs="Times New Roman" w:eastAsiaTheme="majorEastAsia"/>
          <w:i w:val="0"/>
          <w:iCs w:val="0"/>
          <w:caps w:val="0"/>
          <w:color w:val="auto"/>
          <w:spacing w:val="0"/>
          <w:sz w:val="24"/>
          <w:szCs w:val="24"/>
          <w:highlight w:val="none"/>
          <w:shd w:val="clear" w:fill="FFFFFF"/>
          <w:lang w:val="en-US" w:eastAsia="zh-CN"/>
        </w:rPr>
        <w:t>2005</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年</w:t>
      </w:r>
      <w:r>
        <w:rPr>
          <w:snapToGrid w:val="0"/>
          <w:color w:val="auto"/>
          <w:kern w:val="0"/>
          <w:sz w:val="24"/>
          <w:highlight w:val="none"/>
        </w:rPr>
        <w:t>，</w:t>
      </w:r>
      <w:r>
        <w:rPr>
          <w:rFonts w:hint="eastAsia"/>
          <w:snapToGrid w:val="0"/>
          <w:color w:val="auto"/>
          <w:kern w:val="0"/>
          <w:sz w:val="24"/>
          <w:highlight w:val="none"/>
          <w:lang w:val="en-US" w:eastAsia="zh-CN"/>
        </w:rPr>
        <w:t>2006年10月投产</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w:t>
      </w:r>
      <w:r>
        <w:rPr>
          <w:rFonts w:hint="eastAsia" w:cs="Times New Roman" w:eastAsiaTheme="majorEastAsia"/>
          <w:i w:val="0"/>
          <w:iCs w:val="0"/>
          <w:caps w:val="0"/>
          <w:color w:val="auto"/>
          <w:spacing w:val="0"/>
          <w:sz w:val="24"/>
          <w:szCs w:val="24"/>
          <w:highlight w:val="none"/>
          <w:shd w:val="clear" w:fill="FFFFFF"/>
          <w:lang w:val="en-US" w:eastAsia="zh-CN"/>
        </w:rPr>
        <w:t>2012年8月通过河北省水利厅竣工验收，</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已经安全运行</w:t>
      </w:r>
      <w:r>
        <w:rPr>
          <w:rFonts w:hint="eastAsia" w:cs="Times New Roman" w:eastAsiaTheme="majorEastAsia"/>
          <w:i w:val="0"/>
          <w:iCs w:val="0"/>
          <w:caps w:val="0"/>
          <w:color w:val="auto"/>
          <w:spacing w:val="0"/>
          <w:sz w:val="24"/>
          <w:szCs w:val="24"/>
          <w:highlight w:val="none"/>
          <w:shd w:val="clear" w:fill="FFFFFF"/>
          <w:lang w:val="en-US" w:eastAsia="zh-CN"/>
        </w:rPr>
        <w:t>17</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年，</w:t>
      </w:r>
      <w:r>
        <w:rPr>
          <w:rFonts w:hint="default" w:ascii="Times New Roman" w:hAnsi="Times New Roman" w:cs="Times New Roman" w:eastAsiaTheme="majorEastAsia"/>
          <w:i w:val="0"/>
          <w:iCs w:val="0"/>
          <w:caps w:val="0"/>
          <w:color w:val="auto"/>
          <w:spacing w:val="0"/>
          <w:sz w:val="24"/>
          <w:szCs w:val="24"/>
          <w:highlight w:val="none"/>
          <w:shd w:val="clear" w:fill="FFFFFF"/>
        </w:rPr>
        <w:t>不涉及自然保护区核心区、缓冲区。生态环境保护和安全生产管理措施到位</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，且《</w:t>
      </w:r>
      <w:r>
        <w:rPr>
          <w:rFonts w:hint="default" w:ascii="Times New Roman" w:hAnsi="Times New Roman" w:cs="Times New Roman" w:eastAsiaTheme="majorEastAsia"/>
          <w:i w:val="0"/>
          <w:iCs w:val="0"/>
          <w:caps w:val="0"/>
          <w:color w:val="auto"/>
          <w:spacing w:val="0"/>
          <w:sz w:val="24"/>
          <w:szCs w:val="24"/>
          <w:highlight w:val="none"/>
          <w:shd w:val="clear" w:fill="FFFFFF"/>
        </w:rPr>
        <w:t>关于进一步做好</w:t>
      </w:r>
      <w:r>
        <w:rPr>
          <w:rFonts w:hint="default" w:ascii="Times New Roman" w:hAnsi="Times New Roman" w:cs="Times New Roman" w:eastAsiaTheme="majorEastAsia"/>
          <w:i w:val="0"/>
          <w:iCs w:val="0"/>
          <w:caps w:val="0"/>
          <w:color w:val="auto"/>
          <w:spacing w:val="0"/>
          <w:sz w:val="24"/>
          <w:szCs w:val="24"/>
          <w:highlight w:val="none"/>
          <w:shd w:val="clear" w:fill="FFFFFF"/>
        </w:rPr>
        <w:fldChar w:fldCharType="begin"/>
      </w:r>
      <w:r>
        <w:rPr>
          <w:rFonts w:hint="default" w:ascii="Times New Roman" w:hAnsi="Times New Roman" w:cs="Times New Roman" w:eastAsiaTheme="majorEastAsia"/>
          <w:i w:val="0"/>
          <w:iCs w:val="0"/>
          <w:caps w:val="0"/>
          <w:color w:val="auto"/>
          <w:spacing w:val="0"/>
          <w:sz w:val="24"/>
          <w:szCs w:val="24"/>
          <w:highlight w:val="none"/>
          <w:shd w:val="clear" w:fill="FFFFFF"/>
        </w:rPr>
        <w:instrText xml:space="preserve"> HYPERLINK "https://news.bjx.com.cn/zt.asp?topic=%d0%a1%cb%ae%b5%e7" \t "http://www.hydropower.org.cn/_blank" </w:instrText>
      </w:r>
      <w:r>
        <w:rPr>
          <w:rFonts w:hint="default" w:ascii="Times New Roman" w:hAnsi="Times New Roman" w:cs="Times New Roman" w:eastAsiaTheme="majorEastAsia"/>
          <w:i w:val="0"/>
          <w:iCs w:val="0"/>
          <w:caps w:val="0"/>
          <w:color w:val="auto"/>
          <w:spacing w:val="0"/>
          <w:sz w:val="24"/>
          <w:szCs w:val="24"/>
          <w:highlight w:val="none"/>
          <w:shd w:val="clear" w:fill="FFFFFF"/>
        </w:rPr>
        <w:fldChar w:fldCharType="separate"/>
      </w:r>
      <w:r>
        <w:rPr>
          <w:rFonts w:hint="default" w:ascii="Times New Roman" w:hAnsi="Times New Roman" w:cs="Times New Roman" w:eastAsiaTheme="majorEastAsia"/>
          <w:i w:val="0"/>
          <w:iCs w:val="0"/>
          <w:caps w:val="0"/>
          <w:color w:val="auto"/>
          <w:spacing w:val="0"/>
          <w:sz w:val="24"/>
          <w:szCs w:val="24"/>
          <w:highlight w:val="none"/>
          <w:shd w:val="clear" w:fill="FFFFFF"/>
        </w:rPr>
        <w:t>小水电</w:t>
      </w:r>
      <w:r>
        <w:rPr>
          <w:rFonts w:hint="default" w:ascii="Times New Roman" w:hAnsi="Times New Roman" w:cs="Times New Roman" w:eastAsiaTheme="majorEastAsia"/>
          <w:i w:val="0"/>
          <w:iCs w:val="0"/>
          <w:caps w:val="0"/>
          <w:color w:val="auto"/>
          <w:spacing w:val="0"/>
          <w:sz w:val="24"/>
          <w:szCs w:val="24"/>
          <w:highlight w:val="none"/>
          <w:shd w:val="clear" w:fill="FFFFFF"/>
        </w:rPr>
        <w:fldChar w:fldCharType="end"/>
      </w:r>
      <w:r>
        <w:rPr>
          <w:rFonts w:hint="default" w:ascii="Times New Roman" w:hAnsi="Times New Roman" w:cs="Times New Roman" w:eastAsiaTheme="majorEastAsia"/>
          <w:i w:val="0"/>
          <w:iCs w:val="0"/>
          <w:caps w:val="0"/>
          <w:color w:val="auto"/>
          <w:spacing w:val="0"/>
          <w:sz w:val="24"/>
          <w:szCs w:val="24"/>
          <w:highlight w:val="none"/>
          <w:shd w:val="clear" w:fill="FFFFFF"/>
        </w:rPr>
        <w:t>分类整改工作的意见</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水电〔2021〕397号</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b/>
          <w:bCs/>
          <w:i w:val="0"/>
          <w:iCs w:val="0"/>
          <w:caps w:val="0"/>
          <w:color w:val="auto"/>
          <w:spacing w:val="0"/>
          <w:sz w:val="24"/>
          <w:szCs w:val="24"/>
          <w:highlight w:val="none"/>
          <w:shd w:val="clear" w:fill="FFFFFF"/>
          <w:lang w:eastAsia="zh-CN"/>
        </w:rPr>
        <w:t>退出类、整改类、保留类均不包括位于生态保护红线范围内的项目，本项目属于保留类项目。</w:t>
      </w:r>
    </w:p>
    <w:p>
      <w:pPr>
        <w:spacing w:line="480" w:lineRule="exact"/>
        <w:ind w:firstLine="482"/>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（4）黎河河道内保留橡胶坝相关依据</w:t>
      </w:r>
    </w:p>
    <w:p>
      <w:pPr>
        <w:spacing w:line="480" w:lineRule="exact"/>
        <w:ind w:firstLine="482"/>
        <w:rPr>
          <w:rFonts w:hint="default" w:ascii="Times New Roman" w:hAnsi="Times New Roman" w:cs="Times New Roman"/>
          <w:color w:val="auto"/>
          <w:sz w:val="24"/>
          <w:highlight w:val="none"/>
          <w:lang w:val="en-US" w:eastAsia="zh-CN"/>
        </w:rPr>
      </w:pPr>
      <w:bookmarkStart w:id="30" w:name="OLE_LINK1"/>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本项目于本项目</w:t>
      </w:r>
      <w:r>
        <w:rPr>
          <w:rFonts w:hint="eastAsia" w:cs="Times New Roman" w:eastAsiaTheme="majorEastAsia"/>
          <w:i w:val="0"/>
          <w:iCs w:val="0"/>
          <w:caps w:val="0"/>
          <w:color w:val="auto"/>
          <w:spacing w:val="0"/>
          <w:sz w:val="24"/>
          <w:szCs w:val="24"/>
          <w:highlight w:val="none"/>
          <w:shd w:val="clear" w:fill="FFFFFF"/>
          <w:lang w:eastAsia="zh-CN"/>
        </w:rPr>
        <w:t>始</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建</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于</w:t>
      </w:r>
      <w:r>
        <w:rPr>
          <w:rFonts w:hint="eastAsia" w:cs="Times New Roman" w:eastAsiaTheme="majorEastAsia"/>
          <w:i w:val="0"/>
          <w:iCs w:val="0"/>
          <w:caps w:val="0"/>
          <w:color w:val="auto"/>
          <w:spacing w:val="0"/>
          <w:sz w:val="24"/>
          <w:szCs w:val="24"/>
          <w:highlight w:val="none"/>
          <w:shd w:val="clear" w:fill="FFFFFF"/>
          <w:lang w:val="en-US" w:eastAsia="zh-CN"/>
        </w:rPr>
        <w:t>2005</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年</w:t>
      </w:r>
      <w:r>
        <w:rPr>
          <w:snapToGrid w:val="0"/>
          <w:color w:val="auto"/>
          <w:kern w:val="0"/>
          <w:sz w:val="24"/>
          <w:highlight w:val="none"/>
        </w:rPr>
        <w:t>，</w:t>
      </w:r>
      <w:r>
        <w:rPr>
          <w:rFonts w:hint="eastAsia"/>
          <w:snapToGrid w:val="0"/>
          <w:color w:val="auto"/>
          <w:kern w:val="0"/>
          <w:sz w:val="24"/>
          <w:highlight w:val="none"/>
          <w:lang w:val="en-US" w:eastAsia="zh-CN"/>
        </w:rPr>
        <w:t>2006年10月投产</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，项目</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分为</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2部分，即水电站和橡胶坝，其中水橡胶坝位于黎河河道内。</w:t>
      </w:r>
    </w:p>
    <w:p>
      <w:pPr>
        <w:spacing w:line="480" w:lineRule="exact"/>
        <w:ind w:firstLine="482"/>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fldChar w:fldCharType="begin"/>
      </w:r>
      <w:r>
        <w:rPr>
          <w:rFonts w:hint="default" w:ascii="Times New Roman" w:hAnsi="Times New Roman" w:cs="Times New Roman"/>
          <w:color w:val="auto"/>
          <w:sz w:val="24"/>
          <w:highlight w:val="none"/>
          <w:lang w:val="en-US" w:eastAsia="zh-CN"/>
        </w:rPr>
        <w:instrText xml:space="preserve"> = 1 \* GB3 \* MERGEFORMAT </w:instrText>
      </w:r>
      <w:r>
        <w:rPr>
          <w:rFonts w:hint="default" w:ascii="Times New Roman" w:hAnsi="Times New Roman" w:cs="Times New Roman"/>
          <w:color w:val="auto"/>
          <w:sz w:val="24"/>
          <w:highlight w:val="none"/>
          <w:lang w:val="en-US" w:eastAsia="zh-CN"/>
        </w:rPr>
        <w:fldChar w:fldCharType="separate"/>
      </w:r>
      <w:r>
        <w:rPr>
          <w:rFonts w:hint="default" w:ascii="Times New Roman" w:hAnsi="Times New Roman" w:cs="Times New Roman"/>
          <w:color w:val="auto"/>
          <w:highlight w:val="none"/>
        </w:rPr>
        <w:t>①</w:t>
      </w:r>
      <w:r>
        <w:rPr>
          <w:rFonts w:hint="default" w:ascii="Times New Roman" w:hAnsi="Times New Roman" w:cs="Times New Roman"/>
          <w:color w:val="auto"/>
          <w:sz w:val="24"/>
          <w:highlight w:val="none"/>
          <w:lang w:val="en-US" w:eastAsia="zh-CN"/>
        </w:rPr>
        <w:fldChar w:fldCharType="end"/>
      </w:r>
      <w:r>
        <w:rPr>
          <w:rFonts w:hint="default" w:ascii="Times New Roman" w:hAnsi="Times New Roman" w:cs="Times New Roman"/>
          <w:color w:val="auto"/>
          <w:sz w:val="24"/>
          <w:highlight w:val="none"/>
          <w:lang w:val="en-US" w:eastAsia="zh-CN"/>
        </w:rPr>
        <w:t>生态保护红线划定时间</w:t>
      </w:r>
    </w:p>
    <w:p>
      <w:pPr>
        <w:spacing w:line="480" w:lineRule="exact"/>
        <w:ind w:firstLine="482"/>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val="en-US" w:eastAsia="zh-CN"/>
        </w:rPr>
        <w:t>2017年</w:t>
      </w:r>
      <w:r>
        <w:rPr>
          <w:rFonts w:hint="default" w:ascii="Times New Roman" w:hAnsi="Times New Roman" w:cs="Times New Roman"/>
          <w:color w:val="auto"/>
          <w:sz w:val="24"/>
          <w:highlight w:val="none"/>
          <w:lang w:eastAsia="zh-CN"/>
        </w:rPr>
        <w:t>2月7日</w:t>
      </w:r>
      <w:bookmarkEnd w:id="30"/>
      <w:r>
        <w:rPr>
          <w:rFonts w:hint="default" w:ascii="Times New Roman" w:hAnsi="Times New Roman" w:cs="Times New Roman"/>
          <w:color w:val="auto"/>
          <w:sz w:val="24"/>
          <w:highlight w:val="none"/>
          <w:lang w:eastAsia="zh-CN"/>
        </w:rPr>
        <w:t>，中共中央办公厅 国务院办公厅印发《关于划定并严守生态保护红线的若干意见》，开始划定生态保护红线。</w:t>
      </w:r>
      <w:r>
        <w:rPr>
          <w:rFonts w:hint="default" w:ascii="Times New Roman" w:hAnsi="Times New Roman" w:eastAsia="宋体" w:cs="Times New Roman"/>
          <w:color w:val="auto"/>
          <w:sz w:val="24"/>
          <w:szCs w:val="24"/>
          <w:highlight w:val="none"/>
        </w:rPr>
        <w:t>中共河北省委办公厅 河北省人民政府办公厅印发〈关于划定并严守生态保护红线的实施意见〉的通知》（冀办字〔2017〕36号）</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highlight w:val="none"/>
          <w:lang w:eastAsia="zh-CN"/>
        </w:rPr>
        <w:t>2018年2月，《河北省生态保护红线划定方案》获国务院批准，全省生态保护红线总面积4.05万平方公里，占全省国土面积的20.70%，其中，陆域生态保护红线面积3.86万平方公里，占全省陆域国土面积的20.49%，海洋生态保护红线面积1880平方公里，占全省管辖海域面积的26.02%。2018年6月29日，河北省人民政府印发关于发布《河北省生态保护红线》的通知（冀政字〔2018〕23号），其中黎河划定为生态保护红线。</w:t>
      </w:r>
    </w:p>
    <w:p>
      <w:pPr>
        <w:spacing w:line="480" w:lineRule="exact"/>
        <w:ind w:firstLine="482"/>
        <w:rPr>
          <w:rFonts w:hint="default" w:ascii="Times New Roman" w:hAnsi="Times New Roman" w:cs="Times New Roman"/>
          <w:b w:val="0"/>
          <w:bCs w:val="0"/>
          <w:color w:val="auto"/>
          <w:sz w:val="24"/>
          <w:highlight w:val="none"/>
          <w:lang w:val="en-US" w:eastAsia="zh-CN"/>
        </w:rPr>
      </w:pPr>
      <w:r>
        <w:rPr>
          <w:rFonts w:hint="default" w:ascii="Times New Roman" w:hAnsi="Times New Roman" w:cs="Times New Roman"/>
          <w:b w:val="0"/>
          <w:bCs w:val="0"/>
          <w:color w:val="auto"/>
          <w:sz w:val="24"/>
          <w:highlight w:val="none"/>
          <w:lang w:val="en-US" w:eastAsia="zh-CN"/>
        </w:rPr>
        <w:fldChar w:fldCharType="begin"/>
      </w:r>
      <w:r>
        <w:rPr>
          <w:rFonts w:hint="default" w:ascii="Times New Roman" w:hAnsi="Times New Roman" w:cs="Times New Roman"/>
          <w:b w:val="0"/>
          <w:bCs w:val="0"/>
          <w:color w:val="auto"/>
          <w:sz w:val="24"/>
          <w:highlight w:val="none"/>
          <w:lang w:val="en-US" w:eastAsia="zh-CN"/>
        </w:rPr>
        <w:instrText xml:space="preserve"> = 2 \* GB3 \* MERGEFORMAT </w:instrText>
      </w:r>
      <w:r>
        <w:rPr>
          <w:rFonts w:hint="default" w:ascii="Times New Roman" w:hAnsi="Times New Roman" w:cs="Times New Roman"/>
          <w:b w:val="0"/>
          <w:bCs w:val="0"/>
          <w:color w:val="auto"/>
          <w:sz w:val="24"/>
          <w:highlight w:val="none"/>
          <w:lang w:val="en-US" w:eastAsia="zh-CN"/>
        </w:rPr>
        <w:fldChar w:fldCharType="separate"/>
      </w:r>
      <w:r>
        <w:rPr>
          <w:rFonts w:hint="default" w:ascii="Times New Roman" w:hAnsi="Times New Roman" w:cs="Times New Roman"/>
          <w:b w:val="0"/>
          <w:bCs w:val="0"/>
          <w:color w:val="auto"/>
          <w:highlight w:val="none"/>
        </w:rPr>
        <w:t>②</w:t>
      </w:r>
      <w:r>
        <w:rPr>
          <w:rFonts w:hint="default" w:ascii="Times New Roman" w:hAnsi="Times New Roman" w:cs="Times New Roman"/>
          <w:b w:val="0"/>
          <w:bCs w:val="0"/>
          <w:color w:val="auto"/>
          <w:sz w:val="24"/>
          <w:highlight w:val="none"/>
          <w:lang w:val="en-US" w:eastAsia="zh-CN"/>
        </w:rPr>
        <w:fldChar w:fldCharType="end"/>
      </w:r>
      <w:r>
        <w:rPr>
          <w:rFonts w:hint="default" w:ascii="Times New Roman" w:hAnsi="Times New Roman" w:cs="Times New Roman"/>
          <w:b w:val="0"/>
          <w:bCs w:val="0"/>
          <w:color w:val="auto"/>
          <w:sz w:val="24"/>
          <w:highlight w:val="none"/>
          <w:lang w:val="en-US" w:eastAsia="zh-CN"/>
        </w:rPr>
        <w:t>生态保护红线内原有项目保留条件</w:t>
      </w:r>
    </w:p>
    <w:p>
      <w:pPr>
        <w:pStyle w:val="4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right="0" w:firstLine="480" w:firstLineChars="200"/>
        <w:jc w:val="both"/>
        <w:textAlignment w:val="auto"/>
        <w:rPr>
          <w:rFonts w:hint="default" w:ascii="Times New Roman" w:hAnsi="Times New Roman" w:cs="Times New Roman" w:eastAsiaTheme="majorEastAsia"/>
          <w:b w:val="0"/>
          <w:bCs w:val="0"/>
          <w:i w:val="0"/>
          <w:iCs w:val="0"/>
          <w:caps w:val="0"/>
          <w:color w:val="auto"/>
          <w:spacing w:val="0"/>
          <w:sz w:val="24"/>
          <w:szCs w:val="24"/>
          <w:highlight w:val="none"/>
          <w:shd w:val="clear" w:fill="FFFFFF"/>
          <w:lang w:val="en-US" w:eastAsia="zh-CN"/>
        </w:rPr>
      </w:pPr>
      <w:r>
        <w:rPr>
          <w:rFonts w:hint="default" w:ascii="Times New Roman" w:hAnsi="Times New Roman" w:cs="Times New Roman"/>
          <w:b w:val="0"/>
          <w:bCs w:val="0"/>
          <w:color w:val="auto"/>
          <w:sz w:val="24"/>
          <w:highlight w:val="none"/>
          <w:lang w:val="en-US" w:eastAsia="zh-CN"/>
        </w:rPr>
        <w:t>2022年8月16日，自然资源部、生态环境部、国家林业和草原局联合印发《关于加强生态保护红线管理的通知（试行）》（自然资发〔2022〕142号），通知规定，</w:t>
      </w:r>
      <w:r>
        <w:rPr>
          <w:rFonts w:hint="default" w:ascii="Times New Roman" w:hAnsi="Times New Roman" w:cs="Times New Roman" w:eastAsiaTheme="majorEastAsia"/>
          <w:b w:val="0"/>
          <w:bCs w:val="0"/>
          <w:i w:val="0"/>
          <w:iCs w:val="0"/>
          <w:caps w:val="0"/>
          <w:color w:val="auto"/>
          <w:spacing w:val="0"/>
          <w:sz w:val="24"/>
          <w:szCs w:val="24"/>
          <w:highlight w:val="none"/>
          <w:shd w:val="clear" w:fill="FFFFFF"/>
        </w:rPr>
        <w:t>生态保护红线是国土空间规划中的重要管控边界，生态保护红线内自然保护地核心保护区外，禁止开发性、生产性建设活动，在符合法律法规的前提下，仅允许</w:t>
      </w:r>
      <w:r>
        <w:rPr>
          <w:rFonts w:hint="default" w:ascii="Times New Roman" w:hAnsi="Times New Roman" w:cs="Times New Roman" w:eastAsiaTheme="majorEastAsia"/>
          <w:b w:val="0"/>
          <w:bCs w:val="0"/>
          <w:i w:val="0"/>
          <w:iCs w:val="0"/>
          <w:caps w:val="0"/>
          <w:color w:val="auto"/>
          <w:spacing w:val="0"/>
          <w:sz w:val="24"/>
          <w:szCs w:val="24"/>
          <w:highlight w:val="none"/>
          <w:shd w:val="clear" w:fill="FFFFFF"/>
          <w:lang w:val="en-US" w:eastAsia="zh-CN"/>
        </w:rPr>
        <w:t>10种</w:t>
      </w:r>
      <w:r>
        <w:rPr>
          <w:rFonts w:hint="default" w:ascii="Times New Roman" w:hAnsi="Times New Roman" w:cs="Times New Roman" w:eastAsiaTheme="majorEastAsia"/>
          <w:b w:val="0"/>
          <w:bCs w:val="0"/>
          <w:i w:val="0"/>
          <w:iCs w:val="0"/>
          <w:caps w:val="0"/>
          <w:color w:val="auto"/>
          <w:spacing w:val="0"/>
          <w:sz w:val="24"/>
          <w:szCs w:val="24"/>
          <w:highlight w:val="none"/>
          <w:shd w:val="clear" w:fill="FFFFFF"/>
        </w:rPr>
        <w:t>对生态功能不造成破坏的有限人为活动。</w:t>
      </w:r>
      <w:r>
        <w:rPr>
          <w:rFonts w:hint="default" w:ascii="Times New Roman" w:hAnsi="Times New Roman" w:cs="Times New Roman" w:eastAsiaTheme="majorEastAsia"/>
          <w:b w:val="0"/>
          <w:bCs w:val="0"/>
          <w:i w:val="0"/>
          <w:iCs w:val="0"/>
          <w:caps w:val="0"/>
          <w:color w:val="auto"/>
          <w:spacing w:val="0"/>
          <w:sz w:val="24"/>
          <w:szCs w:val="24"/>
          <w:highlight w:val="none"/>
          <w:shd w:val="clear" w:fill="FFFFFF"/>
          <w:lang w:eastAsia="zh-CN"/>
        </w:rPr>
        <w:t>其中包括“</w:t>
      </w:r>
      <w:r>
        <w:rPr>
          <w:rFonts w:hint="default" w:ascii="Times New Roman" w:hAnsi="Times New Roman" w:cs="Times New Roman" w:eastAsiaTheme="majorEastAsia"/>
          <w:b w:val="0"/>
          <w:bCs w:val="0"/>
          <w:i w:val="0"/>
          <w:iCs w:val="0"/>
          <w:caps w:val="0"/>
          <w:color w:val="auto"/>
          <w:spacing w:val="0"/>
          <w:sz w:val="24"/>
          <w:szCs w:val="24"/>
          <w:highlight w:val="none"/>
          <w:shd w:val="clear" w:fill="FFFFFF"/>
        </w:rPr>
        <w:t>已有的合法水利、交通运输等设施运行维护改造。</w:t>
      </w:r>
      <w:r>
        <w:rPr>
          <w:rFonts w:hint="default" w:ascii="Times New Roman" w:hAnsi="Times New Roman" w:cs="Times New Roman" w:eastAsiaTheme="majorEastAsia"/>
          <w:b w:val="0"/>
          <w:bCs w:val="0"/>
          <w:i w:val="0"/>
          <w:iCs w:val="0"/>
          <w:caps w:val="0"/>
          <w:color w:val="auto"/>
          <w:spacing w:val="0"/>
          <w:sz w:val="24"/>
          <w:szCs w:val="24"/>
          <w:highlight w:val="none"/>
          <w:shd w:val="clear" w:fill="FFFFFF"/>
          <w:lang w:eastAsia="zh-CN"/>
        </w:rPr>
        <w:t>”同时规定：“</w:t>
      </w:r>
      <w:r>
        <w:rPr>
          <w:rFonts w:hint="default" w:ascii="Times New Roman" w:hAnsi="Times New Roman" w:cs="Times New Roman" w:eastAsiaTheme="majorEastAsia"/>
          <w:b w:val="0"/>
          <w:bCs w:val="0"/>
          <w:i w:val="0"/>
          <w:iCs w:val="0"/>
          <w:caps w:val="0"/>
          <w:color w:val="auto"/>
          <w:spacing w:val="0"/>
          <w:sz w:val="24"/>
          <w:szCs w:val="24"/>
          <w:highlight w:val="none"/>
          <w:shd w:val="clear" w:fill="FFFFFF"/>
        </w:rPr>
        <w:t>有序处理历史遗留问题。</w:t>
      </w:r>
      <w:r>
        <w:rPr>
          <w:rFonts w:hint="default" w:ascii="Times New Roman" w:hAnsi="Times New Roman" w:cs="Times New Roman" w:eastAsiaTheme="majorEastAsia"/>
          <w:b w:val="0"/>
          <w:bCs w:val="0"/>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b/>
          <w:bCs/>
          <w:i w:val="0"/>
          <w:iCs w:val="0"/>
          <w:caps w:val="0"/>
          <w:color w:val="auto"/>
          <w:spacing w:val="0"/>
          <w:sz w:val="24"/>
          <w:szCs w:val="24"/>
          <w:highlight w:val="none"/>
          <w:shd w:val="clear" w:fill="FFFFFF"/>
        </w:rPr>
        <w:t>零星分布的已有水电、风电、光伏、海洋能设施，按照相关法律法规规定进行管理，严禁扩大现有规模与范围，项目到期后由建设单位负责做好生态修复</w:t>
      </w:r>
      <w:r>
        <w:rPr>
          <w:rFonts w:hint="default" w:ascii="Times New Roman" w:hAnsi="Times New Roman" w:cs="Times New Roman" w:eastAsiaTheme="majorEastAsia"/>
          <w:b w:val="0"/>
          <w:bCs w:val="0"/>
          <w:i w:val="0"/>
          <w:iCs w:val="0"/>
          <w:caps w:val="0"/>
          <w:color w:val="auto"/>
          <w:spacing w:val="0"/>
          <w:sz w:val="24"/>
          <w:szCs w:val="24"/>
          <w:highlight w:val="none"/>
          <w:shd w:val="clear" w:fill="FFFFFF"/>
        </w:rPr>
        <w:t>。</w:t>
      </w:r>
      <w:r>
        <w:rPr>
          <w:rFonts w:hint="default" w:ascii="Times New Roman" w:hAnsi="Times New Roman" w:cs="Times New Roman" w:eastAsiaTheme="majorEastAsia"/>
          <w:b w:val="0"/>
          <w:bCs w:val="0"/>
          <w:i w:val="0"/>
          <w:iCs w:val="0"/>
          <w:caps w:val="0"/>
          <w:color w:val="auto"/>
          <w:spacing w:val="0"/>
          <w:sz w:val="24"/>
          <w:szCs w:val="24"/>
          <w:highlight w:val="none"/>
          <w:shd w:val="clear" w:fill="FFFFFF"/>
          <w:lang w:eastAsia="zh-CN"/>
        </w:rPr>
        <w:t>”文件要求，在生态保护红线划定之前建设的水电设施，按</w:t>
      </w:r>
      <w:r>
        <w:rPr>
          <w:rFonts w:hint="default" w:ascii="Times New Roman" w:hAnsi="Times New Roman" w:cs="Times New Roman" w:eastAsiaTheme="majorEastAsia"/>
          <w:b w:val="0"/>
          <w:bCs w:val="0"/>
          <w:i w:val="0"/>
          <w:iCs w:val="0"/>
          <w:caps w:val="0"/>
          <w:color w:val="auto"/>
          <w:spacing w:val="0"/>
          <w:sz w:val="24"/>
          <w:szCs w:val="24"/>
          <w:highlight w:val="none"/>
          <w:shd w:val="clear" w:fill="FFFFFF"/>
        </w:rPr>
        <w:t>照相关法律法规规定进行管理，严禁扩大现有规模与范围，项目到期后由建设单位负责做好生态修复。</w:t>
      </w:r>
    </w:p>
    <w:p>
      <w:pPr>
        <w:spacing w:line="480" w:lineRule="exact"/>
        <w:ind w:firstLine="480"/>
        <w:rPr>
          <w:rFonts w:hint="eastAsia"/>
          <w:color w:val="auto"/>
          <w:sz w:val="24"/>
          <w:highlight w:val="none"/>
          <w:lang w:val="en-US" w:eastAsia="zh-CN"/>
        </w:rPr>
      </w:pPr>
      <w:r>
        <w:rPr>
          <w:rFonts w:hint="default" w:ascii="Times New Roman" w:hAnsi="Times New Roman" w:cs="Times New Roman" w:eastAsiaTheme="majorEastAsia"/>
          <w:b w:val="0"/>
          <w:bCs w:val="0"/>
          <w:i w:val="0"/>
          <w:iCs w:val="0"/>
          <w:caps w:val="0"/>
          <w:color w:val="auto"/>
          <w:spacing w:val="0"/>
          <w:sz w:val="24"/>
          <w:szCs w:val="24"/>
          <w:highlight w:val="none"/>
          <w:shd w:val="clear" w:fill="FFFFFF"/>
          <w:lang w:eastAsia="zh-CN"/>
        </w:rPr>
        <w:t>根据上述文件规</w:t>
      </w:r>
      <w:r>
        <w:rPr>
          <w:rFonts w:hint="eastAsia" w:asciiTheme="majorEastAsia" w:hAnsiTheme="majorEastAsia" w:eastAsiaTheme="majorEastAsia" w:cstheme="majorEastAsia"/>
          <w:b w:val="0"/>
          <w:bCs w:val="0"/>
          <w:i w:val="0"/>
          <w:iCs w:val="0"/>
          <w:caps w:val="0"/>
          <w:color w:val="auto"/>
          <w:spacing w:val="0"/>
          <w:sz w:val="24"/>
          <w:szCs w:val="24"/>
          <w:highlight w:val="none"/>
          <w:shd w:val="clear" w:fill="FFFFFF"/>
          <w:lang w:eastAsia="zh-CN"/>
        </w:rPr>
        <w:t>定，本项目黎河河道内的橡胶坝属于在生态红线划定之前建设的水电设施，按</w:t>
      </w:r>
      <w:r>
        <w:rPr>
          <w:rFonts w:hint="eastAsia" w:asciiTheme="majorEastAsia" w:hAnsiTheme="majorEastAsia" w:eastAsiaTheme="majorEastAsia" w:cstheme="majorEastAsia"/>
          <w:b w:val="0"/>
          <w:bCs w:val="0"/>
          <w:i w:val="0"/>
          <w:iCs w:val="0"/>
          <w:caps w:val="0"/>
          <w:color w:val="auto"/>
          <w:spacing w:val="0"/>
          <w:sz w:val="24"/>
          <w:szCs w:val="24"/>
          <w:highlight w:val="none"/>
          <w:shd w:val="clear" w:fill="FFFFFF"/>
        </w:rPr>
        <w:t>照相关法律法规规定进行管理，严禁扩大现有规模与范围，项目到期后由建设单位负责做好生态修复</w:t>
      </w:r>
      <w:r>
        <w:rPr>
          <w:rFonts w:hint="eastAsia" w:asciiTheme="majorEastAsia" w:hAnsiTheme="majorEastAsia" w:eastAsiaTheme="majorEastAsia" w:cstheme="majorEastAsia"/>
          <w:b w:val="0"/>
          <w:bCs w:val="0"/>
          <w:i w:val="0"/>
          <w:iCs w:val="0"/>
          <w:caps w:val="0"/>
          <w:color w:val="auto"/>
          <w:spacing w:val="0"/>
          <w:sz w:val="24"/>
          <w:szCs w:val="24"/>
          <w:highlight w:val="none"/>
          <w:shd w:val="clear" w:fill="FFFFFF"/>
          <w:lang w:eastAsia="zh-CN"/>
        </w:rPr>
        <w:t>。据此，本项目黎河河道内的橡胶坝属于可存在且严禁扩大现有规模与范围，项目到期后由建设单位负责做好生态修复。</w:t>
      </w:r>
    </w:p>
    <w:p>
      <w:pPr>
        <w:spacing w:line="480" w:lineRule="exact"/>
        <w:ind w:right="28" w:firstLine="480" w:firstLineChars="200"/>
        <w:rPr>
          <w:snapToGrid w:val="0"/>
          <w:color w:val="000000" w:themeColor="text1"/>
          <w:kern w:val="0"/>
          <w:sz w:val="24"/>
          <w:highlight w:val="none"/>
          <w14:textFill>
            <w14:solidFill>
              <w14:schemeClr w14:val="tx1"/>
            </w14:solidFill>
          </w14:textFill>
        </w:rPr>
      </w:pPr>
      <w:r>
        <w:rPr>
          <w:rFonts w:hint="eastAsia"/>
          <w:snapToGrid w:val="0"/>
          <w:color w:val="000000" w:themeColor="text1"/>
          <w:kern w:val="0"/>
          <w:sz w:val="24"/>
          <w:highlight w:val="none"/>
          <w14:textFill>
            <w14:solidFill>
              <w14:schemeClr w14:val="tx1"/>
            </w14:solidFill>
          </w14:textFill>
        </w:rPr>
        <w:t>综上所述</w:t>
      </w:r>
      <w:r>
        <w:rPr>
          <w:rFonts w:hint="eastAsia"/>
          <w:snapToGrid w:val="0"/>
          <w:color w:val="000000" w:themeColor="text1"/>
          <w:kern w:val="0"/>
          <w:sz w:val="24"/>
          <w:highlight w:val="none"/>
          <w:lang w:eastAsia="zh-CN"/>
          <w14:textFill>
            <w14:solidFill>
              <w14:schemeClr w14:val="tx1"/>
            </w14:solidFill>
          </w14:textFill>
        </w:rPr>
        <w:t>，根据</w:t>
      </w:r>
      <w:r>
        <w:rPr>
          <w:rFonts w:hint="eastAsia"/>
          <w:snapToGrid w:val="0"/>
          <w:color w:val="000000" w:themeColor="text1"/>
          <w:kern w:val="0"/>
          <w:sz w:val="24"/>
          <w:highlight w:val="none"/>
          <w14:textFill>
            <w14:solidFill>
              <w14:schemeClr w14:val="tx1"/>
            </w14:solidFill>
          </w14:textFill>
        </w:rPr>
        <w:t>《中华人民共和国环境保护法》</w:t>
      </w:r>
      <w:r>
        <w:rPr>
          <w:rFonts w:hint="eastAsia"/>
          <w:snapToGrid w:val="0"/>
          <w:color w:val="000000" w:themeColor="text1"/>
          <w:kern w:val="0"/>
          <w:sz w:val="24"/>
          <w:highlight w:val="none"/>
          <w:lang w:eastAsia="zh-CN"/>
          <w14:textFill>
            <w14:solidFill>
              <w14:schemeClr w14:val="tx1"/>
            </w14:solidFill>
          </w14:textFill>
        </w:rPr>
        <w:t>、</w:t>
      </w:r>
      <w:r>
        <w:rPr>
          <w:rFonts w:hint="eastAsia"/>
          <w:snapToGrid w:val="0"/>
          <w:color w:val="000000" w:themeColor="text1"/>
          <w:kern w:val="0"/>
          <w:sz w:val="24"/>
          <w:highlight w:val="none"/>
          <w14:textFill>
            <w14:solidFill>
              <w14:schemeClr w14:val="tx1"/>
            </w14:solidFill>
          </w14:textFill>
        </w:rPr>
        <w:t>《中华人民共和国环境影响评价法》</w:t>
      </w:r>
      <w:r>
        <w:rPr>
          <w:rFonts w:hint="eastAsia"/>
          <w:snapToGrid w:val="0"/>
          <w:color w:val="000000" w:themeColor="text1"/>
          <w:kern w:val="0"/>
          <w:sz w:val="24"/>
          <w:highlight w:val="none"/>
          <w:lang w:eastAsia="zh-CN"/>
          <w14:textFill>
            <w14:solidFill>
              <w14:schemeClr w14:val="tx1"/>
            </w14:solidFill>
          </w14:textFill>
        </w:rPr>
        <w:t>、</w:t>
      </w:r>
      <w:r>
        <w:rPr>
          <w:rFonts w:hint="eastAsia"/>
          <w:snapToGrid w:val="0"/>
          <w:color w:val="000000" w:themeColor="text1"/>
          <w:kern w:val="0"/>
          <w:sz w:val="24"/>
          <w:highlight w:val="none"/>
          <w14:textFill>
            <w14:solidFill>
              <w14:schemeClr w14:val="tx1"/>
            </w14:solidFill>
          </w14:textFill>
        </w:rPr>
        <w:t>《建设项目环境保护管理条例》等有关法律的规定，以及根据《建设项目环境影响评价分类管理名录（2021年版）》，本项目装机容量为</w:t>
      </w:r>
      <w:r>
        <w:rPr>
          <w:rFonts w:hint="eastAsia"/>
          <w:snapToGrid w:val="0"/>
          <w:color w:val="000000" w:themeColor="text1"/>
          <w:kern w:val="0"/>
          <w:sz w:val="24"/>
          <w:highlight w:val="none"/>
          <w:lang w:val="en-US" w:eastAsia="zh-CN"/>
          <w14:textFill>
            <w14:solidFill>
              <w14:schemeClr w14:val="tx1"/>
            </w14:solidFill>
          </w14:textFill>
        </w:rPr>
        <w:t>500</w:t>
      </w:r>
      <w:r>
        <w:rPr>
          <w:rFonts w:hint="eastAsia"/>
          <w:snapToGrid w:val="0"/>
          <w:color w:val="000000" w:themeColor="text1"/>
          <w:kern w:val="0"/>
          <w:sz w:val="24"/>
          <w:highlight w:val="none"/>
          <w14:textFill>
            <w14:solidFill>
              <w14:schemeClr w14:val="tx1"/>
            </w14:solidFill>
          </w14:textFill>
        </w:rPr>
        <w:t>0kw，属于四十一、电力、热力生产和供应业“88、水力发电4413”中“总装机 1000 千瓦及以上、涉及环境敏感区”</w:t>
      </w:r>
      <w:r>
        <w:rPr>
          <w:rFonts w:hint="eastAsia"/>
          <w:snapToGrid w:val="0"/>
          <w:color w:val="000000" w:themeColor="text1"/>
          <w:kern w:val="0"/>
          <w:sz w:val="24"/>
          <w:highlight w:val="none"/>
          <w:lang w:eastAsia="zh-CN"/>
          <w14:textFill>
            <w14:solidFill>
              <w14:schemeClr w14:val="tx1"/>
            </w14:solidFill>
          </w14:textFill>
        </w:rPr>
        <w:t>项目</w:t>
      </w:r>
      <w:r>
        <w:rPr>
          <w:rFonts w:hint="eastAsia"/>
          <w:snapToGrid w:val="0"/>
          <w:color w:val="000000" w:themeColor="text1"/>
          <w:kern w:val="0"/>
          <w:sz w:val="24"/>
          <w:highlight w:val="none"/>
          <w14:textFill>
            <w14:solidFill>
              <w14:schemeClr w14:val="tx1"/>
            </w14:solidFill>
          </w14:textFill>
        </w:rPr>
        <w:t>，因此需编制环境影响报告书。本项目升压站为</w:t>
      </w:r>
      <w:r>
        <w:rPr>
          <w:rFonts w:hint="eastAsia"/>
          <w:snapToGrid w:val="0"/>
          <w:color w:val="000000" w:themeColor="text1"/>
          <w:kern w:val="0"/>
          <w:sz w:val="24"/>
          <w:highlight w:val="none"/>
          <w:lang w:val="en-US" w:eastAsia="zh-CN"/>
          <w14:textFill>
            <w14:solidFill>
              <w14:schemeClr w14:val="tx1"/>
            </w14:solidFill>
          </w14:textFill>
        </w:rPr>
        <w:t>11</w:t>
      </w:r>
      <w:r>
        <w:rPr>
          <w:rFonts w:hint="eastAsia"/>
          <w:snapToGrid w:val="0"/>
          <w:color w:val="000000" w:themeColor="text1"/>
          <w:kern w:val="0"/>
          <w:sz w:val="24"/>
          <w:highlight w:val="none"/>
          <w14:textFill>
            <w14:solidFill>
              <w14:schemeClr w14:val="tx1"/>
            </w14:solidFill>
          </w14:textFill>
        </w:rPr>
        <w:t>kV，低于100kV，不</w:t>
      </w:r>
      <w:r>
        <w:rPr>
          <w:rFonts w:hint="eastAsia"/>
          <w:snapToGrid w:val="0"/>
          <w:color w:val="000000" w:themeColor="text1"/>
          <w:kern w:val="0"/>
          <w:sz w:val="24"/>
          <w:highlight w:val="none"/>
          <w:lang w:eastAsia="zh-CN"/>
          <w14:textFill>
            <w14:solidFill>
              <w14:schemeClr w14:val="tx1"/>
            </w14:solidFill>
          </w14:textFill>
        </w:rPr>
        <w:t>在</w:t>
      </w:r>
      <w:r>
        <w:rPr>
          <w:rFonts w:hint="eastAsia"/>
          <w:snapToGrid w:val="0"/>
          <w:color w:val="000000" w:themeColor="text1"/>
          <w:kern w:val="0"/>
          <w:sz w:val="24"/>
          <w:highlight w:val="none"/>
          <w14:textFill>
            <w14:solidFill>
              <w14:schemeClr w14:val="tx1"/>
            </w14:solidFill>
          </w14:textFill>
        </w:rPr>
        <w:t>“五十五、核与辐射”“161输变电工程报告书、报告表、登记表”范围内，不需要进行辐射环评。</w:t>
      </w:r>
      <w:r>
        <w:rPr>
          <w:rFonts w:hint="eastAsia"/>
          <w:color w:val="000000" w:themeColor="text1"/>
          <w:sz w:val="24"/>
          <w:highlight w:val="none"/>
          <w14:textFill>
            <w14:solidFill>
              <w14:schemeClr w14:val="tx1"/>
            </w14:solidFill>
          </w14:textFill>
        </w:rPr>
        <w:t>据此</w:t>
      </w:r>
      <w:r>
        <w:rPr>
          <w:rFonts w:hint="eastAsia"/>
          <w:snapToGrid w:val="0"/>
          <w:color w:val="000000" w:themeColor="text1"/>
          <w:kern w:val="0"/>
          <w:sz w:val="24"/>
          <w:highlight w:val="none"/>
          <w14:textFill>
            <w14:solidFill>
              <w14:schemeClr w14:val="tx1"/>
            </w14:solidFill>
          </w14:textFill>
        </w:rPr>
        <w:t>，遵化市昌明水力发电有限公司委托唐山正论环境科技有限公司编制《遵化市昌明水力发电有限公司遵化市黎河四级水电站项目环境影响报告书》，补办环评手续。</w:t>
      </w:r>
    </w:p>
    <w:p>
      <w:pPr>
        <w:spacing w:line="480" w:lineRule="exact"/>
        <w:outlineLvl w:val="1"/>
        <w:rPr>
          <w:b/>
          <w:color w:val="000000" w:themeColor="text1"/>
          <w:sz w:val="24"/>
          <w:highlight w:val="none"/>
          <w14:textFill>
            <w14:solidFill>
              <w14:schemeClr w14:val="tx1"/>
            </w14:solidFill>
          </w14:textFill>
        </w:rPr>
      </w:pPr>
      <w:bookmarkStart w:id="31" w:name="_Toc25056"/>
      <w:bookmarkStart w:id="32" w:name="_Toc18964"/>
      <w:bookmarkStart w:id="33" w:name="_Toc1612"/>
      <w:r>
        <w:rPr>
          <w:rFonts w:hint="eastAsia"/>
          <w:b/>
          <w:color w:val="000000" w:themeColor="text1"/>
          <w:sz w:val="24"/>
          <w:highlight w:val="none"/>
          <w14:textFill>
            <w14:solidFill>
              <w14:schemeClr w14:val="tx1"/>
            </w14:solidFill>
          </w14:textFill>
        </w:rPr>
        <w:t>0</w:t>
      </w:r>
      <w:r>
        <w:rPr>
          <w:b/>
          <w:color w:val="000000" w:themeColor="text1"/>
          <w:sz w:val="24"/>
          <w:highlight w:val="none"/>
          <w14:textFill>
            <w14:solidFill>
              <w14:schemeClr w14:val="tx1"/>
            </w14:solidFill>
          </w14:textFill>
        </w:rPr>
        <w:t>.</w:t>
      </w:r>
      <w:r>
        <w:rPr>
          <w:rFonts w:hint="eastAsia"/>
          <w:b/>
          <w:color w:val="000000" w:themeColor="text1"/>
          <w:sz w:val="24"/>
          <w:highlight w:val="none"/>
          <w14:textFill>
            <w14:solidFill>
              <w14:schemeClr w14:val="tx1"/>
            </w14:solidFill>
          </w14:textFill>
        </w:rPr>
        <w:t>2</w:t>
      </w:r>
      <w:r>
        <w:rPr>
          <w:b/>
          <w:color w:val="000000" w:themeColor="text1"/>
          <w:sz w:val="24"/>
          <w:highlight w:val="none"/>
          <w14:textFill>
            <w14:solidFill>
              <w14:schemeClr w14:val="tx1"/>
            </w14:solidFill>
          </w14:textFill>
        </w:rPr>
        <w:t xml:space="preserve"> 建设项目特点</w:t>
      </w:r>
      <w:bookmarkEnd w:id="31"/>
      <w:bookmarkEnd w:id="32"/>
      <w:bookmarkEnd w:id="33"/>
    </w:p>
    <w:p>
      <w:pPr>
        <w:snapToGrid w:val="0"/>
        <w:spacing w:line="480" w:lineRule="exact"/>
        <w:ind w:firstLine="480" w:firstLineChars="200"/>
        <w:rPr>
          <w:color w:val="auto"/>
          <w:kern w:val="0"/>
          <w:sz w:val="24"/>
          <w:highlight w:val="none"/>
        </w:rPr>
      </w:pPr>
      <w:r>
        <w:rPr>
          <w:rFonts w:hint="eastAsia"/>
          <w:color w:val="000000" w:themeColor="text1"/>
          <w:kern w:val="0"/>
          <w:sz w:val="24"/>
          <w:highlight w:val="none"/>
          <w14:textFill>
            <w14:solidFill>
              <w14:schemeClr w14:val="tx1"/>
            </w14:solidFill>
          </w14:textFill>
        </w:rPr>
        <w:t>该水</w:t>
      </w:r>
      <w:r>
        <w:rPr>
          <w:color w:val="000000" w:themeColor="text1"/>
          <w:kern w:val="0"/>
          <w:sz w:val="24"/>
          <w:highlight w:val="none"/>
          <w14:textFill>
            <w14:solidFill>
              <w14:schemeClr w14:val="tx1"/>
            </w14:solidFill>
          </w14:textFill>
        </w:rPr>
        <w:t>电站</w:t>
      </w:r>
      <w:r>
        <w:rPr>
          <w:rFonts w:hint="eastAsia"/>
          <w:color w:val="000000" w:themeColor="text1"/>
          <w:kern w:val="0"/>
          <w:sz w:val="24"/>
          <w:highlight w:val="none"/>
          <w14:textFill>
            <w14:solidFill>
              <w14:schemeClr w14:val="tx1"/>
            </w14:solidFill>
          </w14:textFill>
        </w:rPr>
        <w:t>为引水式电站，采用空心橡胶坝，</w:t>
      </w:r>
      <w:r>
        <w:rPr>
          <w:rFonts w:hint="eastAsia"/>
          <w:snapToGrid w:val="0"/>
          <w:color w:val="000000" w:themeColor="text1"/>
          <w:kern w:val="0"/>
          <w:sz w:val="24"/>
          <w:highlight w:val="none"/>
          <w14:textFill>
            <w14:solidFill>
              <w14:schemeClr w14:val="tx1"/>
            </w14:solidFill>
          </w14:textFill>
        </w:rPr>
        <w:t>装机容量为</w:t>
      </w:r>
      <w:r>
        <w:rPr>
          <w:rFonts w:hint="eastAsia"/>
          <w:snapToGrid w:val="0"/>
          <w:color w:val="000000" w:themeColor="text1"/>
          <w:kern w:val="0"/>
          <w:sz w:val="24"/>
          <w:highlight w:val="none"/>
          <w:lang w:val="en-US" w:eastAsia="zh-CN"/>
          <w14:textFill>
            <w14:solidFill>
              <w14:schemeClr w14:val="tx1"/>
            </w14:solidFill>
          </w14:textFill>
        </w:rPr>
        <w:t>500</w:t>
      </w:r>
      <w:r>
        <w:rPr>
          <w:rFonts w:hint="eastAsia"/>
          <w:snapToGrid w:val="0"/>
          <w:color w:val="000000" w:themeColor="text1"/>
          <w:kern w:val="0"/>
          <w:sz w:val="24"/>
          <w:highlight w:val="none"/>
          <w14:textFill>
            <w14:solidFill>
              <w14:schemeClr w14:val="tx1"/>
            </w14:solidFill>
          </w14:textFill>
        </w:rPr>
        <w:t>0kw，</w:t>
      </w:r>
      <w:r>
        <w:rPr>
          <w:color w:val="000000" w:themeColor="text1"/>
          <w:sz w:val="24"/>
          <w:highlight w:val="none"/>
          <w14:textFill>
            <w14:solidFill>
              <w14:schemeClr w14:val="tx1"/>
            </w14:solidFill>
          </w14:textFill>
        </w:rPr>
        <w:t>工程规模为小(</w:t>
      </w:r>
      <w:r>
        <w:rPr>
          <w:rFonts w:hint="eastAsia" w:ascii="宋体" w:hAnsi="宋体" w:cs="宋体"/>
          <w:color w:val="auto"/>
          <w:sz w:val="24"/>
          <w:highlight w:val="none"/>
        </w:rPr>
        <w:t>Ⅱ</w:t>
      </w:r>
      <w:r>
        <w:rPr>
          <w:color w:val="auto"/>
          <w:sz w:val="24"/>
          <w:highlight w:val="none"/>
        </w:rPr>
        <w:t>)型，工程等别为V等</w:t>
      </w:r>
      <w:r>
        <w:rPr>
          <w:rFonts w:hint="eastAsia"/>
          <w:color w:val="auto"/>
          <w:kern w:val="0"/>
          <w:sz w:val="24"/>
          <w:highlight w:val="none"/>
        </w:rPr>
        <w:t>。为“</w:t>
      </w:r>
      <w:r>
        <w:rPr>
          <w:rFonts w:hint="eastAsia"/>
          <w:snapToGrid w:val="0"/>
          <w:color w:val="auto"/>
          <w:kern w:val="0"/>
          <w:sz w:val="24"/>
          <w:highlight w:val="none"/>
        </w:rPr>
        <w:t>引滦入津工程”黎河段建设的4座引式水电站之一。</w:t>
      </w:r>
    </w:p>
    <w:p>
      <w:pPr>
        <w:snapToGrid w:val="0"/>
        <w:spacing w:line="480" w:lineRule="exact"/>
        <w:ind w:firstLine="480" w:firstLineChars="200"/>
        <w:rPr>
          <w:color w:val="000000" w:themeColor="text1"/>
          <w:kern w:val="0"/>
          <w:sz w:val="24"/>
          <w:highlight w:val="none"/>
          <w14:textFill>
            <w14:solidFill>
              <w14:schemeClr w14:val="tx1"/>
            </w14:solidFill>
          </w14:textFill>
        </w:rPr>
      </w:pPr>
      <w:r>
        <w:rPr>
          <w:rFonts w:hint="eastAsia" w:eastAsiaTheme="majorEastAsia"/>
          <w:color w:val="auto"/>
          <w:kern w:val="0"/>
          <w:sz w:val="24"/>
          <w:highlight w:val="none"/>
          <w:lang w:eastAsia="zh-CN"/>
        </w:rPr>
        <w:t>本项目始建于2005年，2006年10月投产</w:t>
      </w:r>
      <w:r>
        <w:rPr>
          <w:rFonts w:hint="eastAsia" w:cs="Times New Roman" w:eastAsiaTheme="majorEastAsia"/>
          <w:i w:val="0"/>
          <w:iCs w:val="0"/>
          <w:caps w:val="0"/>
          <w:color w:val="auto"/>
          <w:spacing w:val="0"/>
          <w:sz w:val="24"/>
          <w:szCs w:val="24"/>
          <w:highlight w:val="none"/>
          <w:shd w:val="clear" w:fill="FFFFFF"/>
          <w:lang w:val="en-US" w:eastAsia="zh-CN"/>
        </w:rPr>
        <w:t>，于2012年8月通过河北省水利厅验收，水电站</w:t>
      </w:r>
      <w:r>
        <w:rPr>
          <w:rFonts w:hint="eastAsia" w:ascii="Times New Roman" w:hAnsi="Times New Roman" w:cs="Times New Roman" w:eastAsiaTheme="majorEastAsia"/>
          <w:i w:val="0"/>
          <w:iCs w:val="0"/>
          <w:caps w:val="0"/>
          <w:color w:val="auto"/>
          <w:spacing w:val="0"/>
          <w:sz w:val="24"/>
          <w:szCs w:val="24"/>
          <w:highlight w:val="none"/>
          <w:shd w:val="clear" w:fill="FFFFFF"/>
          <w:lang w:val="en-US" w:eastAsia="zh-CN"/>
        </w:rPr>
        <w:t>已经安全</w:t>
      </w:r>
      <w:r>
        <w:rPr>
          <w:rFonts w:hint="eastAsia"/>
          <w:color w:val="auto"/>
          <w:sz w:val="24"/>
          <w:highlight w:val="none"/>
        </w:rPr>
        <w:t>稳定运营</w:t>
      </w:r>
      <w:r>
        <w:rPr>
          <w:rFonts w:hint="eastAsia"/>
          <w:color w:val="auto"/>
          <w:kern w:val="0"/>
          <w:sz w:val="24"/>
          <w:highlight w:val="none"/>
        </w:rPr>
        <w:t>至今。本项目施工期</w:t>
      </w:r>
      <w:r>
        <w:rPr>
          <w:rFonts w:hint="eastAsia"/>
          <w:color w:val="auto"/>
          <w:kern w:val="0"/>
          <w:sz w:val="24"/>
          <w:highlight w:val="none"/>
          <w:lang w:eastAsia="zh-CN"/>
        </w:rPr>
        <w:t>早</w:t>
      </w:r>
      <w:r>
        <w:rPr>
          <w:rFonts w:hint="eastAsia"/>
          <w:color w:val="auto"/>
          <w:kern w:val="0"/>
          <w:sz w:val="24"/>
          <w:highlight w:val="none"/>
        </w:rPr>
        <w:t>已结束，施工期的环境影响已经结束。项目运</w:t>
      </w:r>
      <w:r>
        <w:rPr>
          <w:rFonts w:hint="eastAsia"/>
          <w:color w:val="000000" w:themeColor="text1"/>
          <w:kern w:val="0"/>
          <w:sz w:val="24"/>
          <w:highlight w:val="none"/>
          <w14:textFill>
            <w14:solidFill>
              <w14:schemeClr w14:val="tx1"/>
            </w14:solidFill>
          </w14:textFill>
        </w:rPr>
        <w:t>行期大气、废水、固废影响小，对环境的影响主要体现在生态环境、声环境以及地表水环境影响。</w:t>
      </w:r>
    </w:p>
    <w:p>
      <w:pPr>
        <w:snapToGrid w:val="0"/>
        <w:spacing w:line="480" w:lineRule="exact"/>
        <w:ind w:firstLine="480" w:firstLineChars="200"/>
        <w:rPr>
          <w:color w:val="000000" w:themeColor="text1"/>
          <w:kern w:val="0"/>
          <w:sz w:val="24"/>
          <w:highlight w:val="none"/>
          <w14:textFill>
            <w14:solidFill>
              <w14:schemeClr w14:val="tx1"/>
            </w14:solidFill>
          </w14:textFill>
        </w:rPr>
      </w:pPr>
      <w:r>
        <w:rPr>
          <w:rFonts w:hint="eastAsia"/>
          <w:color w:val="000000" w:themeColor="text1"/>
          <w:kern w:val="0"/>
          <w:sz w:val="24"/>
          <w:highlight w:val="none"/>
          <w14:textFill>
            <w14:solidFill>
              <w14:schemeClr w14:val="tx1"/>
            </w14:solidFill>
          </w14:textFill>
        </w:rPr>
        <w:t>该项目为以生态影响为主的建设项目，不属于《河北省生态环境厅审批环境影响评价文件的建设项目目录（2020年本）》和《唐山市行政审批局关于发布&lt;市级审批环境影响评价文件的建设项目目录(2021年本)&gt;的通知》(唐审批字[2021]2 号)审批范围，该项目应由遵化市行政审批局审批。</w:t>
      </w:r>
    </w:p>
    <w:p>
      <w:pPr>
        <w:tabs>
          <w:tab w:val="left" w:pos="1080"/>
        </w:tabs>
        <w:spacing w:line="480" w:lineRule="exact"/>
        <w:outlineLvl w:val="1"/>
        <w:rPr>
          <w:b/>
          <w:color w:val="000000" w:themeColor="text1"/>
          <w:sz w:val="24"/>
          <w:highlight w:val="none"/>
          <w14:textFill>
            <w14:solidFill>
              <w14:schemeClr w14:val="tx1"/>
            </w14:solidFill>
          </w14:textFill>
        </w:rPr>
      </w:pPr>
      <w:bookmarkStart w:id="34" w:name="_Toc28921"/>
      <w:r>
        <w:rPr>
          <w:rFonts w:hint="eastAsia"/>
          <w:b/>
          <w:color w:val="000000" w:themeColor="text1"/>
          <w:sz w:val="24"/>
          <w:highlight w:val="none"/>
          <w14:textFill>
            <w14:solidFill>
              <w14:schemeClr w14:val="tx1"/>
            </w14:solidFill>
          </w14:textFill>
        </w:rPr>
        <w:t>0</w:t>
      </w:r>
      <w:r>
        <w:rPr>
          <w:b/>
          <w:color w:val="000000" w:themeColor="text1"/>
          <w:sz w:val="24"/>
          <w:highlight w:val="none"/>
          <w14:textFill>
            <w14:solidFill>
              <w14:schemeClr w14:val="tx1"/>
            </w14:solidFill>
          </w14:textFill>
        </w:rPr>
        <w:t>.</w:t>
      </w:r>
      <w:r>
        <w:rPr>
          <w:rFonts w:hint="eastAsia"/>
          <w:b/>
          <w:color w:val="000000" w:themeColor="text1"/>
          <w:sz w:val="24"/>
          <w:highlight w:val="none"/>
          <w14:textFill>
            <w14:solidFill>
              <w14:schemeClr w14:val="tx1"/>
            </w14:solidFill>
          </w14:textFill>
        </w:rPr>
        <w:t>3</w:t>
      </w:r>
      <w:r>
        <w:rPr>
          <w:b/>
          <w:color w:val="000000" w:themeColor="text1"/>
          <w:sz w:val="24"/>
          <w:highlight w:val="none"/>
          <w14:textFill>
            <w14:solidFill>
              <w14:schemeClr w14:val="tx1"/>
            </w14:solidFill>
          </w14:textFill>
        </w:rPr>
        <w:t xml:space="preserve"> </w:t>
      </w:r>
      <w:r>
        <w:rPr>
          <w:rFonts w:hint="eastAsia"/>
          <w:b/>
          <w:color w:val="000000" w:themeColor="text1"/>
          <w:sz w:val="24"/>
          <w:highlight w:val="none"/>
          <w14:textFill>
            <w14:solidFill>
              <w14:schemeClr w14:val="tx1"/>
            </w14:solidFill>
          </w14:textFill>
        </w:rPr>
        <w:t>环境影响评价工作过程</w:t>
      </w:r>
      <w:bookmarkEnd w:id="34"/>
    </w:p>
    <w:p>
      <w:pPr>
        <w:spacing w:line="480" w:lineRule="exact"/>
        <w:ind w:firstLine="480" w:firstLineChars="200"/>
        <w:rPr>
          <w:color w:val="000000" w:themeColor="text1"/>
          <w:sz w:val="24"/>
          <w:highlight w:val="none"/>
          <w14:textFill>
            <w14:solidFill>
              <w14:schemeClr w14:val="tx1"/>
            </w14:solidFill>
          </w14:textFill>
        </w:rPr>
      </w:pPr>
      <w:r>
        <w:rPr>
          <w:rFonts w:hint="eastAsia"/>
          <w:color w:val="auto"/>
          <w:sz w:val="24"/>
          <w:highlight w:val="none"/>
        </w:rPr>
        <w:t>经现场踏勘，本项目已建成并运行多年，</w:t>
      </w:r>
      <w:r>
        <w:rPr>
          <w:rFonts w:hint="eastAsia"/>
          <w:color w:val="auto"/>
          <w:sz w:val="24"/>
          <w:highlight w:val="none"/>
          <w:lang w:eastAsia="zh-CN"/>
        </w:rPr>
        <w:t>本次评价</w:t>
      </w:r>
      <w:r>
        <w:rPr>
          <w:color w:val="000000" w:themeColor="text1"/>
          <w:sz w:val="24"/>
          <w:highlight w:val="none"/>
          <w14:textFill>
            <w14:solidFill>
              <w14:schemeClr w14:val="tx1"/>
            </w14:solidFill>
          </w14:textFill>
        </w:rPr>
        <w:t>结合有关规划和当地环境特征，按国家、河北省环境保护政策以及环评技术导则、规范的要求，开展该项目的环境影响评价工作。对拟建项目进行初步的工程分析，同时开展初步的环境状况调查。识别本项目的环境影响因素，筛选主要的环境影响评价因子，明确评价重点和环境保护目标，确定环境影响评价的范围、评价工作等级和评价标准，最后制订工作方案。</w:t>
      </w:r>
    </w:p>
    <w:p>
      <w:pPr>
        <w:spacing w:line="480" w:lineRule="exact"/>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于 202</w:t>
      </w:r>
      <w:r>
        <w:rPr>
          <w:rFonts w:hint="eastAsia"/>
          <w:color w:val="000000" w:themeColor="text1"/>
          <w:sz w:val="24"/>
          <w:highlight w:val="none"/>
          <w:lang w:val="en-US" w:eastAsia="zh-CN"/>
          <w14:textFill>
            <w14:solidFill>
              <w14:schemeClr w14:val="tx1"/>
            </w14:solidFill>
          </w14:textFill>
        </w:rPr>
        <w:t>3</w:t>
      </w:r>
      <w:r>
        <w:rPr>
          <w:rFonts w:hint="eastAsia"/>
          <w:color w:val="000000" w:themeColor="text1"/>
          <w:sz w:val="24"/>
          <w:highlight w:val="none"/>
          <w14:textFill>
            <w14:solidFill>
              <w14:schemeClr w14:val="tx1"/>
            </w14:solidFill>
          </w14:textFill>
        </w:rPr>
        <w:t>年</w:t>
      </w:r>
      <w:r>
        <w:rPr>
          <w:rFonts w:hint="eastAsia"/>
          <w:color w:val="000000" w:themeColor="text1"/>
          <w:sz w:val="24"/>
          <w:highlight w:val="none"/>
          <w:lang w:val="en-US" w:eastAsia="zh-CN"/>
          <w14:textFill>
            <w14:solidFill>
              <w14:schemeClr w14:val="tx1"/>
            </w14:solidFill>
          </w14:textFill>
        </w:rPr>
        <w:t>6</w:t>
      </w:r>
      <w:r>
        <w:rPr>
          <w:rFonts w:hint="eastAsia"/>
          <w:color w:val="000000" w:themeColor="text1"/>
          <w:sz w:val="24"/>
          <w:highlight w:val="none"/>
          <w14:textFill>
            <w14:solidFill>
              <w14:schemeClr w14:val="tx1"/>
            </w14:solidFill>
          </w14:textFill>
        </w:rPr>
        <w:t>月～</w:t>
      </w:r>
      <w:r>
        <w:rPr>
          <w:rFonts w:hint="eastAsia"/>
          <w:color w:val="000000" w:themeColor="text1"/>
          <w:sz w:val="24"/>
          <w:highlight w:val="none"/>
          <w:lang w:val="en-US" w:eastAsia="zh-CN"/>
          <w14:textFill>
            <w14:solidFill>
              <w14:schemeClr w14:val="tx1"/>
            </w14:solidFill>
          </w14:textFill>
        </w:rPr>
        <w:t>7</w:t>
      </w:r>
      <w:r>
        <w:rPr>
          <w:rFonts w:hint="eastAsia"/>
          <w:color w:val="000000" w:themeColor="text1"/>
          <w:sz w:val="24"/>
          <w:highlight w:val="none"/>
          <w14:textFill>
            <w14:solidFill>
              <w14:schemeClr w14:val="tx1"/>
            </w14:solidFill>
          </w14:textFill>
        </w:rPr>
        <w:t>月对项目区环境开展了多次现场查勘和调查，并就评价区环境质量（如水质、环境空气质量、声环境等）和污染源等进行了调研，对本项目影响涉及区域的生态环境、社会环境、地方环境保护相关规划与功能区划均进行了调查，收集了相关背景资料，识别了环境保护目标和环境敏感目标。</w:t>
      </w:r>
    </w:p>
    <w:p>
      <w:pPr>
        <w:spacing w:line="480" w:lineRule="exact"/>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在现场调查中，按照国家现行《环境影响评价公众参与办法》（生态环境部第 4 号令，2019 年1 月 1 日）的要求，于 202</w:t>
      </w:r>
      <w:r>
        <w:rPr>
          <w:rFonts w:hint="eastAsia"/>
          <w:color w:val="000000" w:themeColor="text1"/>
          <w:sz w:val="24"/>
          <w:highlight w:val="none"/>
          <w:lang w:val="en-US" w:eastAsia="zh-CN"/>
          <w14:textFill>
            <w14:solidFill>
              <w14:schemeClr w14:val="tx1"/>
            </w14:solidFill>
          </w14:textFill>
        </w:rPr>
        <w:t>3</w:t>
      </w:r>
      <w:r>
        <w:rPr>
          <w:rFonts w:hint="eastAsia"/>
          <w:color w:val="000000" w:themeColor="text1"/>
          <w:sz w:val="24"/>
          <w:highlight w:val="none"/>
          <w14:textFill>
            <w14:solidFill>
              <w14:schemeClr w14:val="tx1"/>
            </w14:solidFill>
          </w14:textFill>
        </w:rPr>
        <w:t>年</w:t>
      </w:r>
      <w:r>
        <w:rPr>
          <w:rFonts w:hint="eastAsia"/>
          <w:color w:val="000000" w:themeColor="text1"/>
          <w:sz w:val="24"/>
          <w:highlight w:val="none"/>
          <w:lang w:val="en-US" w:eastAsia="zh-CN"/>
          <w14:textFill>
            <w14:solidFill>
              <w14:schemeClr w14:val="tx1"/>
            </w14:solidFill>
          </w14:textFill>
        </w:rPr>
        <w:t>7</w:t>
      </w:r>
      <w:r>
        <w:rPr>
          <w:rFonts w:hint="eastAsia"/>
          <w:color w:val="000000" w:themeColor="text1"/>
          <w:sz w:val="24"/>
          <w:highlight w:val="none"/>
          <w14:textFill>
            <w14:solidFill>
              <w14:schemeClr w14:val="tx1"/>
            </w14:solidFill>
          </w14:textFill>
        </w:rPr>
        <w:t>月及20</w:t>
      </w:r>
      <w:r>
        <w:rPr>
          <w:rFonts w:hint="eastAsia"/>
          <w:color w:val="000000" w:themeColor="text1"/>
          <w:sz w:val="24"/>
          <w:highlight w:val="none"/>
          <w:lang w:val="en-US" w:eastAsia="zh-CN"/>
          <w14:textFill>
            <w14:solidFill>
              <w14:schemeClr w14:val="tx1"/>
            </w14:solidFill>
          </w14:textFill>
        </w:rPr>
        <w:t>23</w:t>
      </w:r>
      <w:r>
        <w:rPr>
          <w:rFonts w:hint="eastAsia"/>
          <w:color w:val="000000" w:themeColor="text1"/>
          <w:sz w:val="24"/>
          <w:highlight w:val="none"/>
          <w14:textFill>
            <w14:solidFill>
              <w14:schemeClr w14:val="tx1"/>
            </w14:solidFill>
          </w14:textFill>
        </w:rPr>
        <w:t>年</w:t>
      </w:r>
      <w:r>
        <w:rPr>
          <w:rFonts w:hint="eastAsia"/>
          <w:color w:val="000000" w:themeColor="text1"/>
          <w:sz w:val="24"/>
          <w:highlight w:val="none"/>
          <w:lang w:val="en-US" w:eastAsia="zh-CN"/>
          <w14:textFill>
            <w14:solidFill>
              <w14:schemeClr w14:val="tx1"/>
            </w14:solidFill>
          </w14:textFill>
        </w:rPr>
        <w:t>8</w:t>
      </w:r>
      <w:r>
        <w:rPr>
          <w:rFonts w:hint="eastAsia"/>
          <w:color w:val="000000" w:themeColor="text1"/>
          <w:sz w:val="24"/>
          <w:highlight w:val="none"/>
          <w14:textFill>
            <w14:solidFill>
              <w14:schemeClr w14:val="tx1"/>
            </w14:solidFill>
          </w14:textFill>
        </w:rPr>
        <w:t>月开展了本工程公众参与意见调查工作，在工程所在地通过报纸公示、网络公示、现场张贴等方式开展了本工程公众参与意见调查与征集工作，广泛收集来自民众的意见，对收集意见进行了整理与分析。</w:t>
      </w:r>
    </w:p>
    <w:p>
      <w:pPr>
        <w:spacing w:line="480" w:lineRule="exact"/>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通过</w:t>
      </w:r>
      <w:r>
        <w:rPr>
          <w:color w:val="000000" w:themeColor="text1"/>
          <w:sz w:val="24"/>
          <w:highlight w:val="none"/>
          <w14:textFill>
            <w14:solidFill>
              <w14:schemeClr w14:val="tx1"/>
            </w14:solidFill>
          </w14:textFill>
        </w:rPr>
        <w:t>汇总、分析论证和预测评价阶段工作所得的各种资料、数据，根据项目的环境影响、法律法规和标准等的要求，提出减少环境污染和生态影响的环境管理措施和工程措施。从环境保护的角度确定项目建设的可行性，给出评价结论和提出进一步减缓环境影响的建议。</w:t>
      </w:r>
      <w:r>
        <w:rPr>
          <w:rFonts w:hint="eastAsia"/>
          <w:color w:val="000000" w:themeColor="text1"/>
          <w:sz w:val="24"/>
          <w:highlight w:val="none"/>
          <w14:textFill>
            <w14:solidFill>
              <w14:schemeClr w14:val="tx1"/>
            </w14:solidFill>
          </w14:textFill>
        </w:rPr>
        <w:t>编制</w:t>
      </w:r>
      <w:r>
        <w:rPr>
          <w:color w:val="000000" w:themeColor="text1"/>
          <w:sz w:val="24"/>
          <w:highlight w:val="none"/>
          <w14:textFill>
            <w14:solidFill>
              <w14:schemeClr w14:val="tx1"/>
            </w14:solidFill>
          </w14:textFill>
        </w:rPr>
        <w:t>完成</w:t>
      </w:r>
      <w:r>
        <w:rPr>
          <w:rFonts w:hint="eastAsia"/>
          <w:color w:val="000000" w:themeColor="text1"/>
          <w:sz w:val="24"/>
          <w:highlight w:val="none"/>
          <w14:textFill>
            <w14:solidFill>
              <w14:schemeClr w14:val="tx1"/>
            </w14:solidFill>
          </w14:textFill>
        </w:rPr>
        <w:t>了</w:t>
      </w:r>
      <w:r>
        <w:rPr>
          <w:bCs/>
          <w:snapToGrid w:val="0"/>
          <w:color w:val="000000" w:themeColor="text1"/>
          <w:kern w:val="0"/>
          <w:sz w:val="24"/>
          <w:highlight w:val="none"/>
          <w14:textFill>
            <w14:solidFill>
              <w14:schemeClr w14:val="tx1"/>
            </w14:solidFill>
          </w14:textFill>
        </w:rPr>
        <w:t>《</w:t>
      </w:r>
      <w:r>
        <w:rPr>
          <w:rFonts w:hint="eastAsia"/>
          <w:bCs/>
          <w:snapToGrid w:val="0"/>
          <w:color w:val="000000" w:themeColor="text1"/>
          <w:kern w:val="0"/>
          <w:sz w:val="24"/>
          <w:highlight w:val="none"/>
          <w14:textFill>
            <w14:solidFill>
              <w14:schemeClr w14:val="tx1"/>
            </w14:solidFill>
          </w14:textFill>
        </w:rPr>
        <w:t>遵化市昌明水力发电有限公司</w:t>
      </w:r>
      <w:r>
        <w:rPr>
          <w:rFonts w:hint="eastAsia"/>
          <w:snapToGrid w:val="0"/>
          <w:color w:val="000000" w:themeColor="text1"/>
          <w:kern w:val="0"/>
          <w:sz w:val="24"/>
          <w:highlight w:val="none"/>
          <w14:textFill>
            <w14:solidFill>
              <w14:schemeClr w14:val="tx1"/>
            </w14:solidFill>
          </w14:textFill>
        </w:rPr>
        <w:t>遵化市黎河四级水电站</w:t>
      </w:r>
      <w:r>
        <w:rPr>
          <w:snapToGrid w:val="0"/>
          <w:color w:val="000000" w:themeColor="text1"/>
          <w:kern w:val="0"/>
          <w:sz w:val="24"/>
          <w:highlight w:val="none"/>
          <w14:textFill>
            <w14:solidFill>
              <w14:schemeClr w14:val="tx1"/>
            </w14:solidFill>
          </w14:textFill>
        </w:rPr>
        <w:t>项目环境影响报</w:t>
      </w:r>
      <w:r>
        <w:rPr>
          <w:bCs/>
          <w:snapToGrid w:val="0"/>
          <w:color w:val="000000" w:themeColor="text1"/>
          <w:kern w:val="0"/>
          <w:sz w:val="24"/>
          <w:highlight w:val="none"/>
          <w14:textFill>
            <w14:solidFill>
              <w14:schemeClr w14:val="tx1"/>
            </w14:solidFill>
          </w14:textFill>
        </w:rPr>
        <w:t>告书》</w:t>
      </w:r>
      <w:r>
        <w:rPr>
          <w:rFonts w:hint="eastAsia"/>
          <w:bCs/>
          <w:snapToGrid w:val="0"/>
          <w:color w:val="000000" w:themeColor="text1"/>
          <w:kern w:val="0"/>
          <w:sz w:val="24"/>
          <w:highlight w:val="none"/>
          <w14:textFill>
            <w14:solidFill>
              <w14:schemeClr w14:val="tx1"/>
            </w14:solidFill>
          </w14:textFill>
        </w:rPr>
        <w:t>。</w:t>
      </w:r>
    </w:p>
    <w:p>
      <w:pPr>
        <w:spacing w:line="480" w:lineRule="exact"/>
        <w:outlineLvl w:val="1"/>
        <w:rPr>
          <w:b/>
          <w:color w:val="000000" w:themeColor="text1"/>
          <w:sz w:val="24"/>
          <w:highlight w:val="none"/>
          <w14:textFill>
            <w14:solidFill>
              <w14:schemeClr w14:val="tx1"/>
            </w14:solidFill>
          </w14:textFill>
        </w:rPr>
      </w:pPr>
      <w:bookmarkStart w:id="35" w:name="_Toc29997"/>
      <w:r>
        <w:rPr>
          <w:rFonts w:hint="eastAsia"/>
          <w:b/>
          <w:color w:val="000000" w:themeColor="text1"/>
          <w:sz w:val="24"/>
          <w:highlight w:val="none"/>
          <w14:textFill>
            <w14:solidFill>
              <w14:schemeClr w14:val="tx1"/>
            </w14:solidFill>
          </w14:textFill>
        </w:rPr>
        <w:t>0.4</w:t>
      </w:r>
      <w:r>
        <w:rPr>
          <w:b/>
          <w:color w:val="000000" w:themeColor="text1"/>
          <w:sz w:val="24"/>
          <w:highlight w:val="none"/>
          <w14:textFill>
            <w14:solidFill>
              <w14:schemeClr w14:val="tx1"/>
            </w14:solidFill>
          </w14:textFill>
        </w:rPr>
        <w:t xml:space="preserve"> </w:t>
      </w:r>
      <w:r>
        <w:rPr>
          <w:rFonts w:hint="eastAsia"/>
          <w:b/>
          <w:snapToGrid w:val="0"/>
          <w:color w:val="000000" w:themeColor="text1"/>
          <w:kern w:val="0"/>
          <w:sz w:val="24"/>
          <w:highlight w:val="none"/>
          <w14:textFill>
            <w14:solidFill>
              <w14:schemeClr w14:val="tx1"/>
            </w14:solidFill>
          </w14:textFill>
        </w:rPr>
        <w:t>分析判断情况</w:t>
      </w:r>
      <w:bookmarkEnd w:id="35"/>
    </w:p>
    <w:p>
      <w:pPr>
        <w:pStyle w:val="4"/>
        <w:spacing w:before="0" w:after="0" w:line="480" w:lineRule="exact"/>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14:textFill>
            <w14:solidFill>
              <w14:schemeClr w14:val="tx1"/>
            </w14:solidFill>
          </w14:textFill>
        </w:rPr>
        <w:t>0.4</w:t>
      </w:r>
      <w:r>
        <w:rPr>
          <w:rFonts w:ascii="Times New Roman" w:hAnsi="Times New Roman" w:cs="Times New Roman"/>
          <w:color w:val="000000" w:themeColor="text1"/>
          <w:sz w:val="24"/>
          <w:szCs w:val="24"/>
          <w:highlight w:val="none"/>
          <w14:textFill>
            <w14:solidFill>
              <w14:schemeClr w14:val="tx1"/>
            </w14:solidFill>
          </w14:textFill>
        </w:rPr>
        <w:t>.1</w:t>
      </w:r>
      <w:r>
        <w:rPr>
          <w:rFonts w:hint="eastAsia" w:ascii="Times New Roman" w:hAnsi="Times New Roman" w:cs="Times New Roman"/>
          <w:color w:val="000000" w:themeColor="text1"/>
          <w:sz w:val="24"/>
          <w:szCs w:val="24"/>
          <w:highlight w:val="none"/>
          <w14:textFill>
            <w14:solidFill>
              <w14:schemeClr w14:val="tx1"/>
            </w14:solidFill>
          </w14:textFill>
        </w:rPr>
        <w:t>与</w:t>
      </w:r>
      <w:r>
        <w:rPr>
          <w:rFonts w:ascii="Times New Roman" w:hAnsi="Times New Roman" w:cs="Times New Roman"/>
          <w:color w:val="000000" w:themeColor="text1"/>
          <w:sz w:val="24"/>
          <w:szCs w:val="24"/>
          <w:highlight w:val="none"/>
          <w14:textFill>
            <w14:solidFill>
              <w14:schemeClr w14:val="tx1"/>
            </w14:solidFill>
          </w14:textFill>
        </w:rPr>
        <w:t>产业政策符合性</w:t>
      </w:r>
      <w:r>
        <w:rPr>
          <w:rFonts w:hint="eastAsia" w:ascii="Times New Roman" w:hAnsi="Times New Roman" w:cs="Times New Roman"/>
          <w:color w:val="000000" w:themeColor="text1"/>
          <w:sz w:val="24"/>
          <w:szCs w:val="24"/>
          <w:highlight w:val="none"/>
          <w14:textFill>
            <w14:solidFill>
              <w14:schemeClr w14:val="tx1"/>
            </w14:solidFill>
          </w14:textFill>
        </w:rPr>
        <w:t>分析</w:t>
      </w:r>
    </w:p>
    <w:p>
      <w:pPr>
        <w:spacing w:line="480" w:lineRule="exact"/>
        <w:ind w:firstLine="480" w:firstLineChars="200"/>
        <w:rPr>
          <w:color w:val="000000" w:themeColor="text1"/>
          <w:sz w:val="24"/>
          <w:highlight w:val="none"/>
          <w:lang w:val="en-GB"/>
          <w14:textFill>
            <w14:solidFill>
              <w14:schemeClr w14:val="tx1"/>
            </w14:solidFill>
          </w14:textFill>
        </w:rPr>
      </w:pP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本项目</w:t>
      </w:r>
      <w:r>
        <w:rPr>
          <w:rFonts w:hint="eastAsia" w:cs="Times New Roman" w:eastAsiaTheme="majorEastAsia"/>
          <w:i w:val="0"/>
          <w:iCs w:val="0"/>
          <w:caps w:val="0"/>
          <w:color w:val="auto"/>
          <w:spacing w:val="0"/>
          <w:sz w:val="24"/>
          <w:szCs w:val="24"/>
          <w:highlight w:val="none"/>
          <w:shd w:val="clear" w:fill="FFFFFF"/>
          <w:lang w:eastAsia="zh-CN"/>
        </w:rPr>
        <w:t>始</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建</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于</w:t>
      </w:r>
      <w:r>
        <w:rPr>
          <w:rFonts w:hint="eastAsia" w:cs="Times New Roman" w:eastAsiaTheme="majorEastAsia"/>
          <w:i w:val="0"/>
          <w:iCs w:val="0"/>
          <w:caps w:val="0"/>
          <w:color w:val="auto"/>
          <w:spacing w:val="0"/>
          <w:sz w:val="24"/>
          <w:szCs w:val="24"/>
          <w:highlight w:val="none"/>
          <w:shd w:val="clear" w:fill="FFFFFF"/>
          <w:lang w:val="en-US" w:eastAsia="zh-CN"/>
        </w:rPr>
        <w:t>2005</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年</w:t>
      </w:r>
      <w:r>
        <w:rPr>
          <w:snapToGrid w:val="0"/>
          <w:color w:val="auto"/>
          <w:kern w:val="0"/>
          <w:sz w:val="24"/>
          <w:highlight w:val="none"/>
        </w:rPr>
        <w:t>，</w:t>
      </w:r>
      <w:r>
        <w:rPr>
          <w:rFonts w:hint="eastAsia"/>
          <w:snapToGrid w:val="0"/>
          <w:color w:val="auto"/>
          <w:kern w:val="0"/>
          <w:sz w:val="24"/>
          <w:highlight w:val="none"/>
          <w:lang w:val="en-US" w:eastAsia="zh-CN"/>
        </w:rPr>
        <w:t>2006年10月投产</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w:t>
      </w:r>
      <w:r>
        <w:rPr>
          <w:rFonts w:hint="eastAsia" w:cs="Times New Roman" w:eastAsiaTheme="majorEastAsia"/>
          <w:i w:val="0"/>
          <w:iCs w:val="0"/>
          <w:caps w:val="0"/>
          <w:color w:val="auto"/>
          <w:spacing w:val="0"/>
          <w:sz w:val="24"/>
          <w:szCs w:val="24"/>
          <w:highlight w:val="none"/>
          <w:shd w:val="clear" w:fill="FFFFFF"/>
          <w:lang w:val="en-US" w:eastAsia="zh-CN"/>
        </w:rPr>
        <w:t>纳入河北省“九五水电规划”</w:t>
      </w:r>
      <w:r>
        <w:rPr>
          <w:rFonts w:hint="eastAsia" w:ascii="Times New Roman" w:hAnsi="Times New Roman" w:cs="Times New Roman" w:eastAsiaTheme="majorEastAsia"/>
          <w:i w:val="0"/>
          <w:iCs w:val="0"/>
          <w:caps w:val="0"/>
          <w:color w:val="auto"/>
          <w:spacing w:val="0"/>
          <w:sz w:val="24"/>
          <w:szCs w:val="24"/>
          <w:highlight w:val="none"/>
          <w:shd w:val="clear" w:fill="FFFFFF"/>
          <w:lang w:val="en-US" w:eastAsia="zh-CN"/>
        </w:rPr>
        <w:t>已经安全运行</w:t>
      </w:r>
      <w:r>
        <w:rPr>
          <w:rFonts w:hint="eastAsia" w:cs="Times New Roman" w:eastAsiaTheme="majorEastAsia"/>
          <w:i w:val="0"/>
          <w:iCs w:val="0"/>
          <w:caps w:val="0"/>
          <w:color w:val="auto"/>
          <w:spacing w:val="0"/>
          <w:sz w:val="24"/>
          <w:szCs w:val="24"/>
          <w:highlight w:val="none"/>
          <w:shd w:val="clear" w:fill="FFFFFF"/>
          <w:lang w:val="en-US" w:eastAsia="zh-CN"/>
        </w:rPr>
        <w:t>1</w:t>
      </w:r>
      <w:r>
        <w:rPr>
          <w:rFonts w:hint="eastAsia" w:ascii="Times New Roman" w:hAnsi="Times New Roman" w:cs="Times New Roman" w:eastAsiaTheme="majorEastAsia"/>
          <w:i w:val="0"/>
          <w:iCs w:val="0"/>
          <w:caps w:val="0"/>
          <w:color w:val="auto"/>
          <w:spacing w:val="0"/>
          <w:sz w:val="24"/>
          <w:szCs w:val="24"/>
          <w:highlight w:val="none"/>
          <w:shd w:val="clear" w:fill="FFFFFF"/>
          <w:lang w:val="en-US" w:eastAsia="zh-CN"/>
        </w:rPr>
        <w:t>0多年</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w:t>
      </w:r>
      <w:r>
        <w:rPr>
          <w:rFonts w:hint="eastAsia"/>
          <w:color w:val="auto"/>
          <w:sz w:val="24"/>
          <w:highlight w:val="none"/>
        </w:rPr>
        <w:t>且稳定运营</w:t>
      </w:r>
      <w:r>
        <w:rPr>
          <w:rFonts w:hint="eastAsia"/>
          <w:color w:val="auto"/>
          <w:kern w:val="0"/>
          <w:sz w:val="24"/>
          <w:highlight w:val="none"/>
        </w:rPr>
        <w:t>至今。</w:t>
      </w:r>
      <w:r>
        <w:rPr>
          <w:color w:val="000000" w:themeColor="text1"/>
          <w:kern w:val="0"/>
          <w:sz w:val="24"/>
          <w:highlight w:val="none"/>
          <w14:textFill>
            <w14:solidFill>
              <w14:schemeClr w14:val="tx1"/>
            </w14:solidFill>
          </w14:textFill>
        </w:rPr>
        <w:t>根据《产业结构调整指导目录（2019年）》，本项目</w:t>
      </w:r>
      <w:r>
        <w:rPr>
          <w:rFonts w:hint="eastAsia"/>
          <w:color w:val="000000" w:themeColor="text1"/>
          <w:kern w:val="0"/>
          <w:sz w:val="24"/>
          <w:highlight w:val="none"/>
          <w14:textFill>
            <w14:solidFill>
              <w14:schemeClr w14:val="tx1"/>
            </w14:solidFill>
          </w14:textFill>
        </w:rPr>
        <w:t>不</w:t>
      </w:r>
      <w:r>
        <w:rPr>
          <w:color w:val="000000" w:themeColor="text1"/>
          <w:kern w:val="0"/>
          <w:sz w:val="24"/>
          <w:highlight w:val="none"/>
          <w14:textFill>
            <w14:solidFill>
              <w14:schemeClr w14:val="tx1"/>
            </w14:solidFill>
          </w14:textFill>
        </w:rPr>
        <w:t>属于</w:t>
      </w:r>
      <w:r>
        <w:rPr>
          <w:rFonts w:hint="eastAsia"/>
          <w:color w:val="000000" w:themeColor="text1"/>
          <w:kern w:val="0"/>
          <w:sz w:val="24"/>
          <w:highlight w:val="none"/>
          <w14:textFill>
            <w14:solidFill>
              <w14:schemeClr w14:val="tx1"/>
            </w14:solidFill>
          </w14:textFill>
        </w:rPr>
        <w:t>限制</w:t>
      </w:r>
      <w:r>
        <w:rPr>
          <w:rFonts w:hint="eastAsia" w:ascii="宋体" w:hAnsi="宋体" w:cs="宋体"/>
          <w:color w:val="000000" w:themeColor="text1"/>
          <w:kern w:val="0"/>
          <w:sz w:val="24"/>
          <w:highlight w:val="none"/>
          <w14:textFill>
            <w14:solidFill>
              <w14:schemeClr w14:val="tx1"/>
            </w14:solidFill>
          </w14:textFill>
        </w:rPr>
        <w:t>类“无下泄生态流量的引水式水力发电”项目</w:t>
      </w:r>
      <w:r>
        <w:rPr>
          <w:color w:val="000000" w:themeColor="text1"/>
          <w:kern w:val="0"/>
          <w:sz w:val="24"/>
          <w:highlight w:val="none"/>
          <w14:textFill>
            <w14:solidFill>
              <w14:schemeClr w14:val="tx1"/>
            </w14:solidFill>
          </w14:textFill>
        </w:rPr>
        <w:t>，不属于鼓励类、限制类和淘汰类，为允许类项目</w:t>
      </w:r>
      <w:r>
        <w:rPr>
          <w:color w:val="000000" w:themeColor="text1"/>
          <w:sz w:val="24"/>
          <w:highlight w:val="none"/>
          <w:lang w:val="en-GB"/>
          <w14:textFill>
            <w14:solidFill>
              <w14:schemeClr w14:val="tx1"/>
            </w14:solidFill>
          </w14:textFill>
        </w:rPr>
        <w:t>，符合国家产业政策。</w:t>
      </w:r>
    </w:p>
    <w:p>
      <w:pPr>
        <w:spacing w:line="480" w:lineRule="exact"/>
        <w:ind w:firstLine="480" w:firstLineChars="200"/>
        <w:rPr>
          <w:color w:val="000000" w:themeColor="text1"/>
          <w:sz w:val="24"/>
          <w:highlight w:val="none"/>
          <w:lang w:val="en-GB"/>
          <w14:textFill>
            <w14:solidFill>
              <w14:schemeClr w14:val="tx1"/>
            </w14:solidFill>
          </w14:textFill>
        </w:rPr>
      </w:pPr>
      <w:r>
        <w:rPr>
          <w:rFonts w:hint="eastAsia"/>
          <w:color w:val="000000" w:themeColor="text1"/>
          <w:sz w:val="24"/>
          <w:highlight w:val="none"/>
          <w:lang w:val="en-GB"/>
          <w14:textFill>
            <w14:solidFill>
              <w14:schemeClr w14:val="tx1"/>
            </w14:solidFill>
          </w14:textFill>
        </w:rPr>
        <w:t>根据</w:t>
      </w:r>
      <w:r>
        <w:rPr>
          <w:color w:val="000000" w:themeColor="text1"/>
          <w:sz w:val="24"/>
          <w:highlight w:val="none"/>
          <w:lang w:val="en-GB"/>
          <w14:textFill>
            <w14:solidFill>
              <w14:schemeClr w14:val="tx1"/>
            </w14:solidFill>
          </w14:textFill>
        </w:rPr>
        <w:t>国家发改委、商务部发布</w:t>
      </w:r>
      <w:r>
        <w:rPr>
          <w:rFonts w:hint="eastAsia"/>
          <w:color w:val="000000" w:themeColor="text1"/>
          <w:sz w:val="24"/>
          <w:highlight w:val="none"/>
          <w:lang w:val="en-GB"/>
          <w14:textFill>
            <w14:solidFill>
              <w14:schemeClr w14:val="tx1"/>
            </w14:solidFill>
          </w14:textFill>
        </w:rPr>
        <w:t>《市场准入负面清单（20</w:t>
      </w:r>
      <w:r>
        <w:rPr>
          <w:rFonts w:hint="eastAsia"/>
          <w:color w:val="000000" w:themeColor="text1"/>
          <w:sz w:val="24"/>
          <w:highlight w:val="none"/>
          <w14:textFill>
            <w14:solidFill>
              <w14:schemeClr w14:val="tx1"/>
            </w14:solidFill>
          </w14:textFill>
        </w:rPr>
        <w:t>22</w:t>
      </w:r>
      <w:r>
        <w:rPr>
          <w:rFonts w:hint="eastAsia"/>
          <w:color w:val="000000" w:themeColor="text1"/>
          <w:sz w:val="24"/>
          <w:highlight w:val="none"/>
          <w:lang w:val="en-GB"/>
          <w14:textFill>
            <w14:solidFill>
              <w14:schemeClr w14:val="tx1"/>
            </w14:solidFill>
          </w14:textFill>
        </w:rPr>
        <w:t xml:space="preserve"> 年版）》，水电未列入其中，即本电站不属于负面清单项目。</w:t>
      </w:r>
    </w:p>
    <w:p>
      <w:pPr>
        <w:autoSpaceDE w:val="0"/>
        <w:autoSpaceDN w:val="0"/>
        <w:adjustRightInd w:val="0"/>
        <w:spacing w:line="480" w:lineRule="exact"/>
        <w:ind w:firstLine="480"/>
        <w:rPr>
          <w:color w:val="000000" w:themeColor="text1"/>
          <w:sz w:val="24"/>
          <w:highlight w:val="none"/>
          <w:lang w:val="en-GB"/>
          <w14:textFill>
            <w14:solidFill>
              <w14:schemeClr w14:val="tx1"/>
            </w14:solidFill>
          </w14:textFill>
        </w:rPr>
      </w:pPr>
      <w:r>
        <w:rPr>
          <w:color w:val="000000" w:themeColor="text1"/>
          <w:sz w:val="24"/>
          <w:highlight w:val="none"/>
          <w:lang w:val="en-GB"/>
          <w14:textFill>
            <w14:solidFill>
              <w14:schemeClr w14:val="tx1"/>
            </w14:solidFill>
          </w14:textFill>
        </w:rPr>
        <w:t>根据《河北省新增限制和淘汰产业目录（</w:t>
      </w:r>
      <w:r>
        <w:rPr>
          <w:color w:val="000000" w:themeColor="text1"/>
          <w:sz w:val="24"/>
          <w:highlight w:val="none"/>
          <w14:textFill>
            <w14:solidFill>
              <w14:schemeClr w14:val="tx1"/>
            </w14:solidFill>
          </w14:textFill>
        </w:rPr>
        <w:t>2015年版）</w:t>
      </w:r>
      <w:r>
        <w:rPr>
          <w:color w:val="000000" w:themeColor="text1"/>
          <w:sz w:val="24"/>
          <w:highlight w:val="none"/>
          <w:lang w:val="en-GB"/>
          <w14:textFill>
            <w14:solidFill>
              <w14:schemeClr w14:val="tx1"/>
            </w14:solidFill>
          </w14:textFill>
        </w:rPr>
        <w:t>》等相关文件要求，本项目不属于</w:t>
      </w:r>
      <w:r>
        <w:rPr>
          <w:rFonts w:hint="eastAsia"/>
          <w:color w:val="000000" w:themeColor="text1"/>
          <w:sz w:val="24"/>
          <w:highlight w:val="none"/>
          <w14:textFill>
            <w14:solidFill>
              <w14:schemeClr w14:val="tx1"/>
            </w14:solidFill>
          </w14:textFill>
        </w:rPr>
        <w:t>限制</w:t>
      </w:r>
      <w:r>
        <w:rPr>
          <w:color w:val="000000" w:themeColor="text1"/>
          <w:sz w:val="24"/>
          <w:highlight w:val="none"/>
          <w:lang w:val="en-GB"/>
          <w14:textFill>
            <w14:solidFill>
              <w14:schemeClr w14:val="tx1"/>
            </w14:solidFill>
          </w14:textFill>
        </w:rPr>
        <w:t>和淘汰类建设项目。</w:t>
      </w:r>
    </w:p>
    <w:p>
      <w:pPr>
        <w:autoSpaceDE w:val="0"/>
        <w:autoSpaceDN w:val="0"/>
        <w:adjustRightInd w:val="0"/>
        <w:spacing w:line="480" w:lineRule="exact"/>
        <w:ind w:firstLine="480"/>
        <w:rPr>
          <w:color w:val="000000" w:themeColor="text1"/>
          <w:sz w:val="24"/>
          <w:highlight w:val="none"/>
          <w:lang w:val="en-GB"/>
          <w14:textFill>
            <w14:solidFill>
              <w14:schemeClr w14:val="tx1"/>
            </w14:solidFill>
          </w14:textFill>
        </w:rPr>
      </w:pPr>
      <w:r>
        <w:rPr>
          <w:color w:val="000000" w:themeColor="text1"/>
          <w:kern w:val="0"/>
          <w:sz w:val="24"/>
          <w:highlight w:val="none"/>
          <w14:textFill>
            <w14:solidFill>
              <w14:schemeClr w14:val="tx1"/>
            </w14:solidFill>
          </w14:textFill>
        </w:rPr>
        <w:t>项目</w:t>
      </w:r>
      <w:r>
        <w:rPr>
          <w:rFonts w:asciiTheme="minorEastAsia" w:hAnsiTheme="minorEastAsia" w:eastAsiaTheme="minorEastAsia"/>
          <w:color w:val="000000" w:themeColor="text1"/>
          <w:kern w:val="0"/>
          <w:sz w:val="24"/>
          <w:highlight w:val="none"/>
          <w14:textFill>
            <w14:solidFill>
              <w14:schemeClr w14:val="tx1"/>
            </w14:solidFill>
          </w14:textFill>
        </w:rPr>
        <w:t>利用“</w:t>
      </w:r>
      <w:r>
        <w:rPr>
          <w:rFonts w:asciiTheme="minorEastAsia" w:hAnsiTheme="minorEastAsia" w:eastAsiaTheme="minorEastAsia"/>
          <w:snapToGrid w:val="0"/>
          <w:color w:val="000000" w:themeColor="text1"/>
          <w:kern w:val="0"/>
          <w:sz w:val="24"/>
          <w:highlight w:val="none"/>
          <w14:textFill>
            <w14:solidFill>
              <w14:schemeClr w14:val="tx1"/>
            </w14:solidFill>
          </w14:textFill>
        </w:rPr>
        <w:t>引滦入津工程</w:t>
      </w:r>
      <w:r>
        <w:rPr>
          <w:rFonts w:asciiTheme="minorEastAsia" w:hAnsiTheme="minorEastAsia" w:eastAsiaTheme="minorEastAsia"/>
          <w:color w:val="000000" w:themeColor="text1"/>
          <w:kern w:val="0"/>
          <w:sz w:val="24"/>
          <w:highlight w:val="none"/>
          <w14:textFill>
            <w14:solidFill>
              <w14:schemeClr w14:val="tx1"/>
            </w14:solidFill>
          </w14:textFill>
        </w:rPr>
        <w:t>”输水时段进行发电，“</w:t>
      </w:r>
      <w:r>
        <w:rPr>
          <w:rFonts w:asciiTheme="minorEastAsia" w:hAnsiTheme="minorEastAsia" w:eastAsiaTheme="minorEastAsia"/>
          <w:snapToGrid w:val="0"/>
          <w:color w:val="000000" w:themeColor="text1"/>
          <w:kern w:val="0"/>
          <w:sz w:val="24"/>
          <w:highlight w:val="none"/>
          <w14:textFill>
            <w14:solidFill>
              <w14:schemeClr w14:val="tx1"/>
            </w14:solidFill>
          </w14:textFill>
        </w:rPr>
        <w:t>引滦入津工程</w:t>
      </w:r>
      <w:r>
        <w:rPr>
          <w:rFonts w:asciiTheme="minorEastAsia" w:hAnsiTheme="minorEastAsia" w:eastAsiaTheme="minorEastAsia"/>
          <w:color w:val="000000" w:themeColor="text1"/>
          <w:kern w:val="0"/>
          <w:sz w:val="24"/>
          <w:highlight w:val="none"/>
          <w14:textFill>
            <w14:solidFill>
              <w14:schemeClr w14:val="tx1"/>
            </w14:solidFill>
          </w14:textFill>
        </w:rPr>
        <w:t>”全年平均引水时</w:t>
      </w:r>
      <w:r>
        <w:rPr>
          <w:color w:val="000000" w:themeColor="text1"/>
          <w:kern w:val="0"/>
          <w:sz w:val="24"/>
          <w:highlight w:val="none"/>
          <w14:textFill>
            <w14:solidFill>
              <w14:schemeClr w14:val="tx1"/>
            </w14:solidFill>
          </w14:textFill>
        </w:rPr>
        <w:t>间约2911</w:t>
      </w:r>
      <w:r>
        <w:rPr>
          <w:rFonts w:hint="eastAsia"/>
          <w:color w:val="000000" w:themeColor="text1"/>
          <w:kern w:val="0"/>
          <w:sz w:val="24"/>
          <w:highlight w:val="none"/>
          <w14:textFill>
            <w14:solidFill>
              <w14:schemeClr w14:val="tx1"/>
            </w14:solidFill>
          </w14:textFill>
        </w:rPr>
        <w:t>h</w:t>
      </w:r>
      <w:r>
        <w:rPr>
          <w:color w:val="000000" w:themeColor="text1"/>
          <w:kern w:val="0"/>
          <w:sz w:val="24"/>
          <w:highlight w:val="none"/>
          <w14:textFill>
            <w14:solidFill>
              <w14:schemeClr w14:val="tx1"/>
            </w14:solidFill>
          </w14:textFill>
        </w:rPr>
        <w:t>，其它时段不输水，</w:t>
      </w:r>
      <w:r>
        <w:rPr>
          <w:rFonts w:hint="eastAsia"/>
          <w:color w:val="000000" w:themeColor="text1"/>
          <w:kern w:val="0"/>
          <w:sz w:val="24"/>
          <w:highlight w:val="none"/>
          <w14:textFill>
            <w14:solidFill>
              <w14:schemeClr w14:val="tx1"/>
            </w14:solidFill>
          </w14:textFill>
        </w:rPr>
        <w:t>故本项目</w:t>
      </w:r>
      <w:r>
        <w:rPr>
          <w:color w:val="000000" w:themeColor="text1"/>
          <w:kern w:val="0"/>
          <w:sz w:val="24"/>
          <w:highlight w:val="none"/>
          <w14:textFill>
            <w14:solidFill>
              <w14:schemeClr w14:val="tx1"/>
            </w14:solidFill>
          </w14:textFill>
        </w:rPr>
        <w:t>不输水</w:t>
      </w:r>
      <w:r>
        <w:rPr>
          <w:rFonts w:hint="eastAsia"/>
          <w:color w:val="000000" w:themeColor="text1"/>
          <w:kern w:val="0"/>
          <w:sz w:val="24"/>
          <w:highlight w:val="none"/>
          <w14:textFill>
            <w14:solidFill>
              <w14:schemeClr w14:val="tx1"/>
            </w14:solidFill>
          </w14:textFill>
        </w:rPr>
        <w:t>时</w:t>
      </w:r>
      <w:r>
        <w:rPr>
          <w:color w:val="000000" w:themeColor="text1"/>
          <w:kern w:val="0"/>
          <w:sz w:val="24"/>
          <w:highlight w:val="none"/>
          <w14:textFill>
            <w14:solidFill>
              <w14:schemeClr w14:val="tx1"/>
            </w14:solidFill>
          </w14:textFill>
        </w:rPr>
        <w:t>不发电</w:t>
      </w:r>
      <w:r>
        <w:rPr>
          <w:rFonts w:hint="eastAsia"/>
          <w:color w:val="000000" w:themeColor="text1"/>
          <w:kern w:val="0"/>
          <w:sz w:val="24"/>
          <w:highlight w:val="none"/>
          <w14:textFill>
            <w14:solidFill>
              <w14:schemeClr w14:val="tx1"/>
            </w14:solidFill>
          </w14:textFill>
        </w:rPr>
        <w:t>。</w:t>
      </w:r>
      <w:r>
        <w:rPr>
          <w:color w:val="000000" w:themeColor="text1"/>
          <w:kern w:val="0"/>
          <w:sz w:val="24"/>
          <w:highlight w:val="none"/>
          <w14:textFill>
            <w14:solidFill>
              <w14:schemeClr w14:val="tx1"/>
            </w14:solidFill>
          </w14:textFill>
        </w:rPr>
        <w:t>本项目开发利用</w:t>
      </w:r>
      <w:r>
        <w:rPr>
          <w:snapToGrid w:val="0"/>
          <w:color w:val="000000" w:themeColor="text1"/>
          <w:kern w:val="0"/>
          <w:sz w:val="24"/>
          <w:highlight w:val="none"/>
          <w14:textFill>
            <w14:solidFill>
              <w14:schemeClr w14:val="tx1"/>
            </w14:solidFill>
          </w14:textFill>
        </w:rPr>
        <w:t>引滦入津工程黎河段，根据1992年8月批复的《引滦入津黎河上段水能利用规划报告》[（1992）津水规70号]</w:t>
      </w:r>
      <w:r>
        <w:rPr>
          <w:color w:val="000000" w:themeColor="text1"/>
          <w:kern w:val="0"/>
          <w:sz w:val="24"/>
          <w:highlight w:val="none"/>
          <w14:textFill>
            <w14:solidFill>
              <w14:schemeClr w14:val="tx1"/>
            </w14:solidFill>
          </w14:textFill>
        </w:rPr>
        <w:t>。本项目在利用范围内</w:t>
      </w:r>
      <w:r>
        <w:rPr>
          <w:rFonts w:hint="eastAsia"/>
          <w:color w:val="000000" w:themeColor="text1"/>
          <w:sz w:val="24"/>
          <w:highlight w:val="none"/>
          <w:lang w:val="en-GB" w:eastAsia="zh-CN"/>
          <w14:textFill>
            <w14:solidFill>
              <w14:schemeClr w14:val="tx1"/>
            </w14:solidFill>
          </w14:textFill>
        </w:rPr>
        <w:t>，</w:t>
      </w:r>
      <w:r>
        <w:rPr>
          <w:rFonts w:hint="eastAsia" w:eastAsiaTheme="majorEastAsia"/>
          <w:color w:val="auto"/>
          <w:kern w:val="0"/>
          <w:sz w:val="24"/>
          <w:highlight w:val="none"/>
          <w:lang w:eastAsia="zh-CN"/>
        </w:rPr>
        <w:t>且</w:t>
      </w:r>
      <w:r>
        <w:rPr>
          <w:rFonts w:hint="eastAsia" w:cs="Times New Roman" w:eastAsiaTheme="majorEastAsia"/>
          <w:i w:val="0"/>
          <w:iCs w:val="0"/>
          <w:caps w:val="0"/>
          <w:color w:val="auto"/>
          <w:spacing w:val="0"/>
          <w:sz w:val="24"/>
          <w:szCs w:val="24"/>
          <w:highlight w:val="none"/>
          <w:shd w:val="clear" w:fill="FFFFFF"/>
          <w:lang w:val="en-US" w:eastAsia="zh-CN"/>
        </w:rPr>
        <w:t>纳入河北省“九五水电规划”</w:t>
      </w:r>
      <w:r>
        <w:rPr>
          <w:rFonts w:hint="eastAsia" w:ascii="Times New Roman" w:hAnsi="Times New Roman" w:cs="Times New Roman" w:eastAsiaTheme="majorEastAsia"/>
          <w:i w:val="0"/>
          <w:iCs w:val="0"/>
          <w:caps w:val="0"/>
          <w:color w:val="auto"/>
          <w:spacing w:val="0"/>
          <w:sz w:val="24"/>
          <w:szCs w:val="24"/>
          <w:highlight w:val="none"/>
          <w:shd w:val="clear" w:fill="FFFFFF"/>
          <w:lang w:val="en-US" w:eastAsia="zh-CN"/>
        </w:rPr>
        <w:t>已经安全运行多年</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w:t>
      </w:r>
      <w:r>
        <w:rPr>
          <w:rFonts w:hint="eastAsia"/>
          <w:color w:val="auto"/>
          <w:sz w:val="24"/>
          <w:highlight w:val="none"/>
        </w:rPr>
        <w:t>且稳定运营</w:t>
      </w:r>
      <w:r>
        <w:rPr>
          <w:rFonts w:hint="eastAsia"/>
          <w:color w:val="auto"/>
          <w:kern w:val="0"/>
          <w:sz w:val="24"/>
          <w:highlight w:val="none"/>
        </w:rPr>
        <w:t>至今。</w:t>
      </w:r>
      <w:r>
        <w:rPr>
          <w:rFonts w:hint="eastAsia"/>
          <w:color w:val="000000" w:themeColor="text1"/>
          <w:sz w:val="24"/>
          <w:highlight w:val="none"/>
          <w:lang w:val="en-GB"/>
          <w14:textFill>
            <w14:solidFill>
              <w14:schemeClr w14:val="tx1"/>
            </w14:solidFill>
          </w14:textFill>
        </w:rPr>
        <w:t>产业政策符合性分析见表</w:t>
      </w:r>
      <w:r>
        <w:rPr>
          <w:rFonts w:hint="eastAsia"/>
          <w:color w:val="000000" w:themeColor="text1"/>
          <w:sz w:val="24"/>
          <w:highlight w:val="none"/>
          <w14:textFill>
            <w14:solidFill>
              <w14:schemeClr w14:val="tx1"/>
            </w14:solidFill>
          </w14:textFill>
        </w:rPr>
        <w:t>0.4</w:t>
      </w:r>
      <w:r>
        <w:rPr>
          <w:rFonts w:hint="eastAsia"/>
          <w:color w:val="000000" w:themeColor="text1"/>
          <w:sz w:val="24"/>
          <w:highlight w:val="none"/>
          <w:lang w:val="en-GB"/>
          <w14:textFill>
            <w14:solidFill>
              <w14:schemeClr w14:val="tx1"/>
            </w14:solidFill>
          </w14:textFill>
        </w:rPr>
        <w:t>-1。</w:t>
      </w:r>
    </w:p>
    <w:p>
      <w:pPr>
        <w:autoSpaceDE w:val="0"/>
        <w:autoSpaceDN w:val="0"/>
        <w:adjustRightInd w:val="0"/>
        <w:spacing w:line="480" w:lineRule="exact"/>
        <w:jc w:val="center"/>
        <w:rPr>
          <w:color w:val="000000" w:themeColor="text1"/>
          <w:sz w:val="24"/>
          <w:highlight w:val="none"/>
          <w:lang w:val="en-GB"/>
          <w14:textFill>
            <w14:solidFill>
              <w14:schemeClr w14:val="tx1"/>
            </w14:solidFill>
          </w14:textFill>
        </w:rPr>
      </w:pPr>
      <w:r>
        <w:rPr>
          <w:rFonts w:hint="eastAsia"/>
          <w:b/>
          <w:color w:val="000000" w:themeColor="text1"/>
          <w:sz w:val="24"/>
          <w:highlight w:val="none"/>
          <w:lang w:val="en-GB"/>
          <w14:textFill>
            <w14:solidFill>
              <w14:schemeClr w14:val="tx1"/>
            </w14:solidFill>
          </w14:textFill>
        </w:rPr>
        <w:t>表</w:t>
      </w:r>
      <w:r>
        <w:rPr>
          <w:rFonts w:hint="eastAsia"/>
          <w:b/>
          <w:color w:val="000000" w:themeColor="text1"/>
          <w:sz w:val="24"/>
          <w:highlight w:val="none"/>
          <w14:textFill>
            <w14:solidFill>
              <w14:schemeClr w14:val="tx1"/>
            </w14:solidFill>
          </w14:textFill>
        </w:rPr>
        <w:t>0.4</w:t>
      </w:r>
      <w:r>
        <w:rPr>
          <w:rFonts w:hint="eastAsia"/>
          <w:b/>
          <w:color w:val="000000" w:themeColor="text1"/>
          <w:sz w:val="24"/>
          <w:highlight w:val="none"/>
          <w:lang w:val="en-GB"/>
          <w14:textFill>
            <w14:solidFill>
              <w14:schemeClr w14:val="tx1"/>
            </w14:solidFill>
          </w14:textFill>
        </w:rPr>
        <w:t>-1</w:t>
      </w:r>
      <w:r>
        <w:rPr>
          <w:rFonts w:hint="eastAsia"/>
          <w:color w:val="000000" w:themeColor="text1"/>
          <w:sz w:val="24"/>
          <w:highlight w:val="none"/>
          <w:lang w:val="en-GB"/>
          <w14:textFill>
            <w14:solidFill>
              <w14:schemeClr w14:val="tx1"/>
            </w14:solidFill>
          </w14:textFill>
        </w:rPr>
        <w:t xml:space="preserve">  </w:t>
      </w:r>
      <w:r>
        <w:rPr>
          <w:rFonts w:hint="eastAsia"/>
          <w:b/>
          <w:color w:val="000000" w:themeColor="text1"/>
          <w:sz w:val="24"/>
          <w:highlight w:val="none"/>
          <w:lang w:val="en-GB"/>
          <w14:textFill>
            <w14:solidFill>
              <w14:schemeClr w14:val="tx1"/>
            </w14:solidFill>
          </w14:textFill>
        </w:rPr>
        <w:t>产业政策符合性分析表</w:t>
      </w:r>
    </w:p>
    <w:tbl>
      <w:tblPr>
        <w:tblStyle w:val="52"/>
        <w:tblW w:w="826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67"/>
        <w:gridCol w:w="2944"/>
        <w:gridCol w:w="1875"/>
        <w:gridCol w:w="13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7" w:type="dxa"/>
          </w:tcPr>
          <w:p>
            <w:pPr>
              <w:autoSpaceDE w:val="0"/>
              <w:autoSpaceDN w:val="0"/>
              <w:adjustRightInd w:val="0"/>
              <w:spacing w:line="300" w:lineRule="exact"/>
              <w:jc w:val="center"/>
              <w:rPr>
                <w:color w:val="000000" w:themeColor="text1"/>
                <w:szCs w:val="21"/>
                <w:highlight w:val="none"/>
                <w:lang w:val="en-GB"/>
                <w14:textFill>
                  <w14:solidFill>
                    <w14:schemeClr w14:val="tx1"/>
                  </w14:solidFill>
                </w14:textFill>
              </w:rPr>
            </w:pPr>
            <w:r>
              <w:rPr>
                <w:rFonts w:hint="eastAsia"/>
                <w:color w:val="000000" w:themeColor="text1"/>
                <w:szCs w:val="21"/>
                <w:highlight w:val="none"/>
                <w:lang w:val="en-GB"/>
                <w14:textFill>
                  <w14:solidFill>
                    <w14:schemeClr w14:val="tx1"/>
                  </w14:solidFill>
                </w14:textFill>
              </w:rPr>
              <w:t>文件</w:t>
            </w:r>
          </w:p>
        </w:tc>
        <w:tc>
          <w:tcPr>
            <w:tcW w:w="2944" w:type="dxa"/>
          </w:tcPr>
          <w:p>
            <w:pPr>
              <w:autoSpaceDE w:val="0"/>
              <w:autoSpaceDN w:val="0"/>
              <w:adjustRightInd w:val="0"/>
              <w:spacing w:line="300" w:lineRule="exact"/>
              <w:jc w:val="center"/>
              <w:rPr>
                <w:color w:val="000000" w:themeColor="text1"/>
                <w:szCs w:val="21"/>
                <w:highlight w:val="none"/>
                <w:lang w:val="en-GB"/>
                <w14:textFill>
                  <w14:solidFill>
                    <w14:schemeClr w14:val="tx1"/>
                  </w14:solidFill>
                </w14:textFill>
              </w:rPr>
            </w:pPr>
            <w:r>
              <w:rPr>
                <w:rFonts w:hint="eastAsia"/>
                <w:color w:val="000000" w:themeColor="text1"/>
                <w:szCs w:val="21"/>
                <w:highlight w:val="none"/>
                <w:lang w:val="en-GB"/>
                <w14:textFill>
                  <w14:solidFill>
                    <w14:schemeClr w14:val="tx1"/>
                  </w14:solidFill>
                </w14:textFill>
              </w:rPr>
              <w:t>产业政策</w:t>
            </w:r>
          </w:p>
        </w:tc>
        <w:tc>
          <w:tcPr>
            <w:tcW w:w="1875" w:type="dxa"/>
          </w:tcPr>
          <w:p>
            <w:pPr>
              <w:autoSpaceDE w:val="0"/>
              <w:autoSpaceDN w:val="0"/>
              <w:adjustRightInd w:val="0"/>
              <w:spacing w:line="300" w:lineRule="exact"/>
              <w:jc w:val="center"/>
              <w:rPr>
                <w:color w:val="000000" w:themeColor="text1"/>
                <w:szCs w:val="21"/>
                <w:highlight w:val="none"/>
                <w:lang w:val="en-GB"/>
                <w14:textFill>
                  <w14:solidFill>
                    <w14:schemeClr w14:val="tx1"/>
                  </w14:solidFill>
                </w14:textFill>
              </w:rPr>
            </w:pPr>
            <w:r>
              <w:rPr>
                <w:rFonts w:hint="eastAsia"/>
                <w:color w:val="000000" w:themeColor="text1"/>
                <w:szCs w:val="21"/>
                <w:highlight w:val="none"/>
                <w:lang w:val="en-GB"/>
                <w14:textFill>
                  <w14:solidFill>
                    <w14:schemeClr w14:val="tx1"/>
                  </w14:solidFill>
                </w14:textFill>
              </w:rPr>
              <w:t>本项目</w:t>
            </w:r>
          </w:p>
        </w:tc>
        <w:tc>
          <w:tcPr>
            <w:tcW w:w="1375" w:type="dxa"/>
          </w:tcPr>
          <w:p>
            <w:pPr>
              <w:autoSpaceDE w:val="0"/>
              <w:autoSpaceDN w:val="0"/>
              <w:adjustRightInd w:val="0"/>
              <w:spacing w:line="300" w:lineRule="exact"/>
              <w:rPr>
                <w:color w:val="000000" w:themeColor="text1"/>
                <w:szCs w:val="21"/>
                <w:highlight w:val="none"/>
                <w:lang w:val="en-GB"/>
                <w14:textFill>
                  <w14:solidFill>
                    <w14:schemeClr w14:val="tx1"/>
                  </w14:solidFill>
                </w14:textFill>
              </w:rPr>
            </w:pPr>
            <w:r>
              <w:rPr>
                <w:rFonts w:hint="eastAsia"/>
                <w:color w:val="000000" w:themeColor="text1"/>
                <w:szCs w:val="21"/>
                <w:highlight w:val="none"/>
                <w:lang w:val="en-GB"/>
                <w14:textFill>
                  <w14:solidFill>
                    <w14:schemeClr w14:val="tx1"/>
                  </w14:solidFill>
                </w14:textFill>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7" w:type="dxa"/>
            <w:vMerge w:val="restart"/>
            <w:vAlign w:val="center"/>
          </w:tcPr>
          <w:p>
            <w:pPr>
              <w:autoSpaceDE w:val="0"/>
              <w:autoSpaceDN w:val="0"/>
              <w:adjustRightInd w:val="0"/>
              <w:spacing w:line="300" w:lineRule="exact"/>
              <w:rPr>
                <w:color w:val="000000" w:themeColor="text1"/>
                <w:szCs w:val="21"/>
                <w:highlight w:val="none"/>
                <w:lang w:val="en-GB"/>
                <w14:textFill>
                  <w14:solidFill>
                    <w14:schemeClr w14:val="tx1"/>
                  </w14:solidFill>
                </w14:textFill>
              </w:rPr>
            </w:pPr>
            <w:r>
              <w:rPr>
                <w:rFonts w:hint="eastAsia"/>
                <w:color w:val="000000" w:themeColor="text1"/>
                <w:szCs w:val="21"/>
                <w:highlight w:val="none"/>
                <w:lang w:val="en-GB"/>
                <w14:textFill>
                  <w14:solidFill>
                    <w14:schemeClr w14:val="tx1"/>
                  </w14:solidFill>
                </w14:textFill>
              </w:rPr>
              <w:t>产业结构调整指导目录（20</w:t>
            </w:r>
            <w:r>
              <w:rPr>
                <w:rFonts w:hint="eastAsia"/>
                <w:color w:val="000000" w:themeColor="text1"/>
                <w:szCs w:val="21"/>
                <w:highlight w:val="none"/>
                <w14:textFill>
                  <w14:solidFill>
                    <w14:schemeClr w14:val="tx1"/>
                  </w14:solidFill>
                </w14:textFill>
              </w:rPr>
              <w:t>19</w:t>
            </w:r>
            <w:r>
              <w:rPr>
                <w:rFonts w:hint="eastAsia"/>
                <w:color w:val="000000" w:themeColor="text1"/>
                <w:szCs w:val="21"/>
                <w:highlight w:val="none"/>
                <w:lang w:val="en-GB"/>
                <w14:textFill>
                  <w14:solidFill>
                    <w14:schemeClr w14:val="tx1"/>
                  </w14:solidFill>
                </w14:textFill>
              </w:rPr>
              <w:t xml:space="preserve"> 年本）</w:t>
            </w:r>
          </w:p>
        </w:tc>
        <w:tc>
          <w:tcPr>
            <w:tcW w:w="2944" w:type="dxa"/>
          </w:tcPr>
          <w:p>
            <w:pPr>
              <w:autoSpaceDE w:val="0"/>
              <w:autoSpaceDN w:val="0"/>
              <w:adjustRightInd w:val="0"/>
              <w:spacing w:line="300" w:lineRule="exact"/>
              <w:jc w:val="left"/>
              <w:rPr>
                <w:color w:val="000000" w:themeColor="text1"/>
                <w:szCs w:val="21"/>
                <w:highlight w:val="none"/>
                <w:lang w:val="en-GB"/>
                <w14:textFill>
                  <w14:solidFill>
                    <w14:schemeClr w14:val="tx1"/>
                  </w14:solidFill>
                </w14:textFill>
              </w:rPr>
            </w:pPr>
            <w:r>
              <w:rPr>
                <w:rFonts w:hint="eastAsia"/>
                <w:color w:val="000000" w:themeColor="text1"/>
                <w:szCs w:val="21"/>
                <w:highlight w:val="none"/>
                <w:lang w:val="en-GB"/>
                <w14:textFill>
                  <w14:solidFill>
                    <w14:schemeClr w14:val="tx1"/>
                  </w14:solidFill>
                </w14:textFill>
              </w:rPr>
              <w:t>第一类鼓励类：四、电力；1、大中型水力发电及抽水蓄能电站</w:t>
            </w:r>
          </w:p>
        </w:tc>
        <w:tc>
          <w:tcPr>
            <w:tcW w:w="1875" w:type="dxa"/>
            <w:vAlign w:val="center"/>
          </w:tcPr>
          <w:p>
            <w:pPr>
              <w:autoSpaceDE w:val="0"/>
              <w:autoSpaceDN w:val="0"/>
              <w:adjustRightInd w:val="0"/>
              <w:spacing w:line="300" w:lineRule="exact"/>
              <w:rPr>
                <w:color w:val="000000" w:themeColor="text1"/>
                <w:szCs w:val="21"/>
                <w:highlight w:val="none"/>
                <w:lang w:val="en-GB"/>
                <w14:textFill>
                  <w14:solidFill>
                    <w14:schemeClr w14:val="tx1"/>
                  </w14:solidFill>
                </w14:textFill>
              </w:rPr>
            </w:pPr>
            <w:r>
              <w:rPr>
                <w:rFonts w:hint="eastAsia"/>
                <w:color w:val="000000" w:themeColor="text1"/>
                <w:szCs w:val="21"/>
                <w:highlight w:val="none"/>
                <w:lang w:val="en-GB"/>
                <w14:textFill>
                  <w14:solidFill>
                    <w14:schemeClr w14:val="tx1"/>
                  </w14:solidFill>
                </w14:textFill>
              </w:rPr>
              <w:t>本项目为引水式发电站，不属于鼓励类</w:t>
            </w:r>
          </w:p>
        </w:tc>
        <w:tc>
          <w:tcPr>
            <w:tcW w:w="1375" w:type="dxa"/>
            <w:vMerge w:val="restart"/>
            <w:vAlign w:val="center"/>
          </w:tcPr>
          <w:p>
            <w:pPr>
              <w:autoSpaceDE w:val="0"/>
              <w:autoSpaceDN w:val="0"/>
              <w:adjustRightInd w:val="0"/>
              <w:spacing w:line="300" w:lineRule="exact"/>
              <w:rPr>
                <w:color w:val="000000" w:themeColor="text1"/>
                <w:szCs w:val="21"/>
                <w:highlight w:val="none"/>
                <w:lang w:val="en-GB"/>
                <w14:textFill>
                  <w14:solidFill>
                    <w14:schemeClr w14:val="tx1"/>
                  </w14:solidFill>
                </w14:textFill>
              </w:rPr>
            </w:pPr>
            <w:r>
              <w:rPr>
                <w:rFonts w:hint="eastAsia"/>
                <w:color w:val="000000" w:themeColor="text1"/>
                <w:szCs w:val="21"/>
                <w:highlight w:val="none"/>
                <w14:textFill>
                  <w14:solidFill>
                    <w14:schemeClr w14:val="tx1"/>
                  </w14:solidFill>
                </w14:textFill>
              </w:rPr>
              <w:t>本项目不属于鼓励类、不属于限制类，属于允许类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7" w:type="dxa"/>
            <w:vMerge w:val="continue"/>
          </w:tcPr>
          <w:p>
            <w:pPr>
              <w:autoSpaceDE w:val="0"/>
              <w:autoSpaceDN w:val="0"/>
              <w:adjustRightInd w:val="0"/>
              <w:spacing w:line="300" w:lineRule="exact"/>
              <w:jc w:val="center"/>
              <w:rPr>
                <w:color w:val="000000" w:themeColor="text1"/>
                <w:szCs w:val="21"/>
                <w:highlight w:val="none"/>
                <w:lang w:val="en-GB"/>
                <w14:textFill>
                  <w14:solidFill>
                    <w14:schemeClr w14:val="tx1"/>
                  </w14:solidFill>
                </w14:textFill>
              </w:rPr>
            </w:pPr>
          </w:p>
        </w:tc>
        <w:tc>
          <w:tcPr>
            <w:tcW w:w="2944" w:type="dxa"/>
          </w:tcPr>
          <w:p>
            <w:pPr>
              <w:autoSpaceDE w:val="0"/>
              <w:autoSpaceDN w:val="0"/>
              <w:adjustRightInd w:val="0"/>
              <w:spacing w:line="300" w:lineRule="exact"/>
              <w:jc w:val="left"/>
              <w:rPr>
                <w:color w:val="000000" w:themeColor="text1"/>
                <w:szCs w:val="21"/>
                <w:highlight w:val="none"/>
                <w:lang w:val="en-GB"/>
                <w14:textFill>
                  <w14:solidFill>
                    <w14:schemeClr w14:val="tx1"/>
                  </w14:solidFill>
                </w14:textFill>
              </w:rPr>
            </w:pPr>
            <w:r>
              <w:rPr>
                <w:rFonts w:hint="eastAsia"/>
                <w:color w:val="000000" w:themeColor="text1"/>
                <w:szCs w:val="21"/>
                <w:highlight w:val="none"/>
                <w:lang w:val="en-GB"/>
                <w14:textFill>
                  <w14:solidFill>
                    <w14:schemeClr w14:val="tx1"/>
                  </w14:solidFill>
                </w14:textFill>
              </w:rPr>
              <w:t>第二类 限制类：三、电力，2、无下泄生态流量的引水式水力发电</w:t>
            </w:r>
          </w:p>
        </w:tc>
        <w:tc>
          <w:tcPr>
            <w:tcW w:w="1875" w:type="dxa"/>
            <w:vAlign w:val="center"/>
          </w:tcPr>
          <w:p>
            <w:pPr>
              <w:autoSpaceDE w:val="0"/>
              <w:autoSpaceDN w:val="0"/>
              <w:adjustRightInd w:val="0"/>
              <w:spacing w:line="300" w:lineRule="exact"/>
              <w:rPr>
                <w:color w:val="000000" w:themeColor="text1"/>
                <w:szCs w:val="21"/>
                <w:highlight w:val="none"/>
                <w:lang w:val="en-GB"/>
                <w14:textFill>
                  <w14:solidFill>
                    <w14:schemeClr w14:val="tx1"/>
                  </w14:solidFill>
                </w14:textFill>
              </w:rPr>
            </w:pPr>
            <w:r>
              <w:rPr>
                <w:rFonts w:hint="eastAsia"/>
                <w:color w:val="000000" w:themeColor="text1"/>
                <w:szCs w:val="21"/>
                <w:highlight w:val="none"/>
                <w:lang w:val="en-GB"/>
                <w14:textFill>
                  <w14:solidFill>
                    <w14:schemeClr w14:val="tx1"/>
                  </w14:solidFill>
                </w14:textFill>
              </w:rPr>
              <w:t>本项目不属于“无下泄生态流量的引水式水力发电”</w:t>
            </w:r>
          </w:p>
        </w:tc>
        <w:tc>
          <w:tcPr>
            <w:tcW w:w="1375" w:type="dxa"/>
            <w:vMerge w:val="continue"/>
          </w:tcPr>
          <w:p>
            <w:pPr>
              <w:autoSpaceDE w:val="0"/>
              <w:autoSpaceDN w:val="0"/>
              <w:adjustRightInd w:val="0"/>
              <w:spacing w:line="300" w:lineRule="exact"/>
              <w:rPr>
                <w:color w:val="000000" w:themeColor="text1"/>
                <w:szCs w:val="21"/>
                <w:highlight w:val="none"/>
                <w:lang w:val="en-GB"/>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7" w:type="dxa"/>
          </w:tcPr>
          <w:p>
            <w:pPr>
              <w:autoSpaceDE w:val="0"/>
              <w:autoSpaceDN w:val="0"/>
              <w:adjustRightInd w:val="0"/>
              <w:spacing w:line="300" w:lineRule="exact"/>
              <w:ind w:left="-141" w:leftChars="-67" w:right="-101" w:rightChars="-48"/>
              <w:jc w:val="left"/>
              <w:rPr>
                <w:color w:val="000000" w:themeColor="text1"/>
                <w:szCs w:val="21"/>
                <w:highlight w:val="none"/>
                <w:lang w:val="en-GB"/>
                <w14:textFill>
                  <w14:solidFill>
                    <w14:schemeClr w14:val="tx1"/>
                  </w14:solidFill>
                </w14:textFill>
              </w:rPr>
            </w:pPr>
            <w:r>
              <w:rPr>
                <w:rFonts w:hint="eastAsia"/>
                <w:color w:val="000000" w:themeColor="text1"/>
                <w:szCs w:val="21"/>
                <w:highlight w:val="none"/>
                <w:lang w:val="en-GB"/>
                <w14:textFill>
                  <w14:solidFill>
                    <w14:schemeClr w14:val="tx1"/>
                  </w14:solidFill>
                </w14:textFill>
              </w:rPr>
              <w:t>《市场准入负面清单（20</w:t>
            </w:r>
            <w:r>
              <w:rPr>
                <w:rFonts w:hint="eastAsia"/>
                <w:color w:val="000000" w:themeColor="text1"/>
                <w:szCs w:val="21"/>
                <w:highlight w:val="none"/>
                <w14:textFill>
                  <w14:solidFill>
                    <w14:schemeClr w14:val="tx1"/>
                  </w14:solidFill>
                </w14:textFill>
              </w:rPr>
              <w:t>22</w:t>
            </w:r>
            <w:r>
              <w:rPr>
                <w:rFonts w:hint="eastAsia"/>
                <w:color w:val="000000" w:themeColor="text1"/>
                <w:szCs w:val="21"/>
                <w:highlight w:val="none"/>
                <w:lang w:val="en-GB"/>
                <w14:textFill>
                  <w14:solidFill>
                    <w14:schemeClr w14:val="tx1"/>
                  </w14:solidFill>
                </w14:textFill>
              </w:rPr>
              <w:t>年版）》</w:t>
            </w:r>
          </w:p>
        </w:tc>
        <w:tc>
          <w:tcPr>
            <w:tcW w:w="2944" w:type="dxa"/>
            <w:vAlign w:val="center"/>
          </w:tcPr>
          <w:p>
            <w:pPr>
              <w:autoSpaceDE w:val="0"/>
              <w:autoSpaceDN w:val="0"/>
              <w:adjustRightInd w:val="0"/>
              <w:spacing w:line="300" w:lineRule="exact"/>
              <w:rPr>
                <w:color w:val="000000" w:themeColor="text1"/>
                <w:szCs w:val="21"/>
                <w:highlight w:val="none"/>
                <w:lang w:val="en-GB"/>
                <w14:textFill>
                  <w14:solidFill>
                    <w14:schemeClr w14:val="tx1"/>
                  </w14:solidFill>
                </w14:textFill>
              </w:rPr>
            </w:pPr>
            <w:r>
              <w:rPr>
                <w:rFonts w:hint="eastAsia"/>
                <w:color w:val="000000" w:themeColor="text1"/>
                <w:szCs w:val="21"/>
                <w:highlight w:val="none"/>
                <w:lang w:val="en-GB"/>
                <w14:textFill>
                  <w14:solidFill>
                    <w14:schemeClr w14:val="tx1"/>
                  </w14:solidFill>
                </w14:textFill>
              </w:rPr>
              <w:t>不包括小水电站</w:t>
            </w:r>
          </w:p>
        </w:tc>
        <w:tc>
          <w:tcPr>
            <w:tcW w:w="1875" w:type="dxa"/>
            <w:vAlign w:val="center"/>
          </w:tcPr>
          <w:p>
            <w:pPr>
              <w:autoSpaceDE w:val="0"/>
              <w:autoSpaceDN w:val="0"/>
              <w:adjustRightInd w:val="0"/>
              <w:spacing w:line="300" w:lineRule="exact"/>
              <w:rPr>
                <w:color w:val="000000" w:themeColor="text1"/>
                <w:szCs w:val="21"/>
                <w:highlight w:val="none"/>
                <w:lang w:val="en-GB"/>
                <w14:textFill>
                  <w14:solidFill>
                    <w14:schemeClr w14:val="tx1"/>
                  </w14:solidFill>
                </w14:textFill>
              </w:rPr>
            </w:pPr>
            <w:r>
              <w:rPr>
                <w:rFonts w:hint="eastAsia"/>
                <w:color w:val="000000" w:themeColor="text1"/>
                <w:szCs w:val="21"/>
                <w:highlight w:val="none"/>
                <w:lang w:val="en-GB"/>
                <w14:textFill>
                  <w14:solidFill>
                    <w14:schemeClr w14:val="tx1"/>
                  </w14:solidFill>
                </w14:textFill>
              </w:rPr>
              <w:t>不在负面清单内。</w:t>
            </w:r>
          </w:p>
        </w:tc>
        <w:tc>
          <w:tcPr>
            <w:tcW w:w="1375" w:type="dxa"/>
          </w:tcPr>
          <w:p>
            <w:pPr>
              <w:autoSpaceDE w:val="0"/>
              <w:autoSpaceDN w:val="0"/>
              <w:adjustRightInd w:val="0"/>
              <w:spacing w:line="300" w:lineRule="exact"/>
              <w:rPr>
                <w:color w:val="000000" w:themeColor="text1"/>
                <w:szCs w:val="21"/>
                <w:highlight w:val="none"/>
                <w:lang w:val="en-GB"/>
                <w14:textFill>
                  <w14:solidFill>
                    <w14:schemeClr w14:val="tx1"/>
                  </w14:solidFill>
                </w14:textFill>
              </w:rPr>
            </w:pPr>
            <w:r>
              <w:rPr>
                <w:rFonts w:hint="eastAsia"/>
                <w:color w:val="000000" w:themeColor="text1"/>
                <w:szCs w:val="21"/>
                <w:highlight w:val="none"/>
                <w:lang w:val="en-GB"/>
                <w14:textFill>
                  <w14:solidFill>
                    <w14:schemeClr w14:val="tx1"/>
                  </w14:solidFill>
                </w14:textFill>
              </w:rPr>
              <w:t>不在负面清单内。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7" w:type="dxa"/>
          </w:tcPr>
          <w:p>
            <w:pPr>
              <w:autoSpaceDE w:val="0"/>
              <w:autoSpaceDN w:val="0"/>
              <w:adjustRightInd w:val="0"/>
              <w:spacing w:line="300" w:lineRule="exact"/>
              <w:ind w:right="-101" w:rightChars="-48"/>
              <w:jc w:val="left"/>
              <w:rPr>
                <w:color w:val="000000" w:themeColor="text1"/>
                <w:szCs w:val="21"/>
                <w:highlight w:val="none"/>
                <w:lang w:val="en-GB"/>
                <w14:textFill>
                  <w14:solidFill>
                    <w14:schemeClr w14:val="tx1"/>
                  </w14:solidFill>
                </w14:textFill>
              </w:rPr>
            </w:pPr>
            <w:r>
              <w:rPr>
                <w:color w:val="000000" w:themeColor="text1"/>
                <w:szCs w:val="21"/>
                <w:highlight w:val="none"/>
                <w:lang w:val="en-GB"/>
                <w14:textFill>
                  <w14:solidFill>
                    <w14:schemeClr w14:val="tx1"/>
                  </w14:solidFill>
                </w14:textFill>
              </w:rPr>
              <w:t>河北省新增限制和淘汰产业目录（2015年版）</w:t>
            </w:r>
          </w:p>
        </w:tc>
        <w:tc>
          <w:tcPr>
            <w:tcW w:w="2944" w:type="dxa"/>
            <w:vAlign w:val="center"/>
          </w:tcPr>
          <w:p>
            <w:pPr>
              <w:autoSpaceDE w:val="0"/>
              <w:autoSpaceDN w:val="0"/>
              <w:adjustRightInd w:val="0"/>
              <w:spacing w:line="300" w:lineRule="exact"/>
              <w:rPr>
                <w:color w:val="000000" w:themeColor="text1"/>
                <w:szCs w:val="21"/>
                <w:highlight w:val="none"/>
                <w:lang w:val="en-GB"/>
                <w14:textFill>
                  <w14:solidFill>
                    <w14:schemeClr w14:val="tx1"/>
                  </w14:solidFill>
                </w14:textFill>
              </w:rPr>
            </w:pPr>
            <w:r>
              <w:rPr>
                <w:rFonts w:hint="eastAsia"/>
                <w:color w:val="000000" w:themeColor="text1"/>
                <w:szCs w:val="21"/>
                <w:highlight w:val="none"/>
                <w:lang w:val="en-GB"/>
                <w14:textFill>
                  <w14:solidFill>
                    <w14:schemeClr w14:val="tx1"/>
                  </w14:solidFill>
                </w14:textFill>
              </w:rPr>
              <w:t>对引水式水电站无要求</w:t>
            </w:r>
          </w:p>
        </w:tc>
        <w:tc>
          <w:tcPr>
            <w:tcW w:w="1875" w:type="dxa"/>
            <w:vAlign w:val="center"/>
          </w:tcPr>
          <w:p>
            <w:pPr>
              <w:autoSpaceDE w:val="0"/>
              <w:autoSpaceDN w:val="0"/>
              <w:adjustRightInd w:val="0"/>
              <w:spacing w:line="300" w:lineRule="exact"/>
              <w:rPr>
                <w:color w:val="000000" w:themeColor="text1"/>
                <w:szCs w:val="21"/>
                <w:highlight w:val="none"/>
                <w:lang w:val="en-GB"/>
                <w14:textFill>
                  <w14:solidFill>
                    <w14:schemeClr w14:val="tx1"/>
                  </w14:solidFill>
                </w14:textFill>
              </w:rPr>
            </w:pPr>
            <w:r>
              <w:rPr>
                <w:rFonts w:hint="eastAsia"/>
                <w:color w:val="000000" w:themeColor="text1"/>
                <w:szCs w:val="21"/>
                <w:highlight w:val="none"/>
                <w:lang w:val="en-GB"/>
                <w14:textFill>
                  <w14:solidFill>
                    <w14:schemeClr w14:val="tx1"/>
                  </w14:solidFill>
                </w14:textFill>
              </w:rPr>
              <w:t>引水式水电站</w:t>
            </w:r>
          </w:p>
        </w:tc>
        <w:tc>
          <w:tcPr>
            <w:tcW w:w="1375" w:type="dxa"/>
          </w:tcPr>
          <w:p>
            <w:pPr>
              <w:autoSpaceDE w:val="0"/>
              <w:autoSpaceDN w:val="0"/>
              <w:adjustRightInd w:val="0"/>
              <w:spacing w:line="300" w:lineRule="exact"/>
              <w:rPr>
                <w:color w:val="000000" w:themeColor="text1"/>
                <w:szCs w:val="21"/>
                <w:highlight w:val="none"/>
                <w:lang w:val="en-GB"/>
                <w14:textFill>
                  <w14:solidFill>
                    <w14:schemeClr w14:val="tx1"/>
                  </w14:solidFill>
                </w14:textFill>
              </w:rPr>
            </w:pPr>
            <w:r>
              <w:rPr>
                <w:rFonts w:hint="eastAsia"/>
                <w:color w:val="000000" w:themeColor="text1"/>
                <w:szCs w:val="21"/>
                <w:highlight w:val="none"/>
                <w14:textFill>
                  <w14:solidFill>
                    <w14:schemeClr w14:val="tx1"/>
                  </w14:solidFill>
                </w14:textFill>
              </w:rPr>
              <w:t>本项目属于允许类</w:t>
            </w:r>
          </w:p>
        </w:tc>
      </w:tr>
    </w:tbl>
    <w:p>
      <w:pPr>
        <w:spacing w:line="480" w:lineRule="exact"/>
        <w:rPr>
          <w:rFonts w:ascii="Times New Roman" w:hAnsi="Times New Roman" w:eastAsia="宋体" w:cs="Times New Roman"/>
          <w:b/>
          <w:bCs/>
          <w:color w:val="000000" w:themeColor="text1"/>
          <w:sz w:val="24"/>
          <w:highlight w:val="none"/>
          <w14:textFill>
            <w14:solidFill>
              <w14:schemeClr w14:val="tx1"/>
            </w14:solidFill>
          </w14:textFill>
        </w:rPr>
      </w:pPr>
      <w:r>
        <w:rPr>
          <w:rFonts w:hint="eastAsia" w:ascii="Times New Roman" w:hAnsi="Times New Roman" w:eastAsia="宋体" w:cs="Times New Roman"/>
          <w:b/>
          <w:bCs/>
          <w:color w:val="000000" w:themeColor="text1"/>
          <w:sz w:val="24"/>
          <w:highlight w:val="none"/>
          <w14:textFill>
            <w14:solidFill>
              <w14:schemeClr w14:val="tx1"/>
            </w14:solidFill>
          </w14:textFill>
        </w:rPr>
        <w:t>0.4.2</w:t>
      </w:r>
      <w:r>
        <w:rPr>
          <w:rFonts w:ascii="Times New Roman" w:hAnsi="Times New Roman" w:eastAsia="宋体" w:cs="Times New Roman"/>
          <w:b/>
          <w:bCs/>
          <w:color w:val="000000" w:themeColor="text1"/>
          <w:sz w:val="24"/>
          <w:highlight w:val="none"/>
          <w14:textFill>
            <w14:solidFill>
              <w14:schemeClr w14:val="tx1"/>
            </w14:solidFill>
          </w14:textFill>
        </w:rPr>
        <w:t>与河北省水</w:t>
      </w:r>
      <w:r>
        <w:rPr>
          <w:rFonts w:hint="eastAsia" w:ascii="Times New Roman" w:hAnsi="Times New Roman" w:eastAsia="宋体" w:cs="Times New Roman"/>
          <w:b/>
          <w:bCs/>
          <w:color w:val="000000" w:themeColor="text1"/>
          <w:sz w:val="24"/>
          <w:highlight w:val="none"/>
          <w14:textFill>
            <w14:solidFill>
              <w14:schemeClr w14:val="tx1"/>
            </w14:solidFill>
          </w14:textFill>
        </w:rPr>
        <w:t>电</w:t>
      </w:r>
      <w:r>
        <w:rPr>
          <w:rFonts w:ascii="Times New Roman" w:hAnsi="Times New Roman" w:eastAsia="宋体" w:cs="Times New Roman"/>
          <w:b/>
          <w:bCs/>
          <w:color w:val="000000" w:themeColor="text1"/>
          <w:sz w:val="24"/>
          <w:highlight w:val="none"/>
          <w14:textFill>
            <w14:solidFill>
              <w14:schemeClr w14:val="tx1"/>
            </w14:solidFill>
          </w14:textFill>
        </w:rPr>
        <w:t>发展规划的符合性</w:t>
      </w:r>
    </w:p>
    <w:p>
      <w:pPr>
        <w:spacing w:line="480" w:lineRule="exact"/>
        <w:ind w:firstLine="480" w:firstLineChars="200"/>
        <w:rPr>
          <w:color w:val="000000" w:themeColor="text1"/>
          <w:sz w:val="24"/>
          <w:highlight w:val="none"/>
          <w14:textFill>
            <w14:solidFill>
              <w14:schemeClr w14:val="tx1"/>
            </w14:solidFill>
          </w14:textFill>
        </w:rPr>
      </w:pPr>
      <w:r>
        <w:rPr>
          <w:rFonts w:ascii="Times New Roman" w:hAnsi="Times New Roman" w:eastAsia="宋体" w:cs="Times New Roman"/>
          <w:color w:val="000000" w:themeColor="text1"/>
          <w:sz w:val="24"/>
          <w:highlight w:val="none"/>
          <w14:textFill>
            <w14:solidFill>
              <w14:schemeClr w14:val="tx1"/>
            </w14:solidFill>
          </w14:textFill>
        </w:rPr>
        <w:t>《河北省</w:t>
      </w:r>
      <w:r>
        <w:rPr>
          <w:color w:val="000000" w:themeColor="text1"/>
          <w:sz w:val="24"/>
          <w:highlight w:val="none"/>
          <w14:textFill>
            <w14:solidFill>
              <w14:schemeClr w14:val="tx1"/>
            </w14:solidFill>
          </w14:textFill>
        </w:rPr>
        <w:t>水利发展</w:t>
      </w:r>
      <w:r>
        <w:rPr>
          <w:rFonts w:hint="eastAsia"/>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十三五</w:t>
      </w:r>
      <w:r>
        <w:rPr>
          <w:rFonts w:hint="eastAsia"/>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规划》（2016年4月）指出：</w:t>
      </w:r>
      <w:r>
        <w:rPr>
          <w:rFonts w:hint="eastAsia"/>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以中小河流水能资源开发和绿色水电建设为重点，探索水能资源开发管理新模式。新建水电站8座，新增装机容量1.14万千瓦；扩建和技改水电站7座，增加装机容量0.3万千瓦，全省农村水电总装机规模达到62.34万千瓦，水能资源开发率提高到51.8%。</w:t>
      </w:r>
      <w:r>
        <w:rPr>
          <w:rFonts w:hint="eastAsia"/>
          <w:color w:val="000000" w:themeColor="text1"/>
          <w:sz w:val="24"/>
          <w:highlight w:val="none"/>
          <w14:textFill>
            <w14:solidFill>
              <w14:schemeClr w14:val="tx1"/>
            </w14:solidFill>
          </w14:textFill>
        </w:rPr>
        <w:t>”2004年11月，河北省水利厅以冀水电[2004]52号文批复了《遵化市黎河四级水电站初步设计》</w:t>
      </w:r>
      <w:r>
        <w:rPr>
          <w:color w:val="000000" w:themeColor="text1"/>
          <w:sz w:val="24"/>
          <w:highlight w:val="none"/>
          <w14:textFill>
            <w14:solidFill>
              <w14:schemeClr w14:val="tx1"/>
            </w14:solidFill>
          </w14:textFill>
        </w:rPr>
        <w:t>，本项目符合河北省相关水利发展规划。</w:t>
      </w:r>
    </w:p>
    <w:p>
      <w:pPr>
        <w:spacing w:line="480" w:lineRule="exact"/>
        <w:rPr>
          <w:rFonts w:hint="eastAsia" w:ascii="Times New Roman" w:hAnsi="Times New Roman" w:eastAsia="宋体" w:cs="Times New Roman"/>
          <w:b/>
          <w:bCs/>
          <w:color w:val="000000" w:themeColor="text1"/>
          <w:sz w:val="24"/>
          <w:highlight w:val="none"/>
          <w14:textFill>
            <w14:solidFill>
              <w14:schemeClr w14:val="tx1"/>
            </w14:solidFill>
          </w14:textFill>
        </w:rPr>
      </w:pPr>
      <w:r>
        <w:rPr>
          <w:rFonts w:hint="eastAsia" w:ascii="Times New Roman" w:hAnsi="Times New Roman" w:eastAsia="宋体" w:cs="Times New Roman"/>
          <w:b/>
          <w:bCs/>
          <w:color w:val="000000" w:themeColor="text1"/>
          <w:sz w:val="24"/>
          <w:highlight w:val="none"/>
          <w14:textFill>
            <w14:solidFill>
              <w14:schemeClr w14:val="tx1"/>
            </w14:solidFill>
          </w14:textFill>
        </w:rPr>
        <w:t>0.4.3与《水电建设项目环境影响评价审批原则》符合性分析</w:t>
      </w:r>
    </w:p>
    <w:p>
      <w:pPr>
        <w:spacing w:line="480" w:lineRule="exact"/>
        <w:ind w:firstLine="480" w:firstLineChars="200"/>
        <w:rPr>
          <w:color w:val="000000" w:themeColor="text1"/>
          <w:sz w:val="24"/>
          <w:highlight w:val="none"/>
          <w14:textFill>
            <w14:solidFill>
              <w14:schemeClr w14:val="tx1"/>
            </w14:solidFill>
          </w14:textFill>
        </w:rPr>
      </w:pPr>
      <w:r>
        <w:rPr>
          <w:rFonts w:hint="eastAsia" w:ascii="Times New Roman" w:hAnsi="Times New Roman" w:eastAsia="宋体" w:cs="Times New Roman"/>
          <w:color w:val="000000" w:themeColor="text1"/>
          <w:sz w:val="24"/>
          <w:highlight w:val="none"/>
          <w14:textFill>
            <w14:solidFill>
              <w14:schemeClr w14:val="tx1"/>
            </w14:solidFill>
          </w14:textFill>
        </w:rPr>
        <w:t>对照环境</w:t>
      </w:r>
      <w:r>
        <w:rPr>
          <w:rFonts w:hint="eastAsia"/>
          <w:color w:val="000000" w:themeColor="text1"/>
          <w:sz w:val="24"/>
          <w:highlight w:val="none"/>
          <w14:textFill>
            <w14:solidFill>
              <w14:schemeClr w14:val="tx1"/>
            </w14:solidFill>
          </w14:textFill>
        </w:rPr>
        <w:t>保护部办公厅《关于规范火电等七个行业建设项目环境影响评价文件审批的通知》（环办﹝2015﹞112 号）中的附件 2《水电建设项目环境影响评价审批原则》，本项目符合《水电建设项目环境影响评价审批原则》。</w:t>
      </w:r>
    </w:p>
    <w:p>
      <w:pPr>
        <w:spacing w:line="480" w:lineRule="exact"/>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本项目与其相符性分析见表0.4-2。</w:t>
      </w:r>
    </w:p>
    <w:p>
      <w:pPr>
        <w:spacing w:line="480" w:lineRule="exact"/>
        <w:jc w:val="center"/>
        <w:rPr>
          <w:b/>
          <w:bCs/>
          <w:color w:val="000000" w:themeColor="text1"/>
          <w:sz w:val="24"/>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表0.4-2  本项目与《水电建设项目环境影响评价审批原则》相符性分析表</w:t>
      </w:r>
    </w:p>
    <w:tbl>
      <w:tblPr>
        <w:tblStyle w:val="5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20"/>
        <w:gridCol w:w="3120"/>
        <w:gridCol w:w="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4520"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《审批原则》规定</w:t>
            </w:r>
          </w:p>
        </w:tc>
        <w:tc>
          <w:tcPr>
            <w:tcW w:w="3120"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本项目情况</w:t>
            </w:r>
          </w:p>
        </w:tc>
        <w:tc>
          <w:tcPr>
            <w:tcW w:w="856"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20"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项目符合环境保护相关法律法规和政策，满足流域综合规划、水能资源开发规划等相关流域和行业规划及规划环评要求，梯级布局、开发任务、开发方式及时序、调节性能和工程规模等主要参数总体符合规划</w:t>
            </w:r>
          </w:p>
        </w:tc>
        <w:tc>
          <w:tcPr>
            <w:tcW w:w="3120" w:type="dxa"/>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1、项目符合环境保护相关法律法规和政策。</w:t>
            </w:r>
          </w:p>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2、符合河北省人民政府办公厅《关于加快农村水电发展的意见》（冀政办［2004］23号，2004年12月31日）。</w:t>
            </w:r>
          </w:p>
        </w:tc>
        <w:tc>
          <w:tcPr>
            <w:tcW w:w="856"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20"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工程布局、施工布置和水库淹没原则上不占用自然保护区、风景名胜区、永久基本农田等法律法规明令禁止占用区域和已明确作为栖息地保护的河流和区域，与饮用水水源保护区保护要求相协调，且不对上述敏感区的生态系统结构、功能和主要保护对象产生重大不利影响</w:t>
            </w:r>
          </w:p>
        </w:tc>
        <w:tc>
          <w:tcPr>
            <w:tcW w:w="3120"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本工程不涉及自然保护区、风景名胜区、永久基本农田等法律法规明令禁止占用区域和已明确作为栖息地保护的河流和区域，不涉及饮用水源保护区。</w:t>
            </w:r>
          </w:p>
        </w:tc>
        <w:tc>
          <w:tcPr>
            <w:tcW w:w="856"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5" w:hRule="atLeast"/>
        </w:trPr>
        <w:tc>
          <w:tcPr>
            <w:tcW w:w="4520"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项目改变坝址下游水文情势且造成不利生态环境影响的，应提出生态流量泄放等生态调度措施，明确生态流量过程、泄放设施及在线监测设施和管理措施等内容。项目对水质造成不利影响的，应针对污染源治理、库底环境清理、库区水质保护、污水处理等提出对策措施。兼顾城乡供水任务的，应提出设置饮用水水源保护区、隔离防护等措施。存在下泄低温水、气体过饱和并带来不利生态环境影响的，应提出分层取水、优化泄洪工程形式或调度方式、管理等措施。</w:t>
            </w:r>
          </w:p>
        </w:tc>
        <w:tc>
          <w:tcPr>
            <w:tcW w:w="3120" w:type="dxa"/>
            <w:vAlign w:val="center"/>
          </w:tcPr>
          <w:p>
            <w:pPr>
              <w:numPr>
                <w:ilvl w:val="0"/>
                <w:numId w:val="1"/>
              </w:num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本项目是引水式电站，黎河无调节径流作用；</w:t>
            </w:r>
          </w:p>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2、项目生活污水经化粪池处理</w:t>
            </w:r>
            <w:r>
              <w:rPr>
                <w:rFonts w:hint="eastAsia"/>
                <w:color w:val="000000" w:themeColor="text1"/>
                <w:szCs w:val="21"/>
                <w:highlight w:val="none"/>
                <w:lang w:eastAsia="zh-CN"/>
                <w14:textFill>
                  <w14:solidFill>
                    <w14:schemeClr w14:val="tx1"/>
                  </w14:solidFill>
                </w14:textFill>
              </w:rPr>
              <w:t>，由环卫部门定期清掏</w:t>
            </w:r>
            <w:r>
              <w:rPr>
                <w:rFonts w:hint="eastAsia"/>
                <w:color w:val="000000" w:themeColor="text1"/>
                <w:szCs w:val="21"/>
                <w:highlight w:val="none"/>
                <w14:textFill>
                  <w14:solidFill>
                    <w14:schemeClr w14:val="tx1"/>
                  </w14:solidFill>
                </w14:textFill>
              </w:rPr>
              <w:t>。</w:t>
            </w:r>
          </w:p>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3、本项目不涉及城乡供水任务；</w:t>
            </w:r>
          </w:p>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4、项目为橡胶坝引水式电站，对水温基本无影响</w:t>
            </w:r>
          </w:p>
        </w:tc>
        <w:tc>
          <w:tcPr>
            <w:tcW w:w="856"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4520"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项目对鱼类等水生生物洄游、重要三场等生境、物种及资源量等造成不利影响的，应提出栖息地保护、水生生物通道、鱼类增殖放流等措施</w:t>
            </w:r>
          </w:p>
        </w:tc>
        <w:tc>
          <w:tcPr>
            <w:tcW w:w="3120"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本项目引水河段不涉及洄游性鱼类，不涉及鱼类“三场”，不涉及重要水生生物物种及资源量</w:t>
            </w:r>
          </w:p>
        </w:tc>
        <w:tc>
          <w:tcPr>
            <w:tcW w:w="856"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5" w:hRule="atLeast"/>
        </w:trPr>
        <w:tc>
          <w:tcPr>
            <w:tcW w:w="4520" w:type="dxa"/>
            <w:vAlign w:val="center"/>
          </w:tcPr>
          <w:p>
            <w:pPr>
              <w:spacing w:line="300" w:lineRule="exact"/>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项目对珍稀濒危等保护植物造成影响的，应采取工程防护、异地移栽等措施。项目对珍稀濒危等野生保护动物造成影响的，应提出救助、构建动物廊道或类似生境等措施。项目涉及风景名胜区等环境敏感区并对景观产生影响的，应提出优化工程设计、景观塑造等措施。项目建设带来地下水位变化导致次生生态环境影响的，应提出针对性措施。</w:t>
            </w:r>
          </w:p>
        </w:tc>
        <w:tc>
          <w:tcPr>
            <w:tcW w:w="3120"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项目不涉及珍稀濒危等保护植物。对珍稀濒危等野生保护动物基本无影响。</w:t>
            </w:r>
          </w:p>
          <w:p>
            <w:pPr>
              <w:spacing w:line="300" w:lineRule="exact"/>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项目不涉及风景名胜区。项目建设不会带来地下水位变化导致次生生态环境影响。</w:t>
            </w:r>
          </w:p>
        </w:tc>
        <w:tc>
          <w:tcPr>
            <w:tcW w:w="856" w:type="dxa"/>
            <w:vAlign w:val="center"/>
          </w:tcPr>
          <w:p>
            <w:pPr>
              <w:spacing w:line="300" w:lineRule="exact"/>
              <w:jc w:val="center"/>
              <w:rPr>
                <w:rFonts w:hint="eastAsia"/>
                <w:color w:val="000000" w:themeColor="text1"/>
                <w:szCs w:val="21"/>
                <w:highlight w:val="none"/>
                <w14:textFill>
                  <w14:solidFill>
                    <w14:schemeClr w14:val="tx1"/>
                  </w14:solidFill>
                </w14:textFill>
              </w:rPr>
            </w:pPr>
          </w:p>
        </w:tc>
      </w:tr>
    </w:tbl>
    <w:p>
      <w:pPr>
        <w:spacing w:line="480" w:lineRule="exact"/>
        <w:jc w:val="center"/>
        <w:rPr>
          <w:b/>
          <w:bCs/>
          <w:color w:val="000000" w:themeColor="text1"/>
          <w:sz w:val="24"/>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续表0.4-2  本项目与《水电建设项目环境影响评价审批原则》相符性分析表</w:t>
      </w:r>
    </w:p>
    <w:tbl>
      <w:tblPr>
        <w:tblStyle w:val="5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04"/>
        <w:gridCol w:w="2925"/>
        <w:gridCol w:w="8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4"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《审批原则》规定</w:t>
            </w:r>
          </w:p>
        </w:tc>
        <w:tc>
          <w:tcPr>
            <w:tcW w:w="2925"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本项目情况</w:t>
            </w:r>
          </w:p>
        </w:tc>
        <w:tc>
          <w:tcPr>
            <w:tcW w:w="810"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4" w:type="dxa"/>
            <w:vAlign w:val="center"/>
          </w:tcPr>
          <w:p>
            <w:pPr>
              <w:spacing w:line="300" w:lineRule="exact"/>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项目施工组织方案具有环境合理性，对弃土（渣）场等应提出防治水土流失和施工迹地生态恢复等措施。对施工期各类废（污）水、废气、噪声、固体废物等提出了防治或处置措施，符合环境保护相关标准和要求。</w:t>
            </w:r>
          </w:p>
        </w:tc>
        <w:tc>
          <w:tcPr>
            <w:tcW w:w="2925" w:type="dxa"/>
            <w:vAlign w:val="center"/>
          </w:tcPr>
          <w:p>
            <w:pPr>
              <w:spacing w:line="300" w:lineRule="exact"/>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项目于</w:t>
            </w:r>
            <w:r>
              <w:rPr>
                <w:snapToGrid w:val="0"/>
                <w:color w:val="000000" w:themeColor="text1"/>
                <w:kern w:val="0"/>
                <w:sz w:val="21"/>
                <w:szCs w:val="21"/>
                <w:highlight w:val="none"/>
                <w14:textFill>
                  <w14:solidFill>
                    <w14:schemeClr w14:val="tx1"/>
                  </w14:solidFill>
                </w14:textFill>
              </w:rPr>
              <w:t>20</w:t>
            </w:r>
            <w:r>
              <w:rPr>
                <w:rFonts w:hint="eastAsia"/>
                <w:snapToGrid w:val="0"/>
                <w:color w:val="000000" w:themeColor="text1"/>
                <w:kern w:val="0"/>
                <w:sz w:val="21"/>
                <w:szCs w:val="21"/>
                <w:highlight w:val="none"/>
                <w:lang w:val="en-US" w:eastAsia="zh-CN"/>
                <w14:textFill>
                  <w14:solidFill>
                    <w14:schemeClr w14:val="tx1"/>
                  </w14:solidFill>
                </w14:textFill>
              </w:rPr>
              <w:t>06</w:t>
            </w:r>
            <w:r>
              <w:rPr>
                <w:snapToGrid w:val="0"/>
                <w:color w:val="000000" w:themeColor="text1"/>
                <w:kern w:val="0"/>
                <w:sz w:val="21"/>
                <w:szCs w:val="21"/>
                <w:highlight w:val="none"/>
                <w14:textFill>
                  <w14:solidFill>
                    <w14:schemeClr w14:val="tx1"/>
                  </w14:solidFill>
                </w14:textFill>
              </w:rPr>
              <w:t>年</w:t>
            </w:r>
            <w:r>
              <w:rPr>
                <w:rFonts w:hint="eastAsia"/>
                <w:snapToGrid w:val="0"/>
                <w:color w:val="000000" w:themeColor="text1"/>
                <w:kern w:val="0"/>
                <w:sz w:val="21"/>
                <w:szCs w:val="21"/>
                <w:highlight w:val="none"/>
                <w:lang w:val="en-US" w:eastAsia="zh-CN"/>
                <w14:textFill>
                  <w14:solidFill>
                    <w14:schemeClr w14:val="tx1"/>
                  </w14:solidFill>
                </w14:textFill>
              </w:rPr>
              <w:t>10</w:t>
            </w:r>
            <w:r>
              <w:rPr>
                <w:snapToGrid w:val="0"/>
                <w:color w:val="000000" w:themeColor="text1"/>
                <w:kern w:val="0"/>
                <w:sz w:val="21"/>
                <w:szCs w:val="21"/>
                <w:highlight w:val="none"/>
                <w14:textFill>
                  <w14:solidFill>
                    <w14:schemeClr w14:val="tx1"/>
                  </w14:solidFill>
                </w14:textFill>
              </w:rPr>
              <w:t>月</w:t>
            </w:r>
            <w:r>
              <w:rPr>
                <w:rFonts w:hint="eastAsia"/>
                <w:snapToGrid w:val="0"/>
                <w:color w:val="000000" w:themeColor="text1"/>
                <w:kern w:val="0"/>
                <w:sz w:val="21"/>
                <w:szCs w:val="21"/>
                <w:highlight w:val="none"/>
                <w:lang w:eastAsia="zh-CN"/>
                <w14:textFill>
                  <w14:solidFill>
                    <w14:schemeClr w14:val="tx1"/>
                  </w14:solidFill>
                </w14:textFill>
              </w:rPr>
              <w:t>投产，</w:t>
            </w:r>
            <w:r>
              <w:rPr>
                <w:rFonts w:hint="eastAsia"/>
                <w:snapToGrid w:val="0"/>
                <w:color w:val="000000" w:themeColor="text1"/>
                <w:kern w:val="0"/>
                <w:sz w:val="21"/>
                <w:szCs w:val="21"/>
                <w:highlight w:val="none"/>
                <w:lang w:val="en-US" w:eastAsia="zh-CN"/>
                <w14:textFill>
                  <w14:solidFill>
                    <w14:schemeClr w14:val="tx1"/>
                  </w14:solidFill>
                </w14:textFill>
              </w:rPr>
              <w:t>2012年8月</w:t>
            </w:r>
            <w:r>
              <w:rPr>
                <w:rFonts w:hint="eastAsia"/>
                <w:snapToGrid w:val="0"/>
                <w:color w:val="000000" w:themeColor="text1"/>
                <w:kern w:val="0"/>
                <w:sz w:val="21"/>
                <w:szCs w:val="21"/>
                <w:highlight w:val="none"/>
                <w14:textFill>
                  <w14:solidFill>
                    <w14:schemeClr w14:val="tx1"/>
                  </w14:solidFill>
                </w14:textFill>
              </w:rPr>
              <w:t>通过验收。</w:t>
            </w:r>
          </w:p>
        </w:tc>
        <w:tc>
          <w:tcPr>
            <w:tcW w:w="810" w:type="dxa"/>
            <w:vAlign w:val="center"/>
          </w:tcPr>
          <w:p>
            <w:pPr>
              <w:spacing w:line="300" w:lineRule="exact"/>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4" w:type="dxa"/>
            <w:vAlign w:val="center"/>
          </w:tcPr>
          <w:p>
            <w:pPr>
              <w:spacing w:line="300" w:lineRule="exact"/>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项目移民安置涉及的农业土地开垦、安置区、迁建企业、复建工程等安置建设方式和选址具有环境合理性，对环境造成不利影响的，应提出生态保护、污水处理与垃圾处置等措施。</w:t>
            </w:r>
          </w:p>
        </w:tc>
        <w:tc>
          <w:tcPr>
            <w:tcW w:w="2925" w:type="dxa"/>
            <w:vAlign w:val="center"/>
          </w:tcPr>
          <w:p>
            <w:pPr>
              <w:spacing w:line="300" w:lineRule="exact"/>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本项目不涉及人口搬迁</w:t>
            </w:r>
          </w:p>
        </w:tc>
        <w:tc>
          <w:tcPr>
            <w:tcW w:w="810" w:type="dxa"/>
            <w:vAlign w:val="center"/>
          </w:tcPr>
          <w:p>
            <w:pPr>
              <w:spacing w:line="300" w:lineRule="exact"/>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4"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项目存在外来物种入侵或扩散、相关河段水体可能受到污染或产生富营养化等环境风险的，应提出针对性风险防范措施和环境应急预案编制要求。</w:t>
            </w:r>
          </w:p>
        </w:tc>
        <w:tc>
          <w:tcPr>
            <w:tcW w:w="2925"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1、运营期间不存在外来物种入侵和扩散影响；</w:t>
            </w:r>
          </w:p>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2、项目对水体污染影响较小，不会产生富营养化的环境风险。</w:t>
            </w:r>
          </w:p>
        </w:tc>
        <w:tc>
          <w:tcPr>
            <w:tcW w:w="810"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4"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按相关导则及规定要求，制定生态、水环境等监测计划，并提出根据监测评估结果开展环境影响后评价或优化环境保护措施的要求。根据项目环境保护管理需要和相关规定，应提出必要的环境保护设计、施工期环境监理、运行期环境管理、开展相关科学研究等要求和相关保障措施。</w:t>
            </w:r>
          </w:p>
        </w:tc>
        <w:tc>
          <w:tcPr>
            <w:tcW w:w="2925"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1、环评报告已制定了环境监测计划；</w:t>
            </w:r>
          </w:p>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2、环评报告提出了环境管理计划</w:t>
            </w:r>
          </w:p>
        </w:tc>
        <w:tc>
          <w:tcPr>
            <w:tcW w:w="810"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4"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对环境保护措施进行了深入论证，明确措施实施的责任主体、投资、进度和预期效果等，确保科学有效、安全可行、绿色协调。</w:t>
            </w:r>
          </w:p>
        </w:tc>
        <w:tc>
          <w:tcPr>
            <w:tcW w:w="2925"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对环境保护措施进行了论证，明确了措施实施的责任主体、投资及效果。</w:t>
            </w:r>
          </w:p>
        </w:tc>
        <w:tc>
          <w:tcPr>
            <w:tcW w:w="810"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4"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按相关规定开展信息公开和公众参与。</w:t>
            </w:r>
          </w:p>
        </w:tc>
        <w:tc>
          <w:tcPr>
            <w:tcW w:w="2925"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建设单位已按相关规定和要求开展信息公开和公众参与。</w:t>
            </w:r>
          </w:p>
        </w:tc>
        <w:tc>
          <w:tcPr>
            <w:tcW w:w="810"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符合</w:t>
            </w:r>
          </w:p>
        </w:tc>
      </w:tr>
    </w:tbl>
    <w:p>
      <w:pPr>
        <w:pStyle w:val="4"/>
        <w:spacing w:before="0" w:after="0" w:line="480" w:lineRule="exact"/>
        <w:rPr>
          <w:rFonts w:ascii="Times New Roman" w:hAnsi="Times New Roman" w:cs="Times New Roman"/>
          <w:sz w:val="24"/>
          <w:szCs w:val="24"/>
          <w:highlight w:val="none"/>
        </w:rPr>
      </w:pPr>
      <w:r>
        <w:rPr>
          <w:rFonts w:hint="eastAsia" w:ascii="Times New Roman" w:hAnsi="Times New Roman" w:cs="Times New Roman"/>
          <w:color w:val="000000" w:themeColor="text1"/>
          <w:sz w:val="24"/>
          <w:szCs w:val="24"/>
          <w:highlight w:val="none"/>
          <w14:textFill>
            <w14:solidFill>
              <w14:schemeClr w14:val="tx1"/>
            </w14:solidFill>
          </w14:textFill>
        </w:rPr>
        <w:t>0.4.4</w:t>
      </w:r>
      <w:r>
        <w:rPr>
          <w:rFonts w:ascii="Times New Roman" w:hAnsi="Times New Roman" w:cs="Times New Roman"/>
          <w:color w:val="000000" w:themeColor="text1"/>
          <w:sz w:val="24"/>
          <w:highlight w:val="none"/>
          <w14:textFill>
            <w14:solidFill>
              <w14:schemeClr w14:val="tx1"/>
            </w14:solidFill>
          </w14:textFill>
        </w:rPr>
        <w:t>与</w:t>
      </w:r>
      <w:r>
        <w:rPr>
          <w:rFonts w:hint="eastAsia" w:ascii="Times New Roman" w:hAnsi="Times New Roman" w:cs="Times New Roman"/>
          <w:color w:val="000000" w:themeColor="text1"/>
          <w:sz w:val="24"/>
          <w:highlight w:val="none"/>
          <w14:textFill>
            <w14:solidFill>
              <w14:schemeClr w14:val="tx1"/>
            </w14:solidFill>
          </w14:textFill>
        </w:rPr>
        <w:t>《水利部关于推进绿色小</w:t>
      </w:r>
      <w:r>
        <w:rPr>
          <w:rFonts w:hint="eastAsia" w:ascii="Times New Roman" w:hAnsi="Times New Roman" w:cs="Times New Roman"/>
          <w:sz w:val="24"/>
          <w:highlight w:val="none"/>
        </w:rPr>
        <w:t>水电发展的指导意见》</w:t>
      </w:r>
      <w:r>
        <w:rPr>
          <w:rFonts w:ascii="Times New Roman" w:hAnsi="Times New Roman" w:cs="Times New Roman"/>
          <w:sz w:val="24"/>
          <w:highlight w:val="none"/>
        </w:rPr>
        <w:t>符合性分析</w:t>
      </w:r>
    </w:p>
    <w:p>
      <w:pPr>
        <w:spacing w:line="480" w:lineRule="exact"/>
        <w:ind w:firstLine="482"/>
        <w:rPr>
          <w:sz w:val="24"/>
          <w:highlight w:val="none"/>
        </w:rPr>
      </w:pPr>
      <w:r>
        <w:rPr>
          <w:rFonts w:hint="eastAsia"/>
          <w:sz w:val="24"/>
          <w:highlight w:val="none"/>
        </w:rPr>
        <w:t>对照《水利部关于推进绿色小水电发展的指导意见》（水电〔2016﹞441 号）和《绿色小水电评价标准》（SL/T 752-2020），本项目与其相符性分析见表0.4-3。</w:t>
      </w:r>
    </w:p>
    <w:p>
      <w:pPr>
        <w:spacing w:line="480" w:lineRule="exact"/>
        <w:jc w:val="center"/>
        <w:rPr>
          <w:b/>
          <w:bCs/>
          <w:sz w:val="24"/>
          <w:highlight w:val="none"/>
        </w:rPr>
      </w:pPr>
      <w:r>
        <w:rPr>
          <w:rFonts w:hint="eastAsia"/>
          <w:b/>
          <w:bCs/>
          <w:sz w:val="24"/>
          <w:highlight w:val="none"/>
        </w:rPr>
        <w:t>表0.4-3 本项目与《绿色小水电评价标准》相符性分析表</w:t>
      </w:r>
    </w:p>
    <w:tbl>
      <w:tblPr>
        <w:tblStyle w:val="5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0"/>
        <w:gridCol w:w="2055"/>
        <w:gridCol w:w="3049"/>
        <w:gridCol w:w="2051"/>
        <w:gridCol w:w="6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dxa"/>
            <w:vAlign w:val="center"/>
          </w:tcPr>
          <w:p>
            <w:pPr>
              <w:spacing w:line="300" w:lineRule="exact"/>
              <w:rPr>
                <w:szCs w:val="21"/>
                <w:highlight w:val="none"/>
              </w:rPr>
            </w:pPr>
            <w:r>
              <w:rPr>
                <w:rFonts w:hint="eastAsia"/>
                <w:szCs w:val="21"/>
                <w:highlight w:val="none"/>
              </w:rPr>
              <w:t>评价</w:t>
            </w:r>
          </w:p>
          <w:p>
            <w:pPr>
              <w:spacing w:line="300" w:lineRule="exact"/>
              <w:rPr>
                <w:szCs w:val="21"/>
                <w:highlight w:val="none"/>
              </w:rPr>
            </w:pPr>
            <w:r>
              <w:rPr>
                <w:rFonts w:hint="eastAsia"/>
                <w:szCs w:val="21"/>
                <w:highlight w:val="none"/>
              </w:rPr>
              <w:t>类别</w:t>
            </w:r>
          </w:p>
        </w:tc>
        <w:tc>
          <w:tcPr>
            <w:tcW w:w="2055" w:type="dxa"/>
            <w:vAlign w:val="center"/>
          </w:tcPr>
          <w:p>
            <w:pPr>
              <w:spacing w:line="300" w:lineRule="exact"/>
              <w:rPr>
                <w:szCs w:val="21"/>
                <w:highlight w:val="none"/>
              </w:rPr>
            </w:pPr>
            <w:r>
              <w:rPr>
                <w:rFonts w:hint="eastAsia"/>
                <w:szCs w:val="21"/>
                <w:highlight w:val="none"/>
              </w:rPr>
              <w:t>评价要素</w:t>
            </w:r>
          </w:p>
        </w:tc>
        <w:tc>
          <w:tcPr>
            <w:tcW w:w="3049" w:type="dxa"/>
            <w:vAlign w:val="center"/>
          </w:tcPr>
          <w:p>
            <w:pPr>
              <w:spacing w:line="300" w:lineRule="exact"/>
              <w:rPr>
                <w:szCs w:val="21"/>
                <w:highlight w:val="none"/>
              </w:rPr>
            </w:pPr>
            <w:r>
              <w:rPr>
                <w:rFonts w:hint="eastAsia"/>
                <w:szCs w:val="21"/>
                <w:highlight w:val="none"/>
              </w:rPr>
              <w:t>评价指标</w:t>
            </w:r>
          </w:p>
        </w:tc>
        <w:tc>
          <w:tcPr>
            <w:tcW w:w="2051" w:type="dxa"/>
            <w:vAlign w:val="center"/>
          </w:tcPr>
          <w:p>
            <w:pPr>
              <w:spacing w:line="300" w:lineRule="exact"/>
              <w:rPr>
                <w:szCs w:val="21"/>
                <w:highlight w:val="none"/>
              </w:rPr>
            </w:pPr>
            <w:r>
              <w:rPr>
                <w:rFonts w:hint="eastAsia"/>
                <w:szCs w:val="21"/>
                <w:highlight w:val="none"/>
              </w:rPr>
              <w:t>本项目情况</w:t>
            </w:r>
          </w:p>
        </w:tc>
        <w:tc>
          <w:tcPr>
            <w:tcW w:w="661" w:type="dxa"/>
            <w:vAlign w:val="center"/>
          </w:tcPr>
          <w:p>
            <w:pPr>
              <w:spacing w:line="300" w:lineRule="exact"/>
              <w:rPr>
                <w:szCs w:val="21"/>
                <w:highlight w:val="none"/>
              </w:rPr>
            </w:pPr>
            <w:r>
              <w:rPr>
                <w:rFonts w:hint="eastAsia"/>
                <w:szCs w:val="21"/>
                <w:highlight w:val="none"/>
              </w:rPr>
              <w:t>评分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680" w:type="dxa"/>
            <w:vMerge w:val="restart"/>
            <w:vAlign w:val="center"/>
          </w:tcPr>
          <w:p>
            <w:pPr>
              <w:spacing w:line="300" w:lineRule="exact"/>
              <w:rPr>
                <w:szCs w:val="21"/>
                <w:highlight w:val="none"/>
              </w:rPr>
            </w:pPr>
            <w:r>
              <w:rPr>
                <w:rFonts w:hint="eastAsia"/>
                <w:szCs w:val="21"/>
                <w:highlight w:val="none"/>
              </w:rPr>
              <w:t>生态</w:t>
            </w:r>
          </w:p>
          <w:p>
            <w:pPr>
              <w:spacing w:line="300" w:lineRule="exact"/>
              <w:rPr>
                <w:szCs w:val="21"/>
                <w:highlight w:val="none"/>
              </w:rPr>
            </w:pPr>
            <w:r>
              <w:rPr>
                <w:rFonts w:hint="eastAsia"/>
                <w:szCs w:val="21"/>
                <w:highlight w:val="none"/>
              </w:rPr>
              <w:t>环境</w:t>
            </w:r>
          </w:p>
          <w:p>
            <w:pPr>
              <w:spacing w:line="300" w:lineRule="exact"/>
              <w:rPr>
                <w:szCs w:val="21"/>
                <w:highlight w:val="none"/>
              </w:rPr>
            </w:pPr>
            <w:r>
              <w:rPr>
                <w:rFonts w:hint="eastAsia"/>
                <w:szCs w:val="21"/>
                <w:highlight w:val="none"/>
              </w:rPr>
              <w:t>(55分)</w:t>
            </w:r>
          </w:p>
        </w:tc>
        <w:tc>
          <w:tcPr>
            <w:tcW w:w="2055" w:type="dxa"/>
            <w:vAlign w:val="center"/>
          </w:tcPr>
          <w:p>
            <w:pPr>
              <w:spacing w:line="300" w:lineRule="exact"/>
              <w:rPr>
                <w:szCs w:val="21"/>
                <w:highlight w:val="none"/>
              </w:rPr>
            </w:pPr>
            <w:r>
              <w:rPr>
                <w:rFonts w:hint="eastAsia"/>
                <w:szCs w:val="21"/>
                <w:highlight w:val="none"/>
              </w:rPr>
              <w:t xml:space="preserve">水文情势(15 分) </w:t>
            </w:r>
          </w:p>
        </w:tc>
        <w:tc>
          <w:tcPr>
            <w:tcW w:w="3049" w:type="dxa"/>
            <w:vAlign w:val="center"/>
          </w:tcPr>
          <w:p>
            <w:pPr>
              <w:spacing w:line="300" w:lineRule="exact"/>
              <w:rPr>
                <w:szCs w:val="21"/>
                <w:highlight w:val="none"/>
              </w:rPr>
            </w:pPr>
            <w:r>
              <w:rPr>
                <w:rFonts w:hint="eastAsia"/>
                <w:szCs w:val="21"/>
                <w:highlight w:val="none"/>
              </w:rPr>
              <w:t xml:space="preserve">生态需水保障情况(15 分) </w:t>
            </w:r>
          </w:p>
        </w:tc>
        <w:tc>
          <w:tcPr>
            <w:tcW w:w="2051" w:type="dxa"/>
            <w:vAlign w:val="center"/>
          </w:tcPr>
          <w:p>
            <w:pPr>
              <w:spacing w:line="300" w:lineRule="exact"/>
              <w:rPr>
                <w:szCs w:val="21"/>
                <w:highlight w:val="none"/>
              </w:rPr>
            </w:pPr>
            <w:r>
              <w:rPr>
                <w:rFonts w:hint="eastAsia"/>
                <w:szCs w:val="21"/>
                <w:highlight w:val="none"/>
              </w:rPr>
              <w:t>引水式水电站</w:t>
            </w:r>
          </w:p>
        </w:tc>
        <w:tc>
          <w:tcPr>
            <w:tcW w:w="661" w:type="dxa"/>
            <w:vAlign w:val="center"/>
          </w:tcPr>
          <w:p>
            <w:pPr>
              <w:spacing w:line="300" w:lineRule="exact"/>
              <w:ind w:left="0" w:leftChars="0" w:right="0" w:rightChars="0" w:firstLine="0" w:firstLineChars="0"/>
              <w:jc w:val="center"/>
              <w:rPr>
                <w:color w:val="auto"/>
                <w:szCs w:val="21"/>
                <w:highlight w:val="none"/>
              </w:rPr>
            </w:pPr>
            <w:r>
              <w:rPr>
                <w:rFonts w:hint="eastAsia"/>
                <w:color w:val="auto"/>
                <w:szCs w:val="21"/>
                <w:highlight w:val="none"/>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680" w:type="dxa"/>
            <w:vMerge w:val="continue"/>
            <w:vAlign w:val="center"/>
          </w:tcPr>
          <w:p>
            <w:pPr>
              <w:spacing w:line="300" w:lineRule="exact"/>
              <w:rPr>
                <w:szCs w:val="21"/>
                <w:highlight w:val="none"/>
              </w:rPr>
            </w:pPr>
          </w:p>
        </w:tc>
        <w:tc>
          <w:tcPr>
            <w:tcW w:w="2055" w:type="dxa"/>
            <w:vMerge w:val="restart"/>
            <w:vAlign w:val="center"/>
          </w:tcPr>
          <w:p>
            <w:pPr>
              <w:spacing w:line="300" w:lineRule="exact"/>
              <w:rPr>
                <w:szCs w:val="21"/>
                <w:highlight w:val="none"/>
              </w:rPr>
            </w:pPr>
            <w:r>
              <w:rPr>
                <w:rFonts w:hint="eastAsia"/>
                <w:szCs w:val="21"/>
                <w:highlight w:val="none"/>
              </w:rPr>
              <w:t>河流形态(5 分)</w:t>
            </w:r>
          </w:p>
        </w:tc>
        <w:tc>
          <w:tcPr>
            <w:tcW w:w="3049" w:type="dxa"/>
            <w:vAlign w:val="center"/>
          </w:tcPr>
          <w:p>
            <w:pPr>
              <w:spacing w:line="300" w:lineRule="exact"/>
              <w:rPr>
                <w:szCs w:val="21"/>
                <w:highlight w:val="none"/>
              </w:rPr>
            </w:pPr>
            <w:r>
              <w:rPr>
                <w:rFonts w:hint="eastAsia"/>
                <w:szCs w:val="21"/>
                <w:highlight w:val="none"/>
              </w:rPr>
              <w:t xml:space="preserve">河道形态影响情况(3 分) </w:t>
            </w:r>
          </w:p>
        </w:tc>
        <w:tc>
          <w:tcPr>
            <w:tcW w:w="2051" w:type="dxa"/>
            <w:vAlign w:val="center"/>
          </w:tcPr>
          <w:p>
            <w:pPr>
              <w:spacing w:line="300" w:lineRule="exact"/>
              <w:rPr>
                <w:szCs w:val="21"/>
                <w:highlight w:val="none"/>
              </w:rPr>
            </w:pPr>
            <w:r>
              <w:rPr>
                <w:rFonts w:hint="eastAsia"/>
                <w:szCs w:val="21"/>
                <w:highlight w:val="none"/>
              </w:rPr>
              <w:t>人工修复治理措施</w:t>
            </w:r>
          </w:p>
        </w:tc>
        <w:tc>
          <w:tcPr>
            <w:tcW w:w="661" w:type="dxa"/>
            <w:vAlign w:val="center"/>
          </w:tcPr>
          <w:p>
            <w:pPr>
              <w:spacing w:line="300" w:lineRule="exact"/>
              <w:ind w:left="0" w:leftChars="0" w:right="0" w:rightChars="0" w:firstLine="0" w:firstLineChars="0"/>
              <w:jc w:val="center"/>
              <w:rPr>
                <w:color w:val="auto"/>
                <w:szCs w:val="21"/>
                <w:highlight w:val="none"/>
              </w:rPr>
            </w:pPr>
            <w:r>
              <w:rPr>
                <w:rFonts w:hint="eastAsia"/>
                <w:color w:val="auto"/>
                <w:szCs w:val="21"/>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680" w:type="dxa"/>
            <w:vMerge w:val="continue"/>
            <w:vAlign w:val="center"/>
          </w:tcPr>
          <w:p>
            <w:pPr>
              <w:spacing w:line="300" w:lineRule="exact"/>
              <w:rPr>
                <w:szCs w:val="21"/>
                <w:highlight w:val="none"/>
              </w:rPr>
            </w:pPr>
          </w:p>
        </w:tc>
        <w:tc>
          <w:tcPr>
            <w:tcW w:w="2055" w:type="dxa"/>
            <w:vMerge w:val="continue"/>
            <w:vAlign w:val="center"/>
          </w:tcPr>
          <w:p>
            <w:pPr>
              <w:spacing w:line="300" w:lineRule="exact"/>
              <w:rPr>
                <w:szCs w:val="21"/>
                <w:highlight w:val="none"/>
              </w:rPr>
            </w:pPr>
          </w:p>
        </w:tc>
        <w:tc>
          <w:tcPr>
            <w:tcW w:w="3049" w:type="dxa"/>
            <w:vAlign w:val="center"/>
          </w:tcPr>
          <w:p>
            <w:pPr>
              <w:spacing w:line="300" w:lineRule="exact"/>
              <w:rPr>
                <w:szCs w:val="21"/>
                <w:highlight w:val="none"/>
              </w:rPr>
            </w:pPr>
            <w:r>
              <w:rPr>
                <w:rFonts w:hint="eastAsia"/>
                <w:szCs w:val="21"/>
                <w:highlight w:val="none"/>
              </w:rPr>
              <w:t xml:space="preserve">输沙影响情况(2 分) </w:t>
            </w:r>
          </w:p>
        </w:tc>
        <w:tc>
          <w:tcPr>
            <w:tcW w:w="2051" w:type="dxa"/>
            <w:vAlign w:val="center"/>
          </w:tcPr>
          <w:p>
            <w:pPr>
              <w:spacing w:line="300" w:lineRule="exact"/>
              <w:rPr>
                <w:szCs w:val="21"/>
                <w:highlight w:val="none"/>
              </w:rPr>
            </w:pPr>
            <w:r>
              <w:rPr>
                <w:rFonts w:hint="eastAsia"/>
                <w:szCs w:val="21"/>
                <w:highlight w:val="none"/>
              </w:rPr>
              <w:t>影响较小</w:t>
            </w:r>
          </w:p>
        </w:tc>
        <w:tc>
          <w:tcPr>
            <w:tcW w:w="661" w:type="dxa"/>
            <w:vAlign w:val="center"/>
          </w:tcPr>
          <w:p>
            <w:pPr>
              <w:spacing w:line="300" w:lineRule="exact"/>
              <w:ind w:left="0" w:leftChars="0" w:right="0" w:rightChars="0" w:firstLine="0" w:firstLineChars="0"/>
              <w:jc w:val="center"/>
              <w:rPr>
                <w:color w:val="auto"/>
                <w:szCs w:val="21"/>
                <w:highlight w:val="none"/>
              </w:rPr>
            </w:pPr>
            <w:r>
              <w:rPr>
                <w:rFonts w:hint="eastAsia"/>
                <w:color w:val="auto"/>
                <w:szCs w:val="21"/>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trPr>
        <w:tc>
          <w:tcPr>
            <w:tcW w:w="680" w:type="dxa"/>
            <w:vMerge w:val="continue"/>
            <w:vAlign w:val="center"/>
          </w:tcPr>
          <w:p>
            <w:pPr>
              <w:spacing w:line="300" w:lineRule="exact"/>
              <w:rPr>
                <w:szCs w:val="21"/>
                <w:highlight w:val="none"/>
              </w:rPr>
            </w:pPr>
          </w:p>
        </w:tc>
        <w:tc>
          <w:tcPr>
            <w:tcW w:w="2055" w:type="dxa"/>
            <w:vAlign w:val="center"/>
          </w:tcPr>
          <w:p>
            <w:pPr>
              <w:spacing w:line="300" w:lineRule="exact"/>
              <w:rPr>
                <w:szCs w:val="21"/>
                <w:highlight w:val="none"/>
              </w:rPr>
            </w:pPr>
            <w:r>
              <w:rPr>
                <w:rFonts w:hint="eastAsia"/>
                <w:highlight w:val="none"/>
              </w:rPr>
              <w:t xml:space="preserve">水质(5 分) </w:t>
            </w:r>
          </w:p>
        </w:tc>
        <w:tc>
          <w:tcPr>
            <w:tcW w:w="3049" w:type="dxa"/>
            <w:vAlign w:val="center"/>
          </w:tcPr>
          <w:p>
            <w:pPr>
              <w:spacing w:line="300" w:lineRule="exact"/>
              <w:rPr>
                <w:szCs w:val="21"/>
                <w:highlight w:val="none"/>
              </w:rPr>
            </w:pPr>
            <w:r>
              <w:rPr>
                <w:rFonts w:hint="eastAsia"/>
                <w:szCs w:val="21"/>
                <w:highlight w:val="none"/>
              </w:rPr>
              <w:t>水质变化程度(5 分)</w:t>
            </w:r>
          </w:p>
        </w:tc>
        <w:tc>
          <w:tcPr>
            <w:tcW w:w="2051" w:type="dxa"/>
            <w:vAlign w:val="center"/>
          </w:tcPr>
          <w:p>
            <w:pPr>
              <w:spacing w:line="300" w:lineRule="exact"/>
              <w:rPr>
                <w:szCs w:val="21"/>
                <w:highlight w:val="none"/>
              </w:rPr>
            </w:pPr>
            <w:r>
              <w:rPr>
                <w:rFonts w:hint="eastAsia"/>
                <w:szCs w:val="21"/>
                <w:highlight w:val="none"/>
              </w:rPr>
              <w:t>未引起水质类别降低</w:t>
            </w:r>
          </w:p>
        </w:tc>
        <w:tc>
          <w:tcPr>
            <w:tcW w:w="661" w:type="dxa"/>
            <w:vAlign w:val="center"/>
          </w:tcPr>
          <w:p>
            <w:pPr>
              <w:spacing w:line="300" w:lineRule="exact"/>
              <w:ind w:left="0" w:leftChars="0" w:right="0" w:rightChars="0" w:firstLine="0" w:firstLineChars="0"/>
              <w:jc w:val="center"/>
              <w:rPr>
                <w:color w:val="auto"/>
                <w:szCs w:val="21"/>
                <w:highlight w:val="none"/>
              </w:rPr>
            </w:pPr>
            <w:r>
              <w:rPr>
                <w:rFonts w:hint="eastAsia"/>
                <w:color w:val="auto"/>
                <w:szCs w:val="21"/>
                <w:highlight w:val="non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dxa"/>
            <w:vMerge w:val="continue"/>
            <w:vAlign w:val="center"/>
          </w:tcPr>
          <w:p>
            <w:pPr>
              <w:spacing w:line="300" w:lineRule="exact"/>
              <w:rPr>
                <w:szCs w:val="21"/>
                <w:highlight w:val="none"/>
              </w:rPr>
            </w:pPr>
          </w:p>
        </w:tc>
        <w:tc>
          <w:tcPr>
            <w:tcW w:w="2055" w:type="dxa"/>
            <w:vAlign w:val="center"/>
          </w:tcPr>
          <w:p>
            <w:pPr>
              <w:spacing w:line="300" w:lineRule="exact"/>
              <w:rPr>
                <w:szCs w:val="21"/>
                <w:highlight w:val="none"/>
              </w:rPr>
            </w:pPr>
            <w:r>
              <w:rPr>
                <w:rFonts w:hint="eastAsia"/>
                <w:szCs w:val="21"/>
                <w:highlight w:val="none"/>
              </w:rPr>
              <w:t>水生及陆生生态</w:t>
            </w:r>
          </w:p>
          <w:p>
            <w:pPr>
              <w:spacing w:line="300" w:lineRule="exact"/>
              <w:rPr>
                <w:szCs w:val="21"/>
                <w:highlight w:val="none"/>
              </w:rPr>
            </w:pPr>
            <w:r>
              <w:rPr>
                <w:rFonts w:hint="eastAsia"/>
                <w:szCs w:val="21"/>
                <w:highlight w:val="none"/>
              </w:rPr>
              <w:t>(10 分)</w:t>
            </w:r>
          </w:p>
        </w:tc>
        <w:tc>
          <w:tcPr>
            <w:tcW w:w="3049" w:type="dxa"/>
            <w:vAlign w:val="center"/>
          </w:tcPr>
          <w:p>
            <w:pPr>
              <w:spacing w:line="300" w:lineRule="exact"/>
              <w:rPr>
                <w:szCs w:val="21"/>
                <w:highlight w:val="none"/>
              </w:rPr>
            </w:pPr>
            <w:r>
              <w:rPr>
                <w:rFonts w:hint="eastAsia"/>
                <w:szCs w:val="21"/>
                <w:highlight w:val="none"/>
              </w:rPr>
              <w:t>水生保护物种影响情况(6 分)</w:t>
            </w:r>
          </w:p>
        </w:tc>
        <w:tc>
          <w:tcPr>
            <w:tcW w:w="2051" w:type="dxa"/>
            <w:vAlign w:val="center"/>
          </w:tcPr>
          <w:p>
            <w:pPr>
              <w:spacing w:line="300" w:lineRule="exact"/>
              <w:rPr>
                <w:szCs w:val="21"/>
                <w:highlight w:val="none"/>
              </w:rPr>
            </w:pPr>
            <w:r>
              <w:rPr>
                <w:rFonts w:hint="eastAsia"/>
                <w:szCs w:val="21"/>
                <w:highlight w:val="none"/>
              </w:rPr>
              <w:t>不涉及重点保护、珍稀濒危物种、特有水生生物、洄游鱼类物种等及“三场”</w:t>
            </w:r>
          </w:p>
        </w:tc>
        <w:tc>
          <w:tcPr>
            <w:tcW w:w="661" w:type="dxa"/>
            <w:vAlign w:val="center"/>
          </w:tcPr>
          <w:p>
            <w:pPr>
              <w:spacing w:line="300" w:lineRule="exact"/>
              <w:ind w:left="0" w:leftChars="0" w:right="0" w:rightChars="0" w:firstLine="0" w:firstLineChars="0"/>
              <w:jc w:val="center"/>
              <w:rPr>
                <w:rFonts w:hint="default" w:eastAsia="宋体"/>
                <w:color w:val="auto"/>
                <w:szCs w:val="21"/>
                <w:highlight w:val="none"/>
                <w:lang w:val="en-US" w:eastAsia="zh-CN"/>
              </w:rPr>
            </w:pPr>
            <w:r>
              <w:rPr>
                <w:rFonts w:hint="eastAsia"/>
                <w:color w:val="auto"/>
                <w:szCs w:val="21"/>
                <w:highlight w:val="none"/>
                <w:lang w:val="en-US" w:eastAsia="zh-CN"/>
              </w:rPr>
              <w:t>6</w:t>
            </w:r>
          </w:p>
        </w:tc>
      </w:tr>
    </w:tbl>
    <w:p>
      <w:pPr>
        <w:spacing w:line="480" w:lineRule="exact"/>
        <w:jc w:val="center"/>
        <w:rPr>
          <w:b/>
          <w:bCs/>
          <w:color w:val="auto"/>
          <w:sz w:val="24"/>
          <w:highlight w:val="none"/>
        </w:rPr>
      </w:pPr>
      <w:r>
        <w:rPr>
          <w:rFonts w:hint="eastAsia"/>
          <w:b/>
          <w:bCs/>
          <w:color w:val="auto"/>
          <w:sz w:val="24"/>
          <w:highlight w:val="none"/>
          <w:lang w:eastAsia="zh-CN"/>
        </w:rPr>
        <w:t>续</w:t>
      </w:r>
      <w:r>
        <w:rPr>
          <w:rFonts w:hint="eastAsia"/>
          <w:b/>
          <w:bCs/>
          <w:color w:val="auto"/>
          <w:sz w:val="24"/>
          <w:highlight w:val="none"/>
        </w:rPr>
        <w:t>表0.4-3 本项目与《绿色小水电评价标准》相符性分析表</w:t>
      </w:r>
    </w:p>
    <w:tbl>
      <w:tblPr>
        <w:tblStyle w:val="52"/>
        <w:tblW w:w="84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0"/>
        <w:gridCol w:w="2040"/>
        <w:gridCol w:w="15"/>
        <w:gridCol w:w="3050"/>
        <w:gridCol w:w="2051"/>
        <w:gridCol w:w="6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680" w:type="dxa"/>
            <w:vAlign w:val="center"/>
          </w:tcPr>
          <w:p>
            <w:pPr>
              <w:spacing w:line="300" w:lineRule="exact"/>
              <w:rPr>
                <w:color w:val="auto"/>
                <w:szCs w:val="21"/>
                <w:highlight w:val="none"/>
              </w:rPr>
            </w:pPr>
            <w:r>
              <w:rPr>
                <w:rFonts w:hint="eastAsia"/>
                <w:color w:val="auto"/>
                <w:szCs w:val="21"/>
                <w:highlight w:val="none"/>
              </w:rPr>
              <w:t>评价</w:t>
            </w:r>
          </w:p>
          <w:p>
            <w:pPr>
              <w:spacing w:line="300" w:lineRule="exact"/>
              <w:rPr>
                <w:color w:val="auto"/>
                <w:szCs w:val="21"/>
                <w:highlight w:val="none"/>
              </w:rPr>
            </w:pPr>
            <w:r>
              <w:rPr>
                <w:rFonts w:hint="eastAsia"/>
                <w:color w:val="auto"/>
                <w:szCs w:val="21"/>
                <w:highlight w:val="none"/>
              </w:rPr>
              <w:t>类别</w:t>
            </w:r>
          </w:p>
        </w:tc>
        <w:tc>
          <w:tcPr>
            <w:tcW w:w="2055" w:type="dxa"/>
            <w:gridSpan w:val="2"/>
            <w:vAlign w:val="center"/>
          </w:tcPr>
          <w:p>
            <w:pPr>
              <w:spacing w:line="300" w:lineRule="exact"/>
              <w:rPr>
                <w:color w:val="auto"/>
                <w:szCs w:val="21"/>
                <w:highlight w:val="none"/>
              </w:rPr>
            </w:pPr>
            <w:r>
              <w:rPr>
                <w:rFonts w:hint="eastAsia"/>
                <w:color w:val="auto"/>
                <w:szCs w:val="21"/>
                <w:highlight w:val="none"/>
              </w:rPr>
              <w:t>评价要素</w:t>
            </w:r>
          </w:p>
        </w:tc>
        <w:tc>
          <w:tcPr>
            <w:tcW w:w="3050" w:type="dxa"/>
            <w:vAlign w:val="center"/>
          </w:tcPr>
          <w:p>
            <w:pPr>
              <w:spacing w:line="300" w:lineRule="exact"/>
              <w:rPr>
                <w:color w:val="auto"/>
                <w:szCs w:val="21"/>
                <w:highlight w:val="none"/>
              </w:rPr>
            </w:pPr>
            <w:r>
              <w:rPr>
                <w:rFonts w:hint="eastAsia"/>
                <w:color w:val="auto"/>
                <w:szCs w:val="21"/>
                <w:highlight w:val="none"/>
              </w:rPr>
              <w:t>评价指标</w:t>
            </w:r>
          </w:p>
        </w:tc>
        <w:tc>
          <w:tcPr>
            <w:tcW w:w="2051" w:type="dxa"/>
            <w:vAlign w:val="center"/>
          </w:tcPr>
          <w:p>
            <w:pPr>
              <w:spacing w:line="300" w:lineRule="exact"/>
              <w:rPr>
                <w:color w:val="auto"/>
                <w:szCs w:val="21"/>
                <w:highlight w:val="none"/>
              </w:rPr>
            </w:pPr>
            <w:r>
              <w:rPr>
                <w:rFonts w:hint="eastAsia"/>
                <w:color w:val="auto"/>
                <w:szCs w:val="21"/>
                <w:highlight w:val="none"/>
              </w:rPr>
              <w:t>本项目情况</w:t>
            </w:r>
          </w:p>
        </w:tc>
        <w:tc>
          <w:tcPr>
            <w:tcW w:w="661" w:type="dxa"/>
            <w:vAlign w:val="center"/>
          </w:tcPr>
          <w:p>
            <w:pPr>
              <w:spacing w:line="300" w:lineRule="exact"/>
              <w:rPr>
                <w:color w:val="auto"/>
                <w:szCs w:val="21"/>
                <w:highlight w:val="none"/>
              </w:rPr>
            </w:pPr>
            <w:r>
              <w:rPr>
                <w:rFonts w:hint="eastAsia"/>
                <w:color w:val="auto"/>
                <w:szCs w:val="21"/>
                <w:highlight w:val="none"/>
              </w:rPr>
              <w:t>评分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trPr>
        <w:tc>
          <w:tcPr>
            <w:tcW w:w="680" w:type="dxa"/>
            <w:vMerge w:val="restart"/>
            <w:vAlign w:val="center"/>
          </w:tcPr>
          <w:p>
            <w:pPr>
              <w:spacing w:line="300" w:lineRule="exact"/>
              <w:rPr>
                <w:color w:val="auto"/>
                <w:szCs w:val="21"/>
                <w:highlight w:val="none"/>
              </w:rPr>
            </w:pPr>
            <w:r>
              <w:rPr>
                <w:rFonts w:hint="eastAsia"/>
                <w:color w:val="auto"/>
                <w:szCs w:val="21"/>
                <w:highlight w:val="none"/>
              </w:rPr>
              <w:t>生态</w:t>
            </w:r>
          </w:p>
          <w:p>
            <w:pPr>
              <w:spacing w:line="300" w:lineRule="exact"/>
              <w:rPr>
                <w:color w:val="auto"/>
                <w:szCs w:val="21"/>
                <w:highlight w:val="none"/>
              </w:rPr>
            </w:pPr>
            <w:r>
              <w:rPr>
                <w:rFonts w:hint="eastAsia"/>
                <w:color w:val="auto"/>
                <w:szCs w:val="21"/>
                <w:highlight w:val="none"/>
              </w:rPr>
              <w:t>环境</w:t>
            </w:r>
          </w:p>
          <w:p>
            <w:pPr>
              <w:spacing w:line="300" w:lineRule="exact"/>
              <w:rPr>
                <w:color w:val="auto"/>
                <w:szCs w:val="21"/>
                <w:highlight w:val="none"/>
              </w:rPr>
            </w:pPr>
            <w:r>
              <w:rPr>
                <w:rFonts w:hint="eastAsia"/>
                <w:color w:val="auto"/>
                <w:szCs w:val="21"/>
                <w:highlight w:val="none"/>
              </w:rPr>
              <w:t>(55)</w:t>
            </w:r>
          </w:p>
        </w:tc>
        <w:tc>
          <w:tcPr>
            <w:tcW w:w="2055" w:type="dxa"/>
            <w:gridSpan w:val="2"/>
            <w:vAlign w:val="center"/>
          </w:tcPr>
          <w:p>
            <w:pPr>
              <w:spacing w:line="300" w:lineRule="exact"/>
              <w:rPr>
                <w:color w:val="auto"/>
                <w:szCs w:val="21"/>
                <w:highlight w:val="none"/>
              </w:rPr>
            </w:pPr>
            <w:r>
              <w:rPr>
                <w:rFonts w:hint="eastAsia"/>
                <w:color w:val="auto"/>
                <w:szCs w:val="21"/>
                <w:highlight w:val="none"/>
              </w:rPr>
              <w:t>水生及陆生生态</w:t>
            </w:r>
          </w:p>
          <w:p>
            <w:pPr>
              <w:spacing w:line="300" w:lineRule="exact"/>
              <w:rPr>
                <w:color w:val="auto"/>
                <w:szCs w:val="21"/>
                <w:highlight w:val="none"/>
              </w:rPr>
            </w:pPr>
            <w:r>
              <w:rPr>
                <w:rFonts w:hint="eastAsia"/>
                <w:color w:val="auto"/>
                <w:szCs w:val="21"/>
                <w:highlight w:val="none"/>
              </w:rPr>
              <w:t>(10 分)</w:t>
            </w:r>
          </w:p>
        </w:tc>
        <w:tc>
          <w:tcPr>
            <w:tcW w:w="3050" w:type="dxa"/>
            <w:vAlign w:val="center"/>
          </w:tcPr>
          <w:p>
            <w:pPr>
              <w:spacing w:line="300" w:lineRule="exact"/>
              <w:rPr>
                <w:color w:val="auto"/>
                <w:szCs w:val="21"/>
                <w:highlight w:val="none"/>
              </w:rPr>
            </w:pPr>
            <w:r>
              <w:rPr>
                <w:rFonts w:hint="eastAsia"/>
                <w:color w:val="auto"/>
                <w:szCs w:val="21"/>
                <w:highlight w:val="none"/>
              </w:rPr>
              <w:t>陆生保护生物生境影响情况(4分)</w:t>
            </w:r>
          </w:p>
        </w:tc>
        <w:tc>
          <w:tcPr>
            <w:tcW w:w="2051" w:type="dxa"/>
            <w:vAlign w:val="center"/>
          </w:tcPr>
          <w:p>
            <w:pPr>
              <w:spacing w:line="300" w:lineRule="exact"/>
              <w:rPr>
                <w:color w:val="auto"/>
                <w:szCs w:val="21"/>
                <w:highlight w:val="none"/>
              </w:rPr>
            </w:pPr>
            <w:r>
              <w:rPr>
                <w:rFonts w:hint="eastAsia"/>
                <w:color w:val="auto"/>
                <w:szCs w:val="21"/>
                <w:highlight w:val="none"/>
              </w:rPr>
              <w:t>不涉及重点保护、珍稀濒危物种、特有陆生生物物种</w:t>
            </w:r>
          </w:p>
        </w:tc>
        <w:tc>
          <w:tcPr>
            <w:tcW w:w="661" w:type="dxa"/>
            <w:vAlign w:val="center"/>
          </w:tcPr>
          <w:p>
            <w:pPr>
              <w:spacing w:line="300" w:lineRule="exact"/>
              <w:ind w:left="0" w:leftChars="0" w:right="0" w:rightChars="0" w:firstLine="0" w:firstLineChars="0"/>
              <w:jc w:val="center"/>
              <w:rPr>
                <w:rFonts w:hint="default" w:eastAsia="宋体"/>
                <w:color w:val="auto"/>
                <w:szCs w:val="21"/>
                <w:highlight w:val="none"/>
                <w:lang w:val="en-US" w:eastAsia="zh-CN"/>
              </w:rPr>
            </w:pPr>
            <w:r>
              <w:rPr>
                <w:rFonts w:hint="eastAsia"/>
                <w:color w:val="auto"/>
                <w:szCs w:val="21"/>
                <w:highlight w:val="no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680" w:type="dxa"/>
            <w:vMerge w:val="continue"/>
            <w:vAlign w:val="center"/>
          </w:tcPr>
          <w:p>
            <w:pPr>
              <w:spacing w:line="300" w:lineRule="exact"/>
              <w:rPr>
                <w:color w:val="auto"/>
                <w:szCs w:val="21"/>
                <w:highlight w:val="none"/>
              </w:rPr>
            </w:pPr>
          </w:p>
        </w:tc>
        <w:tc>
          <w:tcPr>
            <w:tcW w:w="2040" w:type="dxa"/>
            <w:vMerge w:val="restart"/>
            <w:vAlign w:val="center"/>
          </w:tcPr>
          <w:p>
            <w:pPr>
              <w:spacing w:line="300" w:lineRule="exact"/>
              <w:rPr>
                <w:color w:val="auto"/>
                <w:szCs w:val="21"/>
                <w:highlight w:val="none"/>
              </w:rPr>
            </w:pPr>
            <w:r>
              <w:rPr>
                <w:rFonts w:hint="eastAsia"/>
                <w:color w:val="auto"/>
                <w:szCs w:val="21"/>
                <w:highlight w:val="none"/>
              </w:rPr>
              <w:t>景观(10 分)</w:t>
            </w:r>
          </w:p>
        </w:tc>
        <w:tc>
          <w:tcPr>
            <w:tcW w:w="3065" w:type="dxa"/>
            <w:gridSpan w:val="2"/>
            <w:vAlign w:val="center"/>
          </w:tcPr>
          <w:p>
            <w:pPr>
              <w:spacing w:line="300" w:lineRule="exact"/>
              <w:rPr>
                <w:color w:val="auto"/>
                <w:szCs w:val="21"/>
                <w:highlight w:val="none"/>
              </w:rPr>
            </w:pPr>
            <w:r>
              <w:rPr>
                <w:rFonts w:hint="eastAsia"/>
                <w:color w:val="auto"/>
                <w:szCs w:val="21"/>
                <w:highlight w:val="none"/>
              </w:rPr>
              <w:t>景观恢复度(5 分)</w:t>
            </w:r>
          </w:p>
        </w:tc>
        <w:tc>
          <w:tcPr>
            <w:tcW w:w="2051" w:type="dxa"/>
            <w:vAlign w:val="center"/>
          </w:tcPr>
          <w:p>
            <w:pPr>
              <w:spacing w:line="300" w:lineRule="exact"/>
              <w:rPr>
                <w:color w:val="auto"/>
                <w:szCs w:val="21"/>
                <w:highlight w:val="none"/>
              </w:rPr>
            </w:pPr>
            <w:r>
              <w:rPr>
                <w:rFonts w:hint="eastAsia"/>
                <w:color w:val="auto"/>
                <w:szCs w:val="21"/>
                <w:highlight w:val="none"/>
              </w:rPr>
              <w:t>恢复比较好</w:t>
            </w:r>
          </w:p>
        </w:tc>
        <w:tc>
          <w:tcPr>
            <w:tcW w:w="661" w:type="dxa"/>
            <w:vAlign w:val="center"/>
          </w:tcPr>
          <w:p>
            <w:pPr>
              <w:spacing w:line="300" w:lineRule="exact"/>
              <w:ind w:left="0" w:leftChars="0" w:right="0" w:rightChars="0" w:firstLine="0" w:firstLineChars="0"/>
              <w:jc w:val="center"/>
              <w:rPr>
                <w:color w:val="auto"/>
                <w:szCs w:val="21"/>
                <w:highlight w:val="none"/>
              </w:rPr>
            </w:pPr>
            <w:r>
              <w:rPr>
                <w:rFonts w:hint="eastAsia"/>
                <w:color w:val="auto"/>
                <w:szCs w:val="21"/>
                <w:highlight w:val="none"/>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680" w:type="dxa"/>
            <w:vMerge w:val="continue"/>
            <w:vAlign w:val="center"/>
          </w:tcPr>
          <w:p>
            <w:pPr>
              <w:spacing w:line="300" w:lineRule="exact"/>
              <w:rPr>
                <w:color w:val="auto"/>
                <w:szCs w:val="21"/>
                <w:highlight w:val="none"/>
              </w:rPr>
            </w:pPr>
          </w:p>
        </w:tc>
        <w:tc>
          <w:tcPr>
            <w:tcW w:w="2040" w:type="dxa"/>
            <w:vMerge w:val="continue"/>
            <w:vAlign w:val="center"/>
          </w:tcPr>
          <w:p>
            <w:pPr>
              <w:spacing w:line="300" w:lineRule="exact"/>
              <w:rPr>
                <w:color w:val="auto"/>
                <w:szCs w:val="21"/>
                <w:highlight w:val="none"/>
              </w:rPr>
            </w:pPr>
          </w:p>
        </w:tc>
        <w:tc>
          <w:tcPr>
            <w:tcW w:w="3065" w:type="dxa"/>
            <w:gridSpan w:val="2"/>
            <w:vAlign w:val="center"/>
          </w:tcPr>
          <w:p>
            <w:pPr>
              <w:spacing w:line="300" w:lineRule="exact"/>
              <w:rPr>
                <w:color w:val="auto"/>
                <w:szCs w:val="21"/>
                <w:highlight w:val="none"/>
              </w:rPr>
            </w:pPr>
            <w:r>
              <w:rPr>
                <w:rFonts w:hint="eastAsia"/>
                <w:color w:val="auto"/>
                <w:szCs w:val="21"/>
                <w:highlight w:val="none"/>
              </w:rPr>
              <w:t xml:space="preserve">景观协调性(5 分) </w:t>
            </w:r>
          </w:p>
        </w:tc>
        <w:tc>
          <w:tcPr>
            <w:tcW w:w="2051" w:type="dxa"/>
            <w:vAlign w:val="center"/>
          </w:tcPr>
          <w:p>
            <w:pPr>
              <w:spacing w:line="300" w:lineRule="exact"/>
              <w:rPr>
                <w:color w:val="auto"/>
                <w:szCs w:val="21"/>
                <w:highlight w:val="none"/>
              </w:rPr>
            </w:pPr>
            <w:r>
              <w:rPr>
                <w:rFonts w:hint="eastAsia"/>
                <w:color w:val="auto"/>
                <w:szCs w:val="21"/>
                <w:highlight w:val="none"/>
              </w:rPr>
              <w:t>基本协调</w:t>
            </w:r>
          </w:p>
        </w:tc>
        <w:tc>
          <w:tcPr>
            <w:tcW w:w="661" w:type="dxa"/>
            <w:vAlign w:val="center"/>
          </w:tcPr>
          <w:p>
            <w:pPr>
              <w:spacing w:line="300" w:lineRule="exact"/>
              <w:ind w:left="0" w:leftChars="0" w:right="0" w:rightChars="0" w:firstLine="0" w:firstLineChars="0"/>
              <w:jc w:val="center"/>
              <w:rPr>
                <w:color w:val="auto"/>
                <w:szCs w:val="21"/>
                <w:highlight w:val="none"/>
              </w:rPr>
            </w:pPr>
            <w:r>
              <w:rPr>
                <w:rFonts w:hint="eastAsia"/>
                <w:color w:val="auto"/>
                <w:szCs w:val="21"/>
                <w:highlight w:val="none"/>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680" w:type="dxa"/>
            <w:vMerge w:val="continue"/>
            <w:vAlign w:val="center"/>
          </w:tcPr>
          <w:p>
            <w:pPr>
              <w:spacing w:line="300" w:lineRule="exact"/>
              <w:rPr>
                <w:color w:val="auto"/>
                <w:szCs w:val="21"/>
                <w:highlight w:val="none"/>
              </w:rPr>
            </w:pPr>
          </w:p>
        </w:tc>
        <w:tc>
          <w:tcPr>
            <w:tcW w:w="2040" w:type="dxa"/>
            <w:vMerge w:val="restart"/>
            <w:vAlign w:val="center"/>
          </w:tcPr>
          <w:p>
            <w:pPr>
              <w:spacing w:line="300" w:lineRule="exact"/>
              <w:rPr>
                <w:color w:val="auto"/>
                <w:szCs w:val="21"/>
                <w:highlight w:val="none"/>
              </w:rPr>
            </w:pPr>
            <w:r>
              <w:rPr>
                <w:rFonts w:hint="eastAsia"/>
                <w:color w:val="auto"/>
                <w:szCs w:val="21"/>
                <w:highlight w:val="none"/>
              </w:rPr>
              <w:t>减排(10 分)</w:t>
            </w:r>
          </w:p>
        </w:tc>
        <w:tc>
          <w:tcPr>
            <w:tcW w:w="3065" w:type="dxa"/>
            <w:gridSpan w:val="2"/>
            <w:vAlign w:val="center"/>
          </w:tcPr>
          <w:p>
            <w:pPr>
              <w:spacing w:line="300" w:lineRule="exact"/>
              <w:rPr>
                <w:color w:val="auto"/>
                <w:szCs w:val="21"/>
                <w:highlight w:val="none"/>
              </w:rPr>
            </w:pPr>
            <w:r>
              <w:rPr>
                <w:rFonts w:hint="eastAsia"/>
                <w:color w:val="auto"/>
                <w:szCs w:val="21"/>
                <w:highlight w:val="none"/>
              </w:rPr>
              <w:t xml:space="preserve">替代效应(5 分) </w:t>
            </w:r>
          </w:p>
        </w:tc>
        <w:tc>
          <w:tcPr>
            <w:tcW w:w="2051" w:type="dxa"/>
            <w:vAlign w:val="center"/>
          </w:tcPr>
          <w:p>
            <w:pPr>
              <w:spacing w:line="300" w:lineRule="exact"/>
              <w:rPr>
                <w:color w:val="auto"/>
                <w:szCs w:val="21"/>
                <w:highlight w:val="none"/>
              </w:rPr>
            </w:pPr>
            <w:r>
              <w:rPr>
                <w:rFonts w:hint="eastAsia"/>
                <w:color w:val="auto"/>
                <w:szCs w:val="21"/>
                <w:highlight w:val="none"/>
              </w:rPr>
              <w:t xml:space="preserve">p＞0.7 </w:t>
            </w:r>
          </w:p>
        </w:tc>
        <w:tc>
          <w:tcPr>
            <w:tcW w:w="661" w:type="dxa"/>
            <w:vAlign w:val="center"/>
          </w:tcPr>
          <w:p>
            <w:pPr>
              <w:spacing w:line="300" w:lineRule="exact"/>
              <w:ind w:left="0" w:leftChars="0" w:right="0" w:rightChars="0" w:firstLine="0" w:firstLineChars="0"/>
              <w:jc w:val="center"/>
              <w:rPr>
                <w:color w:val="auto"/>
                <w:szCs w:val="21"/>
                <w:highlight w:val="none"/>
              </w:rPr>
            </w:pPr>
            <w:r>
              <w:rPr>
                <w:rFonts w:hint="eastAsia"/>
                <w:color w:val="auto"/>
                <w:szCs w:val="21"/>
                <w:highlight w:val="non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680" w:type="dxa"/>
            <w:vMerge w:val="continue"/>
            <w:vAlign w:val="center"/>
          </w:tcPr>
          <w:p>
            <w:pPr>
              <w:spacing w:line="300" w:lineRule="exact"/>
              <w:rPr>
                <w:color w:val="auto"/>
                <w:szCs w:val="21"/>
                <w:highlight w:val="none"/>
              </w:rPr>
            </w:pPr>
          </w:p>
        </w:tc>
        <w:tc>
          <w:tcPr>
            <w:tcW w:w="2040" w:type="dxa"/>
            <w:vMerge w:val="continue"/>
            <w:vAlign w:val="center"/>
          </w:tcPr>
          <w:p>
            <w:pPr>
              <w:spacing w:line="300" w:lineRule="exact"/>
              <w:rPr>
                <w:color w:val="auto"/>
                <w:szCs w:val="21"/>
                <w:highlight w:val="none"/>
              </w:rPr>
            </w:pPr>
          </w:p>
        </w:tc>
        <w:tc>
          <w:tcPr>
            <w:tcW w:w="3065" w:type="dxa"/>
            <w:gridSpan w:val="2"/>
            <w:vAlign w:val="center"/>
          </w:tcPr>
          <w:p>
            <w:pPr>
              <w:spacing w:line="300" w:lineRule="exact"/>
              <w:rPr>
                <w:color w:val="auto"/>
                <w:szCs w:val="21"/>
                <w:highlight w:val="none"/>
              </w:rPr>
            </w:pPr>
            <w:r>
              <w:rPr>
                <w:rFonts w:hint="eastAsia"/>
                <w:color w:val="auto"/>
                <w:szCs w:val="21"/>
                <w:highlight w:val="none"/>
              </w:rPr>
              <w:t xml:space="preserve">减排效率(5 分) </w:t>
            </w:r>
          </w:p>
        </w:tc>
        <w:tc>
          <w:tcPr>
            <w:tcW w:w="2051" w:type="dxa"/>
            <w:vAlign w:val="center"/>
          </w:tcPr>
          <w:p>
            <w:pPr>
              <w:spacing w:line="300" w:lineRule="exact"/>
              <w:rPr>
                <w:color w:val="auto"/>
                <w:szCs w:val="21"/>
                <w:highlight w:val="none"/>
              </w:rPr>
            </w:pPr>
            <w:r>
              <w:rPr>
                <w:rFonts w:hint="eastAsia"/>
                <w:color w:val="auto"/>
                <w:szCs w:val="21"/>
                <w:highlight w:val="none"/>
              </w:rPr>
              <w:t xml:space="preserve">1≤e=2.5＜4 </w:t>
            </w:r>
          </w:p>
        </w:tc>
        <w:tc>
          <w:tcPr>
            <w:tcW w:w="661" w:type="dxa"/>
            <w:vAlign w:val="center"/>
          </w:tcPr>
          <w:p>
            <w:pPr>
              <w:spacing w:line="300" w:lineRule="exact"/>
              <w:ind w:left="0" w:leftChars="0" w:right="0" w:rightChars="0" w:firstLine="0" w:firstLineChars="0"/>
              <w:jc w:val="center"/>
              <w:rPr>
                <w:color w:val="auto"/>
                <w:szCs w:val="21"/>
                <w:highlight w:val="none"/>
              </w:rPr>
            </w:pPr>
            <w:r>
              <w:rPr>
                <w:rFonts w:hint="eastAsia"/>
                <w:color w:val="auto"/>
                <w:szCs w:val="21"/>
                <w:highlight w:val="none"/>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680" w:type="dxa"/>
            <w:vMerge w:val="restart"/>
            <w:vAlign w:val="center"/>
          </w:tcPr>
          <w:p>
            <w:pPr>
              <w:spacing w:line="300" w:lineRule="exact"/>
              <w:rPr>
                <w:color w:val="auto"/>
                <w:szCs w:val="21"/>
                <w:highlight w:val="none"/>
              </w:rPr>
            </w:pPr>
            <w:r>
              <w:rPr>
                <w:rFonts w:hint="eastAsia"/>
                <w:color w:val="auto"/>
                <w:szCs w:val="21"/>
                <w:highlight w:val="none"/>
              </w:rPr>
              <w:t>社会</w:t>
            </w:r>
          </w:p>
          <w:p>
            <w:pPr>
              <w:spacing w:line="300" w:lineRule="exact"/>
              <w:rPr>
                <w:color w:val="auto"/>
                <w:szCs w:val="21"/>
                <w:highlight w:val="none"/>
              </w:rPr>
            </w:pPr>
            <w:r>
              <w:rPr>
                <w:rFonts w:hint="eastAsia"/>
                <w:color w:val="auto"/>
                <w:szCs w:val="21"/>
                <w:highlight w:val="none"/>
              </w:rPr>
              <w:t>(18分)</w:t>
            </w:r>
          </w:p>
        </w:tc>
        <w:tc>
          <w:tcPr>
            <w:tcW w:w="2040" w:type="dxa"/>
            <w:vAlign w:val="center"/>
          </w:tcPr>
          <w:p>
            <w:pPr>
              <w:spacing w:line="300" w:lineRule="exact"/>
              <w:rPr>
                <w:color w:val="auto"/>
                <w:szCs w:val="21"/>
                <w:highlight w:val="none"/>
              </w:rPr>
            </w:pPr>
            <w:r>
              <w:rPr>
                <w:rFonts w:hint="eastAsia"/>
                <w:color w:val="auto"/>
                <w:szCs w:val="21"/>
                <w:highlight w:val="none"/>
              </w:rPr>
              <w:t xml:space="preserve">移民(6 分) </w:t>
            </w:r>
          </w:p>
        </w:tc>
        <w:tc>
          <w:tcPr>
            <w:tcW w:w="3065" w:type="dxa"/>
            <w:gridSpan w:val="2"/>
            <w:vAlign w:val="center"/>
          </w:tcPr>
          <w:p>
            <w:pPr>
              <w:spacing w:line="300" w:lineRule="exact"/>
              <w:rPr>
                <w:color w:val="auto"/>
                <w:szCs w:val="21"/>
                <w:highlight w:val="none"/>
              </w:rPr>
            </w:pPr>
            <w:r>
              <w:rPr>
                <w:rFonts w:hint="eastAsia"/>
                <w:color w:val="auto"/>
                <w:szCs w:val="21"/>
                <w:highlight w:val="none"/>
              </w:rPr>
              <w:t xml:space="preserve">移民安置落实情况(6 分) </w:t>
            </w:r>
          </w:p>
        </w:tc>
        <w:tc>
          <w:tcPr>
            <w:tcW w:w="2051" w:type="dxa"/>
            <w:vAlign w:val="center"/>
          </w:tcPr>
          <w:p>
            <w:pPr>
              <w:spacing w:line="300" w:lineRule="exact"/>
              <w:rPr>
                <w:color w:val="auto"/>
                <w:szCs w:val="21"/>
                <w:highlight w:val="none"/>
              </w:rPr>
            </w:pPr>
            <w:r>
              <w:rPr>
                <w:rFonts w:hint="eastAsia"/>
                <w:color w:val="auto"/>
                <w:szCs w:val="21"/>
                <w:highlight w:val="none"/>
              </w:rPr>
              <w:t>不涉及</w:t>
            </w:r>
          </w:p>
        </w:tc>
        <w:tc>
          <w:tcPr>
            <w:tcW w:w="661" w:type="dxa"/>
            <w:vAlign w:val="center"/>
          </w:tcPr>
          <w:p>
            <w:pPr>
              <w:spacing w:line="300" w:lineRule="exact"/>
              <w:ind w:left="0" w:leftChars="0" w:right="0" w:rightChars="0" w:firstLine="0" w:firstLineChars="0"/>
              <w:jc w:val="center"/>
              <w:rPr>
                <w:color w:val="auto"/>
                <w:szCs w:val="21"/>
                <w:highlight w:val="none"/>
              </w:rPr>
            </w:pPr>
            <w:r>
              <w:rPr>
                <w:rFonts w:hint="eastAsia"/>
                <w:color w:val="auto"/>
                <w:szCs w:val="21"/>
                <w:highlight w:val="none"/>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680" w:type="dxa"/>
            <w:vMerge w:val="continue"/>
            <w:vAlign w:val="center"/>
          </w:tcPr>
          <w:p>
            <w:pPr>
              <w:spacing w:line="300" w:lineRule="exact"/>
              <w:rPr>
                <w:color w:val="auto"/>
                <w:szCs w:val="21"/>
                <w:highlight w:val="none"/>
              </w:rPr>
            </w:pPr>
          </w:p>
        </w:tc>
        <w:tc>
          <w:tcPr>
            <w:tcW w:w="2040" w:type="dxa"/>
            <w:vMerge w:val="restart"/>
            <w:vAlign w:val="center"/>
          </w:tcPr>
          <w:p>
            <w:pPr>
              <w:spacing w:line="300" w:lineRule="exact"/>
              <w:rPr>
                <w:color w:val="auto"/>
                <w:szCs w:val="21"/>
                <w:highlight w:val="none"/>
              </w:rPr>
            </w:pPr>
            <w:r>
              <w:rPr>
                <w:rFonts w:hint="eastAsia"/>
                <w:color w:val="auto"/>
                <w:szCs w:val="21"/>
                <w:highlight w:val="none"/>
              </w:rPr>
              <w:t>利益共享(8 分)</w:t>
            </w:r>
          </w:p>
        </w:tc>
        <w:tc>
          <w:tcPr>
            <w:tcW w:w="3065" w:type="dxa"/>
            <w:gridSpan w:val="2"/>
            <w:vAlign w:val="center"/>
          </w:tcPr>
          <w:p>
            <w:pPr>
              <w:spacing w:line="300" w:lineRule="exact"/>
              <w:rPr>
                <w:color w:val="auto"/>
                <w:szCs w:val="21"/>
                <w:highlight w:val="none"/>
              </w:rPr>
            </w:pPr>
            <w:r>
              <w:rPr>
                <w:rFonts w:hint="eastAsia"/>
                <w:color w:val="auto"/>
                <w:szCs w:val="21"/>
                <w:highlight w:val="none"/>
              </w:rPr>
              <w:t xml:space="preserve">公共设施改善情况(4 分) </w:t>
            </w:r>
          </w:p>
        </w:tc>
        <w:tc>
          <w:tcPr>
            <w:tcW w:w="2051" w:type="dxa"/>
            <w:vAlign w:val="center"/>
          </w:tcPr>
          <w:p>
            <w:pPr>
              <w:spacing w:line="300" w:lineRule="exact"/>
              <w:rPr>
                <w:color w:val="auto"/>
                <w:szCs w:val="21"/>
                <w:highlight w:val="none"/>
              </w:rPr>
            </w:pPr>
            <w:r>
              <w:rPr>
                <w:rFonts w:hint="eastAsia"/>
                <w:color w:val="auto"/>
                <w:szCs w:val="21"/>
                <w:highlight w:val="none"/>
              </w:rPr>
              <w:t>改善供电</w:t>
            </w:r>
          </w:p>
        </w:tc>
        <w:tc>
          <w:tcPr>
            <w:tcW w:w="661" w:type="dxa"/>
            <w:vAlign w:val="center"/>
          </w:tcPr>
          <w:p>
            <w:pPr>
              <w:spacing w:line="300" w:lineRule="exact"/>
              <w:ind w:left="0" w:leftChars="0" w:right="0" w:rightChars="0" w:firstLine="0" w:firstLineChars="0"/>
              <w:jc w:val="center"/>
              <w:rPr>
                <w:color w:val="auto"/>
                <w:szCs w:val="21"/>
                <w:highlight w:val="none"/>
              </w:rPr>
            </w:pPr>
            <w:r>
              <w:rPr>
                <w:rFonts w:hint="eastAsia"/>
                <w:color w:val="auto"/>
                <w:szCs w:val="21"/>
                <w:highlight w:val="none"/>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680" w:type="dxa"/>
            <w:vMerge w:val="continue"/>
            <w:vAlign w:val="center"/>
          </w:tcPr>
          <w:p>
            <w:pPr>
              <w:spacing w:line="300" w:lineRule="exact"/>
              <w:rPr>
                <w:color w:val="auto"/>
                <w:szCs w:val="21"/>
                <w:highlight w:val="none"/>
              </w:rPr>
            </w:pPr>
          </w:p>
        </w:tc>
        <w:tc>
          <w:tcPr>
            <w:tcW w:w="2040" w:type="dxa"/>
            <w:vMerge w:val="continue"/>
            <w:vAlign w:val="center"/>
          </w:tcPr>
          <w:p>
            <w:pPr>
              <w:spacing w:line="300" w:lineRule="exact"/>
              <w:rPr>
                <w:color w:val="auto"/>
                <w:szCs w:val="21"/>
                <w:highlight w:val="none"/>
              </w:rPr>
            </w:pPr>
          </w:p>
        </w:tc>
        <w:tc>
          <w:tcPr>
            <w:tcW w:w="3065" w:type="dxa"/>
            <w:gridSpan w:val="2"/>
            <w:vAlign w:val="center"/>
          </w:tcPr>
          <w:p>
            <w:pPr>
              <w:spacing w:line="300" w:lineRule="exact"/>
              <w:rPr>
                <w:color w:val="auto"/>
                <w:szCs w:val="21"/>
                <w:highlight w:val="none"/>
              </w:rPr>
            </w:pPr>
            <w:r>
              <w:rPr>
                <w:rFonts w:hint="eastAsia"/>
                <w:color w:val="auto"/>
                <w:szCs w:val="21"/>
                <w:highlight w:val="none"/>
              </w:rPr>
              <w:t xml:space="preserve">民生保障情况(4 分) </w:t>
            </w:r>
          </w:p>
        </w:tc>
        <w:tc>
          <w:tcPr>
            <w:tcW w:w="2051" w:type="dxa"/>
            <w:vAlign w:val="center"/>
          </w:tcPr>
          <w:p>
            <w:pPr>
              <w:spacing w:line="300" w:lineRule="exact"/>
              <w:rPr>
                <w:color w:val="auto"/>
                <w:szCs w:val="21"/>
                <w:highlight w:val="none"/>
              </w:rPr>
            </w:pPr>
            <w:r>
              <w:rPr>
                <w:rFonts w:hint="eastAsia"/>
                <w:color w:val="auto"/>
                <w:szCs w:val="21"/>
                <w:highlight w:val="none"/>
              </w:rPr>
              <w:t>提供就业</w:t>
            </w:r>
          </w:p>
        </w:tc>
        <w:tc>
          <w:tcPr>
            <w:tcW w:w="661" w:type="dxa"/>
            <w:vAlign w:val="center"/>
          </w:tcPr>
          <w:p>
            <w:pPr>
              <w:spacing w:line="300" w:lineRule="exact"/>
              <w:ind w:left="0" w:leftChars="0" w:right="0" w:rightChars="0" w:firstLine="0" w:firstLineChars="0"/>
              <w:jc w:val="center"/>
              <w:rPr>
                <w:rFonts w:hint="default" w:eastAsia="宋体"/>
                <w:color w:val="auto"/>
                <w:szCs w:val="21"/>
                <w:highlight w:val="none"/>
                <w:lang w:val="en-US" w:eastAsia="zh-CN"/>
              </w:rPr>
            </w:pPr>
            <w:r>
              <w:rPr>
                <w:rFonts w:hint="eastAsia"/>
                <w:color w:val="auto"/>
                <w:szCs w:val="21"/>
                <w:highlight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680" w:type="dxa"/>
            <w:vMerge w:val="continue"/>
            <w:vAlign w:val="center"/>
          </w:tcPr>
          <w:p>
            <w:pPr>
              <w:spacing w:line="300" w:lineRule="exact"/>
              <w:rPr>
                <w:color w:val="auto"/>
                <w:szCs w:val="21"/>
                <w:highlight w:val="none"/>
              </w:rPr>
            </w:pPr>
          </w:p>
        </w:tc>
        <w:tc>
          <w:tcPr>
            <w:tcW w:w="2040" w:type="dxa"/>
            <w:vAlign w:val="center"/>
          </w:tcPr>
          <w:p>
            <w:pPr>
              <w:spacing w:line="300" w:lineRule="exact"/>
              <w:rPr>
                <w:color w:val="auto"/>
                <w:szCs w:val="21"/>
                <w:highlight w:val="none"/>
              </w:rPr>
            </w:pPr>
            <w:r>
              <w:rPr>
                <w:rFonts w:hint="eastAsia"/>
                <w:color w:val="auto"/>
                <w:szCs w:val="21"/>
                <w:highlight w:val="none"/>
              </w:rPr>
              <w:t xml:space="preserve">综合利用(4 分) </w:t>
            </w:r>
          </w:p>
        </w:tc>
        <w:tc>
          <w:tcPr>
            <w:tcW w:w="3065" w:type="dxa"/>
            <w:gridSpan w:val="2"/>
            <w:vAlign w:val="center"/>
          </w:tcPr>
          <w:p>
            <w:pPr>
              <w:spacing w:line="300" w:lineRule="exact"/>
              <w:rPr>
                <w:color w:val="auto"/>
                <w:szCs w:val="21"/>
                <w:highlight w:val="none"/>
              </w:rPr>
            </w:pPr>
            <w:r>
              <w:rPr>
                <w:rFonts w:hint="eastAsia"/>
                <w:color w:val="auto"/>
                <w:szCs w:val="21"/>
                <w:highlight w:val="none"/>
              </w:rPr>
              <w:t>水资源综合利用情况(4 分)</w:t>
            </w:r>
          </w:p>
        </w:tc>
        <w:tc>
          <w:tcPr>
            <w:tcW w:w="2051" w:type="dxa"/>
            <w:vAlign w:val="center"/>
          </w:tcPr>
          <w:p>
            <w:pPr>
              <w:spacing w:line="300" w:lineRule="exact"/>
              <w:rPr>
                <w:color w:val="auto"/>
                <w:szCs w:val="21"/>
                <w:highlight w:val="none"/>
              </w:rPr>
            </w:pPr>
            <w:r>
              <w:rPr>
                <w:rFonts w:hint="eastAsia"/>
                <w:color w:val="auto"/>
                <w:szCs w:val="21"/>
                <w:highlight w:val="none"/>
              </w:rPr>
              <w:t>无综合利用要求</w:t>
            </w:r>
          </w:p>
        </w:tc>
        <w:tc>
          <w:tcPr>
            <w:tcW w:w="661" w:type="dxa"/>
            <w:vAlign w:val="center"/>
          </w:tcPr>
          <w:p>
            <w:pPr>
              <w:spacing w:line="300" w:lineRule="exact"/>
              <w:ind w:left="0" w:leftChars="0" w:right="0" w:rightChars="0" w:firstLine="0" w:firstLineChars="0"/>
              <w:jc w:val="center"/>
              <w:rPr>
                <w:color w:val="auto"/>
                <w:szCs w:val="21"/>
                <w:highlight w:val="none"/>
              </w:rPr>
            </w:pPr>
            <w:r>
              <w:rPr>
                <w:rFonts w:hint="eastAsia"/>
                <w:color w:val="auto"/>
                <w:szCs w:val="21"/>
                <w:highlight w:val="none"/>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680" w:type="dxa"/>
            <w:vMerge w:val="restart"/>
            <w:vAlign w:val="center"/>
          </w:tcPr>
          <w:p>
            <w:pPr>
              <w:spacing w:line="300" w:lineRule="exact"/>
              <w:rPr>
                <w:color w:val="auto"/>
                <w:szCs w:val="21"/>
                <w:highlight w:val="none"/>
              </w:rPr>
            </w:pPr>
            <w:r>
              <w:rPr>
                <w:rFonts w:hint="eastAsia"/>
                <w:color w:val="auto"/>
                <w:szCs w:val="21"/>
                <w:highlight w:val="none"/>
              </w:rPr>
              <w:t>管理</w:t>
            </w:r>
          </w:p>
          <w:p>
            <w:pPr>
              <w:spacing w:line="300" w:lineRule="exact"/>
              <w:rPr>
                <w:color w:val="auto"/>
                <w:szCs w:val="21"/>
                <w:highlight w:val="none"/>
              </w:rPr>
            </w:pPr>
            <w:r>
              <w:rPr>
                <w:rFonts w:hint="eastAsia"/>
                <w:color w:val="auto"/>
                <w:szCs w:val="21"/>
                <w:highlight w:val="none"/>
              </w:rPr>
              <w:t>(18分)</w:t>
            </w:r>
          </w:p>
        </w:tc>
        <w:tc>
          <w:tcPr>
            <w:tcW w:w="2040" w:type="dxa"/>
            <w:vAlign w:val="center"/>
          </w:tcPr>
          <w:p>
            <w:pPr>
              <w:spacing w:line="300" w:lineRule="exact"/>
              <w:rPr>
                <w:color w:val="auto"/>
                <w:szCs w:val="21"/>
                <w:highlight w:val="none"/>
              </w:rPr>
            </w:pPr>
            <w:r>
              <w:rPr>
                <w:rFonts w:hint="eastAsia"/>
                <w:color w:val="auto"/>
                <w:szCs w:val="21"/>
                <w:highlight w:val="none"/>
              </w:rPr>
              <w:t>生产运行管理(6分)</w:t>
            </w:r>
          </w:p>
        </w:tc>
        <w:tc>
          <w:tcPr>
            <w:tcW w:w="3065" w:type="dxa"/>
            <w:gridSpan w:val="2"/>
            <w:vAlign w:val="center"/>
          </w:tcPr>
          <w:p>
            <w:pPr>
              <w:spacing w:line="300" w:lineRule="exact"/>
              <w:rPr>
                <w:color w:val="auto"/>
                <w:szCs w:val="21"/>
                <w:highlight w:val="none"/>
              </w:rPr>
            </w:pPr>
            <w:r>
              <w:rPr>
                <w:rFonts w:hint="eastAsia"/>
                <w:color w:val="auto"/>
                <w:szCs w:val="21"/>
                <w:highlight w:val="none"/>
              </w:rPr>
              <w:t>安全生产标准化建设情况(6 分)</w:t>
            </w:r>
          </w:p>
        </w:tc>
        <w:tc>
          <w:tcPr>
            <w:tcW w:w="2051" w:type="dxa"/>
            <w:vMerge w:val="restart"/>
            <w:vAlign w:val="center"/>
          </w:tcPr>
          <w:p>
            <w:pPr>
              <w:spacing w:line="300" w:lineRule="exact"/>
              <w:rPr>
                <w:color w:val="auto"/>
                <w:szCs w:val="21"/>
                <w:highlight w:val="none"/>
              </w:rPr>
            </w:pPr>
            <w:r>
              <w:rPr>
                <w:rFonts w:hint="eastAsia"/>
                <w:color w:val="auto"/>
                <w:szCs w:val="21"/>
                <w:highlight w:val="none"/>
              </w:rPr>
              <w:t>按要求规划设计</w:t>
            </w:r>
          </w:p>
        </w:tc>
        <w:tc>
          <w:tcPr>
            <w:tcW w:w="661" w:type="dxa"/>
            <w:vAlign w:val="center"/>
          </w:tcPr>
          <w:p>
            <w:pPr>
              <w:spacing w:line="300" w:lineRule="exact"/>
              <w:ind w:left="0" w:leftChars="0" w:right="0" w:rightChars="0" w:firstLine="0" w:firstLineChars="0"/>
              <w:jc w:val="center"/>
              <w:rPr>
                <w:color w:val="auto"/>
                <w:szCs w:val="21"/>
                <w:highlight w:val="none"/>
              </w:rPr>
            </w:pPr>
            <w:r>
              <w:rPr>
                <w:rFonts w:hint="eastAsia"/>
                <w:color w:val="auto"/>
                <w:szCs w:val="21"/>
                <w:highlight w:val="none"/>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680" w:type="dxa"/>
            <w:vMerge w:val="continue"/>
            <w:vAlign w:val="center"/>
          </w:tcPr>
          <w:p>
            <w:pPr>
              <w:spacing w:line="300" w:lineRule="exact"/>
              <w:rPr>
                <w:color w:val="auto"/>
                <w:szCs w:val="21"/>
                <w:highlight w:val="none"/>
              </w:rPr>
            </w:pPr>
          </w:p>
        </w:tc>
        <w:tc>
          <w:tcPr>
            <w:tcW w:w="2040" w:type="dxa"/>
            <w:vMerge w:val="restart"/>
            <w:vAlign w:val="center"/>
          </w:tcPr>
          <w:p>
            <w:pPr>
              <w:spacing w:line="300" w:lineRule="exact"/>
              <w:rPr>
                <w:color w:val="auto"/>
                <w:szCs w:val="21"/>
                <w:highlight w:val="none"/>
              </w:rPr>
            </w:pPr>
            <w:r>
              <w:rPr>
                <w:rFonts w:hint="eastAsia"/>
                <w:color w:val="auto"/>
                <w:szCs w:val="21"/>
                <w:highlight w:val="none"/>
              </w:rPr>
              <w:t>保障机制(8 分)</w:t>
            </w:r>
          </w:p>
        </w:tc>
        <w:tc>
          <w:tcPr>
            <w:tcW w:w="3065" w:type="dxa"/>
            <w:gridSpan w:val="2"/>
            <w:vAlign w:val="center"/>
          </w:tcPr>
          <w:p>
            <w:pPr>
              <w:spacing w:line="300" w:lineRule="exact"/>
              <w:rPr>
                <w:color w:val="auto"/>
                <w:szCs w:val="21"/>
                <w:highlight w:val="none"/>
              </w:rPr>
            </w:pPr>
            <w:r>
              <w:rPr>
                <w:rFonts w:hint="eastAsia"/>
                <w:color w:val="auto"/>
                <w:szCs w:val="21"/>
                <w:highlight w:val="none"/>
              </w:rPr>
              <w:t xml:space="preserve">制度建设及执行情况(4 分) </w:t>
            </w:r>
          </w:p>
        </w:tc>
        <w:tc>
          <w:tcPr>
            <w:tcW w:w="2051" w:type="dxa"/>
            <w:vMerge w:val="continue"/>
            <w:vAlign w:val="center"/>
          </w:tcPr>
          <w:p>
            <w:pPr>
              <w:spacing w:line="300" w:lineRule="exact"/>
              <w:rPr>
                <w:color w:val="auto"/>
                <w:szCs w:val="21"/>
                <w:highlight w:val="none"/>
              </w:rPr>
            </w:pPr>
          </w:p>
        </w:tc>
        <w:tc>
          <w:tcPr>
            <w:tcW w:w="661" w:type="dxa"/>
            <w:vAlign w:val="center"/>
          </w:tcPr>
          <w:p>
            <w:pPr>
              <w:spacing w:line="300" w:lineRule="exact"/>
              <w:ind w:left="0" w:leftChars="0" w:right="0" w:rightChars="0" w:firstLine="0" w:firstLineChars="0"/>
              <w:jc w:val="center"/>
              <w:rPr>
                <w:color w:val="auto"/>
                <w:szCs w:val="21"/>
                <w:highlight w:val="none"/>
              </w:rPr>
            </w:pPr>
            <w:r>
              <w:rPr>
                <w:rFonts w:hint="eastAsia"/>
                <w:color w:val="auto"/>
                <w:szCs w:val="21"/>
                <w:highlight w:val="none"/>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680" w:type="dxa"/>
            <w:vMerge w:val="continue"/>
            <w:vAlign w:val="center"/>
          </w:tcPr>
          <w:p>
            <w:pPr>
              <w:spacing w:line="300" w:lineRule="exact"/>
              <w:rPr>
                <w:color w:val="auto"/>
                <w:szCs w:val="21"/>
                <w:highlight w:val="none"/>
              </w:rPr>
            </w:pPr>
          </w:p>
        </w:tc>
        <w:tc>
          <w:tcPr>
            <w:tcW w:w="2040" w:type="dxa"/>
            <w:vMerge w:val="continue"/>
            <w:vAlign w:val="center"/>
          </w:tcPr>
          <w:p>
            <w:pPr>
              <w:spacing w:line="300" w:lineRule="exact"/>
              <w:rPr>
                <w:color w:val="auto"/>
                <w:szCs w:val="21"/>
                <w:highlight w:val="none"/>
              </w:rPr>
            </w:pPr>
          </w:p>
        </w:tc>
        <w:tc>
          <w:tcPr>
            <w:tcW w:w="3065" w:type="dxa"/>
            <w:gridSpan w:val="2"/>
            <w:vAlign w:val="center"/>
          </w:tcPr>
          <w:p>
            <w:pPr>
              <w:spacing w:line="300" w:lineRule="exact"/>
              <w:rPr>
                <w:color w:val="auto"/>
                <w:szCs w:val="21"/>
                <w:highlight w:val="none"/>
              </w:rPr>
            </w:pPr>
            <w:r>
              <w:rPr>
                <w:rFonts w:hint="eastAsia"/>
                <w:color w:val="auto"/>
                <w:szCs w:val="21"/>
                <w:highlight w:val="none"/>
              </w:rPr>
              <w:t xml:space="preserve">设施建设及运行情况(4 分) </w:t>
            </w:r>
          </w:p>
        </w:tc>
        <w:tc>
          <w:tcPr>
            <w:tcW w:w="2051" w:type="dxa"/>
            <w:vMerge w:val="continue"/>
            <w:vAlign w:val="center"/>
          </w:tcPr>
          <w:p>
            <w:pPr>
              <w:spacing w:line="300" w:lineRule="exact"/>
              <w:rPr>
                <w:color w:val="auto"/>
                <w:szCs w:val="21"/>
                <w:highlight w:val="none"/>
              </w:rPr>
            </w:pPr>
          </w:p>
        </w:tc>
        <w:tc>
          <w:tcPr>
            <w:tcW w:w="661" w:type="dxa"/>
            <w:vAlign w:val="center"/>
          </w:tcPr>
          <w:p>
            <w:pPr>
              <w:spacing w:line="300" w:lineRule="exact"/>
              <w:ind w:left="0" w:leftChars="0" w:right="0" w:rightChars="0" w:firstLine="0" w:firstLineChars="0"/>
              <w:jc w:val="center"/>
              <w:rPr>
                <w:color w:val="auto"/>
                <w:szCs w:val="21"/>
                <w:highlight w:val="none"/>
              </w:rPr>
            </w:pPr>
            <w:r>
              <w:rPr>
                <w:rFonts w:hint="eastAsia"/>
                <w:color w:val="auto"/>
                <w:szCs w:val="21"/>
                <w:highlight w:val="none"/>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680" w:type="dxa"/>
            <w:vMerge w:val="continue"/>
            <w:vAlign w:val="center"/>
          </w:tcPr>
          <w:p>
            <w:pPr>
              <w:spacing w:line="300" w:lineRule="exact"/>
              <w:rPr>
                <w:color w:val="auto"/>
                <w:szCs w:val="21"/>
                <w:highlight w:val="none"/>
              </w:rPr>
            </w:pPr>
          </w:p>
        </w:tc>
        <w:tc>
          <w:tcPr>
            <w:tcW w:w="2040" w:type="dxa"/>
            <w:vAlign w:val="center"/>
          </w:tcPr>
          <w:p>
            <w:pPr>
              <w:spacing w:line="300" w:lineRule="exact"/>
              <w:rPr>
                <w:color w:val="auto"/>
                <w:szCs w:val="21"/>
                <w:highlight w:val="none"/>
              </w:rPr>
            </w:pPr>
            <w:r>
              <w:rPr>
                <w:rFonts w:hint="eastAsia"/>
                <w:color w:val="auto"/>
                <w:szCs w:val="21"/>
                <w:highlight w:val="none"/>
              </w:rPr>
              <w:t xml:space="preserve">技术进步(4 分) </w:t>
            </w:r>
          </w:p>
        </w:tc>
        <w:tc>
          <w:tcPr>
            <w:tcW w:w="3065" w:type="dxa"/>
            <w:gridSpan w:val="2"/>
            <w:vAlign w:val="center"/>
          </w:tcPr>
          <w:p>
            <w:pPr>
              <w:spacing w:line="300" w:lineRule="exact"/>
              <w:rPr>
                <w:color w:val="auto"/>
                <w:szCs w:val="21"/>
                <w:highlight w:val="none"/>
              </w:rPr>
            </w:pPr>
            <w:r>
              <w:rPr>
                <w:rFonts w:hint="eastAsia"/>
                <w:color w:val="auto"/>
                <w:szCs w:val="21"/>
                <w:highlight w:val="none"/>
              </w:rPr>
              <w:t>设备性能及自动化程度(4 分)</w:t>
            </w:r>
          </w:p>
        </w:tc>
        <w:tc>
          <w:tcPr>
            <w:tcW w:w="2051" w:type="dxa"/>
            <w:vMerge w:val="continue"/>
            <w:vAlign w:val="center"/>
          </w:tcPr>
          <w:p>
            <w:pPr>
              <w:spacing w:line="300" w:lineRule="exact"/>
              <w:rPr>
                <w:color w:val="auto"/>
                <w:szCs w:val="21"/>
                <w:highlight w:val="none"/>
              </w:rPr>
            </w:pPr>
          </w:p>
        </w:tc>
        <w:tc>
          <w:tcPr>
            <w:tcW w:w="661" w:type="dxa"/>
            <w:vAlign w:val="center"/>
          </w:tcPr>
          <w:p>
            <w:pPr>
              <w:spacing w:line="300" w:lineRule="exact"/>
              <w:ind w:left="0" w:leftChars="0" w:right="0" w:rightChars="0" w:firstLine="0" w:firstLineChars="0"/>
              <w:jc w:val="center"/>
              <w:rPr>
                <w:color w:val="auto"/>
                <w:szCs w:val="21"/>
                <w:highlight w:val="none"/>
              </w:rPr>
            </w:pPr>
            <w:r>
              <w:rPr>
                <w:rFonts w:hint="eastAsia"/>
                <w:color w:val="auto"/>
                <w:szCs w:val="21"/>
                <w:highlight w:val="none"/>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680" w:type="dxa"/>
            <w:vMerge w:val="restart"/>
            <w:vAlign w:val="center"/>
          </w:tcPr>
          <w:p>
            <w:pPr>
              <w:spacing w:line="300" w:lineRule="exact"/>
              <w:rPr>
                <w:color w:val="auto"/>
                <w:szCs w:val="21"/>
                <w:highlight w:val="none"/>
              </w:rPr>
            </w:pPr>
            <w:r>
              <w:rPr>
                <w:rFonts w:hint="eastAsia"/>
                <w:color w:val="auto"/>
                <w:szCs w:val="21"/>
                <w:highlight w:val="none"/>
              </w:rPr>
              <w:t>经济（9分）</w:t>
            </w:r>
          </w:p>
        </w:tc>
        <w:tc>
          <w:tcPr>
            <w:tcW w:w="2040" w:type="dxa"/>
            <w:vMerge w:val="restart"/>
            <w:vAlign w:val="center"/>
          </w:tcPr>
          <w:p>
            <w:pPr>
              <w:spacing w:line="300" w:lineRule="exact"/>
              <w:rPr>
                <w:color w:val="auto"/>
                <w:szCs w:val="21"/>
                <w:highlight w:val="none"/>
              </w:rPr>
            </w:pPr>
            <w:r>
              <w:rPr>
                <w:rFonts w:hint="eastAsia"/>
                <w:color w:val="auto"/>
                <w:szCs w:val="21"/>
                <w:highlight w:val="none"/>
              </w:rPr>
              <w:t xml:space="preserve">财 务 稳 定 性 </w:t>
            </w:r>
          </w:p>
          <w:p>
            <w:pPr>
              <w:spacing w:line="300" w:lineRule="exact"/>
              <w:rPr>
                <w:color w:val="auto"/>
                <w:szCs w:val="21"/>
                <w:highlight w:val="none"/>
              </w:rPr>
            </w:pPr>
            <w:r>
              <w:rPr>
                <w:rFonts w:hint="eastAsia"/>
                <w:color w:val="auto"/>
                <w:szCs w:val="21"/>
                <w:highlight w:val="none"/>
              </w:rPr>
              <w:t>(6分)</w:t>
            </w:r>
          </w:p>
        </w:tc>
        <w:tc>
          <w:tcPr>
            <w:tcW w:w="3065" w:type="dxa"/>
            <w:gridSpan w:val="2"/>
            <w:vAlign w:val="center"/>
          </w:tcPr>
          <w:p>
            <w:pPr>
              <w:spacing w:line="300" w:lineRule="exact"/>
              <w:rPr>
                <w:color w:val="auto"/>
                <w:szCs w:val="21"/>
                <w:highlight w:val="none"/>
              </w:rPr>
            </w:pPr>
            <w:r>
              <w:rPr>
                <w:rFonts w:hint="eastAsia"/>
                <w:color w:val="auto"/>
                <w:szCs w:val="21"/>
                <w:highlight w:val="none"/>
              </w:rPr>
              <w:t>盈利能力(3 分)</w:t>
            </w:r>
          </w:p>
        </w:tc>
        <w:tc>
          <w:tcPr>
            <w:tcW w:w="2051" w:type="dxa"/>
            <w:vAlign w:val="center"/>
          </w:tcPr>
          <w:p>
            <w:pPr>
              <w:spacing w:line="300" w:lineRule="exact"/>
              <w:rPr>
                <w:color w:val="auto"/>
                <w:szCs w:val="21"/>
                <w:highlight w:val="none"/>
              </w:rPr>
            </w:pPr>
            <w:r>
              <w:rPr>
                <w:rFonts w:hint="eastAsia"/>
                <w:color w:val="auto"/>
                <w:szCs w:val="21"/>
                <w:highlight w:val="none"/>
              </w:rPr>
              <w:t>盈利＞545</w:t>
            </w:r>
          </w:p>
        </w:tc>
        <w:tc>
          <w:tcPr>
            <w:tcW w:w="661" w:type="dxa"/>
            <w:vAlign w:val="center"/>
          </w:tcPr>
          <w:p>
            <w:pPr>
              <w:spacing w:line="300" w:lineRule="exact"/>
              <w:ind w:left="0" w:leftChars="0" w:right="0" w:rightChars="0" w:firstLine="0" w:firstLineChars="0"/>
              <w:jc w:val="center"/>
              <w:rPr>
                <w:color w:val="auto"/>
                <w:szCs w:val="21"/>
                <w:highlight w:val="none"/>
              </w:rPr>
            </w:pPr>
            <w:r>
              <w:rPr>
                <w:rFonts w:hint="eastAsia"/>
                <w:color w:val="auto"/>
                <w:szCs w:val="21"/>
                <w:highlight w:val="none"/>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680" w:type="dxa"/>
            <w:vMerge w:val="continue"/>
            <w:vAlign w:val="center"/>
          </w:tcPr>
          <w:p>
            <w:pPr>
              <w:spacing w:line="300" w:lineRule="exact"/>
              <w:rPr>
                <w:color w:val="auto"/>
                <w:szCs w:val="21"/>
                <w:highlight w:val="none"/>
              </w:rPr>
            </w:pPr>
          </w:p>
        </w:tc>
        <w:tc>
          <w:tcPr>
            <w:tcW w:w="2040" w:type="dxa"/>
            <w:vMerge w:val="continue"/>
            <w:vAlign w:val="center"/>
          </w:tcPr>
          <w:p>
            <w:pPr>
              <w:spacing w:line="300" w:lineRule="exact"/>
              <w:rPr>
                <w:color w:val="auto"/>
                <w:szCs w:val="21"/>
                <w:highlight w:val="none"/>
              </w:rPr>
            </w:pPr>
          </w:p>
        </w:tc>
        <w:tc>
          <w:tcPr>
            <w:tcW w:w="3065" w:type="dxa"/>
            <w:gridSpan w:val="2"/>
            <w:vAlign w:val="center"/>
          </w:tcPr>
          <w:p>
            <w:pPr>
              <w:spacing w:line="300" w:lineRule="exact"/>
              <w:rPr>
                <w:color w:val="auto"/>
                <w:szCs w:val="21"/>
                <w:highlight w:val="none"/>
              </w:rPr>
            </w:pPr>
            <w:r>
              <w:rPr>
                <w:rFonts w:hint="eastAsia"/>
                <w:color w:val="auto"/>
                <w:szCs w:val="21"/>
                <w:highlight w:val="none"/>
              </w:rPr>
              <w:t xml:space="preserve">偿债能力(3 分) </w:t>
            </w:r>
          </w:p>
        </w:tc>
        <w:tc>
          <w:tcPr>
            <w:tcW w:w="2051" w:type="dxa"/>
            <w:vAlign w:val="center"/>
          </w:tcPr>
          <w:p>
            <w:pPr>
              <w:spacing w:line="300" w:lineRule="exact"/>
              <w:rPr>
                <w:color w:val="auto"/>
                <w:szCs w:val="21"/>
                <w:highlight w:val="none"/>
              </w:rPr>
            </w:pPr>
            <w:r>
              <w:rPr>
                <w:rFonts w:hint="eastAsia"/>
                <w:color w:val="auto"/>
                <w:szCs w:val="21"/>
                <w:highlight w:val="none"/>
              </w:rPr>
              <w:t>无债务</w:t>
            </w:r>
          </w:p>
        </w:tc>
        <w:tc>
          <w:tcPr>
            <w:tcW w:w="661" w:type="dxa"/>
            <w:vAlign w:val="center"/>
          </w:tcPr>
          <w:p>
            <w:pPr>
              <w:spacing w:line="300" w:lineRule="exact"/>
              <w:ind w:left="0" w:leftChars="0" w:right="0" w:rightChars="0" w:firstLine="0" w:firstLineChars="0"/>
              <w:jc w:val="center"/>
              <w:rPr>
                <w:color w:val="auto"/>
                <w:szCs w:val="21"/>
                <w:highlight w:val="none"/>
              </w:rPr>
            </w:pPr>
            <w:r>
              <w:rPr>
                <w:rFonts w:hint="eastAsia"/>
                <w:color w:val="auto"/>
                <w:szCs w:val="21"/>
                <w:highlight w:val="none"/>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rPr>
        <w:tc>
          <w:tcPr>
            <w:tcW w:w="680" w:type="dxa"/>
            <w:vMerge w:val="continue"/>
            <w:vAlign w:val="center"/>
          </w:tcPr>
          <w:p>
            <w:pPr>
              <w:spacing w:line="300" w:lineRule="exact"/>
              <w:rPr>
                <w:color w:val="auto"/>
                <w:szCs w:val="21"/>
                <w:highlight w:val="none"/>
              </w:rPr>
            </w:pPr>
          </w:p>
        </w:tc>
        <w:tc>
          <w:tcPr>
            <w:tcW w:w="2040" w:type="dxa"/>
            <w:vAlign w:val="center"/>
          </w:tcPr>
          <w:p>
            <w:pPr>
              <w:spacing w:line="300" w:lineRule="exact"/>
              <w:rPr>
                <w:color w:val="auto"/>
                <w:szCs w:val="21"/>
                <w:highlight w:val="none"/>
              </w:rPr>
            </w:pPr>
            <w:r>
              <w:rPr>
                <w:rFonts w:hint="eastAsia"/>
                <w:color w:val="auto"/>
                <w:szCs w:val="21"/>
                <w:highlight w:val="none"/>
              </w:rPr>
              <w:t>区域经济贡献(3分)</w:t>
            </w:r>
          </w:p>
        </w:tc>
        <w:tc>
          <w:tcPr>
            <w:tcW w:w="3065" w:type="dxa"/>
            <w:gridSpan w:val="2"/>
            <w:vAlign w:val="center"/>
          </w:tcPr>
          <w:p>
            <w:pPr>
              <w:spacing w:line="300" w:lineRule="exact"/>
              <w:rPr>
                <w:color w:val="auto"/>
                <w:szCs w:val="21"/>
                <w:highlight w:val="none"/>
              </w:rPr>
            </w:pPr>
            <w:r>
              <w:rPr>
                <w:rFonts w:hint="eastAsia"/>
                <w:color w:val="auto"/>
                <w:szCs w:val="21"/>
                <w:highlight w:val="none"/>
              </w:rPr>
              <w:t xml:space="preserve">社会贡献率(3 分) </w:t>
            </w:r>
          </w:p>
        </w:tc>
        <w:tc>
          <w:tcPr>
            <w:tcW w:w="2051" w:type="dxa"/>
            <w:vAlign w:val="center"/>
          </w:tcPr>
          <w:p>
            <w:pPr>
              <w:spacing w:line="300" w:lineRule="exact"/>
              <w:rPr>
                <w:color w:val="auto"/>
                <w:szCs w:val="21"/>
                <w:highlight w:val="none"/>
              </w:rPr>
            </w:pPr>
          </w:p>
        </w:tc>
        <w:tc>
          <w:tcPr>
            <w:tcW w:w="661" w:type="dxa"/>
            <w:vAlign w:val="center"/>
          </w:tcPr>
          <w:p>
            <w:pPr>
              <w:spacing w:line="300" w:lineRule="exact"/>
              <w:ind w:left="0" w:leftChars="0" w:right="0" w:rightChars="0" w:firstLine="0" w:firstLineChars="0"/>
              <w:jc w:val="center"/>
              <w:rPr>
                <w:color w:val="auto"/>
                <w:szCs w:val="21"/>
                <w:highlight w:val="none"/>
              </w:rPr>
            </w:pPr>
            <w:r>
              <w:rPr>
                <w:rFonts w:hint="eastAsia"/>
                <w:color w:val="auto"/>
                <w:szCs w:val="21"/>
                <w:highlight w:val="none"/>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7836" w:type="dxa"/>
            <w:gridSpan w:val="5"/>
            <w:vAlign w:val="center"/>
          </w:tcPr>
          <w:p>
            <w:pPr>
              <w:spacing w:line="300" w:lineRule="exact"/>
              <w:jc w:val="center"/>
              <w:rPr>
                <w:color w:val="auto"/>
                <w:szCs w:val="21"/>
                <w:highlight w:val="none"/>
              </w:rPr>
            </w:pPr>
            <w:r>
              <w:rPr>
                <w:rFonts w:hint="eastAsia"/>
                <w:color w:val="auto"/>
                <w:szCs w:val="21"/>
                <w:highlight w:val="none"/>
              </w:rPr>
              <w:t>总体评分</w:t>
            </w:r>
          </w:p>
        </w:tc>
        <w:tc>
          <w:tcPr>
            <w:tcW w:w="661" w:type="dxa"/>
            <w:vAlign w:val="center"/>
          </w:tcPr>
          <w:p>
            <w:pPr>
              <w:spacing w:line="300" w:lineRule="exact"/>
              <w:ind w:left="0" w:leftChars="0" w:right="0" w:rightChars="0" w:firstLine="0" w:firstLineChars="0"/>
              <w:jc w:val="center"/>
              <w:rPr>
                <w:rFonts w:hint="default" w:eastAsia="宋体"/>
                <w:color w:val="auto"/>
                <w:szCs w:val="21"/>
                <w:highlight w:val="none"/>
                <w:lang w:val="en-US" w:eastAsia="zh-CN"/>
              </w:rPr>
            </w:pPr>
            <w:r>
              <w:rPr>
                <w:rFonts w:hint="eastAsia"/>
                <w:color w:val="auto"/>
                <w:szCs w:val="21"/>
                <w:highlight w:val="none"/>
                <w:lang w:val="en-US" w:eastAsia="zh-CN"/>
              </w:rPr>
              <w:t>88</w:t>
            </w:r>
          </w:p>
        </w:tc>
      </w:tr>
    </w:tbl>
    <w:p>
      <w:pPr>
        <w:spacing w:line="480" w:lineRule="exact"/>
        <w:ind w:firstLine="482"/>
        <w:rPr>
          <w:rFonts w:hint="default" w:eastAsia="宋体"/>
          <w:color w:val="auto"/>
          <w:sz w:val="24"/>
          <w:highlight w:val="none"/>
          <w:lang w:val="en-US" w:eastAsia="zh-CN"/>
        </w:rPr>
      </w:pPr>
      <w:r>
        <w:rPr>
          <w:rFonts w:hint="eastAsia"/>
          <w:color w:val="auto"/>
          <w:sz w:val="24"/>
          <w:highlight w:val="none"/>
        </w:rPr>
        <w:t xml:space="preserve">本项目总体评价分 </w:t>
      </w:r>
      <w:r>
        <w:rPr>
          <w:rFonts w:hint="eastAsia"/>
          <w:color w:val="auto"/>
          <w:sz w:val="24"/>
          <w:highlight w:val="none"/>
          <w:lang w:val="en-US" w:eastAsia="zh-CN"/>
        </w:rPr>
        <w:t>88</w:t>
      </w:r>
      <w:r>
        <w:rPr>
          <w:rFonts w:hint="eastAsia"/>
          <w:color w:val="auto"/>
          <w:sz w:val="24"/>
          <w:highlight w:val="none"/>
        </w:rPr>
        <w:t xml:space="preserve"> 分大于 85 分，且水文情势</w:t>
      </w:r>
      <w:r>
        <w:rPr>
          <w:rFonts w:hint="eastAsia"/>
          <w:color w:val="auto"/>
          <w:sz w:val="24"/>
          <w:highlight w:val="none"/>
          <w:lang w:eastAsia="zh-CN"/>
        </w:rPr>
        <w:t>得</w:t>
      </w:r>
      <w:r>
        <w:rPr>
          <w:rFonts w:hint="eastAsia"/>
          <w:color w:val="auto"/>
          <w:sz w:val="24"/>
          <w:highlight w:val="none"/>
        </w:rPr>
        <w:t>分15分，满足绿色小水电条件。</w:t>
      </w:r>
    </w:p>
    <w:p>
      <w:pPr>
        <w:pStyle w:val="4"/>
        <w:spacing w:before="0" w:after="0" w:line="480" w:lineRule="exact"/>
        <w:rPr>
          <w:rFonts w:ascii="Times New Roman" w:hAnsi="Times New Roman" w:cs="Times New Roman"/>
          <w:sz w:val="24"/>
          <w:szCs w:val="24"/>
          <w:highlight w:val="none"/>
        </w:rPr>
      </w:pPr>
      <w:r>
        <w:rPr>
          <w:rFonts w:hint="eastAsia" w:ascii="Times New Roman" w:hAnsi="Times New Roman" w:cs="Times New Roman"/>
          <w:sz w:val="24"/>
          <w:szCs w:val="24"/>
          <w:highlight w:val="none"/>
        </w:rPr>
        <w:t>0.4.5</w:t>
      </w:r>
      <w:r>
        <w:rPr>
          <w:rFonts w:ascii="Times New Roman" w:hAnsi="Times New Roman" w:cs="Times New Roman"/>
          <w:sz w:val="24"/>
          <w:highlight w:val="none"/>
        </w:rPr>
        <w:t>与</w:t>
      </w:r>
      <w:r>
        <w:rPr>
          <w:rFonts w:hint="eastAsia" w:ascii="Times New Roman" w:hAnsi="Times New Roman" w:cs="Times New Roman"/>
          <w:sz w:val="24"/>
          <w:highlight w:val="none"/>
        </w:rPr>
        <w:t>《关于深化落实水电开发生态环境保护措施的通知》</w:t>
      </w:r>
      <w:r>
        <w:rPr>
          <w:rFonts w:ascii="Times New Roman" w:hAnsi="Times New Roman" w:cs="Times New Roman"/>
          <w:sz w:val="24"/>
          <w:highlight w:val="none"/>
        </w:rPr>
        <w:t>符合性分析</w:t>
      </w:r>
    </w:p>
    <w:p>
      <w:pPr>
        <w:spacing w:line="480" w:lineRule="exact"/>
        <w:ind w:firstLine="482"/>
        <w:rPr>
          <w:color w:val="000000" w:themeColor="text1"/>
          <w:sz w:val="24"/>
          <w:highlight w:val="none"/>
          <w14:textFill>
            <w14:solidFill>
              <w14:schemeClr w14:val="tx1"/>
            </w14:solidFill>
          </w14:textFill>
        </w:rPr>
      </w:pPr>
      <w:r>
        <w:rPr>
          <w:rFonts w:hint="eastAsia"/>
          <w:sz w:val="24"/>
          <w:highlight w:val="none"/>
        </w:rPr>
        <w:t>对照《关于深化落实水电开发生态环境保护措施的通知》（环发〔2014〕65 号）中关于“二、水电项目建设应严格落实生态环境保护措施”和“ 三、切实做好移民安置</w:t>
      </w:r>
      <w:r>
        <w:rPr>
          <w:rFonts w:hint="eastAsia"/>
          <w:color w:val="000000" w:themeColor="text1"/>
          <w:sz w:val="24"/>
          <w:highlight w:val="none"/>
          <w14:textFill>
            <w14:solidFill>
              <w14:schemeClr w14:val="tx1"/>
            </w14:solidFill>
          </w14:textFill>
        </w:rPr>
        <w:t>环境保护工作”的相关要求，本项目与其相符性分析见表0.4-4。</w:t>
      </w:r>
    </w:p>
    <w:p>
      <w:pPr>
        <w:spacing w:line="480" w:lineRule="exact"/>
        <w:jc w:val="center"/>
        <w:rPr>
          <w:b/>
          <w:bCs/>
          <w:color w:val="000000" w:themeColor="text1"/>
          <w:sz w:val="24"/>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表0.4-4 与《关于深化落实水电开发生态环境保护措施的通知》相符性分析表</w:t>
      </w:r>
    </w:p>
    <w:tbl>
      <w:tblPr>
        <w:tblStyle w:val="5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94"/>
        <w:gridCol w:w="2246"/>
        <w:gridCol w:w="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5394"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相关规定</w:t>
            </w:r>
          </w:p>
        </w:tc>
        <w:tc>
          <w:tcPr>
            <w:tcW w:w="2246"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本项目情况</w:t>
            </w:r>
          </w:p>
        </w:tc>
        <w:tc>
          <w:tcPr>
            <w:tcW w:w="856"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5" w:hRule="atLeast"/>
        </w:trPr>
        <w:tc>
          <w:tcPr>
            <w:tcW w:w="5394"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合理确定生态流量，认真落实生态流量泄放措施。应根据电站坝址下游河道水生生态、水环境、景观等生态用水需求，结合水力学、水文学等方法，按生态流量设计技术规范及有关导则规定，编制生态流量泄放方案</w:t>
            </w:r>
          </w:p>
        </w:tc>
        <w:tc>
          <w:tcPr>
            <w:tcW w:w="2246"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项目输水期10%确定最低下泄流量。</w:t>
            </w:r>
          </w:p>
        </w:tc>
        <w:tc>
          <w:tcPr>
            <w:tcW w:w="856"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5" w:hRule="atLeast"/>
        </w:trPr>
        <w:tc>
          <w:tcPr>
            <w:tcW w:w="5394"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充分论证水库下泄低温水影响，落实下泄低温水减缓措施。对具有多年调节、年调节的水库和水温分层现象明显的季调节性能水库，若坝下河段存在对水温变化敏感的重要生态保护目标时，工程应采取分层取水减缓措施；对具有季调节性能以下的水库，应根据水库水温垂向分布和下游水温变化敏感目标，充分论证下泄水温变化对敏感目标的影响，如存在重大影响，应采取分层取水减缓措施。</w:t>
            </w:r>
          </w:p>
        </w:tc>
        <w:tc>
          <w:tcPr>
            <w:tcW w:w="2246"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项目为引水式电站，无调节功能，水温不分层，对水温基本无影响</w:t>
            </w:r>
          </w:p>
        </w:tc>
        <w:tc>
          <w:tcPr>
            <w:tcW w:w="856"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0" w:hRule="atLeast"/>
        </w:trPr>
        <w:tc>
          <w:tcPr>
            <w:tcW w:w="5394"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科学确定水生生态敏感保护对象，严格落实栖息地保护措施。水电工程应结合栖息地生境本底、替代生境相似度和种群相似度，编制栖息地保护方案，明确栖息地保护目标、具体范围及采取的工程措施，并在水电开发同时落实栖息地保护措施，保护受影响物种的替代生境</w:t>
            </w:r>
          </w:p>
        </w:tc>
        <w:tc>
          <w:tcPr>
            <w:tcW w:w="2246"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项目坝址及影响范围内不涉及野生保护鱼类、不涉及“鱼类三场”及洄游通道等水生生态敏感区</w:t>
            </w:r>
          </w:p>
        </w:tc>
        <w:tc>
          <w:tcPr>
            <w:tcW w:w="856"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94"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充分论证过鱼方式，认真落实过鱼措施。水电工程应结合保护鱼类的重要性、受影响程度和过鱼效果等，综合分析论证采取过鱼措施的必要性和过鱼方式。</w:t>
            </w:r>
          </w:p>
        </w:tc>
        <w:tc>
          <w:tcPr>
            <w:tcW w:w="2246"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项目所在河段无洄游鱼类，</w:t>
            </w:r>
            <w:r>
              <w:rPr>
                <w:rFonts w:hint="eastAsia"/>
                <w:color w:val="000000" w:themeColor="text1"/>
                <w:szCs w:val="21"/>
                <w:highlight w:val="none"/>
                <w:lang w:eastAsia="zh-CN"/>
                <w14:textFill>
                  <w14:solidFill>
                    <w14:schemeClr w14:val="tx1"/>
                  </w14:solidFill>
                </w14:textFill>
              </w:rPr>
              <w:t>且</w:t>
            </w:r>
            <w:r>
              <w:rPr>
                <w:rFonts w:hint="eastAsia"/>
                <w:color w:val="000000" w:themeColor="text1"/>
                <w:szCs w:val="21"/>
                <w:highlight w:val="none"/>
                <w14:textFill>
                  <w14:solidFill>
                    <w14:schemeClr w14:val="tx1"/>
                  </w14:solidFill>
                </w14:textFill>
              </w:rPr>
              <w:t>非输水期橡胶坝不充气，上下游的鱼类可自由交换，保持鱼类的多样性的措施。</w:t>
            </w:r>
          </w:p>
        </w:tc>
        <w:tc>
          <w:tcPr>
            <w:tcW w:w="856"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94"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论证鱼类增殖放流目标和规模，落实鱼类增殖放流措施。应根据规划环评初拟确定的增殖放流方案，结合电站开发时序和建设管理体制，依据放流水域生境适宜性和现有栖息空间的环境容量，明确各增殖站选址、放流目标、规模和规格，做好鱼类增殖放流措施设计、建设和运行工作。</w:t>
            </w:r>
          </w:p>
        </w:tc>
        <w:tc>
          <w:tcPr>
            <w:tcW w:w="2246"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项目不涉及</w:t>
            </w:r>
          </w:p>
        </w:tc>
        <w:tc>
          <w:tcPr>
            <w:tcW w:w="856" w:type="dxa"/>
            <w:vAlign w:val="center"/>
          </w:tcPr>
          <w:p>
            <w:pPr>
              <w:spacing w:line="300" w:lineRule="exact"/>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94"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科学确定陆生生态敏感保护对象，落实陆生生态保护措施。对受项目建设影响的珍稀特有植物或古树名木，通过异地移栽、苗木繁育、种质资源保存等方式进行保护</w:t>
            </w:r>
          </w:p>
        </w:tc>
        <w:tc>
          <w:tcPr>
            <w:tcW w:w="2246"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项目征地及淹没范围内不涉及野生保护植物和古树名木</w:t>
            </w:r>
          </w:p>
        </w:tc>
        <w:tc>
          <w:tcPr>
            <w:tcW w:w="856"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94"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加强移民安置环境保护建设。应根据当地自然资源、生态环境和社会环境特点，结合城镇化规划和要求，分析移民安置方式环境适宜性。</w:t>
            </w:r>
          </w:p>
        </w:tc>
        <w:tc>
          <w:tcPr>
            <w:tcW w:w="2246"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项目不涉及</w:t>
            </w:r>
          </w:p>
        </w:tc>
        <w:tc>
          <w:tcPr>
            <w:tcW w:w="856"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94"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注重电站库底清理环保工作。在水库初期蓄水前，应提出库底清理方案，并按照有关要求做好库底清理环保工作。</w:t>
            </w:r>
          </w:p>
        </w:tc>
        <w:tc>
          <w:tcPr>
            <w:tcW w:w="2246"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项目不涉及</w:t>
            </w:r>
          </w:p>
        </w:tc>
        <w:tc>
          <w:tcPr>
            <w:tcW w:w="856"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不涉及</w:t>
            </w:r>
          </w:p>
        </w:tc>
      </w:tr>
    </w:tbl>
    <w:p>
      <w:pPr>
        <w:spacing w:line="480" w:lineRule="exact"/>
        <w:rPr>
          <w:rFonts w:hint="eastAsia"/>
          <w:b/>
          <w:bCs/>
          <w:color w:val="auto"/>
          <w:sz w:val="24"/>
          <w:highlight w:val="none"/>
          <w:lang w:val="en-US" w:eastAsia="zh-CN"/>
        </w:rPr>
      </w:pPr>
      <w:r>
        <w:rPr>
          <w:rFonts w:hint="eastAsia"/>
          <w:b/>
          <w:bCs/>
          <w:color w:val="auto"/>
          <w:sz w:val="24"/>
          <w:highlight w:val="none"/>
          <w:lang w:val="en-US" w:eastAsia="zh-CN"/>
        </w:rPr>
        <w:t>0.4.6与水利部 发展改革委 自然资源部 生态环境部 农业农村部 能源局 林草局《关于进一步做好小水电分类整改工作的意见》水电[2021]397号符合性分析</w:t>
      </w:r>
    </w:p>
    <w:p>
      <w:pPr>
        <w:spacing w:line="480" w:lineRule="exact"/>
        <w:ind w:firstLine="480" w:firstLineChars="200"/>
        <w:jc w:val="both"/>
        <w:rPr>
          <w:rFonts w:hint="eastAsia"/>
          <w:b w:val="0"/>
          <w:bCs w:val="0"/>
          <w:color w:val="auto"/>
          <w:sz w:val="24"/>
          <w:highlight w:val="none"/>
        </w:rPr>
      </w:pPr>
      <w:r>
        <w:rPr>
          <w:rFonts w:hint="eastAsia"/>
          <w:color w:val="auto"/>
          <w:sz w:val="24"/>
          <w:highlight w:val="none"/>
          <w:lang w:eastAsia="zh-CN"/>
        </w:rPr>
        <w:t>比</w:t>
      </w:r>
      <w:r>
        <w:rPr>
          <w:rFonts w:hint="eastAsia"/>
          <w:b w:val="0"/>
          <w:bCs w:val="0"/>
          <w:color w:val="auto"/>
          <w:sz w:val="24"/>
          <w:highlight w:val="none"/>
        </w:rPr>
        <w:t>照</w:t>
      </w:r>
      <w:r>
        <w:rPr>
          <w:rFonts w:hint="eastAsia"/>
          <w:b w:val="0"/>
          <w:bCs w:val="0"/>
          <w:color w:val="auto"/>
          <w:sz w:val="24"/>
          <w:highlight w:val="none"/>
          <w:lang w:val="en-US" w:eastAsia="zh-CN"/>
        </w:rPr>
        <w:t>《关于进一步做好小水电分类整改工作的意见》</w:t>
      </w:r>
      <w:r>
        <w:rPr>
          <w:rFonts w:hint="eastAsia"/>
          <w:b w:val="0"/>
          <w:bCs w:val="0"/>
          <w:color w:val="auto"/>
          <w:sz w:val="24"/>
          <w:highlight w:val="none"/>
        </w:rPr>
        <w:t>（</w:t>
      </w:r>
      <w:r>
        <w:rPr>
          <w:rFonts w:hint="eastAsia"/>
          <w:b w:val="0"/>
          <w:bCs w:val="0"/>
          <w:color w:val="auto"/>
          <w:sz w:val="24"/>
          <w:highlight w:val="none"/>
          <w:lang w:val="en-US" w:eastAsia="zh-CN"/>
        </w:rPr>
        <w:t>水电[2021]397号</w:t>
      </w:r>
      <w:r>
        <w:rPr>
          <w:rFonts w:hint="eastAsia"/>
          <w:b w:val="0"/>
          <w:bCs w:val="0"/>
          <w:color w:val="auto"/>
          <w:sz w:val="24"/>
          <w:highlight w:val="none"/>
        </w:rPr>
        <w:t>）的相关要求，本项目与其相符性分析见表0.4-</w:t>
      </w:r>
      <w:r>
        <w:rPr>
          <w:rFonts w:hint="eastAsia"/>
          <w:b w:val="0"/>
          <w:bCs w:val="0"/>
          <w:color w:val="auto"/>
          <w:sz w:val="24"/>
          <w:highlight w:val="none"/>
          <w:lang w:val="en-US" w:eastAsia="zh-CN"/>
        </w:rPr>
        <w:t>5</w:t>
      </w:r>
      <w:r>
        <w:rPr>
          <w:rFonts w:hint="eastAsia"/>
          <w:b w:val="0"/>
          <w:bCs w:val="0"/>
          <w:color w:val="auto"/>
          <w:sz w:val="24"/>
          <w:highlight w:val="none"/>
        </w:rPr>
        <w:t>。</w:t>
      </w:r>
    </w:p>
    <w:p>
      <w:pPr>
        <w:spacing w:line="480" w:lineRule="exact"/>
        <w:jc w:val="center"/>
        <w:rPr>
          <w:b/>
          <w:bCs/>
          <w:color w:val="auto"/>
          <w:sz w:val="24"/>
          <w:highlight w:val="none"/>
        </w:rPr>
      </w:pPr>
      <w:r>
        <w:rPr>
          <w:rFonts w:hint="eastAsia"/>
          <w:b/>
          <w:bCs/>
          <w:color w:val="auto"/>
          <w:sz w:val="24"/>
          <w:highlight w:val="none"/>
        </w:rPr>
        <w:t>表0.4-</w:t>
      </w:r>
      <w:r>
        <w:rPr>
          <w:rFonts w:hint="eastAsia"/>
          <w:b/>
          <w:bCs/>
          <w:color w:val="auto"/>
          <w:sz w:val="24"/>
          <w:highlight w:val="none"/>
          <w:lang w:val="en-US" w:eastAsia="zh-CN"/>
        </w:rPr>
        <w:t>5</w:t>
      </w:r>
      <w:r>
        <w:rPr>
          <w:rFonts w:hint="eastAsia"/>
          <w:b/>
          <w:bCs/>
          <w:color w:val="auto"/>
          <w:sz w:val="24"/>
          <w:highlight w:val="none"/>
        </w:rPr>
        <w:t xml:space="preserve"> 与《关于深化落实水电开发生态环境保护措施的通知》相符性分析表</w:t>
      </w:r>
    </w:p>
    <w:tbl>
      <w:tblPr>
        <w:tblStyle w:val="5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69"/>
        <w:gridCol w:w="2171"/>
        <w:gridCol w:w="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5469" w:type="dxa"/>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21"/>
                <w:szCs w:val="21"/>
                <w:highlight w:val="none"/>
              </w:rPr>
            </w:pPr>
            <w:r>
              <w:rPr>
                <w:rFonts w:hint="eastAsia"/>
                <w:color w:val="auto"/>
                <w:sz w:val="21"/>
                <w:szCs w:val="21"/>
                <w:highlight w:val="none"/>
              </w:rPr>
              <w:t>相关规定</w:t>
            </w:r>
          </w:p>
        </w:tc>
        <w:tc>
          <w:tcPr>
            <w:tcW w:w="2171" w:type="dxa"/>
            <w:vAlign w:val="center"/>
          </w:tcPr>
          <w:p>
            <w:pPr>
              <w:spacing w:line="300" w:lineRule="exact"/>
              <w:jc w:val="center"/>
              <w:rPr>
                <w:color w:val="auto"/>
                <w:szCs w:val="21"/>
                <w:highlight w:val="none"/>
              </w:rPr>
            </w:pPr>
            <w:r>
              <w:rPr>
                <w:rFonts w:hint="eastAsia"/>
                <w:color w:val="auto"/>
                <w:szCs w:val="21"/>
                <w:highlight w:val="none"/>
              </w:rPr>
              <w:t>本项目情况</w:t>
            </w:r>
          </w:p>
        </w:tc>
        <w:tc>
          <w:tcPr>
            <w:tcW w:w="856" w:type="dxa"/>
            <w:vAlign w:val="center"/>
          </w:tcPr>
          <w:p>
            <w:pPr>
              <w:spacing w:line="300" w:lineRule="exact"/>
              <w:jc w:val="center"/>
              <w:rPr>
                <w:color w:val="auto"/>
                <w:szCs w:val="21"/>
                <w:highlight w:val="none"/>
              </w:rPr>
            </w:pPr>
            <w:r>
              <w:rPr>
                <w:rFonts w:hint="eastAsia"/>
                <w:color w:val="auto"/>
                <w:szCs w:val="21"/>
                <w:highlight w:val="none"/>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5469" w:type="dxa"/>
            <w:vAlign w:val="center"/>
          </w:tcPr>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default" w:ascii="Times New Roman" w:hAnsi="Times New Roman" w:eastAsia="宋体" w:cs="Times New Roman"/>
                <w:i w:val="0"/>
                <w:iCs w:val="0"/>
                <w:caps w:val="0"/>
                <w:color w:val="auto"/>
                <w:spacing w:val="0"/>
                <w:sz w:val="21"/>
                <w:szCs w:val="21"/>
                <w:highlight w:val="none"/>
                <w:shd w:val="clear" w:fill="FFFFFF"/>
              </w:rPr>
            </w:pPr>
            <w:r>
              <w:rPr>
                <w:rFonts w:hint="default" w:ascii="Times New Roman" w:hAnsi="Times New Roman" w:eastAsia="宋体" w:cs="Times New Roman"/>
                <w:i w:val="0"/>
                <w:iCs w:val="0"/>
                <w:caps w:val="0"/>
                <w:color w:val="auto"/>
                <w:spacing w:val="0"/>
                <w:sz w:val="21"/>
                <w:szCs w:val="21"/>
                <w:highlight w:val="none"/>
                <w:shd w:val="clear" w:fill="FFFFFF"/>
              </w:rPr>
              <w:t>（一）符合以下任一情形的，列为退出类</w:t>
            </w:r>
          </w:p>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default" w:ascii="Times New Roman" w:hAnsi="Times New Roman" w:eastAsia="宋体" w:cs="Times New Roman"/>
                <w:i w:val="0"/>
                <w:iCs w:val="0"/>
                <w:caps w:val="0"/>
                <w:color w:val="auto"/>
                <w:spacing w:val="0"/>
                <w:sz w:val="21"/>
                <w:szCs w:val="21"/>
                <w:highlight w:val="none"/>
                <w:shd w:val="clear" w:fill="FFFFFF"/>
              </w:rPr>
            </w:pPr>
            <w:r>
              <w:rPr>
                <w:rFonts w:hint="default" w:ascii="Times New Roman" w:hAnsi="Times New Roman" w:eastAsia="宋体" w:cs="Times New Roman"/>
                <w:i w:val="0"/>
                <w:iCs w:val="0"/>
                <w:caps w:val="0"/>
                <w:color w:val="auto"/>
                <w:spacing w:val="0"/>
                <w:sz w:val="21"/>
                <w:szCs w:val="21"/>
                <w:highlight w:val="none"/>
                <w:shd w:val="clear" w:fill="FFFFFF"/>
              </w:rPr>
              <w:t>一是位于自然保护区核心区、缓冲区（未分区的自然保护区视为核心区和缓冲区）。</w:t>
            </w:r>
          </w:p>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default" w:ascii="Times New Roman" w:hAnsi="Times New Roman" w:eastAsia="宋体" w:cs="Times New Roman"/>
                <w:i w:val="0"/>
                <w:iCs w:val="0"/>
                <w:caps w:val="0"/>
                <w:color w:val="auto"/>
                <w:spacing w:val="0"/>
                <w:sz w:val="21"/>
                <w:szCs w:val="21"/>
                <w:highlight w:val="none"/>
                <w:shd w:val="clear" w:fill="FFFFFF"/>
              </w:rPr>
            </w:pPr>
            <w:r>
              <w:rPr>
                <w:rFonts w:hint="default" w:ascii="Times New Roman" w:hAnsi="Times New Roman" w:eastAsia="宋体" w:cs="Times New Roman"/>
                <w:i w:val="0"/>
                <w:iCs w:val="0"/>
                <w:caps w:val="0"/>
                <w:color w:val="auto"/>
                <w:spacing w:val="0"/>
                <w:sz w:val="21"/>
                <w:szCs w:val="21"/>
                <w:highlight w:val="none"/>
                <w:shd w:val="clear" w:fill="FFFFFF"/>
              </w:rPr>
              <w:t>二是违法违规建设且无法按照法律法规整改纠正到位。</w:t>
            </w:r>
          </w:p>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default" w:ascii="Times New Roman" w:hAnsi="Times New Roman" w:eastAsia="宋体" w:cs="Times New Roman"/>
                <w:i w:val="0"/>
                <w:iCs w:val="0"/>
                <w:caps w:val="0"/>
                <w:color w:val="auto"/>
                <w:spacing w:val="0"/>
                <w:sz w:val="21"/>
                <w:szCs w:val="21"/>
                <w:highlight w:val="none"/>
                <w:shd w:val="clear" w:fill="FFFFFF"/>
              </w:rPr>
            </w:pPr>
            <w:r>
              <w:rPr>
                <w:rFonts w:hint="default" w:ascii="Times New Roman" w:hAnsi="Times New Roman" w:eastAsia="宋体" w:cs="Times New Roman"/>
                <w:i w:val="0"/>
                <w:iCs w:val="0"/>
                <w:caps w:val="0"/>
                <w:color w:val="auto"/>
                <w:spacing w:val="0"/>
                <w:sz w:val="21"/>
                <w:szCs w:val="21"/>
                <w:highlight w:val="none"/>
                <w:shd w:val="clear" w:fill="FFFFFF"/>
              </w:rPr>
              <w:t>三是大坝阻隔对珍稀特有水生生物造成严重影响，且整改纠正达不到要求。</w:t>
            </w:r>
          </w:p>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default" w:ascii="Times New Roman" w:hAnsi="Times New Roman" w:eastAsia="宋体" w:cs="Times New Roman"/>
                <w:i w:val="0"/>
                <w:iCs w:val="0"/>
                <w:caps w:val="0"/>
                <w:color w:val="auto"/>
                <w:spacing w:val="0"/>
                <w:sz w:val="21"/>
                <w:szCs w:val="21"/>
                <w:highlight w:val="none"/>
                <w:shd w:val="clear" w:fill="FFFFFF"/>
              </w:rPr>
            </w:pPr>
            <w:r>
              <w:rPr>
                <w:rFonts w:hint="default" w:ascii="Times New Roman" w:hAnsi="Times New Roman" w:eastAsia="宋体" w:cs="Times New Roman"/>
                <w:i w:val="0"/>
                <w:iCs w:val="0"/>
                <w:caps w:val="0"/>
                <w:color w:val="auto"/>
                <w:spacing w:val="0"/>
                <w:sz w:val="21"/>
                <w:szCs w:val="21"/>
                <w:highlight w:val="none"/>
                <w:shd w:val="clear" w:fill="FFFFFF"/>
              </w:rPr>
              <w:t>四是厂坝间河段减水脱流问题突出，严重影响生活、生产、生态用水，且整改纠正达不到要求。</w:t>
            </w:r>
          </w:p>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default" w:ascii="Times New Roman" w:hAnsi="Times New Roman" w:eastAsia="宋体" w:cs="Times New Roman"/>
                <w:i w:val="0"/>
                <w:iCs w:val="0"/>
                <w:caps w:val="0"/>
                <w:color w:val="auto"/>
                <w:spacing w:val="0"/>
                <w:sz w:val="21"/>
                <w:szCs w:val="21"/>
                <w:highlight w:val="none"/>
                <w:shd w:val="clear" w:fill="FFFFFF"/>
              </w:rPr>
            </w:pPr>
            <w:r>
              <w:rPr>
                <w:rFonts w:hint="default" w:ascii="Times New Roman" w:hAnsi="Times New Roman" w:eastAsia="宋体" w:cs="Times New Roman"/>
                <w:i w:val="0"/>
                <w:iCs w:val="0"/>
                <w:caps w:val="0"/>
                <w:color w:val="auto"/>
                <w:spacing w:val="0"/>
                <w:sz w:val="21"/>
                <w:szCs w:val="21"/>
                <w:highlight w:val="none"/>
                <w:shd w:val="clear" w:fill="FFFFFF"/>
              </w:rPr>
              <w:t>五是大坝已成为危坝或多年未发电，严重影响防洪，且重新整改又不经济。</w:t>
            </w:r>
          </w:p>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eastAsia" w:ascii="Times New Roman" w:hAnsi="Times New Roman" w:eastAsia="宋体" w:cs="Times New Roman"/>
                <w:i w:val="0"/>
                <w:iCs w:val="0"/>
                <w:caps w:val="0"/>
                <w:color w:val="auto"/>
                <w:spacing w:val="0"/>
                <w:sz w:val="21"/>
                <w:szCs w:val="21"/>
                <w:highlight w:val="none"/>
                <w:shd w:val="clear" w:fill="FFFFFF"/>
              </w:rPr>
            </w:pPr>
            <w:r>
              <w:rPr>
                <w:rFonts w:hint="default" w:ascii="Times New Roman" w:hAnsi="Times New Roman" w:eastAsia="宋体" w:cs="Times New Roman"/>
                <w:i w:val="0"/>
                <w:iCs w:val="0"/>
                <w:caps w:val="0"/>
                <w:color w:val="auto"/>
                <w:spacing w:val="0"/>
                <w:sz w:val="21"/>
                <w:szCs w:val="21"/>
                <w:highlight w:val="none"/>
                <w:shd w:val="clear" w:fill="FFFFFF"/>
              </w:rPr>
              <w:t>各地可根据有关规定并结合实际，细化退出电站的具体条件、时限和要求。鼓励装机容量小、建设管理和安全标准低、设施设备老化失修、整改又不经济的电站，自愿退出</w:t>
            </w:r>
          </w:p>
        </w:tc>
        <w:tc>
          <w:tcPr>
            <w:tcW w:w="2171" w:type="dxa"/>
            <w:vAlign w:val="center"/>
          </w:tcPr>
          <w:p>
            <w:pPr>
              <w:spacing w:line="300" w:lineRule="exact"/>
              <w:jc w:val="center"/>
              <w:rPr>
                <w:rFonts w:hint="eastAsia" w:eastAsia="宋体"/>
                <w:color w:val="auto"/>
                <w:szCs w:val="21"/>
                <w:highlight w:val="none"/>
                <w:lang w:eastAsia="zh-CN"/>
              </w:rPr>
            </w:pPr>
            <w:r>
              <w:rPr>
                <w:rFonts w:hint="eastAsia"/>
                <w:color w:val="auto"/>
                <w:szCs w:val="21"/>
                <w:highlight w:val="none"/>
                <w:lang w:eastAsia="zh-CN"/>
              </w:rPr>
              <w:t>比对“退出类”条件，本项目不属于退出类絮凝</w:t>
            </w:r>
          </w:p>
        </w:tc>
        <w:tc>
          <w:tcPr>
            <w:tcW w:w="856" w:type="dxa"/>
            <w:vAlign w:val="center"/>
          </w:tcPr>
          <w:p>
            <w:pPr>
              <w:spacing w:line="300" w:lineRule="exact"/>
              <w:jc w:val="center"/>
              <w:rPr>
                <w:rFonts w:hint="eastAsia" w:eastAsia="宋体"/>
                <w:color w:val="auto"/>
                <w:szCs w:val="21"/>
                <w:highlight w:val="none"/>
                <w:lang w:eastAsia="zh-CN"/>
              </w:rPr>
            </w:pPr>
            <w:r>
              <w:rPr>
                <w:rFonts w:hint="eastAsia"/>
                <w:color w:val="auto"/>
                <w:szCs w:val="21"/>
                <w:highlight w:val="none"/>
                <w:lang w:eastAsia="zh-CN"/>
              </w:rPr>
              <w:t>不属于退出类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5" w:hRule="atLeast"/>
        </w:trPr>
        <w:tc>
          <w:tcPr>
            <w:tcW w:w="546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00" w:lineRule="exact"/>
              <w:jc w:val="left"/>
              <w:textAlignment w:val="auto"/>
              <w:rPr>
                <w:rFonts w:hint="default" w:ascii="Times New Roman" w:hAnsi="Times New Roman" w:eastAsia="宋体" w:cs="Times New Roman"/>
                <w:i w:val="0"/>
                <w:iCs w:val="0"/>
                <w:caps w:val="0"/>
                <w:color w:val="auto"/>
                <w:spacing w:val="0"/>
                <w:sz w:val="21"/>
                <w:szCs w:val="21"/>
                <w:highlight w:val="none"/>
                <w:shd w:val="clear" w:fill="FFFFFF"/>
              </w:rPr>
            </w:pPr>
            <w:r>
              <w:rPr>
                <w:rFonts w:hint="default" w:ascii="Times New Roman" w:hAnsi="Times New Roman" w:eastAsia="宋体" w:cs="Times New Roman"/>
                <w:i w:val="0"/>
                <w:iCs w:val="0"/>
                <w:caps w:val="0"/>
                <w:color w:val="auto"/>
                <w:spacing w:val="0"/>
                <w:sz w:val="21"/>
                <w:szCs w:val="21"/>
                <w:highlight w:val="none"/>
                <w:shd w:val="clear" w:fill="FFFFFF"/>
              </w:rPr>
              <w:t>符合以下任一情形的，列为整改类</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jc w:val="left"/>
              <w:textAlignment w:val="auto"/>
              <w:rPr>
                <w:rFonts w:hint="default" w:ascii="Times New Roman" w:hAnsi="Times New Roman" w:eastAsia="宋体" w:cs="Times New Roman"/>
                <w:i w:val="0"/>
                <w:iCs w:val="0"/>
                <w:caps w:val="0"/>
                <w:color w:val="auto"/>
                <w:spacing w:val="0"/>
                <w:sz w:val="21"/>
                <w:szCs w:val="21"/>
                <w:highlight w:val="none"/>
                <w:shd w:val="clear" w:fill="FFFFFF"/>
              </w:rPr>
            </w:pPr>
            <w:r>
              <w:rPr>
                <w:rFonts w:hint="default" w:ascii="Times New Roman" w:hAnsi="Times New Roman" w:eastAsia="宋体" w:cs="Times New Roman"/>
                <w:i w:val="0"/>
                <w:iCs w:val="0"/>
                <w:caps w:val="0"/>
                <w:color w:val="auto"/>
                <w:spacing w:val="0"/>
                <w:sz w:val="21"/>
                <w:szCs w:val="21"/>
                <w:highlight w:val="none"/>
                <w:shd w:val="clear" w:fill="FFFFFF"/>
              </w:rPr>
              <w:t>一是未按规定泄放、监控生态流量，或生态流量不足导致厂坝间河段水质不达标。</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jc w:val="left"/>
              <w:textAlignment w:val="auto"/>
              <w:rPr>
                <w:rFonts w:hint="default" w:ascii="Times New Roman" w:hAnsi="Times New Roman" w:eastAsia="宋体" w:cs="Times New Roman"/>
                <w:i w:val="0"/>
                <w:iCs w:val="0"/>
                <w:caps w:val="0"/>
                <w:color w:val="auto"/>
                <w:spacing w:val="0"/>
                <w:sz w:val="21"/>
                <w:szCs w:val="21"/>
                <w:highlight w:val="none"/>
                <w:shd w:val="clear" w:fill="FFFFFF"/>
              </w:rPr>
            </w:pPr>
            <w:r>
              <w:rPr>
                <w:rFonts w:hint="default" w:ascii="Times New Roman" w:hAnsi="Times New Roman" w:eastAsia="宋体" w:cs="Times New Roman"/>
                <w:i w:val="0"/>
                <w:iCs w:val="0"/>
                <w:caps w:val="0"/>
                <w:color w:val="auto"/>
                <w:spacing w:val="0"/>
                <w:sz w:val="21"/>
                <w:szCs w:val="21"/>
                <w:highlight w:val="none"/>
                <w:shd w:val="clear" w:fill="FFFFFF"/>
              </w:rPr>
              <w:t>二是河流连通性不满足水生生物保护要求。</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jc w:val="left"/>
              <w:textAlignment w:val="auto"/>
              <w:rPr>
                <w:rFonts w:hint="default" w:ascii="Times New Roman" w:hAnsi="Times New Roman" w:eastAsia="宋体" w:cs="Times New Roman"/>
                <w:i w:val="0"/>
                <w:iCs w:val="0"/>
                <w:caps w:val="0"/>
                <w:color w:val="auto"/>
                <w:spacing w:val="0"/>
                <w:sz w:val="21"/>
                <w:szCs w:val="21"/>
                <w:highlight w:val="none"/>
                <w:shd w:val="clear" w:fill="FFFFFF"/>
              </w:rPr>
            </w:pPr>
            <w:r>
              <w:rPr>
                <w:rFonts w:hint="default" w:ascii="Times New Roman" w:hAnsi="Times New Roman" w:eastAsia="宋体" w:cs="Times New Roman"/>
                <w:i w:val="0"/>
                <w:iCs w:val="0"/>
                <w:caps w:val="0"/>
                <w:color w:val="auto"/>
                <w:spacing w:val="0"/>
                <w:sz w:val="21"/>
                <w:szCs w:val="21"/>
                <w:highlight w:val="none"/>
                <w:shd w:val="clear" w:fill="FFFFFF"/>
              </w:rPr>
              <w:t>三是大坝存在安全隐患。</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jc w:val="left"/>
              <w:textAlignment w:val="auto"/>
              <w:rPr>
                <w:rFonts w:hint="default" w:ascii="Times New Roman" w:hAnsi="Times New Roman" w:eastAsia="宋体" w:cs="Times New Roman"/>
                <w:i w:val="0"/>
                <w:iCs w:val="0"/>
                <w:caps w:val="0"/>
                <w:color w:val="auto"/>
                <w:spacing w:val="0"/>
                <w:sz w:val="21"/>
                <w:szCs w:val="21"/>
                <w:highlight w:val="none"/>
                <w:shd w:val="clear" w:fill="FFFFFF"/>
              </w:rPr>
            </w:pPr>
            <w:r>
              <w:rPr>
                <w:rFonts w:hint="default" w:ascii="Times New Roman" w:hAnsi="Times New Roman" w:eastAsia="宋体" w:cs="Times New Roman"/>
                <w:i w:val="0"/>
                <w:iCs w:val="0"/>
                <w:caps w:val="0"/>
                <w:color w:val="auto"/>
                <w:spacing w:val="0"/>
                <w:sz w:val="21"/>
                <w:szCs w:val="21"/>
                <w:highlight w:val="none"/>
                <w:shd w:val="clear" w:fill="FFFFFF"/>
              </w:rPr>
              <w:t>四是设施设备不符合安全标准。</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jc w:val="left"/>
              <w:textAlignment w:val="auto"/>
              <w:rPr>
                <w:rFonts w:hint="eastAsia" w:ascii="Times New Roman" w:hAnsi="Times New Roman" w:eastAsia="宋体" w:cs="Times New Roman"/>
                <w:i w:val="0"/>
                <w:iCs w:val="0"/>
                <w:caps w:val="0"/>
                <w:color w:val="auto"/>
                <w:spacing w:val="0"/>
                <w:sz w:val="21"/>
                <w:szCs w:val="21"/>
                <w:highlight w:val="none"/>
                <w:shd w:val="clear" w:fill="FFFFFF"/>
                <w:lang w:eastAsia="zh-CN"/>
              </w:rPr>
            </w:pPr>
            <w:r>
              <w:rPr>
                <w:rFonts w:hint="default" w:ascii="Times New Roman" w:hAnsi="Times New Roman" w:eastAsia="宋体" w:cs="Times New Roman"/>
                <w:i w:val="0"/>
                <w:iCs w:val="0"/>
                <w:caps w:val="0"/>
                <w:color w:val="auto"/>
                <w:spacing w:val="0"/>
                <w:sz w:val="21"/>
                <w:szCs w:val="21"/>
                <w:highlight w:val="none"/>
                <w:shd w:val="clear" w:fill="FFFFFF"/>
              </w:rPr>
              <w:t>五是水库行政、巡查、技术责任人或电站生产、监管责任主体不落实，管理不到位。</w:t>
            </w:r>
          </w:p>
        </w:tc>
        <w:tc>
          <w:tcPr>
            <w:tcW w:w="2171" w:type="dxa"/>
            <w:vAlign w:val="center"/>
          </w:tcPr>
          <w:p>
            <w:pPr>
              <w:spacing w:line="300" w:lineRule="exact"/>
              <w:rPr>
                <w:color w:val="auto"/>
                <w:szCs w:val="21"/>
                <w:highlight w:val="none"/>
              </w:rPr>
            </w:pPr>
            <w:r>
              <w:rPr>
                <w:rFonts w:hint="eastAsia"/>
                <w:color w:val="auto"/>
                <w:szCs w:val="21"/>
                <w:highlight w:val="none"/>
              </w:rPr>
              <w:t>项目为引水式电站，无调节功能，对</w:t>
            </w:r>
            <w:r>
              <w:rPr>
                <w:rFonts w:hint="eastAsia"/>
                <w:color w:val="auto"/>
                <w:szCs w:val="21"/>
                <w:highlight w:val="none"/>
                <w:lang w:eastAsia="zh-CN"/>
              </w:rPr>
              <w:t>水质</w:t>
            </w:r>
            <w:r>
              <w:rPr>
                <w:rFonts w:hint="eastAsia"/>
                <w:color w:val="auto"/>
                <w:szCs w:val="21"/>
                <w:highlight w:val="none"/>
              </w:rPr>
              <w:t>影响</w:t>
            </w:r>
            <w:r>
              <w:rPr>
                <w:rFonts w:hint="eastAsia"/>
                <w:color w:val="auto"/>
                <w:szCs w:val="21"/>
                <w:highlight w:val="none"/>
                <w:lang w:eastAsia="zh-CN"/>
              </w:rPr>
              <w:t>很小；橡胶坝无安全隐患；无水库；管理制度比较健全</w:t>
            </w:r>
            <w:r>
              <w:rPr>
                <w:rFonts w:hint="eastAsia"/>
                <w:color w:val="auto"/>
                <w:szCs w:val="21"/>
                <w:highlight w:val="none"/>
              </w:rPr>
              <w:t>。</w:t>
            </w:r>
          </w:p>
        </w:tc>
        <w:tc>
          <w:tcPr>
            <w:tcW w:w="856" w:type="dxa"/>
            <w:vAlign w:val="center"/>
          </w:tcPr>
          <w:p>
            <w:pPr>
              <w:spacing w:line="300" w:lineRule="exact"/>
              <w:jc w:val="center"/>
              <w:rPr>
                <w:rFonts w:hint="eastAsia" w:eastAsia="宋体"/>
                <w:color w:val="auto"/>
                <w:szCs w:val="21"/>
                <w:highlight w:val="none"/>
                <w:lang w:eastAsia="zh-CN"/>
              </w:rPr>
            </w:pPr>
            <w:r>
              <w:rPr>
                <w:rFonts w:hint="eastAsia"/>
                <w:color w:val="auto"/>
                <w:szCs w:val="21"/>
                <w:highlight w:val="none"/>
                <w:lang w:eastAsia="zh-CN"/>
              </w:rPr>
              <w:t>需要进行整改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5" w:hRule="atLeast"/>
        </w:trPr>
        <w:tc>
          <w:tcPr>
            <w:tcW w:w="5469" w:type="dxa"/>
            <w:vAlign w:val="center"/>
          </w:tcPr>
          <w:p>
            <w:pPr>
              <w:keepNext w:val="0"/>
              <w:keepLines w:val="0"/>
              <w:pageBreakBefore w:val="0"/>
              <w:widowControl w:val="0"/>
              <w:numPr>
                <w:ilvl w:val="0"/>
                <w:numId w:val="2"/>
              </w:numPr>
              <w:kinsoku/>
              <w:wordWrap/>
              <w:overflowPunct/>
              <w:topLinePunct w:val="0"/>
              <w:autoSpaceDE/>
              <w:autoSpaceDN/>
              <w:bidi w:val="0"/>
              <w:adjustRightInd/>
              <w:snapToGrid/>
              <w:spacing w:line="300" w:lineRule="exact"/>
              <w:jc w:val="left"/>
              <w:textAlignment w:val="auto"/>
              <w:rPr>
                <w:rFonts w:hint="default" w:ascii="Times New Roman" w:hAnsi="Times New Roman" w:eastAsia="宋体" w:cs="Times New Roman"/>
                <w:i w:val="0"/>
                <w:iCs w:val="0"/>
                <w:caps w:val="0"/>
                <w:color w:val="auto"/>
                <w:spacing w:val="0"/>
                <w:sz w:val="21"/>
                <w:szCs w:val="21"/>
                <w:highlight w:val="none"/>
                <w:shd w:val="clear" w:fill="FFFFFF"/>
              </w:rPr>
            </w:pPr>
            <w:r>
              <w:rPr>
                <w:rFonts w:hint="default" w:ascii="Times New Roman" w:hAnsi="Times New Roman" w:eastAsia="宋体" w:cs="Times New Roman"/>
                <w:i w:val="0"/>
                <w:iCs w:val="0"/>
                <w:caps w:val="0"/>
                <w:color w:val="auto"/>
                <w:spacing w:val="0"/>
                <w:sz w:val="21"/>
                <w:szCs w:val="21"/>
                <w:highlight w:val="none"/>
                <w:shd w:val="clear" w:fill="FFFFFF"/>
              </w:rPr>
              <w:t>符合以下全部情形的，列为保留类</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jc w:val="left"/>
              <w:textAlignment w:val="auto"/>
              <w:rPr>
                <w:rFonts w:hint="default" w:ascii="Times New Roman" w:hAnsi="Times New Roman" w:eastAsia="宋体" w:cs="Times New Roman"/>
                <w:i w:val="0"/>
                <w:iCs w:val="0"/>
                <w:caps w:val="0"/>
                <w:color w:val="auto"/>
                <w:spacing w:val="0"/>
                <w:sz w:val="21"/>
                <w:szCs w:val="21"/>
                <w:highlight w:val="none"/>
                <w:shd w:val="clear" w:fill="FFFFFF"/>
              </w:rPr>
            </w:pPr>
            <w:r>
              <w:rPr>
                <w:rFonts w:hint="default" w:ascii="Times New Roman" w:hAnsi="Times New Roman" w:eastAsia="宋体" w:cs="Times New Roman"/>
                <w:i w:val="0"/>
                <w:iCs w:val="0"/>
                <w:caps w:val="0"/>
                <w:color w:val="auto"/>
                <w:spacing w:val="0"/>
                <w:sz w:val="21"/>
                <w:szCs w:val="21"/>
                <w:highlight w:val="none"/>
                <w:shd w:val="clear" w:fill="FFFFFF"/>
              </w:rPr>
              <w:t>一是依法依规建设。</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jc w:val="left"/>
              <w:textAlignment w:val="auto"/>
              <w:rPr>
                <w:rFonts w:hint="default" w:ascii="Times New Roman" w:hAnsi="Times New Roman" w:eastAsia="宋体" w:cs="Times New Roman"/>
                <w:i w:val="0"/>
                <w:iCs w:val="0"/>
                <w:caps w:val="0"/>
                <w:color w:val="auto"/>
                <w:spacing w:val="0"/>
                <w:sz w:val="21"/>
                <w:szCs w:val="21"/>
                <w:highlight w:val="none"/>
                <w:shd w:val="clear" w:fill="FFFFFF"/>
              </w:rPr>
            </w:pPr>
            <w:r>
              <w:rPr>
                <w:rFonts w:hint="default" w:ascii="Times New Roman" w:hAnsi="Times New Roman" w:eastAsia="宋体" w:cs="Times New Roman"/>
                <w:i w:val="0"/>
                <w:iCs w:val="0"/>
                <w:caps w:val="0"/>
                <w:color w:val="auto"/>
                <w:spacing w:val="0"/>
                <w:sz w:val="21"/>
                <w:szCs w:val="21"/>
                <w:highlight w:val="none"/>
                <w:shd w:val="clear" w:fill="FFFFFF"/>
              </w:rPr>
              <w:t>二是不涉及自然保护区核心区、缓冲区。</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jc w:val="left"/>
              <w:textAlignment w:val="auto"/>
              <w:rPr>
                <w:rFonts w:hint="default" w:ascii="Times New Roman" w:hAnsi="Times New Roman" w:eastAsia="宋体" w:cs="Times New Roman"/>
                <w:i w:val="0"/>
                <w:iCs w:val="0"/>
                <w:caps w:val="0"/>
                <w:color w:val="auto"/>
                <w:spacing w:val="0"/>
                <w:sz w:val="21"/>
                <w:szCs w:val="21"/>
                <w:highlight w:val="none"/>
                <w:shd w:val="clear" w:fill="FFFFFF"/>
              </w:rPr>
            </w:pPr>
            <w:r>
              <w:rPr>
                <w:rFonts w:hint="default" w:ascii="Times New Roman" w:hAnsi="Times New Roman" w:eastAsia="宋体" w:cs="Times New Roman"/>
                <w:i w:val="0"/>
                <w:iCs w:val="0"/>
                <w:caps w:val="0"/>
                <w:color w:val="auto"/>
                <w:spacing w:val="0"/>
                <w:sz w:val="21"/>
                <w:szCs w:val="21"/>
                <w:highlight w:val="none"/>
                <w:shd w:val="clear" w:fill="FFFFFF"/>
              </w:rPr>
              <w:t>三是生态环境保护和安全生产管理措施到位。</w:t>
            </w:r>
          </w:p>
        </w:tc>
        <w:tc>
          <w:tcPr>
            <w:tcW w:w="2171" w:type="dxa"/>
            <w:vAlign w:val="center"/>
          </w:tcPr>
          <w:p>
            <w:pPr>
              <w:spacing w:line="300" w:lineRule="exact"/>
              <w:rPr>
                <w:rFonts w:hint="eastAsia" w:eastAsia="宋体"/>
                <w:color w:val="auto"/>
                <w:szCs w:val="21"/>
                <w:highlight w:val="none"/>
                <w:lang w:eastAsia="zh-CN"/>
              </w:rPr>
            </w:pPr>
            <w:r>
              <w:rPr>
                <w:rFonts w:hint="eastAsia"/>
                <w:color w:val="auto"/>
                <w:szCs w:val="21"/>
                <w:highlight w:val="none"/>
                <w:lang w:eastAsia="zh-CN"/>
              </w:rPr>
              <w:t>项目属于依法依规建设；</w:t>
            </w:r>
            <w:r>
              <w:rPr>
                <w:rFonts w:hint="default" w:ascii="Times New Roman" w:hAnsi="Times New Roman" w:eastAsia="宋体" w:cs="Times New Roman"/>
                <w:i w:val="0"/>
                <w:iCs w:val="0"/>
                <w:caps w:val="0"/>
                <w:color w:val="auto"/>
                <w:spacing w:val="0"/>
                <w:sz w:val="21"/>
                <w:szCs w:val="21"/>
                <w:highlight w:val="none"/>
                <w:shd w:val="clear" w:fill="FFFFFF"/>
              </w:rPr>
              <w:t>不涉及自然保护区核心区、缓冲区</w:t>
            </w:r>
          </w:p>
        </w:tc>
        <w:tc>
          <w:tcPr>
            <w:tcW w:w="856" w:type="dxa"/>
            <w:vAlign w:val="center"/>
          </w:tcPr>
          <w:p>
            <w:pPr>
              <w:spacing w:line="300" w:lineRule="exact"/>
              <w:jc w:val="center"/>
              <w:rPr>
                <w:rFonts w:hint="eastAsia" w:eastAsia="宋体"/>
                <w:color w:val="auto"/>
                <w:szCs w:val="21"/>
                <w:highlight w:val="none"/>
                <w:lang w:eastAsia="zh-CN"/>
              </w:rPr>
            </w:pPr>
            <w:r>
              <w:rPr>
                <w:rFonts w:hint="eastAsia"/>
                <w:color w:val="auto"/>
                <w:szCs w:val="21"/>
                <w:highlight w:val="none"/>
              </w:rPr>
              <w:t>符合</w:t>
            </w:r>
            <w:r>
              <w:rPr>
                <w:rFonts w:hint="eastAsia"/>
                <w:color w:val="auto"/>
                <w:szCs w:val="21"/>
                <w:highlight w:val="none"/>
                <w:lang w:eastAsia="zh-CN"/>
              </w:rPr>
              <w:t>保留类</w:t>
            </w:r>
          </w:p>
        </w:tc>
      </w:tr>
    </w:tbl>
    <w:p>
      <w:pPr>
        <w:spacing w:line="480" w:lineRule="exact"/>
        <w:rPr>
          <w:rFonts w:hint="eastAsia"/>
          <w:b/>
          <w:bCs/>
          <w:color w:val="auto"/>
          <w:sz w:val="24"/>
          <w:highlight w:val="none"/>
        </w:rPr>
      </w:pPr>
      <w:r>
        <w:rPr>
          <w:rFonts w:hint="eastAsia"/>
          <w:b/>
          <w:bCs/>
          <w:color w:val="auto"/>
          <w:sz w:val="24"/>
          <w:highlight w:val="none"/>
        </w:rPr>
        <w:t>0.4.</w:t>
      </w:r>
      <w:r>
        <w:rPr>
          <w:rFonts w:hint="eastAsia"/>
          <w:b/>
          <w:bCs/>
          <w:color w:val="auto"/>
          <w:sz w:val="24"/>
          <w:highlight w:val="none"/>
          <w:lang w:val="en-US" w:eastAsia="zh-CN"/>
        </w:rPr>
        <w:t>7</w:t>
      </w:r>
      <w:r>
        <w:rPr>
          <w:rFonts w:hint="eastAsia"/>
          <w:b/>
          <w:bCs/>
          <w:color w:val="auto"/>
          <w:sz w:val="24"/>
          <w:highlight w:val="none"/>
        </w:rPr>
        <w:t>《河北省中小河流水能资源开发规划》相符性</w:t>
      </w:r>
    </w:p>
    <w:p>
      <w:pPr>
        <w:spacing w:line="480" w:lineRule="exact"/>
        <w:ind w:firstLine="480" w:firstLineChars="200"/>
        <w:rPr>
          <w:color w:val="auto"/>
          <w:sz w:val="24"/>
          <w:highlight w:val="none"/>
        </w:rPr>
      </w:pPr>
      <w:r>
        <w:rPr>
          <w:rFonts w:hint="eastAsia"/>
          <w:color w:val="auto"/>
          <w:sz w:val="24"/>
          <w:highlight w:val="none"/>
        </w:rPr>
        <w:t>2012年8月水利部印发</w:t>
      </w:r>
      <w:r>
        <w:rPr>
          <w:color w:val="auto"/>
          <w:sz w:val="24"/>
          <w:highlight w:val="none"/>
        </w:rPr>
        <w:t>《开展中小河流水能资源开发规划工作的意见》（水规计</w:t>
      </w:r>
      <w:r>
        <w:rPr>
          <w:rFonts w:hint="eastAsia"/>
          <w:color w:val="auto"/>
          <w:sz w:val="24"/>
          <w:highlight w:val="none"/>
        </w:rPr>
        <w:t>[</w:t>
      </w:r>
      <w:r>
        <w:rPr>
          <w:color w:val="auto"/>
          <w:sz w:val="24"/>
          <w:highlight w:val="none"/>
        </w:rPr>
        <w:t>2012]369号），要求开展中小河流水能资源开发规划编制和修订工作，</w:t>
      </w:r>
      <w:r>
        <w:rPr>
          <w:rFonts w:hint="eastAsia"/>
          <w:color w:val="auto"/>
          <w:sz w:val="24"/>
          <w:highlight w:val="none"/>
        </w:rPr>
        <w:t>2</w:t>
      </w:r>
      <w:r>
        <w:rPr>
          <w:color w:val="auto"/>
          <w:sz w:val="24"/>
          <w:highlight w:val="none"/>
        </w:rPr>
        <w:t>013年</w:t>
      </w:r>
      <w:r>
        <w:rPr>
          <w:rFonts w:hint="eastAsia"/>
          <w:color w:val="auto"/>
          <w:sz w:val="24"/>
          <w:highlight w:val="none"/>
        </w:rPr>
        <w:t>9月河北省水利厅启动河北省中小河流水能资源开发规划，2</w:t>
      </w:r>
      <w:r>
        <w:rPr>
          <w:color w:val="auto"/>
          <w:sz w:val="24"/>
          <w:highlight w:val="none"/>
        </w:rPr>
        <w:t>015年10</w:t>
      </w:r>
      <w:r>
        <w:rPr>
          <w:rFonts w:hint="eastAsia"/>
          <w:color w:val="auto"/>
          <w:sz w:val="24"/>
          <w:highlight w:val="none"/>
        </w:rPr>
        <w:t>月经省政府批准印发</w:t>
      </w:r>
      <w:r>
        <w:rPr>
          <w:color w:val="auto"/>
          <w:sz w:val="24"/>
          <w:highlight w:val="none"/>
        </w:rPr>
        <w:t>。</w:t>
      </w:r>
      <w:r>
        <w:rPr>
          <w:rFonts w:hint="eastAsia"/>
          <w:color w:val="auto"/>
          <w:sz w:val="24"/>
          <w:highlight w:val="none"/>
        </w:rPr>
        <w:t>项目与</w:t>
      </w:r>
      <w:r>
        <w:rPr>
          <w:color w:val="auto"/>
          <w:sz w:val="24"/>
          <w:highlight w:val="none"/>
        </w:rPr>
        <w:t>《</w:t>
      </w:r>
      <w:r>
        <w:rPr>
          <w:rFonts w:hint="eastAsia"/>
          <w:color w:val="auto"/>
          <w:sz w:val="24"/>
          <w:highlight w:val="none"/>
        </w:rPr>
        <w:t>河北省中小河流水能资源开发规划</w:t>
      </w:r>
      <w:r>
        <w:rPr>
          <w:color w:val="auto"/>
          <w:sz w:val="24"/>
          <w:highlight w:val="none"/>
        </w:rPr>
        <w:t>》（</w:t>
      </w:r>
      <w:r>
        <w:rPr>
          <w:rFonts w:hint="eastAsia"/>
          <w:color w:val="auto"/>
          <w:sz w:val="24"/>
          <w:highlight w:val="none"/>
        </w:rPr>
        <w:t>近期2</w:t>
      </w:r>
      <w:r>
        <w:rPr>
          <w:color w:val="auto"/>
          <w:sz w:val="24"/>
          <w:highlight w:val="none"/>
        </w:rPr>
        <w:t>015-2020年、远期</w:t>
      </w:r>
      <w:r>
        <w:rPr>
          <w:rFonts w:hint="eastAsia"/>
          <w:color w:val="auto"/>
          <w:sz w:val="24"/>
          <w:highlight w:val="none"/>
        </w:rPr>
        <w:t>2</w:t>
      </w:r>
      <w:r>
        <w:rPr>
          <w:color w:val="auto"/>
          <w:sz w:val="24"/>
          <w:highlight w:val="none"/>
        </w:rPr>
        <w:t>021-2025年）</w:t>
      </w:r>
      <w:r>
        <w:rPr>
          <w:rFonts w:hint="eastAsia"/>
          <w:color w:val="auto"/>
          <w:sz w:val="24"/>
          <w:highlight w:val="none"/>
        </w:rPr>
        <w:t>》相符性分析见表0.4-</w:t>
      </w:r>
      <w:r>
        <w:rPr>
          <w:rFonts w:hint="eastAsia"/>
          <w:color w:val="auto"/>
          <w:sz w:val="24"/>
          <w:highlight w:val="none"/>
          <w:lang w:val="en-US" w:eastAsia="zh-CN"/>
        </w:rPr>
        <w:t>6</w:t>
      </w:r>
      <w:r>
        <w:rPr>
          <w:rFonts w:hint="eastAsia"/>
          <w:color w:val="auto"/>
          <w:sz w:val="24"/>
          <w:highlight w:val="none"/>
        </w:rPr>
        <w:t>。</w:t>
      </w:r>
    </w:p>
    <w:p>
      <w:pPr>
        <w:keepNext w:val="0"/>
        <w:keepLines w:val="0"/>
        <w:pageBreakBefore w:val="0"/>
        <w:widowControl w:val="0"/>
        <w:kinsoku/>
        <w:wordWrap/>
        <w:overflowPunct/>
        <w:topLinePunct w:val="0"/>
        <w:autoSpaceDE/>
        <w:autoSpaceDN/>
        <w:bidi w:val="0"/>
        <w:adjustRightInd/>
        <w:snapToGrid/>
        <w:spacing w:line="380" w:lineRule="exact"/>
        <w:ind w:firstLine="482" w:firstLineChars="200"/>
        <w:textAlignment w:val="auto"/>
        <w:rPr>
          <w:b/>
          <w:bCs/>
          <w:color w:val="auto"/>
          <w:sz w:val="24"/>
          <w:highlight w:val="none"/>
        </w:rPr>
      </w:pPr>
      <w:r>
        <w:rPr>
          <w:rFonts w:hint="eastAsia"/>
          <w:b/>
          <w:bCs/>
          <w:color w:val="auto"/>
          <w:sz w:val="24"/>
          <w:highlight w:val="none"/>
        </w:rPr>
        <w:t>表0</w:t>
      </w:r>
      <w:r>
        <w:rPr>
          <w:b/>
          <w:bCs/>
          <w:color w:val="auto"/>
          <w:sz w:val="24"/>
          <w:highlight w:val="none"/>
        </w:rPr>
        <w:t>.4-</w:t>
      </w:r>
      <w:r>
        <w:rPr>
          <w:rFonts w:hint="eastAsia"/>
          <w:b/>
          <w:bCs/>
          <w:color w:val="auto"/>
          <w:sz w:val="24"/>
          <w:highlight w:val="none"/>
          <w:lang w:val="en-US" w:eastAsia="zh-CN"/>
        </w:rPr>
        <w:t>6</w:t>
      </w:r>
      <w:r>
        <w:rPr>
          <w:b/>
          <w:bCs/>
          <w:color w:val="auto"/>
          <w:sz w:val="24"/>
          <w:highlight w:val="none"/>
        </w:rPr>
        <w:t xml:space="preserve">  </w:t>
      </w:r>
      <w:r>
        <w:rPr>
          <w:rFonts w:hint="eastAsia"/>
          <w:b/>
          <w:bCs/>
          <w:color w:val="auto"/>
          <w:sz w:val="24"/>
          <w:highlight w:val="none"/>
        </w:rPr>
        <w:t>项目与</w:t>
      </w:r>
      <w:r>
        <w:rPr>
          <w:b/>
          <w:bCs/>
          <w:color w:val="auto"/>
          <w:sz w:val="24"/>
          <w:highlight w:val="none"/>
        </w:rPr>
        <w:t>《</w:t>
      </w:r>
      <w:r>
        <w:rPr>
          <w:rFonts w:hint="eastAsia"/>
          <w:b/>
          <w:bCs/>
          <w:color w:val="auto"/>
          <w:sz w:val="24"/>
          <w:highlight w:val="none"/>
        </w:rPr>
        <w:t>河北省中小河流水能资源开发规划</w:t>
      </w:r>
      <w:r>
        <w:rPr>
          <w:b/>
          <w:bCs/>
          <w:color w:val="auto"/>
          <w:sz w:val="24"/>
          <w:highlight w:val="none"/>
        </w:rPr>
        <w:t>》（</w:t>
      </w:r>
      <w:r>
        <w:rPr>
          <w:rFonts w:hint="eastAsia"/>
          <w:b/>
          <w:bCs/>
          <w:color w:val="auto"/>
          <w:sz w:val="24"/>
          <w:highlight w:val="none"/>
        </w:rPr>
        <w:t>近期2</w:t>
      </w:r>
      <w:r>
        <w:rPr>
          <w:b/>
          <w:bCs/>
          <w:color w:val="auto"/>
          <w:sz w:val="24"/>
          <w:highlight w:val="none"/>
        </w:rPr>
        <w:t>015-2020年、远期</w:t>
      </w:r>
      <w:r>
        <w:rPr>
          <w:rFonts w:hint="eastAsia"/>
          <w:b/>
          <w:bCs/>
          <w:color w:val="auto"/>
          <w:sz w:val="24"/>
          <w:highlight w:val="none"/>
        </w:rPr>
        <w:t>2</w:t>
      </w:r>
      <w:r>
        <w:rPr>
          <w:b/>
          <w:bCs/>
          <w:color w:val="auto"/>
          <w:sz w:val="24"/>
          <w:highlight w:val="none"/>
        </w:rPr>
        <w:t>021-2025年）</w:t>
      </w:r>
      <w:r>
        <w:rPr>
          <w:rFonts w:hint="eastAsia"/>
          <w:b/>
          <w:bCs/>
          <w:color w:val="auto"/>
          <w:sz w:val="24"/>
          <w:highlight w:val="none"/>
        </w:rPr>
        <w:t>》相符性分析。</w:t>
      </w:r>
    </w:p>
    <w:tbl>
      <w:tblPr>
        <w:tblStyle w:val="5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4"/>
        <w:gridCol w:w="4591"/>
        <w:gridCol w:w="2126"/>
        <w:gridCol w:w="8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5" w:type="dxa"/>
            <w:gridSpan w:val="2"/>
            <w:vAlign w:val="center"/>
          </w:tcPr>
          <w:p>
            <w:pPr>
              <w:spacing w:line="320" w:lineRule="exact"/>
              <w:jc w:val="center"/>
              <w:rPr>
                <w:color w:val="auto"/>
                <w:szCs w:val="21"/>
                <w:highlight w:val="none"/>
              </w:rPr>
            </w:pPr>
            <w:r>
              <w:rPr>
                <w:color w:val="auto"/>
                <w:szCs w:val="21"/>
                <w:highlight w:val="none"/>
              </w:rPr>
              <w:t>相关规划</w:t>
            </w:r>
          </w:p>
        </w:tc>
        <w:tc>
          <w:tcPr>
            <w:tcW w:w="2126" w:type="dxa"/>
            <w:vAlign w:val="center"/>
          </w:tcPr>
          <w:p>
            <w:pPr>
              <w:spacing w:line="320" w:lineRule="exact"/>
              <w:jc w:val="center"/>
              <w:rPr>
                <w:color w:val="auto"/>
                <w:szCs w:val="21"/>
                <w:highlight w:val="none"/>
              </w:rPr>
            </w:pPr>
            <w:r>
              <w:rPr>
                <w:color w:val="auto"/>
                <w:szCs w:val="21"/>
                <w:highlight w:val="none"/>
              </w:rPr>
              <w:t>本项目情况</w:t>
            </w:r>
          </w:p>
        </w:tc>
        <w:tc>
          <w:tcPr>
            <w:tcW w:w="875" w:type="dxa"/>
            <w:vAlign w:val="center"/>
          </w:tcPr>
          <w:p>
            <w:pPr>
              <w:spacing w:line="320" w:lineRule="exact"/>
              <w:jc w:val="center"/>
              <w:rPr>
                <w:color w:val="auto"/>
                <w:szCs w:val="21"/>
                <w:highlight w:val="none"/>
              </w:rPr>
            </w:pPr>
            <w:r>
              <w:rPr>
                <w:color w:val="auto"/>
                <w:szCs w:val="21"/>
                <w:highlight w:val="none"/>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5" w:hRule="atLeast"/>
        </w:trPr>
        <w:tc>
          <w:tcPr>
            <w:tcW w:w="904" w:type="dxa"/>
            <w:vAlign w:val="center"/>
          </w:tcPr>
          <w:p>
            <w:pPr>
              <w:spacing w:line="320" w:lineRule="exact"/>
              <w:jc w:val="center"/>
              <w:rPr>
                <w:color w:val="auto"/>
                <w:szCs w:val="21"/>
                <w:highlight w:val="none"/>
              </w:rPr>
            </w:pPr>
            <w:r>
              <w:rPr>
                <w:color w:val="auto"/>
                <w:szCs w:val="21"/>
                <w:highlight w:val="none"/>
              </w:rPr>
              <w:t>规划范围</w:t>
            </w:r>
          </w:p>
        </w:tc>
        <w:tc>
          <w:tcPr>
            <w:tcW w:w="4591" w:type="dxa"/>
            <w:vAlign w:val="center"/>
          </w:tcPr>
          <w:p>
            <w:pPr>
              <w:spacing w:line="320" w:lineRule="exact"/>
              <w:jc w:val="left"/>
              <w:rPr>
                <w:color w:val="auto"/>
                <w:szCs w:val="21"/>
                <w:highlight w:val="none"/>
              </w:rPr>
            </w:pPr>
            <w:r>
              <w:rPr>
                <w:rFonts w:hint="eastAsia"/>
                <w:color w:val="auto"/>
                <w:szCs w:val="21"/>
                <w:highlight w:val="none"/>
              </w:rPr>
              <w:t>1</w:t>
            </w:r>
            <w:r>
              <w:rPr>
                <w:color w:val="auto"/>
                <w:szCs w:val="21"/>
                <w:highlight w:val="none"/>
              </w:rPr>
              <w:t>.潮白河（下游为北京）</w:t>
            </w:r>
            <w:r>
              <w:rPr>
                <w:rFonts w:hint="eastAsia"/>
                <w:color w:val="auto"/>
                <w:szCs w:val="21"/>
                <w:highlight w:val="none"/>
              </w:rPr>
              <w:t>，</w:t>
            </w:r>
          </w:p>
          <w:p>
            <w:pPr>
              <w:spacing w:line="320" w:lineRule="exact"/>
              <w:jc w:val="left"/>
              <w:rPr>
                <w:color w:val="auto"/>
                <w:szCs w:val="21"/>
                <w:highlight w:val="none"/>
              </w:rPr>
            </w:pPr>
            <w:r>
              <w:rPr>
                <w:rFonts w:hint="eastAsia"/>
                <w:color w:val="auto"/>
                <w:szCs w:val="21"/>
                <w:highlight w:val="none"/>
              </w:rPr>
              <w:t>2永定河（下游为北京），</w:t>
            </w:r>
          </w:p>
          <w:p>
            <w:pPr>
              <w:spacing w:line="320" w:lineRule="exact"/>
              <w:jc w:val="left"/>
              <w:rPr>
                <w:color w:val="auto"/>
                <w:szCs w:val="21"/>
                <w:highlight w:val="none"/>
              </w:rPr>
            </w:pPr>
            <w:r>
              <w:rPr>
                <w:rFonts w:hint="eastAsia"/>
                <w:color w:val="auto"/>
                <w:szCs w:val="21"/>
                <w:highlight w:val="none"/>
              </w:rPr>
              <w:t>3</w:t>
            </w:r>
            <w:r>
              <w:rPr>
                <w:color w:val="auto"/>
                <w:szCs w:val="21"/>
                <w:highlight w:val="none"/>
              </w:rPr>
              <w:t>.黎河（下游为天津），</w:t>
            </w:r>
          </w:p>
          <w:p>
            <w:pPr>
              <w:spacing w:line="320" w:lineRule="exact"/>
              <w:jc w:val="left"/>
              <w:rPr>
                <w:color w:val="auto"/>
                <w:szCs w:val="21"/>
                <w:highlight w:val="none"/>
              </w:rPr>
            </w:pPr>
            <w:r>
              <w:rPr>
                <w:rFonts w:hint="eastAsia"/>
                <w:color w:val="auto"/>
                <w:szCs w:val="21"/>
                <w:highlight w:val="none"/>
              </w:rPr>
              <w:t>4</w:t>
            </w:r>
            <w:r>
              <w:rPr>
                <w:color w:val="auto"/>
                <w:szCs w:val="21"/>
                <w:highlight w:val="none"/>
              </w:rPr>
              <w:t>.浊漳河（河北</w:t>
            </w:r>
            <w:r>
              <w:rPr>
                <w:rFonts w:hint="eastAsia"/>
                <w:color w:val="auto"/>
                <w:szCs w:val="21"/>
                <w:highlight w:val="none"/>
              </w:rPr>
              <w:t>-山西-河南界河</w:t>
            </w:r>
            <w:r>
              <w:rPr>
                <w:color w:val="auto"/>
                <w:szCs w:val="21"/>
                <w:highlight w:val="none"/>
              </w:rPr>
              <w:t>），</w:t>
            </w:r>
          </w:p>
          <w:p>
            <w:pPr>
              <w:spacing w:line="320" w:lineRule="exact"/>
              <w:jc w:val="left"/>
              <w:rPr>
                <w:color w:val="auto"/>
                <w:szCs w:val="21"/>
                <w:highlight w:val="none"/>
              </w:rPr>
            </w:pPr>
            <w:r>
              <w:rPr>
                <w:rFonts w:hint="eastAsia"/>
                <w:color w:val="auto"/>
                <w:szCs w:val="21"/>
                <w:highlight w:val="none"/>
              </w:rPr>
              <w:t>5</w:t>
            </w:r>
            <w:r>
              <w:rPr>
                <w:color w:val="auto"/>
                <w:szCs w:val="21"/>
                <w:highlight w:val="none"/>
              </w:rPr>
              <w:t>.辽河（下游为辽宁）</w:t>
            </w:r>
          </w:p>
        </w:tc>
        <w:tc>
          <w:tcPr>
            <w:tcW w:w="2126" w:type="dxa"/>
            <w:vAlign w:val="center"/>
          </w:tcPr>
          <w:p>
            <w:pPr>
              <w:spacing w:line="320" w:lineRule="exact"/>
              <w:jc w:val="center"/>
              <w:rPr>
                <w:color w:val="auto"/>
                <w:szCs w:val="21"/>
                <w:highlight w:val="none"/>
              </w:rPr>
            </w:pPr>
            <w:r>
              <w:rPr>
                <w:color w:val="auto"/>
                <w:szCs w:val="21"/>
                <w:highlight w:val="none"/>
              </w:rPr>
              <w:t>本项目属于黎河水电站，在规划范围内</w:t>
            </w:r>
          </w:p>
        </w:tc>
        <w:tc>
          <w:tcPr>
            <w:tcW w:w="875" w:type="dxa"/>
            <w:vAlign w:val="center"/>
          </w:tcPr>
          <w:p>
            <w:pPr>
              <w:spacing w:line="320" w:lineRule="exact"/>
              <w:jc w:val="center"/>
              <w:rPr>
                <w:color w:val="auto"/>
                <w:szCs w:val="21"/>
                <w:highlight w:val="none"/>
              </w:rPr>
            </w:pPr>
            <w:r>
              <w:rPr>
                <w:color w:val="auto"/>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4" w:type="dxa"/>
            <w:vAlign w:val="center"/>
          </w:tcPr>
          <w:p>
            <w:pPr>
              <w:spacing w:line="320" w:lineRule="exact"/>
              <w:jc w:val="center"/>
              <w:rPr>
                <w:color w:val="auto"/>
                <w:szCs w:val="21"/>
                <w:highlight w:val="none"/>
              </w:rPr>
            </w:pPr>
            <w:r>
              <w:rPr>
                <w:color w:val="auto"/>
                <w:szCs w:val="21"/>
                <w:highlight w:val="none"/>
              </w:rPr>
              <w:t>水电站模式</w:t>
            </w:r>
          </w:p>
        </w:tc>
        <w:tc>
          <w:tcPr>
            <w:tcW w:w="4591" w:type="dxa"/>
            <w:vAlign w:val="center"/>
          </w:tcPr>
          <w:p>
            <w:pPr>
              <w:spacing w:line="320" w:lineRule="exact"/>
              <w:jc w:val="left"/>
              <w:rPr>
                <w:color w:val="auto"/>
                <w:szCs w:val="21"/>
                <w:highlight w:val="none"/>
              </w:rPr>
            </w:pPr>
            <w:r>
              <w:rPr>
                <w:rFonts w:hint="eastAsia"/>
                <w:color w:val="auto"/>
                <w:szCs w:val="21"/>
                <w:highlight w:val="none"/>
              </w:rPr>
              <w:t>1坝后式水电站：坝后式水电站只是水库的附属工程，水库建成后才能建设水电站。</w:t>
            </w:r>
          </w:p>
          <w:p>
            <w:pPr>
              <w:pStyle w:val="26"/>
              <w:spacing w:line="320" w:lineRule="exact"/>
              <w:ind w:left="0" w:leftChars="0" w:right="0" w:rightChars="0"/>
              <w:jc w:val="left"/>
              <w:rPr>
                <w:color w:val="auto"/>
                <w:szCs w:val="21"/>
                <w:highlight w:val="none"/>
              </w:rPr>
            </w:pPr>
            <w:r>
              <w:rPr>
                <w:rFonts w:hint="eastAsia"/>
                <w:color w:val="auto"/>
                <w:szCs w:val="21"/>
                <w:highlight w:val="none"/>
              </w:rPr>
              <w:t>2引水式水电站：引水式水电站工程任务只是发电，没有供水灌溉等功能，尾水退入原河道，对下游水量没有影响。</w:t>
            </w:r>
          </w:p>
          <w:p>
            <w:pPr>
              <w:spacing w:line="320" w:lineRule="exact"/>
              <w:jc w:val="left"/>
              <w:rPr>
                <w:color w:val="auto"/>
                <w:szCs w:val="21"/>
                <w:highlight w:val="none"/>
              </w:rPr>
            </w:pPr>
            <w:r>
              <w:rPr>
                <w:rFonts w:hint="eastAsia"/>
                <w:color w:val="auto"/>
                <w:szCs w:val="21"/>
                <w:highlight w:val="none"/>
              </w:rPr>
              <w:t>3界河上的水电站：界河上的水电站仅作为资源开发利用点。</w:t>
            </w:r>
          </w:p>
        </w:tc>
        <w:tc>
          <w:tcPr>
            <w:tcW w:w="2126" w:type="dxa"/>
            <w:vAlign w:val="center"/>
          </w:tcPr>
          <w:p>
            <w:pPr>
              <w:spacing w:line="320" w:lineRule="exact"/>
              <w:jc w:val="center"/>
              <w:rPr>
                <w:color w:val="auto"/>
                <w:szCs w:val="21"/>
                <w:highlight w:val="none"/>
              </w:rPr>
            </w:pPr>
            <w:r>
              <w:rPr>
                <w:color w:val="auto"/>
                <w:szCs w:val="21"/>
                <w:highlight w:val="none"/>
              </w:rPr>
              <w:t>项目属于引水式水电站，</w:t>
            </w:r>
            <w:r>
              <w:rPr>
                <w:rFonts w:hint="eastAsia"/>
                <w:color w:val="auto"/>
                <w:szCs w:val="21"/>
                <w:highlight w:val="none"/>
              </w:rPr>
              <w:t>只是发电，尾水退入原河道，对下游水量没有影响。</w:t>
            </w:r>
          </w:p>
        </w:tc>
        <w:tc>
          <w:tcPr>
            <w:tcW w:w="875" w:type="dxa"/>
            <w:vAlign w:val="center"/>
          </w:tcPr>
          <w:p>
            <w:pPr>
              <w:spacing w:line="320" w:lineRule="exact"/>
              <w:jc w:val="center"/>
              <w:rPr>
                <w:color w:val="auto"/>
                <w:szCs w:val="21"/>
                <w:highlight w:val="none"/>
              </w:rPr>
            </w:pPr>
            <w:r>
              <w:rPr>
                <w:color w:val="auto"/>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4" w:type="dxa"/>
            <w:vAlign w:val="center"/>
          </w:tcPr>
          <w:p>
            <w:pPr>
              <w:spacing w:line="320" w:lineRule="exact"/>
              <w:jc w:val="center"/>
              <w:rPr>
                <w:color w:val="auto"/>
                <w:szCs w:val="21"/>
                <w:highlight w:val="none"/>
              </w:rPr>
            </w:pPr>
            <w:r>
              <w:rPr>
                <w:color w:val="auto"/>
                <w:szCs w:val="21"/>
                <w:highlight w:val="none"/>
              </w:rPr>
              <w:t>现有水电站整改要求</w:t>
            </w:r>
          </w:p>
        </w:tc>
        <w:tc>
          <w:tcPr>
            <w:tcW w:w="4591" w:type="dxa"/>
            <w:vAlign w:val="center"/>
          </w:tcPr>
          <w:p>
            <w:pPr>
              <w:spacing w:line="320" w:lineRule="exact"/>
              <w:jc w:val="left"/>
              <w:rPr>
                <w:color w:val="auto"/>
                <w:szCs w:val="21"/>
                <w:highlight w:val="none"/>
              </w:rPr>
            </w:pPr>
            <w:r>
              <w:rPr>
                <w:rFonts w:hint="eastAsia"/>
                <w:color w:val="auto"/>
                <w:szCs w:val="21"/>
                <w:highlight w:val="none"/>
              </w:rPr>
              <w:t>1</w:t>
            </w:r>
            <w:r>
              <w:rPr>
                <w:color w:val="auto"/>
                <w:szCs w:val="21"/>
                <w:highlight w:val="none"/>
              </w:rPr>
              <w:t>.存在工程安全隐患的水电站；</w:t>
            </w:r>
          </w:p>
          <w:p>
            <w:pPr>
              <w:spacing w:line="320" w:lineRule="exact"/>
              <w:jc w:val="left"/>
              <w:rPr>
                <w:color w:val="auto"/>
                <w:szCs w:val="21"/>
                <w:highlight w:val="none"/>
              </w:rPr>
            </w:pPr>
            <w:r>
              <w:rPr>
                <w:rFonts w:hint="eastAsia"/>
                <w:color w:val="auto"/>
                <w:szCs w:val="21"/>
                <w:highlight w:val="none"/>
              </w:rPr>
              <w:t>2</w:t>
            </w:r>
            <w:r>
              <w:rPr>
                <w:color w:val="auto"/>
                <w:szCs w:val="21"/>
                <w:highlight w:val="none"/>
              </w:rPr>
              <w:t>.影响下游减水、脱水段居民生活、生产用水的水电站；</w:t>
            </w:r>
          </w:p>
          <w:p>
            <w:pPr>
              <w:spacing w:line="320" w:lineRule="exact"/>
              <w:jc w:val="left"/>
              <w:rPr>
                <w:color w:val="auto"/>
                <w:szCs w:val="21"/>
                <w:highlight w:val="none"/>
              </w:rPr>
            </w:pPr>
            <w:r>
              <w:rPr>
                <w:rFonts w:hint="eastAsia"/>
                <w:color w:val="auto"/>
                <w:szCs w:val="21"/>
                <w:highlight w:val="none"/>
              </w:rPr>
              <w:t>3</w:t>
            </w:r>
            <w:r>
              <w:rPr>
                <w:color w:val="auto"/>
                <w:szCs w:val="21"/>
                <w:highlight w:val="none"/>
              </w:rPr>
              <w:t>.未设置下泄生态基流设施，或设施不满足要求的水电站。</w:t>
            </w:r>
          </w:p>
        </w:tc>
        <w:tc>
          <w:tcPr>
            <w:tcW w:w="2126" w:type="dxa"/>
            <w:vAlign w:val="center"/>
          </w:tcPr>
          <w:p>
            <w:pPr>
              <w:spacing w:line="320" w:lineRule="exact"/>
              <w:jc w:val="center"/>
              <w:rPr>
                <w:color w:val="auto"/>
                <w:szCs w:val="21"/>
                <w:highlight w:val="none"/>
              </w:rPr>
            </w:pPr>
            <w:r>
              <w:rPr>
                <w:color w:val="auto"/>
                <w:szCs w:val="21"/>
                <w:highlight w:val="none"/>
              </w:rPr>
              <w:t>项目工程已验收，符合安全要求，不影响下</w:t>
            </w:r>
            <w:r>
              <w:rPr>
                <w:rFonts w:hint="eastAsia"/>
                <w:color w:val="auto"/>
                <w:szCs w:val="21"/>
                <w:highlight w:val="none"/>
                <w:lang w:eastAsia="zh-CN"/>
              </w:rPr>
              <w:t>游</w:t>
            </w:r>
            <w:r>
              <w:rPr>
                <w:color w:val="auto"/>
                <w:szCs w:val="21"/>
                <w:highlight w:val="none"/>
              </w:rPr>
              <w:t>生活生产，且下泄生态流量满足要求</w:t>
            </w:r>
          </w:p>
        </w:tc>
        <w:tc>
          <w:tcPr>
            <w:tcW w:w="875" w:type="dxa"/>
            <w:vAlign w:val="center"/>
          </w:tcPr>
          <w:p>
            <w:pPr>
              <w:spacing w:line="320" w:lineRule="exact"/>
              <w:jc w:val="center"/>
              <w:rPr>
                <w:color w:val="auto"/>
                <w:szCs w:val="21"/>
                <w:highlight w:val="none"/>
              </w:rPr>
            </w:pPr>
            <w:r>
              <w:rPr>
                <w:color w:val="auto"/>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4" w:type="dxa"/>
            <w:vAlign w:val="center"/>
          </w:tcPr>
          <w:p>
            <w:pPr>
              <w:spacing w:line="320" w:lineRule="exact"/>
              <w:jc w:val="center"/>
              <w:rPr>
                <w:color w:val="auto"/>
                <w:szCs w:val="21"/>
                <w:highlight w:val="none"/>
              </w:rPr>
            </w:pPr>
            <w:r>
              <w:rPr>
                <w:color w:val="auto"/>
                <w:szCs w:val="21"/>
                <w:highlight w:val="none"/>
              </w:rPr>
              <w:t>现有水电站限值和拆除要求</w:t>
            </w:r>
          </w:p>
        </w:tc>
        <w:tc>
          <w:tcPr>
            <w:tcW w:w="4591" w:type="dxa"/>
            <w:vAlign w:val="center"/>
          </w:tcPr>
          <w:p>
            <w:pPr>
              <w:spacing w:line="320" w:lineRule="exact"/>
              <w:jc w:val="left"/>
              <w:rPr>
                <w:color w:val="auto"/>
                <w:szCs w:val="21"/>
                <w:highlight w:val="none"/>
              </w:rPr>
            </w:pPr>
            <w:r>
              <w:rPr>
                <w:rFonts w:hint="eastAsia"/>
                <w:color w:val="auto"/>
                <w:szCs w:val="21"/>
                <w:highlight w:val="none"/>
              </w:rPr>
              <w:t>1</w:t>
            </w:r>
            <w:r>
              <w:rPr>
                <w:color w:val="auto"/>
                <w:szCs w:val="21"/>
                <w:highlight w:val="none"/>
              </w:rPr>
              <w:t>.存在严重防洪安全问题的水电站；</w:t>
            </w:r>
          </w:p>
          <w:p>
            <w:pPr>
              <w:spacing w:line="320" w:lineRule="exact"/>
              <w:jc w:val="left"/>
              <w:rPr>
                <w:color w:val="auto"/>
                <w:szCs w:val="21"/>
                <w:highlight w:val="none"/>
              </w:rPr>
            </w:pPr>
            <w:r>
              <w:rPr>
                <w:rFonts w:hint="eastAsia"/>
                <w:color w:val="auto"/>
                <w:szCs w:val="21"/>
                <w:highlight w:val="none"/>
              </w:rPr>
              <w:t>2</w:t>
            </w:r>
            <w:r>
              <w:rPr>
                <w:color w:val="auto"/>
                <w:szCs w:val="21"/>
                <w:highlight w:val="none"/>
              </w:rPr>
              <w:t>.严重影响下游居民生活、生产用水，矛盾突出的水电；</w:t>
            </w:r>
          </w:p>
          <w:p>
            <w:pPr>
              <w:spacing w:line="320" w:lineRule="exact"/>
              <w:jc w:val="left"/>
              <w:rPr>
                <w:color w:val="auto"/>
                <w:szCs w:val="21"/>
                <w:highlight w:val="none"/>
              </w:rPr>
            </w:pPr>
            <w:r>
              <w:rPr>
                <w:rFonts w:hint="eastAsia"/>
                <w:color w:val="auto"/>
                <w:szCs w:val="21"/>
                <w:highlight w:val="none"/>
              </w:rPr>
              <w:t>3</w:t>
            </w:r>
            <w:r>
              <w:rPr>
                <w:color w:val="auto"/>
                <w:szCs w:val="21"/>
                <w:highlight w:val="none"/>
              </w:rPr>
              <w:t>.与生态功能区、自然保护区、风景名胜区等要求相矛盾，严重影响生态环境的水电站；</w:t>
            </w:r>
          </w:p>
          <w:p>
            <w:pPr>
              <w:spacing w:line="320" w:lineRule="exact"/>
              <w:jc w:val="left"/>
              <w:rPr>
                <w:color w:val="auto"/>
                <w:szCs w:val="21"/>
                <w:highlight w:val="none"/>
              </w:rPr>
            </w:pPr>
            <w:r>
              <w:rPr>
                <w:rFonts w:hint="eastAsia"/>
                <w:color w:val="auto"/>
                <w:szCs w:val="21"/>
                <w:highlight w:val="none"/>
              </w:rPr>
              <w:t>4严重影响国家重大建设项目的水电站；</w:t>
            </w:r>
          </w:p>
          <w:p>
            <w:pPr>
              <w:spacing w:line="320" w:lineRule="exact"/>
              <w:jc w:val="left"/>
              <w:rPr>
                <w:color w:val="auto"/>
                <w:szCs w:val="21"/>
                <w:highlight w:val="none"/>
              </w:rPr>
            </w:pPr>
            <w:r>
              <w:rPr>
                <w:rFonts w:hint="eastAsia"/>
                <w:color w:val="auto"/>
                <w:szCs w:val="21"/>
                <w:highlight w:val="none"/>
              </w:rPr>
              <w:t>5</w:t>
            </w:r>
            <w:r>
              <w:rPr>
                <w:color w:val="auto"/>
                <w:szCs w:val="21"/>
                <w:highlight w:val="none"/>
              </w:rPr>
              <w:t>.对确需拆除的水电站应进行充分论证</w:t>
            </w:r>
          </w:p>
        </w:tc>
        <w:tc>
          <w:tcPr>
            <w:tcW w:w="2126" w:type="dxa"/>
            <w:vAlign w:val="center"/>
          </w:tcPr>
          <w:p>
            <w:pPr>
              <w:spacing w:line="320" w:lineRule="exact"/>
              <w:jc w:val="center"/>
              <w:rPr>
                <w:color w:val="auto"/>
                <w:szCs w:val="21"/>
                <w:highlight w:val="none"/>
              </w:rPr>
            </w:pPr>
            <w:r>
              <w:rPr>
                <w:color w:val="auto"/>
                <w:szCs w:val="21"/>
                <w:highlight w:val="none"/>
              </w:rPr>
              <w:t>项目所在地为遵化市，</w:t>
            </w:r>
            <w:r>
              <w:rPr>
                <w:rFonts w:hint="eastAsia"/>
                <w:color w:val="auto"/>
                <w:szCs w:val="21"/>
                <w:highlight w:val="none"/>
              </w:rPr>
              <w:t>对</w:t>
            </w:r>
            <w:r>
              <w:rPr>
                <w:color w:val="auto"/>
                <w:szCs w:val="21"/>
                <w:highlight w:val="none"/>
              </w:rPr>
              <w:t>遵化市生态功能区、自然保护区、风景名胜区等无影响，未涉及国家重大建设项目，不属于拆除水电站</w:t>
            </w:r>
          </w:p>
        </w:tc>
        <w:tc>
          <w:tcPr>
            <w:tcW w:w="875" w:type="dxa"/>
            <w:vAlign w:val="center"/>
          </w:tcPr>
          <w:p>
            <w:pPr>
              <w:spacing w:line="320" w:lineRule="exact"/>
              <w:jc w:val="center"/>
              <w:rPr>
                <w:color w:val="auto"/>
                <w:szCs w:val="21"/>
                <w:highlight w:val="none"/>
              </w:rPr>
            </w:pPr>
            <w:r>
              <w:rPr>
                <w:color w:val="auto"/>
                <w:szCs w:val="21"/>
                <w:highlight w:val="none"/>
              </w:rPr>
              <w:t>符合</w:t>
            </w:r>
          </w:p>
        </w:tc>
      </w:tr>
    </w:tbl>
    <w:p>
      <w:pPr>
        <w:spacing w:line="480" w:lineRule="exact"/>
        <w:rPr>
          <w:rFonts w:hint="eastAsia"/>
          <w:b/>
          <w:bCs/>
          <w:color w:val="auto"/>
          <w:sz w:val="24"/>
          <w:highlight w:val="none"/>
          <w:lang w:val="en-US" w:eastAsia="zh-CN"/>
        </w:rPr>
      </w:pPr>
      <w:r>
        <w:rPr>
          <w:rFonts w:hint="eastAsia"/>
          <w:b/>
          <w:bCs/>
          <w:color w:val="auto"/>
          <w:sz w:val="24"/>
          <w:highlight w:val="none"/>
          <w:lang w:val="en-US" w:eastAsia="zh-CN"/>
        </w:rPr>
        <w:t>0.4.8与遵化市水利局 发展改革委 自然资源局 生态环境局 农业农村局 行政审批局《关于做好全市小水电分类整改工作的实施意见》遵水联[2022]2号符合性分析</w:t>
      </w:r>
    </w:p>
    <w:p>
      <w:pPr>
        <w:spacing w:line="480" w:lineRule="exact"/>
        <w:ind w:firstLine="480" w:firstLineChars="200"/>
        <w:jc w:val="both"/>
        <w:rPr>
          <w:rFonts w:hint="eastAsia"/>
          <w:b w:val="0"/>
          <w:bCs w:val="0"/>
          <w:color w:val="auto"/>
          <w:sz w:val="24"/>
          <w:highlight w:val="none"/>
        </w:rPr>
      </w:pPr>
      <w:r>
        <w:rPr>
          <w:rFonts w:hint="default" w:ascii="Times New Roman" w:hAnsi="Times New Roman" w:cs="Times New Roman" w:eastAsiaTheme="majorEastAsia"/>
          <w:i w:val="0"/>
          <w:iCs w:val="0"/>
          <w:caps w:val="0"/>
          <w:color w:val="auto"/>
          <w:spacing w:val="0"/>
          <w:sz w:val="24"/>
          <w:szCs w:val="24"/>
          <w:highlight w:val="none"/>
          <w:shd w:val="clear" w:fill="FFFFFF"/>
        </w:rPr>
        <w:t>据</w:t>
      </w:r>
      <w:r>
        <w:rPr>
          <w:rFonts w:hint="eastAsia" w:ascii="Times New Roman" w:hAnsi="Times New Roman" w:cs="Times New Roman" w:eastAsiaTheme="majorEastAsia"/>
          <w:i w:val="0"/>
          <w:iCs w:val="0"/>
          <w:caps w:val="0"/>
          <w:color w:val="auto"/>
          <w:spacing w:val="0"/>
          <w:sz w:val="24"/>
          <w:szCs w:val="24"/>
          <w:highlight w:val="none"/>
          <w:shd w:val="clear" w:fill="FFFFFF"/>
          <w:lang w:eastAsia="zh-CN"/>
        </w:rPr>
        <w:t>省</w:t>
      </w:r>
      <w:r>
        <w:rPr>
          <w:rFonts w:hint="default" w:ascii="Times New Roman" w:hAnsi="Times New Roman" w:cs="Times New Roman" w:eastAsiaTheme="majorEastAsia"/>
          <w:i w:val="0"/>
          <w:iCs w:val="0"/>
          <w:caps w:val="0"/>
          <w:color w:val="auto"/>
          <w:spacing w:val="0"/>
          <w:sz w:val="24"/>
          <w:szCs w:val="24"/>
          <w:highlight w:val="none"/>
          <w:shd w:val="clear" w:fill="FFFFFF"/>
        </w:rPr>
        <w:t>水利厅等6部门《关于做好全省小水电分类整改工作的实施意见》(冀水电〔2022</w:t>
      </w:r>
      <w:r>
        <w:rPr>
          <w:rFonts w:hint="eastAsia" w:ascii="Times New Roman" w:hAnsi="Times New Roman" w:cs="Times New Roman" w:eastAsiaTheme="majorEastAsia"/>
          <w:i w:val="0"/>
          <w:iCs w:val="0"/>
          <w:caps w:val="0"/>
          <w:color w:val="auto"/>
          <w:spacing w:val="0"/>
          <w:sz w:val="24"/>
          <w:szCs w:val="24"/>
          <w:highlight w:val="none"/>
          <w:shd w:val="clear" w:fill="FFFFFF"/>
        </w:rPr>
        <w:t>〕</w:t>
      </w:r>
      <w:r>
        <w:rPr>
          <w:rFonts w:hint="default" w:ascii="Times New Roman" w:hAnsi="Times New Roman" w:cs="Times New Roman" w:eastAsiaTheme="majorEastAsia"/>
          <w:i w:val="0"/>
          <w:iCs w:val="0"/>
          <w:caps w:val="0"/>
          <w:color w:val="auto"/>
          <w:spacing w:val="0"/>
          <w:sz w:val="24"/>
          <w:szCs w:val="24"/>
          <w:highlight w:val="none"/>
          <w:shd w:val="clear" w:fill="FFFFFF"/>
        </w:rPr>
        <w:t>1号)</w:t>
      </w:r>
      <w:r>
        <w:rPr>
          <w:rFonts w:hint="eastAsia" w:ascii="Times New Roman" w:hAnsi="Times New Roman" w:cs="Times New Roman" w:eastAsiaTheme="majorEastAsia"/>
          <w:i w:val="0"/>
          <w:iCs w:val="0"/>
          <w:caps w:val="0"/>
          <w:color w:val="auto"/>
          <w:spacing w:val="0"/>
          <w:sz w:val="24"/>
          <w:szCs w:val="24"/>
          <w:highlight w:val="none"/>
          <w:shd w:val="clear" w:fill="FFFFFF"/>
          <w:lang w:eastAsia="zh-CN"/>
        </w:rPr>
        <w:t>和唐山市水利局《</w:t>
      </w:r>
      <w:r>
        <w:rPr>
          <w:rFonts w:hint="default" w:ascii="Times New Roman" w:hAnsi="Times New Roman" w:cs="Times New Roman" w:eastAsiaTheme="majorEastAsia"/>
          <w:i w:val="0"/>
          <w:iCs w:val="0"/>
          <w:caps w:val="0"/>
          <w:color w:val="auto"/>
          <w:spacing w:val="0"/>
          <w:sz w:val="24"/>
          <w:szCs w:val="24"/>
          <w:highlight w:val="none"/>
          <w:shd w:val="clear" w:fill="FFFFFF"/>
        </w:rPr>
        <w:t>关于做好全</w:t>
      </w:r>
      <w:r>
        <w:rPr>
          <w:rFonts w:hint="eastAsia" w:ascii="Times New Roman" w:hAnsi="Times New Roman" w:cs="Times New Roman" w:eastAsiaTheme="majorEastAsia"/>
          <w:i w:val="0"/>
          <w:iCs w:val="0"/>
          <w:caps w:val="0"/>
          <w:color w:val="auto"/>
          <w:spacing w:val="0"/>
          <w:sz w:val="24"/>
          <w:szCs w:val="24"/>
          <w:highlight w:val="none"/>
          <w:shd w:val="clear" w:fill="FFFFFF"/>
          <w:lang w:eastAsia="zh-CN"/>
        </w:rPr>
        <w:t>市</w:t>
      </w:r>
      <w:r>
        <w:rPr>
          <w:rFonts w:hint="default" w:ascii="Times New Roman" w:hAnsi="Times New Roman" w:cs="Times New Roman" w:eastAsiaTheme="majorEastAsia"/>
          <w:i w:val="0"/>
          <w:iCs w:val="0"/>
          <w:caps w:val="0"/>
          <w:color w:val="auto"/>
          <w:spacing w:val="0"/>
          <w:sz w:val="24"/>
          <w:szCs w:val="24"/>
          <w:highlight w:val="none"/>
          <w:shd w:val="clear" w:fill="FFFFFF"/>
        </w:rPr>
        <w:t>小水电分类整改工作的实施意见</w:t>
      </w:r>
      <w:r>
        <w:rPr>
          <w:rFonts w:hint="eastAsia"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w:t>
      </w:r>
      <w:r>
        <w:rPr>
          <w:rFonts w:hint="eastAsia" w:ascii="Times New Roman" w:hAnsi="Times New Roman" w:cs="Times New Roman" w:eastAsiaTheme="majorEastAsia"/>
          <w:i w:val="0"/>
          <w:iCs w:val="0"/>
          <w:caps w:val="0"/>
          <w:color w:val="auto"/>
          <w:spacing w:val="0"/>
          <w:sz w:val="24"/>
          <w:szCs w:val="24"/>
          <w:highlight w:val="none"/>
          <w:shd w:val="clear" w:fill="FFFFFF"/>
          <w:lang w:eastAsia="zh-CN"/>
        </w:rPr>
        <w:t>唐水农</w:t>
      </w:r>
      <w:r>
        <w:rPr>
          <w:rFonts w:hint="default" w:ascii="Times New Roman" w:hAnsi="Times New Roman" w:cs="Times New Roman" w:eastAsiaTheme="majorEastAsia"/>
          <w:i w:val="0"/>
          <w:iCs w:val="0"/>
          <w:caps w:val="0"/>
          <w:color w:val="auto"/>
          <w:spacing w:val="0"/>
          <w:sz w:val="24"/>
          <w:szCs w:val="24"/>
          <w:highlight w:val="none"/>
          <w:shd w:val="clear" w:fill="FFFFFF"/>
        </w:rPr>
        <w:t>〔2022</w:t>
      </w:r>
      <w:r>
        <w:rPr>
          <w:rFonts w:hint="eastAsia" w:ascii="Times New Roman" w:hAnsi="Times New Roman" w:cs="Times New Roman" w:eastAsiaTheme="majorEastAsia"/>
          <w:i w:val="0"/>
          <w:iCs w:val="0"/>
          <w:caps w:val="0"/>
          <w:color w:val="auto"/>
          <w:spacing w:val="0"/>
          <w:sz w:val="24"/>
          <w:szCs w:val="24"/>
          <w:highlight w:val="none"/>
          <w:shd w:val="clear" w:fill="FFFFFF"/>
        </w:rPr>
        <w:t>〕</w:t>
      </w:r>
      <w:r>
        <w:rPr>
          <w:rFonts w:hint="default" w:ascii="Times New Roman" w:hAnsi="Times New Roman" w:cs="Times New Roman" w:eastAsiaTheme="majorEastAsia"/>
          <w:i w:val="0"/>
          <w:iCs w:val="0"/>
          <w:caps w:val="0"/>
          <w:color w:val="auto"/>
          <w:spacing w:val="0"/>
          <w:sz w:val="24"/>
          <w:szCs w:val="24"/>
          <w:highlight w:val="none"/>
          <w:shd w:val="clear" w:fill="FFFFFF"/>
        </w:rPr>
        <w:t>1</w:t>
      </w:r>
      <w:r>
        <w:rPr>
          <w:rFonts w:hint="eastAsia" w:ascii="Times New Roman" w:hAnsi="Times New Roman" w:cs="Times New Roman" w:eastAsiaTheme="majorEastAsia"/>
          <w:i w:val="0"/>
          <w:iCs w:val="0"/>
          <w:caps w:val="0"/>
          <w:color w:val="auto"/>
          <w:spacing w:val="0"/>
          <w:sz w:val="24"/>
          <w:szCs w:val="24"/>
          <w:highlight w:val="none"/>
          <w:shd w:val="clear" w:fill="FFFFFF"/>
          <w:lang w:val="en-US" w:eastAsia="zh-CN"/>
        </w:rPr>
        <w:t>2</w:t>
      </w:r>
      <w:r>
        <w:rPr>
          <w:rFonts w:hint="default" w:ascii="Times New Roman" w:hAnsi="Times New Roman" w:cs="Times New Roman" w:eastAsiaTheme="majorEastAsia"/>
          <w:i w:val="0"/>
          <w:iCs w:val="0"/>
          <w:caps w:val="0"/>
          <w:color w:val="auto"/>
          <w:spacing w:val="0"/>
          <w:sz w:val="24"/>
          <w:szCs w:val="24"/>
          <w:highlight w:val="none"/>
          <w:shd w:val="clear" w:fill="FFFFFF"/>
        </w:rPr>
        <w:t>号)</w:t>
      </w:r>
      <w:r>
        <w:rPr>
          <w:rFonts w:hint="eastAsia"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eastAsia"/>
          <w:color w:val="auto"/>
          <w:sz w:val="24"/>
          <w:highlight w:val="none"/>
          <w:lang w:eastAsia="zh-CN"/>
        </w:rPr>
        <w:t>本项目与其相符性分析见表0.4-</w:t>
      </w:r>
      <w:r>
        <w:rPr>
          <w:rFonts w:hint="eastAsia"/>
          <w:color w:val="auto"/>
          <w:sz w:val="24"/>
          <w:highlight w:val="none"/>
          <w:lang w:val="en-US" w:eastAsia="zh-CN"/>
        </w:rPr>
        <w:t>7</w:t>
      </w:r>
      <w:r>
        <w:rPr>
          <w:rFonts w:hint="eastAsia"/>
          <w:b w:val="0"/>
          <w:bCs w:val="0"/>
          <w:color w:val="auto"/>
          <w:sz w:val="24"/>
          <w:highlight w:val="none"/>
        </w:rPr>
        <w:t>。</w:t>
      </w:r>
    </w:p>
    <w:p>
      <w:pPr>
        <w:spacing w:line="480" w:lineRule="exact"/>
        <w:jc w:val="center"/>
        <w:rPr>
          <w:b/>
          <w:bCs/>
          <w:color w:val="auto"/>
          <w:sz w:val="24"/>
          <w:highlight w:val="none"/>
        </w:rPr>
      </w:pPr>
      <w:r>
        <w:rPr>
          <w:rFonts w:hint="eastAsia"/>
          <w:b/>
          <w:bCs/>
          <w:color w:val="auto"/>
          <w:sz w:val="24"/>
          <w:highlight w:val="none"/>
        </w:rPr>
        <w:t>表0.4-</w:t>
      </w:r>
      <w:r>
        <w:rPr>
          <w:rFonts w:hint="eastAsia"/>
          <w:b/>
          <w:bCs/>
          <w:color w:val="auto"/>
          <w:sz w:val="24"/>
          <w:highlight w:val="none"/>
          <w:lang w:val="en-US" w:eastAsia="zh-CN"/>
        </w:rPr>
        <w:t>7</w:t>
      </w:r>
      <w:r>
        <w:rPr>
          <w:rFonts w:hint="eastAsia"/>
          <w:b/>
          <w:bCs/>
          <w:color w:val="auto"/>
          <w:sz w:val="24"/>
          <w:highlight w:val="none"/>
        </w:rPr>
        <w:t>与《关于深化落实水电开发生态环境保护措施的通知》相符性分析表</w:t>
      </w:r>
    </w:p>
    <w:tbl>
      <w:tblPr>
        <w:tblStyle w:val="5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69"/>
        <w:gridCol w:w="2171"/>
        <w:gridCol w:w="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5469" w:type="dxa"/>
            <w:vAlign w:val="center"/>
          </w:tcPr>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eastAsia"/>
                <w:color w:val="auto"/>
                <w:sz w:val="21"/>
                <w:szCs w:val="21"/>
                <w:highlight w:val="none"/>
              </w:rPr>
            </w:pPr>
            <w:r>
              <w:rPr>
                <w:rFonts w:hint="eastAsia"/>
                <w:color w:val="auto"/>
                <w:sz w:val="21"/>
                <w:szCs w:val="21"/>
                <w:highlight w:val="none"/>
              </w:rPr>
              <w:t>相关规定</w:t>
            </w:r>
          </w:p>
        </w:tc>
        <w:tc>
          <w:tcPr>
            <w:tcW w:w="2171" w:type="dxa"/>
            <w:vAlign w:val="center"/>
          </w:tcPr>
          <w:p>
            <w:pPr>
              <w:spacing w:line="300" w:lineRule="exact"/>
              <w:jc w:val="center"/>
              <w:rPr>
                <w:color w:val="auto"/>
                <w:szCs w:val="21"/>
                <w:highlight w:val="none"/>
              </w:rPr>
            </w:pPr>
            <w:r>
              <w:rPr>
                <w:rFonts w:hint="eastAsia"/>
                <w:color w:val="auto"/>
                <w:szCs w:val="21"/>
                <w:highlight w:val="none"/>
              </w:rPr>
              <w:t>本项目情况</w:t>
            </w:r>
          </w:p>
        </w:tc>
        <w:tc>
          <w:tcPr>
            <w:tcW w:w="856" w:type="dxa"/>
            <w:vAlign w:val="center"/>
          </w:tcPr>
          <w:p>
            <w:pPr>
              <w:spacing w:line="300" w:lineRule="exact"/>
              <w:jc w:val="center"/>
              <w:rPr>
                <w:color w:val="auto"/>
                <w:szCs w:val="21"/>
                <w:highlight w:val="none"/>
              </w:rPr>
            </w:pPr>
            <w:r>
              <w:rPr>
                <w:rFonts w:hint="eastAsia"/>
                <w:color w:val="auto"/>
                <w:szCs w:val="21"/>
                <w:highlight w:val="none"/>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5469" w:type="dxa"/>
            <w:vAlign w:val="center"/>
          </w:tcPr>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eastAsia"/>
                <w:color w:val="auto"/>
                <w:sz w:val="21"/>
                <w:szCs w:val="21"/>
                <w:highlight w:val="none"/>
              </w:rPr>
            </w:pPr>
            <w:r>
              <w:rPr>
                <w:rFonts w:hint="eastAsia"/>
                <w:color w:val="auto"/>
                <w:sz w:val="21"/>
                <w:szCs w:val="21"/>
                <w:highlight w:val="none"/>
              </w:rPr>
              <w:t>1.符合以下任一情形的，列为退出类</w:t>
            </w:r>
          </w:p>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eastAsia"/>
                <w:color w:val="auto"/>
                <w:sz w:val="21"/>
                <w:szCs w:val="21"/>
                <w:highlight w:val="none"/>
              </w:rPr>
            </w:pPr>
            <w:r>
              <w:rPr>
                <w:rFonts w:hint="eastAsia"/>
                <w:color w:val="auto"/>
                <w:sz w:val="21"/>
                <w:szCs w:val="21"/>
                <w:highlight w:val="none"/>
              </w:rPr>
              <w:t>一是位于自然保护区核心区或缓冲区（未分区的自然保护区视为核心区和缓冲区）；二是违法违规建设且无法按照法律法规整改纠正到位;三是大坝阻隔对珍稀特有水生生物造成严重影响,且整改纠正达不到要求;四是厂坝间河段减水脱流问题突出严重影响生活、生产、生态用水，且整改纠正达不到要求;五是大坝已成为危坝或多年未发电，严重影响防洪，且重新整改又不经济;六是县级以上人民政府及其部门文件明确要求退出而未执行到位。鼓励装机容量小、建设管理和安全标准低、设施设备老化失修、整改又不经济的电站，自愿退出</w:t>
            </w:r>
          </w:p>
        </w:tc>
        <w:tc>
          <w:tcPr>
            <w:tcW w:w="2171" w:type="dxa"/>
            <w:vAlign w:val="center"/>
          </w:tcPr>
          <w:p>
            <w:pPr>
              <w:spacing w:line="300" w:lineRule="exact"/>
              <w:jc w:val="center"/>
              <w:rPr>
                <w:rFonts w:hint="eastAsia" w:eastAsia="宋体"/>
                <w:color w:val="auto"/>
                <w:szCs w:val="21"/>
                <w:highlight w:val="none"/>
                <w:lang w:eastAsia="zh-CN"/>
              </w:rPr>
            </w:pPr>
            <w:r>
              <w:rPr>
                <w:rFonts w:hint="eastAsia"/>
                <w:color w:val="auto"/>
                <w:szCs w:val="21"/>
                <w:highlight w:val="none"/>
                <w:lang w:eastAsia="zh-CN"/>
              </w:rPr>
              <w:t>比对“退出类”条件，本项目不属于退出类絮凝</w:t>
            </w:r>
          </w:p>
        </w:tc>
        <w:tc>
          <w:tcPr>
            <w:tcW w:w="856" w:type="dxa"/>
            <w:vAlign w:val="center"/>
          </w:tcPr>
          <w:p>
            <w:pPr>
              <w:spacing w:line="300" w:lineRule="exact"/>
              <w:jc w:val="center"/>
              <w:rPr>
                <w:rFonts w:hint="eastAsia" w:eastAsia="宋体"/>
                <w:color w:val="auto"/>
                <w:szCs w:val="21"/>
                <w:highlight w:val="none"/>
                <w:lang w:eastAsia="zh-CN"/>
              </w:rPr>
            </w:pPr>
            <w:r>
              <w:rPr>
                <w:rFonts w:hint="eastAsia"/>
                <w:color w:val="auto"/>
                <w:szCs w:val="21"/>
                <w:highlight w:val="none"/>
                <w:lang w:eastAsia="zh-CN"/>
              </w:rPr>
              <w:t>不属于退出类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5" w:hRule="atLeast"/>
        </w:trPr>
        <w:tc>
          <w:tcPr>
            <w:tcW w:w="5469" w:type="dxa"/>
            <w:vAlign w:val="center"/>
          </w:tcPr>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eastAsia"/>
                <w:color w:val="auto"/>
                <w:sz w:val="21"/>
                <w:szCs w:val="21"/>
                <w:highlight w:val="none"/>
              </w:rPr>
            </w:pPr>
            <w:r>
              <w:rPr>
                <w:rFonts w:hint="eastAsia"/>
                <w:color w:val="auto"/>
                <w:sz w:val="21"/>
                <w:szCs w:val="21"/>
                <w:highlight w:val="none"/>
              </w:rPr>
              <w:t>2.符合以下任一情形的，列为整改类</w:t>
            </w:r>
          </w:p>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eastAsia"/>
                <w:color w:val="auto"/>
                <w:sz w:val="21"/>
                <w:szCs w:val="21"/>
                <w:highlight w:val="none"/>
                <w:lang w:eastAsia="zh-CN"/>
              </w:rPr>
            </w:pPr>
            <w:r>
              <w:rPr>
                <w:rFonts w:hint="eastAsia"/>
                <w:color w:val="auto"/>
                <w:sz w:val="21"/>
                <w:szCs w:val="21"/>
                <w:highlight w:val="none"/>
              </w:rPr>
              <w:t>一是未按规定泄放、监控生态流量，或生态流量不足导致厂坝间河段水质不达标；二是河流连通性不满足水生生物保护要求；三是大坝存在安全隐患;四是设施设备不符合安全标准；五是水库行政、巡查、技术责任人或电站生产、监督责任主体不落实，管理不到位；六是行政许可手续不全，需完善有关手续</w:t>
            </w:r>
            <w:r>
              <w:rPr>
                <w:rFonts w:hint="default"/>
                <w:color w:val="auto"/>
                <w:sz w:val="21"/>
                <w:szCs w:val="21"/>
                <w:highlight w:val="none"/>
              </w:rPr>
              <w:t>。</w:t>
            </w:r>
          </w:p>
        </w:tc>
        <w:tc>
          <w:tcPr>
            <w:tcW w:w="2171" w:type="dxa"/>
            <w:vAlign w:val="center"/>
          </w:tcPr>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eastAsia"/>
                <w:color w:val="auto"/>
                <w:sz w:val="21"/>
                <w:szCs w:val="21"/>
                <w:highlight w:val="none"/>
              </w:rPr>
            </w:pPr>
            <w:r>
              <w:rPr>
                <w:rFonts w:hint="eastAsia"/>
                <w:color w:val="auto"/>
                <w:sz w:val="21"/>
                <w:szCs w:val="21"/>
                <w:highlight w:val="none"/>
              </w:rPr>
              <w:t>项目为引水式电站，无调节功能，对</w:t>
            </w:r>
            <w:r>
              <w:rPr>
                <w:rFonts w:hint="eastAsia"/>
                <w:color w:val="auto"/>
                <w:sz w:val="21"/>
                <w:szCs w:val="21"/>
                <w:highlight w:val="none"/>
                <w:lang w:eastAsia="zh-CN"/>
              </w:rPr>
              <w:t>水质</w:t>
            </w:r>
            <w:r>
              <w:rPr>
                <w:rFonts w:hint="eastAsia"/>
                <w:color w:val="auto"/>
                <w:sz w:val="21"/>
                <w:szCs w:val="21"/>
                <w:highlight w:val="none"/>
              </w:rPr>
              <w:t>影响</w:t>
            </w:r>
            <w:r>
              <w:rPr>
                <w:rFonts w:hint="eastAsia"/>
                <w:color w:val="auto"/>
                <w:sz w:val="21"/>
                <w:szCs w:val="21"/>
                <w:highlight w:val="none"/>
                <w:lang w:eastAsia="zh-CN"/>
              </w:rPr>
              <w:t>很小；橡胶坝无安全隐患；无水库；管理制度比较健全</w:t>
            </w:r>
            <w:r>
              <w:rPr>
                <w:rFonts w:hint="eastAsia"/>
                <w:color w:val="auto"/>
                <w:sz w:val="21"/>
                <w:szCs w:val="21"/>
                <w:highlight w:val="none"/>
              </w:rPr>
              <w:t>。</w:t>
            </w:r>
          </w:p>
        </w:tc>
        <w:tc>
          <w:tcPr>
            <w:tcW w:w="856" w:type="dxa"/>
            <w:vAlign w:val="center"/>
          </w:tcPr>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eastAsia"/>
                <w:color w:val="auto"/>
                <w:sz w:val="21"/>
                <w:szCs w:val="21"/>
                <w:highlight w:val="none"/>
                <w:lang w:eastAsia="zh-CN"/>
              </w:rPr>
            </w:pPr>
            <w:r>
              <w:rPr>
                <w:rFonts w:hint="eastAsia"/>
                <w:color w:val="auto"/>
                <w:sz w:val="21"/>
                <w:szCs w:val="21"/>
                <w:highlight w:val="none"/>
                <w:lang w:eastAsia="zh-CN"/>
              </w:rPr>
              <w:t>需要进行整改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5" w:hRule="atLeast"/>
        </w:trPr>
        <w:tc>
          <w:tcPr>
            <w:tcW w:w="5469" w:type="dxa"/>
            <w:vAlign w:val="center"/>
          </w:tcPr>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eastAsia"/>
                <w:color w:val="auto"/>
                <w:sz w:val="21"/>
                <w:szCs w:val="21"/>
                <w:highlight w:val="none"/>
              </w:rPr>
            </w:pPr>
            <w:r>
              <w:rPr>
                <w:rFonts w:hint="eastAsia"/>
                <w:color w:val="auto"/>
                <w:sz w:val="21"/>
                <w:szCs w:val="21"/>
                <w:highlight w:val="none"/>
              </w:rPr>
              <w:t>3.符合以下全部情形的，列为保留类</w:t>
            </w:r>
          </w:p>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default"/>
                <w:color w:val="auto"/>
                <w:sz w:val="21"/>
                <w:szCs w:val="21"/>
                <w:highlight w:val="none"/>
              </w:rPr>
            </w:pPr>
            <w:r>
              <w:rPr>
                <w:rFonts w:hint="eastAsia"/>
                <w:color w:val="auto"/>
                <w:sz w:val="21"/>
                <w:szCs w:val="21"/>
                <w:highlight w:val="none"/>
              </w:rPr>
              <w:t>一是依法依规建设；二是不涉及自然保护区核心区、缓冲区；三是生态环境保护和安全生产管理措施到位</w:t>
            </w:r>
            <w:r>
              <w:rPr>
                <w:rFonts w:hint="default"/>
                <w:color w:val="auto"/>
                <w:sz w:val="21"/>
                <w:szCs w:val="21"/>
                <w:highlight w:val="none"/>
              </w:rPr>
              <w:t>。</w:t>
            </w:r>
          </w:p>
        </w:tc>
        <w:tc>
          <w:tcPr>
            <w:tcW w:w="2171" w:type="dxa"/>
            <w:vAlign w:val="center"/>
          </w:tcPr>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eastAsia"/>
                <w:color w:val="auto"/>
                <w:sz w:val="21"/>
                <w:szCs w:val="21"/>
                <w:highlight w:val="none"/>
                <w:lang w:eastAsia="zh-CN"/>
              </w:rPr>
            </w:pPr>
            <w:r>
              <w:rPr>
                <w:rFonts w:hint="eastAsia"/>
                <w:color w:val="auto"/>
                <w:sz w:val="21"/>
                <w:szCs w:val="21"/>
                <w:highlight w:val="none"/>
                <w:lang w:eastAsia="zh-CN"/>
              </w:rPr>
              <w:t>项目属于依法依规建设；</w:t>
            </w:r>
            <w:r>
              <w:rPr>
                <w:rFonts w:hint="default"/>
                <w:color w:val="auto"/>
                <w:sz w:val="21"/>
                <w:szCs w:val="21"/>
                <w:highlight w:val="none"/>
              </w:rPr>
              <w:t>不涉及自然保护区核心区、缓冲区</w:t>
            </w:r>
          </w:p>
        </w:tc>
        <w:tc>
          <w:tcPr>
            <w:tcW w:w="856" w:type="dxa"/>
            <w:vAlign w:val="center"/>
          </w:tcPr>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eastAsia"/>
                <w:color w:val="auto"/>
                <w:sz w:val="21"/>
                <w:szCs w:val="21"/>
                <w:highlight w:val="none"/>
                <w:lang w:eastAsia="zh-CN"/>
              </w:rPr>
            </w:pPr>
            <w:r>
              <w:rPr>
                <w:rFonts w:hint="eastAsia"/>
                <w:color w:val="auto"/>
                <w:sz w:val="21"/>
                <w:szCs w:val="21"/>
                <w:highlight w:val="none"/>
              </w:rPr>
              <w:t>符合</w:t>
            </w:r>
            <w:r>
              <w:rPr>
                <w:rFonts w:hint="eastAsia"/>
                <w:color w:val="auto"/>
                <w:sz w:val="21"/>
                <w:szCs w:val="21"/>
                <w:highlight w:val="none"/>
                <w:lang w:eastAsia="zh-CN"/>
              </w:rPr>
              <w:t>保留类</w:t>
            </w:r>
          </w:p>
        </w:tc>
      </w:tr>
    </w:tbl>
    <w:p>
      <w:pPr>
        <w:spacing w:line="480" w:lineRule="exact"/>
        <w:rPr>
          <w:rFonts w:hint="eastAsia"/>
          <w:b/>
          <w:bCs/>
          <w:color w:val="auto"/>
          <w:sz w:val="24"/>
          <w:highlight w:val="none"/>
          <w:lang w:val="en-US" w:eastAsia="zh-CN"/>
        </w:rPr>
      </w:pPr>
      <w:r>
        <w:rPr>
          <w:rFonts w:hint="eastAsia"/>
          <w:b/>
          <w:bCs/>
          <w:color w:val="auto"/>
          <w:sz w:val="24"/>
          <w:highlight w:val="none"/>
          <w:lang w:eastAsia="zh-CN"/>
        </w:rPr>
        <w:t>0.4.</w:t>
      </w:r>
      <w:r>
        <w:rPr>
          <w:rFonts w:hint="eastAsia"/>
          <w:b/>
          <w:bCs/>
          <w:color w:val="auto"/>
          <w:sz w:val="24"/>
          <w:highlight w:val="none"/>
          <w:lang w:val="en-US" w:eastAsia="zh-CN"/>
        </w:rPr>
        <w:t>9与《中华人民共和国自然保护区条例》、《中华人民共和国风景名胜区条例》的符合性》符合性分析</w:t>
      </w:r>
    </w:p>
    <w:p>
      <w:pPr>
        <w:spacing w:line="480" w:lineRule="exact"/>
        <w:ind w:firstLine="480" w:firstLineChars="200"/>
        <w:rPr>
          <w:rFonts w:hint="default"/>
          <w:b w:val="0"/>
          <w:bCs w:val="0"/>
          <w:color w:val="auto"/>
          <w:sz w:val="24"/>
          <w:highlight w:val="none"/>
          <w:lang w:val="en-US" w:eastAsia="zh-CN"/>
        </w:rPr>
      </w:pPr>
      <w:r>
        <w:rPr>
          <w:rFonts w:hint="eastAsia"/>
          <w:b w:val="0"/>
          <w:bCs w:val="0"/>
          <w:color w:val="auto"/>
          <w:sz w:val="24"/>
          <w:highlight w:val="none"/>
          <w:lang w:val="en-US" w:eastAsia="zh-CN"/>
        </w:rPr>
        <w:t>唐山市</w:t>
      </w:r>
      <w:r>
        <w:rPr>
          <w:rFonts w:hint="default"/>
          <w:b w:val="0"/>
          <w:bCs w:val="0"/>
          <w:color w:val="auto"/>
          <w:sz w:val="24"/>
          <w:highlight w:val="none"/>
          <w:lang w:val="en-US" w:eastAsia="zh-CN"/>
        </w:rPr>
        <w:t>市陆域国土面积13472平方公里，现有自然保护地共4类23处，批建总面积为4.51万公顷，占全市陆域国土面积的3.35%。其中，包括省级自然保护区2处;省级风景名胜区10处;森林公园8处(国家级2处，省级6处);地质公园3处(国家级1处，省级2处)。</w:t>
      </w:r>
      <w:r>
        <w:rPr>
          <w:rFonts w:hint="eastAsia"/>
          <w:b w:val="0"/>
          <w:bCs w:val="0"/>
          <w:color w:val="auto"/>
          <w:sz w:val="24"/>
          <w:highlight w:val="none"/>
          <w:lang w:val="en-US" w:eastAsia="zh-CN"/>
        </w:rPr>
        <w:t>其中遵化市4处：</w:t>
      </w:r>
    </w:p>
    <w:p>
      <w:pPr>
        <w:spacing w:line="480" w:lineRule="exact"/>
        <w:ind w:firstLine="480" w:firstLineChars="200"/>
        <w:rPr>
          <w:rFonts w:hint="eastAsia"/>
          <w:b w:val="0"/>
          <w:bCs w:val="0"/>
          <w:color w:val="auto"/>
          <w:sz w:val="24"/>
          <w:highlight w:val="none"/>
          <w:lang w:val="en-US" w:eastAsia="zh-CN"/>
        </w:rPr>
      </w:pPr>
      <w:r>
        <w:rPr>
          <w:rFonts w:hint="eastAsia"/>
          <w:b w:val="0"/>
          <w:bCs w:val="0"/>
          <w:color w:val="auto"/>
          <w:sz w:val="24"/>
          <w:highlight w:val="none"/>
          <w:lang w:val="en-US" w:eastAsia="zh-CN"/>
        </w:rPr>
        <w:t>（1）</w:t>
      </w:r>
      <w:r>
        <w:rPr>
          <w:rFonts w:hint="default"/>
          <w:b w:val="0"/>
          <w:bCs w:val="0"/>
          <w:color w:val="auto"/>
          <w:sz w:val="24"/>
          <w:highlight w:val="none"/>
          <w:lang w:val="en-US" w:eastAsia="zh-CN"/>
        </w:rPr>
        <w:t>河北遵化省级地质公园</w:t>
      </w:r>
    </w:p>
    <w:p>
      <w:pPr>
        <w:spacing w:line="480" w:lineRule="exact"/>
        <w:ind w:firstLine="480" w:firstLineChars="200"/>
        <w:rPr>
          <w:rFonts w:hint="default"/>
          <w:b w:val="0"/>
          <w:bCs w:val="0"/>
          <w:color w:val="auto"/>
          <w:sz w:val="24"/>
          <w:highlight w:val="none"/>
          <w:lang w:val="en-US" w:eastAsia="zh-CN"/>
        </w:rPr>
      </w:pPr>
      <w:r>
        <w:rPr>
          <w:rFonts w:hint="default"/>
          <w:b w:val="0"/>
          <w:bCs w:val="0"/>
          <w:color w:val="auto"/>
          <w:sz w:val="24"/>
          <w:highlight w:val="none"/>
          <w:lang w:val="en-US" w:eastAsia="zh-CN"/>
        </w:rPr>
        <w:t>2018年8月，经河北省国土资源厅批准建立。总面积2890公顷，主要地质遗迹面积96.8公顷，划分为2个园区，其中长城园区面积2440公顷、凤凰岭园区面积450公顷。</w:t>
      </w:r>
    </w:p>
    <w:p>
      <w:pPr>
        <w:spacing w:line="480" w:lineRule="exact"/>
        <w:ind w:firstLine="480" w:firstLineChars="200"/>
        <w:rPr>
          <w:rFonts w:hint="default"/>
          <w:b w:val="0"/>
          <w:bCs w:val="0"/>
          <w:color w:val="auto"/>
          <w:sz w:val="24"/>
          <w:highlight w:val="none"/>
          <w:lang w:val="en-US" w:eastAsia="zh-CN"/>
        </w:rPr>
      </w:pPr>
      <w:r>
        <w:rPr>
          <w:rFonts w:hint="eastAsia"/>
          <w:b w:val="0"/>
          <w:bCs w:val="0"/>
          <w:color w:val="auto"/>
          <w:sz w:val="24"/>
          <w:highlight w:val="none"/>
          <w:lang w:val="en-US" w:eastAsia="zh-CN"/>
        </w:rPr>
        <w:t>（2）</w:t>
      </w:r>
      <w:r>
        <w:rPr>
          <w:rFonts w:hint="default"/>
          <w:b w:val="0"/>
          <w:bCs w:val="0"/>
          <w:color w:val="auto"/>
          <w:sz w:val="24"/>
          <w:highlight w:val="none"/>
          <w:lang w:val="en-US" w:eastAsia="zh-CN"/>
        </w:rPr>
        <w:t>清东陵国家森林公园</w:t>
      </w:r>
    </w:p>
    <w:p>
      <w:pPr>
        <w:spacing w:line="480" w:lineRule="exact"/>
        <w:ind w:firstLine="480" w:firstLineChars="200"/>
        <w:rPr>
          <w:rFonts w:hint="default"/>
          <w:b w:val="0"/>
          <w:bCs w:val="0"/>
          <w:color w:val="auto"/>
          <w:sz w:val="24"/>
          <w:highlight w:val="none"/>
          <w:lang w:val="en-US" w:eastAsia="zh-CN"/>
        </w:rPr>
      </w:pPr>
      <w:r>
        <w:rPr>
          <w:rFonts w:hint="default"/>
          <w:b w:val="0"/>
          <w:bCs w:val="0"/>
          <w:color w:val="auto"/>
          <w:sz w:val="24"/>
          <w:highlight w:val="none"/>
          <w:lang w:val="en-US" w:eastAsia="zh-CN"/>
        </w:rPr>
        <w:t>1993年5月，经林业部批准建立。总面积2233.33公顷。清东陵国家森林公园管理机构属于遵化市国营东陵林场。</w:t>
      </w:r>
    </w:p>
    <w:p>
      <w:pPr>
        <w:spacing w:line="480" w:lineRule="exact"/>
        <w:ind w:firstLine="480" w:firstLineChars="200"/>
        <w:rPr>
          <w:rFonts w:hint="default"/>
          <w:b w:val="0"/>
          <w:bCs w:val="0"/>
          <w:color w:val="auto"/>
          <w:sz w:val="24"/>
          <w:highlight w:val="none"/>
          <w:lang w:val="en-US" w:eastAsia="zh-CN"/>
        </w:rPr>
      </w:pPr>
      <w:r>
        <w:rPr>
          <w:rFonts w:hint="eastAsia"/>
          <w:b w:val="0"/>
          <w:bCs w:val="0"/>
          <w:color w:val="auto"/>
          <w:sz w:val="24"/>
          <w:highlight w:val="none"/>
          <w:lang w:val="en-US" w:eastAsia="zh-CN"/>
        </w:rPr>
        <w:t>（3）</w:t>
      </w:r>
      <w:r>
        <w:rPr>
          <w:rFonts w:hint="default"/>
          <w:b w:val="0"/>
          <w:bCs w:val="0"/>
          <w:color w:val="auto"/>
          <w:sz w:val="24"/>
          <w:highlight w:val="none"/>
          <w:lang w:val="en-US" w:eastAsia="zh-CN"/>
        </w:rPr>
        <w:t>遵化鹫峰山省级森林公园</w:t>
      </w:r>
    </w:p>
    <w:p>
      <w:pPr>
        <w:spacing w:line="480" w:lineRule="exact"/>
        <w:ind w:firstLine="480" w:firstLineChars="200"/>
        <w:rPr>
          <w:rFonts w:hint="default"/>
          <w:b w:val="0"/>
          <w:bCs w:val="0"/>
          <w:color w:val="auto"/>
          <w:sz w:val="24"/>
          <w:highlight w:val="none"/>
          <w:lang w:val="en-US" w:eastAsia="zh-CN"/>
        </w:rPr>
      </w:pPr>
      <w:r>
        <w:rPr>
          <w:rFonts w:hint="default"/>
          <w:b w:val="0"/>
          <w:bCs w:val="0"/>
          <w:color w:val="auto"/>
          <w:sz w:val="24"/>
          <w:highlight w:val="none"/>
          <w:lang w:val="en-US" w:eastAsia="zh-CN"/>
        </w:rPr>
        <w:t>2006年12月，经河北省林业局批准建立，总面积692公顷。</w:t>
      </w:r>
    </w:p>
    <w:p>
      <w:pPr>
        <w:spacing w:line="480" w:lineRule="exact"/>
        <w:ind w:firstLine="480" w:firstLineChars="200"/>
        <w:rPr>
          <w:rFonts w:hint="default"/>
          <w:b w:val="0"/>
          <w:bCs w:val="0"/>
          <w:color w:val="auto"/>
          <w:sz w:val="24"/>
          <w:highlight w:val="none"/>
          <w:lang w:val="en-US" w:eastAsia="zh-CN"/>
        </w:rPr>
      </w:pPr>
      <w:r>
        <w:rPr>
          <w:rFonts w:hint="eastAsia"/>
          <w:b w:val="0"/>
          <w:bCs w:val="0"/>
          <w:color w:val="auto"/>
          <w:sz w:val="24"/>
          <w:highlight w:val="none"/>
          <w:lang w:val="en-US" w:eastAsia="zh-CN"/>
        </w:rPr>
        <w:t>（4）</w:t>
      </w:r>
      <w:r>
        <w:rPr>
          <w:rFonts w:hint="default"/>
          <w:b w:val="0"/>
          <w:bCs w:val="0"/>
          <w:color w:val="auto"/>
          <w:sz w:val="24"/>
          <w:highlight w:val="none"/>
          <w:lang w:val="en-US" w:eastAsia="zh-CN"/>
        </w:rPr>
        <w:t>.遵化小渤海寨省级森林公园</w:t>
      </w:r>
    </w:p>
    <w:p>
      <w:pPr>
        <w:spacing w:line="480" w:lineRule="exact"/>
        <w:ind w:firstLine="480" w:firstLineChars="200"/>
        <w:rPr>
          <w:rFonts w:hint="default"/>
          <w:b w:val="0"/>
          <w:bCs w:val="0"/>
          <w:color w:val="auto"/>
          <w:sz w:val="24"/>
          <w:highlight w:val="none"/>
          <w:lang w:val="en-US" w:eastAsia="zh-CN"/>
        </w:rPr>
      </w:pPr>
      <w:r>
        <w:rPr>
          <w:rFonts w:hint="default"/>
          <w:b w:val="0"/>
          <w:bCs w:val="0"/>
          <w:color w:val="auto"/>
          <w:sz w:val="24"/>
          <w:highlight w:val="none"/>
          <w:lang w:val="en-US" w:eastAsia="zh-CN"/>
        </w:rPr>
        <w:t>2009年8月，经河北省林业局批准建立，总面积135公顷。</w:t>
      </w:r>
    </w:p>
    <w:p>
      <w:pPr>
        <w:spacing w:line="480" w:lineRule="exact"/>
        <w:ind w:firstLine="480" w:firstLineChars="200"/>
        <w:rPr>
          <w:rFonts w:hint="eastAsia"/>
          <w:b w:val="0"/>
          <w:bCs w:val="0"/>
          <w:color w:val="auto"/>
          <w:sz w:val="24"/>
          <w:highlight w:val="none"/>
          <w:lang w:val="en-US" w:eastAsia="zh-CN"/>
        </w:rPr>
      </w:pPr>
      <w:r>
        <w:rPr>
          <w:rFonts w:hint="eastAsia"/>
          <w:b w:val="0"/>
          <w:bCs w:val="0"/>
          <w:color w:val="auto"/>
          <w:sz w:val="24"/>
          <w:highlight w:val="none"/>
          <w:lang w:val="en-US" w:eastAsia="zh-CN"/>
        </w:rPr>
        <w:t>经比对，本项目的布局不涉及自然保护区。</w:t>
      </w:r>
    </w:p>
    <w:p>
      <w:pPr>
        <w:spacing w:line="480" w:lineRule="exact"/>
        <w:rPr>
          <w:rFonts w:hint="eastAsia"/>
          <w:b/>
          <w:bCs/>
          <w:color w:val="auto"/>
          <w:sz w:val="24"/>
          <w:highlight w:val="none"/>
          <w:lang w:val="en-US" w:eastAsia="zh-CN"/>
        </w:rPr>
      </w:pPr>
      <w:r>
        <w:rPr>
          <w:rFonts w:hint="eastAsia"/>
          <w:b/>
          <w:bCs/>
          <w:color w:val="auto"/>
          <w:sz w:val="24"/>
          <w:highlight w:val="none"/>
          <w:lang w:val="en-US" w:eastAsia="zh-CN"/>
        </w:rPr>
        <w:t>0.4.10与国家能源发展规划的符合性</w:t>
      </w:r>
    </w:p>
    <w:p>
      <w:pPr>
        <w:spacing w:line="480" w:lineRule="exact"/>
        <w:ind w:firstLine="480" w:firstLineChars="200"/>
        <w:rPr>
          <w:rFonts w:hint="eastAsia"/>
          <w:b w:val="0"/>
          <w:bCs w:val="0"/>
          <w:color w:val="auto"/>
          <w:sz w:val="24"/>
          <w:highlight w:val="none"/>
          <w:lang w:val="en-US" w:eastAsia="zh-CN"/>
        </w:rPr>
      </w:pPr>
      <w:r>
        <w:rPr>
          <w:rFonts w:hint="eastAsia"/>
          <w:b w:val="0"/>
          <w:bCs w:val="0"/>
          <w:color w:val="auto"/>
          <w:sz w:val="24"/>
          <w:highlight w:val="none"/>
          <w:lang w:val="en-US" w:eastAsia="zh-CN"/>
        </w:rPr>
        <w:t>2007年6月，国务院在“关于印发应对气候变化国家方案的通知”（国发</w:t>
      </w:r>
    </w:p>
    <w:p>
      <w:pPr>
        <w:spacing w:line="480" w:lineRule="exact"/>
        <w:rPr>
          <w:rFonts w:hint="eastAsia"/>
          <w:b w:val="0"/>
          <w:bCs w:val="0"/>
          <w:color w:val="auto"/>
          <w:sz w:val="24"/>
          <w:highlight w:val="none"/>
          <w:lang w:val="en-US" w:eastAsia="zh-CN"/>
        </w:rPr>
      </w:pPr>
      <w:r>
        <w:rPr>
          <w:rFonts w:hint="eastAsia"/>
          <w:b w:val="0"/>
          <w:bCs w:val="0"/>
          <w:color w:val="auto"/>
          <w:sz w:val="24"/>
          <w:highlight w:val="none"/>
          <w:lang w:val="en-US" w:eastAsia="zh-CN"/>
        </w:rPr>
        <w:t>[2007]17号）中指出，“在保护生态基础上有序开发水电。把发展水电作为促进中国能源结构向清洁低碳化方向发展的重要措施。在做好环境保护和移民安置工作的前提下，合理开发和利用丰富的水力资源，加快水电开发步伐，重点加快西部水电建设，因地制宜开发小水电资源。”随后，国家发展和改革委员会为贯彻落实《可再生能源法》，于2007年8月印发了《可再生能源中长期发展规划》，明确了水电的重点发展方向，即在水能资源丰富地区，结合农村电气化县建设和实施“小水电代燃料”工程需要，加快开发小水电资源。本项目的建设符合当时的国家能源发展规划。</w:t>
      </w:r>
    </w:p>
    <w:p>
      <w:pPr>
        <w:spacing w:line="480" w:lineRule="exact"/>
        <w:rPr>
          <w:rFonts w:hint="eastAsia"/>
          <w:b/>
          <w:bCs/>
          <w:color w:val="auto"/>
          <w:sz w:val="24"/>
          <w:highlight w:val="none"/>
          <w:lang w:eastAsia="zh-CN"/>
        </w:rPr>
      </w:pPr>
      <w:r>
        <w:rPr>
          <w:rFonts w:hint="eastAsia"/>
          <w:b/>
          <w:bCs/>
          <w:color w:val="auto"/>
          <w:sz w:val="24"/>
          <w:highlight w:val="none"/>
          <w:lang w:val="en-US" w:eastAsia="zh-CN"/>
        </w:rPr>
        <w:t>0.4.11</w:t>
      </w:r>
      <w:r>
        <w:rPr>
          <w:rFonts w:hint="eastAsia"/>
          <w:b/>
          <w:bCs/>
          <w:color w:val="auto"/>
          <w:sz w:val="24"/>
          <w:highlight w:val="none"/>
          <w:lang w:eastAsia="zh-CN"/>
        </w:rPr>
        <w:t>项目工程保留的必要性和重要性分析</w:t>
      </w:r>
    </w:p>
    <w:p>
      <w:pPr>
        <w:spacing w:line="480" w:lineRule="exact"/>
        <w:ind w:firstLine="480" w:firstLineChars="200"/>
        <w:rPr>
          <w:rFonts w:hint="eastAsia" w:eastAsia="宋体"/>
          <w:color w:val="auto"/>
          <w:sz w:val="24"/>
          <w:highlight w:val="none"/>
          <w:lang w:eastAsia="zh-CN"/>
        </w:rPr>
      </w:pPr>
      <w:r>
        <w:rPr>
          <w:rFonts w:hint="eastAsia"/>
          <w:color w:val="auto"/>
          <w:sz w:val="24"/>
          <w:highlight w:val="none"/>
          <w:lang w:eastAsia="zh-CN"/>
        </w:rPr>
        <w:t>（</w:t>
      </w:r>
      <w:r>
        <w:rPr>
          <w:rFonts w:hint="eastAsia"/>
          <w:color w:val="auto"/>
          <w:sz w:val="24"/>
          <w:highlight w:val="none"/>
          <w:lang w:val="en-US" w:eastAsia="zh-CN"/>
        </w:rPr>
        <w:t>1</w:t>
      </w:r>
      <w:r>
        <w:rPr>
          <w:rFonts w:hint="eastAsia"/>
          <w:color w:val="auto"/>
          <w:sz w:val="24"/>
          <w:highlight w:val="none"/>
          <w:lang w:eastAsia="zh-CN"/>
        </w:rPr>
        <w:t>）本项目纳入河北省水电“九五规划”，且符合</w:t>
      </w:r>
      <w:r>
        <w:rPr>
          <w:color w:val="auto"/>
          <w:sz w:val="24"/>
          <w:highlight w:val="none"/>
        </w:rPr>
        <w:t>《河北省水安全保障“十四五”规划》</w:t>
      </w:r>
    </w:p>
    <w:p>
      <w:pPr>
        <w:spacing w:line="480" w:lineRule="exact"/>
        <w:ind w:firstLine="480" w:firstLineChars="200"/>
        <w:rPr>
          <w:color w:val="auto"/>
          <w:sz w:val="24"/>
          <w:highlight w:val="none"/>
        </w:rPr>
      </w:pPr>
      <w:r>
        <w:rPr>
          <w:color w:val="auto"/>
          <w:sz w:val="24"/>
          <w:highlight w:val="none"/>
        </w:rPr>
        <w:t>根据《河北省水安全保障“十四五”规划》（</w:t>
      </w:r>
      <w:r>
        <w:rPr>
          <w:rFonts w:hint="eastAsia"/>
          <w:color w:val="auto"/>
          <w:sz w:val="24"/>
          <w:highlight w:val="none"/>
        </w:rPr>
        <w:t>2</w:t>
      </w:r>
      <w:r>
        <w:rPr>
          <w:color w:val="auto"/>
          <w:sz w:val="24"/>
          <w:highlight w:val="none"/>
        </w:rPr>
        <w:t>021年</w:t>
      </w:r>
      <w:r>
        <w:rPr>
          <w:rFonts w:hint="eastAsia"/>
          <w:color w:val="auto"/>
          <w:sz w:val="24"/>
          <w:highlight w:val="none"/>
        </w:rPr>
        <w:t>7月，河北水利厅</w:t>
      </w:r>
      <w:r>
        <w:rPr>
          <w:color w:val="auto"/>
          <w:sz w:val="24"/>
          <w:highlight w:val="none"/>
        </w:rPr>
        <w:t>）中对“十三五”期间的成就总结，第</w:t>
      </w:r>
      <w:r>
        <w:rPr>
          <w:rFonts w:hint="eastAsia"/>
          <w:color w:val="auto"/>
          <w:sz w:val="24"/>
          <w:highlight w:val="none"/>
        </w:rPr>
        <w:t>4条：农村水利发展扎实有效。大力推进农村饮水安全巩固提升、灌区续建配套建设、农业节水改造等，农村水利基础设施得到进一步提升和完善。建设完善农村供水工程体系，全面解决贫困人口、易地扶贫搬迁人口、饮水型氟超标人口饮水不安全问题，农村饮水安全巩固提升受益人口1857万人，全省农村集中供水率、农村自来水普及率分别达到95.6％和94.6%，超额完成了“十三五”规划目标任务；持续实施39处大中型灌区续建配套与节水改造，恢复和改善灌溉面积380万亩；大力推进农业节水灌溉，累计发展节水灌溉面积1239万亩；新建10座小型水电站，改扩建7座小型水电站，新增装机容量1.5万千瓦；积极落实水库移民后期扶持政策，水库移民生活生产条件得到持续改善。“十三五”时期是我省治水思路发生深刻转变、水利改革管理工作得到明显加强、水利综合效益最显著、人民群众获得感最强烈的五年。</w:t>
      </w:r>
    </w:p>
    <w:p>
      <w:pPr>
        <w:spacing w:line="480" w:lineRule="exact"/>
        <w:ind w:firstLine="480" w:firstLineChars="200"/>
        <w:rPr>
          <w:color w:val="auto"/>
          <w:sz w:val="24"/>
          <w:highlight w:val="none"/>
        </w:rPr>
      </w:pPr>
      <w:r>
        <w:rPr>
          <w:rFonts w:hint="eastAsia"/>
          <w:color w:val="auto"/>
          <w:sz w:val="24"/>
          <w:highlight w:val="none"/>
        </w:rPr>
        <w:t>同时在“十四五”中提出“创建绿色小水电示范电站，提高水力发电效率”的要求，出自“六、提升水生态安全保障水平（五）水美乡村建设：实现巩固拓展水利脱贫攻坚成果同乡村振兴有效衔接，严格落实“四个不摘”要求，加快脱贫地区水利基础设施提档升级，在水利基础设施建设领域大力推广以工代赈，提升脱贫地区水利管理服务能力，接续推进乡村振兴水利保障工作。围绕乡村宜居宜业，推动水系连通及农村水系综合治理，以河流水系为脉络，以村庄为节点，水域岸线并治，增强水体流动性，逐步恢复河湖自然连通，建设河畅、水清、岸绿、景美的水美乡村。加强农村饮用水水源保护，强化饮水安全检测和监管，提升农村供水标准和保障水平。开展农村小水电改造提升，建设生态流量泄放设施，修复减脱水段河流生态，创建绿色小水电示范电站，提高水力发电效率，提升安全生产水平。”</w:t>
      </w:r>
    </w:p>
    <w:p>
      <w:pPr>
        <w:spacing w:line="480" w:lineRule="exact"/>
        <w:ind w:firstLine="480" w:firstLineChars="200"/>
        <w:rPr>
          <w:rFonts w:hint="eastAsia"/>
          <w:color w:val="auto"/>
          <w:sz w:val="24"/>
          <w:highlight w:val="none"/>
          <w:lang w:eastAsia="zh-CN"/>
        </w:rPr>
      </w:pPr>
      <w:r>
        <w:rPr>
          <w:rFonts w:hint="eastAsia"/>
          <w:color w:val="auto"/>
          <w:sz w:val="24"/>
          <w:highlight w:val="none"/>
        </w:rPr>
        <w:t>因此，</w:t>
      </w:r>
      <w:r>
        <w:rPr>
          <w:color w:val="auto"/>
          <w:sz w:val="24"/>
          <w:highlight w:val="none"/>
        </w:rPr>
        <w:t>项目工程符合“十四五”的</w:t>
      </w:r>
      <w:r>
        <w:rPr>
          <w:rFonts w:hint="eastAsia"/>
          <w:color w:val="auto"/>
          <w:sz w:val="24"/>
          <w:highlight w:val="none"/>
        </w:rPr>
        <w:t>农村水利发展</w:t>
      </w:r>
      <w:r>
        <w:rPr>
          <w:rFonts w:hint="eastAsia"/>
          <w:color w:val="auto"/>
          <w:sz w:val="24"/>
          <w:highlight w:val="none"/>
          <w:lang w:eastAsia="zh-CN"/>
        </w:rPr>
        <w:t>。</w:t>
      </w:r>
    </w:p>
    <w:p>
      <w:pPr>
        <w:pStyle w:val="45"/>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leftChars="0" w:right="0" w:rightChars="0" w:firstLine="480" w:firstLineChars="200"/>
        <w:jc w:val="both"/>
        <w:textAlignment w:val="auto"/>
        <w:rPr>
          <w:rFonts w:hint="default" w:ascii="Times New Roman" w:hAnsi="Times New Roman" w:cs="Times New Roman" w:eastAsiaTheme="majorEastAsia"/>
          <w:i w:val="0"/>
          <w:iCs w:val="0"/>
          <w:caps w:val="0"/>
          <w:color w:val="auto"/>
          <w:spacing w:val="0"/>
          <w:sz w:val="24"/>
          <w:szCs w:val="24"/>
          <w:highlight w:val="none"/>
          <w:shd w:val="clear" w:fill="FFFFFF"/>
          <w:lang w:eastAsia="zh-CN"/>
        </w:rPr>
      </w:pP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2</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eastAsia" w:asciiTheme="majorEastAsia" w:hAnsiTheme="majorEastAsia" w:eastAsiaTheme="majorEastAsia" w:cstheme="majorEastAsia"/>
          <w:i w:val="0"/>
          <w:iCs w:val="0"/>
          <w:caps w:val="0"/>
          <w:color w:val="auto"/>
          <w:spacing w:val="0"/>
          <w:sz w:val="24"/>
          <w:szCs w:val="24"/>
          <w:highlight w:val="none"/>
          <w:shd w:val="clear" w:fill="FFFFFF"/>
          <w:lang w:eastAsia="zh-CN"/>
        </w:rPr>
        <w:t>本项目符合</w:t>
      </w:r>
      <w:r>
        <w:rPr>
          <w:rFonts w:hint="default" w:ascii="Times New Roman" w:hAnsi="Times New Roman" w:cs="Times New Roman" w:eastAsiaTheme="majorEastAsia"/>
          <w:i w:val="0"/>
          <w:iCs w:val="0"/>
          <w:caps w:val="0"/>
          <w:color w:val="auto"/>
          <w:spacing w:val="0"/>
          <w:sz w:val="24"/>
          <w:szCs w:val="24"/>
          <w:highlight w:val="none"/>
          <w:shd w:val="clear" w:fill="FFFFFF"/>
        </w:rPr>
        <w:t>水利部</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发展改革委</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自然资源部</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生态环境部</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农业农村部</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能源局</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林草局</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联合《</w:t>
      </w:r>
      <w:r>
        <w:rPr>
          <w:rFonts w:hint="default" w:ascii="Times New Roman" w:hAnsi="Times New Roman" w:cs="Times New Roman" w:eastAsiaTheme="majorEastAsia"/>
          <w:i w:val="0"/>
          <w:iCs w:val="0"/>
          <w:caps w:val="0"/>
          <w:color w:val="auto"/>
          <w:spacing w:val="0"/>
          <w:sz w:val="24"/>
          <w:szCs w:val="24"/>
          <w:highlight w:val="none"/>
          <w:shd w:val="clear" w:fill="FFFFFF"/>
        </w:rPr>
        <w:t>关于进一步做好</w:t>
      </w:r>
      <w:r>
        <w:rPr>
          <w:rFonts w:hint="default" w:ascii="Times New Roman" w:hAnsi="Times New Roman" w:cs="Times New Roman" w:eastAsiaTheme="majorEastAsia"/>
          <w:i w:val="0"/>
          <w:iCs w:val="0"/>
          <w:caps w:val="0"/>
          <w:color w:val="auto"/>
          <w:spacing w:val="0"/>
          <w:sz w:val="24"/>
          <w:szCs w:val="24"/>
          <w:highlight w:val="none"/>
          <w:shd w:val="clear" w:fill="FFFFFF"/>
        </w:rPr>
        <w:fldChar w:fldCharType="begin"/>
      </w:r>
      <w:r>
        <w:rPr>
          <w:rFonts w:hint="default" w:ascii="Times New Roman" w:hAnsi="Times New Roman" w:cs="Times New Roman" w:eastAsiaTheme="majorEastAsia"/>
          <w:i w:val="0"/>
          <w:iCs w:val="0"/>
          <w:caps w:val="0"/>
          <w:color w:val="auto"/>
          <w:spacing w:val="0"/>
          <w:sz w:val="24"/>
          <w:szCs w:val="24"/>
          <w:highlight w:val="none"/>
          <w:shd w:val="clear" w:fill="FFFFFF"/>
        </w:rPr>
        <w:instrText xml:space="preserve"> HYPERLINK "https://news.bjx.com.cn/zt.asp?topic=%d0%a1%cb%ae%b5%e7" \t "http://www.hydropower.org.cn/_blank" </w:instrText>
      </w:r>
      <w:r>
        <w:rPr>
          <w:rFonts w:hint="default" w:ascii="Times New Roman" w:hAnsi="Times New Roman" w:cs="Times New Roman" w:eastAsiaTheme="majorEastAsia"/>
          <w:i w:val="0"/>
          <w:iCs w:val="0"/>
          <w:caps w:val="0"/>
          <w:color w:val="auto"/>
          <w:spacing w:val="0"/>
          <w:sz w:val="24"/>
          <w:szCs w:val="24"/>
          <w:highlight w:val="none"/>
          <w:shd w:val="clear" w:fill="FFFFFF"/>
        </w:rPr>
        <w:fldChar w:fldCharType="separate"/>
      </w:r>
      <w:r>
        <w:rPr>
          <w:rFonts w:hint="default" w:ascii="Times New Roman" w:hAnsi="Times New Roman" w:cs="Times New Roman" w:eastAsiaTheme="majorEastAsia"/>
          <w:i w:val="0"/>
          <w:iCs w:val="0"/>
          <w:caps w:val="0"/>
          <w:color w:val="auto"/>
          <w:spacing w:val="0"/>
          <w:sz w:val="24"/>
          <w:szCs w:val="24"/>
          <w:highlight w:val="none"/>
          <w:shd w:val="clear" w:fill="FFFFFF"/>
        </w:rPr>
        <w:t>小水电</w:t>
      </w:r>
      <w:r>
        <w:rPr>
          <w:rFonts w:hint="default" w:ascii="Times New Roman" w:hAnsi="Times New Roman" w:cs="Times New Roman" w:eastAsiaTheme="majorEastAsia"/>
          <w:i w:val="0"/>
          <w:iCs w:val="0"/>
          <w:caps w:val="0"/>
          <w:color w:val="auto"/>
          <w:spacing w:val="0"/>
          <w:sz w:val="24"/>
          <w:szCs w:val="24"/>
          <w:highlight w:val="none"/>
          <w:shd w:val="clear" w:fill="FFFFFF"/>
        </w:rPr>
        <w:fldChar w:fldCharType="end"/>
      </w:r>
      <w:r>
        <w:rPr>
          <w:rFonts w:hint="default" w:ascii="Times New Roman" w:hAnsi="Times New Roman" w:cs="Times New Roman" w:eastAsiaTheme="majorEastAsia"/>
          <w:i w:val="0"/>
          <w:iCs w:val="0"/>
          <w:caps w:val="0"/>
          <w:color w:val="auto"/>
          <w:spacing w:val="0"/>
          <w:sz w:val="24"/>
          <w:szCs w:val="24"/>
          <w:highlight w:val="none"/>
          <w:shd w:val="clear" w:fill="FFFFFF"/>
        </w:rPr>
        <w:t>分类整改工作的意见</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水电〔2021〕397号</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eastAsia" w:ascii="Times New Roman" w:hAnsi="Times New Roman" w:cs="Times New Roman" w:eastAsiaTheme="majorEastAsia"/>
          <w:i w:val="0"/>
          <w:iCs w:val="0"/>
          <w:caps w:val="0"/>
          <w:color w:val="auto"/>
          <w:spacing w:val="0"/>
          <w:sz w:val="24"/>
          <w:szCs w:val="24"/>
          <w:highlight w:val="none"/>
          <w:shd w:val="clear" w:fill="FFFFFF"/>
          <w:lang w:eastAsia="zh-CN"/>
        </w:rPr>
        <w:t>保留类条件。</w:t>
      </w:r>
    </w:p>
    <w:p>
      <w:pPr>
        <w:pStyle w:val="45"/>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right="0" w:rightChars="0" w:firstLine="720" w:firstLineChars="300"/>
        <w:jc w:val="both"/>
        <w:textAlignment w:val="auto"/>
        <w:rPr>
          <w:rFonts w:hint="default" w:ascii="Times New Roman" w:hAnsi="Times New Roman" w:cs="Times New Roman" w:eastAsiaTheme="majorEastAsia"/>
          <w:i w:val="0"/>
          <w:iCs w:val="0"/>
          <w:caps w:val="0"/>
          <w:color w:val="auto"/>
          <w:spacing w:val="0"/>
          <w:sz w:val="24"/>
          <w:szCs w:val="24"/>
          <w:highlight w:val="none"/>
          <w:shd w:val="clear" w:fill="FFFFFF"/>
          <w:lang w:eastAsia="zh-CN"/>
        </w:rPr>
      </w:pPr>
      <w:r>
        <w:rPr>
          <w:rFonts w:hint="eastAsia" w:ascii="Times New Roman" w:hAnsi="Times New Roman" w:cs="Times New Roman" w:eastAsiaTheme="majorEastAsia"/>
          <w:i w:val="0"/>
          <w:iCs w:val="0"/>
          <w:caps w:val="0"/>
          <w:color w:val="auto"/>
          <w:spacing w:val="0"/>
          <w:sz w:val="24"/>
          <w:szCs w:val="24"/>
          <w:highlight w:val="none"/>
          <w:shd w:val="clear" w:fill="FFFFFF"/>
        </w:rPr>
        <w:t>为积极稳妥地推进</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小水电</w:t>
      </w:r>
      <w:r>
        <w:rPr>
          <w:rFonts w:hint="default" w:ascii="Times New Roman" w:hAnsi="Times New Roman" w:cs="Times New Roman" w:eastAsiaTheme="majorEastAsia"/>
          <w:i w:val="0"/>
          <w:iCs w:val="0"/>
          <w:caps w:val="0"/>
          <w:color w:val="auto"/>
          <w:spacing w:val="0"/>
          <w:sz w:val="24"/>
          <w:szCs w:val="24"/>
          <w:highlight w:val="none"/>
          <w:shd w:val="clear" w:fill="FFFFFF"/>
        </w:rPr>
        <w:t>整改，2021年12月23日</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水利部</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发展改革委</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自然资源部</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生态环境部</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农业农村部</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能源局</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林草局</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联合印发了《</w:t>
      </w:r>
      <w:r>
        <w:rPr>
          <w:rFonts w:hint="default" w:ascii="Times New Roman" w:hAnsi="Times New Roman" w:cs="Times New Roman" w:eastAsiaTheme="majorEastAsia"/>
          <w:i w:val="0"/>
          <w:iCs w:val="0"/>
          <w:caps w:val="0"/>
          <w:color w:val="auto"/>
          <w:spacing w:val="0"/>
          <w:sz w:val="24"/>
          <w:szCs w:val="24"/>
          <w:highlight w:val="none"/>
          <w:shd w:val="clear" w:fill="FFFFFF"/>
        </w:rPr>
        <w:t>关于进一步做好</w:t>
      </w:r>
      <w:r>
        <w:rPr>
          <w:rFonts w:hint="default" w:ascii="Times New Roman" w:hAnsi="Times New Roman" w:cs="Times New Roman" w:eastAsiaTheme="majorEastAsia"/>
          <w:i w:val="0"/>
          <w:iCs w:val="0"/>
          <w:caps w:val="0"/>
          <w:color w:val="auto"/>
          <w:spacing w:val="0"/>
          <w:sz w:val="24"/>
          <w:szCs w:val="24"/>
          <w:highlight w:val="none"/>
          <w:shd w:val="clear" w:fill="FFFFFF"/>
        </w:rPr>
        <w:fldChar w:fldCharType="begin"/>
      </w:r>
      <w:r>
        <w:rPr>
          <w:rFonts w:hint="default" w:ascii="Times New Roman" w:hAnsi="Times New Roman" w:cs="Times New Roman" w:eastAsiaTheme="majorEastAsia"/>
          <w:i w:val="0"/>
          <w:iCs w:val="0"/>
          <w:caps w:val="0"/>
          <w:color w:val="auto"/>
          <w:spacing w:val="0"/>
          <w:sz w:val="24"/>
          <w:szCs w:val="24"/>
          <w:highlight w:val="none"/>
          <w:shd w:val="clear" w:fill="FFFFFF"/>
        </w:rPr>
        <w:instrText xml:space="preserve"> HYPERLINK "https://news.bjx.com.cn/zt.asp?topic=%d0%a1%cb%ae%b5%e7" \t "http://www.hydropower.org.cn/_blank" </w:instrText>
      </w:r>
      <w:r>
        <w:rPr>
          <w:rFonts w:hint="default" w:ascii="Times New Roman" w:hAnsi="Times New Roman" w:cs="Times New Roman" w:eastAsiaTheme="majorEastAsia"/>
          <w:i w:val="0"/>
          <w:iCs w:val="0"/>
          <w:caps w:val="0"/>
          <w:color w:val="auto"/>
          <w:spacing w:val="0"/>
          <w:sz w:val="24"/>
          <w:szCs w:val="24"/>
          <w:highlight w:val="none"/>
          <w:shd w:val="clear" w:fill="FFFFFF"/>
        </w:rPr>
        <w:fldChar w:fldCharType="separate"/>
      </w:r>
      <w:r>
        <w:rPr>
          <w:rFonts w:hint="default" w:ascii="Times New Roman" w:hAnsi="Times New Roman" w:cs="Times New Roman" w:eastAsiaTheme="majorEastAsia"/>
          <w:i w:val="0"/>
          <w:iCs w:val="0"/>
          <w:caps w:val="0"/>
          <w:color w:val="auto"/>
          <w:spacing w:val="0"/>
          <w:sz w:val="24"/>
          <w:szCs w:val="24"/>
          <w:highlight w:val="none"/>
          <w:shd w:val="clear" w:fill="FFFFFF"/>
        </w:rPr>
        <w:t>小水电</w:t>
      </w:r>
      <w:r>
        <w:rPr>
          <w:rFonts w:hint="default" w:ascii="Times New Roman" w:hAnsi="Times New Roman" w:cs="Times New Roman" w:eastAsiaTheme="majorEastAsia"/>
          <w:i w:val="0"/>
          <w:iCs w:val="0"/>
          <w:caps w:val="0"/>
          <w:color w:val="auto"/>
          <w:spacing w:val="0"/>
          <w:sz w:val="24"/>
          <w:szCs w:val="24"/>
          <w:highlight w:val="none"/>
          <w:shd w:val="clear" w:fill="FFFFFF"/>
        </w:rPr>
        <w:fldChar w:fldCharType="end"/>
      </w:r>
      <w:r>
        <w:rPr>
          <w:rFonts w:hint="default" w:ascii="Times New Roman" w:hAnsi="Times New Roman" w:cs="Times New Roman" w:eastAsiaTheme="majorEastAsia"/>
          <w:i w:val="0"/>
          <w:iCs w:val="0"/>
          <w:caps w:val="0"/>
          <w:color w:val="auto"/>
          <w:spacing w:val="0"/>
          <w:sz w:val="24"/>
          <w:szCs w:val="24"/>
          <w:highlight w:val="none"/>
          <w:shd w:val="clear" w:fill="FFFFFF"/>
        </w:rPr>
        <w:t>分类整改工作的意见</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水电〔2021〕397号</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p>
    <w:p>
      <w:pPr>
        <w:pStyle w:val="45"/>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right="0" w:rightChars="0" w:firstLine="720" w:firstLineChars="300"/>
        <w:jc w:val="both"/>
        <w:textAlignment w:val="auto"/>
        <w:rPr>
          <w:rFonts w:hint="default" w:ascii="Times New Roman" w:hAnsi="Times New Roman" w:cs="Times New Roman" w:eastAsiaTheme="majorEastAsia"/>
          <w:i w:val="0"/>
          <w:iCs w:val="0"/>
          <w:caps w:val="0"/>
          <w:color w:val="auto"/>
          <w:spacing w:val="0"/>
          <w:sz w:val="24"/>
          <w:szCs w:val="24"/>
          <w:highlight w:val="none"/>
          <w:shd w:val="clear" w:fill="FFFFFF"/>
        </w:rPr>
      </w:pPr>
      <w:r>
        <w:rPr>
          <w:rFonts w:hint="default" w:ascii="Times New Roman" w:hAnsi="Times New Roman" w:cs="Times New Roman" w:eastAsiaTheme="majorEastAsia"/>
          <w:i w:val="0"/>
          <w:iCs w:val="0"/>
          <w:caps w:val="0"/>
          <w:color w:val="auto"/>
          <w:spacing w:val="0"/>
          <w:sz w:val="24"/>
          <w:szCs w:val="24"/>
          <w:highlight w:val="none"/>
          <w:shd w:val="clear" w:fill="FFFFFF"/>
        </w:rPr>
        <w:t>积极稳妥推进全市小水电分类整改，根据</w:t>
      </w:r>
      <w:r>
        <w:rPr>
          <w:rFonts w:hint="eastAsia" w:ascii="Times New Roman" w:hAnsi="Times New Roman" w:cs="Times New Roman" w:eastAsiaTheme="majorEastAsia"/>
          <w:i w:val="0"/>
          <w:iCs w:val="0"/>
          <w:caps w:val="0"/>
          <w:color w:val="auto"/>
          <w:spacing w:val="0"/>
          <w:sz w:val="24"/>
          <w:szCs w:val="24"/>
          <w:highlight w:val="none"/>
          <w:shd w:val="clear" w:fill="FFFFFF"/>
          <w:lang w:eastAsia="zh-CN"/>
        </w:rPr>
        <w:t>省</w:t>
      </w:r>
      <w:r>
        <w:rPr>
          <w:rFonts w:hint="default" w:ascii="Times New Roman" w:hAnsi="Times New Roman" w:cs="Times New Roman" w:eastAsiaTheme="majorEastAsia"/>
          <w:i w:val="0"/>
          <w:iCs w:val="0"/>
          <w:caps w:val="0"/>
          <w:color w:val="auto"/>
          <w:spacing w:val="0"/>
          <w:sz w:val="24"/>
          <w:szCs w:val="24"/>
          <w:highlight w:val="none"/>
          <w:shd w:val="clear" w:fill="FFFFFF"/>
        </w:rPr>
        <w:t>水利厅等6部门《关于做好全省小水电分类整改工作的实施意见》(冀水电〔2022</w:t>
      </w:r>
      <w:r>
        <w:rPr>
          <w:rFonts w:hint="eastAsia" w:ascii="Times New Roman" w:hAnsi="Times New Roman" w:cs="Times New Roman" w:eastAsiaTheme="majorEastAsia"/>
          <w:i w:val="0"/>
          <w:iCs w:val="0"/>
          <w:caps w:val="0"/>
          <w:color w:val="auto"/>
          <w:spacing w:val="0"/>
          <w:sz w:val="24"/>
          <w:szCs w:val="24"/>
          <w:highlight w:val="none"/>
          <w:shd w:val="clear" w:fill="FFFFFF"/>
        </w:rPr>
        <w:t>〕</w:t>
      </w:r>
      <w:r>
        <w:rPr>
          <w:rFonts w:hint="default" w:ascii="Times New Roman" w:hAnsi="Times New Roman" w:cs="Times New Roman" w:eastAsiaTheme="majorEastAsia"/>
          <w:i w:val="0"/>
          <w:iCs w:val="0"/>
          <w:caps w:val="0"/>
          <w:color w:val="auto"/>
          <w:spacing w:val="0"/>
          <w:sz w:val="24"/>
          <w:szCs w:val="24"/>
          <w:highlight w:val="none"/>
          <w:shd w:val="clear" w:fill="FFFFFF"/>
        </w:rPr>
        <w:t>1号)</w:t>
      </w:r>
      <w:r>
        <w:rPr>
          <w:rFonts w:hint="eastAsia" w:ascii="Times New Roman" w:hAnsi="Times New Roman" w:cs="Times New Roman" w:eastAsiaTheme="majorEastAsia"/>
          <w:i w:val="0"/>
          <w:iCs w:val="0"/>
          <w:caps w:val="0"/>
          <w:color w:val="auto"/>
          <w:spacing w:val="0"/>
          <w:sz w:val="24"/>
          <w:szCs w:val="24"/>
          <w:highlight w:val="none"/>
          <w:shd w:val="clear" w:fill="FFFFFF"/>
          <w:lang w:eastAsia="zh-CN"/>
        </w:rPr>
        <w:t>和唐山市水利局《</w:t>
      </w:r>
      <w:r>
        <w:rPr>
          <w:rFonts w:hint="default" w:ascii="Times New Roman" w:hAnsi="Times New Roman" w:cs="Times New Roman" w:eastAsiaTheme="majorEastAsia"/>
          <w:i w:val="0"/>
          <w:iCs w:val="0"/>
          <w:caps w:val="0"/>
          <w:color w:val="auto"/>
          <w:spacing w:val="0"/>
          <w:sz w:val="24"/>
          <w:szCs w:val="24"/>
          <w:highlight w:val="none"/>
          <w:shd w:val="clear" w:fill="FFFFFF"/>
        </w:rPr>
        <w:t>关于做好全</w:t>
      </w:r>
      <w:r>
        <w:rPr>
          <w:rFonts w:hint="eastAsia" w:ascii="Times New Roman" w:hAnsi="Times New Roman" w:cs="Times New Roman" w:eastAsiaTheme="majorEastAsia"/>
          <w:i w:val="0"/>
          <w:iCs w:val="0"/>
          <w:caps w:val="0"/>
          <w:color w:val="auto"/>
          <w:spacing w:val="0"/>
          <w:sz w:val="24"/>
          <w:szCs w:val="24"/>
          <w:highlight w:val="none"/>
          <w:shd w:val="clear" w:fill="FFFFFF"/>
          <w:lang w:eastAsia="zh-CN"/>
        </w:rPr>
        <w:t>市</w:t>
      </w:r>
      <w:r>
        <w:rPr>
          <w:rFonts w:hint="default" w:ascii="Times New Roman" w:hAnsi="Times New Roman" w:cs="Times New Roman" w:eastAsiaTheme="majorEastAsia"/>
          <w:i w:val="0"/>
          <w:iCs w:val="0"/>
          <w:caps w:val="0"/>
          <w:color w:val="auto"/>
          <w:spacing w:val="0"/>
          <w:sz w:val="24"/>
          <w:szCs w:val="24"/>
          <w:highlight w:val="none"/>
          <w:shd w:val="clear" w:fill="FFFFFF"/>
        </w:rPr>
        <w:t>小水电分类整改工作的实施意见</w:t>
      </w:r>
      <w:r>
        <w:rPr>
          <w:rFonts w:hint="eastAsia"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w:t>
      </w:r>
      <w:r>
        <w:rPr>
          <w:rFonts w:hint="eastAsia" w:ascii="Times New Roman" w:hAnsi="Times New Roman" w:cs="Times New Roman" w:eastAsiaTheme="majorEastAsia"/>
          <w:i w:val="0"/>
          <w:iCs w:val="0"/>
          <w:caps w:val="0"/>
          <w:color w:val="auto"/>
          <w:spacing w:val="0"/>
          <w:sz w:val="24"/>
          <w:szCs w:val="24"/>
          <w:highlight w:val="none"/>
          <w:shd w:val="clear" w:fill="FFFFFF"/>
          <w:lang w:eastAsia="zh-CN"/>
        </w:rPr>
        <w:t>唐水农</w:t>
      </w:r>
      <w:r>
        <w:rPr>
          <w:rFonts w:hint="default" w:ascii="Times New Roman" w:hAnsi="Times New Roman" w:cs="Times New Roman" w:eastAsiaTheme="majorEastAsia"/>
          <w:i w:val="0"/>
          <w:iCs w:val="0"/>
          <w:caps w:val="0"/>
          <w:color w:val="auto"/>
          <w:spacing w:val="0"/>
          <w:sz w:val="24"/>
          <w:szCs w:val="24"/>
          <w:highlight w:val="none"/>
          <w:shd w:val="clear" w:fill="FFFFFF"/>
        </w:rPr>
        <w:t>〔2022</w:t>
      </w:r>
      <w:r>
        <w:rPr>
          <w:rFonts w:hint="eastAsia" w:ascii="Times New Roman" w:hAnsi="Times New Roman" w:cs="Times New Roman" w:eastAsiaTheme="majorEastAsia"/>
          <w:i w:val="0"/>
          <w:iCs w:val="0"/>
          <w:caps w:val="0"/>
          <w:color w:val="auto"/>
          <w:spacing w:val="0"/>
          <w:sz w:val="24"/>
          <w:szCs w:val="24"/>
          <w:highlight w:val="none"/>
          <w:shd w:val="clear" w:fill="FFFFFF"/>
        </w:rPr>
        <w:t>〕</w:t>
      </w:r>
      <w:r>
        <w:rPr>
          <w:rFonts w:hint="default" w:ascii="Times New Roman" w:hAnsi="Times New Roman" w:cs="Times New Roman" w:eastAsiaTheme="majorEastAsia"/>
          <w:i w:val="0"/>
          <w:iCs w:val="0"/>
          <w:caps w:val="0"/>
          <w:color w:val="auto"/>
          <w:spacing w:val="0"/>
          <w:sz w:val="24"/>
          <w:szCs w:val="24"/>
          <w:highlight w:val="none"/>
          <w:shd w:val="clear" w:fill="FFFFFF"/>
        </w:rPr>
        <w:t>1</w:t>
      </w:r>
      <w:r>
        <w:rPr>
          <w:rFonts w:hint="eastAsia" w:ascii="Times New Roman" w:hAnsi="Times New Roman" w:cs="Times New Roman" w:eastAsiaTheme="majorEastAsia"/>
          <w:i w:val="0"/>
          <w:iCs w:val="0"/>
          <w:caps w:val="0"/>
          <w:color w:val="auto"/>
          <w:spacing w:val="0"/>
          <w:sz w:val="24"/>
          <w:szCs w:val="24"/>
          <w:highlight w:val="none"/>
          <w:shd w:val="clear" w:fill="FFFFFF"/>
          <w:lang w:val="en-US" w:eastAsia="zh-CN"/>
        </w:rPr>
        <w:t>2</w:t>
      </w:r>
      <w:r>
        <w:rPr>
          <w:rFonts w:hint="default" w:ascii="Times New Roman" w:hAnsi="Times New Roman" w:cs="Times New Roman" w:eastAsiaTheme="majorEastAsia"/>
          <w:i w:val="0"/>
          <w:iCs w:val="0"/>
          <w:caps w:val="0"/>
          <w:color w:val="auto"/>
          <w:spacing w:val="0"/>
          <w:sz w:val="24"/>
          <w:szCs w:val="24"/>
          <w:highlight w:val="none"/>
          <w:shd w:val="clear" w:fill="FFFFFF"/>
        </w:rPr>
        <w:t>号)</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文件规定，</w:t>
      </w:r>
      <w:r>
        <w:rPr>
          <w:rFonts w:hint="default" w:ascii="Times New Roman" w:hAnsi="Times New Roman" w:cs="Times New Roman" w:eastAsiaTheme="majorEastAsia"/>
          <w:i w:val="0"/>
          <w:iCs w:val="0"/>
          <w:caps w:val="0"/>
          <w:color w:val="auto"/>
          <w:spacing w:val="0"/>
          <w:sz w:val="24"/>
          <w:szCs w:val="24"/>
          <w:highlight w:val="none"/>
          <w:shd w:val="clear" w:fill="FFFFFF"/>
        </w:rPr>
        <w:t>进一步做好小水电分类整改</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，具体</w:t>
      </w:r>
      <w:r>
        <w:rPr>
          <w:rFonts w:hint="default" w:ascii="Times New Roman" w:hAnsi="Times New Roman" w:cs="Times New Roman" w:eastAsiaTheme="majorEastAsia"/>
          <w:i w:val="0"/>
          <w:iCs w:val="0"/>
          <w:caps w:val="0"/>
          <w:color w:val="auto"/>
          <w:spacing w:val="0"/>
          <w:sz w:val="24"/>
          <w:szCs w:val="24"/>
          <w:highlight w:val="none"/>
          <w:shd w:val="clear" w:fill="FFFFFF"/>
        </w:rPr>
        <w:t>意见</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如下</w:t>
      </w:r>
      <w:r>
        <w:rPr>
          <w:rFonts w:hint="default" w:ascii="Times New Roman" w:hAnsi="Times New Roman" w:cs="Times New Roman" w:eastAsiaTheme="majorEastAsia"/>
          <w:i w:val="0"/>
          <w:iCs w:val="0"/>
          <w:caps w:val="0"/>
          <w:color w:val="auto"/>
          <w:spacing w:val="0"/>
          <w:sz w:val="24"/>
          <w:szCs w:val="24"/>
          <w:highlight w:val="none"/>
          <w:shd w:val="clear" w:fill="FFFFFF"/>
        </w:rPr>
        <w:t>：</w:t>
      </w:r>
    </w:p>
    <w:p>
      <w:pPr>
        <w:pStyle w:val="4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right="0" w:firstLine="480" w:firstLineChars="200"/>
        <w:jc w:val="both"/>
        <w:textAlignment w:val="auto"/>
        <w:rPr>
          <w:rFonts w:hint="default" w:ascii="Times New Roman" w:hAnsi="Times New Roman" w:cs="Times New Roman" w:eastAsiaTheme="majorEastAsia"/>
          <w:i w:val="0"/>
          <w:iCs w:val="0"/>
          <w:caps w:val="0"/>
          <w:color w:val="auto"/>
          <w:spacing w:val="0"/>
          <w:sz w:val="24"/>
          <w:szCs w:val="24"/>
          <w:highlight w:val="none"/>
          <w:shd w:val="clear" w:fill="FFFFFF"/>
          <w:lang w:eastAsia="zh-CN"/>
        </w:rPr>
      </w:pPr>
      <w:r>
        <w:rPr>
          <w:rFonts w:hint="default" w:ascii="Times New Roman" w:hAnsi="Times New Roman" w:cs="Times New Roman" w:eastAsiaTheme="majorEastAsia"/>
          <w:i w:val="0"/>
          <w:iCs w:val="0"/>
          <w:caps w:val="0"/>
          <w:color w:val="auto"/>
          <w:spacing w:val="0"/>
          <w:sz w:val="24"/>
          <w:szCs w:val="24"/>
          <w:highlight w:val="none"/>
          <w:shd w:val="clear" w:fill="FFFFFF"/>
        </w:rPr>
        <w:t>（一）符合以下任一情形的，列为退出类</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p>
    <w:p>
      <w:pPr>
        <w:pStyle w:val="4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right="0" w:firstLine="480" w:firstLineChars="200"/>
        <w:jc w:val="both"/>
        <w:textAlignment w:val="auto"/>
        <w:rPr>
          <w:rFonts w:hint="default" w:ascii="Times New Roman" w:hAnsi="Times New Roman" w:cs="Times New Roman" w:eastAsiaTheme="majorEastAsia"/>
          <w:i w:val="0"/>
          <w:iCs w:val="0"/>
          <w:caps w:val="0"/>
          <w:color w:val="auto"/>
          <w:spacing w:val="0"/>
          <w:sz w:val="24"/>
          <w:szCs w:val="24"/>
          <w:highlight w:val="none"/>
          <w:shd w:val="clear" w:fill="FFFFFF"/>
        </w:rPr>
      </w:pPr>
      <w:r>
        <w:rPr>
          <w:rFonts w:hint="default" w:ascii="Times New Roman" w:hAnsi="Times New Roman" w:cs="Times New Roman" w:eastAsiaTheme="majorEastAsia"/>
          <w:i w:val="0"/>
          <w:iCs w:val="0"/>
          <w:caps w:val="0"/>
          <w:color w:val="auto"/>
          <w:spacing w:val="0"/>
          <w:sz w:val="24"/>
          <w:szCs w:val="24"/>
          <w:highlight w:val="none"/>
          <w:shd w:val="clear" w:fill="FFFFFF"/>
        </w:rPr>
        <w:t>一是位于自然保护区核心区、缓冲区（未分区的自然保护区视为核心区和缓冲区）。二是违法违规建设且无法按照法律法规整改纠正到位。三是大坝阻隔对珍稀特有水生生物造成严重影响，且整改纠正达不到要求。四是厂坝间河段减水脱流问题突出，严重影响生活、生产、生态用水，且整改纠正达不到要求。五是大坝已成为危坝或多年未发电，严重影响防洪，且重新整改又不经济。</w:t>
      </w:r>
    </w:p>
    <w:p>
      <w:pPr>
        <w:pStyle w:val="4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right="0" w:firstLine="480" w:firstLineChars="200"/>
        <w:jc w:val="both"/>
        <w:textAlignment w:val="auto"/>
        <w:rPr>
          <w:rFonts w:hint="default" w:ascii="Times New Roman" w:hAnsi="Times New Roman" w:cs="Times New Roman" w:eastAsiaTheme="majorEastAsia"/>
          <w:i w:val="0"/>
          <w:iCs w:val="0"/>
          <w:caps w:val="0"/>
          <w:color w:val="auto"/>
          <w:spacing w:val="0"/>
          <w:sz w:val="24"/>
          <w:szCs w:val="24"/>
          <w:highlight w:val="none"/>
          <w:shd w:val="clear" w:fill="FFFFFF"/>
        </w:rPr>
      </w:pPr>
      <w:r>
        <w:rPr>
          <w:rFonts w:hint="default" w:ascii="Times New Roman" w:hAnsi="Times New Roman" w:cs="Times New Roman" w:eastAsiaTheme="majorEastAsia"/>
          <w:i w:val="0"/>
          <w:iCs w:val="0"/>
          <w:caps w:val="0"/>
          <w:color w:val="auto"/>
          <w:spacing w:val="0"/>
          <w:sz w:val="24"/>
          <w:szCs w:val="24"/>
          <w:highlight w:val="none"/>
          <w:shd w:val="clear" w:fill="FFFFFF"/>
        </w:rPr>
        <w:t>（二）符合以下任一情形的，列为整改类</w:t>
      </w:r>
    </w:p>
    <w:p>
      <w:pPr>
        <w:pStyle w:val="4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right="0" w:firstLine="480" w:firstLineChars="200"/>
        <w:jc w:val="both"/>
        <w:textAlignment w:val="auto"/>
        <w:rPr>
          <w:rFonts w:hint="default" w:ascii="Times New Roman" w:hAnsi="Times New Roman" w:cs="Times New Roman" w:eastAsiaTheme="majorEastAsia"/>
          <w:i w:val="0"/>
          <w:iCs w:val="0"/>
          <w:caps w:val="0"/>
          <w:color w:val="auto"/>
          <w:spacing w:val="0"/>
          <w:sz w:val="24"/>
          <w:szCs w:val="24"/>
          <w:highlight w:val="none"/>
          <w:shd w:val="clear" w:fill="FFFFFF"/>
        </w:rPr>
      </w:pPr>
      <w:r>
        <w:rPr>
          <w:rFonts w:hint="default" w:ascii="Times New Roman" w:hAnsi="Times New Roman" w:cs="Times New Roman" w:eastAsiaTheme="majorEastAsia"/>
          <w:i w:val="0"/>
          <w:iCs w:val="0"/>
          <w:caps w:val="0"/>
          <w:color w:val="auto"/>
          <w:spacing w:val="0"/>
          <w:sz w:val="24"/>
          <w:szCs w:val="24"/>
          <w:highlight w:val="none"/>
          <w:shd w:val="clear" w:fill="FFFFFF"/>
        </w:rPr>
        <w:t>一是未按规定泄放、监控生态流量，或生态流量不足导致厂坝间河段水质不达标。二是河流连通性不满足水生生物保护要求。三是大坝存在安全隐患。四是设施设备不符合安全标准。五是水库行政、巡查、技术责任人或电站生产、监管责任主体不落实，管理不到位。</w:t>
      </w:r>
    </w:p>
    <w:p>
      <w:pPr>
        <w:pStyle w:val="4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right="0" w:firstLine="480" w:firstLineChars="200"/>
        <w:jc w:val="both"/>
        <w:textAlignment w:val="auto"/>
        <w:rPr>
          <w:rFonts w:hint="default" w:ascii="Times New Roman" w:hAnsi="Times New Roman" w:cs="Times New Roman" w:eastAsiaTheme="majorEastAsia"/>
          <w:i w:val="0"/>
          <w:iCs w:val="0"/>
          <w:caps w:val="0"/>
          <w:color w:val="auto"/>
          <w:spacing w:val="0"/>
          <w:sz w:val="24"/>
          <w:szCs w:val="24"/>
          <w:highlight w:val="none"/>
          <w:shd w:val="clear" w:fill="FFFFFF"/>
        </w:rPr>
      </w:pPr>
      <w:r>
        <w:rPr>
          <w:rFonts w:hint="default" w:ascii="Times New Roman" w:hAnsi="Times New Roman" w:cs="Times New Roman" w:eastAsiaTheme="majorEastAsia"/>
          <w:i w:val="0"/>
          <w:iCs w:val="0"/>
          <w:caps w:val="0"/>
          <w:color w:val="auto"/>
          <w:spacing w:val="0"/>
          <w:sz w:val="24"/>
          <w:szCs w:val="24"/>
          <w:highlight w:val="none"/>
          <w:shd w:val="clear" w:fill="FFFFFF"/>
        </w:rPr>
        <w:t>（三）符合以下全部情形的，列为保留类</w:t>
      </w:r>
    </w:p>
    <w:p>
      <w:pPr>
        <w:pStyle w:val="4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right="0" w:firstLine="480" w:firstLineChars="200"/>
        <w:jc w:val="both"/>
        <w:textAlignment w:val="auto"/>
        <w:rPr>
          <w:rFonts w:hint="default" w:ascii="Times New Roman" w:hAnsi="Times New Roman" w:cs="Times New Roman" w:eastAsiaTheme="majorEastAsia"/>
          <w:i w:val="0"/>
          <w:iCs w:val="0"/>
          <w:caps w:val="0"/>
          <w:color w:val="auto"/>
          <w:spacing w:val="0"/>
          <w:sz w:val="24"/>
          <w:szCs w:val="24"/>
          <w:highlight w:val="none"/>
          <w:shd w:val="clear" w:fill="FFFFFF"/>
        </w:rPr>
      </w:pPr>
      <w:r>
        <w:rPr>
          <w:rFonts w:hint="default" w:ascii="Times New Roman" w:hAnsi="Times New Roman" w:cs="Times New Roman" w:eastAsiaTheme="majorEastAsia"/>
          <w:i w:val="0"/>
          <w:iCs w:val="0"/>
          <w:caps w:val="0"/>
          <w:color w:val="auto"/>
          <w:spacing w:val="0"/>
          <w:sz w:val="24"/>
          <w:szCs w:val="24"/>
          <w:highlight w:val="none"/>
          <w:shd w:val="clear" w:fill="FFFFFF"/>
        </w:rPr>
        <w:t>一是依法依规建设。二是不涉及自然保护区核心区、缓冲区。三是生态环境保护和安全生产管理措施到位。</w:t>
      </w:r>
    </w:p>
    <w:p>
      <w:pPr>
        <w:pStyle w:val="4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right="0" w:firstLine="480" w:firstLineChars="200"/>
        <w:jc w:val="both"/>
        <w:textAlignment w:val="auto"/>
        <w:rPr>
          <w:rFonts w:hint="default" w:ascii="Times New Roman" w:hAnsi="Times New Roman" w:cs="Times New Roman" w:eastAsiaTheme="majorEastAsia"/>
          <w:i w:val="0"/>
          <w:iCs w:val="0"/>
          <w:caps w:val="0"/>
          <w:color w:val="auto"/>
          <w:spacing w:val="0"/>
          <w:sz w:val="24"/>
          <w:szCs w:val="24"/>
          <w:highlight w:val="none"/>
          <w:shd w:val="clear" w:fill="FFFFFF"/>
          <w:lang w:eastAsia="zh-CN"/>
        </w:rPr>
      </w:pP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与上述三种情况比对：</w:t>
      </w:r>
    </w:p>
    <w:p>
      <w:pPr>
        <w:pStyle w:val="4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right="0" w:firstLine="480" w:firstLineChars="200"/>
        <w:jc w:val="both"/>
        <w:textAlignment w:val="auto"/>
        <w:rPr>
          <w:rFonts w:hint="default" w:ascii="Times New Roman" w:hAnsi="Times New Roman" w:cs="Times New Roman" w:eastAsiaTheme="majorEastAsia"/>
          <w:i w:val="0"/>
          <w:iCs w:val="0"/>
          <w:caps w:val="0"/>
          <w:color w:val="auto"/>
          <w:spacing w:val="0"/>
          <w:sz w:val="24"/>
          <w:szCs w:val="24"/>
          <w:highlight w:val="none"/>
          <w:shd w:val="clear" w:fill="FFFFFF"/>
          <w:lang w:eastAsia="zh-CN"/>
        </w:rPr>
      </w:pP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fldChar w:fldCharType="begin"/>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instrText xml:space="preserve"> = 1 \* GB3 \* MERGEFORMAT </w:instrTex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fldChar w:fldCharType="separate"/>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①</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fldChar w:fldCharType="end"/>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退出类：本项目不在自然保护区核心区、缓冲区（未分区的自然保护区视为核心区和缓冲区）范围内；本项目建于1982年，</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1988年以前河北省小型项目</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尚未执行环境影响评价制度，各种手续齐全（我国尚未执行环境影响评价制度），不属于违法违规建设且按照法律法规可以整改纠正到位。黎河内无珍稀特有水生生物。引水期为引滦入津输水期间，不影响生活、生产、生态用水。本项目为橡胶坝，引滦入津输水期正常</w:t>
      </w:r>
      <w:r>
        <w:rPr>
          <w:rFonts w:hint="default" w:ascii="Times New Roman" w:hAnsi="Times New Roman" w:cs="Times New Roman" w:eastAsiaTheme="majorEastAsia"/>
          <w:i w:val="0"/>
          <w:iCs w:val="0"/>
          <w:caps w:val="0"/>
          <w:color w:val="auto"/>
          <w:spacing w:val="0"/>
          <w:sz w:val="24"/>
          <w:szCs w:val="24"/>
          <w:highlight w:val="none"/>
          <w:shd w:val="clear" w:fill="FFFFFF"/>
        </w:rPr>
        <w:t>发电。</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故不属于</w:t>
      </w:r>
      <w:r>
        <w:rPr>
          <w:rFonts w:hint="default" w:ascii="Times New Roman" w:hAnsi="Times New Roman" w:cs="Times New Roman" w:eastAsiaTheme="majorEastAsia"/>
          <w:i w:val="0"/>
          <w:iCs w:val="0"/>
          <w:caps w:val="0"/>
          <w:color w:val="auto"/>
          <w:spacing w:val="0"/>
          <w:sz w:val="24"/>
          <w:szCs w:val="24"/>
          <w:highlight w:val="none"/>
          <w:shd w:val="clear" w:fill="FFFFFF"/>
        </w:rPr>
        <w:t>退出类</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p>
    <w:p>
      <w:pPr>
        <w:pStyle w:val="4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right="0" w:firstLine="480" w:firstLineChars="200"/>
        <w:jc w:val="both"/>
        <w:textAlignment w:val="auto"/>
        <w:rPr>
          <w:rFonts w:hint="default" w:ascii="Times New Roman" w:hAnsi="Times New Roman" w:cs="Times New Roman" w:eastAsiaTheme="majorEastAsia"/>
          <w:i w:val="0"/>
          <w:iCs w:val="0"/>
          <w:caps w:val="0"/>
          <w:color w:val="auto"/>
          <w:spacing w:val="0"/>
          <w:sz w:val="24"/>
          <w:szCs w:val="24"/>
          <w:highlight w:val="none"/>
          <w:shd w:val="clear" w:fill="FFFFFF"/>
          <w:lang w:eastAsia="zh-CN"/>
        </w:rPr>
      </w:pP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fldChar w:fldCharType="begin"/>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instrText xml:space="preserve"> = 2 \* GB3 \* MERGEFORMAT </w:instrTex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fldChar w:fldCharType="separate"/>
      </w:r>
      <w:r>
        <w:rPr>
          <w:rFonts w:hint="default" w:ascii="Times New Roman" w:hAnsi="Times New Roman" w:cs="Times New Roman"/>
          <w:color w:val="auto"/>
          <w:highlight w:val="none"/>
        </w:rPr>
        <w:t>②</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fldChar w:fldCharType="end"/>
      </w:r>
      <w:r>
        <w:rPr>
          <w:rFonts w:hint="default" w:ascii="Times New Roman" w:hAnsi="Times New Roman" w:cs="Times New Roman" w:eastAsiaTheme="majorEastAsia"/>
          <w:i w:val="0"/>
          <w:iCs w:val="0"/>
          <w:caps w:val="0"/>
          <w:color w:val="auto"/>
          <w:spacing w:val="0"/>
          <w:sz w:val="24"/>
          <w:szCs w:val="24"/>
          <w:highlight w:val="none"/>
          <w:shd w:val="clear" w:fill="FFFFFF"/>
        </w:rPr>
        <w:t>整改类</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：黎河</w:t>
      </w:r>
      <w:r>
        <w:rPr>
          <w:rFonts w:hint="default" w:ascii="Times New Roman" w:hAnsi="Times New Roman" w:cs="Times New Roman" w:eastAsiaTheme="majorEastAsia"/>
          <w:i w:val="0"/>
          <w:iCs w:val="0"/>
          <w:caps w:val="0"/>
          <w:color w:val="auto"/>
          <w:spacing w:val="0"/>
          <w:sz w:val="24"/>
          <w:szCs w:val="24"/>
          <w:highlight w:val="none"/>
          <w:shd w:val="clear" w:fill="FFFFFF"/>
        </w:rPr>
        <w:t>河段水质达标。</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橡胶坝不影响</w:t>
      </w:r>
      <w:r>
        <w:rPr>
          <w:rFonts w:hint="default" w:ascii="Times New Roman" w:hAnsi="Times New Roman" w:cs="Times New Roman" w:eastAsiaTheme="majorEastAsia"/>
          <w:i w:val="0"/>
          <w:iCs w:val="0"/>
          <w:caps w:val="0"/>
          <w:color w:val="auto"/>
          <w:spacing w:val="0"/>
          <w:sz w:val="24"/>
          <w:szCs w:val="24"/>
          <w:highlight w:val="none"/>
          <w:shd w:val="clear" w:fill="FFFFFF"/>
        </w:rPr>
        <w:t>河流连通性</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。橡胶坝不</w:t>
      </w:r>
      <w:r>
        <w:rPr>
          <w:rFonts w:hint="default" w:ascii="Times New Roman" w:hAnsi="Times New Roman" w:cs="Times New Roman" w:eastAsiaTheme="majorEastAsia"/>
          <w:i w:val="0"/>
          <w:iCs w:val="0"/>
          <w:caps w:val="0"/>
          <w:color w:val="auto"/>
          <w:spacing w:val="0"/>
          <w:sz w:val="24"/>
          <w:szCs w:val="24"/>
          <w:highlight w:val="none"/>
          <w:shd w:val="clear" w:fill="FFFFFF"/>
        </w:rPr>
        <w:t>存在安全隐患。</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水电站</w:t>
      </w:r>
      <w:r>
        <w:rPr>
          <w:rFonts w:hint="default" w:ascii="Times New Roman" w:hAnsi="Times New Roman" w:cs="Times New Roman" w:eastAsiaTheme="majorEastAsia"/>
          <w:i w:val="0"/>
          <w:iCs w:val="0"/>
          <w:caps w:val="0"/>
          <w:color w:val="auto"/>
          <w:spacing w:val="0"/>
          <w:sz w:val="24"/>
          <w:szCs w:val="24"/>
          <w:highlight w:val="none"/>
          <w:shd w:val="clear" w:fill="FFFFFF"/>
        </w:rPr>
        <w:t>设施设备符合安全标准。</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不属于</w:t>
      </w:r>
      <w:r>
        <w:rPr>
          <w:rFonts w:hint="default" w:ascii="Times New Roman" w:hAnsi="Times New Roman" w:cs="Times New Roman" w:eastAsiaTheme="majorEastAsia"/>
          <w:i w:val="0"/>
          <w:iCs w:val="0"/>
          <w:caps w:val="0"/>
          <w:color w:val="auto"/>
          <w:spacing w:val="0"/>
          <w:sz w:val="24"/>
          <w:szCs w:val="24"/>
          <w:highlight w:val="none"/>
          <w:shd w:val="clear" w:fill="FFFFFF"/>
        </w:rPr>
        <w:t>水库。</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故不属于整改类。</w:t>
      </w:r>
    </w:p>
    <w:p>
      <w:pPr>
        <w:pStyle w:val="4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right="0" w:firstLine="480" w:firstLineChars="200"/>
        <w:jc w:val="both"/>
        <w:textAlignment w:val="auto"/>
        <w:rPr>
          <w:rFonts w:hint="default" w:ascii="Times New Roman" w:hAnsi="Times New Roman" w:cs="Times New Roman" w:eastAsiaTheme="majorEastAsia"/>
          <w:i w:val="0"/>
          <w:iCs w:val="0"/>
          <w:caps w:val="0"/>
          <w:color w:val="auto"/>
          <w:spacing w:val="0"/>
          <w:sz w:val="24"/>
          <w:szCs w:val="24"/>
          <w:highlight w:val="none"/>
          <w:shd w:val="clear" w:fill="FFFFFF"/>
        </w:rPr>
      </w:pP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fldChar w:fldCharType="begin"/>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instrText xml:space="preserve"> = 3 \* GB3 \* MERGEFORMAT </w:instrTex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fldChar w:fldCharType="separate"/>
      </w:r>
      <w:r>
        <w:rPr>
          <w:rFonts w:hint="default" w:ascii="Times New Roman" w:hAnsi="Times New Roman" w:cs="Times New Roman"/>
          <w:color w:val="auto"/>
          <w:highlight w:val="none"/>
        </w:rPr>
        <w:t>③</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fldChar w:fldCharType="end"/>
      </w:r>
      <w:r>
        <w:rPr>
          <w:rFonts w:hint="default" w:ascii="Times New Roman" w:hAnsi="Times New Roman" w:cs="Times New Roman" w:eastAsiaTheme="majorEastAsia"/>
          <w:i w:val="0"/>
          <w:iCs w:val="0"/>
          <w:caps w:val="0"/>
          <w:color w:val="auto"/>
          <w:spacing w:val="0"/>
          <w:sz w:val="24"/>
          <w:szCs w:val="24"/>
          <w:highlight w:val="none"/>
          <w:shd w:val="clear" w:fill="FFFFFF"/>
        </w:rPr>
        <w:t>保留类</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eastAsia" w:asciiTheme="majorEastAsia" w:hAnsiTheme="majorEastAsia" w:eastAsiaTheme="majorEastAsia" w:cstheme="majorEastAsia"/>
          <w:i w:val="0"/>
          <w:iCs w:val="0"/>
          <w:caps w:val="0"/>
          <w:color w:val="auto"/>
          <w:spacing w:val="0"/>
          <w:sz w:val="24"/>
          <w:szCs w:val="24"/>
          <w:highlight w:val="none"/>
          <w:shd w:val="clear" w:fill="FFFFFF"/>
          <w:lang w:eastAsia="zh-CN"/>
        </w:rPr>
        <w:t>1998年《建设项目环境保护管理条例》颁布</w:t>
      </w:r>
      <w:r>
        <w:rPr>
          <w:rFonts w:hint="eastAsia" w:asciiTheme="majorEastAsia" w:hAnsiTheme="majorEastAsia" w:eastAsiaTheme="majorEastAsia" w:cstheme="majorEastAsia"/>
          <w:i w:val="0"/>
          <w:iCs w:val="0"/>
          <w:caps w:val="0"/>
          <w:color w:val="auto"/>
          <w:spacing w:val="0"/>
          <w:sz w:val="24"/>
          <w:szCs w:val="24"/>
          <w:highlight w:val="none"/>
          <w:shd w:val="clear" w:fill="FFFFFF"/>
          <w:lang w:eastAsia="zh-CN"/>
        </w:rPr>
        <w:fldChar w:fldCharType="begin"/>
      </w:r>
      <w:r>
        <w:rPr>
          <w:rFonts w:hint="eastAsia" w:asciiTheme="majorEastAsia" w:hAnsiTheme="majorEastAsia" w:eastAsiaTheme="majorEastAsia" w:cstheme="majorEastAsia"/>
          <w:i w:val="0"/>
          <w:iCs w:val="0"/>
          <w:caps w:val="0"/>
          <w:color w:val="auto"/>
          <w:spacing w:val="0"/>
          <w:sz w:val="24"/>
          <w:szCs w:val="24"/>
          <w:highlight w:val="none"/>
          <w:shd w:val="clear" w:fill="FFFFFF"/>
          <w:lang w:eastAsia="zh-CN"/>
        </w:rPr>
        <w:instrText xml:space="preserve"> HYPERLINK "http://www.so.com/s?q=%E4%B9%8B%E5%89%8D&amp;ie=utf-8&amp;src=internal_wenda_recommend_textn" \t "https://wenda.so.com/q/_blank" </w:instrText>
      </w:r>
      <w:r>
        <w:rPr>
          <w:rFonts w:hint="eastAsia" w:asciiTheme="majorEastAsia" w:hAnsiTheme="majorEastAsia" w:eastAsiaTheme="majorEastAsia" w:cstheme="majorEastAsia"/>
          <w:i w:val="0"/>
          <w:iCs w:val="0"/>
          <w:caps w:val="0"/>
          <w:color w:val="auto"/>
          <w:spacing w:val="0"/>
          <w:sz w:val="24"/>
          <w:szCs w:val="24"/>
          <w:highlight w:val="none"/>
          <w:shd w:val="clear" w:fill="FFFFFF"/>
          <w:lang w:eastAsia="zh-CN"/>
        </w:rPr>
        <w:fldChar w:fldCharType="separate"/>
      </w:r>
      <w:r>
        <w:rPr>
          <w:rFonts w:hint="eastAsia" w:asciiTheme="majorEastAsia" w:hAnsiTheme="majorEastAsia" w:eastAsiaTheme="majorEastAsia" w:cstheme="majorEastAsia"/>
          <w:i w:val="0"/>
          <w:iCs w:val="0"/>
          <w:caps w:val="0"/>
          <w:color w:val="auto"/>
          <w:spacing w:val="0"/>
          <w:sz w:val="24"/>
          <w:szCs w:val="24"/>
          <w:highlight w:val="none"/>
          <w:shd w:val="clear" w:fill="FFFFFF"/>
          <w:lang w:eastAsia="zh-CN"/>
        </w:rPr>
        <w:t>之前</w:t>
      </w:r>
      <w:r>
        <w:rPr>
          <w:rFonts w:hint="eastAsia" w:asciiTheme="majorEastAsia" w:hAnsiTheme="majorEastAsia" w:eastAsiaTheme="majorEastAsia" w:cstheme="majorEastAsia"/>
          <w:i w:val="0"/>
          <w:iCs w:val="0"/>
          <w:caps w:val="0"/>
          <w:color w:val="auto"/>
          <w:spacing w:val="0"/>
          <w:sz w:val="24"/>
          <w:szCs w:val="24"/>
          <w:highlight w:val="none"/>
          <w:shd w:val="clear" w:fill="FFFFFF"/>
          <w:lang w:eastAsia="zh-CN"/>
        </w:rPr>
        <w:fldChar w:fldCharType="end"/>
      </w:r>
      <w:r>
        <w:rPr>
          <w:rFonts w:hint="eastAsia" w:asciiTheme="majorEastAsia" w:hAnsiTheme="majorEastAsia" w:eastAsiaTheme="majorEastAsia" w:cstheme="majorEastAsia"/>
          <w:i w:val="0"/>
          <w:iCs w:val="0"/>
          <w:caps w:val="0"/>
          <w:color w:val="auto"/>
          <w:spacing w:val="0"/>
          <w:sz w:val="24"/>
          <w:szCs w:val="24"/>
          <w:highlight w:val="none"/>
          <w:shd w:val="clear" w:fill="FFFFFF"/>
          <w:lang w:eastAsia="zh-CN"/>
        </w:rPr>
        <w:t>，对于具体的建设项目是否需要进行环评规定不够明确，本项目履行了立项、验收等手续，并通过河北省水务厅验收，故属于</w:t>
      </w:r>
      <w:r>
        <w:rPr>
          <w:rFonts w:hint="default" w:ascii="Times New Roman" w:hAnsi="Times New Roman" w:cs="Times New Roman" w:eastAsiaTheme="majorEastAsia"/>
          <w:i w:val="0"/>
          <w:iCs w:val="0"/>
          <w:caps w:val="0"/>
          <w:color w:val="auto"/>
          <w:spacing w:val="0"/>
          <w:sz w:val="24"/>
          <w:szCs w:val="24"/>
          <w:highlight w:val="none"/>
          <w:shd w:val="clear" w:fill="FFFFFF"/>
        </w:rPr>
        <w:t>依法依规建设。</w:t>
      </w:r>
      <w:r>
        <w:rPr>
          <w:rFonts w:hint="eastAsia" w:ascii="Times New Roman" w:hAnsi="Times New Roman" w:cs="Times New Roman" w:eastAsiaTheme="majorEastAsia"/>
          <w:i w:val="0"/>
          <w:iCs w:val="0"/>
          <w:caps w:val="0"/>
          <w:color w:val="auto"/>
          <w:spacing w:val="0"/>
          <w:sz w:val="24"/>
          <w:szCs w:val="24"/>
          <w:highlight w:val="none"/>
          <w:shd w:val="clear" w:fill="FFFFFF"/>
          <w:lang w:eastAsia="zh-CN"/>
        </w:rPr>
        <w:t>本项目</w:t>
      </w:r>
      <w:r>
        <w:rPr>
          <w:rFonts w:hint="default" w:ascii="Times New Roman" w:hAnsi="Times New Roman" w:cs="Times New Roman" w:eastAsiaTheme="majorEastAsia"/>
          <w:i w:val="0"/>
          <w:iCs w:val="0"/>
          <w:caps w:val="0"/>
          <w:color w:val="auto"/>
          <w:spacing w:val="0"/>
          <w:sz w:val="24"/>
          <w:szCs w:val="24"/>
          <w:highlight w:val="none"/>
          <w:shd w:val="clear" w:fill="FFFFFF"/>
        </w:rPr>
        <w:t>不涉及自然保护区核心区、缓冲区。生态环境保护和安全生产管理措施到位。</w:t>
      </w:r>
    </w:p>
    <w:p>
      <w:pPr>
        <w:pStyle w:val="4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right="0" w:firstLine="480" w:firstLineChars="200"/>
        <w:jc w:val="both"/>
        <w:textAlignment w:val="auto"/>
        <w:rPr>
          <w:rFonts w:hint="eastAsia" w:ascii="Times New Roman" w:hAnsi="Times New Roman" w:cs="Times New Roman" w:eastAsiaTheme="majorEastAsia"/>
          <w:i w:val="0"/>
          <w:iCs w:val="0"/>
          <w:caps w:val="0"/>
          <w:color w:val="auto"/>
          <w:spacing w:val="0"/>
          <w:sz w:val="24"/>
          <w:szCs w:val="24"/>
          <w:highlight w:val="none"/>
          <w:shd w:val="clear" w:fill="FFFFFF"/>
          <w:lang w:val="en-US" w:eastAsia="zh-CN"/>
        </w:rPr>
      </w:pP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本项目</w:t>
      </w:r>
      <w:r>
        <w:rPr>
          <w:rFonts w:hint="eastAsia" w:cs="Times New Roman" w:eastAsiaTheme="majorEastAsia"/>
          <w:i w:val="0"/>
          <w:iCs w:val="0"/>
          <w:caps w:val="0"/>
          <w:color w:val="auto"/>
          <w:spacing w:val="0"/>
          <w:sz w:val="24"/>
          <w:szCs w:val="24"/>
          <w:highlight w:val="none"/>
          <w:shd w:val="clear" w:fill="FFFFFF"/>
          <w:lang w:eastAsia="zh-CN"/>
        </w:rPr>
        <w:t>始</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建</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于</w:t>
      </w:r>
      <w:r>
        <w:rPr>
          <w:rFonts w:hint="eastAsia" w:cs="Times New Roman" w:eastAsiaTheme="majorEastAsia"/>
          <w:i w:val="0"/>
          <w:iCs w:val="0"/>
          <w:caps w:val="0"/>
          <w:color w:val="auto"/>
          <w:spacing w:val="0"/>
          <w:sz w:val="24"/>
          <w:szCs w:val="24"/>
          <w:highlight w:val="none"/>
          <w:shd w:val="clear" w:fill="FFFFFF"/>
          <w:lang w:val="en-US" w:eastAsia="zh-CN"/>
        </w:rPr>
        <w:t>2005</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年</w:t>
      </w:r>
      <w:r>
        <w:rPr>
          <w:snapToGrid w:val="0"/>
          <w:color w:val="auto"/>
          <w:kern w:val="0"/>
          <w:sz w:val="24"/>
          <w:highlight w:val="none"/>
        </w:rPr>
        <w:t>，</w:t>
      </w:r>
      <w:r>
        <w:rPr>
          <w:rFonts w:hint="eastAsia"/>
          <w:snapToGrid w:val="0"/>
          <w:color w:val="auto"/>
          <w:kern w:val="0"/>
          <w:sz w:val="24"/>
          <w:highlight w:val="none"/>
          <w:lang w:val="en-US" w:eastAsia="zh-CN"/>
        </w:rPr>
        <w:t>2006年10月投产</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w:t>
      </w:r>
      <w:r>
        <w:rPr>
          <w:rFonts w:hint="eastAsia" w:ascii="Times New Roman" w:hAnsi="Times New Roman" w:cs="Times New Roman" w:eastAsiaTheme="majorEastAsia"/>
          <w:i w:val="0"/>
          <w:iCs w:val="0"/>
          <w:caps w:val="0"/>
          <w:color w:val="auto"/>
          <w:spacing w:val="0"/>
          <w:sz w:val="24"/>
          <w:szCs w:val="24"/>
          <w:highlight w:val="none"/>
          <w:shd w:val="clear" w:fill="FFFFFF"/>
          <w:lang w:val="en-US" w:eastAsia="zh-CN"/>
        </w:rPr>
        <w:t>已经安全运行多年</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不涉及自然保护区核心区、缓冲区。生态环境保护和安全生产管理措施到位</w:t>
      </w:r>
      <w:r>
        <w:rPr>
          <w:rFonts w:hint="eastAsia" w:ascii="Times New Roman" w:hAnsi="Times New Roman" w:cs="Times New Roman" w:eastAsiaTheme="majorEastAsia"/>
          <w:i w:val="0"/>
          <w:iCs w:val="0"/>
          <w:caps w:val="0"/>
          <w:color w:val="auto"/>
          <w:spacing w:val="0"/>
          <w:sz w:val="24"/>
          <w:szCs w:val="24"/>
          <w:highlight w:val="none"/>
          <w:shd w:val="clear" w:fill="FFFFFF"/>
          <w:lang w:eastAsia="zh-CN"/>
        </w:rPr>
        <w:t>，且</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关于进一步做好</w:t>
      </w:r>
      <w:r>
        <w:rPr>
          <w:rFonts w:hint="default" w:ascii="Times New Roman" w:hAnsi="Times New Roman" w:cs="Times New Roman" w:eastAsiaTheme="majorEastAsia"/>
          <w:i w:val="0"/>
          <w:iCs w:val="0"/>
          <w:caps w:val="0"/>
          <w:color w:val="auto"/>
          <w:spacing w:val="0"/>
          <w:sz w:val="24"/>
          <w:szCs w:val="24"/>
          <w:highlight w:val="none"/>
          <w:shd w:val="clear" w:fill="FFFFFF"/>
        </w:rPr>
        <w:fldChar w:fldCharType="begin"/>
      </w:r>
      <w:r>
        <w:rPr>
          <w:rFonts w:hint="default" w:ascii="Times New Roman" w:hAnsi="Times New Roman" w:cs="Times New Roman" w:eastAsiaTheme="majorEastAsia"/>
          <w:i w:val="0"/>
          <w:iCs w:val="0"/>
          <w:caps w:val="0"/>
          <w:color w:val="auto"/>
          <w:spacing w:val="0"/>
          <w:sz w:val="24"/>
          <w:szCs w:val="24"/>
          <w:highlight w:val="none"/>
          <w:shd w:val="clear" w:fill="FFFFFF"/>
        </w:rPr>
        <w:instrText xml:space="preserve"> HYPERLINK "https://news.bjx.com.cn/zt.asp?topic=%d0%a1%cb%ae%b5%e7" \t "http://www.hydropower.org.cn/_blank" </w:instrText>
      </w:r>
      <w:r>
        <w:rPr>
          <w:rFonts w:hint="default" w:ascii="Times New Roman" w:hAnsi="Times New Roman" w:cs="Times New Roman" w:eastAsiaTheme="majorEastAsia"/>
          <w:i w:val="0"/>
          <w:iCs w:val="0"/>
          <w:caps w:val="0"/>
          <w:color w:val="auto"/>
          <w:spacing w:val="0"/>
          <w:sz w:val="24"/>
          <w:szCs w:val="24"/>
          <w:highlight w:val="none"/>
          <w:shd w:val="clear" w:fill="FFFFFF"/>
        </w:rPr>
        <w:fldChar w:fldCharType="separate"/>
      </w:r>
      <w:r>
        <w:rPr>
          <w:rFonts w:hint="default" w:ascii="Times New Roman" w:hAnsi="Times New Roman" w:cs="Times New Roman" w:eastAsiaTheme="majorEastAsia"/>
          <w:i w:val="0"/>
          <w:iCs w:val="0"/>
          <w:caps w:val="0"/>
          <w:color w:val="auto"/>
          <w:spacing w:val="0"/>
          <w:sz w:val="24"/>
          <w:szCs w:val="24"/>
          <w:highlight w:val="none"/>
          <w:shd w:val="clear" w:fill="FFFFFF"/>
        </w:rPr>
        <w:t>小水电</w:t>
      </w:r>
      <w:r>
        <w:rPr>
          <w:rFonts w:hint="default" w:ascii="Times New Roman" w:hAnsi="Times New Roman" w:cs="Times New Roman" w:eastAsiaTheme="majorEastAsia"/>
          <w:i w:val="0"/>
          <w:iCs w:val="0"/>
          <w:caps w:val="0"/>
          <w:color w:val="auto"/>
          <w:spacing w:val="0"/>
          <w:sz w:val="24"/>
          <w:szCs w:val="24"/>
          <w:highlight w:val="none"/>
          <w:shd w:val="clear" w:fill="FFFFFF"/>
        </w:rPr>
        <w:fldChar w:fldCharType="end"/>
      </w:r>
      <w:r>
        <w:rPr>
          <w:rFonts w:hint="default" w:ascii="Times New Roman" w:hAnsi="Times New Roman" w:cs="Times New Roman" w:eastAsiaTheme="majorEastAsia"/>
          <w:i w:val="0"/>
          <w:iCs w:val="0"/>
          <w:caps w:val="0"/>
          <w:color w:val="auto"/>
          <w:spacing w:val="0"/>
          <w:sz w:val="24"/>
          <w:szCs w:val="24"/>
          <w:highlight w:val="none"/>
          <w:shd w:val="clear" w:fill="FFFFFF"/>
        </w:rPr>
        <w:t>分类整改工作的意见</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水电〔2021〕397号</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eastAsia" w:cs="Times New Roman" w:eastAsiaTheme="majorEastAsia"/>
          <w:b/>
          <w:bCs/>
          <w:i w:val="0"/>
          <w:iCs w:val="0"/>
          <w:caps w:val="0"/>
          <w:color w:val="auto"/>
          <w:spacing w:val="0"/>
          <w:sz w:val="24"/>
          <w:szCs w:val="24"/>
          <w:highlight w:val="none"/>
          <w:shd w:val="clear" w:fill="FFFFFF"/>
          <w:lang w:eastAsia="zh-CN"/>
        </w:rPr>
        <w:t>退出类、整改类、保留类均</w:t>
      </w:r>
      <w:r>
        <w:rPr>
          <w:rFonts w:hint="eastAsia" w:ascii="Times New Roman" w:hAnsi="Times New Roman" w:cs="Times New Roman" w:eastAsiaTheme="majorEastAsia"/>
          <w:b/>
          <w:bCs/>
          <w:i w:val="0"/>
          <w:iCs w:val="0"/>
          <w:caps w:val="0"/>
          <w:color w:val="auto"/>
          <w:spacing w:val="0"/>
          <w:sz w:val="24"/>
          <w:szCs w:val="24"/>
          <w:highlight w:val="none"/>
          <w:shd w:val="clear" w:fill="FFFFFF"/>
          <w:lang w:eastAsia="zh-CN"/>
        </w:rPr>
        <w:t>未</w:t>
      </w:r>
      <w:r>
        <w:rPr>
          <w:rFonts w:hint="eastAsia" w:cs="Times New Roman" w:eastAsiaTheme="majorEastAsia"/>
          <w:b/>
          <w:bCs/>
          <w:i w:val="0"/>
          <w:iCs w:val="0"/>
          <w:caps w:val="0"/>
          <w:color w:val="auto"/>
          <w:spacing w:val="0"/>
          <w:sz w:val="24"/>
          <w:szCs w:val="24"/>
          <w:highlight w:val="none"/>
          <w:shd w:val="clear" w:fill="FFFFFF"/>
          <w:lang w:eastAsia="zh-CN"/>
        </w:rPr>
        <w:t>不包括</w:t>
      </w:r>
      <w:r>
        <w:rPr>
          <w:rFonts w:hint="eastAsia" w:ascii="Times New Roman" w:hAnsi="Times New Roman" w:cs="Times New Roman" w:eastAsiaTheme="majorEastAsia"/>
          <w:b/>
          <w:bCs/>
          <w:i w:val="0"/>
          <w:iCs w:val="0"/>
          <w:caps w:val="0"/>
          <w:color w:val="auto"/>
          <w:spacing w:val="0"/>
          <w:sz w:val="24"/>
          <w:szCs w:val="24"/>
          <w:highlight w:val="none"/>
          <w:shd w:val="clear" w:fill="FFFFFF"/>
          <w:lang w:eastAsia="zh-CN"/>
        </w:rPr>
        <w:t>位于生态</w:t>
      </w:r>
      <w:r>
        <w:rPr>
          <w:rFonts w:hint="eastAsia" w:cs="Times New Roman" w:eastAsiaTheme="majorEastAsia"/>
          <w:b/>
          <w:bCs/>
          <w:i w:val="0"/>
          <w:iCs w:val="0"/>
          <w:caps w:val="0"/>
          <w:color w:val="auto"/>
          <w:spacing w:val="0"/>
          <w:sz w:val="24"/>
          <w:szCs w:val="24"/>
          <w:highlight w:val="none"/>
          <w:shd w:val="clear" w:fill="FFFFFF"/>
          <w:lang w:eastAsia="zh-CN"/>
        </w:rPr>
        <w:t>保护</w:t>
      </w:r>
      <w:r>
        <w:rPr>
          <w:rFonts w:hint="eastAsia" w:ascii="Times New Roman" w:hAnsi="Times New Roman" w:cs="Times New Roman" w:eastAsiaTheme="majorEastAsia"/>
          <w:b/>
          <w:bCs/>
          <w:i w:val="0"/>
          <w:iCs w:val="0"/>
          <w:caps w:val="0"/>
          <w:color w:val="auto"/>
          <w:spacing w:val="0"/>
          <w:sz w:val="24"/>
          <w:szCs w:val="24"/>
          <w:highlight w:val="none"/>
          <w:shd w:val="clear" w:fill="FFFFFF"/>
          <w:lang w:eastAsia="zh-CN"/>
        </w:rPr>
        <w:t>红线范围内的项目</w:t>
      </w:r>
      <w:r>
        <w:rPr>
          <w:rFonts w:hint="eastAsia" w:cs="Times New Roman" w:eastAsiaTheme="majorEastAsia"/>
          <w:b/>
          <w:bCs/>
          <w:i w:val="0"/>
          <w:iCs w:val="0"/>
          <w:caps w:val="0"/>
          <w:color w:val="auto"/>
          <w:spacing w:val="0"/>
          <w:sz w:val="24"/>
          <w:szCs w:val="24"/>
          <w:highlight w:val="none"/>
          <w:shd w:val="clear" w:fill="FFFFFF"/>
          <w:lang w:eastAsia="zh-CN"/>
        </w:rPr>
        <w:t>，本项目属于</w:t>
      </w:r>
      <w:r>
        <w:rPr>
          <w:rFonts w:hint="default" w:ascii="Times New Roman" w:hAnsi="Times New Roman" w:cs="Times New Roman" w:eastAsiaTheme="majorEastAsia"/>
          <w:b/>
          <w:bCs/>
          <w:i w:val="0"/>
          <w:iCs w:val="0"/>
          <w:caps w:val="0"/>
          <w:color w:val="auto"/>
          <w:spacing w:val="0"/>
          <w:sz w:val="24"/>
          <w:szCs w:val="24"/>
          <w:highlight w:val="none"/>
          <w:shd w:val="clear" w:fill="FFFFFF"/>
          <w:lang w:eastAsia="zh-CN"/>
        </w:rPr>
        <w:t>保留</w:t>
      </w:r>
      <w:r>
        <w:rPr>
          <w:rFonts w:hint="eastAsia" w:cs="Times New Roman" w:eastAsiaTheme="majorEastAsia"/>
          <w:b/>
          <w:bCs/>
          <w:i w:val="0"/>
          <w:iCs w:val="0"/>
          <w:caps w:val="0"/>
          <w:color w:val="auto"/>
          <w:spacing w:val="0"/>
          <w:sz w:val="24"/>
          <w:szCs w:val="24"/>
          <w:highlight w:val="none"/>
          <w:shd w:val="clear" w:fill="FFFFFF"/>
          <w:lang w:eastAsia="zh-CN"/>
        </w:rPr>
        <w:t>类项目。</w:t>
      </w:r>
    </w:p>
    <w:p>
      <w:pPr>
        <w:spacing w:line="480" w:lineRule="exact"/>
        <w:ind w:firstLine="482"/>
        <w:rPr>
          <w:rFonts w:hint="eastAsia"/>
          <w:color w:val="auto"/>
          <w:sz w:val="24"/>
          <w:highlight w:val="none"/>
          <w:lang w:val="en-US" w:eastAsia="zh-CN"/>
        </w:rPr>
      </w:pPr>
      <w:r>
        <w:rPr>
          <w:rFonts w:hint="eastAsia"/>
          <w:color w:val="auto"/>
          <w:sz w:val="24"/>
          <w:highlight w:val="none"/>
          <w:lang w:val="en-US" w:eastAsia="zh-CN"/>
        </w:rPr>
        <w:t>（3）本项目橡胶坝符合在黎河河道内保留条件</w:t>
      </w:r>
    </w:p>
    <w:p>
      <w:pPr>
        <w:spacing w:line="480" w:lineRule="exact"/>
        <w:ind w:firstLine="482"/>
        <w:rPr>
          <w:rFonts w:hint="default" w:ascii="Times New Roman" w:hAnsi="Times New Roman" w:cs="Times New Roman"/>
          <w:color w:val="auto"/>
          <w:sz w:val="24"/>
          <w:highlight w:val="none"/>
          <w:lang w:val="en-US" w:eastAsia="zh-CN"/>
        </w:rPr>
      </w:pP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本项目</w:t>
      </w:r>
      <w:r>
        <w:rPr>
          <w:rFonts w:hint="eastAsia" w:cs="Times New Roman" w:eastAsiaTheme="majorEastAsia"/>
          <w:i w:val="0"/>
          <w:iCs w:val="0"/>
          <w:caps w:val="0"/>
          <w:color w:val="auto"/>
          <w:spacing w:val="0"/>
          <w:sz w:val="24"/>
          <w:szCs w:val="24"/>
          <w:highlight w:val="none"/>
          <w:shd w:val="clear" w:fill="FFFFFF"/>
          <w:lang w:eastAsia="zh-CN"/>
        </w:rPr>
        <w:t>始</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建</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于</w:t>
      </w:r>
      <w:r>
        <w:rPr>
          <w:rFonts w:hint="eastAsia" w:cs="Times New Roman" w:eastAsiaTheme="majorEastAsia"/>
          <w:i w:val="0"/>
          <w:iCs w:val="0"/>
          <w:caps w:val="0"/>
          <w:color w:val="auto"/>
          <w:spacing w:val="0"/>
          <w:sz w:val="24"/>
          <w:szCs w:val="24"/>
          <w:highlight w:val="none"/>
          <w:shd w:val="clear" w:fill="FFFFFF"/>
          <w:lang w:val="en-US" w:eastAsia="zh-CN"/>
        </w:rPr>
        <w:t>2005</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年</w:t>
      </w:r>
      <w:r>
        <w:rPr>
          <w:snapToGrid w:val="0"/>
          <w:color w:val="auto"/>
          <w:kern w:val="0"/>
          <w:sz w:val="24"/>
          <w:highlight w:val="none"/>
        </w:rPr>
        <w:t>，</w:t>
      </w:r>
      <w:r>
        <w:rPr>
          <w:rFonts w:hint="eastAsia"/>
          <w:snapToGrid w:val="0"/>
          <w:color w:val="auto"/>
          <w:kern w:val="0"/>
          <w:sz w:val="24"/>
          <w:highlight w:val="none"/>
          <w:lang w:val="en-US" w:eastAsia="zh-CN"/>
        </w:rPr>
        <w:t>2006年10月投产</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w:t>
      </w:r>
      <w:r>
        <w:rPr>
          <w:rFonts w:hint="eastAsia" w:ascii="Times New Roman" w:hAnsi="Times New Roman" w:cs="Times New Roman" w:eastAsiaTheme="majorEastAsia"/>
          <w:i w:val="0"/>
          <w:iCs w:val="0"/>
          <w:caps w:val="0"/>
          <w:color w:val="auto"/>
          <w:spacing w:val="0"/>
          <w:sz w:val="24"/>
          <w:szCs w:val="24"/>
          <w:highlight w:val="none"/>
          <w:shd w:val="clear" w:fill="FFFFFF"/>
          <w:lang w:val="en-US" w:eastAsia="zh-CN"/>
        </w:rPr>
        <w:t>已经安全运行多年</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，项目</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分为</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2部分，即水电站和橡胶坝，其中水橡胶坝位于黎河河道内。</w:t>
      </w:r>
    </w:p>
    <w:p>
      <w:pPr>
        <w:spacing w:line="480" w:lineRule="exact"/>
        <w:ind w:firstLine="482"/>
        <w:rPr>
          <w:rFonts w:hint="eastAsia"/>
          <w:color w:val="auto"/>
          <w:sz w:val="24"/>
          <w:highlight w:val="none"/>
          <w:lang w:val="en-US" w:eastAsia="zh-CN"/>
        </w:rPr>
      </w:pPr>
      <w:r>
        <w:rPr>
          <w:rFonts w:hint="eastAsia"/>
          <w:color w:val="auto"/>
          <w:sz w:val="24"/>
          <w:highlight w:val="none"/>
          <w:lang w:val="en-US" w:eastAsia="zh-CN"/>
        </w:rPr>
        <w:fldChar w:fldCharType="begin"/>
      </w:r>
      <w:r>
        <w:rPr>
          <w:rFonts w:hint="eastAsia"/>
          <w:color w:val="auto"/>
          <w:sz w:val="24"/>
          <w:highlight w:val="none"/>
          <w:lang w:val="en-US" w:eastAsia="zh-CN"/>
        </w:rPr>
        <w:instrText xml:space="preserve"> = 1 \* GB3 \* MERGEFORMAT </w:instrText>
      </w:r>
      <w:r>
        <w:rPr>
          <w:rFonts w:hint="eastAsia"/>
          <w:color w:val="auto"/>
          <w:sz w:val="24"/>
          <w:highlight w:val="none"/>
          <w:lang w:val="en-US" w:eastAsia="zh-CN"/>
        </w:rPr>
        <w:fldChar w:fldCharType="separate"/>
      </w:r>
      <w:r>
        <w:rPr>
          <w:color w:val="auto"/>
          <w:highlight w:val="none"/>
        </w:rPr>
        <w:t>①</w:t>
      </w:r>
      <w:r>
        <w:rPr>
          <w:rFonts w:hint="eastAsia"/>
          <w:color w:val="auto"/>
          <w:sz w:val="24"/>
          <w:highlight w:val="none"/>
          <w:lang w:val="en-US" w:eastAsia="zh-CN"/>
        </w:rPr>
        <w:fldChar w:fldCharType="end"/>
      </w:r>
      <w:r>
        <w:rPr>
          <w:rFonts w:hint="eastAsia"/>
          <w:color w:val="auto"/>
          <w:sz w:val="24"/>
          <w:highlight w:val="none"/>
          <w:lang w:val="en-US" w:eastAsia="zh-CN"/>
        </w:rPr>
        <w:t>生态保护红线划定时间</w:t>
      </w:r>
    </w:p>
    <w:p>
      <w:pPr>
        <w:spacing w:line="480" w:lineRule="exact"/>
        <w:ind w:firstLine="482"/>
        <w:rPr>
          <w:rFonts w:hint="eastAsia"/>
          <w:color w:val="auto"/>
          <w:sz w:val="24"/>
          <w:highlight w:val="none"/>
          <w:lang w:eastAsia="zh-CN"/>
        </w:rPr>
      </w:pPr>
      <w:r>
        <w:rPr>
          <w:rFonts w:hint="eastAsia"/>
          <w:color w:val="auto"/>
          <w:sz w:val="24"/>
          <w:highlight w:val="none"/>
          <w:lang w:val="en-US" w:eastAsia="zh-CN"/>
        </w:rPr>
        <w:t>2017年</w:t>
      </w:r>
      <w:r>
        <w:rPr>
          <w:rFonts w:hint="eastAsia"/>
          <w:color w:val="auto"/>
          <w:sz w:val="24"/>
          <w:highlight w:val="none"/>
          <w:lang w:eastAsia="zh-CN"/>
        </w:rPr>
        <w:t>2月7日，中共中央办公厅 国务院办公厅印发《关于划定并严守生态保护红线的若干意见》，开始划定生态保护红线。</w:t>
      </w:r>
      <w:r>
        <w:rPr>
          <w:rFonts w:hint="default" w:ascii="Times New Roman" w:hAnsi="Times New Roman" w:eastAsia="宋体" w:cs="Times New Roman"/>
          <w:color w:val="auto"/>
          <w:sz w:val="24"/>
          <w:szCs w:val="24"/>
          <w:highlight w:val="none"/>
        </w:rPr>
        <w:t>中共河北省委办公厅 河北省人民政府办公厅印发〈关于划定并严守生态保护红线的实施意见〉的通知》（冀办字〔2017〕36号）</w:t>
      </w:r>
      <w:r>
        <w:rPr>
          <w:rFonts w:hint="eastAsia" w:cs="Times New Roman"/>
          <w:color w:val="auto"/>
          <w:sz w:val="24"/>
          <w:szCs w:val="24"/>
          <w:highlight w:val="none"/>
          <w:lang w:eastAsia="zh-CN"/>
        </w:rPr>
        <w:t>。</w:t>
      </w:r>
      <w:r>
        <w:rPr>
          <w:rFonts w:hint="eastAsia"/>
          <w:color w:val="auto"/>
          <w:sz w:val="24"/>
          <w:highlight w:val="none"/>
          <w:lang w:eastAsia="zh-CN"/>
        </w:rPr>
        <w:t>2018年2月，《河北省生态保护红线划定方案》获国务院批准，全省生态保护红线总面积4.05万平方公里，占全省国土面积的20.70%，其中，陆域生态保护红线面积3.86万平方公里，占全省陆域国土面积的20.49%，海洋生态保护红线面积1880平方公里，占全省管辖海域面积的26.02%。2018年6月29日 ，河北省人民政府印发关于发布《河北省生态保护红线》的通知（冀政字〔2018〕23号），其中黎河划定为生态保护红线。</w:t>
      </w:r>
    </w:p>
    <w:p>
      <w:pPr>
        <w:spacing w:line="480" w:lineRule="exact"/>
        <w:ind w:firstLine="482"/>
        <w:rPr>
          <w:rFonts w:hint="default"/>
          <w:b w:val="0"/>
          <w:bCs w:val="0"/>
          <w:color w:val="auto"/>
          <w:sz w:val="24"/>
          <w:highlight w:val="none"/>
          <w:lang w:val="en-US" w:eastAsia="zh-CN"/>
        </w:rPr>
      </w:pPr>
      <w:r>
        <w:rPr>
          <w:rFonts w:hint="eastAsia"/>
          <w:b w:val="0"/>
          <w:bCs w:val="0"/>
          <w:color w:val="auto"/>
          <w:sz w:val="24"/>
          <w:highlight w:val="none"/>
          <w:lang w:val="en-US" w:eastAsia="zh-CN"/>
        </w:rPr>
        <w:fldChar w:fldCharType="begin"/>
      </w:r>
      <w:r>
        <w:rPr>
          <w:rFonts w:hint="eastAsia"/>
          <w:b w:val="0"/>
          <w:bCs w:val="0"/>
          <w:color w:val="auto"/>
          <w:sz w:val="24"/>
          <w:highlight w:val="none"/>
          <w:lang w:val="en-US" w:eastAsia="zh-CN"/>
        </w:rPr>
        <w:instrText xml:space="preserve"> = 2 \* GB3 \* MERGEFORMAT </w:instrText>
      </w:r>
      <w:r>
        <w:rPr>
          <w:rFonts w:hint="eastAsia"/>
          <w:b w:val="0"/>
          <w:bCs w:val="0"/>
          <w:color w:val="auto"/>
          <w:sz w:val="24"/>
          <w:highlight w:val="none"/>
          <w:lang w:val="en-US" w:eastAsia="zh-CN"/>
        </w:rPr>
        <w:fldChar w:fldCharType="separate"/>
      </w:r>
      <w:r>
        <w:rPr>
          <w:b w:val="0"/>
          <w:bCs w:val="0"/>
          <w:color w:val="auto"/>
          <w:highlight w:val="none"/>
        </w:rPr>
        <w:t>②</w:t>
      </w:r>
      <w:r>
        <w:rPr>
          <w:rFonts w:hint="eastAsia"/>
          <w:b w:val="0"/>
          <w:bCs w:val="0"/>
          <w:color w:val="auto"/>
          <w:sz w:val="24"/>
          <w:highlight w:val="none"/>
          <w:lang w:val="en-US" w:eastAsia="zh-CN"/>
        </w:rPr>
        <w:fldChar w:fldCharType="end"/>
      </w:r>
      <w:r>
        <w:rPr>
          <w:rFonts w:hint="eastAsia"/>
          <w:b w:val="0"/>
          <w:bCs w:val="0"/>
          <w:color w:val="auto"/>
          <w:sz w:val="24"/>
          <w:highlight w:val="none"/>
          <w:lang w:val="en-US" w:eastAsia="zh-CN"/>
        </w:rPr>
        <w:t>生态保护红线内原有项目保留条件</w:t>
      </w:r>
    </w:p>
    <w:p>
      <w:pPr>
        <w:pStyle w:val="4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80" w:lineRule="exact"/>
        <w:ind w:left="0" w:right="0" w:firstLine="480" w:firstLineChars="200"/>
        <w:jc w:val="both"/>
        <w:textAlignment w:val="auto"/>
        <w:rPr>
          <w:rFonts w:hint="eastAsia" w:asciiTheme="majorEastAsia" w:hAnsiTheme="majorEastAsia" w:eastAsiaTheme="majorEastAsia" w:cstheme="majorEastAsia"/>
          <w:b w:val="0"/>
          <w:bCs w:val="0"/>
          <w:i w:val="0"/>
          <w:iCs w:val="0"/>
          <w:caps w:val="0"/>
          <w:color w:val="auto"/>
          <w:spacing w:val="0"/>
          <w:sz w:val="24"/>
          <w:szCs w:val="24"/>
          <w:highlight w:val="none"/>
          <w:shd w:val="clear" w:fill="FFFFFF"/>
          <w:lang w:val="en-US" w:eastAsia="zh-CN"/>
        </w:rPr>
      </w:pPr>
      <w:r>
        <w:rPr>
          <w:rFonts w:hint="default" w:ascii="Times New Roman" w:hAnsi="Times New Roman" w:cs="Times New Roman"/>
          <w:b w:val="0"/>
          <w:bCs w:val="0"/>
          <w:color w:val="auto"/>
          <w:sz w:val="24"/>
          <w:highlight w:val="none"/>
          <w:lang w:val="en-US" w:eastAsia="zh-CN"/>
        </w:rPr>
        <w:t>2022年8月16日，自然资源部、生态环境部、国家林业和草原局联合印发《关于加强生态保护红线管理的通知（试行）》（自然资发〔2022〕142号）</w:t>
      </w:r>
      <w:r>
        <w:rPr>
          <w:rFonts w:hint="eastAsia"/>
          <w:b w:val="0"/>
          <w:bCs w:val="0"/>
          <w:color w:val="auto"/>
          <w:sz w:val="24"/>
          <w:highlight w:val="none"/>
          <w:lang w:val="en-US" w:eastAsia="zh-CN"/>
        </w:rPr>
        <w:t>，通知规定，</w:t>
      </w:r>
      <w:r>
        <w:rPr>
          <w:rFonts w:hint="eastAsia" w:asciiTheme="majorEastAsia" w:hAnsiTheme="majorEastAsia" w:eastAsiaTheme="majorEastAsia" w:cstheme="majorEastAsia"/>
          <w:b w:val="0"/>
          <w:bCs w:val="0"/>
          <w:i w:val="0"/>
          <w:iCs w:val="0"/>
          <w:caps w:val="0"/>
          <w:color w:val="auto"/>
          <w:spacing w:val="0"/>
          <w:sz w:val="24"/>
          <w:szCs w:val="24"/>
          <w:highlight w:val="none"/>
          <w:shd w:val="clear" w:fill="FFFFFF"/>
        </w:rPr>
        <w:t>生态保护红线是国土空间规划中的重要管控边界，生态保护红线内自然保护地核心保护区外，禁止开发性、生产性建设活动，在符合法律法规的前提下，仅允许</w:t>
      </w:r>
      <w:r>
        <w:rPr>
          <w:rFonts w:hint="eastAsia" w:asciiTheme="majorEastAsia" w:hAnsiTheme="majorEastAsia" w:eastAsiaTheme="majorEastAsia" w:cstheme="majorEastAsia"/>
          <w:b w:val="0"/>
          <w:bCs w:val="0"/>
          <w:i w:val="0"/>
          <w:iCs w:val="0"/>
          <w:caps w:val="0"/>
          <w:color w:val="auto"/>
          <w:spacing w:val="0"/>
          <w:sz w:val="24"/>
          <w:szCs w:val="24"/>
          <w:highlight w:val="none"/>
          <w:shd w:val="clear" w:fill="FFFFFF"/>
          <w:lang w:val="en-US" w:eastAsia="zh-CN"/>
        </w:rPr>
        <w:t>10种</w:t>
      </w:r>
      <w:r>
        <w:rPr>
          <w:rFonts w:hint="eastAsia" w:asciiTheme="majorEastAsia" w:hAnsiTheme="majorEastAsia" w:eastAsiaTheme="majorEastAsia" w:cstheme="majorEastAsia"/>
          <w:b w:val="0"/>
          <w:bCs w:val="0"/>
          <w:i w:val="0"/>
          <w:iCs w:val="0"/>
          <w:caps w:val="0"/>
          <w:color w:val="auto"/>
          <w:spacing w:val="0"/>
          <w:sz w:val="24"/>
          <w:szCs w:val="24"/>
          <w:highlight w:val="none"/>
          <w:shd w:val="clear" w:fill="FFFFFF"/>
        </w:rPr>
        <w:t>对生态功能不造成破坏的有限人为活动。</w:t>
      </w:r>
      <w:r>
        <w:rPr>
          <w:rFonts w:hint="eastAsia" w:asciiTheme="majorEastAsia" w:hAnsiTheme="majorEastAsia" w:eastAsiaTheme="majorEastAsia" w:cstheme="majorEastAsia"/>
          <w:b w:val="0"/>
          <w:bCs w:val="0"/>
          <w:i w:val="0"/>
          <w:iCs w:val="0"/>
          <w:caps w:val="0"/>
          <w:color w:val="auto"/>
          <w:spacing w:val="0"/>
          <w:sz w:val="24"/>
          <w:szCs w:val="24"/>
          <w:highlight w:val="none"/>
          <w:shd w:val="clear" w:fill="FFFFFF"/>
          <w:lang w:eastAsia="zh-CN"/>
        </w:rPr>
        <w:t>其中包括“</w:t>
      </w:r>
      <w:r>
        <w:rPr>
          <w:rFonts w:hint="eastAsia" w:asciiTheme="majorEastAsia" w:hAnsiTheme="majorEastAsia" w:eastAsiaTheme="majorEastAsia" w:cstheme="majorEastAsia"/>
          <w:b w:val="0"/>
          <w:bCs w:val="0"/>
          <w:i w:val="0"/>
          <w:iCs w:val="0"/>
          <w:caps w:val="0"/>
          <w:color w:val="auto"/>
          <w:spacing w:val="0"/>
          <w:sz w:val="24"/>
          <w:szCs w:val="24"/>
          <w:highlight w:val="none"/>
          <w:shd w:val="clear" w:fill="FFFFFF"/>
        </w:rPr>
        <w:t>已有的合法水利、交通运输等设施运行维护改造。</w:t>
      </w:r>
      <w:r>
        <w:rPr>
          <w:rFonts w:hint="eastAsia" w:asciiTheme="majorEastAsia" w:hAnsiTheme="majorEastAsia" w:eastAsiaTheme="majorEastAsia" w:cstheme="majorEastAsia"/>
          <w:b w:val="0"/>
          <w:bCs w:val="0"/>
          <w:i w:val="0"/>
          <w:iCs w:val="0"/>
          <w:caps w:val="0"/>
          <w:color w:val="auto"/>
          <w:spacing w:val="0"/>
          <w:sz w:val="24"/>
          <w:szCs w:val="24"/>
          <w:highlight w:val="none"/>
          <w:shd w:val="clear" w:fill="FFFFFF"/>
          <w:lang w:eastAsia="zh-CN"/>
        </w:rPr>
        <w:t>”同时规定：“</w:t>
      </w:r>
      <w:r>
        <w:rPr>
          <w:rFonts w:hint="eastAsia" w:asciiTheme="majorEastAsia" w:hAnsiTheme="majorEastAsia" w:eastAsiaTheme="majorEastAsia" w:cstheme="majorEastAsia"/>
          <w:b w:val="0"/>
          <w:bCs w:val="0"/>
          <w:i w:val="0"/>
          <w:iCs w:val="0"/>
          <w:caps w:val="0"/>
          <w:color w:val="auto"/>
          <w:spacing w:val="0"/>
          <w:sz w:val="24"/>
          <w:szCs w:val="24"/>
          <w:highlight w:val="none"/>
          <w:shd w:val="clear" w:fill="FFFFFF"/>
        </w:rPr>
        <w:t>有序处理历史遗留问题。</w:t>
      </w:r>
      <w:r>
        <w:rPr>
          <w:rFonts w:hint="eastAsia" w:asciiTheme="majorEastAsia" w:hAnsiTheme="majorEastAsia" w:eastAsiaTheme="majorEastAsia" w:cstheme="majorEastAsia"/>
          <w:b w:val="0"/>
          <w:bCs w:val="0"/>
          <w:i w:val="0"/>
          <w:iCs w:val="0"/>
          <w:caps w:val="0"/>
          <w:color w:val="auto"/>
          <w:spacing w:val="0"/>
          <w:sz w:val="24"/>
          <w:szCs w:val="24"/>
          <w:highlight w:val="none"/>
          <w:shd w:val="clear" w:fill="FFFFFF"/>
          <w:lang w:eastAsia="zh-CN"/>
        </w:rPr>
        <w:t>”“</w:t>
      </w:r>
      <w:r>
        <w:rPr>
          <w:rFonts w:hint="eastAsia" w:asciiTheme="majorEastAsia" w:hAnsiTheme="majorEastAsia" w:eastAsiaTheme="majorEastAsia" w:cstheme="majorEastAsia"/>
          <w:b/>
          <w:bCs/>
          <w:i w:val="0"/>
          <w:iCs w:val="0"/>
          <w:caps w:val="0"/>
          <w:color w:val="auto"/>
          <w:spacing w:val="0"/>
          <w:sz w:val="24"/>
          <w:szCs w:val="24"/>
          <w:highlight w:val="none"/>
          <w:shd w:val="clear" w:fill="FFFFFF"/>
        </w:rPr>
        <w:t>零星分布的已有水电、风电、光伏、海洋能设施，按照相关法律法规规定进行管理，严禁扩大现有规模与范围，项目到期后由建设单位负责做好生态修复</w:t>
      </w:r>
      <w:r>
        <w:rPr>
          <w:rFonts w:hint="eastAsia" w:asciiTheme="majorEastAsia" w:hAnsiTheme="majorEastAsia" w:eastAsiaTheme="majorEastAsia" w:cstheme="majorEastAsia"/>
          <w:b w:val="0"/>
          <w:bCs w:val="0"/>
          <w:i w:val="0"/>
          <w:iCs w:val="0"/>
          <w:caps w:val="0"/>
          <w:color w:val="auto"/>
          <w:spacing w:val="0"/>
          <w:sz w:val="24"/>
          <w:szCs w:val="24"/>
          <w:highlight w:val="none"/>
          <w:shd w:val="clear" w:fill="FFFFFF"/>
        </w:rPr>
        <w:t>。</w:t>
      </w:r>
      <w:r>
        <w:rPr>
          <w:rFonts w:hint="eastAsia" w:asciiTheme="majorEastAsia" w:hAnsiTheme="majorEastAsia" w:eastAsiaTheme="majorEastAsia" w:cstheme="majorEastAsia"/>
          <w:b w:val="0"/>
          <w:bCs w:val="0"/>
          <w:i w:val="0"/>
          <w:iCs w:val="0"/>
          <w:caps w:val="0"/>
          <w:color w:val="auto"/>
          <w:spacing w:val="0"/>
          <w:sz w:val="24"/>
          <w:szCs w:val="24"/>
          <w:highlight w:val="none"/>
          <w:shd w:val="clear" w:fill="FFFFFF"/>
          <w:lang w:eastAsia="zh-CN"/>
        </w:rPr>
        <w:t>”文件要求，在生态保护红线划定之前建设的水电设施，按</w:t>
      </w:r>
      <w:r>
        <w:rPr>
          <w:rFonts w:hint="eastAsia" w:asciiTheme="majorEastAsia" w:hAnsiTheme="majorEastAsia" w:eastAsiaTheme="majorEastAsia" w:cstheme="majorEastAsia"/>
          <w:b w:val="0"/>
          <w:bCs w:val="0"/>
          <w:i w:val="0"/>
          <w:iCs w:val="0"/>
          <w:caps w:val="0"/>
          <w:color w:val="auto"/>
          <w:spacing w:val="0"/>
          <w:sz w:val="24"/>
          <w:szCs w:val="24"/>
          <w:highlight w:val="none"/>
          <w:shd w:val="clear" w:fill="FFFFFF"/>
        </w:rPr>
        <w:t>照相关法律法规规定进行管理，严禁扩大现有规模与范围，项目到期后由建设单位负责做好生态修复。</w:t>
      </w:r>
    </w:p>
    <w:p>
      <w:pPr>
        <w:spacing w:line="480" w:lineRule="exact"/>
        <w:ind w:firstLine="480"/>
        <w:rPr>
          <w:color w:val="auto"/>
          <w:sz w:val="24"/>
          <w:highlight w:val="none"/>
        </w:rPr>
      </w:pPr>
      <w:r>
        <w:rPr>
          <w:rFonts w:hint="eastAsia" w:asciiTheme="majorEastAsia" w:hAnsiTheme="majorEastAsia" w:eastAsiaTheme="majorEastAsia" w:cstheme="majorEastAsia"/>
          <w:b w:val="0"/>
          <w:bCs w:val="0"/>
          <w:i w:val="0"/>
          <w:iCs w:val="0"/>
          <w:caps w:val="0"/>
          <w:color w:val="auto"/>
          <w:spacing w:val="0"/>
          <w:sz w:val="24"/>
          <w:szCs w:val="24"/>
          <w:highlight w:val="none"/>
          <w:shd w:val="clear" w:fill="FFFFFF"/>
          <w:lang w:eastAsia="zh-CN"/>
        </w:rPr>
        <w:t>根据上述文件规定，本项目黎河河道内的橡胶坝属于在生态红线划定之前建设的水电设施，按</w:t>
      </w:r>
      <w:r>
        <w:rPr>
          <w:rFonts w:hint="eastAsia" w:asciiTheme="majorEastAsia" w:hAnsiTheme="majorEastAsia" w:eastAsiaTheme="majorEastAsia" w:cstheme="majorEastAsia"/>
          <w:b w:val="0"/>
          <w:bCs w:val="0"/>
          <w:i w:val="0"/>
          <w:iCs w:val="0"/>
          <w:caps w:val="0"/>
          <w:color w:val="auto"/>
          <w:spacing w:val="0"/>
          <w:sz w:val="24"/>
          <w:szCs w:val="24"/>
          <w:highlight w:val="none"/>
          <w:shd w:val="clear" w:fill="FFFFFF"/>
        </w:rPr>
        <w:t>照相关法律法规规定进行管理，严禁扩大现有规模与范围，项目到期后由建设单位负责做好生态修复</w:t>
      </w:r>
      <w:r>
        <w:rPr>
          <w:rFonts w:hint="eastAsia" w:asciiTheme="majorEastAsia" w:hAnsiTheme="majorEastAsia" w:eastAsiaTheme="majorEastAsia" w:cstheme="majorEastAsia"/>
          <w:b w:val="0"/>
          <w:bCs w:val="0"/>
          <w:i w:val="0"/>
          <w:iCs w:val="0"/>
          <w:caps w:val="0"/>
          <w:color w:val="auto"/>
          <w:spacing w:val="0"/>
          <w:sz w:val="24"/>
          <w:szCs w:val="24"/>
          <w:highlight w:val="none"/>
          <w:shd w:val="clear" w:fill="FFFFFF"/>
          <w:lang w:eastAsia="zh-CN"/>
        </w:rPr>
        <w:t>。据此，本项目黎河河道内的橡胶坝属于可存在且严禁扩大现有规模与范围，项目到期后由建设单位负责做好生态修复。</w:t>
      </w:r>
    </w:p>
    <w:p>
      <w:pPr>
        <w:pStyle w:val="4"/>
        <w:spacing w:before="0" w:after="0" w:line="480" w:lineRule="exact"/>
        <w:rPr>
          <w:rFonts w:ascii="Times New Roman" w:hAnsi="Times New Roman" w:cs="Times New Roman"/>
          <w:color w:val="000000" w:themeColor="text1"/>
          <w:sz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14:textFill>
            <w14:solidFill>
              <w14:schemeClr w14:val="tx1"/>
            </w14:solidFill>
          </w14:textFill>
        </w:rPr>
        <w:t>0.4.</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12</w:t>
      </w:r>
      <w:r>
        <w:rPr>
          <w:rFonts w:hint="eastAsia" w:ascii="Times New Roman" w:hAnsi="Times New Roman" w:cs="Times New Roman"/>
          <w:color w:val="000000" w:themeColor="text1"/>
          <w:sz w:val="24"/>
          <w:szCs w:val="24"/>
          <w:highlight w:val="none"/>
          <w14:textFill>
            <w14:solidFill>
              <w14:schemeClr w14:val="tx1"/>
            </w14:solidFill>
          </w14:textFill>
        </w:rPr>
        <w:t xml:space="preserve"> “</w:t>
      </w:r>
      <w:r>
        <w:rPr>
          <w:rFonts w:ascii="Times New Roman" w:hAnsi="Times New Roman" w:cs="Times New Roman"/>
          <w:color w:val="000000" w:themeColor="text1"/>
          <w:sz w:val="24"/>
          <w:highlight w:val="none"/>
          <w14:textFill>
            <w14:solidFill>
              <w14:schemeClr w14:val="tx1"/>
            </w14:solidFill>
          </w14:textFill>
        </w:rPr>
        <w:t>三线一单</w:t>
      </w:r>
      <w:r>
        <w:rPr>
          <w:rFonts w:hint="eastAsia" w:ascii="Times New Roman" w:hAnsi="Times New Roman" w:cs="Times New Roman"/>
          <w:color w:val="000000" w:themeColor="text1"/>
          <w:sz w:val="24"/>
          <w:highlight w:val="none"/>
          <w14:textFill>
            <w14:solidFill>
              <w14:schemeClr w14:val="tx1"/>
            </w14:solidFill>
          </w14:textFill>
        </w:rPr>
        <w:t>”</w:t>
      </w:r>
      <w:r>
        <w:rPr>
          <w:rFonts w:ascii="Times New Roman" w:hAnsi="Times New Roman" w:cs="Times New Roman"/>
          <w:color w:val="000000" w:themeColor="text1"/>
          <w:sz w:val="24"/>
          <w:highlight w:val="none"/>
          <w14:textFill>
            <w14:solidFill>
              <w14:schemeClr w14:val="tx1"/>
            </w14:solidFill>
          </w14:textFill>
        </w:rPr>
        <w:t>分析判定</w:t>
      </w:r>
    </w:p>
    <w:p>
      <w:pPr>
        <w:tabs>
          <w:tab w:val="left" w:pos="720"/>
          <w:tab w:val="left" w:pos="1080"/>
        </w:tabs>
        <w:spacing w:line="480" w:lineRule="exact"/>
        <w:ind w:firstLine="480" w:firstLineChars="200"/>
        <w:jc w:val="left"/>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（1）生态红线</w:t>
      </w:r>
    </w:p>
    <w:p>
      <w:pPr>
        <w:tabs>
          <w:tab w:val="left" w:pos="1080"/>
        </w:tabs>
        <w:spacing w:line="480" w:lineRule="exact"/>
        <w:ind w:firstLine="480" w:firstLineChars="200"/>
        <w:jc w:val="left"/>
        <w:rPr>
          <w:color w:val="000000" w:themeColor="text1"/>
          <w:sz w:val="24"/>
          <w:highlight w:val="none"/>
          <w14:textFill>
            <w14:solidFill>
              <w14:schemeClr w14:val="tx1"/>
            </w14:solidFill>
          </w14:textFill>
        </w:rPr>
      </w:pPr>
      <w:r>
        <w:rPr>
          <w:snapToGrid w:val="0"/>
          <w:color w:val="000000" w:themeColor="text1"/>
          <w:kern w:val="0"/>
          <w:sz w:val="24"/>
          <w:highlight w:val="none"/>
          <w14:textFill>
            <w14:solidFill>
              <w14:schemeClr w14:val="tx1"/>
            </w14:solidFill>
          </w14:textFill>
        </w:rPr>
        <w:t>根据《遵化市生态保护红线》遵化市生态保护红线面积341.38km</w:t>
      </w:r>
      <w:r>
        <w:rPr>
          <w:snapToGrid w:val="0"/>
          <w:color w:val="000000" w:themeColor="text1"/>
          <w:kern w:val="0"/>
          <w:sz w:val="24"/>
          <w:highlight w:val="none"/>
          <w:vertAlign w:val="superscript"/>
          <w14:textFill>
            <w14:solidFill>
              <w14:schemeClr w14:val="tx1"/>
            </w14:solidFill>
          </w14:textFill>
        </w:rPr>
        <w:t>2</w:t>
      </w:r>
      <w:r>
        <w:rPr>
          <w:snapToGrid w:val="0"/>
          <w:color w:val="000000" w:themeColor="text1"/>
          <w:kern w:val="0"/>
          <w:sz w:val="24"/>
          <w:highlight w:val="none"/>
          <w14:textFill>
            <w14:solidFill>
              <w14:schemeClr w14:val="tx1"/>
            </w14:solidFill>
          </w14:textFill>
        </w:rPr>
        <w:t>，占遵化市国土面积的22.55%，包括4个红线区：遵化市清东陵水源涵养土壤保持功能红线区、遵化市卧龙山水源涵养土壤保持功能红线区、遵化市鹫峰山水源涵养土壤保持功能红线区以及黎河河道生态保护红线。</w:t>
      </w:r>
    </w:p>
    <w:p>
      <w:pPr>
        <w:tabs>
          <w:tab w:val="left" w:pos="1080"/>
        </w:tabs>
        <w:spacing w:line="480" w:lineRule="exact"/>
        <w:ind w:firstLine="480" w:firstLineChars="200"/>
        <w:jc w:val="left"/>
        <w:rPr>
          <w:color w:val="auto"/>
          <w:sz w:val="24"/>
          <w:highlight w:val="none"/>
        </w:rPr>
      </w:pPr>
      <w:r>
        <w:rPr>
          <w:rFonts w:hint="eastAsia"/>
          <w:sz w:val="24"/>
          <w:highlight w:val="none"/>
        </w:rPr>
        <w:t>本</w:t>
      </w:r>
      <w:r>
        <w:rPr>
          <w:sz w:val="24"/>
          <w:highlight w:val="none"/>
        </w:rPr>
        <w:t>项目</w:t>
      </w:r>
      <w:r>
        <w:rPr>
          <w:rFonts w:hint="eastAsia"/>
          <w:sz w:val="24"/>
          <w:highlight w:val="none"/>
        </w:rPr>
        <w:t>为引水式水电站</w:t>
      </w:r>
      <w:r>
        <w:rPr>
          <w:sz w:val="24"/>
          <w:highlight w:val="none"/>
        </w:rPr>
        <w:t>项目</w:t>
      </w:r>
      <w:r>
        <w:rPr>
          <w:rFonts w:hint="eastAsia"/>
          <w:sz w:val="24"/>
          <w:highlight w:val="none"/>
        </w:rPr>
        <w:t>，位于</w:t>
      </w:r>
      <w:r>
        <w:rPr>
          <w:snapToGrid w:val="0"/>
          <w:kern w:val="0"/>
          <w:sz w:val="24"/>
          <w:highlight w:val="none"/>
        </w:rPr>
        <w:t>遵化市东21km建明镇</w:t>
      </w:r>
      <w:r>
        <w:rPr>
          <w:rFonts w:hint="eastAsia"/>
          <w:snapToGrid w:val="0"/>
          <w:kern w:val="0"/>
          <w:sz w:val="24"/>
          <w:highlight w:val="none"/>
          <w:lang w:eastAsia="zh-CN"/>
        </w:rPr>
        <w:t>白马峪</w:t>
      </w:r>
      <w:r>
        <w:rPr>
          <w:snapToGrid w:val="0"/>
          <w:kern w:val="0"/>
          <w:sz w:val="24"/>
          <w:highlight w:val="none"/>
        </w:rPr>
        <w:t>村</w:t>
      </w:r>
      <w:r>
        <w:rPr>
          <w:rFonts w:hint="eastAsia"/>
          <w:snapToGrid w:val="0"/>
          <w:kern w:val="0"/>
          <w:sz w:val="24"/>
          <w:highlight w:val="none"/>
          <w:lang w:eastAsia="zh-CN"/>
        </w:rPr>
        <w:t>南</w:t>
      </w:r>
      <w:r>
        <w:rPr>
          <w:snapToGrid w:val="0"/>
          <w:kern w:val="0"/>
          <w:sz w:val="24"/>
          <w:highlight w:val="none"/>
        </w:rPr>
        <w:t>的黎河</w:t>
      </w:r>
      <w:r>
        <w:rPr>
          <w:rFonts w:hint="eastAsia"/>
          <w:snapToGrid w:val="0"/>
          <w:kern w:val="0"/>
          <w:sz w:val="24"/>
          <w:highlight w:val="none"/>
        </w:rPr>
        <w:t>（引滦入津输水线）</w:t>
      </w:r>
      <w:r>
        <w:rPr>
          <w:snapToGrid w:val="0"/>
          <w:kern w:val="0"/>
          <w:sz w:val="24"/>
          <w:highlight w:val="none"/>
        </w:rPr>
        <w:t>，水电站站址在</w:t>
      </w:r>
      <w:r>
        <w:rPr>
          <w:rFonts w:hint="eastAsia"/>
          <w:snapToGrid w:val="0"/>
          <w:kern w:val="0"/>
          <w:sz w:val="24"/>
          <w:highlight w:val="none"/>
        </w:rPr>
        <w:t>遵化市建明镇西铺村西南1200m</w:t>
      </w:r>
      <w:r>
        <w:rPr>
          <w:snapToGrid w:val="0"/>
          <w:kern w:val="0"/>
          <w:sz w:val="24"/>
          <w:highlight w:val="none"/>
        </w:rPr>
        <w:t>，</w:t>
      </w:r>
      <w:r>
        <w:rPr>
          <w:rFonts w:hint="eastAsia"/>
          <w:snapToGrid w:val="0"/>
          <w:kern w:val="0"/>
          <w:sz w:val="24"/>
          <w:highlight w:val="none"/>
        </w:rPr>
        <w:t>水电站</w:t>
      </w:r>
      <w:r>
        <w:rPr>
          <w:snapToGrid w:val="0"/>
          <w:kern w:val="0"/>
          <w:sz w:val="24"/>
          <w:highlight w:val="none"/>
        </w:rPr>
        <w:t>中心地理坐标</w:t>
      </w:r>
      <w:r>
        <w:rPr>
          <w:rFonts w:hint="eastAsia"/>
          <w:snapToGrid w:val="0"/>
          <w:kern w:val="0"/>
          <w:sz w:val="24"/>
          <w:highlight w:val="none"/>
        </w:rPr>
        <w:t>北纬40.183881°，东经118.119378°</w:t>
      </w:r>
      <w:r>
        <w:rPr>
          <w:spacing w:val="10"/>
          <w:sz w:val="24"/>
          <w:highlight w:val="none"/>
        </w:rPr>
        <w:t>。</w:t>
      </w:r>
      <w:r>
        <w:rPr>
          <w:sz w:val="24"/>
          <w:highlight w:val="none"/>
        </w:rPr>
        <w:t>占地面积为22786m</w:t>
      </w:r>
      <w:r>
        <w:rPr>
          <w:sz w:val="24"/>
          <w:highlight w:val="none"/>
          <w:vertAlign w:val="superscript"/>
        </w:rPr>
        <w:t>2</w:t>
      </w:r>
      <w:r>
        <w:rPr>
          <w:rFonts w:hint="eastAsia"/>
          <w:sz w:val="24"/>
          <w:highlight w:val="none"/>
        </w:rPr>
        <w:t>，</w:t>
      </w:r>
      <w:r>
        <w:rPr>
          <w:rFonts w:hint="eastAsia"/>
          <w:color w:val="000000" w:themeColor="text1"/>
          <w:sz w:val="24"/>
          <w:highlight w:val="none"/>
          <w14:textFill>
            <w14:solidFill>
              <w14:schemeClr w14:val="tx1"/>
            </w14:solidFill>
          </w14:textFill>
        </w:rPr>
        <w:t>项目选址不涉及铁路、公路、航道、防洪、管道、干渠、通讯等重要基础设施，对照唐山市生态保护红线分布图，本项目引水渠、电站及尾水渠均不在生态保护红线范围内，满足生态保护红线要求，（见附件）。</w:t>
      </w:r>
      <w:r>
        <w:rPr>
          <w:rFonts w:hint="eastAsia"/>
          <w:color w:val="auto"/>
          <w:sz w:val="24"/>
          <w:highlight w:val="none"/>
        </w:rPr>
        <w:t>橡胶坝位于黎河河道内，黎河河道属于生态保护红线。</w:t>
      </w:r>
    </w:p>
    <w:p>
      <w:pPr>
        <w:spacing w:line="480" w:lineRule="exact"/>
        <w:ind w:firstLine="480" w:firstLineChars="200"/>
        <w:rPr>
          <w:highlight w:val="none"/>
        </w:rPr>
      </w:pPr>
      <w:r>
        <w:rPr>
          <w:rFonts w:hint="eastAsia"/>
          <w:color w:val="auto"/>
          <w:sz w:val="24"/>
          <w:highlight w:val="none"/>
        </w:rPr>
        <w:t>本项目为水力发电工程，不属于工业类项目，项目已建成并运行多年，永久占地面积较小，工程建设对评价区野生动植物的影响属于低等程度的干扰影响，造成的生态影响轻微。通过采取相应的生态环境保护措施，基本不会使区域生态功能受到严重损失。</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本项目</w:t>
      </w:r>
      <w:r>
        <w:rPr>
          <w:rFonts w:hint="eastAsia" w:ascii="Times New Roman" w:hAnsi="Times New Roman" w:cs="Times New Roman" w:eastAsiaTheme="majorEastAsia"/>
          <w:i w:val="0"/>
          <w:iCs w:val="0"/>
          <w:caps w:val="0"/>
          <w:color w:val="auto"/>
          <w:spacing w:val="0"/>
          <w:sz w:val="24"/>
          <w:szCs w:val="24"/>
          <w:highlight w:val="none"/>
          <w:shd w:val="clear" w:fill="FFFFFF"/>
          <w:lang w:eastAsia="zh-CN"/>
        </w:rPr>
        <w:t>筹建</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于</w:t>
      </w:r>
      <w:r>
        <w:rPr>
          <w:rFonts w:hint="eastAsia" w:ascii="Times New Roman" w:hAnsi="Times New Roman" w:cs="Times New Roman" w:eastAsiaTheme="majorEastAsia"/>
          <w:i w:val="0"/>
          <w:iCs w:val="0"/>
          <w:caps w:val="0"/>
          <w:color w:val="auto"/>
          <w:spacing w:val="0"/>
          <w:sz w:val="24"/>
          <w:szCs w:val="24"/>
          <w:highlight w:val="none"/>
          <w:shd w:val="clear" w:fill="FFFFFF"/>
          <w:lang w:val="en-US" w:eastAsia="zh-CN"/>
        </w:rPr>
        <w:t>2005</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年</w:t>
      </w:r>
      <w:r>
        <w:rPr>
          <w:rFonts w:hint="eastAsia" w:ascii="Times New Roman" w:hAnsi="Times New Roman" w:cs="Times New Roman" w:eastAsiaTheme="majorEastAsia"/>
          <w:i w:val="0"/>
          <w:iCs w:val="0"/>
          <w:caps w:val="0"/>
          <w:color w:val="auto"/>
          <w:spacing w:val="0"/>
          <w:sz w:val="24"/>
          <w:szCs w:val="24"/>
          <w:highlight w:val="none"/>
          <w:shd w:val="clear" w:fill="FFFFFF"/>
          <w:lang w:val="en-US" w:eastAsia="zh-CN"/>
        </w:rPr>
        <w:t>，2006年10月投产，</w:t>
      </w:r>
      <w:r>
        <w:rPr>
          <w:snapToGrid w:val="0"/>
          <w:color w:val="auto"/>
          <w:kern w:val="0"/>
          <w:sz w:val="24"/>
          <w:highlight w:val="none"/>
        </w:rPr>
        <w:t>201</w:t>
      </w:r>
      <w:r>
        <w:rPr>
          <w:rFonts w:hint="eastAsia"/>
          <w:snapToGrid w:val="0"/>
          <w:color w:val="auto"/>
          <w:kern w:val="0"/>
          <w:sz w:val="24"/>
          <w:highlight w:val="none"/>
          <w:lang w:val="en-US" w:eastAsia="zh-CN"/>
        </w:rPr>
        <w:t>2</w:t>
      </w:r>
      <w:r>
        <w:rPr>
          <w:snapToGrid w:val="0"/>
          <w:color w:val="auto"/>
          <w:kern w:val="0"/>
          <w:sz w:val="24"/>
          <w:highlight w:val="none"/>
        </w:rPr>
        <w:t>年</w:t>
      </w:r>
      <w:r>
        <w:rPr>
          <w:rFonts w:hint="eastAsia"/>
          <w:snapToGrid w:val="0"/>
          <w:color w:val="auto"/>
          <w:kern w:val="0"/>
          <w:sz w:val="24"/>
          <w:highlight w:val="none"/>
          <w:lang w:val="en-US" w:eastAsia="zh-CN"/>
        </w:rPr>
        <w:t>8</w:t>
      </w:r>
      <w:r>
        <w:rPr>
          <w:snapToGrid w:val="0"/>
          <w:color w:val="auto"/>
          <w:kern w:val="0"/>
          <w:sz w:val="24"/>
          <w:highlight w:val="none"/>
        </w:rPr>
        <w:t>月</w:t>
      </w:r>
      <w:r>
        <w:rPr>
          <w:rFonts w:hint="eastAsia"/>
          <w:snapToGrid w:val="0"/>
          <w:color w:val="auto"/>
          <w:kern w:val="0"/>
          <w:sz w:val="24"/>
          <w:highlight w:val="none"/>
        </w:rPr>
        <w:t>通过验收</w:t>
      </w:r>
      <w:r>
        <w:rPr>
          <w:snapToGrid w:val="0"/>
          <w:color w:val="auto"/>
          <w:kern w:val="0"/>
          <w:sz w:val="24"/>
          <w:highlight w:val="none"/>
        </w:rPr>
        <w:t>《</w:t>
      </w:r>
      <w:r>
        <w:rPr>
          <w:rFonts w:hint="eastAsia"/>
          <w:snapToGrid w:val="0"/>
          <w:color w:val="auto"/>
          <w:kern w:val="0"/>
          <w:sz w:val="24"/>
          <w:highlight w:val="none"/>
        </w:rPr>
        <w:t>河北省水利厅以冀水电【2012】27号</w:t>
      </w:r>
      <w:r>
        <w:rPr>
          <w:snapToGrid w:val="0"/>
          <w:color w:val="auto"/>
          <w:kern w:val="0"/>
          <w:sz w:val="24"/>
          <w:highlight w:val="none"/>
        </w:rPr>
        <w:t>》</w:t>
      </w:r>
      <w:r>
        <w:rPr>
          <w:rFonts w:hint="eastAsia"/>
          <w:snapToGrid w:val="0"/>
          <w:color w:val="auto"/>
          <w:kern w:val="0"/>
          <w:sz w:val="24"/>
          <w:highlight w:val="none"/>
        </w:rPr>
        <w:t>（见</w:t>
      </w:r>
      <w:r>
        <w:rPr>
          <w:snapToGrid w:val="0"/>
          <w:color w:val="auto"/>
          <w:kern w:val="0"/>
          <w:sz w:val="24"/>
          <w:highlight w:val="none"/>
        </w:rPr>
        <w:t>附件）</w:t>
      </w:r>
      <w:r>
        <w:rPr>
          <w:rFonts w:hint="eastAsia"/>
          <w:snapToGrid w:val="0"/>
          <w:color w:val="auto"/>
          <w:kern w:val="0"/>
          <w:sz w:val="24"/>
          <w:highlight w:val="none"/>
        </w:rPr>
        <w:t>。经核实，该公司用地范围内，</w:t>
      </w:r>
      <w:r>
        <w:rPr>
          <w:rFonts w:hint="eastAsia"/>
          <w:snapToGrid w:val="0"/>
          <w:color w:val="auto"/>
          <w:kern w:val="0"/>
          <w:sz w:val="24"/>
          <w:highlight w:val="none"/>
          <w:lang w:eastAsia="zh-CN"/>
        </w:rPr>
        <w:t>水电站站房</w:t>
      </w:r>
      <w:r>
        <w:rPr>
          <w:rFonts w:hint="eastAsia"/>
          <w:snapToGrid w:val="0"/>
          <w:color w:val="auto"/>
          <w:kern w:val="0"/>
          <w:sz w:val="24"/>
          <w:highlight w:val="none"/>
        </w:rPr>
        <w:t>不涉及占用生态保护红线</w:t>
      </w:r>
      <w:r>
        <w:rPr>
          <w:rFonts w:hint="eastAsia"/>
          <w:snapToGrid w:val="0"/>
          <w:color w:val="auto"/>
          <w:kern w:val="0"/>
          <w:sz w:val="24"/>
          <w:highlight w:val="none"/>
          <w:lang w:eastAsia="zh-CN"/>
        </w:rPr>
        <w:t>，但橡胶坝位于黎河生态保护红线内</w:t>
      </w:r>
      <w:r>
        <w:rPr>
          <w:rFonts w:hint="eastAsia"/>
          <w:snapToGrid w:val="0"/>
          <w:kern w:val="0"/>
          <w:sz w:val="24"/>
          <w:highlight w:val="none"/>
        </w:rPr>
        <w:t>。</w:t>
      </w:r>
    </w:p>
    <w:p>
      <w:pPr>
        <w:tabs>
          <w:tab w:val="left" w:pos="1080"/>
        </w:tabs>
        <w:spacing w:line="480" w:lineRule="exact"/>
        <w:ind w:firstLine="480" w:firstLineChars="200"/>
        <w:jc w:val="left"/>
        <w:rPr>
          <w:b/>
          <w:color w:val="0000FF"/>
          <w:sz w:val="24"/>
          <w:highlight w:val="none"/>
        </w:rPr>
      </w:pPr>
      <w:r>
        <w:rPr>
          <w:color w:val="000000" w:themeColor="text1"/>
          <w:sz w:val="24"/>
          <w:highlight w:val="none"/>
          <w14:textFill>
            <w14:solidFill>
              <w14:schemeClr w14:val="tx1"/>
            </w14:solidFill>
          </w14:textFill>
        </w:rPr>
        <w:t>项目与河北省生态保护红线位置关系</w:t>
      </w:r>
      <w:r>
        <w:rPr>
          <w:rFonts w:hint="eastAsia"/>
          <w:color w:val="000000" w:themeColor="text1"/>
          <w:sz w:val="24"/>
          <w:highlight w:val="none"/>
          <w14:textFill>
            <w14:solidFill>
              <w14:schemeClr w14:val="tx1"/>
            </w14:solidFill>
          </w14:textFill>
        </w:rPr>
        <w:t>见附图4</w:t>
      </w:r>
      <w:r>
        <w:rPr>
          <w:color w:val="000000" w:themeColor="text1"/>
          <w:sz w:val="24"/>
          <w:highlight w:val="none"/>
          <w14:textFill>
            <w14:solidFill>
              <w14:schemeClr w14:val="tx1"/>
            </w14:solidFill>
          </w14:textFill>
        </w:rPr>
        <w:t>。</w:t>
      </w:r>
      <w:r>
        <w:rPr>
          <w:rFonts w:hint="eastAsia"/>
          <w:b/>
          <w:color w:val="000000" w:themeColor="text1"/>
          <w:sz w:val="24"/>
          <w:highlight w:val="none"/>
          <w14:textFill>
            <w14:solidFill>
              <w14:schemeClr w14:val="tx1"/>
            </w14:solidFill>
          </w14:textFill>
        </w:rPr>
        <w:t xml:space="preserve"> </w:t>
      </w:r>
      <w:r>
        <w:rPr>
          <w:color w:val="000000" w:themeColor="text1"/>
          <w:sz w:val="24"/>
          <w:highlight w:val="none"/>
          <w14:textFill>
            <w14:solidFill>
              <w14:schemeClr w14:val="tx1"/>
            </w14:solidFill>
          </w14:textFill>
        </w:rPr>
        <w:t>图</w:t>
      </w:r>
      <w:r>
        <w:rPr>
          <w:rFonts w:hint="eastAsia"/>
          <w:color w:val="000000" w:themeColor="text1"/>
          <w:sz w:val="24"/>
          <w:highlight w:val="none"/>
          <w14:textFill>
            <w14:solidFill>
              <w14:schemeClr w14:val="tx1"/>
            </w14:solidFill>
          </w14:textFill>
        </w:rPr>
        <w:t>0.4</w:t>
      </w:r>
      <w:r>
        <w:rPr>
          <w:color w:val="000000" w:themeColor="text1"/>
          <w:sz w:val="24"/>
          <w:highlight w:val="none"/>
          <w14:textFill>
            <w14:solidFill>
              <w14:schemeClr w14:val="tx1"/>
            </w14:solidFill>
          </w14:textFill>
        </w:rPr>
        <w:t>-1。</w:t>
      </w:r>
    </w:p>
    <w:p>
      <w:pPr>
        <w:jc w:val="center"/>
        <w:rPr>
          <w:rFonts w:hint="eastAsia" w:eastAsia="宋体"/>
          <w:highlight w:val="none"/>
          <w:lang w:eastAsia="zh-CN"/>
        </w:rPr>
      </w:pPr>
      <w:r>
        <w:rPr>
          <w:rFonts w:hint="eastAsia" w:eastAsia="宋体"/>
          <w:highlight w:val="none"/>
          <w:lang w:eastAsia="zh-CN"/>
        </w:rPr>
        <w:drawing>
          <wp:inline distT="0" distB="0" distL="114300" distR="114300">
            <wp:extent cx="5257800" cy="2673985"/>
            <wp:effectExtent l="0" t="0" r="0" b="12065"/>
            <wp:docPr id="229" name="图片 229" descr="微信截图_20230726154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微信截图_20230726154903"/>
                    <pic:cNvPicPr>
                      <a:picLocks noChangeAspect="1"/>
                    </pic:cNvPicPr>
                  </pic:nvPicPr>
                  <pic:blipFill>
                    <a:blip r:embed="rId33"/>
                    <a:stretch>
                      <a:fillRect/>
                    </a:stretch>
                  </pic:blipFill>
                  <pic:spPr>
                    <a:xfrm>
                      <a:off x="0" y="0"/>
                      <a:ext cx="5257800" cy="2673985"/>
                    </a:xfrm>
                    <a:prstGeom prst="rect">
                      <a:avLst/>
                    </a:prstGeom>
                  </pic:spPr>
                </pic:pic>
              </a:graphicData>
            </a:graphic>
          </wp:inline>
        </w:drawing>
      </w:r>
    </w:p>
    <w:p>
      <w:pPr>
        <w:spacing w:line="480" w:lineRule="exact"/>
        <w:jc w:val="center"/>
        <w:rPr>
          <w:b/>
          <w:sz w:val="24"/>
          <w:highlight w:val="none"/>
        </w:rPr>
      </w:pPr>
      <w:r>
        <w:rPr>
          <w:b/>
          <w:sz w:val="24"/>
          <w:highlight w:val="none"/>
        </w:rPr>
        <w:t>图</w:t>
      </w:r>
      <w:r>
        <w:rPr>
          <w:rFonts w:hint="eastAsia"/>
          <w:b/>
          <w:sz w:val="24"/>
          <w:highlight w:val="none"/>
        </w:rPr>
        <w:t>0.4</w:t>
      </w:r>
      <w:r>
        <w:rPr>
          <w:b/>
          <w:sz w:val="24"/>
          <w:highlight w:val="none"/>
        </w:rPr>
        <w:t>-1  本项目与黎河生态红线关系图</w:t>
      </w:r>
    </w:p>
    <w:p>
      <w:pPr>
        <w:spacing w:line="480" w:lineRule="exact"/>
        <w:ind w:firstLine="480" w:firstLineChars="200"/>
        <w:jc w:val="left"/>
        <w:rPr>
          <w:sz w:val="24"/>
          <w:highlight w:val="none"/>
        </w:rPr>
      </w:pPr>
      <w:r>
        <w:rPr>
          <w:rFonts w:hint="eastAsia"/>
          <w:sz w:val="24"/>
          <w:highlight w:val="none"/>
        </w:rPr>
        <w:t>（2）</w:t>
      </w:r>
      <w:r>
        <w:rPr>
          <w:sz w:val="24"/>
          <w:highlight w:val="none"/>
        </w:rPr>
        <w:t>环境质量底线</w:t>
      </w:r>
    </w:p>
    <w:p>
      <w:pPr>
        <w:spacing w:line="480" w:lineRule="exact"/>
        <w:ind w:firstLine="482"/>
        <w:rPr>
          <w:sz w:val="24"/>
          <w:highlight w:val="none"/>
        </w:rPr>
      </w:pPr>
      <w:r>
        <w:rPr>
          <w:rFonts w:hint="eastAsia"/>
          <w:sz w:val="24"/>
          <w:highlight w:val="none"/>
        </w:rPr>
        <w:fldChar w:fldCharType="begin"/>
      </w:r>
      <w:r>
        <w:rPr>
          <w:rFonts w:hint="eastAsia"/>
          <w:sz w:val="24"/>
          <w:highlight w:val="none"/>
        </w:rPr>
        <w:instrText xml:space="preserve"> = 1 \* GB3 \* MERGEFORMAT </w:instrText>
      </w:r>
      <w:r>
        <w:rPr>
          <w:rFonts w:hint="eastAsia"/>
          <w:sz w:val="24"/>
          <w:highlight w:val="none"/>
        </w:rPr>
        <w:fldChar w:fldCharType="separate"/>
      </w:r>
      <w:r>
        <w:rPr>
          <w:highlight w:val="none"/>
        </w:rPr>
        <w:t>①</w:t>
      </w:r>
      <w:r>
        <w:rPr>
          <w:rFonts w:hint="eastAsia"/>
          <w:sz w:val="24"/>
          <w:highlight w:val="none"/>
        </w:rPr>
        <w:fldChar w:fldCharType="end"/>
      </w:r>
      <w:r>
        <w:rPr>
          <w:rFonts w:hint="eastAsia"/>
          <w:sz w:val="24"/>
          <w:highlight w:val="none"/>
        </w:rPr>
        <w:t>环境空气质量现状</w:t>
      </w:r>
    </w:p>
    <w:p>
      <w:pPr>
        <w:pStyle w:val="29"/>
        <w:tabs>
          <w:tab w:val="left" w:pos="4148"/>
        </w:tabs>
        <w:adjustRightInd w:val="0"/>
        <w:snapToGrid w:val="0"/>
        <w:spacing w:line="480" w:lineRule="exact"/>
        <w:ind w:firstLine="480" w:firstLineChars="200"/>
        <w:rPr>
          <w:sz w:val="24"/>
          <w:highlight w:val="none"/>
        </w:rPr>
      </w:pPr>
      <w:r>
        <w:rPr>
          <w:rFonts w:ascii="Times New Roman" w:hAnsi="Times New Roman"/>
          <w:sz w:val="24"/>
          <w:szCs w:val="24"/>
          <w:highlight w:val="none"/>
        </w:rPr>
        <w:t>唐山市城市环境空气质量按6个国控站点监测数据平均值计算，</w:t>
      </w:r>
      <w:r>
        <w:rPr>
          <w:rFonts w:hint="eastAsia" w:ascii="Times New Roman" w:hAnsi="Times New Roman"/>
          <w:sz w:val="24"/>
          <w:szCs w:val="24"/>
          <w:highlight w:val="none"/>
          <w:lang w:val="en-US" w:eastAsia="zh-CN"/>
        </w:rPr>
        <w:t>2022年</w:t>
      </w:r>
      <w:r>
        <w:rPr>
          <w:rFonts w:ascii="Times New Roman" w:hAnsi="Times New Roman"/>
          <w:sz w:val="24"/>
          <w:szCs w:val="24"/>
          <w:highlight w:val="none"/>
        </w:rPr>
        <w:t>六项污染物浓度分别为：细颗粒物（PM</w:t>
      </w:r>
      <w:r>
        <w:rPr>
          <w:rFonts w:ascii="Times New Roman" w:hAnsi="Times New Roman"/>
          <w:sz w:val="24"/>
          <w:szCs w:val="24"/>
          <w:highlight w:val="none"/>
          <w:vertAlign w:val="subscript"/>
        </w:rPr>
        <w:t>2.5</w:t>
      </w:r>
      <w:r>
        <w:rPr>
          <w:rFonts w:ascii="Times New Roman" w:hAnsi="Times New Roman"/>
          <w:sz w:val="24"/>
          <w:szCs w:val="24"/>
          <w:highlight w:val="none"/>
        </w:rPr>
        <w:t>）年均浓度值</w:t>
      </w:r>
      <w:r>
        <w:rPr>
          <w:rFonts w:hint="eastAsia" w:ascii="Times New Roman" w:hAnsi="Times New Roman"/>
          <w:sz w:val="24"/>
          <w:szCs w:val="24"/>
          <w:highlight w:val="none"/>
          <w:lang w:val="en-US" w:eastAsia="zh-CN"/>
        </w:rPr>
        <w:t>37</w:t>
      </w:r>
      <w:r>
        <w:rPr>
          <w:rFonts w:ascii="Times New Roman" w:hAnsi="Times New Roman"/>
          <w:sz w:val="24"/>
          <w:szCs w:val="24"/>
          <w:highlight w:val="none"/>
        </w:rPr>
        <w:t>μg/m</w:t>
      </w:r>
      <w:r>
        <w:rPr>
          <w:rFonts w:ascii="Times New Roman" w:hAnsi="Times New Roman"/>
          <w:sz w:val="24"/>
          <w:szCs w:val="24"/>
          <w:highlight w:val="none"/>
          <w:vertAlign w:val="superscript"/>
        </w:rPr>
        <w:t>3</w:t>
      </w:r>
      <w:r>
        <w:rPr>
          <w:rFonts w:ascii="Times New Roman" w:hAnsi="Times New Roman"/>
          <w:sz w:val="24"/>
          <w:szCs w:val="24"/>
          <w:highlight w:val="none"/>
        </w:rPr>
        <w:t>，可吸入颗粒物（PM</w:t>
      </w:r>
      <w:r>
        <w:rPr>
          <w:rFonts w:ascii="Times New Roman" w:hAnsi="Times New Roman"/>
          <w:sz w:val="24"/>
          <w:szCs w:val="24"/>
          <w:highlight w:val="none"/>
          <w:vertAlign w:val="subscript"/>
        </w:rPr>
        <w:t>10</w:t>
      </w:r>
      <w:r>
        <w:rPr>
          <w:rFonts w:ascii="Times New Roman" w:hAnsi="Times New Roman"/>
          <w:sz w:val="24"/>
          <w:szCs w:val="24"/>
          <w:highlight w:val="none"/>
        </w:rPr>
        <w:t>）年均浓度值</w:t>
      </w:r>
      <w:r>
        <w:rPr>
          <w:rFonts w:hint="eastAsia" w:ascii="Times New Roman" w:hAnsi="Times New Roman"/>
          <w:sz w:val="24"/>
          <w:szCs w:val="24"/>
          <w:highlight w:val="none"/>
          <w:lang w:val="en-US" w:eastAsia="zh-CN"/>
        </w:rPr>
        <w:t>67</w:t>
      </w:r>
      <w:r>
        <w:rPr>
          <w:rFonts w:ascii="Times New Roman" w:hAnsi="Times New Roman"/>
          <w:sz w:val="24"/>
          <w:szCs w:val="24"/>
          <w:highlight w:val="none"/>
        </w:rPr>
        <w:t>μg/m</w:t>
      </w:r>
      <w:r>
        <w:rPr>
          <w:rFonts w:ascii="Times New Roman" w:hAnsi="Times New Roman"/>
          <w:sz w:val="24"/>
          <w:szCs w:val="24"/>
          <w:highlight w:val="none"/>
          <w:vertAlign w:val="superscript"/>
        </w:rPr>
        <w:t>3</w:t>
      </w:r>
      <w:r>
        <w:rPr>
          <w:rFonts w:ascii="Times New Roman" w:hAnsi="Times New Roman"/>
          <w:sz w:val="24"/>
          <w:szCs w:val="24"/>
          <w:highlight w:val="none"/>
        </w:rPr>
        <w:t>，二氧化硫（SO</w:t>
      </w:r>
      <w:r>
        <w:rPr>
          <w:rFonts w:ascii="Times New Roman" w:hAnsi="Times New Roman"/>
          <w:sz w:val="24"/>
          <w:szCs w:val="24"/>
          <w:highlight w:val="none"/>
          <w:vertAlign w:val="subscript"/>
        </w:rPr>
        <w:t>2</w:t>
      </w:r>
      <w:r>
        <w:rPr>
          <w:rFonts w:ascii="Times New Roman" w:hAnsi="Times New Roman"/>
          <w:sz w:val="24"/>
          <w:szCs w:val="24"/>
          <w:highlight w:val="none"/>
        </w:rPr>
        <w:t>）年均浓度值</w:t>
      </w:r>
      <w:r>
        <w:rPr>
          <w:rFonts w:hint="eastAsia" w:ascii="Times New Roman" w:hAnsi="Times New Roman"/>
          <w:sz w:val="24"/>
          <w:szCs w:val="24"/>
          <w:highlight w:val="none"/>
          <w:lang w:val="en-US" w:eastAsia="zh-CN"/>
        </w:rPr>
        <w:t>8</w:t>
      </w:r>
      <w:r>
        <w:rPr>
          <w:rFonts w:ascii="Times New Roman" w:hAnsi="Times New Roman"/>
          <w:sz w:val="24"/>
          <w:szCs w:val="24"/>
          <w:highlight w:val="none"/>
        </w:rPr>
        <w:t>μg/m</w:t>
      </w:r>
      <w:r>
        <w:rPr>
          <w:rFonts w:ascii="Times New Roman" w:hAnsi="Times New Roman"/>
          <w:sz w:val="24"/>
          <w:szCs w:val="24"/>
          <w:highlight w:val="none"/>
          <w:vertAlign w:val="superscript"/>
        </w:rPr>
        <w:t>3</w:t>
      </w:r>
      <w:r>
        <w:rPr>
          <w:rFonts w:ascii="Times New Roman" w:hAnsi="Times New Roman"/>
          <w:sz w:val="24"/>
          <w:szCs w:val="24"/>
          <w:highlight w:val="none"/>
        </w:rPr>
        <w:t>，二氧化氮（NO</w:t>
      </w:r>
      <w:r>
        <w:rPr>
          <w:rFonts w:ascii="Times New Roman" w:hAnsi="Times New Roman"/>
          <w:sz w:val="24"/>
          <w:szCs w:val="24"/>
          <w:highlight w:val="none"/>
          <w:vertAlign w:val="subscript"/>
        </w:rPr>
        <w:t>2</w:t>
      </w:r>
      <w:r>
        <w:rPr>
          <w:rFonts w:ascii="Times New Roman" w:hAnsi="Times New Roman"/>
          <w:sz w:val="24"/>
          <w:szCs w:val="24"/>
          <w:highlight w:val="none"/>
        </w:rPr>
        <w:t>）年均浓度值</w:t>
      </w:r>
      <w:r>
        <w:rPr>
          <w:rFonts w:hint="eastAsia" w:ascii="Times New Roman" w:hAnsi="Times New Roman"/>
          <w:sz w:val="24"/>
          <w:szCs w:val="24"/>
          <w:highlight w:val="none"/>
          <w:lang w:val="en-US" w:eastAsia="zh-CN"/>
        </w:rPr>
        <w:t>32</w:t>
      </w:r>
      <w:r>
        <w:rPr>
          <w:rFonts w:ascii="Times New Roman" w:hAnsi="Times New Roman"/>
          <w:sz w:val="24"/>
          <w:szCs w:val="24"/>
          <w:highlight w:val="none"/>
        </w:rPr>
        <w:t>μg/m</w:t>
      </w:r>
      <w:r>
        <w:rPr>
          <w:rFonts w:ascii="Times New Roman" w:hAnsi="Times New Roman"/>
          <w:sz w:val="24"/>
          <w:szCs w:val="24"/>
          <w:highlight w:val="none"/>
          <w:vertAlign w:val="superscript"/>
        </w:rPr>
        <w:t>3</w:t>
      </w:r>
      <w:r>
        <w:rPr>
          <w:rFonts w:ascii="Times New Roman" w:hAnsi="Times New Roman"/>
          <w:sz w:val="24"/>
          <w:szCs w:val="24"/>
          <w:highlight w:val="none"/>
        </w:rPr>
        <w:t>，一氧化碳（CO）日均浓度值</w:t>
      </w:r>
      <w:r>
        <w:rPr>
          <w:rFonts w:hint="eastAsia" w:ascii="Times New Roman" w:hAnsi="Times New Roman"/>
          <w:sz w:val="24"/>
          <w:szCs w:val="24"/>
          <w:highlight w:val="none"/>
          <w:lang w:val="en-US" w:eastAsia="zh-CN"/>
        </w:rPr>
        <w:t>1.5</w:t>
      </w:r>
      <w:r>
        <w:rPr>
          <w:rFonts w:ascii="Times New Roman" w:hAnsi="Times New Roman"/>
          <w:sz w:val="24"/>
          <w:szCs w:val="24"/>
          <w:highlight w:val="none"/>
        </w:rPr>
        <w:t>mg/m</w:t>
      </w:r>
      <w:r>
        <w:rPr>
          <w:rFonts w:ascii="Times New Roman" w:hAnsi="Times New Roman"/>
          <w:sz w:val="24"/>
          <w:szCs w:val="24"/>
          <w:highlight w:val="none"/>
          <w:vertAlign w:val="superscript"/>
        </w:rPr>
        <w:t>3</w:t>
      </w:r>
      <w:r>
        <w:rPr>
          <w:rFonts w:ascii="Times New Roman" w:hAnsi="Times New Roman"/>
          <w:sz w:val="24"/>
          <w:szCs w:val="24"/>
          <w:highlight w:val="none"/>
        </w:rPr>
        <w:t>，臭氧日最大8小时（O</w:t>
      </w:r>
      <w:r>
        <w:rPr>
          <w:rFonts w:ascii="Times New Roman" w:hAnsi="Times New Roman"/>
          <w:sz w:val="24"/>
          <w:szCs w:val="24"/>
          <w:highlight w:val="none"/>
          <w:vertAlign w:val="subscript"/>
        </w:rPr>
        <w:t>3</w:t>
      </w:r>
      <w:r>
        <w:rPr>
          <w:rFonts w:ascii="Times New Roman" w:hAnsi="Times New Roman"/>
          <w:sz w:val="24"/>
          <w:szCs w:val="24"/>
          <w:highlight w:val="none"/>
        </w:rPr>
        <w:t>-8h）平均浓度值182μg/m</w:t>
      </w:r>
      <w:r>
        <w:rPr>
          <w:rFonts w:ascii="Times New Roman" w:hAnsi="Times New Roman"/>
          <w:sz w:val="24"/>
          <w:szCs w:val="24"/>
          <w:highlight w:val="none"/>
          <w:vertAlign w:val="superscript"/>
        </w:rPr>
        <w:t>3</w:t>
      </w:r>
      <w:r>
        <w:rPr>
          <w:rFonts w:ascii="Times New Roman" w:hAnsi="Times New Roman"/>
          <w:sz w:val="24"/>
          <w:szCs w:val="24"/>
          <w:highlight w:val="none"/>
        </w:rPr>
        <w:t>。城市空气质量综合指数</w:t>
      </w:r>
      <w:r>
        <w:rPr>
          <w:rFonts w:hint="eastAsia" w:ascii="Times New Roman" w:hAnsi="Times New Roman"/>
          <w:sz w:val="24"/>
          <w:szCs w:val="24"/>
          <w:highlight w:val="none"/>
          <w:lang w:val="en-US" w:eastAsia="zh-CN"/>
        </w:rPr>
        <w:t>4.51</w:t>
      </w:r>
      <w:r>
        <w:rPr>
          <w:rFonts w:ascii="Times New Roman" w:hAnsi="Times New Roman"/>
          <w:sz w:val="24"/>
          <w:szCs w:val="24"/>
          <w:highlight w:val="none"/>
        </w:rPr>
        <w:t>，</w:t>
      </w:r>
      <w:r>
        <w:rPr>
          <w:rFonts w:hint="eastAsia" w:ascii="Times New Roman" w:hAnsi="Times New Roman"/>
          <w:sz w:val="24"/>
          <w:szCs w:val="24"/>
          <w:highlight w:val="none"/>
        </w:rPr>
        <w:t>较上年均有显著下降</w:t>
      </w:r>
      <w:r>
        <w:rPr>
          <w:rFonts w:ascii="Times New Roman" w:hAnsi="Times New Roman"/>
          <w:sz w:val="24"/>
          <w:szCs w:val="24"/>
          <w:highlight w:val="none"/>
        </w:rPr>
        <w:t>。污染物PM</w:t>
      </w:r>
      <w:r>
        <w:rPr>
          <w:rFonts w:ascii="Times New Roman" w:hAnsi="Times New Roman"/>
          <w:sz w:val="24"/>
          <w:szCs w:val="24"/>
          <w:highlight w:val="none"/>
          <w:vertAlign w:val="subscript"/>
        </w:rPr>
        <w:t>2.5</w:t>
      </w:r>
      <w:r>
        <w:rPr>
          <w:rFonts w:ascii="Times New Roman" w:hAnsi="Times New Roman"/>
          <w:sz w:val="24"/>
          <w:szCs w:val="24"/>
          <w:highlight w:val="none"/>
        </w:rPr>
        <w:t>、PM</w:t>
      </w:r>
      <w:r>
        <w:rPr>
          <w:rFonts w:ascii="Times New Roman" w:hAnsi="Times New Roman"/>
          <w:sz w:val="24"/>
          <w:szCs w:val="24"/>
          <w:highlight w:val="none"/>
          <w:vertAlign w:val="subscript"/>
        </w:rPr>
        <w:t>10</w:t>
      </w:r>
      <w:r>
        <w:rPr>
          <w:rFonts w:ascii="Times New Roman" w:hAnsi="Times New Roman"/>
          <w:sz w:val="24"/>
          <w:szCs w:val="24"/>
          <w:highlight w:val="none"/>
        </w:rPr>
        <w:t>、SO</w:t>
      </w:r>
      <w:r>
        <w:rPr>
          <w:rFonts w:ascii="Times New Roman" w:hAnsi="Times New Roman"/>
          <w:sz w:val="24"/>
          <w:szCs w:val="24"/>
          <w:highlight w:val="none"/>
          <w:vertAlign w:val="subscript"/>
        </w:rPr>
        <w:t>2</w:t>
      </w:r>
      <w:r>
        <w:rPr>
          <w:rFonts w:ascii="Times New Roman" w:hAnsi="Times New Roman"/>
          <w:sz w:val="24"/>
          <w:szCs w:val="24"/>
          <w:highlight w:val="none"/>
        </w:rPr>
        <w:t>、NO</w:t>
      </w:r>
      <w:r>
        <w:rPr>
          <w:rFonts w:ascii="Times New Roman" w:hAnsi="Times New Roman"/>
          <w:sz w:val="24"/>
          <w:szCs w:val="24"/>
          <w:highlight w:val="none"/>
          <w:vertAlign w:val="subscript"/>
        </w:rPr>
        <w:t>2</w:t>
      </w:r>
      <w:r>
        <w:rPr>
          <w:rFonts w:ascii="Times New Roman" w:hAnsi="Times New Roman"/>
          <w:sz w:val="24"/>
          <w:szCs w:val="24"/>
          <w:highlight w:val="none"/>
        </w:rPr>
        <w:t>、CO平均浓度较2019年分别下降</w:t>
      </w:r>
      <w:r>
        <w:rPr>
          <w:rFonts w:hint="eastAsia" w:ascii="Times New Roman" w:hAnsi="Times New Roman"/>
          <w:sz w:val="24"/>
          <w:szCs w:val="24"/>
          <w:highlight w:val="none"/>
          <w:lang w:val="en-US" w:eastAsia="zh-CN"/>
        </w:rPr>
        <w:t>14.0</w:t>
      </w:r>
      <w:r>
        <w:rPr>
          <w:rFonts w:ascii="Times New Roman" w:hAnsi="Times New Roman"/>
          <w:sz w:val="24"/>
          <w:szCs w:val="24"/>
          <w:highlight w:val="none"/>
        </w:rPr>
        <w:t>%、1</w:t>
      </w:r>
      <w:r>
        <w:rPr>
          <w:rFonts w:hint="eastAsia" w:ascii="Times New Roman" w:hAnsi="Times New Roman"/>
          <w:sz w:val="24"/>
          <w:szCs w:val="24"/>
          <w:highlight w:val="none"/>
          <w:lang w:val="en-US" w:eastAsia="zh-CN"/>
        </w:rPr>
        <w:t>5.2</w:t>
      </w:r>
      <w:r>
        <w:rPr>
          <w:rFonts w:ascii="Times New Roman" w:hAnsi="Times New Roman"/>
          <w:sz w:val="24"/>
          <w:szCs w:val="24"/>
          <w:highlight w:val="none"/>
        </w:rPr>
        <w:t>%、</w:t>
      </w:r>
      <w:r>
        <w:rPr>
          <w:rFonts w:hint="eastAsia" w:ascii="Times New Roman" w:hAnsi="Times New Roman"/>
          <w:sz w:val="24"/>
          <w:szCs w:val="24"/>
          <w:highlight w:val="none"/>
          <w:lang w:val="en-US" w:eastAsia="zh-CN"/>
        </w:rPr>
        <w:t>20.0</w:t>
      </w:r>
      <w:r>
        <w:rPr>
          <w:rFonts w:ascii="Times New Roman" w:hAnsi="Times New Roman"/>
          <w:sz w:val="24"/>
          <w:szCs w:val="24"/>
          <w:highlight w:val="none"/>
        </w:rPr>
        <w:t>%、</w:t>
      </w:r>
      <w:r>
        <w:rPr>
          <w:rFonts w:hint="eastAsia" w:ascii="Times New Roman" w:hAnsi="Times New Roman"/>
          <w:sz w:val="24"/>
          <w:szCs w:val="24"/>
          <w:highlight w:val="none"/>
          <w:lang w:val="en-US" w:eastAsia="zh-CN"/>
        </w:rPr>
        <w:t>17.9</w:t>
      </w:r>
      <w:r>
        <w:rPr>
          <w:rFonts w:ascii="Times New Roman" w:hAnsi="Times New Roman"/>
          <w:sz w:val="24"/>
          <w:szCs w:val="24"/>
          <w:highlight w:val="none"/>
        </w:rPr>
        <w:t>%、</w:t>
      </w:r>
      <w:r>
        <w:rPr>
          <w:rFonts w:hint="eastAsia" w:ascii="Times New Roman" w:hAnsi="Times New Roman"/>
          <w:sz w:val="24"/>
          <w:szCs w:val="24"/>
          <w:highlight w:val="none"/>
          <w:lang w:val="en-US" w:eastAsia="zh-CN"/>
        </w:rPr>
        <w:t>21.1</w:t>
      </w:r>
      <w:r>
        <w:rPr>
          <w:rFonts w:ascii="Times New Roman" w:hAnsi="Times New Roman"/>
          <w:sz w:val="24"/>
          <w:szCs w:val="24"/>
          <w:highlight w:val="none"/>
        </w:rPr>
        <w:t>%。PM</w:t>
      </w:r>
      <w:r>
        <w:rPr>
          <w:rFonts w:ascii="Times New Roman" w:hAnsi="Times New Roman"/>
          <w:sz w:val="24"/>
          <w:szCs w:val="24"/>
          <w:highlight w:val="none"/>
          <w:vertAlign w:val="subscript"/>
        </w:rPr>
        <w:t>2.5</w:t>
      </w:r>
      <w:r>
        <w:rPr>
          <w:rFonts w:ascii="Times New Roman" w:hAnsi="Times New Roman"/>
          <w:sz w:val="24"/>
          <w:szCs w:val="24"/>
          <w:highlight w:val="none"/>
        </w:rPr>
        <w:t>的</w:t>
      </w:r>
      <w:r>
        <w:rPr>
          <w:rFonts w:ascii="Times New Roman" w:hAnsi="Times New Roman"/>
          <w:kern w:val="0"/>
          <w:sz w:val="24"/>
          <w:szCs w:val="24"/>
          <w:highlight w:val="none"/>
        </w:rPr>
        <w:t>年平均质量浓度</w:t>
      </w:r>
      <w:r>
        <w:rPr>
          <w:rFonts w:ascii="Times New Roman" w:hAnsi="Times New Roman"/>
          <w:sz w:val="24"/>
          <w:szCs w:val="24"/>
          <w:highlight w:val="none"/>
        </w:rPr>
        <w:t>和O</w:t>
      </w:r>
      <w:r>
        <w:rPr>
          <w:rFonts w:ascii="Times New Roman" w:hAnsi="Times New Roman"/>
          <w:sz w:val="24"/>
          <w:szCs w:val="24"/>
          <w:highlight w:val="none"/>
          <w:vertAlign w:val="subscript"/>
        </w:rPr>
        <w:t>3</w:t>
      </w:r>
      <w:r>
        <w:rPr>
          <w:rFonts w:ascii="Times New Roman" w:hAnsi="Times New Roman"/>
          <w:sz w:val="24"/>
          <w:szCs w:val="24"/>
          <w:highlight w:val="none"/>
        </w:rPr>
        <w:t>的</w:t>
      </w:r>
      <w:r>
        <w:rPr>
          <w:rFonts w:ascii="Times New Roman" w:hAnsi="Times New Roman"/>
          <w:kern w:val="0"/>
          <w:sz w:val="24"/>
          <w:szCs w:val="24"/>
          <w:highlight w:val="none"/>
        </w:rPr>
        <w:t>日最大8h平均浓度</w:t>
      </w:r>
      <w:r>
        <w:rPr>
          <w:rFonts w:ascii="Times New Roman" w:hAnsi="Times New Roman"/>
          <w:sz w:val="24"/>
          <w:szCs w:val="24"/>
          <w:highlight w:val="none"/>
        </w:rPr>
        <w:t>不</w:t>
      </w:r>
      <w:r>
        <w:rPr>
          <w:rFonts w:ascii="Times New Roman" w:hAnsi="Times New Roman"/>
          <w:kern w:val="0"/>
          <w:sz w:val="24"/>
          <w:szCs w:val="24"/>
          <w:highlight w:val="none"/>
        </w:rPr>
        <w:t>满足《环境空气质量标准》（GB3095-2012）及其修改单中二级标准</w:t>
      </w:r>
      <w:r>
        <w:rPr>
          <w:rFonts w:ascii="Times New Roman" w:hAnsi="Times New Roman"/>
          <w:sz w:val="24"/>
          <w:szCs w:val="24"/>
          <w:highlight w:val="none"/>
        </w:rPr>
        <w:t>，项目所在区域环境空气质量不达标，属于不达标区。</w:t>
      </w:r>
    </w:p>
    <w:p>
      <w:pPr>
        <w:spacing w:line="480" w:lineRule="exact"/>
        <w:ind w:firstLine="482"/>
        <w:rPr>
          <w:rFonts w:hint="eastAsia" w:eastAsia="宋体"/>
          <w:sz w:val="24"/>
          <w:highlight w:val="none"/>
          <w:lang w:val="en-US" w:eastAsia="zh-CN"/>
        </w:rPr>
      </w:pPr>
      <w:r>
        <w:rPr>
          <w:rFonts w:hint="eastAsia"/>
          <w:sz w:val="24"/>
          <w:highlight w:val="none"/>
          <w:lang w:val="en-US" w:eastAsia="zh-CN"/>
        </w:rPr>
        <w:fldChar w:fldCharType="begin"/>
      </w:r>
      <w:r>
        <w:rPr>
          <w:rFonts w:hint="eastAsia"/>
          <w:sz w:val="24"/>
          <w:highlight w:val="none"/>
          <w:lang w:val="en-US" w:eastAsia="zh-CN"/>
        </w:rPr>
        <w:instrText xml:space="preserve"> = 2 \* GB3 \* MERGEFORMAT </w:instrText>
      </w:r>
      <w:r>
        <w:rPr>
          <w:rFonts w:hint="eastAsia"/>
          <w:sz w:val="24"/>
          <w:highlight w:val="none"/>
          <w:lang w:val="en-US" w:eastAsia="zh-CN"/>
        </w:rPr>
        <w:fldChar w:fldCharType="separate"/>
      </w:r>
      <w:r>
        <w:rPr>
          <w:highlight w:val="none"/>
        </w:rPr>
        <w:t>②</w:t>
      </w:r>
      <w:r>
        <w:rPr>
          <w:rFonts w:hint="eastAsia"/>
          <w:sz w:val="24"/>
          <w:highlight w:val="none"/>
          <w:lang w:val="en-US" w:eastAsia="zh-CN"/>
        </w:rPr>
        <w:fldChar w:fldCharType="end"/>
      </w:r>
      <w:r>
        <w:rPr>
          <w:rFonts w:hint="eastAsia"/>
          <w:sz w:val="24"/>
          <w:highlight w:val="none"/>
          <w:lang w:val="en-US" w:eastAsia="zh-CN"/>
        </w:rPr>
        <w:t>地表水、地下水质量现状</w:t>
      </w:r>
    </w:p>
    <w:p>
      <w:pPr>
        <w:spacing w:line="480" w:lineRule="exact"/>
        <w:ind w:firstLine="482"/>
        <w:rPr>
          <w:sz w:val="24"/>
          <w:highlight w:val="none"/>
        </w:rPr>
      </w:pPr>
      <w:r>
        <w:rPr>
          <w:rFonts w:hint="eastAsia"/>
          <w:kern w:val="0"/>
          <w:sz w:val="24"/>
          <w:highlight w:val="none"/>
          <w:lang w:eastAsia="zh-CN"/>
        </w:rPr>
        <w:t>经监测，本项目评价范围内地下水、</w:t>
      </w:r>
      <w:r>
        <w:rPr>
          <w:kern w:val="0"/>
          <w:sz w:val="24"/>
          <w:highlight w:val="none"/>
        </w:rPr>
        <w:t>黎河输送水所测的各项指标均能达到《地表水环境质量标准》（GB3838-2002）</w:t>
      </w:r>
      <w:r>
        <w:rPr>
          <w:rFonts w:hint="eastAsia"/>
          <w:sz w:val="24"/>
          <w:highlight w:val="none"/>
        </w:rPr>
        <w:t>Ⅲ</w:t>
      </w:r>
      <w:r>
        <w:rPr>
          <w:kern w:val="0"/>
          <w:sz w:val="24"/>
          <w:highlight w:val="none"/>
        </w:rPr>
        <w:t>类标准要求，地表水环境质量良好</w:t>
      </w:r>
      <w:r>
        <w:rPr>
          <w:rFonts w:hint="eastAsia"/>
          <w:kern w:val="0"/>
          <w:sz w:val="24"/>
          <w:highlight w:val="none"/>
        </w:rPr>
        <w:t>。</w:t>
      </w:r>
      <w:r>
        <w:rPr>
          <w:rFonts w:hint="eastAsia"/>
          <w:sz w:val="24"/>
          <w:highlight w:val="none"/>
        </w:rPr>
        <w:t>根据监测结果，</w:t>
      </w:r>
      <w:r>
        <w:rPr>
          <w:rFonts w:hint="eastAsia"/>
          <w:sz w:val="24"/>
          <w:highlight w:val="none"/>
          <w:lang w:eastAsia="zh-CN"/>
        </w:rPr>
        <w:t>地下水</w:t>
      </w:r>
      <w:r>
        <w:rPr>
          <w:rFonts w:hint="eastAsia"/>
          <w:sz w:val="24"/>
          <w:highlight w:val="none"/>
        </w:rPr>
        <w:t>各监测点位的各项监测因子均满足《地下水质量标准》（GB/T14848-2017）中Ⅲ类标准要求。</w:t>
      </w:r>
    </w:p>
    <w:p>
      <w:pPr>
        <w:spacing w:line="480" w:lineRule="exact"/>
        <w:ind w:firstLine="480" w:firstLineChars="200"/>
        <w:jc w:val="left"/>
        <w:rPr>
          <w:rFonts w:hint="eastAsia"/>
          <w:sz w:val="24"/>
          <w:highlight w:val="none"/>
          <w:lang w:val="en-US" w:eastAsia="zh-CN"/>
        </w:rPr>
      </w:pPr>
      <w:r>
        <w:rPr>
          <w:rFonts w:hint="eastAsia"/>
          <w:sz w:val="24"/>
          <w:highlight w:val="none"/>
          <w:lang w:val="en-US" w:eastAsia="zh-CN"/>
        </w:rPr>
        <w:fldChar w:fldCharType="begin"/>
      </w:r>
      <w:r>
        <w:rPr>
          <w:rFonts w:hint="eastAsia"/>
          <w:sz w:val="24"/>
          <w:highlight w:val="none"/>
          <w:lang w:val="en-US" w:eastAsia="zh-CN"/>
        </w:rPr>
        <w:instrText xml:space="preserve"> = 3 \* GB3 \* MERGEFORMAT </w:instrText>
      </w:r>
      <w:r>
        <w:rPr>
          <w:rFonts w:hint="eastAsia"/>
          <w:sz w:val="24"/>
          <w:highlight w:val="none"/>
          <w:lang w:val="en-US" w:eastAsia="zh-CN"/>
        </w:rPr>
        <w:fldChar w:fldCharType="separate"/>
      </w:r>
      <w:r>
        <w:rPr>
          <w:highlight w:val="none"/>
        </w:rPr>
        <w:t>③</w:t>
      </w:r>
      <w:r>
        <w:rPr>
          <w:rFonts w:hint="eastAsia"/>
          <w:sz w:val="24"/>
          <w:highlight w:val="none"/>
          <w:lang w:val="en-US" w:eastAsia="zh-CN"/>
        </w:rPr>
        <w:fldChar w:fldCharType="end"/>
      </w:r>
      <w:r>
        <w:rPr>
          <w:rFonts w:hint="eastAsia"/>
          <w:sz w:val="24"/>
          <w:highlight w:val="none"/>
          <w:lang w:val="en-US" w:eastAsia="zh-CN"/>
        </w:rPr>
        <w:t>声环境质量</w:t>
      </w:r>
    </w:p>
    <w:p>
      <w:pPr>
        <w:spacing w:line="480" w:lineRule="exact"/>
        <w:ind w:firstLine="480" w:firstLineChars="200"/>
        <w:jc w:val="left"/>
        <w:rPr>
          <w:sz w:val="24"/>
          <w:highlight w:val="none"/>
        </w:rPr>
      </w:pPr>
      <w:r>
        <w:rPr>
          <w:rFonts w:hint="eastAsia"/>
          <w:sz w:val="24"/>
          <w:highlight w:val="none"/>
          <w:lang w:eastAsia="zh-CN"/>
        </w:rPr>
        <w:t>本项目通过</w:t>
      </w:r>
      <w:r>
        <w:rPr>
          <w:sz w:val="24"/>
          <w:highlight w:val="none"/>
        </w:rPr>
        <w:t>在对机电设备采取减振、隔声等降噪措施，可使厂界噪声排放满足《工业企业厂界环境噪声排放标准》（GB12348-2008）2 类标准，不会对周边声环境产生明显的影响。</w:t>
      </w:r>
    </w:p>
    <w:p>
      <w:pPr>
        <w:spacing w:line="480" w:lineRule="exact"/>
        <w:ind w:firstLine="480" w:firstLineChars="200"/>
        <w:jc w:val="left"/>
        <w:rPr>
          <w:sz w:val="24"/>
          <w:highlight w:val="none"/>
        </w:rPr>
      </w:pPr>
      <w:r>
        <w:rPr>
          <w:rFonts w:hint="eastAsia"/>
          <w:sz w:val="24"/>
          <w:highlight w:val="none"/>
        </w:rPr>
        <w:t>（3）资源利用上线</w:t>
      </w:r>
    </w:p>
    <w:p>
      <w:pPr>
        <w:spacing w:line="480" w:lineRule="exact"/>
        <w:ind w:firstLine="480" w:firstLineChars="200"/>
        <w:jc w:val="left"/>
        <w:rPr>
          <w:sz w:val="24"/>
          <w:highlight w:val="none"/>
        </w:rPr>
      </w:pPr>
      <w:r>
        <w:rPr>
          <w:rFonts w:hint="eastAsia"/>
          <w:sz w:val="24"/>
          <w:highlight w:val="none"/>
        </w:rPr>
        <w:t>本项目为引水式水力发电项目，充分利用输水期水能资源，发电后水量未减少，所用资源相对较小。水力发电在运行中不消耗燃料，运行管理费和发电成本远比燃煤电站低。水力发电在水能转化为电能的过程中不发生化学变化，不排泄有害物质，对环境影响小，因此水力发电所获得的是一种清洁的能源。</w:t>
      </w:r>
    </w:p>
    <w:p>
      <w:pPr>
        <w:spacing w:line="480" w:lineRule="exact"/>
        <w:ind w:firstLine="480" w:firstLineChars="200"/>
        <w:jc w:val="left"/>
        <w:rPr>
          <w:sz w:val="24"/>
          <w:highlight w:val="none"/>
        </w:rPr>
      </w:pPr>
      <w:r>
        <w:rPr>
          <w:rFonts w:hint="eastAsia"/>
          <w:sz w:val="24"/>
          <w:highlight w:val="none"/>
        </w:rPr>
        <w:t>因此，本项目建设不会与资源利用上线冲突</w:t>
      </w:r>
    </w:p>
    <w:p>
      <w:pPr>
        <w:spacing w:line="480" w:lineRule="exact"/>
        <w:ind w:firstLine="480" w:firstLineChars="200"/>
        <w:jc w:val="left"/>
        <w:rPr>
          <w:sz w:val="24"/>
          <w:highlight w:val="none"/>
        </w:rPr>
      </w:pPr>
      <w:r>
        <w:rPr>
          <w:rFonts w:hint="eastAsia"/>
          <w:sz w:val="24"/>
          <w:highlight w:val="none"/>
        </w:rPr>
        <w:t>（4）环境准入负面清单</w:t>
      </w:r>
    </w:p>
    <w:p>
      <w:pPr>
        <w:spacing w:line="480" w:lineRule="exact"/>
        <w:ind w:firstLine="480" w:firstLineChars="200"/>
        <w:jc w:val="left"/>
        <w:rPr>
          <w:sz w:val="24"/>
          <w:highlight w:val="none"/>
        </w:rPr>
      </w:pPr>
      <w:r>
        <w:rPr>
          <w:rFonts w:hint="eastAsia"/>
          <w:sz w:val="24"/>
          <w:highlight w:val="none"/>
        </w:rPr>
        <w:t>本项目为水电站发电项目，不属于工业项目。根据《河北印发&lt;实施区域差别化环境准入指导意见&gt;河北八市划定一级红线区禁新建十大工业项目》中规定，全省各设区市行政区域及雄安新区、定州市、辛集市行政区域严禁新建、扩建煤电（热电联产及等量替代方式建设项目除外）；禁止新建、扩建新增产能的钢铁、水泥、平板玻璃、石化项目（异地搬迁升级改造除外）和35蒸吨以下的燃煤锅炉；禁止新增污染物排放强度低于准入条件的其他工业项目。本项目不属于负面清单中的项目。</w:t>
      </w:r>
    </w:p>
    <w:p>
      <w:pPr>
        <w:spacing w:line="480" w:lineRule="exact"/>
        <w:jc w:val="left"/>
        <w:rPr>
          <w:b/>
          <w:bCs/>
          <w:sz w:val="24"/>
          <w:highlight w:val="none"/>
        </w:rPr>
      </w:pPr>
      <w:r>
        <w:rPr>
          <w:rFonts w:hint="eastAsia"/>
          <w:b/>
          <w:bCs/>
          <w:sz w:val="24"/>
          <w:highlight w:val="none"/>
        </w:rPr>
        <w:t>0.4.</w:t>
      </w:r>
      <w:r>
        <w:rPr>
          <w:rFonts w:hint="eastAsia"/>
          <w:b/>
          <w:bCs/>
          <w:sz w:val="24"/>
          <w:highlight w:val="none"/>
          <w:lang w:val="en-US" w:eastAsia="zh-CN"/>
        </w:rPr>
        <w:t>13</w:t>
      </w:r>
      <w:r>
        <w:rPr>
          <w:rFonts w:hint="eastAsia"/>
          <w:b/>
          <w:bCs/>
          <w:sz w:val="24"/>
          <w:highlight w:val="none"/>
        </w:rPr>
        <w:t>与唐山市《关于实施“三线一单”生态环境分区管控的意见》符合性分析</w:t>
      </w:r>
    </w:p>
    <w:p>
      <w:pPr>
        <w:pStyle w:val="430"/>
        <w:spacing w:line="480" w:lineRule="exact"/>
        <w:ind w:firstLine="480" w:firstLineChars="200"/>
        <w:rPr>
          <w:color w:val="auto"/>
          <w:sz w:val="24"/>
          <w:szCs w:val="24"/>
          <w:highlight w:val="none"/>
        </w:rPr>
      </w:pPr>
      <w:r>
        <w:rPr>
          <w:rFonts w:hint="eastAsia" w:ascii="Times New Roman" w:hAnsi="Times New Roman" w:cs="Times New Roman"/>
          <w:sz w:val="24"/>
          <w:szCs w:val="24"/>
          <w:highlight w:val="none"/>
          <w:lang w:val="en-US" w:eastAsia="zh-CN"/>
        </w:rPr>
        <w:t>本项目发电站位于遵化市建明镇白马峪村北，经与唐山市《关于实施“三线一单”生态环境分区管控</w:t>
      </w:r>
      <w:r>
        <w:rPr>
          <w:rFonts w:hint="eastAsia" w:ascii="Times New Roman" w:hAnsi="Times New Roman" w:cs="Times New Roman"/>
          <w:color w:val="auto"/>
          <w:sz w:val="24"/>
          <w:szCs w:val="24"/>
          <w:highlight w:val="none"/>
          <w:lang w:val="en-US" w:eastAsia="zh-CN"/>
        </w:rPr>
        <w:t>的意见》（唐政字[2021]48 号）进行比对，建明镇（ZH13028110009）纳入“优先保护单元”。本项目与唐山市《关于实施“三线一单”生态环境分区管控的意见》符合性分析见下表：</w:t>
      </w:r>
    </w:p>
    <w:p>
      <w:pPr>
        <w:spacing w:line="420" w:lineRule="exact"/>
        <w:ind w:firstLine="422" w:firstLineChars="200"/>
        <w:jc w:val="left"/>
        <w:rPr>
          <w:b/>
          <w:bCs/>
          <w:color w:val="auto"/>
          <w:highlight w:val="none"/>
        </w:rPr>
      </w:pPr>
      <w:r>
        <w:rPr>
          <w:rFonts w:hint="eastAsia"/>
          <w:b/>
          <w:bCs/>
          <w:color w:val="auto"/>
          <w:szCs w:val="21"/>
          <w:highlight w:val="none"/>
        </w:rPr>
        <w:t>表0.4-</w:t>
      </w:r>
      <w:r>
        <w:rPr>
          <w:rFonts w:hint="eastAsia"/>
          <w:b/>
          <w:bCs/>
          <w:color w:val="auto"/>
          <w:szCs w:val="21"/>
          <w:highlight w:val="none"/>
          <w:lang w:val="en-US" w:eastAsia="zh-CN"/>
        </w:rPr>
        <w:t>8</w:t>
      </w:r>
      <w:r>
        <w:rPr>
          <w:rFonts w:hint="eastAsia"/>
          <w:b/>
          <w:bCs/>
          <w:color w:val="auto"/>
          <w:szCs w:val="21"/>
          <w:highlight w:val="none"/>
        </w:rPr>
        <w:t xml:space="preserve">  与《关于实施“三线一单”生态环境分区管控的意见》符合性分析一览表</w:t>
      </w:r>
    </w:p>
    <w:tbl>
      <w:tblPr>
        <w:tblStyle w:val="51"/>
        <w:tblW w:w="838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9"/>
        <w:gridCol w:w="1400"/>
        <w:gridCol w:w="780"/>
        <w:gridCol w:w="3825"/>
        <w:gridCol w:w="1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1" w:hRule="atLeast"/>
        </w:trPr>
        <w:tc>
          <w:tcPr>
            <w:tcW w:w="440" w:type="pct"/>
            <w:vAlign w:val="center"/>
          </w:tcPr>
          <w:p>
            <w:pPr>
              <w:adjustRightInd w:val="0"/>
              <w:snapToGrid w:val="0"/>
              <w:spacing w:line="280" w:lineRule="exact"/>
              <w:jc w:val="center"/>
              <w:rPr>
                <w:color w:val="auto"/>
                <w:szCs w:val="21"/>
                <w:highlight w:val="none"/>
              </w:rPr>
            </w:pPr>
            <w:r>
              <w:rPr>
                <w:rFonts w:hint="eastAsia"/>
                <w:color w:val="auto"/>
                <w:szCs w:val="21"/>
                <w:highlight w:val="none"/>
              </w:rPr>
              <w:t>单元类别</w:t>
            </w:r>
          </w:p>
        </w:tc>
        <w:tc>
          <w:tcPr>
            <w:tcW w:w="835" w:type="pct"/>
            <w:vAlign w:val="center"/>
          </w:tcPr>
          <w:p>
            <w:pPr>
              <w:adjustRightInd w:val="0"/>
              <w:snapToGrid w:val="0"/>
              <w:spacing w:line="280" w:lineRule="exact"/>
              <w:jc w:val="center"/>
              <w:rPr>
                <w:color w:val="auto"/>
                <w:szCs w:val="21"/>
                <w:highlight w:val="none"/>
              </w:rPr>
            </w:pPr>
            <w:r>
              <w:rPr>
                <w:rFonts w:hint="eastAsia"/>
                <w:color w:val="auto"/>
                <w:szCs w:val="21"/>
                <w:highlight w:val="none"/>
              </w:rPr>
              <w:t>环境要素类别</w:t>
            </w:r>
          </w:p>
        </w:tc>
        <w:tc>
          <w:tcPr>
            <w:tcW w:w="465" w:type="pct"/>
            <w:vAlign w:val="center"/>
          </w:tcPr>
          <w:p>
            <w:pPr>
              <w:adjustRightInd w:val="0"/>
              <w:snapToGrid w:val="0"/>
              <w:spacing w:line="280" w:lineRule="exact"/>
              <w:jc w:val="center"/>
              <w:rPr>
                <w:color w:val="auto"/>
                <w:szCs w:val="21"/>
                <w:highlight w:val="none"/>
              </w:rPr>
            </w:pPr>
            <w:r>
              <w:rPr>
                <w:rFonts w:hint="eastAsia"/>
                <w:color w:val="auto"/>
                <w:szCs w:val="21"/>
                <w:highlight w:val="none"/>
              </w:rPr>
              <w:t>维度</w:t>
            </w:r>
          </w:p>
        </w:tc>
        <w:tc>
          <w:tcPr>
            <w:tcW w:w="2281" w:type="pct"/>
            <w:vAlign w:val="center"/>
          </w:tcPr>
          <w:p>
            <w:pPr>
              <w:adjustRightInd w:val="0"/>
              <w:snapToGrid w:val="0"/>
              <w:spacing w:line="280" w:lineRule="exact"/>
              <w:jc w:val="center"/>
              <w:rPr>
                <w:color w:val="auto"/>
                <w:szCs w:val="21"/>
                <w:highlight w:val="none"/>
              </w:rPr>
            </w:pPr>
            <w:r>
              <w:rPr>
                <w:rFonts w:hint="eastAsia"/>
                <w:color w:val="auto"/>
                <w:szCs w:val="21"/>
                <w:highlight w:val="none"/>
              </w:rPr>
              <w:t>管控措施</w:t>
            </w:r>
          </w:p>
        </w:tc>
        <w:tc>
          <w:tcPr>
            <w:tcW w:w="977" w:type="pct"/>
            <w:vAlign w:val="center"/>
          </w:tcPr>
          <w:p>
            <w:pPr>
              <w:adjustRightInd w:val="0"/>
              <w:snapToGrid w:val="0"/>
              <w:spacing w:line="300" w:lineRule="exact"/>
              <w:jc w:val="left"/>
              <w:rPr>
                <w:color w:val="auto"/>
                <w:szCs w:val="21"/>
                <w:highlight w:val="none"/>
              </w:rPr>
            </w:pPr>
            <w:r>
              <w:rPr>
                <w:rFonts w:hint="eastAsia"/>
                <w:color w:val="auto"/>
                <w:szCs w:val="21"/>
                <w:highlight w:val="none"/>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3" w:hRule="atLeast"/>
        </w:trPr>
        <w:tc>
          <w:tcPr>
            <w:tcW w:w="440" w:type="pct"/>
            <w:vAlign w:val="center"/>
          </w:tcPr>
          <w:p>
            <w:pPr>
              <w:adjustRightInd w:val="0"/>
              <w:snapToGrid w:val="0"/>
              <w:spacing w:line="280" w:lineRule="exact"/>
              <w:jc w:val="center"/>
              <w:rPr>
                <w:color w:val="auto"/>
                <w:szCs w:val="21"/>
                <w:highlight w:val="none"/>
              </w:rPr>
            </w:pPr>
            <w:r>
              <w:rPr>
                <w:rFonts w:hint="eastAsia"/>
                <w:color w:val="auto"/>
                <w:szCs w:val="21"/>
                <w:highlight w:val="none"/>
              </w:rPr>
              <w:t>优先保护单元</w:t>
            </w:r>
          </w:p>
        </w:tc>
        <w:tc>
          <w:tcPr>
            <w:tcW w:w="835" w:type="pct"/>
            <w:vAlign w:val="center"/>
          </w:tcPr>
          <w:p>
            <w:pPr>
              <w:adjustRightInd w:val="0"/>
              <w:snapToGrid w:val="0"/>
              <w:spacing w:line="280" w:lineRule="exact"/>
              <w:jc w:val="left"/>
              <w:rPr>
                <w:color w:val="auto"/>
                <w:szCs w:val="21"/>
                <w:highlight w:val="none"/>
              </w:rPr>
            </w:pPr>
            <w:r>
              <w:rPr>
                <w:rFonts w:hint="eastAsia"/>
                <w:color w:val="auto"/>
                <w:szCs w:val="21"/>
                <w:highlight w:val="none"/>
              </w:rPr>
              <w:t>1.燕山水源涵养、生物多样化性维护生态红线；</w:t>
            </w:r>
          </w:p>
          <w:p>
            <w:pPr>
              <w:pStyle w:val="21"/>
              <w:adjustRightInd w:val="0"/>
              <w:snapToGrid w:val="0"/>
              <w:spacing w:after="0" w:line="280" w:lineRule="exact"/>
              <w:jc w:val="left"/>
              <w:rPr>
                <w:rFonts w:hint="default"/>
                <w:color w:val="auto"/>
                <w:sz w:val="21"/>
                <w:szCs w:val="21"/>
                <w:highlight w:val="none"/>
              </w:rPr>
            </w:pPr>
            <w:r>
              <w:rPr>
                <w:color w:val="auto"/>
                <w:sz w:val="21"/>
                <w:szCs w:val="21"/>
                <w:highlight w:val="none"/>
              </w:rPr>
              <w:t>2.遵化市教厂水源地；</w:t>
            </w:r>
          </w:p>
          <w:p>
            <w:pPr>
              <w:adjustRightInd w:val="0"/>
              <w:snapToGrid w:val="0"/>
              <w:spacing w:line="280" w:lineRule="exact"/>
              <w:jc w:val="left"/>
              <w:rPr>
                <w:color w:val="auto"/>
                <w:szCs w:val="21"/>
                <w:highlight w:val="none"/>
              </w:rPr>
            </w:pPr>
            <w:r>
              <w:rPr>
                <w:rFonts w:hint="eastAsia"/>
                <w:color w:val="auto"/>
                <w:szCs w:val="21"/>
                <w:highlight w:val="none"/>
              </w:rPr>
              <w:t>3.水环境优先保护区。</w:t>
            </w:r>
          </w:p>
        </w:tc>
        <w:tc>
          <w:tcPr>
            <w:tcW w:w="465" w:type="pct"/>
            <w:vAlign w:val="center"/>
          </w:tcPr>
          <w:p>
            <w:pPr>
              <w:adjustRightInd w:val="0"/>
              <w:snapToGrid w:val="0"/>
              <w:spacing w:line="280" w:lineRule="exact"/>
              <w:jc w:val="left"/>
              <w:rPr>
                <w:color w:val="auto"/>
                <w:szCs w:val="21"/>
                <w:highlight w:val="none"/>
              </w:rPr>
            </w:pPr>
            <w:r>
              <w:rPr>
                <w:rFonts w:hint="eastAsia"/>
                <w:color w:val="auto"/>
                <w:szCs w:val="21"/>
                <w:highlight w:val="none"/>
              </w:rPr>
              <w:t>空间布局约束</w:t>
            </w:r>
          </w:p>
        </w:tc>
        <w:tc>
          <w:tcPr>
            <w:tcW w:w="2281" w:type="pct"/>
            <w:vAlign w:val="center"/>
          </w:tcPr>
          <w:p>
            <w:pPr>
              <w:adjustRightInd w:val="0"/>
              <w:snapToGrid w:val="0"/>
              <w:spacing w:line="280" w:lineRule="exact"/>
              <w:jc w:val="left"/>
              <w:rPr>
                <w:color w:val="auto"/>
                <w:szCs w:val="21"/>
                <w:highlight w:val="none"/>
              </w:rPr>
            </w:pPr>
            <w:r>
              <w:rPr>
                <w:rFonts w:hint="eastAsia"/>
                <w:color w:val="auto"/>
                <w:szCs w:val="21"/>
                <w:highlight w:val="none"/>
              </w:rPr>
              <w:t>1.燕山水源涵养、生物多样化性维护生态红线区执行全市生态环境空间总体管控要求中生态保护红线的管控要求；</w:t>
            </w:r>
          </w:p>
          <w:p>
            <w:pPr>
              <w:pStyle w:val="21"/>
              <w:adjustRightInd w:val="0"/>
              <w:snapToGrid w:val="0"/>
              <w:spacing w:after="0" w:line="280" w:lineRule="exact"/>
              <w:jc w:val="left"/>
              <w:rPr>
                <w:rFonts w:hint="default"/>
                <w:color w:val="auto"/>
                <w:sz w:val="21"/>
                <w:szCs w:val="21"/>
                <w:highlight w:val="none"/>
              </w:rPr>
            </w:pPr>
            <w:r>
              <w:rPr>
                <w:color w:val="auto"/>
                <w:sz w:val="21"/>
                <w:szCs w:val="21"/>
                <w:highlight w:val="none"/>
              </w:rPr>
              <w:t>2.遵化市教厂水源地（本项目不涉及，略）</w:t>
            </w:r>
          </w:p>
          <w:p>
            <w:pPr>
              <w:adjustRightInd w:val="0"/>
              <w:snapToGrid w:val="0"/>
              <w:spacing w:line="280" w:lineRule="exact"/>
              <w:jc w:val="left"/>
              <w:rPr>
                <w:color w:val="auto"/>
                <w:szCs w:val="21"/>
                <w:highlight w:val="none"/>
              </w:rPr>
            </w:pPr>
            <w:r>
              <w:rPr>
                <w:rFonts w:hint="eastAsia"/>
                <w:color w:val="auto"/>
                <w:szCs w:val="21"/>
                <w:highlight w:val="none"/>
              </w:rPr>
              <w:t>3.区域内严格控制高污染、高风险产业进入，提高环境风险管控、监测预警和应急处理要求。全面清退河道及湖库水域网箱养殖业，严格限制养殖规模并实现污染物零排放。</w:t>
            </w:r>
          </w:p>
        </w:tc>
        <w:tc>
          <w:tcPr>
            <w:tcW w:w="977" w:type="pct"/>
            <w:vAlign w:val="center"/>
          </w:tcPr>
          <w:p>
            <w:pPr>
              <w:adjustRightInd w:val="0"/>
              <w:snapToGrid w:val="0"/>
              <w:spacing w:line="300" w:lineRule="exact"/>
              <w:jc w:val="left"/>
              <w:rPr>
                <w:color w:val="auto"/>
                <w:szCs w:val="21"/>
                <w:highlight w:val="none"/>
              </w:rPr>
            </w:pPr>
            <w:r>
              <w:rPr>
                <w:rFonts w:hint="eastAsia"/>
                <w:color w:val="auto"/>
                <w:szCs w:val="21"/>
                <w:highlight w:val="none"/>
              </w:rPr>
              <w:t>项目为水电站项目，</w:t>
            </w:r>
            <w:r>
              <w:rPr>
                <w:rFonts w:hint="eastAsia"/>
                <w:color w:val="auto"/>
                <w:szCs w:val="21"/>
                <w:highlight w:val="none"/>
                <w:lang w:eastAsia="zh-CN"/>
              </w:rPr>
              <w:t>不在</w:t>
            </w:r>
            <w:r>
              <w:rPr>
                <w:rFonts w:hint="eastAsia"/>
                <w:color w:val="auto"/>
                <w:szCs w:val="21"/>
                <w:highlight w:val="none"/>
              </w:rPr>
              <w:t>燕山水源涵养、生物多样化性维护生态红线区</w:t>
            </w:r>
            <w:r>
              <w:rPr>
                <w:rFonts w:hint="eastAsia"/>
                <w:color w:val="auto"/>
                <w:szCs w:val="21"/>
                <w:highlight w:val="none"/>
                <w:lang w:eastAsia="zh-CN"/>
              </w:rPr>
              <w:t>；不属于高污染高风险产业和网箱养殖业，</w:t>
            </w:r>
            <w:r>
              <w:rPr>
                <w:rFonts w:hint="eastAsia"/>
                <w:color w:val="auto"/>
                <w:szCs w:val="21"/>
                <w:highlight w:val="none"/>
              </w:rPr>
              <w:t>符合要求</w:t>
            </w:r>
          </w:p>
        </w:tc>
      </w:tr>
    </w:tbl>
    <w:p>
      <w:pPr>
        <w:snapToGrid w:val="0"/>
        <w:spacing w:line="480" w:lineRule="exact"/>
        <w:ind w:firstLine="720" w:firstLineChars="300"/>
        <w:jc w:val="left"/>
        <w:rPr>
          <w:color w:val="auto"/>
          <w:sz w:val="24"/>
          <w:highlight w:val="none"/>
        </w:rPr>
      </w:pPr>
      <w:r>
        <w:rPr>
          <w:rFonts w:hint="eastAsia"/>
          <w:color w:val="auto"/>
          <w:sz w:val="24"/>
          <w:szCs w:val="24"/>
          <w:highlight w:val="none"/>
        </w:rPr>
        <w:t>由上表可见，本项目符合要求。唐山市环境管控单元分布图见</w:t>
      </w:r>
      <w:r>
        <w:rPr>
          <w:rFonts w:hint="eastAsia"/>
          <w:color w:val="auto"/>
          <w:sz w:val="24"/>
          <w:szCs w:val="24"/>
          <w:highlight w:val="none"/>
          <w:lang w:eastAsia="zh-CN"/>
        </w:rPr>
        <w:t>下</w:t>
      </w:r>
      <w:r>
        <w:rPr>
          <w:rFonts w:hint="eastAsia"/>
          <w:color w:val="auto"/>
          <w:sz w:val="24"/>
          <w:szCs w:val="24"/>
          <w:highlight w:val="none"/>
        </w:rPr>
        <w:t>图。</w:t>
      </w:r>
    </w:p>
    <w:p>
      <w:pPr>
        <w:snapToGrid w:val="0"/>
        <w:spacing w:line="420" w:lineRule="exact"/>
        <w:ind w:firstLine="420" w:firstLineChars="200"/>
        <w:jc w:val="left"/>
        <w:rPr>
          <w:rFonts w:hint="eastAsia" w:eastAsia="宋体"/>
          <w:color w:val="auto"/>
          <w:highlight w:val="none"/>
          <w:lang w:eastAsia="zh-CN"/>
        </w:rPr>
      </w:pPr>
    </w:p>
    <w:p>
      <w:pPr>
        <w:jc w:val="center"/>
        <w:rPr>
          <w:highlight w:val="none"/>
        </w:rPr>
      </w:pPr>
      <w:r>
        <w:rPr>
          <w:highlight w:val="none"/>
        </w:rPr>
        <mc:AlternateContent>
          <mc:Choice Requires="wps">
            <w:drawing>
              <wp:anchor distT="0" distB="0" distL="114300" distR="114300" simplePos="0" relativeHeight="251671552" behindDoc="0" locked="0" layoutInCell="1" allowOverlap="1">
                <wp:simplePos x="0" y="0"/>
                <wp:positionH relativeFrom="column">
                  <wp:posOffset>255270</wp:posOffset>
                </wp:positionH>
                <wp:positionV relativeFrom="paragraph">
                  <wp:posOffset>24765</wp:posOffset>
                </wp:positionV>
                <wp:extent cx="4648200" cy="2990850"/>
                <wp:effectExtent l="5080" t="4445" r="13970" b="14605"/>
                <wp:wrapNone/>
                <wp:docPr id="216" name="文本框 148"/>
                <wp:cNvGraphicFramePr/>
                <a:graphic xmlns:a="http://schemas.openxmlformats.org/drawingml/2006/main">
                  <a:graphicData uri="http://schemas.microsoft.com/office/word/2010/wordprocessingShape">
                    <wps:wsp>
                      <wps:cNvSpPr txBox="1"/>
                      <wps:spPr>
                        <a:xfrm>
                          <a:off x="0" y="0"/>
                          <a:ext cx="4648200" cy="2990850"/>
                        </a:xfrm>
                        <a:prstGeom prst="rect">
                          <a:avLst/>
                        </a:prstGeom>
                        <a:noFill/>
                        <a:ln w="9525"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shape id="文本框 148" o:spid="_x0000_s1026" o:spt="202" type="#_x0000_t202" style="position:absolute;left:0pt;margin-left:20.1pt;margin-top:1.95pt;height:235.5pt;width:366pt;z-index:251671552;mso-width-relative:page;mso-height-relative:page;" filled="f" stroked="t" coordsize="21600,21600" o:gfxdata="UEsDBAoAAAAAAIdO4kAAAAAAAAAAAAAAAAAEAAAAZHJzL1BLAwQUAAAACACHTuJAuyQo09UAAAAI&#10;AQAADwAAAGRycy9kb3ducmV2LnhtbE2PS0/DMBCE70j8B2uRuFG7SYWbEKcHCncIhV6deJtE+BHF&#10;7gN+PcsJjrMzO/tttbk4y044xzF4BcuFAIa+C2b0vYLd2/PdGlhM2httg0cFXxhhU19fVbo04exf&#10;8dSknlGJj6VWMKQ0lZzHbkCn4yJM6Mk7hNnpRHLuuZn1mcqd5ZkQ99zp0dOFQU/4OGD32RwdYWT7&#10;Xb59aVBK3ebbp+/34vBhlbq9WYoHYAkv6S8Mv/i0AzUxteHoTWRWwUpklFSQF8DIljIj3dJcrgrg&#10;dcX/P1D/AFBLAwQUAAAACACHTuJAag4qCAsCAAASBAAADgAAAGRycy9lMm9Eb2MueG1srVNNrtMw&#10;EN4jcQfLe5q0aqs2avokKI8NAqQHB3BtJ7HkP3ncJr0A3IAVG/acq+dg7PT1wWPTBVk4Y8/4m/m+&#10;GW/uBqPJUQZQztZ0OikpkZY7oWxb0y+f71+tKIHIrGDaWVnTkwR6t335YtP7Ss5c57SQgSCIhar3&#10;Ne1i9FVRAO+kYTBxXlp0Ni4YFnEb2kIE1iO60cWsLJdF74LwwXEJgKe70UkviOEWQNc0isud4wcj&#10;bRxRg9QsIiXolAe6zdU2jeTxY9OAjETXFJnGvGIStPdpLbYbVrWB+U7xSwnslhKecTJMWUx6hdqx&#10;yMghqH+gjOLBgWvihDtTjESyIshiWj7T5qFjXmYuKDX4q+jw/2D5h+OnQJSo6Wy6pMQygy0/f/92&#10;/vHr/PMrmc5XSaLeQ4WRDx5j4/DaDTg4j+eAh4n50AST/siJoB8FPl0FlkMkHA/ny/kKZ4ASjr7Z&#10;el2uFrkFxdN1HyC+k86QZNQ0YAezsOz4HiKWgqGPISmbdfdK69xFbUlf0/VitkB8hpPZ4ESgaTyy&#10;A9tmGHBaiXQlXYbQ7t/oQI4sTUf+EitM8VdYyrdj0I1x2TXOjVFRhpy7k0y8tYLEk0f9LD4cmoox&#10;UlCiJb6zZOXIyJS+JRKL0BZrSdKPEicrDvsBYZK5d+KE7Tj4oNoOlcoNyeE4KpnEZazTLP65z6BP&#10;T3n7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skKNPVAAAACAEAAA8AAAAAAAAAAQAgAAAAIgAA&#10;AGRycy9kb3ducmV2LnhtbFBLAQIUABQAAAAIAIdO4kBqDioICwIAABIEAAAOAAAAAAAAAAEAIAAA&#10;ACQBAABkcnMvZTJvRG9jLnhtbFBLBQYAAAAABgAGAFkBAAChBQAAAAA=&#10;">
                <v:fill on="f" focussize="0,0"/>
                <v:stroke color="#000000" joinstyle="miter"/>
                <v:imagedata o:title=""/>
                <o:lock v:ext="edit" aspectratio="f"/>
                <v:textbox>
                  <w:txbxContent>
                    <w:p/>
                  </w:txbxContent>
                </v:textbox>
              </v:shape>
            </w:pict>
          </mc:Fallback>
        </mc:AlternateContent>
      </w:r>
      <w:r>
        <w:rPr>
          <w:highlight w:val="none"/>
        </w:rPr>
        <mc:AlternateContent>
          <mc:Choice Requires="wps">
            <w:drawing>
              <wp:anchor distT="0" distB="0" distL="114300" distR="114300" simplePos="0" relativeHeight="251668480" behindDoc="0" locked="0" layoutInCell="1" allowOverlap="1">
                <wp:simplePos x="0" y="0"/>
                <wp:positionH relativeFrom="column">
                  <wp:posOffset>1846580</wp:posOffset>
                </wp:positionH>
                <wp:positionV relativeFrom="paragraph">
                  <wp:posOffset>1076960</wp:posOffset>
                </wp:positionV>
                <wp:extent cx="873125" cy="248920"/>
                <wp:effectExtent l="0" t="0" r="22225" b="17780"/>
                <wp:wrapNone/>
                <wp:docPr id="215" name="文本框 149"/>
                <wp:cNvGraphicFramePr/>
                <a:graphic xmlns:a="http://schemas.openxmlformats.org/drawingml/2006/main">
                  <a:graphicData uri="http://schemas.microsoft.com/office/word/2010/wordprocessingShape">
                    <wps:wsp>
                      <wps:cNvSpPr txBox="1"/>
                      <wps:spPr>
                        <a:xfrm>
                          <a:off x="0" y="0"/>
                          <a:ext cx="873125" cy="2489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jc w:val="center"/>
                              <w:rPr>
                                <w:b/>
                                <w:bCs/>
                              </w:rPr>
                            </w:pPr>
                            <w:r>
                              <w:rPr>
                                <w:rFonts w:hint="eastAsia"/>
                                <w:b/>
                                <w:bCs/>
                              </w:rPr>
                              <w:t>本项目位置</w:t>
                            </w:r>
                          </w:p>
                        </w:txbxContent>
                      </wps:txbx>
                      <wps:bodyPr upright="1"/>
                    </wps:wsp>
                  </a:graphicData>
                </a:graphic>
              </wp:anchor>
            </w:drawing>
          </mc:Choice>
          <mc:Fallback>
            <w:pict>
              <v:shape id="文本框 149" o:spid="_x0000_s1026" o:spt="202" type="#_x0000_t202" style="position:absolute;left:0pt;margin-left:145.4pt;margin-top:84.8pt;height:19.6pt;width:68.75pt;z-index:251668480;mso-width-relative:page;mso-height-relative:page;" fillcolor="#FFFFFF" filled="t" stroked="t" coordsize="21600,21600" o:gfxdata="UEsDBAoAAAAAAIdO4kAAAAAAAAAAAAAAAAAEAAAAZHJzL1BLAwQUAAAACACHTuJAgNdbj9kAAAAL&#10;AQAADwAAAGRycy9kb3ducmV2LnhtbE2PwU7DMBBE70j8g7VIXBC1m1bBCXF6QALBDQqCqxu7SYS9&#10;Drablr9nOcFx9UYzb5vNyTs225jGgAqWCwHMYhfMiL2Ct9f7awksZY1Gu4BWwbdNsGnPzxpdm3DE&#10;Fztvc8+oBFOtFQw5TzXnqRus12kRJovE9iF6nemMPTdRH6ncO14IUXKvR6SFQU/2brDd5/bgFcj1&#10;4/yRnlbP7125d1W+upkfvqJSlxdLcQss21P+C8OvPqlDS067cECTmFNQVILUM4GyKoFRYl3IFbAd&#10;ISEl8Lbh/39ofwBQSwMEFAAAAAgAh07iQGgeWD8PAgAAOQQAAA4AAABkcnMvZTJvRG9jLnhtbK1T&#10;S44TMRDdI3EHy3vSnWYGklY6I0EIGwRIAwdwbHe3Jf/kctKdC8ANWLFhz7lyDspOJvOBRRb0wl22&#10;y8/vvSovbkajyU4GUM42dDopKZGWO6Fs19CvX9YvZpRAZFYw7axs6F4CvVk+f7YYfC0r1zstZCAI&#10;YqEefEP7GH1dFMB7aRhMnJcWN1sXDIs4DV0hAhsQ3eiiKstXxeCC8MFxCYCrq+MmPSGGSwBd2you&#10;V45vjbTxiBqkZhElQa880GVm27aSx09tCzIS3VBUGvOIl2C8SWOxXLC6C8z3ip8osEsoPNFkmLJ4&#10;6RlqxSIj26D+gjKKBweujRPuTHEUkh1BFdPyiTe3PfMya0GrwZ9Nh/8Hyz/uPgeiREOr6TUllhks&#10;+eHH98PP34df38j0ap4sGjzUmHnrMTeOb9yIjXO3DriYlI9tMOmPmgjuo8H7s8FyjITj4uz1y2mF&#10;13Dcqq5m8yoXoLg/7APE99IZkoKGBqxftpXtPkBEIph6l5LuAqeVWCut8yR0m7c6kB3DWq/zlzji&#10;kUdp2pKhofPrzINhA7fYOEjJeDQBbJfve3QCHgKX+fsXcCK2YtAfCWSElMZqo6IMOeolE++sIHHv&#10;0WaL74smMkYKSrTE55iinBmZ0pdkojptUWSq0LESKYrjZkSYFG6c2GPVtj6orkdLc91yOnZUdufU&#10;/allH84z6P2LX/4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gNdbj9kAAAALAQAADwAAAAAAAAAB&#10;ACAAAAAiAAAAZHJzL2Rvd25yZXYueG1sUEsBAhQAFAAAAAgAh07iQGgeWD8PAgAAOQQAAA4AAAAA&#10;AAAAAQAgAAAAKAEAAGRycy9lMm9Eb2MueG1sUEsFBgAAAAAGAAYAWQEAAKkFAAAAAA==&#10;">
                <v:fill on="t" focussize="0,0"/>
                <v:stroke color="#000000" joinstyle="miter"/>
                <v:imagedata o:title=""/>
                <o:lock v:ext="edit" aspectratio="f"/>
                <v:textbox>
                  <w:txbxContent>
                    <w:p>
                      <w:pPr>
                        <w:spacing w:line="240" w:lineRule="exact"/>
                        <w:jc w:val="center"/>
                        <w:rPr>
                          <w:b/>
                          <w:bCs/>
                        </w:rPr>
                      </w:pPr>
                      <w:r>
                        <w:rPr>
                          <w:rFonts w:hint="eastAsia"/>
                          <w:b/>
                          <w:bCs/>
                        </w:rPr>
                        <w:t>本项目位置</w:t>
                      </w:r>
                    </w:p>
                  </w:txbxContent>
                </v:textbox>
              </v:shape>
            </w:pict>
          </mc:Fallback>
        </mc:AlternateContent>
      </w:r>
      <w:r>
        <w:rPr>
          <w:highlight w:val="none"/>
        </w:rPr>
        <mc:AlternateContent>
          <mc:Choice Requires="wps">
            <w:drawing>
              <wp:anchor distT="0" distB="0" distL="114300" distR="114300" simplePos="0" relativeHeight="251670528" behindDoc="0" locked="0" layoutInCell="1" allowOverlap="1">
                <wp:simplePos x="0" y="0"/>
                <wp:positionH relativeFrom="column">
                  <wp:posOffset>1148080</wp:posOffset>
                </wp:positionH>
                <wp:positionV relativeFrom="paragraph">
                  <wp:posOffset>798195</wp:posOffset>
                </wp:positionV>
                <wp:extent cx="694690" cy="278130"/>
                <wp:effectExtent l="38100" t="38100" r="29210" b="26670"/>
                <wp:wrapNone/>
                <wp:docPr id="214" name="直接连接符 151"/>
                <wp:cNvGraphicFramePr/>
                <a:graphic xmlns:a="http://schemas.openxmlformats.org/drawingml/2006/main">
                  <a:graphicData uri="http://schemas.microsoft.com/office/word/2010/wordprocessingShape">
                    <wps:wsp>
                      <wps:cNvCnPr/>
                      <wps:spPr>
                        <a:xfrm flipH="1" flipV="1">
                          <a:off x="0" y="0"/>
                          <a:ext cx="694690" cy="278130"/>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w:pict>
              <v:line id="直接连接符 151" o:spid="_x0000_s1026" o:spt="20" style="position:absolute;left:0pt;flip:x y;margin-left:90.4pt;margin-top:62.85pt;height:21.9pt;width:54.7pt;z-index:251670528;mso-width-relative:page;mso-height-relative:page;" filled="f" stroked="t" coordsize="21600,21600" o:gfxdata="UEsDBAoAAAAAAIdO4kAAAAAAAAAAAAAAAAAEAAAAZHJzL1BLAwQUAAAACACHTuJANcSJxtkAAAAL&#10;AQAADwAAAGRycy9kb3ducmV2LnhtbE2PwU7DMBBE70j8g7VIXCpqx1JDG+JUCAmouCBaPsCNt0lK&#10;vI5ipy1/z3KC287uaPZNub74XpxwjF0gA9lcgUCqg+uoMfC5e75bgojJkrN9IDTwjRHW1fVVaQsX&#10;zvSBp21qBIdQLKyBNqWhkDLWLXob52FA4tshjN4mlmMj3WjPHO57qZXKpbcd8YfWDvjUYv21nbyB&#10;x+H9OOlN9uLUTs9m/SbPwuubMbc3mXoAkfCS/szwi8/oUDHTPkzkouhZLxWjJx704h4EO/RKaRB7&#10;3uSrBciqlP87VD9QSwMEFAAAAAgAh07iQOFL/5EKAgAA+AMAAA4AAABkcnMvZTJvRG9jLnhtbK1T&#10;vY4TMRDukXgHyz3Z7HIJl1U2V1w4KBBE4qefeO1dS/6T7csmL8ELINFBRUnP23A8BmNvyMEhpCtw&#10;YY1nxt/M93m8vNhrRXbcB2lNQ8vJlBJumG2l6Rr69s3Vo3NKQgTTgrKGN/TAA71YPXywHFzNK9tb&#10;1XJPEMSEenAN7WN0dVEE1nMNYWIdNxgU1muIePRd0XoYEF2roppO58Vgfeu8ZTwE9K7HID0i+vsA&#10;WiEk42vLrjU3cUT1XEFESqGXLtBV7lYIzuIrIQKPRDUUmca8YxG0t2kvVkuoOw+ul+zYAtynhTuc&#10;NEiDRU9Qa4hArr38C0pL5m2wIk6Y1cVIJCuCLMrpHW1e9+B45oJSB3cSPfw/WPZyt/FEtg2tyjNK&#10;DGh88psPX7+///Tj20fcb758JuWsTEINLtSYf2k2/ngKbuMT673wmggl3XOcKJqtd8lKMeRI9lnw&#10;w0lwvo+EoXO+OJsv8CkYhqon5+Xj/CDFCJguOx/iM241SUZDlTRJD6hh9yJEbAJTf6UktzJkaOhi&#10;Vs0QE3A4BQ4FmtohwWC6fDdYJdsrqVS6EXy3vVSe7CANSF6JKuL+kZaKrCH0Y14OjaPTc2ifmpbE&#10;g0PhDP4YmlrQvKVEcfxgyUJAqCNIdZsZvQTTqX9kY3llsIuk+Khxsra2PWTpsx8HIvd5HN40cb+f&#10;8+3bD7v6C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DXEicbZAAAACwEAAA8AAAAAAAAAAQAgAAAA&#10;IgAAAGRycy9kb3ducmV2LnhtbFBLAQIUABQAAAAIAIdO4kDhS/+RCgIAAPgDAAAOAAAAAAAAAAEA&#10;IAAAACgBAABkcnMvZTJvRG9jLnhtbFBLBQYAAAAABgAGAFkBAACkBQAAAAA=&#10;">
                <v:fill on="f" focussize="0,0"/>
                <v:stroke color="#000000" joinstyle="round" endarrow="block"/>
                <v:imagedata o:title=""/>
                <o:lock v:ext="edit" aspectratio="f"/>
              </v:line>
            </w:pict>
          </mc:Fallback>
        </mc:AlternateContent>
      </w:r>
      <w:r>
        <w:rPr>
          <w:highlight w:val="none"/>
        </w:rPr>
        <mc:AlternateContent>
          <mc:Choice Requires="wps">
            <w:drawing>
              <wp:anchor distT="0" distB="0" distL="114300" distR="114300" simplePos="0" relativeHeight="251669504" behindDoc="0" locked="0" layoutInCell="1" allowOverlap="1">
                <wp:simplePos x="0" y="0"/>
                <wp:positionH relativeFrom="column">
                  <wp:posOffset>1063625</wp:posOffset>
                </wp:positionH>
                <wp:positionV relativeFrom="paragraph">
                  <wp:posOffset>754380</wp:posOffset>
                </wp:positionV>
                <wp:extent cx="75565" cy="75565"/>
                <wp:effectExtent l="0" t="0" r="19685" b="19685"/>
                <wp:wrapNone/>
                <wp:docPr id="213" name="矩形 150"/>
                <wp:cNvGraphicFramePr/>
                <a:graphic xmlns:a="http://schemas.openxmlformats.org/drawingml/2006/main">
                  <a:graphicData uri="http://schemas.microsoft.com/office/word/2010/wordprocessingShape">
                    <wps:wsp>
                      <wps:cNvSpPr/>
                      <wps:spPr>
                        <a:xfrm>
                          <a:off x="0" y="0"/>
                          <a:ext cx="75565" cy="75565"/>
                        </a:xfrm>
                        <a:prstGeom prst="rect">
                          <a:avLst/>
                        </a:prstGeom>
                        <a:solidFill>
                          <a:srgbClr val="FF0000"/>
                        </a:solidFill>
                        <a:ln w="9525"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rect id="矩形 150" o:spid="_x0000_s1026" o:spt="1" style="position:absolute;left:0pt;margin-left:83.75pt;margin-top:59.4pt;height:5.95pt;width:5.95pt;z-index:251669504;mso-width-relative:page;mso-height-relative:page;" fillcolor="#FF0000" filled="t" stroked="t" coordsize="21600,21600" o:gfxdata="UEsDBAoAAAAAAIdO4kAAAAAAAAAAAAAAAAAEAAAAZHJzL1BLAwQUAAAACACHTuJAqHmGAdgAAAAL&#10;AQAADwAAAGRycy9kb3ducmV2LnhtbE2PwU7DMBBE70j8g7VI3KgTSpsmjVOplTghDpRy4LaNTRI1&#10;Xke224S/Z3uitxnt0+xMuZlsLy7Gh86RgnSWgDBUO91Ro+Dw+fq0AhEiksbekVHwawJsqvu7Egvt&#10;Rvowl31sBIdQKFBBG+NQSBnq1lgMMzcY4tuP8xYjW99I7XHkcNvL5yRZSosd8YcWB7NrTX3an62C&#10;0W2/54sc33ZZjN5PX+/bQ50r9fiQJmsQ0UzxH4Zrfa4OFXc6ujPpIHr2y2zBKIt0xRuuRJa/gDiy&#10;mCcZyKqUtxuqP1BLAwQUAAAACACHTuJAriGLV/8BAAAqBAAADgAAAGRycy9lMm9Eb2MueG1srVPN&#10;jtMwEL4j8Q6W7zRJURaImu6BUi4IVlp4ANd2Ekv+k8dt0qdB4sZD8DiI12DslHZ34dADOTgz9vib&#10;+b4Zr24no8lBBlDOtrRalJRIy51Qtm/pl8/bF68pgcisYNpZ2dKjBHq7fv5sNfpGLt3gtJCBIIiF&#10;ZvQtHWL0TVEAH6RhsHBeWjzsXDAsohv6QgQ2IrrRxbIsb4rRBeGD4xIAdzfzIT0hhmsAXdcpLjeO&#10;7420cUYNUrOIlGBQHug6V9t1ksdPXQcyEt1SZBrziknQ3qW1WK9Y0wfmB8VPJbBrSnjCyTBlMekZ&#10;asMiI/ug/oIyigcHrosL7kwxE8mKIIuqfKLN/cC8zFxQavBn0eH/wfKPh7tAlGjpsnpJiWUGW/7r&#10;6/efP76Rqs76jB4aDLv3dwHVSh6gmchOXTDpjzTIlDU9njWVUyQcN1/V9U1NCceT2USM4nLVB4jv&#10;pTMkGS0N2LCsIzt8gDiH/glJmcBpJbZK6+yEfvdWB3Jg2NzttsQv9RPRH4VpS8aWvqmXqQyGE9vh&#10;pKBpPLIG2+d8j27AQ+AE+2/gVNiGwTAXkBHmeTIqyqQVawbJxDsrSDx61NXig6KpGCMFJVri+0tW&#10;joxM6WsikZ22SPLSh2TFaTchTDJ3ThyxpXsfVD+gpFXWJJ3gCGV1TuOeZvShn0EvT3z9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Kh5hgHYAAAACwEAAA8AAAAAAAAAAQAgAAAAIgAAAGRycy9kb3du&#10;cmV2LnhtbFBLAQIUABQAAAAIAIdO4kCuIYtX/wEAACoEAAAOAAAAAAAAAAEAIAAAACcBAABkcnMv&#10;ZTJvRG9jLnhtbFBLBQYAAAAABgAGAFkBAACYBQAAAAA=&#10;">
                <v:fill on="t" focussize="0,0"/>
                <v:stroke color="#000000" joinstyle="miter"/>
                <v:imagedata o:title=""/>
                <o:lock v:ext="edit" aspectratio="f"/>
                <v:textbox>
                  <w:txbxContent>
                    <w:p/>
                  </w:txbxContent>
                </v:textbox>
              </v:rect>
            </w:pict>
          </mc:Fallback>
        </mc:AlternateContent>
      </w:r>
      <w:r>
        <w:rPr>
          <w:highlight w:val="none"/>
        </w:rPr>
        <w:drawing>
          <wp:inline distT="0" distB="0" distL="114300" distR="114300">
            <wp:extent cx="4208780" cy="2936240"/>
            <wp:effectExtent l="0" t="0" r="1270" b="16510"/>
            <wp:docPr id="1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
                    <pic:cNvPicPr>
                      <a:picLocks noChangeAspect="1"/>
                    </pic:cNvPicPr>
                  </pic:nvPicPr>
                  <pic:blipFill>
                    <a:blip r:embed="rId34"/>
                    <a:stretch>
                      <a:fillRect/>
                    </a:stretch>
                  </pic:blipFill>
                  <pic:spPr>
                    <a:xfrm>
                      <a:off x="0" y="0"/>
                      <a:ext cx="4208780" cy="2936240"/>
                    </a:xfrm>
                    <a:prstGeom prst="rect">
                      <a:avLst/>
                    </a:prstGeom>
                    <a:noFill/>
                    <a:ln>
                      <a:noFill/>
                    </a:ln>
                  </pic:spPr>
                </pic:pic>
              </a:graphicData>
            </a:graphic>
          </wp:inline>
        </w:drawing>
      </w:r>
      <w:r>
        <w:rPr>
          <w:highlight w:val="none"/>
        </w:rPr>
        <mc:AlternateContent>
          <mc:Choice Requires="wps">
            <w:drawing>
              <wp:anchor distT="0" distB="0" distL="114300" distR="114300" simplePos="0" relativeHeight="251667456" behindDoc="0" locked="0" layoutInCell="1" allowOverlap="1">
                <wp:simplePos x="0" y="0"/>
                <wp:positionH relativeFrom="column">
                  <wp:posOffset>1089660</wp:posOffset>
                </wp:positionH>
                <wp:positionV relativeFrom="paragraph">
                  <wp:posOffset>396875</wp:posOffset>
                </wp:positionV>
                <wp:extent cx="323850" cy="504190"/>
                <wp:effectExtent l="0" t="0" r="0" b="0"/>
                <wp:wrapNone/>
                <wp:docPr id="212" name="文本框 147"/>
                <wp:cNvGraphicFramePr/>
                <a:graphic xmlns:a="http://schemas.openxmlformats.org/drawingml/2006/main">
                  <a:graphicData uri="http://schemas.microsoft.com/office/word/2010/wordprocessingShape">
                    <wps:wsp>
                      <wps:cNvSpPr txBox="1"/>
                      <wps:spPr>
                        <a:xfrm>
                          <a:off x="0" y="0"/>
                          <a:ext cx="323850" cy="504190"/>
                        </a:xfrm>
                        <a:prstGeom prst="rect">
                          <a:avLst/>
                        </a:prstGeom>
                        <a:noFill/>
                        <a:ln>
                          <a:noFill/>
                        </a:ln>
                      </wps:spPr>
                      <wps:txbx>
                        <w:txbxContent>
                          <w:p>
                            <w:pPr>
                              <w:spacing w:line="200" w:lineRule="exact"/>
                              <w:rPr>
                                <w:rFonts w:ascii="黑体" w:hAnsi="黑体" w:eastAsia="黑体" w:cs="黑体"/>
                                <w:szCs w:val="21"/>
                              </w:rPr>
                            </w:pPr>
                            <w:r>
                              <w:rPr>
                                <w:rFonts w:hint="eastAsia" w:ascii="黑体" w:hAnsi="黑体" w:eastAsia="黑体" w:cs="黑体"/>
                                <w:szCs w:val="21"/>
                              </w:rPr>
                              <w:t>遵化市</w:t>
                            </w:r>
                          </w:p>
                        </w:txbxContent>
                      </wps:txbx>
                      <wps:bodyPr upright="1"/>
                    </wps:wsp>
                  </a:graphicData>
                </a:graphic>
              </wp:anchor>
            </w:drawing>
          </mc:Choice>
          <mc:Fallback>
            <w:pict>
              <v:shape id="文本框 147" o:spid="_x0000_s1026" o:spt="202" type="#_x0000_t202" style="position:absolute;left:0pt;margin-left:85.8pt;margin-top:31.25pt;height:39.7pt;width:25.5pt;z-index:251667456;mso-width-relative:page;mso-height-relative:page;" filled="f" stroked="f" coordsize="21600,21600" o:gfxdata="UEsDBAoAAAAAAIdO4kAAAAAAAAAAAAAAAAAEAAAAZHJzL1BLAwQUAAAACACHTuJAyEYd9NYAAAAK&#10;AQAADwAAAGRycy9kb3ducmV2LnhtbE2PwU7DMBBE70j8g7VI3Kgdqw1tiNMDiCuIFpB6c+NtEhGv&#10;o9htwt+znOA4O0+zM+V29r244Bi7QAayhQKBVAfXUWPgff98twYRkyVn+0Bo4BsjbKvrq9IWLkz0&#10;hpddagSHUCysgTaloZAy1i16GxdhQGLvFEZvE8uxkW60E4f7XmqlcultR/yhtQM+tlh/7c7ewMfL&#10;6fC5VK/Nk18NU5iVJL+RxtzeZOoBRMI5/cHwW5+rQ8WdjuFMLoqe9X2WM2og1ysQDGit+XBkZ5lt&#10;QFal/D+h+gFQSwMEFAAAAAgAh07iQIrVsu+xAQAAUQMAAA4AAABkcnMvZTJvRG9jLnhtbK1TwW4b&#10;IRC9V+o/IO41u5ukTVZeR6qs9FKllZJ8AGbBiwQMAuxd/0DzBz310nu/y9/RATtOm15y6IWFmbdv&#10;5r2B+fVkDdnKEDW4jtazihLpBPTarTv6cH/z7pKSmLjruQEnO7qTkV4v3r6Zj76VDQxgehkIkrjY&#10;jr6jQ0q+ZSyKQVoeZ+Clw6SCYHnCY1izPvAR2a1hTVW9ZyOE3gcQMkaMLg9JemQMryEEpbSQSxAb&#10;K106sAZpeEJJcdA+0kXpVikp0helokzEdBSVprJiEdyv8soWc96uA/eDFscW+GtaeKHJcu2w6Ilq&#10;yRMnm6D/obJaBIig0kyAZQchxRFUUVcvvLkbuJdFC1od/cn0+P9oxe32ayC672hTN5Q4bnHk+++P&#10;+x+/9j+/kfr8Q7Zo9LFF5J1HbJo+woQX5ykeMZiVTyrY/EVNBPNo8O5ksJwSERg8a84uLzAjMHVR&#10;nddXZQDs+WcfYvokwZK86WjA+RVb+fZzTNgIQp8guZaDG21MmaFxfwUQmCMsd37oMO/StJqOclbQ&#10;71DNxge9HrBU0VPg6HQpdLwVeZR/ngvp80tY/A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IRh30&#10;1gAAAAoBAAAPAAAAAAAAAAEAIAAAACIAAABkcnMvZG93bnJldi54bWxQSwECFAAUAAAACACHTuJA&#10;itWy77EBAABRAwAADgAAAAAAAAABACAAAAAlAQAAZHJzL2Uyb0RvYy54bWxQSwUGAAAAAAYABgBZ&#10;AQAASAUAAAAA&#10;">
                <v:fill on="f" focussize="0,0"/>
                <v:stroke on="f"/>
                <v:imagedata o:title=""/>
                <o:lock v:ext="edit" aspectratio="f"/>
                <v:textbox>
                  <w:txbxContent>
                    <w:p>
                      <w:pPr>
                        <w:spacing w:line="200" w:lineRule="exact"/>
                        <w:rPr>
                          <w:rFonts w:ascii="黑体" w:hAnsi="黑体" w:eastAsia="黑体" w:cs="黑体"/>
                          <w:szCs w:val="21"/>
                        </w:rPr>
                      </w:pPr>
                      <w:r>
                        <w:rPr>
                          <w:rFonts w:hint="eastAsia" w:ascii="黑体" w:hAnsi="黑体" w:eastAsia="黑体" w:cs="黑体"/>
                          <w:szCs w:val="21"/>
                        </w:rPr>
                        <w:t>遵化市</w:t>
                      </w:r>
                    </w:p>
                  </w:txbxContent>
                </v:textbox>
              </v:shape>
            </w:pict>
          </mc:Fallback>
        </mc:AlternateContent>
      </w:r>
    </w:p>
    <w:p>
      <w:pPr>
        <w:adjustRightInd w:val="0"/>
        <w:snapToGrid w:val="0"/>
        <w:spacing w:line="420" w:lineRule="exact"/>
        <w:ind w:firstLine="2319" w:firstLineChars="1100"/>
        <w:jc w:val="both"/>
        <w:rPr>
          <w:b/>
          <w:bCs/>
          <w:kern w:val="0"/>
          <w:szCs w:val="21"/>
          <w:highlight w:val="none"/>
        </w:rPr>
      </w:pPr>
      <w:r>
        <w:rPr>
          <w:b/>
          <w:bCs/>
          <w:szCs w:val="21"/>
          <w:highlight w:val="none"/>
        </w:rPr>
        <w:t>图</w:t>
      </w:r>
      <w:r>
        <w:rPr>
          <w:rFonts w:hint="eastAsia"/>
          <w:b/>
          <w:bCs/>
          <w:szCs w:val="21"/>
          <w:highlight w:val="none"/>
          <w:lang w:val="en-US" w:eastAsia="zh-CN"/>
        </w:rPr>
        <w:t>0.4-2</w:t>
      </w:r>
      <w:r>
        <w:rPr>
          <w:rFonts w:hint="eastAsia"/>
          <w:b/>
          <w:bCs/>
          <w:szCs w:val="21"/>
          <w:highlight w:val="none"/>
        </w:rPr>
        <w:t xml:space="preserve">  </w:t>
      </w:r>
      <w:r>
        <w:rPr>
          <w:rFonts w:hint="eastAsia"/>
          <w:b/>
          <w:bCs/>
          <w:kern w:val="0"/>
          <w:szCs w:val="21"/>
          <w:highlight w:val="none"/>
        </w:rPr>
        <w:t>唐山市环境管控单元分布图</w:t>
      </w:r>
    </w:p>
    <w:p>
      <w:pPr>
        <w:pStyle w:val="3"/>
        <w:spacing w:beforeLines="0" w:line="480" w:lineRule="exact"/>
        <w:rPr>
          <w:rFonts w:eastAsia="宋体"/>
          <w:b/>
          <w:highlight w:val="none"/>
        </w:rPr>
      </w:pPr>
      <w:bookmarkStart w:id="36" w:name="_Toc2759"/>
      <w:bookmarkStart w:id="37" w:name="_Toc32047"/>
      <w:bookmarkStart w:id="38" w:name="_Toc482193198"/>
      <w:bookmarkStart w:id="39" w:name="_Toc7281"/>
      <w:r>
        <w:rPr>
          <w:rFonts w:hint="eastAsia" w:eastAsia="宋体"/>
          <w:b/>
          <w:highlight w:val="none"/>
        </w:rPr>
        <w:t>0.5评价等级判定</w:t>
      </w:r>
      <w:bookmarkEnd w:id="36"/>
    </w:p>
    <w:p>
      <w:pPr>
        <w:spacing w:line="480" w:lineRule="exact"/>
        <w:ind w:firstLine="480" w:firstLineChars="200"/>
        <w:rPr>
          <w:color w:val="auto"/>
          <w:sz w:val="24"/>
          <w:highlight w:val="none"/>
        </w:rPr>
      </w:pPr>
      <w:r>
        <w:rPr>
          <w:rFonts w:hint="eastAsia"/>
          <w:sz w:val="24"/>
          <w:highlight w:val="none"/>
          <w:lang w:val="en-GB"/>
        </w:rPr>
        <w:t>本次大气环境</w:t>
      </w:r>
      <w:r>
        <w:rPr>
          <w:rFonts w:hint="eastAsia"/>
          <w:color w:val="auto"/>
          <w:sz w:val="24"/>
          <w:highlight w:val="none"/>
          <w:lang w:val="en-GB"/>
        </w:rPr>
        <w:t>影响评价工作等级简单分析、地表水环境影响评价工作等级为二级、地下水环境影响评价工作等级为三级、声环境影响评价等级为二级、生态环境影响评价等级为三级、土壤环境影响评价等级为三级、环境风险评价等级为</w:t>
      </w:r>
      <w:r>
        <w:rPr>
          <w:color w:val="auto"/>
          <w:sz w:val="24"/>
          <w:highlight w:val="none"/>
        </w:rPr>
        <w:t>简单分析。</w:t>
      </w:r>
    </w:p>
    <w:p>
      <w:pPr>
        <w:pStyle w:val="3"/>
        <w:spacing w:beforeLines="0" w:line="480" w:lineRule="exact"/>
        <w:rPr>
          <w:rFonts w:eastAsia="宋体"/>
          <w:b/>
          <w:highlight w:val="none"/>
        </w:rPr>
      </w:pPr>
      <w:bookmarkStart w:id="40" w:name="_Toc18324"/>
      <w:bookmarkStart w:id="41" w:name="_Toc32584"/>
      <w:bookmarkStart w:id="42" w:name="_Toc91"/>
      <w:bookmarkStart w:id="43" w:name="_Toc13203"/>
      <w:r>
        <w:rPr>
          <w:rFonts w:hint="eastAsia" w:eastAsia="宋体"/>
          <w:b/>
          <w:highlight w:val="none"/>
        </w:rPr>
        <w:t>0.6</w:t>
      </w:r>
      <w:r>
        <w:rPr>
          <w:rFonts w:eastAsia="宋体"/>
          <w:b/>
          <w:highlight w:val="none"/>
        </w:rPr>
        <w:t>关注的主要环境问题</w:t>
      </w:r>
      <w:bookmarkEnd w:id="37"/>
      <w:r>
        <w:rPr>
          <w:rFonts w:eastAsia="宋体"/>
          <w:b/>
          <w:highlight w:val="none"/>
        </w:rPr>
        <w:t>及环境影响</w:t>
      </w:r>
      <w:bookmarkEnd w:id="38"/>
      <w:bookmarkEnd w:id="39"/>
      <w:bookmarkEnd w:id="40"/>
      <w:bookmarkEnd w:id="41"/>
      <w:bookmarkEnd w:id="42"/>
      <w:bookmarkEnd w:id="43"/>
    </w:p>
    <w:p>
      <w:pPr>
        <w:spacing w:line="480" w:lineRule="exact"/>
        <w:ind w:firstLine="480" w:firstLineChars="200"/>
        <w:rPr>
          <w:rFonts w:hint="eastAsia"/>
          <w:color w:val="auto"/>
          <w:sz w:val="24"/>
          <w:highlight w:val="none"/>
          <w:lang w:val="en-GB"/>
        </w:rPr>
      </w:pPr>
      <w:r>
        <w:rPr>
          <w:rFonts w:hint="eastAsia"/>
          <w:color w:val="auto"/>
          <w:sz w:val="24"/>
          <w:highlight w:val="none"/>
          <w:lang w:val="en-GB"/>
        </w:rPr>
        <w:t>本项目属生态影响型建设项目，项目已建成并运行多年，已不存在施工期，因此，本次评价重点为项目运行过程中引水引发的生态环境问题，关注的主要环境影响为运营期地表水影响、地下水影响及生态影响。</w:t>
      </w:r>
    </w:p>
    <w:p>
      <w:pPr>
        <w:spacing w:line="480" w:lineRule="exact"/>
        <w:ind w:firstLine="480" w:firstLineChars="200"/>
        <w:rPr>
          <w:color w:val="auto"/>
          <w:sz w:val="24"/>
          <w:highlight w:val="none"/>
          <w:lang w:val="en-GB"/>
        </w:rPr>
      </w:pPr>
      <w:r>
        <w:rPr>
          <w:rFonts w:hint="eastAsia"/>
          <w:color w:val="auto"/>
          <w:sz w:val="24"/>
          <w:highlight w:val="none"/>
          <w:lang w:val="en-GB"/>
        </w:rPr>
        <w:t>（</w:t>
      </w:r>
      <w:r>
        <w:rPr>
          <w:rFonts w:hint="eastAsia"/>
          <w:color w:val="auto"/>
          <w:sz w:val="24"/>
          <w:highlight w:val="none"/>
        </w:rPr>
        <w:t>1</w:t>
      </w:r>
      <w:r>
        <w:rPr>
          <w:rFonts w:hint="eastAsia"/>
          <w:color w:val="auto"/>
          <w:sz w:val="24"/>
          <w:highlight w:val="none"/>
          <w:lang w:val="en-GB"/>
        </w:rPr>
        <w:t>）施工期环境影响回顾及遗留环境问题</w:t>
      </w:r>
    </w:p>
    <w:p>
      <w:pPr>
        <w:spacing w:line="480" w:lineRule="exact"/>
        <w:ind w:firstLine="480" w:firstLineChars="200"/>
        <w:rPr>
          <w:color w:val="auto"/>
          <w:sz w:val="24"/>
          <w:highlight w:val="none"/>
          <w:lang w:val="en-GB"/>
        </w:rPr>
      </w:pPr>
      <w:r>
        <w:rPr>
          <w:rFonts w:hint="eastAsia"/>
          <w:snapToGrid w:val="0"/>
          <w:color w:val="auto"/>
          <w:kern w:val="0"/>
          <w:sz w:val="24"/>
          <w:highlight w:val="none"/>
          <w:lang w:eastAsia="zh-CN"/>
        </w:rPr>
        <w:t>本项目始筹建于</w:t>
      </w:r>
      <w:r>
        <w:rPr>
          <w:rFonts w:hint="eastAsia"/>
          <w:snapToGrid w:val="0"/>
          <w:color w:val="auto"/>
          <w:kern w:val="0"/>
          <w:sz w:val="24"/>
          <w:highlight w:val="none"/>
          <w:lang w:val="en-US" w:eastAsia="zh-CN"/>
        </w:rPr>
        <w:t>2005</w:t>
      </w:r>
      <w:r>
        <w:rPr>
          <w:snapToGrid w:val="0"/>
          <w:color w:val="auto"/>
          <w:kern w:val="0"/>
          <w:sz w:val="24"/>
          <w:highlight w:val="none"/>
        </w:rPr>
        <w:t>年，</w:t>
      </w:r>
      <w:r>
        <w:rPr>
          <w:rFonts w:hint="eastAsia"/>
          <w:snapToGrid w:val="0"/>
          <w:color w:val="auto"/>
          <w:kern w:val="0"/>
          <w:sz w:val="24"/>
          <w:highlight w:val="none"/>
          <w:lang w:val="en-US" w:eastAsia="zh-CN"/>
        </w:rPr>
        <w:t>2006年10月投产</w:t>
      </w:r>
      <w:r>
        <w:rPr>
          <w:rFonts w:hint="eastAsia" w:cs="Times New Roman" w:eastAsiaTheme="majorEastAsia"/>
          <w:i w:val="0"/>
          <w:iCs w:val="0"/>
          <w:caps w:val="0"/>
          <w:color w:val="auto"/>
          <w:spacing w:val="0"/>
          <w:sz w:val="24"/>
          <w:szCs w:val="24"/>
          <w:highlight w:val="none"/>
          <w:shd w:val="clear" w:fill="FFFFFF"/>
          <w:lang w:val="en-US" w:eastAsia="zh-CN"/>
        </w:rPr>
        <w:t>，</w:t>
      </w:r>
      <w:r>
        <w:rPr>
          <w:rFonts w:hint="eastAsia" w:ascii="Times New Roman" w:hAnsi="Times New Roman" w:cs="Times New Roman" w:eastAsiaTheme="majorEastAsia"/>
          <w:i w:val="0"/>
          <w:iCs w:val="0"/>
          <w:caps w:val="0"/>
          <w:color w:val="auto"/>
          <w:spacing w:val="0"/>
          <w:sz w:val="24"/>
          <w:szCs w:val="24"/>
          <w:highlight w:val="none"/>
          <w:shd w:val="clear" w:fill="FFFFFF"/>
          <w:lang w:val="en-US" w:eastAsia="zh-CN"/>
        </w:rPr>
        <w:t>已经安全运行</w:t>
      </w:r>
      <w:r>
        <w:rPr>
          <w:rFonts w:hint="eastAsia" w:cs="Times New Roman" w:eastAsiaTheme="majorEastAsia"/>
          <w:i w:val="0"/>
          <w:iCs w:val="0"/>
          <w:caps w:val="0"/>
          <w:color w:val="auto"/>
          <w:spacing w:val="0"/>
          <w:sz w:val="24"/>
          <w:szCs w:val="24"/>
          <w:highlight w:val="none"/>
          <w:shd w:val="clear" w:fill="FFFFFF"/>
          <w:lang w:val="en-US" w:eastAsia="zh-CN"/>
        </w:rPr>
        <w:t>1</w:t>
      </w:r>
      <w:r>
        <w:rPr>
          <w:rFonts w:hint="eastAsia" w:ascii="Times New Roman" w:hAnsi="Times New Roman" w:cs="Times New Roman" w:eastAsiaTheme="majorEastAsia"/>
          <w:i w:val="0"/>
          <w:iCs w:val="0"/>
          <w:caps w:val="0"/>
          <w:color w:val="auto"/>
          <w:spacing w:val="0"/>
          <w:sz w:val="24"/>
          <w:szCs w:val="24"/>
          <w:highlight w:val="none"/>
          <w:shd w:val="clear" w:fill="FFFFFF"/>
          <w:lang w:val="en-US" w:eastAsia="zh-CN"/>
        </w:rPr>
        <w:t>0多年</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w:t>
      </w:r>
      <w:r>
        <w:rPr>
          <w:rFonts w:hint="eastAsia"/>
          <w:color w:val="auto"/>
          <w:sz w:val="24"/>
          <w:highlight w:val="none"/>
          <w:lang w:val="en-GB"/>
        </w:rPr>
        <w:t>施工期的环境影响已经结束</w:t>
      </w:r>
      <w:r>
        <w:rPr>
          <w:color w:val="auto"/>
          <w:sz w:val="24"/>
          <w:highlight w:val="none"/>
          <w:lang w:val="en-GB"/>
        </w:rPr>
        <w:t>，</w:t>
      </w:r>
      <w:r>
        <w:rPr>
          <w:rFonts w:hint="eastAsia"/>
          <w:color w:val="auto"/>
          <w:sz w:val="24"/>
          <w:highlight w:val="none"/>
          <w:lang w:val="en-GB"/>
        </w:rPr>
        <w:t>施工对环境影响的作用因素主要有施工作业、对外交通、施工机械、施工占地、施工人员活动、弃渣等。本次评价的主要目的是工程施工对周围水环境、环境空气、声环境、水土流失、生态等产生影响的恢复情况以及回顾其施工期环保措施、修复措施的落实情况。</w:t>
      </w:r>
    </w:p>
    <w:p>
      <w:pPr>
        <w:spacing w:line="480" w:lineRule="exact"/>
        <w:ind w:firstLine="480" w:firstLineChars="200"/>
        <w:rPr>
          <w:sz w:val="24"/>
          <w:highlight w:val="none"/>
          <w:lang w:val="en-GB"/>
        </w:rPr>
      </w:pPr>
      <w:r>
        <w:rPr>
          <w:rFonts w:hint="eastAsia"/>
          <w:color w:val="auto"/>
          <w:sz w:val="24"/>
          <w:highlight w:val="none"/>
          <w:lang w:val="en-GB"/>
        </w:rPr>
        <w:t>（</w:t>
      </w:r>
      <w:r>
        <w:rPr>
          <w:rFonts w:hint="eastAsia"/>
          <w:color w:val="auto"/>
          <w:sz w:val="24"/>
          <w:highlight w:val="none"/>
        </w:rPr>
        <w:t>2</w:t>
      </w:r>
      <w:r>
        <w:rPr>
          <w:rFonts w:hint="eastAsia"/>
          <w:color w:val="auto"/>
          <w:sz w:val="24"/>
          <w:highlight w:val="none"/>
          <w:lang w:val="en-GB"/>
        </w:rPr>
        <w:t>）</w:t>
      </w:r>
      <w:r>
        <w:rPr>
          <w:color w:val="auto"/>
          <w:sz w:val="24"/>
          <w:highlight w:val="none"/>
          <w:lang w:val="en-GB"/>
        </w:rPr>
        <w:t>营运期</w:t>
      </w:r>
      <w:r>
        <w:rPr>
          <w:rFonts w:hint="eastAsia"/>
          <w:color w:val="auto"/>
          <w:sz w:val="24"/>
          <w:highlight w:val="none"/>
          <w:lang w:val="en-GB"/>
        </w:rPr>
        <w:t>环境问题及环境影响的</w:t>
      </w:r>
      <w:r>
        <w:rPr>
          <w:rFonts w:hint="eastAsia"/>
          <w:sz w:val="24"/>
          <w:highlight w:val="none"/>
          <w:lang w:val="en-GB"/>
        </w:rPr>
        <w:t>要点</w:t>
      </w:r>
    </w:p>
    <w:p>
      <w:pPr>
        <w:spacing w:line="480" w:lineRule="exact"/>
        <w:ind w:firstLine="480" w:firstLineChars="200"/>
        <w:rPr>
          <w:sz w:val="24"/>
          <w:highlight w:val="none"/>
          <w:lang w:val="en-GB"/>
        </w:rPr>
      </w:pPr>
      <w:r>
        <w:rPr>
          <w:rFonts w:hint="eastAsia"/>
          <w:sz w:val="24"/>
          <w:highlight w:val="none"/>
          <w:lang w:val="en-GB"/>
        </w:rPr>
        <w:t>本项目为引水式水电站，运行期间主要是生活污水、生活垃圾和发电设备运行中产生的机械噪声。采取环保措施控制后，对周边环境影响较小。本项目水电站位于陆域，不在“引滦入津工程”黎河内，仅有橡胶坝位于河道内。黎河属于泄洪型河道，除汛期外，径流很小。“引滦入津工程”引水期主要是春季和秋季，橡胶坝的建成和运营对黎河的的水文情势、水温、水质、泥沙淤积、局部气候、环境地质、水生生态、土地资源等影响很小。</w:t>
      </w:r>
    </w:p>
    <w:p>
      <w:pPr>
        <w:spacing w:line="480" w:lineRule="exact"/>
        <w:ind w:firstLine="480" w:firstLineChars="200"/>
        <w:rPr>
          <w:sz w:val="24"/>
          <w:highlight w:val="none"/>
          <w:lang w:val="en-GB"/>
        </w:rPr>
      </w:pPr>
      <w:r>
        <w:rPr>
          <w:rFonts w:hint="eastAsia"/>
          <w:sz w:val="24"/>
          <w:highlight w:val="none"/>
          <w:lang w:val="en-GB"/>
        </w:rPr>
        <w:t>本项目橡胶坝不会对黎河自然环境产生较大的负面影响。</w:t>
      </w:r>
    </w:p>
    <w:p>
      <w:pPr>
        <w:spacing w:line="480" w:lineRule="exact"/>
        <w:jc w:val="center"/>
        <w:rPr>
          <w:b/>
          <w:bCs/>
          <w:sz w:val="24"/>
          <w:highlight w:val="none"/>
          <w:lang w:val="en-GB"/>
        </w:rPr>
      </w:pPr>
      <w:r>
        <w:rPr>
          <w:rFonts w:hint="eastAsia"/>
          <w:b/>
          <w:bCs/>
          <w:sz w:val="24"/>
          <w:highlight w:val="none"/>
          <w:lang w:val="en-GB"/>
        </w:rPr>
        <w:t>表</w:t>
      </w:r>
      <w:r>
        <w:rPr>
          <w:rFonts w:hint="eastAsia"/>
          <w:b/>
          <w:bCs/>
          <w:sz w:val="24"/>
          <w:highlight w:val="none"/>
        </w:rPr>
        <w:t>0.</w:t>
      </w:r>
      <w:r>
        <w:rPr>
          <w:rFonts w:hint="eastAsia"/>
          <w:b/>
          <w:bCs/>
          <w:sz w:val="24"/>
          <w:highlight w:val="none"/>
          <w:lang w:val="en-US" w:eastAsia="zh-CN"/>
        </w:rPr>
        <w:t>6</w:t>
      </w:r>
      <w:r>
        <w:rPr>
          <w:rFonts w:hint="eastAsia"/>
          <w:b/>
          <w:bCs/>
          <w:sz w:val="24"/>
          <w:highlight w:val="none"/>
        </w:rPr>
        <w:t>-</w:t>
      </w:r>
      <w:r>
        <w:rPr>
          <w:rFonts w:hint="eastAsia"/>
          <w:b/>
          <w:bCs/>
          <w:sz w:val="24"/>
          <w:highlight w:val="none"/>
          <w:lang w:val="en-US" w:eastAsia="zh-CN"/>
        </w:rPr>
        <w:t>1</w:t>
      </w:r>
      <w:r>
        <w:rPr>
          <w:rFonts w:hint="eastAsia"/>
          <w:b/>
          <w:bCs/>
          <w:sz w:val="24"/>
          <w:highlight w:val="none"/>
        </w:rPr>
        <w:t xml:space="preserve"> </w:t>
      </w:r>
      <w:r>
        <w:rPr>
          <w:rFonts w:hint="eastAsia"/>
          <w:b/>
          <w:bCs/>
          <w:sz w:val="24"/>
          <w:highlight w:val="none"/>
          <w:lang w:val="en-GB"/>
        </w:rPr>
        <w:t xml:space="preserve"> 评价关注的主要环境问题及环境影响</w:t>
      </w:r>
    </w:p>
    <w:tbl>
      <w:tblPr>
        <w:tblStyle w:val="5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9"/>
        <w:gridCol w:w="570"/>
        <w:gridCol w:w="4240"/>
        <w:gridCol w:w="2268"/>
        <w:gridCol w:w="8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Align w:val="center"/>
          </w:tcPr>
          <w:p>
            <w:pPr>
              <w:spacing w:line="300" w:lineRule="exact"/>
              <w:jc w:val="center"/>
              <w:rPr>
                <w:szCs w:val="21"/>
                <w:highlight w:val="none"/>
              </w:rPr>
            </w:pPr>
            <w:r>
              <w:rPr>
                <w:rFonts w:hint="eastAsia"/>
                <w:szCs w:val="21"/>
                <w:highlight w:val="none"/>
              </w:rPr>
              <w:t>序号</w:t>
            </w:r>
          </w:p>
        </w:tc>
        <w:tc>
          <w:tcPr>
            <w:tcW w:w="570" w:type="dxa"/>
            <w:vAlign w:val="center"/>
          </w:tcPr>
          <w:p>
            <w:pPr>
              <w:spacing w:line="300" w:lineRule="exact"/>
              <w:jc w:val="center"/>
              <w:rPr>
                <w:szCs w:val="21"/>
                <w:highlight w:val="none"/>
              </w:rPr>
            </w:pPr>
            <w:r>
              <w:rPr>
                <w:rFonts w:hint="eastAsia"/>
                <w:szCs w:val="21"/>
                <w:highlight w:val="none"/>
              </w:rPr>
              <w:t>类别</w:t>
            </w:r>
          </w:p>
        </w:tc>
        <w:tc>
          <w:tcPr>
            <w:tcW w:w="4240" w:type="dxa"/>
            <w:vAlign w:val="center"/>
          </w:tcPr>
          <w:p>
            <w:pPr>
              <w:spacing w:line="300" w:lineRule="exact"/>
              <w:jc w:val="center"/>
              <w:rPr>
                <w:szCs w:val="21"/>
                <w:highlight w:val="none"/>
              </w:rPr>
            </w:pPr>
            <w:r>
              <w:rPr>
                <w:rFonts w:hint="eastAsia"/>
                <w:highlight w:val="none"/>
              </w:rPr>
              <w:t>主要环境问题及环境影响</w:t>
            </w:r>
          </w:p>
        </w:tc>
        <w:tc>
          <w:tcPr>
            <w:tcW w:w="2268" w:type="dxa"/>
            <w:vAlign w:val="center"/>
          </w:tcPr>
          <w:p>
            <w:pPr>
              <w:spacing w:line="300" w:lineRule="exact"/>
              <w:jc w:val="center"/>
              <w:rPr>
                <w:szCs w:val="21"/>
                <w:highlight w:val="none"/>
              </w:rPr>
            </w:pPr>
            <w:r>
              <w:rPr>
                <w:rFonts w:hint="eastAsia"/>
                <w:szCs w:val="21"/>
                <w:highlight w:val="none"/>
              </w:rPr>
              <w:t>采取的环保措施</w:t>
            </w:r>
          </w:p>
        </w:tc>
        <w:tc>
          <w:tcPr>
            <w:tcW w:w="857" w:type="dxa"/>
            <w:vAlign w:val="center"/>
          </w:tcPr>
          <w:p>
            <w:pPr>
              <w:spacing w:line="300" w:lineRule="exact"/>
              <w:jc w:val="center"/>
              <w:rPr>
                <w:szCs w:val="21"/>
                <w:highlight w:val="none"/>
              </w:rPr>
            </w:pPr>
            <w:r>
              <w:rPr>
                <w:rFonts w:hint="eastAsia"/>
                <w:szCs w:val="21"/>
                <w:highlight w:val="none"/>
              </w:rPr>
              <w:t>影响程度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Align w:val="center"/>
          </w:tcPr>
          <w:p>
            <w:pPr>
              <w:spacing w:line="300" w:lineRule="exact"/>
              <w:jc w:val="center"/>
              <w:rPr>
                <w:szCs w:val="21"/>
                <w:highlight w:val="none"/>
              </w:rPr>
            </w:pPr>
            <w:r>
              <w:rPr>
                <w:rFonts w:hint="eastAsia"/>
                <w:szCs w:val="21"/>
                <w:highlight w:val="none"/>
              </w:rPr>
              <w:t>1</w:t>
            </w:r>
          </w:p>
        </w:tc>
        <w:tc>
          <w:tcPr>
            <w:tcW w:w="570" w:type="dxa"/>
            <w:vAlign w:val="center"/>
          </w:tcPr>
          <w:p>
            <w:pPr>
              <w:spacing w:line="300" w:lineRule="exact"/>
              <w:jc w:val="center"/>
              <w:rPr>
                <w:szCs w:val="21"/>
                <w:highlight w:val="none"/>
              </w:rPr>
            </w:pPr>
            <w:r>
              <w:rPr>
                <w:rFonts w:hint="eastAsia"/>
                <w:szCs w:val="21"/>
                <w:highlight w:val="none"/>
              </w:rPr>
              <w:t>施工期</w:t>
            </w:r>
          </w:p>
        </w:tc>
        <w:tc>
          <w:tcPr>
            <w:tcW w:w="4240" w:type="dxa"/>
            <w:vAlign w:val="center"/>
          </w:tcPr>
          <w:p>
            <w:pPr>
              <w:spacing w:line="300" w:lineRule="exact"/>
              <w:jc w:val="left"/>
              <w:rPr>
                <w:highlight w:val="none"/>
              </w:rPr>
            </w:pPr>
            <w:r>
              <w:rPr>
                <w:rFonts w:hint="eastAsia"/>
                <w:color w:val="auto"/>
                <w:highlight w:val="none"/>
              </w:rPr>
              <w:t>施工期各类施工场地的生态恢复方式与效果，详细调查工程采取的环境保护措施及取得的效果，以及工程存在的环境问题；</w:t>
            </w:r>
          </w:p>
        </w:tc>
        <w:tc>
          <w:tcPr>
            <w:tcW w:w="2268" w:type="dxa"/>
            <w:vAlign w:val="center"/>
          </w:tcPr>
          <w:p>
            <w:pPr>
              <w:spacing w:line="300" w:lineRule="exact"/>
              <w:jc w:val="center"/>
              <w:rPr>
                <w:szCs w:val="21"/>
                <w:highlight w:val="none"/>
              </w:rPr>
            </w:pPr>
            <w:r>
              <w:rPr>
                <w:szCs w:val="21"/>
                <w:highlight w:val="none"/>
              </w:rPr>
              <w:t>/</w:t>
            </w:r>
          </w:p>
        </w:tc>
        <w:tc>
          <w:tcPr>
            <w:tcW w:w="857" w:type="dxa"/>
            <w:vAlign w:val="center"/>
          </w:tcPr>
          <w:p>
            <w:pPr>
              <w:spacing w:line="300" w:lineRule="exact"/>
              <w:jc w:val="center"/>
              <w:rPr>
                <w:szCs w:val="21"/>
                <w:highlight w:val="none"/>
              </w:rPr>
            </w:pPr>
            <w:r>
              <w:rPr>
                <w:rFonts w:hint="eastAsia"/>
                <w:szCs w:val="21"/>
                <w:highlight w:val="none"/>
              </w:rPr>
              <w:t>很小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Align w:val="center"/>
          </w:tcPr>
          <w:p>
            <w:pPr>
              <w:spacing w:line="300" w:lineRule="exact"/>
              <w:jc w:val="center"/>
              <w:rPr>
                <w:szCs w:val="21"/>
                <w:highlight w:val="none"/>
              </w:rPr>
            </w:pPr>
            <w:r>
              <w:rPr>
                <w:rFonts w:hint="eastAsia"/>
                <w:szCs w:val="21"/>
                <w:highlight w:val="none"/>
              </w:rPr>
              <w:t>2</w:t>
            </w:r>
          </w:p>
        </w:tc>
        <w:tc>
          <w:tcPr>
            <w:tcW w:w="570" w:type="dxa"/>
            <w:vMerge w:val="restart"/>
            <w:vAlign w:val="center"/>
          </w:tcPr>
          <w:p>
            <w:pPr>
              <w:spacing w:line="300" w:lineRule="exact"/>
              <w:jc w:val="center"/>
              <w:rPr>
                <w:szCs w:val="21"/>
                <w:highlight w:val="none"/>
              </w:rPr>
            </w:pPr>
            <w:r>
              <w:rPr>
                <w:szCs w:val="21"/>
                <w:highlight w:val="none"/>
              </w:rPr>
              <w:t>运营期</w:t>
            </w:r>
          </w:p>
        </w:tc>
        <w:tc>
          <w:tcPr>
            <w:tcW w:w="4240" w:type="dxa"/>
            <w:vAlign w:val="center"/>
          </w:tcPr>
          <w:p>
            <w:pPr>
              <w:spacing w:line="300" w:lineRule="exact"/>
              <w:jc w:val="left"/>
              <w:rPr>
                <w:szCs w:val="21"/>
                <w:highlight w:val="none"/>
              </w:rPr>
            </w:pPr>
            <w:r>
              <w:rPr>
                <w:rFonts w:hint="eastAsia"/>
                <w:szCs w:val="21"/>
                <w:highlight w:val="none"/>
              </w:rPr>
              <w:t>废气</w:t>
            </w:r>
            <w:r>
              <w:rPr>
                <w:rFonts w:hint="eastAsia"/>
                <w:szCs w:val="21"/>
                <w:highlight w:val="none"/>
                <w:lang w:eastAsia="zh-CN"/>
              </w:rPr>
              <w:t>：</w:t>
            </w:r>
            <w:r>
              <w:rPr>
                <w:rFonts w:hint="eastAsia"/>
                <w:szCs w:val="21"/>
                <w:highlight w:val="none"/>
              </w:rPr>
              <w:t>项目运营过程无废气产生及外排</w:t>
            </w:r>
          </w:p>
        </w:tc>
        <w:tc>
          <w:tcPr>
            <w:tcW w:w="2268" w:type="dxa"/>
            <w:vAlign w:val="center"/>
          </w:tcPr>
          <w:p>
            <w:pPr>
              <w:spacing w:line="300" w:lineRule="exact"/>
              <w:jc w:val="center"/>
              <w:rPr>
                <w:szCs w:val="21"/>
                <w:highlight w:val="none"/>
              </w:rPr>
            </w:pPr>
            <w:r>
              <w:rPr>
                <w:rFonts w:hint="eastAsia"/>
                <w:szCs w:val="21"/>
                <w:highlight w:val="none"/>
              </w:rPr>
              <w:t>/</w:t>
            </w:r>
          </w:p>
        </w:tc>
        <w:tc>
          <w:tcPr>
            <w:tcW w:w="857" w:type="dxa"/>
            <w:vAlign w:val="center"/>
          </w:tcPr>
          <w:p>
            <w:pPr>
              <w:spacing w:line="300" w:lineRule="exact"/>
              <w:jc w:val="center"/>
              <w:rPr>
                <w:szCs w:val="21"/>
                <w:highlight w:val="none"/>
              </w:rPr>
            </w:pPr>
            <w:r>
              <w:rPr>
                <w:rFonts w:hint="eastAsia"/>
                <w:szCs w:val="21"/>
                <w:highlight w:val="none"/>
              </w:rPr>
              <w:t>很小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Align w:val="center"/>
          </w:tcPr>
          <w:p>
            <w:pPr>
              <w:spacing w:line="300" w:lineRule="exact"/>
              <w:jc w:val="center"/>
              <w:rPr>
                <w:szCs w:val="21"/>
                <w:highlight w:val="none"/>
              </w:rPr>
            </w:pPr>
            <w:r>
              <w:rPr>
                <w:rFonts w:hint="eastAsia"/>
                <w:szCs w:val="21"/>
                <w:highlight w:val="none"/>
              </w:rPr>
              <w:t>3</w:t>
            </w:r>
          </w:p>
        </w:tc>
        <w:tc>
          <w:tcPr>
            <w:tcW w:w="570" w:type="dxa"/>
            <w:vMerge w:val="continue"/>
            <w:vAlign w:val="center"/>
          </w:tcPr>
          <w:p>
            <w:pPr>
              <w:spacing w:line="300" w:lineRule="exact"/>
              <w:jc w:val="center"/>
              <w:rPr>
                <w:szCs w:val="21"/>
                <w:highlight w:val="none"/>
              </w:rPr>
            </w:pPr>
          </w:p>
        </w:tc>
        <w:tc>
          <w:tcPr>
            <w:tcW w:w="4240" w:type="dxa"/>
            <w:vAlign w:val="center"/>
          </w:tcPr>
          <w:p>
            <w:pPr>
              <w:spacing w:line="300" w:lineRule="exact"/>
              <w:jc w:val="left"/>
              <w:rPr>
                <w:szCs w:val="21"/>
                <w:highlight w:val="none"/>
              </w:rPr>
            </w:pPr>
            <w:r>
              <w:rPr>
                <w:rFonts w:hint="eastAsia"/>
                <w:szCs w:val="21"/>
                <w:highlight w:val="none"/>
              </w:rPr>
              <w:t>废水</w:t>
            </w:r>
            <w:r>
              <w:rPr>
                <w:rFonts w:hint="eastAsia"/>
                <w:szCs w:val="21"/>
                <w:highlight w:val="none"/>
                <w:lang w:eastAsia="zh-CN"/>
              </w:rPr>
              <w:t>：</w:t>
            </w:r>
            <w:r>
              <w:rPr>
                <w:rFonts w:hint="eastAsia"/>
                <w:szCs w:val="21"/>
                <w:highlight w:val="none"/>
              </w:rPr>
              <w:t>员工生活污水。</w:t>
            </w:r>
          </w:p>
        </w:tc>
        <w:tc>
          <w:tcPr>
            <w:tcW w:w="2268" w:type="dxa"/>
            <w:vAlign w:val="center"/>
          </w:tcPr>
          <w:p>
            <w:pPr>
              <w:spacing w:line="300" w:lineRule="exact"/>
              <w:jc w:val="left"/>
              <w:rPr>
                <w:szCs w:val="21"/>
                <w:highlight w:val="none"/>
              </w:rPr>
            </w:pPr>
            <w:r>
              <w:rPr>
                <w:rFonts w:hint="eastAsia"/>
                <w:color w:val="000000" w:themeColor="text1"/>
                <w:szCs w:val="21"/>
                <w:highlight w:val="none"/>
                <w14:textFill>
                  <w14:solidFill>
                    <w14:schemeClr w14:val="tx1"/>
                  </w14:solidFill>
                </w14:textFill>
              </w:rPr>
              <w:t>项目生活污水经化粪池处理</w:t>
            </w:r>
            <w:r>
              <w:rPr>
                <w:rFonts w:hint="eastAsia"/>
                <w:color w:val="000000" w:themeColor="text1"/>
                <w:szCs w:val="21"/>
                <w:highlight w:val="none"/>
                <w:lang w:eastAsia="zh-CN"/>
                <w14:textFill>
                  <w14:solidFill>
                    <w14:schemeClr w14:val="tx1"/>
                  </w14:solidFill>
                </w14:textFill>
              </w:rPr>
              <w:t>，由环卫部门定期清掏</w:t>
            </w:r>
          </w:p>
        </w:tc>
        <w:tc>
          <w:tcPr>
            <w:tcW w:w="857" w:type="dxa"/>
            <w:vAlign w:val="center"/>
          </w:tcPr>
          <w:p>
            <w:pPr>
              <w:spacing w:line="300" w:lineRule="exact"/>
              <w:jc w:val="center"/>
              <w:rPr>
                <w:szCs w:val="21"/>
                <w:highlight w:val="none"/>
              </w:rPr>
            </w:pPr>
            <w:r>
              <w:rPr>
                <w:rFonts w:hint="eastAsia"/>
                <w:szCs w:val="21"/>
                <w:highlight w:val="none"/>
              </w:rPr>
              <w:t>很小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Align w:val="center"/>
          </w:tcPr>
          <w:p>
            <w:pPr>
              <w:spacing w:line="300" w:lineRule="exact"/>
              <w:jc w:val="center"/>
              <w:rPr>
                <w:szCs w:val="21"/>
                <w:highlight w:val="none"/>
              </w:rPr>
            </w:pPr>
            <w:r>
              <w:rPr>
                <w:rFonts w:hint="eastAsia"/>
                <w:szCs w:val="21"/>
                <w:highlight w:val="none"/>
              </w:rPr>
              <w:t>4</w:t>
            </w:r>
          </w:p>
        </w:tc>
        <w:tc>
          <w:tcPr>
            <w:tcW w:w="570" w:type="dxa"/>
            <w:vMerge w:val="continue"/>
            <w:vAlign w:val="center"/>
          </w:tcPr>
          <w:p>
            <w:pPr>
              <w:spacing w:line="300" w:lineRule="exact"/>
              <w:jc w:val="center"/>
              <w:rPr>
                <w:szCs w:val="21"/>
                <w:highlight w:val="none"/>
              </w:rPr>
            </w:pPr>
          </w:p>
        </w:tc>
        <w:tc>
          <w:tcPr>
            <w:tcW w:w="4240" w:type="dxa"/>
            <w:vAlign w:val="center"/>
          </w:tcPr>
          <w:p>
            <w:pPr>
              <w:spacing w:line="300" w:lineRule="exact"/>
              <w:jc w:val="left"/>
              <w:rPr>
                <w:szCs w:val="21"/>
                <w:highlight w:val="none"/>
              </w:rPr>
            </w:pPr>
            <w:r>
              <w:rPr>
                <w:rFonts w:hint="eastAsia"/>
                <w:szCs w:val="21"/>
                <w:highlight w:val="none"/>
              </w:rPr>
              <w:t>噪声</w:t>
            </w:r>
            <w:r>
              <w:rPr>
                <w:rFonts w:hint="eastAsia"/>
                <w:szCs w:val="21"/>
                <w:highlight w:val="none"/>
                <w:lang w:eastAsia="zh-CN"/>
              </w:rPr>
              <w:t>：</w:t>
            </w:r>
            <w:r>
              <w:rPr>
                <w:rFonts w:hint="eastAsia"/>
                <w:szCs w:val="21"/>
                <w:highlight w:val="none"/>
              </w:rPr>
              <w:t>发电生产运营厂界噪声达标可行性。</w:t>
            </w:r>
          </w:p>
        </w:tc>
        <w:tc>
          <w:tcPr>
            <w:tcW w:w="2268" w:type="dxa"/>
            <w:vAlign w:val="center"/>
          </w:tcPr>
          <w:p>
            <w:pPr>
              <w:spacing w:line="300" w:lineRule="exact"/>
              <w:jc w:val="center"/>
              <w:rPr>
                <w:szCs w:val="21"/>
                <w:highlight w:val="none"/>
              </w:rPr>
            </w:pPr>
            <w:r>
              <w:rPr>
                <w:rFonts w:hint="eastAsia"/>
                <w:szCs w:val="21"/>
                <w:highlight w:val="none"/>
              </w:rPr>
              <w:t>隔声、减震</w:t>
            </w:r>
          </w:p>
        </w:tc>
        <w:tc>
          <w:tcPr>
            <w:tcW w:w="857" w:type="dxa"/>
            <w:vAlign w:val="center"/>
          </w:tcPr>
          <w:p>
            <w:pPr>
              <w:spacing w:line="300" w:lineRule="exact"/>
              <w:jc w:val="center"/>
              <w:rPr>
                <w:szCs w:val="21"/>
                <w:highlight w:val="none"/>
              </w:rPr>
            </w:pPr>
            <w:r>
              <w:rPr>
                <w:rFonts w:hint="eastAsia"/>
                <w:szCs w:val="21"/>
                <w:highlight w:val="none"/>
              </w:rPr>
              <w:t>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Align w:val="center"/>
          </w:tcPr>
          <w:p>
            <w:pPr>
              <w:spacing w:line="300" w:lineRule="exact"/>
              <w:jc w:val="center"/>
              <w:rPr>
                <w:szCs w:val="21"/>
                <w:highlight w:val="none"/>
              </w:rPr>
            </w:pPr>
            <w:r>
              <w:rPr>
                <w:rFonts w:hint="eastAsia"/>
                <w:szCs w:val="21"/>
                <w:highlight w:val="none"/>
              </w:rPr>
              <w:t>5</w:t>
            </w:r>
          </w:p>
        </w:tc>
        <w:tc>
          <w:tcPr>
            <w:tcW w:w="570" w:type="dxa"/>
            <w:vMerge w:val="continue"/>
            <w:vAlign w:val="center"/>
          </w:tcPr>
          <w:p>
            <w:pPr>
              <w:spacing w:line="300" w:lineRule="exact"/>
              <w:jc w:val="center"/>
              <w:rPr>
                <w:szCs w:val="21"/>
                <w:highlight w:val="none"/>
              </w:rPr>
            </w:pPr>
          </w:p>
        </w:tc>
        <w:tc>
          <w:tcPr>
            <w:tcW w:w="4240" w:type="dxa"/>
            <w:vAlign w:val="center"/>
          </w:tcPr>
          <w:p>
            <w:pPr>
              <w:spacing w:line="300" w:lineRule="exact"/>
              <w:jc w:val="left"/>
              <w:rPr>
                <w:szCs w:val="21"/>
                <w:highlight w:val="none"/>
              </w:rPr>
            </w:pPr>
            <w:r>
              <w:rPr>
                <w:rFonts w:hint="eastAsia"/>
                <w:szCs w:val="21"/>
                <w:highlight w:val="none"/>
              </w:rPr>
              <w:t>固废</w:t>
            </w:r>
            <w:r>
              <w:rPr>
                <w:rFonts w:hint="eastAsia"/>
                <w:szCs w:val="21"/>
                <w:highlight w:val="none"/>
                <w:lang w:eastAsia="zh-CN"/>
              </w:rPr>
              <w:t>：</w:t>
            </w:r>
            <w:r>
              <w:rPr>
                <w:rFonts w:hint="eastAsia"/>
                <w:szCs w:val="21"/>
                <w:highlight w:val="none"/>
              </w:rPr>
              <w:t>一般固废、危废。</w:t>
            </w:r>
          </w:p>
        </w:tc>
        <w:tc>
          <w:tcPr>
            <w:tcW w:w="2268" w:type="dxa"/>
            <w:vAlign w:val="center"/>
          </w:tcPr>
          <w:p>
            <w:pPr>
              <w:spacing w:line="300" w:lineRule="exact"/>
              <w:jc w:val="left"/>
              <w:rPr>
                <w:szCs w:val="21"/>
                <w:highlight w:val="none"/>
              </w:rPr>
            </w:pPr>
            <w:r>
              <w:rPr>
                <w:rFonts w:hint="eastAsia"/>
                <w:szCs w:val="21"/>
                <w:highlight w:val="none"/>
              </w:rPr>
              <w:t>设置危废暂存间，一般固废环卫部门清运</w:t>
            </w:r>
          </w:p>
        </w:tc>
        <w:tc>
          <w:tcPr>
            <w:tcW w:w="857" w:type="dxa"/>
            <w:vAlign w:val="center"/>
          </w:tcPr>
          <w:p>
            <w:pPr>
              <w:spacing w:line="300" w:lineRule="exact"/>
              <w:jc w:val="center"/>
              <w:rPr>
                <w:szCs w:val="21"/>
                <w:highlight w:val="none"/>
              </w:rPr>
            </w:pPr>
            <w:r>
              <w:rPr>
                <w:rFonts w:hint="eastAsia"/>
                <w:szCs w:val="21"/>
                <w:highlight w:val="none"/>
              </w:rPr>
              <w:t>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Align w:val="center"/>
          </w:tcPr>
          <w:p>
            <w:pPr>
              <w:spacing w:line="300" w:lineRule="exact"/>
              <w:jc w:val="center"/>
              <w:rPr>
                <w:szCs w:val="21"/>
                <w:highlight w:val="none"/>
              </w:rPr>
            </w:pPr>
            <w:r>
              <w:rPr>
                <w:rFonts w:hint="eastAsia"/>
                <w:szCs w:val="21"/>
                <w:highlight w:val="none"/>
              </w:rPr>
              <w:t>6</w:t>
            </w:r>
          </w:p>
        </w:tc>
        <w:tc>
          <w:tcPr>
            <w:tcW w:w="570" w:type="dxa"/>
            <w:vMerge w:val="continue"/>
            <w:vAlign w:val="center"/>
          </w:tcPr>
          <w:p>
            <w:pPr>
              <w:spacing w:line="300" w:lineRule="exact"/>
              <w:jc w:val="center"/>
              <w:rPr>
                <w:szCs w:val="21"/>
                <w:highlight w:val="none"/>
              </w:rPr>
            </w:pPr>
          </w:p>
        </w:tc>
        <w:tc>
          <w:tcPr>
            <w:tcW w:w="4240" w:type="dxa"/>
            <w:vAlign w:val="center"/>
          </w:tcPr>
          <w:p>
            <w:pPr>
              <w:spacing w:line="300" w:lineRule="exact"/>
              <w:jc w:val="left"/>
              <w:rPr>
                <w:szCs w:val="21"/>
                <w:highlight w:val="none"/>
              </w:rPr>
            </w:pPr>
            <w:r>
              <w:rPr>
                <w:rFonts w:hint="eastAsia"/>
                <w:szCs w:val="21"/>
                <w:highlight w:val="none"/>
              </w:rPr>
              <w:t>地下水</w:t>
            </w:r>
            <w:r>
              <w:rPr>
                <w:rFonts w:hint="eastAsia"/>
                <w:szCs w:val="21"/>
                <w:highlight w:val="none"/>
                <w:lang w:eastAsia="zh-CN"/>
              </w:rPr>
              <w:t>：</w:t>
            </w:r>
            <w:r>
              <w:rPr>
                <w:rFonts w:hint="eastAsia"/>
                <w:szCs w:val="21"/>
                <w:highlight w:val="none"/>
              </w:rPr>
              <w:t>避免污染物进入地下水系统。</w:t>
            </w:r>
          </w:p>
        </w:tc>
        <w:tc>
          <w:tcPr>
            <w:tcW w:w="2268" w:type="dxa"/>
            <w:vAlign w:val="center"/>
          </w:tcPr>
          <w:p>
            <w:pPr>
              <w:spacing w:line="300" w:lineRule="exact"/>
              <w:jc w:val="center"/>
              <w:rPr>
                <w:szCs w:val="21"/>
                <w:highlight w:val="none"/>
              </w:rPr>
            </w:pPr>
            <w:r>
              <w:rPr>
                <w:rFonts w:hint="eastAsia"/>
                <w:szCs w:val="21"/>
                <w:highlight w:val="none"/>
              </w:rPr>
              <w:t>分区防治</w:t>
            </w:r>
          </w:p>
        </w:tc>
        <w:tc>
          <w:tcPr>
            <w:tcW w:w="857" w:type="dxa"/>
            <w:vAlign w:val="center"/>
          </w:tcPr>
          <w:p>
            <w:pPr>
              <w:spacing w:line="300" w:lineRule="exact"/>
              <w:jc w:val="center"/>
              <w:rPr>
                <w:szCs w:val="21"/>
                <w:highlight w:val="none"/>
              </w:rPr>
            </w:pPr>
            <w:r>
              <w:rPr>
                <w:rFonts w:hint="eastAsia"/>
                <w:szCs w:val="21"/>
                <w:highlight w:val="none"/>
              </w:rPr>
              <w:t>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Align w:val="center"/>
          </w:tcPr>
          <w:p>
            <w:pPr>
              <w:spacing w:line="300" w:lineRule="exact"/>
              <w:jc w:val="center"/>
              <w:rPr>
                <w:szCs w:val="21"/>
                <w:highlight w:val="none"/>
              </w:rPr>
            </w:pPr>
            <w:r>
              <w:rPr>
                <w:rFonts w:hint="eastAsia"/>
                <w:szCs w:val="21"/>
                <w:highlight w:val="none"/>
              </w:rPr>
              <w:t>7</w:t>
            </w:r>
          </w:p>
        </w:tc>
        <w:tc>
          <w:tcPr>
            <w:tcW w:w="570" w:type="dxa"/>
            <w:vMerge w:val="continue"/>
            <w:vAlign w:val="center"/>
          </w:tcPr>
          <w:p>
            <w:pPr>
              <w:spacing w:line="300" w:lineRule="exact"/>
              <w:jc w:val="center"/>
              <w:rPr>
                <w:szCs w:val="21"/>
                <w:highlight w:val="none"/>
              </w:rPr>
            </w:pPr>
          </w:p>
        </w:tc>
        <w:tc>
          <w:tcPr>
            <w:tcW w:w="4240" w:type="dxa"/>
            <w:vAlign w:val="center"/>
          </w:tcPr>
          <w:p>
            <w:pPr>
              <w:spacing w:line="300" w:lineRule="exact"/>
              <w:jc w:val="left"/>
              <w:rPr>
                <w:szCs w:val="21"/>
                <w:highlight w:val="none"/>
              </w:rPr>
            </w:pPr>
            <w:r>
              <w:rPr>
                <w:rFonts w:hint="eastAsia"/>
                <w:szCs w:val="21"/>
                <w:highlight w:val="none"/>
              </w:rPr>
              <w:t>环境风险</w:t>
            </w:r>
            <w:r>
              <w:rPr>
                <w:rFonts w:hint="eastAsia"/>
                <w:szCs w:val="21"/>
                <w:highlight w:val="none"/>
                <w:lang w:eastAsia="zh-CN"/>
              </w:rPr>
              <w:t>：</w:t>
            </w:r>
            <w:r>
              <w:rPr>
                <w:rFonts w:hint="eastAsia"/>
                <w:szCs w:val="21"/>
                <w:highlight w:val="none"/>
              </w:rPr>
              <w:t>危险固废泄漏对地下水、土壤环境的影响。</w:t>
            </w:r>
          </w:p>
        </w:tc>
        <w:tc>
          <w:tcPr>
            <w:tcW w:w="2268" w:type="dxa"/>
            <w:vAlign w:val="center"/>
          </w:tcPr>
          <w:p>
            <w:pPr>
              <w:spacing w:line="300" w:lineRule="exact"/>
              <w:jc w:val="left"/>
              <w:rPr>
                <w:szCs w:val="21"/>
                <w:highlight w:val="none"/>
              </w:rPr>
            </w:pPr>
            <w:r>
              <w:rPr>
                <w:rFonts w:hint="eastAsia"/>
                <w:szCs w:val="21"/>
                <w:highlight w:val="none"/>
              </w:rPr>
              <w:t>设置溢油事故应急池</w:t>
            </w:r>
          </w:p>
        </w:tc>
        <w:tc>
          <w:tcPr>
            <w:tcW w:w="857" w:type="dxa"/>
            <w:vAlign w:val="center"/>
          </w:tcPr>
          <w:p>
            <w:pPr>
              <w:spacing w:line="300" w:lineRule="exact"/>
              <w:jc w:val="center"/>
              <w:rPr>
                <w:szCs w:val="21"/>
                <w:highlight w:val="none"/>
              </w:rPr>
            </w:pPr>
            <w:r>
              <w:rPr>
                <w:rFonts w:hint="eastAsia"/>
                <w:szCs w:val="21"/>
                <w:highlight w:val="none"/>
              </w:rPr>
              <w:t>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Align w:val="center"/>
          </w:tcPr>
          <w:p>
            <w:pPr>
              <w:spacing w:line="300" w:lineRule="exact"/>
              <w:jc w:val="center"/>
              <w:rPr>
                <w:szCs w:val="21"/>
                <w:highlight w:val="none"/>
              </w:rPr>
            </w:pPr>
            <w:r>
              <w:rPr>
                <w:rFonts w:hint="eastAsia"/>
                <w:szCs w:val="21"/>
                <w:highlight w:val="none"/>
              </w:rPr>
              <w:t>8</w:t>
            </w:r>
          </w:p>
        </w:tc>
        <w:tc>
          <w:tcPr>
            <w:tcW w:w="570" w:type="dxa"/>
            <w:vMerge w:val="continue"/>
            <w:vAlign w:val="center"/>
          </w:tcPr>
          <w:p>
            <w:pPr>
              <w:spacing w:line="300" w:lineRule="exact"/>
              <w:jc w:val="center"/>
              <w:rPr>
                <w:szCs w:val="21"/>
                <w:highlight w:val="none"/>
              </w:rPr>
            </w:pPr>
          </w:p>
        </w:tc>
        <w:tc>
          <w:tcPr>
            <w:tcW w:w="4240" w:type="dxa"/>
            <w:vAlign w:val="center"/>
          </w:tcPr>
          <w:p>
            <w:pPr>
              <w:spacing w:line="300" w:lineRule="exact"/>
              <w:jc w:val="left"/>
              <w:rPr>
                <w:szCs w:val="21"/>
                <w:highlight w:val="none"/>
              </w:rPr>
            </w:pPr>
            <w:r>
              <w:rPr>
                <w:rFonts w:hint="eastAsia"/>
                <w:szCs w:val="21"/>
                <w:highlight w:val="none"/>
              </w:rPr>
              <w:t>生态</w:t>
            </w:r>
            <w:r>
              <w:rPr>
                <w:rFonts w:hint="eastAsia"/>
                <w:szCs w:val="21"/>
                <w:highlight w:val="none"/>
                <w:lang w:eastAsia="zh-CN"/>
              </w:rPr>
              <w:t>：</w:t>
            </w:r>
            <w:r>
              <w:rPr>
                <w:rFonts w:hint="eastAsia"/>
                <w:szCs w:val="21"/>
                <w:highlight w:val="none"/>
              </w:rPr>
              <w:t>对黎河以及陆生生态环境的影响，</w:t>
            </w:r>
          </w:p>
        </w:tc>
        <w:tc>
          <w:tcPr>
            <w:tcW w:w="2268" w:type="dxa"/>
            <w:vAlign w:val="center"/>
          </w:tcPr>
          <w:p>
            <w:pPr>
              <w:spacing w:line="300" w:lineRule="exact"/>
              <w:jc w:val="left"/>
              <w:rPr>
                <w:szCs w:val="21"/>
                <w:highlight w:val="none"/>
              </w:rPr>
            </w:pPr>
            <w:r>
              <w:rPr>
                <w:rFonts w:hint="eastAsia"/>
                <w:szCs w:val="21"/>
                <w:highlight w:val="none"/>
              </w:rPr>
              <w:t>设置生态基流。</w:t>
            </w:r>
          </w:p>
        </w:tc>
        <w:tc>
          <w:tcPr>
            <w:tcW w:w="857" w:type="dxa"/>
            <w:vAlign w:val="center"/>
          </w:tcPr>
          <w:p>
            <w:pPr>
              <w:spacing w:line="300" w:lineRule="exact"/>
              <w:jc w:val="center"/>
              <w:rPr>
                <w:szCs w:val="21"/>
                <w:highlight w:val="none"/>
              </w:rPr>
            </w:pPr>
            <w:r>
              <w:rPr>
                <w:rFonts w:hint="eastAsia"/>
                <w:szCs w:val="21"/>
                <w:highlight w:val="none"/>
              </w:rPr>
              <w:t>一般</w:t>
            </w:r>
          </w:p>
        </w:tc>
      </w:tr>
    </w:tbl>
    <w:p>
      <w:pPr>
        <w:pStyle w:val="3"/>
        <w:spacing w:beforeLines="0" w:line="480" w:lineRule="exact"/>
        <w:rPr>
          <w:rFonts w:eastAsia="宋体"/>
          <w:b/>
          <w:color w:val="auto"/>
          <w:highlight w:val="none"/>
        </w:rPr>
      </w:pPr>
      <w:bookmarkStart w:id="44" w:name="_Toc482193199"/>
      <w:bookmarkStart w:id="45" w:name="_Toc6861"/>
      <w:bookmarkStart w:id="46" w:name="_Toc249"/>
      <w:bookmarkStart w:id="47" w:name="_Toc23537"/>
      <w:bookmarkStart w:id="48" w:name="_Toc3784"/>
      <w:bookmarkStart w:id="49" w:name="_Toc4595"/>
      <w:bookmarkStart w:id="50" w:name="_Toc28173"/>
      <w:r>
        <w:rPr>
          <w:rFonts w:hint="eastAsia" w:eastAsia="宋体"/>
          <w:b/>
          <w:highlight w:val="none"/>
        </w:rPr>
        <w:t>0.7</w:t>
      </w:r>
      <w:r>
        <w:rPr>
          <w:rFonts w:eastAsia="宋体"/>
          <w:b/>
          <w:highlight w:val="none"/>
        </w:rPr>
        <w:t>环境影</w:t>
      </w:r>
      <w:r>
        <w:rPr>
          <w:rFonts w:eastAsia="宋体"/>
          <w:b/>
          <w:color w:val="auto"/>
          <w:highlight w:val="none"/>
        </w:rPr>
        <w:t>响评价主要结论</w:t>
      </w:r>
      <w:bookmarkEnd w:id="44"/>
      <w:bookmarkEnd w:id="45"/>
      <w:bookmarkEnd w:id="46"/>
      <w:bookmarkEnd w:id="47"/>
      <w:bookmarkEnd w:id="48"/>
      <w:bookmarkEnd w:id="49"/>
      <w:bookmarkEnd w:id="50"/>
    </w:p>
    <w:p>
      <w:pPr>
        <w:spacing w:line="480" w:lineRule="exact"/>
        <w:ind w:right="28" w:firstLine="480" w:firstLineChars="200"/>
        <w:rPr>
          <w:rFonts w:hint="eastAsia" w:ascii="Times New Roman" w:hAnsi="Times New Roman" w:cs="Times New Roman" w:eastAsiaTheme="majorEastAsia"/>
          <w:i w:val="0"/>
          <w:iCs w:val="0"/>
          <w:caps w:val="0"/>
          <w:color w:val="auto"/>
          <w:spacing w:val="0"/>
          <w:sz w:val="24"/>
          <w:szCs w:val="24"/>
          <w:highlight w:val="none"/>
          <w:shd w:val="clear" w:fill="FFFFFF"/>
          <w:lang w:val="en-US" w:eastAsia="zh-CN"/>
        </w:rPr>
      </w:pPr>
      <w:r>
        <w:rPr>
          <w:rFonts w:hint="eastAsia"/>
          <w:color w:val="auto"/>
          <w:sz w:val="24"/>
          <w:highlight w:val="none"/>
        </w:rPr>
        <w:t>（1）本项目始建于2005年，2006年10月投产，</w:t>
      </w:r>
      <w:r>
        <w:rPr>
          <w:rFonts w:hint="eastAsia" w:ascii="Times New Roman" w:hAnsi="Times New Roman" w:cs="Times New Roman" w:eastAsiaTheme="majorEastAsia"/>
          <w:i w:val="0"/>
          <w:iCs w:val="0"/>
          <w:caps w:val="0"/>
          <w:color w:val="auto"/>
          <w:spacing w:val="0"/>
          <w:sz w:val="24"/>
          <w:szCs w:val="24"/>
          <w:highlight w:val="none"/>
          <w:shd w:val="clear" w:fill="FFFFFF"/>
          <w:lang w:val="en-US" w:eastAsia="zh-CN"/>
        </w:rPr>
        <w:t>已经安全运行多年</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不涉及自然保护区核心区、缓冲区</w:t>
      </w:r>
      <w:r>
        <w:rPr>
          <w:rFonts w:hint="eastAsia" w:cs="Times New Roman" w:eastAsiaTheme="majorEastAsia"/>
          <w:i w:val="0"/>
          <w:iCs w:val="0"/>
          <w:caps w:val="0"/>
          <w:color w:val="auto"/>
          <w:spacing w:val="0"/>
          <w:sz w:val="24"/>
          <w:szCs w:val="24"/>
          <w:highlight w:val="none"/>
          <w:shd w:val="clear" w:fill="FFFFFF"/>
          <w:lang w:eastAsia="zh-CN"/>
        </w:rPr>
        <w:t>，电站橡胶坝位于黎河生态保护红线内</w:t>
      </w:r>
      <w:r>
        <w:rPr>
          <w:rFonts w:hint="default" w:ascii="Times New Roman" w:hAnsi="Times New Roman" w:cs="Times New Roman" w:eastAsiaTheme="majorEastAsia"/>
          <w:i w:val="0"/>
          <w:iCs w:val="0"/>
          <w:caps w:val="0"/>
          <w:color w:val="auto"/>
          <w:spacing w:val="0"/>
          <w:sz w:val="24"/>
          <w:szCs w:val="24"/>
          <w:highlight w:val="none"/>
          <w:shd w:val="clear" w:fill="FFFFFF"/>
        </w:rPr>
        <w:t>。生态环境保护和安全生产管理措施到位</w:t>
      </w:r>
      <w:r>
        <w:rPr>
          <w:rFonts w:hint="eastAsia" w:ascii="Times New Roman" w:hAnsi="Times New Roman" w:cs="Times New Roman" w:eastAsiaTheme="majorEastAsia"/>
          <w:i w:val="0"/>
          <w:iCs w:val="0"/>
          <w:caps w:val="0"/>
          <w:color w:val="auto"/>
          <w:spacing w:val="0"/>
          <w:sz w:val="24"/>
          <w:szCs w:val="24"/>
          <w:highlight w:val="none"/>
          <w:shd w:val="clear" w:fill="FFFFFF"/>
          <w:lang w:eastAsia="zh-CN"/>
        </w:rPr>
        <w:t>，且</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关于进一步做好</w:t>
      </w:r>
      <w:r>
        <w:rPr>
          <w:rFonts w:hint="default" w:ascii="Times New Roman" w:hAnsi="Times New Roman" w:cs="Times New Roman" w:eastAsiaTheme="majorEastAsia"/>
          <w:i w:val="0"/>
          <w:iCs w:val="0"/>
          <w:caps w:val="0"/>
          <w:color w:val="auto"/>
          <w:spacing w:val="0"/>
          <w:sz w:val="24"/>
          <w:szCs w:val="24"/>
          <w:highlight w:val="none"/>
          <w:shd w:val="clear" w:fill="FFFFFF"/>
        </w:rPr>
        <w:fldChar w:fldCharType="begin"/>
      </w:r>
      <w:r>
        <w:rPr>
          <w:rFonts w:hint="default" w:ascii="Times New Roman" w:hAnsi="Times New Roman" w:cs="Times New Roman" w:eastAsiaTheme="majorEastAsia"/>
          <w:i w:val="0"/>
          <w:iCs w:val="0"/>
          <w:caps w:val="0"/>
          <w:color w:val="auto"/>
          <w:spacing w:val="0"/>
          <w:sz w:val="24"/>
          <w:szCs w:val="24"/>
          <w:highlight w:val="none"/>
          <w:shd w:val="clear" w:fill="FFFFFF"/>
        </w:rPr>
        <w:instrText xml:space="preserve"> HYPERLINK "https://news.bjx.com.cn/zt.asp?topic=%d0%a1%cb%ae%b5%e7" \t "http://www.hydropower.org.cn/_blank" </w:instrText>
      </w:r>
      <w:r>
        <w:rPr>
          <w:rFonts w:hint="default" w:ascii="Times New Roman" w:hAnsi="Times New Roman" w:cs="Times New Roman" w:eastAsiaTheme="majorEastAsia"/>
          <w:i w:val="0"/>
          <w:iCs w:val="0"/>
          <w:caps w:val="0"/>
          <w:color w:val="auto"/>
          <w:spacing w:val="0"/>
          <w:sz w:val="24"/>
          <w:szCs w:val="24"/>
          <w:highlight w:val="none"/>
          <w:shd w:val="clear" w:fill="FFFFFF"/>
        </w:rPr>
        <w:fldChar w:fldCharType="separate"/>
      </w:r>
      <w:r>
        <w:rPr>
          <w:rFonts w:hint="default" w:ascii="Times New Roman" w:hAnsi="Times New Roman" w:cs="Times New Roman" w:eastAsiaTheme="majorEastAsia"/>
          <w:i w:val="0"/>
          <w:iCs w:val="0"/>
          <w:caps w:val="0"/>
          <w:color w:val="auto"/>
          <w:spacing w:val="0"/>
          <w:sz w:val="24"/>
          <w:szCs w:val="24"/>
          <w:highlight w:val="none"/>
          <w:shd w:val="clear" w:fill="FFFFFF"/>
        </w:rPr>
        <w:t>小水电</w:t>
      </w:r>
      <w:r>
        <w:rPr>
          <w:rFonts w:hint="default" w:ascii="Times New Roman" w:hAnsi="Times New Roman" w:cs="Times New Roman" w:eastAsiaTheme="majorEastAsia"/>
          <w:i w:val="0"/>
          <w:iCs w:val="0"/>
          <w:caps w:val="0"/>
          <w:color w:val="auto"/>
          <w:spacing w:val="0"/>
          <w:sz w:val="24"/>
          <w:szCs w:val="24"/>
          <w:highlight w:val="none"/>
          <w:shd w:val="clear" w:fill="FFFFFF"/>
        </w:rPr>
        <w:fldChar w:fldCharType="end"/>
      </w:r>
      <w:r>
        <w:rPr>
          <w:rFonts w:hint="default" w:ascii="Times New Roman" w:hAnsi="Times New Roman" w:cs="Times New Roman" w:eastAsiaTheme="majorEastAsia"/>
          <w:i w:val="0"/>
          <w:iCs w:val="0"/>
          <w:caps w:val="0"/>
          <w:color w:val="auto"/>
          <w:spacing w:val="0"/>
          <w:sz w:val="24"/>
          <w:szCs w:val="24"/>
          <w:highlight w:val="none"/>
          <w:shd w:val="clear" w:fill="FFFFFF"/>
        </w:rPr>
        <w:t>分类整改工作的意见</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水电〔2021〕397号</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eastAsia" w:cs="Times New Roman" w:eastAsiaTheme="majorEastAsia"/>
          <w:b/>
          <w:bCs/>
          <w:i w:val="0"/>
          <w:iCs w:val="0"/>
          <w:caps w:val="0"/>
          <w:color w:val="auto"/>
          <w:spacing w:val="0"/>
          <w:sz w:val="24"/>
          <w:szCs w:val="24"/>
          <w:highlight w:val="none"/>
          <w:shd w:val="clear" w:fill="FFFFFF"/>
          <w:lang w:eastAsia="zh-CN"/>
        </w:rPr>
        <w:t>退出类、整改类均</w:t>
      </w:r>
      <w:r>
        <w:rPr>
          <w:rFonts w:hint="eastAsia" w:ascii="Times New Roman" w:hAnsi="Times New Roman" w:cs="Times New Roman" w:eastAsiaTheme="majorEastAsia"/>
          <w:b/>
          <w:bCs/>
          <w:i w:val="0"/>
          <w:iCs w:val="0"/>
          <w:caps w:val="0"/>
          <w:color w:val="auto"/>
          <w:spacing w:val="0"/>
          <w:sz w:val="24"/>
          <w:szCs w:val="24"/>
          <w:highlight w:val="none"/>
          <w:shd w:val="clear" w:fill="FFFFFF"/>
          <w:lang w:eastAsia="zh-CN"/>
        </w:rPr>
        <w:t>未</w:t>
      </w:r>
      <w:r>
        <w:rPr>
          <w:rFonts w:hint="eastAsia" w:cs="Times New Roman" w:eastAsiaTheme="majorEastAsia"/>
          <w:b/>
          <w:bCs/>
          <w:i w:val="0"/>
          <w:iCs w:val="0"/>
          <w:caps w:val="0"/>
          <w:color w:val="auto"/>
          <w:spacing w:val="0"/>
          <w:sz w:val="24"/>
          <w:szCs w:val="24"/>
          <w:highlight w:val="none"/>
          <w:shd w:val="clear" w:fill="FFFFFF"/>
          <w:lang w:eastAsia="zh-CN"/>
        </w:rPr>
        <w:t>包括</w:t>
      </w:r>
      <w:r>
        <w:rPr>
          <w:rFonts w:hint="eastAsia" w:ascii="Times New Roman" w:hAnsi="Times New Roman" w:cs="Times New Roman" w:eastAsiaTheme="majorEastAsia"/>
          <w:b/>
          <w:bCs/>
          <w:i w:val="0"/>
          <w:iCs w:val="0"/>
          <w:caps w:val="0"/>
          <w:color w:val="auto"/>
          <w:spacing w:val="0"/>
          <w:sz w:val="24"/>
          <w:szCs w:val="24"/>
          <w:highlight w:val="none"/>
          <w:shd w:val="clear" w:fill="FFFFFF"/>
          <w:lang w:eastAsia="zh-CN"/>
        </w:rPr>
        <w:t>位于生态</w:t>
      </w:r>
      <w:r>
        <w:rPr>
          <w:rFonts w:hint="eastAsia" w:cs="Times New Roman" w:eastAsiaTheme="majorEastAsia"/>
          <w:b/>
          <w:bCs/>
          <w:i w:val="0"/>
          <w:iCs w:val="0"/>
          <w:caps w:val="0"/>
          <w:color w:val="auto"/>
          <w:spacing w:val="0"/>
          <w:sz w:val="24"/>
          <w:szCs w:val="24"/>
          <w:highlight w:val="none"/>
          <w:shd w:val="clear" w:fill="FFFFFF"/>
          <w:lang w:eastAsia="zh-CN"/>
        </w:rPr>
        <w:t>保护</w:t>
      </w:r>
      <w:r>
        <w:rPr>
          <w:rFonts w:hint="eastAsia" w:ascii="Times New Roman" w:hAnsi="Times New Roman" w:cs="Times New Roman" w:eastAsiaTheme="majorEastAsia"/>
          <w:b/>
          <w:bCs/>
          <w:i w:val="0"/>
          <w:iCs w:val="0"/>
          <w:caps w:val="0"/>
          <w:color w:val="auto"/>
          <w:spacing w:val="0"/>
          <w:sz w:val="24"/>
          <w:szCs w:val="24"/>
          <w:highlight w:val="none"/>
          <w:shd w:val="clear" w:fill="FFFFFF"/>
          <w:lang w:eastAsia="zh-CN"/>
        </w:rPr>
        <w:t>红线范围内的项目</w:t>
      </w:r>
      <w:r>
        <w:rPr>
          <w:rFonts w:hint="eastAsia" w:cs="Times New Roman" w:eastAsiaTheme="majorEastAsia"/>
          <w:b/>
          <w:bCs/>
          <w:i w:val="0"/>
          <w:iCs w:val="0"/>
          <w:caps w:val="0"/>
          <w:color w:val="auto"/>
          <w:spacing w:val="0"/>
          <w:sz w:val="24"/>
          <w:szCs w:val="24"/>
          <w:highlight w:val="none"/>
          <w:shd w:val="clear" w:fill="FFFFFF"/>
          <w:lang w:eastAsia="zh-CN"/>
        </w:rPr>
        <w:t>，本项目属于</w:t>
      </w:r>
      <w:r>
        <w:rPr>
          <w:rFonts w:hint="default" w:ascii="Times New Roman" w:hAnsi="Times New Roman" w:cs="Times New Roman" w:eastAsiaTheme="majorEastAsia"/>
          <w:b/>
          <w:bCs/>
          <w:i w:val="0"/>
          <w:iCs w:val="0"/>
          <w:caps w:val="0"/>
          <w:color w:val="auto"/>
          <w:spacing w:val="0"/>
          <w:sz w:val="24"/>
          <w:szCs w:val="24"/>
          <w:highlight w:val="none"/>
          <w:shd w:val="clear" w:fill="FFFFFF"/>
          <w:lang w:eastAsia="zh-CN"/>
        </w:rPr>
        <w:t>保留</w:t>
      </w:r>
      <w:r>
        <w:rPr>
          <w:rFonts w:hint="eastAsia" w:cs="Times New Roman" w:eastAsiaTheme="majorEastAsia"/>
          <w:b/>
          <w:bCs/>
          <w:i w:val="0"/>
          <w:iCs w:val="0"/>
          <w:caps w:val="0"/>
          <w:color w:val="auto"/>
          <w:spacing w:val="0"/>
          <w:sz w:val="24"/>
          <w:szCs w:val="24"/>
          <w:highlight w:val="none"/>
          <w:shd w:val="clear" w:fill="FFFFFF"/>
          <w:lang w:eastAsia="zh-CN"/>
        </w:rPr>
        <w:t>类项目。</w:t>
      </w:r>
    </w:p>
    <w:p>
      <w:pPr>
        <w:spacing w:line="480" w:lineRule="exact"/>
        <w:ind w:right="28" w:firstLine="480" w:firstLineChars="200"/>
        <w:rPr>
          <w:color w:val="auto"/>
          <w:sz w:val="24"/>
          <w:highlight w:val="none"/>
        </w:rPr>
      </w:pPr>
      <w:r>
        <w:rPr>
          <w:rFonts w:hint="eastAsia"/>
          <w:color w:val="auto"/>
          <w:sz w:val="24"/>
          <w:highlight w:val="none"/>
        </w:rPr>
        <w:t>（2）</w:t>
      </w:r>
      <w:r>
        <w:rPr>
          <w:rFonts w:hint="default"/>
          <w:color w:val="auto"/>
          <w:sz w:val="24"/>
          <w:highlight w:val="none"/>
          <w:lang w:eastAsia="zh-CN"/>
        </w:rPr>
        <w:t>2008年11月通过机组启动验收，2012年8月，河北省水利厅以冀水电【2012】27号批复遵化市黎河四级水电站通过竣工验收</w:t>
      </w:r>
      <w:r>
        <w:rPr>
          <w:rFonts w:hint="eastAsia"/>
          <w:color w:val="auto"/>
          <w:sz w:val="24"/>
          <w:highlight w:val="none"/>
        </w:rPr>
        <w:t>，施工期间未对周围生态环境和敏感目标产生重大不利影响。</w:t>
      </w:r>
    </w:p>
    <w:p>
      <w:pPr>
        <w:spacing w:line="480" w:lineRule="exact"/>
        <w:ind w:right="28" w:firstLine="480" w:firstLineChars="200"/>
        <w:rPr>
          <w:color w:val="auto"/>
          <w:sz w:val="24"/>
          <w:highlight w:val="none"/>
        </w:rPr>
      </w:pPr>
      <w:r>
        <w:rPr>
          <w:rFonts w:hint="eastAsia"/>
          <w:color w:val="auto"/>
          <w:sz w:val="24"/>
          <w:highlight w:val="none"/>
        </w:rPr>
        <w:t>（3）项目水电站不涉及自然保护区、风景名胜区、饮用水源保护区等敏感区域，但橡胶坝位于黎河生态保护红线范围内。在釆取了相应的生态保护措施及管理措施，橡胶坝对下流水文情势造成影响较小，对黎河水质</w:t>
      </w:r>
      <w:r>
        <w:rPr>
          <w:rFonts w:hint="eastAsia"/>
          <w:color w:val="auto"/>
          <w:sz w:val="24"/>
          <w:highlight w:val="none"/>
          <w:lang w:eastAsia="zh-CN"/>
        </w:rPr>
        <w:t>没有</w:t>
      </w:r>
      <w:r>
        <w:rPr>
          <w:rFonts w:hint="eastAsia"/>
          <w:color w:val="auto"/>
          <w:sz w:val="24"/>
          <w:highlight w:val="none"/>
        </w:rPr>
        <w:t>影响，水质符合水环境功能区和水功能区要求。</w:t>
      </w:r>
    </w:p>
    <w:p>
      <w:pPr>
        <w:spacing w:line="480" w:lineRule="exact"/>
        <w:ind w:right="28" w:firstLine="480" w:firstLineChars="200"/>
        <w:rPr>
          <w:sz w:val="24"/>
          <w:highlight w:val="none"/>
          <w:lang w:val="en-GB"/>
        </w:rPr>
      </w:pPr>
      <w:r>
        <w:rPr>
          <w:rFonts w:hint="eastAsia"/>
          <w:color w:val="auto"/>
          <w:sz w:val="24"/>
          <w:highlight w:val="none"/>
        </w:rPr>
        <w:t>（4）</w:t>
      </w:r>
      <w:r>
        <w:rPr>
          <w:color w:val="auto"/>
          <w:sz w:val="24"/>
          <w:highlight w:val="none"/>
        </w:rPr>
        <w:t>项目为国有建设用地，用</w:t>
      </w:r>
      <w:r>
        <w:rPr>
          <w:sz w:val="24"/>
          <w:highlight w:val="none"/>
        </w:rPr>
        <w:t>地性质符合要求</w:t>
      </w:r>
      <w:r>
        <w:rPr>
          <w:sz w:val="24"/>
          <w:highlight w:val="none"/>
          <w:lang w:val="en-GB"/>
        </w:rPr>
        <w:t>；</w:t>
      </w:r>
      <w:r>
        <w:rPr>
          <w:rFonts w:asciiTheme="minorEastAsia" w:hAnsiTheme="minorEastAsia" w:eastAsiaTheme="minorEastAsia"/>
          <w:sz w:val="24"/>
          <w:highlight w:val="none"/>
          <w:lang w:val="en-GB"/>
        </w:rPr>
        <w:t>与“三线一单”管</w:t>
      </w:r>
      <w:r>
        <w:rPr>
          <w:sz w:val="24"/>
          <w:highlight w:val="none"/>
          <w:lang w:val="en-GB"/>
        </w:rPr>
        <w:t>控要求不冲突。运行期生态环境影响可以通过采取措施得到一定程度的减缓，其它不利环境影响大多可以通过采取相应的环保措施予以减</w:t>
      </w:r>
      <w:r>
        <w:rPr>
          <w:rFonts w:hint="eastAsia"/>
          <w:sz w:val="24"/>
          <w:highlight w:val="none"/>
          <w:lang w:val="en-GB" w:eastAsia="zh-CN"/>
        </w:rPr>
        <w:t>缓</w:t>
      </w:r>
      <w:r>
        <w:rPr>
          <w:sz w:val="24"/>
          <w:highlight w:val="none"/>
          <w:lang w:val="en-GB"/>
        </w:rPr>
        <w:t>。</w:t>
      </w:r>
      <w:r>
        <w:rPr>
          <w:rFonts w:hint="eastAsia"/>
          <w:sz w:val="24"/>
          <w:highlight w:val="none"/>
          <w:lang w:val="en-GB"/>
        </w:rPr>
        <w:t>根据建设单位开展的公众参与调查结论，公示期间未收到公众反馈意见。</w:t>
      </w:r>
    </w:p>
    <w:p>
      <w:pPr>
        <w:spacing w:line="480" w:lineRule="exact"/>
        <w:ind w:firstLine="482"/>
        <w:rPr>
          <w:sz w:val="24"/>
          <w:highlight w:val="none"/>
        </w:rPr>
      </w:pPr>
      <w:r>
        <w:rPr>
          <w:rFonts w:hint="eastAsia"/>
          <w:sz w:val="24"/>
          <w:highlight w:val="none"/>
          <w:lang w:val="en-GB"/>
        </w:rPr>
        <w:t>综上，本评价从环境保护角度认为工程的建设是可行的</w:t>
      </w:r>
      <w:r>
        <w:rPr>
          <w:rFonts w:hint="eastAsia"/>
          <w:sz w:val="24"/>
          <w:highlight w:val="none"/>
        </w:rPr>
        <w:t>。</w:t>
      </w:r>
    </w:p>
    <w:p>
      <w:pPr>
        <w:spacing w:line="480" w:lineRule="exact"/>
        <w:ind w:firstLine="482"/>
        <w:rPr>
          <w:sz w:val="24"/>
          <w:highlight w:val="none"/>
        </w:rPr>
      </w:pPr>
    </w:p>
    <w:p>
      <w:pPr>
        <w:pStyle w:val="167"/>
        <w:spacing w:line="480" w:lineRule="exact"/>
        <w:ind w:firstLine="480"/>
        <w:rPr>
          <w:sz w:val="24"/>
          <w:szCs w:val="24"/>
          <w:highlight w:val="none"/>
        </w:rPr>
      </w:pPr>
    </w:p>
    <w:p>
      <w:pPr>
        <w:spacing w:line="480" w:lineRule="exact"/>
        <w:ind w:firstLine="480" w:firstLineChars="200"/>
        <w:rPr>
          <w:sz w:val="24"/>
          <w:highlight w:val="none"/>
          <w:lang w:val="en-GB"/>
        </w:rPr>
      </w:pPr>
    </w:p>
    <w:p>
      <w:pPr>
        <w:spacing w:line="480" w:lineRule="exact"/>
        <w:ind w:firstLine="480" w:firstLineChars="200"/>
        <w:rPr>
          <w:sz w:val="24"/>
          <w:highlight w:val="none"/>
          <w:lang w:val="en-GB"/>
        </w:rPr>
      </w:pPr>
    </w:p>
    <w:p>
      <w:pPr>
        <w:pStyle w:val="7"/>
        <w:spacing w:line="480" w:lineRule="exact"/>
        <w:ind w:firstLine="0"/>
        <w:rPr>
          <w:snapToGrid w:val="0"/>
          <w:kern w:val="0"/>
          <w:sz w:val="24"/>
          <w:highlight w:val="none"/>
        </w:rPr>
        <w:sectPr>
          <w:footerReference r:id="rId16" w:type="first"/>
          <w:footerReference r:id="rId15" w:type="default"/>
          <w:pgSz w:w="11906" w:h="16838"/>
          <w:pgMar w:top="1440" w:right="1826" w:bottom="1440" w:left="1800" w:header="851" w:footer="992" w:gutter="0"/>
          <w:pgBorders>
            <w:top w:val="none" w:sz="0" w:space="0"/>
            <w:left w:val="none" w:sz="0" w:space="0"/>
            <w:bottom w:val="none" w:sz="0" w:space="0"/>
            <w:right w:val="none" w:sz="0" w:space="0"/>
          </w:pgBorders>
          <w:pgNumType w:fmt="decimal" w:start="1"/>
          <w:cols w:space="720" w:num="1"/>
          <w:titlePg/>
          <w:docGrid w:type="lines" w:linePitch="312" w:charSpace="0"/>
        </w:sectPr>
      </w:pPr>
    </w:p>
    <w:p>
      <w:pPr>
        <w:keepNext w:val="0"/>
        <w:keepLines w:val="0"/>
        <w:pageBreakBefore w:val="0"/>
        <w:widowControl w:val="0"/>
        <w:kinsoku/>
        <w:wordWrap/>
        <w:overflowPunct/>
        <w:topLinePunct w:val="0"/>
        <w:autoSpaceDE/>
        <w:autoSpaceDN/>
        <w:bidi w:val="0"/>
        <w:adjustRightInd/>
        <w:snapToGrid/>
        <w:spacing w:before="313" w:beforeLines="100" w:line="480" w:lineRule="exact"/>
        <w:textAlignment w:val="auto"/>
        <w:outlineLvl w:val="0"/>
        <w:rPr>
          <w:b/>
          <w:sz w:val="28"/>
          <w:szCs w:val="28"/>
          <w:highlight w:val="none"/>
        </w:rPr>
      </w:pPr>
      <w:bookmarkStart w:id="51" w:name="_Toc14420"/>
      <w:bookmarkStart w:id="52" w:name="_Toc22348"/>
      <w:bookmarkStart w:id="53" w:name="_Toc14939"/>
      <w:r>
        <w:rPr>
          <w:rFonts w:hint="eastAsia"/>
          <w:b/>
          <w:sz w:val="28"/>
          <w:szCs w:val="28"/>
          <w:highlight w:val="none"/>
        </w:rPr>
        <w:t>1</w:t>
      </w:r>
      <w:r>
        <w:rPr>
          <w:b/>
          <w:sz w:val="28"/>
          <w:szCs w:val="28"/>
          <w:highlight w:val="none"/>
        </w:rPr>
        <w:t xml:space="preserve"> 总则</w:t>
      </w:r>
      <w:bookmarkEnd w:id="51"/>
      <w:bookmarkEnd w:id="52"/>
      <w:bookmarkEnd w:id="53"/>
    </w:p>
    <w:bookmarkEnd w:id="29"/>
    <w:p>
      <w:pPr>
        <w:spacing w:line="480" w:lineRule="exact"/>
        <w:outlineLvl w:val="1"/>
        <w:rPr>
          <w:sz w:val="24"/>
          <w:highlight w:val="none"/>
        </w:rPr>
      </w:pPr>
      <w:bookmarkStart w:id="54" w:name="_Toc416450941"/>
      <w:bookmarkStart w:id="55" w:name="_Toc3686"/>
      <w:bookmarkStart w:id="56" w:name="_Toc6296"/>
      <w:bookmarkStart w:id="57" w:name="_Toc415137878"/>
      <w:bookmarkStart w:id="58" w:name="_Toc25448"/>
      <w:r>
        <w:rPr>
          <w:rFonts w:hint="eastAsia"/>
          <w:b/>
          <w:sz w:val="24"/>
          <w:highlight w:val="none"/>
        </w:rPr>
        <w:t>1</w:t>
      </w:r>
      <w:r>
        <w:rPr>
          <w:b/>
          <w:sz w:val="24"/>
          <w:highlight w:val="none"/>
        </w:rPr>
        <w:t>.1</w:t>
      </w:r>
      <w:bookmarkEnd w:id="54"/>
      <w:bookmarkEnd w:id="55"/>
      <w:bookmarkEnd w:id="56"/>
      <w:bookmarkEnd w:id="57"/>
      <w:r>
        <w:rPr>
          <w:rFonts w:hint="eastAsia"/>
          <w:b/>
          <w:sz w:val="24"/>
          <w:highlight w:val="none"/>
        </w:rPr>
        <w:t>评价</w:t>
      </w:r>
      <w:r>
        <w:rPr>
          <w:b/>
          <w:sz w:val="24"/>
          <w:highlight w:val="none"/>
        </w:rPr>
        <w:t>目的</w:t>
      </w:r>
      <w:bookmarkEnd w:id="58"/>
    </w:p>
    <w:p>
      <w:pPr>
        <w:spacing w:line="480" w:lineRule="exact"/>
        <w:ind w:firstLine="480" w:firstLineChars="200"/>
        <w:rPr>
          <w:sz w:val="24"/>
          <w:highlight w:val="none"/>
        </w:rPr>
      </w:pPr>
      <w:r>
        <w:rPr>
          <w:sz w:val="24"/>
          <w:highlight w:val="none"/>
        </w:rPr>
        <w:t>本次评价在充分利用现有资料的基础上，进行了必要的环境现状监测、类比调查，力求全面、客观、公正地评价建设项目在不同时段对环境的影响情况。</w:t>
      </w:r>
    </w:p>
    <w:p>
      <w:pPr>
        <w:spacing w:line="480" w:lineRule="exact"/>
        <w:ind w:firstLine="480" w:firstLineChars="200"/>
        <w:rPr>
          <w:color w:val="auto"/>
          <w:sz w:val="24"/>
          <w:highlight w:val="none"/>
        </w:rPr>
      </w:pPr>
      <w:r>
        <w:rPr>
          <w:rFonts w:hint="eastAsia"/>
          <w:sz w:val="24"/>
          <w:highlight w:val="none"/>
        </w:rPr>
        <w:t>（1）掌握工程涉及区域的水环境、环境空气、声环境、生态环境等现状，了解</w:t>
      </w:r>
      <w:r>
        <w:rPr>
          <w:rFonts w:hint="eastAsia"/>
          <w:color w:val="auto"/>
          <w:sz w:val="24"/>
          <w:highlight w:val="none"/>
        </w:rPr>
        <w:t>区域环境功能要求及区域存在的环境问题；</w:t>
      </w:r>
    </w:p>
    <w:p>
      <w:pPr>
        <w:spacing w:line="480" w:lineRule="exact"/>
        <w:ind w:firstLine="480" w:firstLineChars="200"/>
        <w:rPr>
          <w:color w:val="auto"/>
          <w:sz w:val="24"/>
          <w:highlight w:val="none"/>
        </w:rPr>
      </w:pPr>
      <w:r>
        <w:rPr>
          <w:rFonts w:hint="eastAsia"/>
          <w:color w:val="auto"/>
          <w:sz w:val="24"/>
          <w:highlight w:val="none"/>
        </w:rPr>
        <w:t>（2）针对工程所在地环境现状，分析工程选址以及设计中施工各类场地布置的合理性，生态修复、恢复情况，并提出合理化建议；</w:t>
      </w:r>
    </w:p>
    <w:p>
      <w:pPr>
        <w:spacing w:line="480" w:lineRule="exact"/>
        <w:ind w:firstLine="480" w:firstLineChars="200"/>
        <w:rPr>
          <w:color w:val="auto"/>
          <w:sz w:val="24"/>
          <w:highlight w:val="none"/>
        </w:rPr>
      </w:pPr>
      <w:r>
        <w:rPr>
          <w:rFonts w:hint="eastAsia"/>
          <w:color w:val="auto"/>
          <w:sz w:val="24"/>
          <w:highlight w:val="none"/>
        </w:rPr>
        <w:t>（3）分析工程建设、运行等活动的特征，预测评价工程活动对评价区域环境造成的各种影响；</w:t>
      </w:r>
    </w:p>
    <w:p>
      <w:pPr>
        <w:spacing w:line="480" w:lineRule="exact"/>
        <w:ind w:firstLine="480" w:firstLineChars="200"/>
        <w:rPr>
          <w:sz w:val="24"/>
          <w:highlight w:val="none"/>
        </w:rPr>
      </w:pPr>
      <w:r>
        <w:rPr>
          <w:rFonts w:hint="eastAsia"/>
          <w:sz w:val="24"/>
          <w:highlight w:val="none"/>
        </w:rPr>
        <w:t>（4）针对工程带来的不利影响，制定技术经济可行的环境保护对策措施，使区域环境质量达到功能区划要求的标准和生态系统、生物多样性得到有效保护，充分发挥工程的经济效益、社会效益和环境效益，促进工程涉及区域的可持续发展；</w:t>
      </w:r>
    </w:p>
    <w:p>
      <w:pPr>
        <w:spacing w:line="480" w:lineRule="exact"/>
        <w:ind w:firstLine="480" w:firstLineChars="200"/>
        <w:rPr>
          <w:sz w:val="24"/>
          <w:highlight w:val="none"/>
        </w:rPr>
      </w:pPr>
      <w:r>
        <w:rPr>
          <w:rFonts w:hint="eastAsia"/>
          <w:sz w:val="24"/>
          <w:highlight w:val="none"/>
        </w:rPr>
        <w:t>（5）制定运行期的环境监测计划，以便掌握工程对环境的实际影响程度，为工程的环境管理提供科学依据；</w:t>
      </w:r>
    </w:p>
    <w:p>
      <w:pPr>
        <w:spacing w:line="480" w:lineRule="exact"/>
        <w:ind w:firstLine="480" w:firstLineChars="200"/>
        <w:rPr>
          <w:sz w:val="24"/>
          <w:highlight w:val="none"/>
        </w:rPr>
      </w:pPr>
      <w:r>
        <w:rPr>
          <w:rFonts w:hint="eastAsia"/>
          <w:sz w:val="24"/>
          <w:highlight w:val="none"/>
        </w:rPr>
        <w:t>（6）制定工程环境管理计划，明确各方的环境保护任务和职责，为环境保护措施的实施提供制度保证；</w:t>
      </w:r>
    </w:p>
    <w:p>
      <w:pPr>
        <w:spacing w:line="480" w:lineRule="exact"/>
        <w:ind w:firstLine="480" w:firstLineChars="200"/>
        <w:rPr>
          <w:sz w:val="24"/>
          <w:highlight w:val="none"/>
        </w:rPr>
      </w:pPr>
      <w:r>
        <w:rPr>
          <w:rFonts w:hint="eastAsia"/>
          <w:sz w:val="24"/>
          <w:highlight w:val="none"/>
        </w:rPr>
        <w:t>（7）综合分析，从环境保护的角度论证工程建设的可行性，从而为工程的方案论证和项目决策提供科学依据。</w:t>
      </w:r>
    </w:p>
    <w:p>
      <w:pPr>
        <w:spacing w:line="480" w:lineRule="exact"/>
        <w:outlineLvl w:val="1"/>
        <w:rPr>
          <w:b/>
          <w:sz w:val="24"/>
          <w:highlight w:val="none"/>
        </w:rPr>
      </w:pPr>
      <w:bookmarkStart w:id="59" w:name="_Toc7010"/>
      <w:r>
        <w:rPr>
          <w:rFonts w:hint="eastAsia"/>
          <w:b/>
          <w:sz w:val="24"/>
          <w:highlight w:val="none"/>
        </w:rPr>
        <w:t>1</w:t>
      </w:r>
      <w:r>
        <w:rPr>
          <w:b/>
          <w:sz w:val="24"/>
          <w:highlight w:val="none"/>
        </w:rPr>
        <w:t>.2 编制依据</w:t>
      </w:r>
      <w:bookmarkEnd w:id="59"/>
    </w:p>
    <w:p>
      <w:pPr>
        <w:spacing w:line="480" w:lineRule="exact"/>
        <w:rPr>
          <w:b/>
          <w:sz w:val="24"/>
          <w:highlight w:val="none"/>
        </w:rPr>
      </w:pPr>
      <w:r>
        <w:rPr>
          <w:rFonts w:hint="eastAsia"/>
          <w:b/>
          <w:sz w:val="24"/>
          <w:highlight w:val="none"/>
        </w:rPr>
        <w:t>1</w:t>
      </w:r>
      <w:r>
        <w:rPr>
          <w:b/>
          <w:sz w:val="24"/>
          <w:highlight w:val="none"/>
        </w:rPr>
        <w:t>.2.1 环境保护法律</w:t>
      </w:r>
    </w:p>
    <w:p>
      <w:pPr>
        <w:spacing w:line="480" w:lineRule="exact"/>
        <w:ind w:firstLine="480" w:firstLineChars="200"/>
        <w:rPr>
          <w:sz w:val="24"/>
          <w:highlight w:val="none"/>
        </w:rPr>
      </w:pPr>
      <w:r>
        <w:rPr>
          <w:sz w:val="24"/>
          <w:highlight w:val="none"/>
        </w:rPr>
        <w:t>(1)《中华人民共和国环境保护法》（2015年1月1日实施）；</w:t>
      </w:r>
    </w:p>
    <w:p>
      <w:pPr>
        <w:spacing w:line="480" w:lineRule="exact"/>
        <w:ind w:firstLine="480" w:firstLineChars="200"/>
        <w:rPr>
          <w:sz w:val="24"/>
          <w:highlight w:val="none"/>
        </w:rPr>
      </w:pPr>
      <w:r>
        <w:rPr>
          <w:sz w:val="24"/>
          <w:highlight w:val="none"/>
        </w:rPr>
        <w:t>(2)《中华人民共和国大气污染防治法》（2018年12月29日修订）；</w:t>
      </w:r>
    </w:p>
    <w:p>
      <w:pPr>
        <w:spacing w:line="480" w:lineRule="exact"/>
        <w:ind w:firstLine="480" w:firstLineChars="200"/>
        <w:rPr>
          <w:sz w:val="24"/>
          <w:highlight w:val="none"/>
        </w:rPr>
      </w:pPr>
      <w:r>
        <w:rPr>
          <w:sz w:val="24"/>
          <w:highlight w:val="none"/>
        </w:rPr>
        <w:t>(3)《中华人民共和国水污染防治法》（2018年1月1日起施行）；</w:t>
      </w:r>
    </w:p>
    <w:p>
      <w:pPr>
        <w:spacing w:line="480" w:lineRule="exact"/>
        <w:ind w:firstLine="480" w:firstLineChars="200"/>
        <w:rPr>
          <w:sz w:val="24"/>
          <w:highlight w:val="none"/>
        </w:rPr>
      </w:pPr>
      <w:r>
        <w:rPr>
          <w:sz w:val="24"/>
          <w:highlight w:val="none"/>
        </w:rPr>
        <w:t>(4)《中华人民共和国环境噪声污染防治法》（2018年12月29日）；</w:t>
      </w:r>
    </w:p>
    <w:p>
      <w:pPr>
        <w:spacing w:line="480" w:lineRule="exact"/>
        <w:ind w:firstLine="480" w:firstLineChars="200"/>
        <w:rPr>
          <w:sz w:val="24"/>
          <w:highlight w:val="none"/>
        </w:rPr>
      </w:pPr>
      <w:r>
        <w:rPr>
          <w:sz w:val="24"/>
          <w:highlight w:val="none"/>
        </w:rPr>
        <w:t>(5)《中华人民共和国固体废物污染环境防治法》（2020年4月29日修订）；</w:t>
      </w:r>
    </w:p>
    <w:p>
      <w:pPr>
        <w:spacing w:line="480" w:lineRule="exact"/>
        <w:ind w:firstLine="480" w:firstLineChars="200"/>
        <w:rPr>
          <w:sz w:val="24"/>
          <w:highlight w:val="none"/>
        </w:rPr>
      </w:pPr>
      <w:r>
        <w:rPr>
          <w:sz w:val="24"/>
          <w:highlight w:val="none"/>
        </w:rPr>
        <w:t>(6)《中华人民共和国土壤污染防治法》（2019年1月1日实施）</w:t>
      </w:r>
      <w:r>
        <w:rPr>
          <w:rFonts w:hint="eastAsia"/>
          <w:sz w:val="24"/>
          <w:highlight w:val="none"/>
        </w:rPr>
        <w:t>；</w:t>
      </w:r>
    </w:p>
    <w:p>
      <w:pPr>
        <w:spacing w:line="480" w:lineRule="exact"/>
        <w:ind w:firstLine="480" w:firstLineChars="200"/>
        <w:rPr>
          <w:sz w:val="24"/>
          <w:highlight w:val="none"/>
        </w:rPr>
      </w:pPr>
      <w:r>
        <w:rPr>
          <w:sz w:val="24"/>
          <w:highlight w:val="none"/>
        </w:rPr>
        <w:t>(7)《中华人民共和国环境影响评价法》（2018年12月29日修订）；</w:t>
      </w:r>
    </w:p>
    <w:p>
      <w:pPr>
        <w:spacing w:line="480" w:lineRule="exact"/>
        <w:ind w:firstLine="480" w:firstLineChars="200"/>
        <w:rPr>
          <w:sz w:val="24"/>
          <w:highlight w:val="none"/>
        </w:rPr>
      </w:pPr>
      <w:r>
        <w:rPr>
          <w:sz w:val="24"/>
          <w:highlight w:val="none"/>
        </w:rPr>
        <w:t>(8)《中华人民共和国水法》（2016年7月修订）</w:t>
      </w:r>
    </w:p>
    <w:p>
      <w:pPr>
        <w:spacing w:line="480" w:lineRule="exact"/>
        <w:ind w:firstLine="480" w:firstLineChars="200"/>
        <w:rPr>
          <w:sz w:val="24"/>
          <w:highlight w:val="none"/>
        </w:rPr>
      </w:pPr>
      <w:r>
        <w:rPr>
          <w:sz w:val="24"/>
          <w:highlight w:val="none"/>
        </w:rPr>
        <w:t>(9)《中华人民共和国土地管理法》（201</w:t>
      </w:r>
      <w:r>
        <w:rPr>
          <w:rFonts w:hint="eastAsia"/>
          <w:sz w:val="24"/>
          <w:highlight w:val="none"/>
        </w:rPr>
        <w:t>9</w:t>
      </w:r>
      <w:r>
        <w:rPr>
          <w:sz w:val="24"/>
          <w:highlight w:val="none"/>
        </w:rPr>
        <w:t>年8月</w:t>
      </w:r>
      <w:r>
        <w:rPr>
          <w:rFonts w:hint="eastAsia"/>
          <w:sz w:val="24"/>
          <w:highlight w:val="none"/>
        </w:rPr>
        <w:t>26</w:t>
      </w:r>
      <w:r>
        <w:rPr>
          <w:sz w:val="24"/>
          <w:highlight w:val="none"/>
        </w:rPr>
        <w:t>日</w:t>
      </w:r>
      <w:r>
        <w:rPr>
          <w:rFonts w:hint="eastAsia"/>
          <w:sz w:val="24"/>
          <w:highlight w:val="none"/>
        </w:rPr>
        <w:t>修订</w:t>
      </w:r>
      <w:r>
        <w:rPr>
          <w:sz w:val="24"/>
          <w:highlight w:val="none"/>
        </w:rPr>
        <w:t>）</w:t>
      </w:r>
      <w:r>
        <w:rPr>
          <w:rFonts w:hint="eastAsia"/>
          <w:sz w:val="24"/>
          <w:highlight w:val="none"/>
        </w:rPr>
        <w:t>；</w:t>
      </w:r>
    </w:p>
    <w:p>
      <w:pPr>
        <w:spacing w:line="480" w:lineRule="exact"/>
        <w:ind w:firstLine="480" w:firstLineChars="200"/>
        <w:rPr>
          <w:sz w:val="24"/>
          <w:highlight w:val="none"/>
        </w:rPr>
      </w:pPr>
      <w:r>
        <w:rPr>
          <w:sz w:val="24"/>
          <w:highlight w:val="none"/>
        </w:rPr>
        <w:t>(10)《中华人民共和国清洁生产促进法》（2012年</w:t>
      </w:r>
      <w:r>
        <w:rPr>
          <w:rFonts w:hint="eastAsia"/>
          <w:sz w:val="24"/>
          <w:highlight w:val="none"/>
        </w:rPr>
        <w:t>2</w:t>
      </w:r>
      <w:r>
        <w:rPr>
          <w:sz w:val="24"/>
          <w:highlight w:val="none"/>
        </w:rPr>
        <w:t>月</w:t>
      </w:r>
      <w:r>
        <w:rPr>
          <w:rFonts w:hint="eastAsia"/>
          <w:sz w:val="24"/>
          <w:highlight w:val="none"/>
        </w:rPr>
        <w:t>29</w:t>
      </w:r>
      <w:r>
        <w:rPr>
          <w:sz w:val="24"/>
          <w:highlight w:val="none"/>
        </w:rPr>
        <w:t>日</w:t>
      </w:r>
      <w:r>
        <w:rPr>
          <w:rFonts w:hint="eastAsia"/>
          <w:sz w:val="24"/>
          <w:highlight w:val="none"/>
        </w:rPr>
        <w:t>修订</w:t>
      </w:r>
      <w:r>
        <w:rPr>
          <w:sz w:val="24"/>
          <w:highlight w:val="none"/>
        </w:rPr>
        <w:t>）；</w:t>
      </w:r>
    </w:p>
    <w:p>
      <w:pPr>
        <w:spacing w:line="480" w:lineRule="exact"/>
        <w:ind w:firstLine="480" w:firstLineChars="200"/>
        <w:rPr>
          <w:sz w:val="24"/>
          <w:highlight w:val="none"/>
        </w:rPr>
      </w:pPr>
      <w:r>
        <w:rPr>
          <w:rFonts w:hint="eastAsia"/>
          <w:sz w:val="24"/>
          <w:highlight w:val="none"/>
        </w:rPr>
        <w:t>(11)《中华人民共和国森林法》(2020 年 7 月 1 日施行)；</w:t>
      </w:r>
    </w:p>
    <w:p>
      <w:pPr>
        <w:spacing w:line="480" w:lineRule="exact"/>
        <w:ind w:firstLine="480" w:firstLineChars="200"/>
        <w:rPr>
          <w:rFonts w:hint="eastAsia"/>
          <w:sz w:val="24"/>
          <w:highlight w:val="none"/>
        </w:rPr>
      </w:pPr>
      <w:r>
        <w:rPr>
          <w:rFonts w:hint="eastAsia"/>
          <w:sz w:val="24"/>
          <w:highlight w:val="none"/>
        </w:rPr>
        <w:t>(12)</w:t>
      </w:r>
      <w:r>
        <w:rPr>
          <w:sz w:val="24"/>
          <w:highlight w:val="none"/>
        </w:rPr>
        <w:t>《中华人民共和国节约能源法》（2018年10月26日修订)</w:t>
      </w:r>
      <w:r>
        <w:rPr>
          <w:rFonts w:hint="eastAsia"/>
          <w:sz w:val="24"/>
          <w:highlight w:val="none"/>
        </w:rPr>
        <w:t>；</w:t>
      </w:r>
    </w:p>
    <w:p>
      <w:pPr>
        <w:spacing w:line="480" w:lineRule="exact"/>
        <w:ind w:firstLine="480" w:firstLineChars="200"/>
        <w:rPr>
          <w:rFonts w:hint="eastAsia"/>
          <w:sz w:val="24"/>
          <w:highlight w:val="none"/>
        </w:rPr>
      </w:pPr>
      <w:r>
        <w:rPr>
          <w:sz w:val="24"/>
          <w:highlight w:val="none"/>
        </w:rPr>
        <w:t>(1</w:t>
      </w:r>
      <w:r>
        <w:rPr>
          <w:rFonts w:hint="eastAsia"/>
          <w:sz w:val="24"/>
          <w:highlight w:val="none"/>
        </w:rPr>
        <w:t>3</w:t>
      </w:r>
      <w:r>
        <w:rPr>
          <w:sz w:val="24"/>
          <w:highlight w:val="none"/>
        </w:rPr>
        <w:t>)《中华人民共和国水土保持法》（2011年3月1日实施）</w:t>
      </w:r>
      <w:r>
        <w:rPr>
          <w:rFonts w:hint="eastAsia"/>
          <w:sz w:val="24"/>
          <w:highlight w:val="none"/>
        </w:rPr>
        <w:t>；</w:t>
      </w:r>
    </w:p>
    <w:p>
      <w:pPr>
        <w:spacing w:line="480" w:lineRule="exact"/>
        <w:ind w:firstLine="480" w:firstLineChars="200"/>
        <w:rPr>
          <w:sz w:val="24"/>
          <w:highlight w:val="none"/>
        </w:rPr>
      </w:pPr>
      <w:r>
        <w:rPr>
          <w:sz w:val="24"/>
          <w:highlight w:val="none"/>
        </w:rPr>
        <w:t>(1</w:t>
      </w:r>
      <w:r>
        <w:rPr>
          <w:rFonts w:hint="eastAsia"/>
          <w:sz w:val="24"/>
          <w:highlight w:val="none"/>
        </w:rPr>
        <w:t>4</w:t>
      </w:r>
      <w:r>
        <w:rPr>
          <w:sz w:val="24"/>
          <w:highlight w:val="none"/>
        </w:rPr>
        <w:t>)</w:t>
      </w:r>
      <w:r>
        <w:rPr>
          <w:rFonts w:hint="eastAsia"/>
          <w:sz w:val="24"/>
          <w:highlight w:val="none"/>
        </w:rPr>
        <w:t>《中华人民共和国野生动物保护法（修正）》（2018.10.26）；</w:t>
      </w:r>
    </w:p>
    <w:p>
      <w:pPr>
        <w:spacing w:line="480" w:lineRule="exact"/>
        <w:ind w:firstLine="480" w:firstLineChars="200"/>
        <w:rPr>
          <w:sz w:val="24"/>
          <w:highlight w:val="none"/>
        </w:rPr>
      </w:pPr>
      <w:r>
        <w:rPr>
          <w:rFonts w:hint="eastAsia"/>
          <w:sz w:val="24"/>
          <w:highlight w:val="none"/>
        </w:rPr>
        <w:t>(1</w:t>
      </w:r>
      <w:r>
        <w:rPr>
          <w:rFonts w:hint="eastAsia"/>
          <w:sz w:val="24"/>
          <w:highlight w:val="none"/>
          <w:lang w:val="en-US" w:eastAsia="zh-CN"/>
        </w:rPr>
        <w:t>5</w:t>
      </w:r>
      <w:r>
        <w:rPr>
          <w:rFonts w:hint="eastAsia"/>
          <w:sz w:val="24"/>
          <w:highlight w:val="none"/>
        </w:rPr>
        <w:t>)《中华人民共和国防洪法（修正）》（2015年4月24日）；</w:t>
      </w:r>
    </w:p>
    <w:p>
      <w:pPr>
        <w:spacing w:line="480" w:lineRule="exact"/>
        <w:ind w:firstLine="480" w:firstLineChars="200"/>
        <w:rPr>
          <w:sz w:val="24"/>
          <w:highlight w:val="none"/>
        </w:rPr>
      </w:pPr>
      <w:r>
        <w:rPr>
          <w:rFonts w:hint="eastAsia"/>
          <w:sz w:val="24"/>
          <w:highlight w:val="none"/>
        </w:rPr>
        <w:t>(1</w:t>
      </w:r>
      <w:r>
        <w:rPr>
          <w:rFonts w:hint="eastAsia"/>
          <w:sz w:val="24"/>
          <w:highlight w:val="none"/>
          <w:lang w:val="en-US" w:eastAsia="zh-CN"/>
        </w:rPr>
        <w:t>6</w:t>
      </w:r>
      <w:r>
        <w:rPr>
          <w:rFonts w:hint="eastAsia"/>
          <w:sz w:val="24"/>
          <w:highlight w:val="none"/>
        </w:rPr>
        <w:t>)</w:t>
      </w:r>
      <w:r>
        <w:rPr>
          <w:sz w:val="24"/>
          <w:highlight w:val="none"/>
        </w:rPr>
        <w:t>《中华人民共和国突发事件应对法》（2007年11月1日实施）</w:t>
      </w:r>
      <w:r>
        <w:rPr>
          <w:rFonts w:hint="eastAsia"/>
          <w:sz w:val="24"/>
          <w:highlight w:val="none"/>
          <w:lang w:val="en-US" w:eastAsia="zh-CN"/>
        </w:rPr>
        <w:t>。</w:t>
      </w:r>
    </w:p>
    <w:p>
      <w:pPr>
        <w:spacing w:line="480" w:lineRule="exact"/>
        <w:rPr>
          <w:b/>
          <w:sz w:val="24"/>
          <w:highlight w:val="none"/>
        </w:rPr>
      </w:pPr>
      <w:r>
        <w:rPr>
          <w:rFonts w:hint="eastAsia"/>
          <w:b/>
          <w:sz w:val="24"/>
          <w:highlight w:val="none"/>
        </w:rPr>
        <w:t>1</w:t>
      </w:r>
      <w:r>
        <w:rPr>
          <w:b/>
          <w:sz w:val="24"/>
          <w:highlight w:val="none"/>
        </w:rPr>
        <w:t>.2.2 环境保护法规、规章</w:t>
      </w:r>
    </w:p>
    <w:p>
      <w:pPr>
        <w:spacing w:line="480" w:lineRule="exact"/>
        <w:jc w:val="left"/>
        <w:rPr>
          <w:b/>
          <w:bCs/>
          <w:sz w:val="24"/>
          <w:highlight w:val="none"/>
        </w:rPr>
      </w:pPr>
      <w:r>
        <w:rPr>
          <w:rFonts w:hint="eastAsia"/>
          <w:b/>
          <w:bCs/>
          <w:sz w:val="24"/>
          <w:highlight w:val="none"/>
        </w:rPr>
        <w:t>1.2.2.1 国家环境保护法规和规章</w:t>
      </w:r>
    </w:p>
    <w:p>
      <w:pPr>
        <w:spacing w:line="480" w:lineRule="exact"/>
        <w:ind w:firstLine="480" w:firstLineChars="200"/>
        <w:jc w:val="left"/>
        <w:rPr>
          <w:sz w:val="24"/>
          <w:highlight w:val="none"/>
        </w:rPr>
      </w:pPr>
      <w:r>
        <w:rPr>
          <w:sz w:val="24"/>
          <w:highlight w:val="none"/>
        </w:rPr>
        <w:t>(1)《建设项目环境保护管理条例》国务院令第682号，2017年10月1日实施；</w:t>
      </w:r>
    </w:p>
    <w:p>
      <w:pPr>
        <w:spacing w:line="480" w:lineRule="exact"/>
        <w:ind w:firstLine="480" w:firstLineChars="200"/>
        <w:rPr>
          <w:sz w:val="24"/>
          <w:highlight w:val="none"/>
        </w:rPr>
      </w:pPr>
      <w:r>
        <w:rPr>
          <w:rFonts w:hint="eastAsia"/>
          <w:sz w:val="24"/>
          <w:highlight w:val="none"/>
        </w:rPr>
        <w:t>(2)《中华人民共和国野生植物保护条例》，2017 年 10 月 7 日施行；</w:t>
      </w:r>
    </w:p>
    <w:p>
      <w:pPr>
        <w:spacing w:line="480" w:lineRule="exact"/>
        <w:ind w:firstLine="480" w:firstLineChars="200"/>
        <w:rPr>
          <w:sz w:val="24"/>
          <w:highlight w:val="none"/>
        </w:rPr>
      </w:pPr>
      <w:r>
        <w:rPr>
          <w:rFonts w:hint="eastAsia"/>
          <w:sz w:val="24"/>
          <w:highlight w:val="none"/>
        </w:rPr>
        <w:t>(3)《中华人民共和国陆生野生动物保护实施条例》，2016 年 2 月 6 日施行；</w:t>
      </w:r>
    </w:p>
    <w:p>
      <w:pPr>
        <w:spacing w:line="480" w:lineRule="exact"/>
        <w:ind w:firstLine="480" w:firstLineChars="200"/>
        <w:rPr>
          <w:sz w:val="24"/>
          <w:highlight w:val="none"/>
        </w:rPr>
      </w:pPr>
      <w:r>
        <w:rPr>
          <w:rFonts w:hint="eastAsia"/>
          <w:sz w:val="24"/>
          <w:highlight w:val="none"/>
        </w:rPr>
        <w:t>(4)《中华人民共和国水生野生动物保护实施条例》，2013 年 12 月 7 日施行；</w:t>
      </w:r>
    </w:p>
    <w:p>
      <w:pPr>
        <w:spacing w:line="480" w:lineRule="exact"/>
        <w:ind w:firstLine="480" w:firstLineChars="200"/>
        <w:rPr>
          <w:sz w:val="24"/>
          <w:highlight w:val="none"/>
        </w:rPr>
      </w:pPr>
      <w:r>
        <w:rPr>
          <w:rFonts w:hint="eastAsia"/>
          <w:sz w:val="24"/>
          <w:highlight w:val="none"/>
        </w:rPr>
        <w:t>(5)《中华人民共和国土地管理法实施条例》，2021 年 9 月 1 日施行；</w:t>
      </w:r>
    </w:p>
    <w:p>
      <w:pPr>
        <w:spacing w:line="480" w:lineRule="exact"/>
        <w:ind w:firstLine="480" w:firstLineChars="200"/>
        <w:rPr>
          <w:sz w:val="24"/>
          <w:highlight w:val="none"/>
        </w:rPr>
      </w:pPr>
      <w:r>
        <w:rPr>
          <w:rFonts w:hint="eastAsia"/>
          <w:sz w:val="24"/>
          <w:highlight w:val="none"/>
        </w:rPr>
        <w:t>(6)《产业结构调整指导目录（2019 年本）》，2020 年 1 月 1 日施行；</w:t>
      </w:r>
    </w:p>
    <w:p>
      <w:pPr>
        <w:spacing w:line="480" w:lineRule="exact"/>
        <w:ind w:firstLine="480" w:firstLineChars="200"/>
        <w:rPr>
          <w:sz w:val="24"/>
          <w:highlight w:val="none"/>
        </w:rPr>
      </w:pPr>
      <w:r>
        <w:rPr>
          <w:rFonts w:hint="eastAsia"/>
          <w:sz w:val="24"/>
          <w:highlight w:val="none"/>
        </w:rPr>
        <w:t>(7)《建设项目环境影响评价分类管理名录》，2021 年 1 月 1 日施行；</w:t>
      </w:r>
    </w:p>
    <w:p>
      <w:pPr>
        <w:spacing w:line="480" w:lineRule="exact"/>
        <w:ind w:firstLine="480" w:firstLineChars="200"/>
        <w:rPr>
          <w:sz w:val="24"/>
          <w:highlight w:val="none"/>
        </w:rPr>
      </w:pPr>
      <w:r>
        <w:rPr>
          <w:rFonts w:hint="eastAsia"/>
          <w:sz w:val="24"/>
          <w:highlight w:val="none"/>
        </w:rPr>
        <w:t>(8)《中华人民共和国自然保护区条例》，2017 年 10 月 7 日施行；</w:t>
      </w:r>
    </w:p>
    <w:p>
      <w:pPr>
        <w:spacing w:line="480" w:lineRule="exact"/>
        <w:ind w:firstLine="480" w:firstLineChars="200"/>
        <w:rPr>
          <w:sz w:val="24"/>
          <w:highlight w:val="none"/>
        </w:rPr>
      </w:pPr>
      <w:r>
        <w:rPr>
          <w:rFonts w:hint="eastAsia"/>
          <w:sz w:val="24"/>
          <w:highlight w:val="none"/>
        </w:rPr>
        <w:t>(9)《中华人民共和国河道管理条例》，2018 年 3 月 19 日施行；</w:t>
      </w:r>
    </w:p>
    <w:p>
      <w:pPr>
        <w:spacing w:line="480" w:lineRule="exact"/>
        <w:ind w:firstLine="480" w:firstLineChars="200"/>
        <w:rPr>
          <w:sz w:val="24"/>
          <w:highlight w:val="none"/>
        </w:rPr>
      </w:pPr>
      <w:r>
        <w:rPr>
          <w:rFonts w:hint="eastAsia"/>
          <w:sz w:val="24"/>
          <w:highlight w:val="none"/>
        </w:rPr>
        <w:t>(10)《饮用水水源保护区污染防治管理规定》，2010 年 12 月 22 日施行；</w:t>
      </w:r>
    </w:p>
    <w:p>
      <w:pPr>
        <w:spacing w:line="480" w:lineRule="exact"/>
        <w:ind w:firstLine="480" w:firstLineChars="200"/>
        <w:rPr>
          <w:sz w:val="24"/>
          <w:highlight w:val="none"/>
        </w:rPr>
      </w:pPr>
      <w:r>
        <w:rPr>
          <w:rFonts w:hint="eastAsia"/>
          <w:sz w:val="24"/>
          <w:highlight w:val="none"/>
        </w:rPr>
        <w:t>(11)《国家重点保护植物名录》（2021 年 9 月，国家林业和草原局 农业农村部2021 年第 15 号令修正）；</w:t>
      </w:r>
    </w:p>
    <w:p>
      <w:pPr>
        <w:spacing w:line="480" w:lineRule="exact"/>
        <w:ind w:firstLine="480" w:firstLineChars="200"/>
        <w:rPr>
          <w:sz w:val="24"/>
          <w:highlight w:val="none"/>
        </w:rPr>
      </w:pPr>
      <w:r>
        <w:rPr>
          <w:rFonts w:hint="eastAsia"/>
          <w:sz w:val="24"/>
          <w:highlight w:val="none"/>
        </w:rPr>
        <w:t>(12)《国家重点保护野生动物名录》（2021 年 2 月，国家林业和草原局 农业农村部 2021 年第 3 号令修订）；</w:t>
      </w:r>
    </w:p>
    <w:p>
      <w:pPr>
        <w:spacing w:line="480" w:lineRule="exact"/>
        <w:ind w:firstLine="480" w:firstLineChars="200"/>
        <w:rPr>
          <w:sz w:val="24"/>
          <w:highlight w:val="none"/>
        </w:rPr>
      </w:pPr>
      <w:r>
        <w:rPr>
          <w:rFonts w:hint="eastAsia"/>
          <w:sz w:val="24"/>
          <w:highlight w:val="none"/>
        </w:rPr>
        <w:t>(13)《关于进一步加强生态保护工作的意见》（环发〔2007〕37 号），2007 年 3月 15 日；</w:t>
      </w:r>
    </w:p>
    <w:p>
      <w:pPr>
        <w:spacing w:line="480" w:lineRule="exact"/>
        <w:ind w:firstLine="480" w:firstLineChars="200"/>
        <w:rPr>
          <w:sz w:val="24"/>
          <w:highlight w:val="none"/>
        </w:rPr>
      </w:pPr>
      <w:r>
        <w:rPr>
          <w:rFonts w:hint="eastAsia"/>
          <w:sz w:val="24"/>
          <w:highlight w:val="none"/>
        </w:rPr>
        <w:t>(14)《关于加强水电站建设环境保护工作的通知》（环发〔2005〕13 号），2005年 1 月 20 日；</w:t>
      </w:r>
    </w:p>
    <w:p>
      <w:pPr>
        <w:spacing w:line="480" w:lineRule="exact"/>
        <w:ind w:firstLine="480" w:firstLineChars="200"/>
        <w:rPr>
          <w:sz w:val="24"/>
          <w:highlight w:val="none"/>
        </w:rPr>
      </w:pPr>
      <w:r>
        <w:rPr>
          <w:rFonts w:hint="eastAsia"/>
          <w:sz w:val="24"/>
          <w:highlight w:val="none"/>
        </w:rPr>
        <w:t>(15)《关于进一步加强水电建设环境保护工作的通知》（环办〔2012〕4 号），2012 年 1 月 6 日；</w:t>
      </w:r>
    </w:p>
    <w:p>
      <w:pPr>
        <w:spacing w:line="480" w:lineRule="exact"/>
        <w:ind w:firstLine="480" w:firstLineChars="200"/>
        <w:rPr>
          <w:sz w:val="24"/>
          <w:highlight w:val="none"/>
        </w:rPr>
      </w:pPr>
      <w:r>
        <w:rPr>
          <w:rFonts w:hint="eastAsia"/>
          <w:sz w:val="24"/>
          <w:highlight w:val="none"/>
        </w:rPr>
        <w:t>(16) 《进一步加强水生生物资源保护 严格环境影响评价管理的通知》 （环发〔2013〕86 号），2013 年 8 月 5 日；</w:t>
      </w:r>
    </w:p>
    <w:p>
      <w:pPr>
        <w:spacing w:line="480" w:lineRule="exact"/>
        <w:ind w:firstLine="480" w:firstLineChars="200"/>
        <w:rPr>
          <w:sz w:val="24"/>
          <w:highlight w:val="none"/>
        </w:rPr>
      </w:pPr>
      <w:r>
        <w:rPr>
          <w:rFonts w:hint="eastAsia"/>
          <w:sz w:val="24"/>
          <w:highlight w:val="none"/>
        </w:rPr>
        <w:t>(17)《关于深化落实水电开发生态环境保护措施的通知》（环发〔2014〕65 号），2014 年 5 月 10 日；</w:t>
      </w:r>
    </w:p>
    <w:p>
      <w:pPr>
        <w:spacing w:line="480" w:lineRule="exact"/>
        <w:ind w:firstLine="480" w:firstLineChars="200"/>
        <w:rPr>
          <w:sz w:val="24"/>
          <w:highlight w:val="none"/>
        </w:rPr>
      </w:pPr>
      <w:r>
        <w:rPr>
          <w:rFonts w:hint="eastAsia"/>
          <w:sz w:val="24"/>
          <w:highlight w:val="none"/>
        </w:rPr>
        <w:t>(18)《关于推进绿色小水电发展的指导意见》（水电〔2016〕441 号），2016 年12 月 21 日；</w:t>
      </w:r>
    </w:p>
    <w:p>
      <w:pPr>
        <w:spacing w:line="480" w:lineRule="exact"/>
        <w:ind w:firstLine="480" w:firstLineChars="200"/>
        <w:rPr>
          <w:sz w:val="24"/>
          <w:highlight w:val="none"/>
        </w:rPr>
      </w:pPr>
      <w:r>
        <w:rPr>
          <w:rFonts w:hint="eastAsia"/>
          <w:sz w:val="24"/>
          <w:highlight w:val="none"/>
        </w:rPr>
        <w:t>(19)《关于进一步加强环境影响评价管理防范环境风险的通知》（环发〔2012〕77 号）；</w:t>
      </w:r>
    </w:p>
    <w:p>
      <w:pPr>
        <w:spacing w:line="480" w:lineRule="exact"/>
        <w:ind w:firstLine="480" w:firstLineChars="200"/>
        <w:rPr>
          <w:sz w:val="24"/>
          <w:highlight w:val="none"/>
        </w:rPr>
      </w:pPr>
      <w:r>
        <w:rPr>
          <w:rFonts w:hint="eastAsia"/>
          <w:sz w:val="24"/>
          <w:highlight w:val="none"/>
        </w:rPr>
        <w:t>(20)《关于水利水电工程建设用地有关问题的通知》（国土资发〔2001〕355 号），2001 年 11 月 2 日；</w:t>
      </w:r>
    </w:p>
    <w:p>
      <w:pPr>
        <w:spacing w:line="480" w:lineRule="exact"/>
        <w:ind w:firstLine="480" w:firstLineChars="200"/>
        <w:rPr>
          <w:sz w:val="24"/>
          <w:highlight w:val="none"/>
        </w:rPr>
      </w:pPr>
      <w:r>
        <w:rPr>
          <w:rFonts w:hint="eastAsia"/>
          <w:sz w:val="24"/>
          <w:highlight w:val="none"/>
        </w:rPr>
        <w:t>(21)《关于加强河流污染防治工作的通知》（环发〔2007〕201 号）；</w:t>
      </w:r>
    </w:p>
    <w:p>
      <w:pPr>
        <w:spacing w:line="480" w:lineRule="exact"/>
        <w:ind w:firstLine="480" w:firstLineChars="200"/>
        <w:rPr>
          <w:sz w:val="24"/>
          <w:highlight w:val="none"/>
        </w:rPr>
      </w:pPr>
      <w:r>
        <w:rPr>
          <w:rFonts w:hint="eastAsia"/>
          <w:sz w:val="24"/>
          <w:highlight w:val="none"/>
        </w:rPr>
        <w:t>(22)《关于加强水利工程建设生态环境保护工作的通知》（水规计〔2017〕315号）。</w:t>
      </w:r>
    </w:p>
    <w:p>
      <w:pPr>
        <w:spacing w:line="480" w:lineRule="exact"/>
        <w:ind w:firstLine="480" w:firstLineChars="200"/>
        <w:rPr>
          <w:sz w:val="24"/>
          <w:highlight w:val="none"/>
        </w:rPr>
      </w:pPr>
      <w:r>
        <w:rPr>
          <w:rFonts w:hint="eastAsia"/>
          <w:sz w:val="24"/>
          <w:highlight w:val="none"/>
        </w:rPr>
        <w:t>(23)《水电水利建设项目河道生态用水、低温水和过鱼设施环境影响评价技术指南（试行）》，环评函〔2006〕4号；</w:t>
      </w:r>
    </w:p>
    <w:p>
      <w:pPr>
        <w:spacing w:line="480" w:lineRule="exact"/>
        <w:ind w:firstLine="480" w:firstLineChars="200"/>
        <w:jc w:val="left"/>
        <w:rPr>
          <w:sz w:val="24"/>
          <w:highlight w:val="none"/>
        </w:rPr>
      </w:pPr>
      <w:r>
        <w:rPr>
          <w:sz w:val="24"/>
          <w:highlight w:val="none"/>
        </w:rPr>
        <w:t>(</w:t>
      </w:r>
      <w:r>
        <w:rPr>
          <w:rFonts w:hint="eastAsia"/>
          <w:sz w:val="24"/>
          <w:highlight w:val="none"/>
        </w:rPr>
        <w:t>24</w:t>
      </w:r>
      <w:r>
        <w:rPr>
          <w:sz w:val="24"/>
          <w:highlight w:val="none"/>
        </w:rPr>
        <w:t>)《关于规范火电等七个行业建设项目环境影响评价文件审批的通知》，环办[2015]112号；</w:t>
      </w:r>
    </w:p>
    <w:p>
      <w:pPr>
        <w:spacing w:line="480" w:lineRule="exact"/>
        <w:ind w:firstLine="480" w:firstLineChars="200"/>
        <w:jc w:val="left"/>
        <w:rPr>
          <w:sz w:val="24"/>
          <w:highlight w:val="none"/>
        </w:rPr>
      </w:pPr>
      <w:r>
        <w:rPr>
          <w:sz w:val="24"/>
          <w:highlight w:val="none"/>
        </w:rPr>
        <w:t>(</w:t>
      </w:r>
      <w:r>
        <w:rPr>
          <w:rFonts w:hint="eastAsia"/>
          <w:sz w:val="24"/>
          <w:highlight w:val="none"/>
        </w:rPr>
        <w:t>25</w:t>
      </w:r>
      <w:r>
        <w:rPr>
          <w:sz w:val="24"/>
          <w:highlight w:val="none"/>
        </w:rPr>
        <w:t>)《关于以改善环境质量为核心加强环境影响评价管理的通知》，环境环保部，2016 年10月27日。</w:t>
      </w:r>
    </w:p>
    <w:p>
      <w:pPr>
        <w:spacing w:line="480" w:lineRule="exact"/>
        <w:ind w:firstLine="480" w:firstLineChars="200"/>
        <w:jc w:val="left"/>
        <w:rPr>
          <w:sz w:val="24"/>
          <w:highlight w:val="none"/>
        </w:rPr>
      </w:pPr>
      <w:r>
        <w:rPr>
          <w:sz w:val="24"/>
          <w:highlight w:val="none"/>
        </w:rPr>
        <w:t>(2</w:t>
      </w:r>
      <w:r>
        <w:rPr>
          <w:rFonts w:hint="eastAsia"/>
          <w:sz w:val="24"/>
          <w:highlight w:val="none"/>
        </w:rPr>
        <w:t>6</w:t>
      </w:r>
      <w:r>
        <w:rPr>
          <w:sz w:val="24"/>
          <w:highlight w:val="none"/>
        </w:rPr>
        <w:t>)</w:t>
      </w:r>
      <w:r>
        <w:rPr>
          <w:rFonts w:hint="eastAsia"/>
          <w:sz w:val="24"/>
          <w:highlight w:val="none"/>
        </w:rPr>
        <w:t>《水生生物增殖放流管理规定》（农业部令第 20 号，2009年5月1日）；</w:t>
      </w:r>
    </w:p>
    <w:p>
      <w:pPr>
        <w:spacing w:line="480" w:lineRule="exact"/>
        <w:ind w:firstLine="480" w:firstLineChars="200"/>
        <w:jc w:val="left"/>
        <w:rPr>
          <w:color w:val="auto"/>
          <w:sz w:val="24"/>
          <w:highlight w:val="none"/>
        </w:rPr>
      </w:pPr>
      <w:r>
        <w:rPr>
          <w:sz w:val="24"/>
          <w:highlight w:val="none"/>
        </w:rPr>
        <w:t>(2</w:t>
      </w:r>
      <w:r>
        <w:rPr>
          <w:rFonts w:hint="eastAsia"/>
          <w:sz w:val="24"/>
          <w:highlight w:val="none"/>
        </w:rPr>
        <w:t>7</w:t>
      </w:r>
      <w:r>
        <w:rPr>
          <w:sz w:val="24"/>
          <w:highlight w:val="none"/>
        </w:rPr>
        <w:t>)</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关于进一步做好</w:t>
      </w:r>
      <w:r>
        <w:rPr>
          <w:rFonts w:hint="default" w:ascii="Times New Roman" w:hAnsi="Times New Roman" w:cs="Times New Roman" w:eastAsiaTheme="majorEastAsia"/>
          <w:i w:val="0"/>
          <w:iCs w:val="0"/>
          <w:caps w:val="0"/>
          <w:color w:val="auto"/>
          <w:spacing w:val="0"/>
          <w:sz w:val="24"/>
          <w:szCs w:val="24"/>
          <w:highlight w:val="none"/>
          <w:shd w:val="clear" w:fill="FFFFFF"/>
        </w:rPr>
        <w:fldChar w:fldCharType="begin"/>
      </w:r>
      <w:r>
        <w:rPr>
          <w:rFonts w:hint="default" w:ascii="Times New Roman" w:hAnsi="Times New Roman" w:cs="Times New Roman" w:eastAsiaTheme="majorEastAsia"/>
          <w:i w:val="0"/>
          <w:iCs w:val="0"/>
          <w:caps w:val="0"/>
          <w:color w:val="auto"/>
          <w:spacing w:val="0"/>
          <w:sz w:val="24"/>
          <w:szCs w:val="24"/>
          <w:highlight w:val="none"/>
          <w:shd w:val="clear" w:fill="FFFFFF"/>
        </w:rPr>
        <w:instrText xml:space="preserve"> HYPERLINK "https://news.bjx.com.cn/zt.asp?topic=%d0%a1%cb%ae%b5%e7" \t "http://www.hydropower.org.cn/_blank" </w:instrText>
      </w:r>
      <w:r>
        <w:rPr>
          <w:rFonts w:hint="default" w:ascii="Times New Roman" w:hAnsi="Times New Roman" w:cs="Times New Roman" w:eastAsiaTheme="majorEastAsia"/>
          <w:i w:val="0"/>
          <w:iCs w:val="0"/>
          <w:caps w:val="0"/>
          <w:color w:val="auto"/>
          <w:spacing w:val="0"/>
          <w:sz w:val="24"/>
          <w:szCs w:val="24"/>
          <w:highlight w:val="none"/>
          <w:shd w:val="clear" w:fill="FFFFFF"/>
        </w:rPr>
        <w:fldChar w:fldCharType="separate"/>
      </w:r>
      <w:r>
        <w:rPr>
          <w:rFonts w:hint="default" w:ascii="Times New Roman" w:hAnsi="Times New Roman" w:cs="Times New Roman" w:eastAsiaTheme="majorEastAsia"/>
          <w:i w:val="0"/>
          <w:iCs w:val="0"/>
          <w:caps w:val="0"/>
          <w:color w:val="auto"/>
          <w:spacing w:val="0"/>
          <w:sz w:val="24"/>
          <w:szCs w:val="24"/>
          <w:highlight w:val="none"/>
          <w:shd w:val="clear" w:fill="FFFFFF"/>
        </w:rPr>
        <w:t>小水电</w:t>
      </w:r>
      <w:r>
        <w:rPr>
          <w:rFonts w:hint="default" w:ascii="Times New Roman" w:hAnsi="Times New Roman" w:cs="Times New Roman" w:eastAsiaTheme="majorEastAsia"/>
          <w:i w:val="0"/>
          <w:iCs w:val="0"/>
          <w:caps w:val="0"/>
          <w:color w:val="auto"/>
          <w:spacing w:val="0"/>
          <w:sz w:val="24"/>
          <w:szCs w:val="24"/>
          <w:highlight w:val="none"/>
          <w:shd w:val="clear" w:fill="FFFFFF"/>
        </w:rPr>
        <w:fldChar w:fldCharType="end"/>
      </w:r>
      <w:r>
        <w:rPr>
          <w:rFonts w:hint="default" w:ascii="Times New Roman" w:hAnsi="Times New Roman" w:cs="Times New Roman" w:eastAsiaTheme="majorEastAsia"/>
          <w:i w:val="0"/>
          <w:iCs w:val="0"/>
          <w:caps w:val="0"/>
          <w:color w:val="auto"/>
          <w:spacing w:val="0"/>
          <w:sz w:val="24"/>
          <w:szCs w:val="24"/>
          <w:highlight w:val="none"/>
          <w:shd w:val="clear" w:fill="FFFFFF"/>
        </w:rPr>
        <w:t>分类整改工作的意见</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eastAsia"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水利部</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发展改革委</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自然资源部</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生态环境部</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农业农村部</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能源局</w:t>
      </w:r>
      <w:r>
        <w:rPr>
          <w:rFonts w:hint="default" w:ascii="Times New Roman" w:hAnsi="Times New Roman"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林草局</w:t>
      </w:r>
      <w:r>
        <w:rPr>
          <w:rFonts w:hint="eastAsia"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水电〔2021〕397号</w:t>
      </w:r>
      <w:r>
        <w:rPr>
          <w:rFonts w:hint="eastAsia" w:cs="Times New Roman" w:eastAsiaTheme="majorEastAsia"/>
          <w:i w:val="0"/>
          <w:iCs w:val="0"/>
          <w:caps w:val="0"/>
          <w:color w:val="auto"/>
          <w:spacing w:val="0"/>
          <w:sz w:val="24"/>
          <w:szCs w:val="24"/>
          <w:highlight w:val="none"/>
          <w:shd w:val="clear" w:fill="FFFFFF"/>
          <w:lang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rPr>
        <w:t>2021年12月23日</w:t>
      </w:r>
      <w:r>
        <w:rPr>
          <w:rFonts w:hint="eastAsia" w:cs="Times New Roman" w:eastAsiaTheme="majorEastAsia"/>
          <w:i w:val="0"/>
          <w:iCs w:val="0"/>
          <w:caps w:val="0"/>
          <w:color w:val="auto"/>
          <w:spacing w:val="0"/>
          <w:sz w:val="24"/>
          <w:szCs w:val="24"/>
          <w:highlight w:val="none"/>
          <w:shd w:val="clear" w:fill="FFFFFF"/>
          <w:lang w:eastAsia="zh-CN"/>
        </w:rPr>
        <w:t>；</w:t>
      </w:r>
    </w:p>
    <w:p>
      <w:pPr>
        <w:spacing w:line="480" w:lineRule="exact"/>
        <w:ind w:firstLine="480" w:firstLineChars="200"/>
        <w:jc w:val="left"/>
        <w:rPr>
          <w:color w:val="auto"/>
          <w:sz w:val="24"/>
          <w:highlight w:val="none"/>
        </w:rPr>
      </w:pPr>
      <w:r>
        <w:rPr>
          <w:color w:val="auto"/>
          <w:sz w:val="24"/>
          <w:highlight w:val="none"/>
        </w:rPr>
        <w:t>(2</w:t>
      </w:r>
      <w:r>
        <w:rPr>
          <w:rFonts w:hint="eastAsia"/>
          <w:color w:val="auto"/>
          <w:sz w:val="24"/>
          <w:highlight w:val="none"/>
          <w:lang w:val="en-US" w:eastAsia="zh-CN"/>
        </w:rPr>
        <w:t>8</w:t>
      </w:r>
      <w:r>
        <w:rPr>
          <w:color w:val="auto"/>
          <w:sz w:val="24"/>
          <w:highlight w:val="none"/>
        </w:rPr>
        <w:t>)</w:t>
      </w:r>
      <w:r>
        <w:rPr>
          <w:rFonts w:hint="default" w:ascii="Times New Roman" w:hAnsi="Times New Roman" w:cs="Times New Roman"/>
          <w:b w:val="0"/>
          <w:bCs w:val="0"/>
          <w:color w:val="auto"/>
          <w:sz w:val="24"/>
          <w:highlight w:val="none"/>
          <w:lang w:val="en-US" w:eastAsia="zh-CN"/>
        </w:rPr>
        <w:t>《关于加强生态保护红线管理的通知（试行）》</w:t>
      </w:r>
      <w:r>
        <w:rPr>
          <w:rFonts w:hint="eastAsia" w:cs="Times New Roman"/>
          <w:b w:val="0"/>
          <w:bCs w:val="0"/>
          <w:color w:val="auto"/>
          <w:sz w:val="24"/>
          <w:highlight w:val="none"/>
          <w:lang w:val="en-US" w:eastAsia="zh-CN"/>
        </w:rPr>
        <w:t>，生态环境部，</w:t>
      </w:r>
      <w:r>
        <w:rPr>
          <w:rFonts w:hint="default" w:ascii="Times New Roman" w:hAnsi="Times New Roman" w:cs="Times New Roman"/>
          <w:b w:val="0"/>
          <w:bCs w:val="0"/>
          <w:color w:val="auto"/>
          <w:sz w:val="24"/>
          <w:highlight w:val="none"/>
          <w:lang w:val="en-US" w:eastAsia="zh-CN"/>
        </w:rPr>
        <w:t>自然资发〔2022〕142号</w:t>
      </w:r>
      <w:r>
        <w:rPr>
          <w:rFonts w:hint="eastAsia" w:cs="Times New Roman"/>
          <w:b w:val="0"/>
          <w:bCs w:val="0"/>
          <w:color w:val="auto"/>
          <w:sz w:val="24"/>
          <w:highlight w:val="none"/>
          <w:lang w:val="en-US" w:eastAsia="zh-CN"/>
        </w:rPr>
        <w:t>，</w:t>
      </w:r>
      <w:r>
        <w:rPr>
          <w:rFonts w:hint="default" w:ascii="Times New Roman" w:hAnsi="Times New Roman" w:cs="Times New Roman"/>
          <w:b w:val="0"/>
          <w:bCs w:val="0"/>
          <w:color w:val="auto"/>
          <w:sz w:val="24"/>
          <w:highlight w:val="none"/>
          <w:lang w:val="en-US" w:eastAsia="zh-CN"/>
        </w:rPr>
        <w:t>2022年8月16日</w:t>
      </w:r>
      <w:r>
        <w:rPr>
          <w:rFonts w:hint="eastAsia" w:cs="Times New Roman"/>
          <w:b w:val="0"/>
          <w:bCs w:val="0"/>
          <w:color w:val="auto"/>
          <w:sz w:val="24"/>
          <w:highlight w:val="none"/>
          <w:lang w:val="en-US" w:eastAsia="zh-CN"/>
        </w:rPr>
        <w:t>；</w:t>
      </w:r>
    </w:p>
    <w:p>
      <w:pPr>
        <w:spacing w:line="480" w:lineRule="exact"/>
        <w:ind w:firstLine="480" w:firstLineChars="200"/>
        <w:jc w:val="left"/>
        <w:rPr>
          <w:sz w:val="24"/>
          <w:highlight w:val="none"/>
        </w:rPr>
      </w:pPr>
      <w:r>
        <w:rPr>
          <w:sz w:val="24"/>
          <w:highlight w:val="none"/>
        </w:rPr>
        <w:t>(2</w:t>
      </w:r>
      <w:r>
        <w:rPr>
          <w:rFonts w:hint="eastAsia"/>
          <w:sz w:val="24"/>
          <w:highlight w:val="none"/>
          <w:lang w:val="en-US" w:eastAsia="zh-CN"/>
        </w:rPr>
        <w:t>9</w:t>
      </w:r>
      <w:r>
        <w:rPr>
          <w:sz w:val="24"/>
          <w:highlight w:val="none"/>
        </w:rPr>
        <w:t>)《国家危险废物名录》（20</w:t>
      </w:r>
      <w:r>
        <w:rPr>
          <w:rFonts w:hint="eastAsia"/>
          <w:sz w:val="24"/>
          <w:highlight w:val="none"/>
          <w:lang w:val="en-US" w:eastAsia="zh-CN"/>
        </w:rPr>
        <w:t>21</w:t>
      </w:r>
      <w:r>
        <w:rPr>
          <w:sz w:val="24"/>
          <w:highlight w:val="none"/>
        </w:rPr>
        <w:t>年</w:t>
      </w:r>
      <w:r>
        <w:rPr>
          <w:rFonts w:hint="eastAsia"/>
          <w:sz w:val="24"/>
          <w:highlight w:val="none"/>
          <w:lang w:val="en-US" w:eastAsia="zh-CN"/>
        </w:rPr>
        <w:t>1</w:t>
      </w:r>
      <w:r>
        <w:rPr>
          <w:sz w:val="24"/>
          <w:highlight w:val="none"/>
        </w:rPr>
        <w:t>月1日）；</w:t>
      </w:r>
    </w:p>
    <w:p>
      <w:pPr>
        <w:spacing w:line="480" w:lineRule="exact"/>
        <w:jc w:val="left"/>
        <w:rPr>
          <w:b/>
          <w:bCs/>
          <w:sz w:val="24"/>
          <w:highlight w:val="none"/>
        </w:rPr>
      </w:pPr>
      <w:r>
        <w:rPr>
          <w:rFonts w:hint="eastAsia"/>
          <w:b/>
          <w:bCs/>
          <w:sz w:val="24"/>
          <w:highlight w:val="none"/>
        </w:rPr>
        <w:t>1.2.2.2 地方环境保护法规和规章</w:t>
      </w:r>
    </w:p>
    <w:p>
      <w:pPr>
        <w:spacing w:line="480" w:lineRule="exact"/>
        <w:ind w:firstLine="480" w:firstLineChars="200"/>
        <w:jc w:val="left"/>
        <w:rPr>
          <w:sz w:val="24"/>
          <w:highlight w:val="none"/>
        </w:rPr>
      </w:pPr>
      <w:r>
        <w:rPr>
          <w:sz w:val="24"/>
          <w:highlight w:val="none"/>
        </w:rPr>
        <w:t>(</w:t>
      </w:r>
      <w:r>
        <w:rPr>
          <w:rFonts w:hint="eastAsia"/>
          <w:sz w:val="24"/>
          <w:highlight w:val="none"/>
        </w:rPr>
        <w:t>1</w:t>
      </w:r>
      <w:r>
        <w:rPr>
          <w:sz w:val="24"/>
          <w:highlight w:val="none"/>
        </w:rPr>
        <w:t>)《河北省</w:t>
      </w:r>
      <w:r>
        <w:rPr>
          <w:rFonts w:hint="eastAsia"/>
          <w:sz w:val="24"/>
          <w:highlight w:val="none"/>
        </w:rPr>
        <w:t>生态</w:t>
      </w:r>
      <w:r>
        <w:rPr>
          <w:sz w:val="24"/>
          <w:highlight w:val="none"/>
        </w:rPr>
        <w:t>环境保护条例》(</w:t>
      </w:r>
      <w:r>
        <w:rPr>
          <w:rFonts w:hint="eastAsia"/>
          <w:sz w:val="24"/>
          <w:highlight w:val="none"/>
        </w:rPr>
        <w:t>河北省第十三届人民代表大会常务委员会第十六次会议，2020年 4 月 1日发布，2020 年 7月 1日实施</w:t>
      </w:r>
      <w:r>
        <w:rPr>
          <w:sz w:val="24"/>
          <w:highlight w:val="none"/>
        </w:rPr>
        <w:t>)；</w:t>
      </w:r>
    </w:p>
    <w:p>
      <w:pPr>
        <w:spacing w:line="480" w:lineRule="exact"/>
        <w:ind w:firstLine="480" w:firstLineChars="200"/>
        <w:jc w:val="left"/>
        <w:rPr>
          <w:sz w:val="24"/>
          <w:highlight w:val="none"/>
        </w:rPr>
      </w:pPr>
      <w:r>
        <w:rPr>
          <w:rFonts w:hint="eastAsia"/>
          <w:sz w:val="24"/>
          <w:highlight w:val="none"/>
        </w:rPr>
        <w:t>(2)</w:t>
      </w:r>
      <w:r>
        <w:rPr>
          <w:sz w:val="24"/>
          <w:highlight w:val="none"/>
        </w:rPr>
        <w:t>中共河北省委河北省人民政府关于印发《河北省大气污染防治行动计划实施方案》的通知，2013.9.6；</w:t>
      </w:r>
    </w:p>
    <w:p>
      <w:pPr>
        <w:spacing w:line="480" w:lineRule="exact"/>
        <w:ind w:firstLine="480" w:firstLineChars="200"/>
        <w:jc w:val="left"/>
        <w:rPr>
          <w:sz w:val="24"/>
          <w:highlight w:val="none"/>
        </w:rPr>
      </w:pPr>
      <w:r>
        <w:rPr>
          <w:rFonts w:hint="eastAsia"/>
          <w:sz w:val="24"/>
          <w:highlight w:val="none"/>
        </w:rPr>
        <w:t>(3)</w:t>
      </w:r>
      <w:r>
        <w:rPr>
          <w:sz w:val="24"/>
          <w:highlight w:val="none"/>
        </w:rPr>
        <w:t>中共河北省委河北省人民政府关于印发《河北省水污染防治工作方案》的通知，2015 年12月31日；</w:t>
      </w:r>
    </w:p>
    <w:p>
      <w:pPr>
        <w:spacing w:line="480" w:lineRule="exact"/>
        <w:ind w:firstLine="480" w:firstLineChars="200"/>
        <w:jc w:val="left"/>
        <w:rPr>
          <w:sz w:val="24"/>
          <w:highlight w:val="none"/>
        </w:rPr>
      </w:pPr>
      <w:r>
        <w:rPr>
          <w:rFonts w:hint="eastAsia"/>
          <w:sz w:val="24"/>
          <w:highlight w:val="none"/>
        </w:rPr>
        <w:t>(4)</w:t>
      </w:r>
      <w:r>
        <w:rPr>
          <w:sz w:val="24"/>
          <w:highlight w:val="none"/>
        </w:rPr>
        <w:t>《河北省地下水管理条例》(河北省第十二届人民代表大会常务委员会第40号)，2015年3月1日实施；</w:t>
      </w:r>
    </w:p>
    <w:p>
      <w:pPr>
        <w:spacing w:line="480" w:lineRule="exact"/>
        <w:ind w:firstLine="480" w:firstLineChars="200"/>
        <w:jc w:val="left"/>
        <w:rPr>
          <w:sz w:val="24"/>
          <w:highlight w:val="none"/>
        </w:rPr>
      </w:pPr>
      <w:r>
        <w:rPr>
          <w:rFonts w:hint="eastAsia"/>
          <w:sz w:val="24"/>
          <w:highlight w:val="none"/>
        </w:rPr>
        <w:t>(5)《河北省水污染防治条例》(2018年 5月 31日河北省第十三届人民代表大会常务委员会第三次会议修订)；</w:t>
      </w:r>
    </w:p>
    <w:p>
      <w:pPr>
        <w:spacing w:line="480" w:lineRule="exact"/>
        <w:ind w:firstLine="480" w:firstLineChars="200"/>
        <w:jc w:val="left"/>
        <w:rPr>
          <w:sz w:val="24"/>
          <w:highlight w:val="none"/>
        </w:rPr>
      </w:pPr>
      <w:r>
        <w:rPr>
          <w:rFonts w:hint="eastAsia"/>
          <w:sz w:val="24"/>
          <w:highlight w:val="none"/>
        </w:rPr>
        <w:t>(6)《河北省大气污染防治条例》(河北省第十二届人民代表大会第四次会议通过，2016 年 1 月 13日发布，2016 年 3月 1日实施)；</w:t>
      </w:r>
    </w:p>
    <w:p>
      <w:pPr>
        <w:spacing w:line="480" w:lineRule="exact"/>
        <w:ind w:firstLine="480" w:firstLineChars="200"/>
        <w:jc w:val="left"/>
        <w:rPr>
          <w:sz w:val="24"/>
          <w:highlight w:val="none"/>
        </w:rPr>
      </w:pPr>
      <w:r>
        <w:rPr>
          <w:rFonts w:hint="eastAsia"/>
          <w:sz w:val="24"/>
          <w:highlight w:val="none"/>
        </w:rPr>
        <w:t>(7)《河北省水污染防治工作方案》(河北省人民政府，2016 年 2 月 19 日发布并实施)；</w:t>
      </w:r>
    </w:p>
    <w:p>
      <w:pPr>
        <w:spacing w:line="480" w:lineRule="exact"/>
        <w:ind w:firstLine="480" w:firstLineChars="200"/>
        <w:jc w:val="left"/>
        <w:rPr>
          <w:rFonts w:hint="eastAsia" w:eastAsia="宋体"/>
          <w:color w:val="auto"/>
          <w:sz w:val="24"/>
          <w:highlight w:val="none"/>
          <w:lang w:eastAsia="zh-CN"/>
        </w:rPr>
      </w:pPr>
      <w:r>
        <w:rPr>
          <w:rFonts w:hint="eastAsia"/>
          <w:sz w:val="24"/>
          <w:highlight w:val="none"/>
        </w:rPr>
        <w:t>(8)《河北</w:t>
      </w:r>
      <w:r>
        <w:rPr>
          <w:rFonts w:hint="eastAsia"/>
          <w:color w:val="auto"/>
          <w:sz w:val="24"/>
          <w:highlight w:val="none"/>
        </w:rPr>
        <w:t>省固体废物污染环境防治条例》(河北省第十</w:t>
      </w:r>
      <w:r>
        <w:rPr>
          <w:rFonts w:hint="eastAsia"/>
          <w:color w:val="auto"/>
          <w:sz w:val="24"/>
          <w:highlight w:val="none"/>
          <w:lang w:eastAsia="zh-CN"/>
        </w:rPr>
        <w:t>三</w:t>
      </w:r>
      <w:r>
        <w:rPr>
          <w:rFonts w:hint="eastAsia"/>
          <w:color w:val="auto"/>
          <w:sz w:val="24"/>
          <w:highlight w:val="none"/>
        </w:rPr>
        <w:t>届人大常委会第</w:t>
      </w:r>
      <w:r>
        <w:rPr>
          <w:rFonts w:hint="eastAsia"/>
          <w:color w:val="auto"/>
          <w:sz w:val="24"/>
          <w:highlight w:val="none"/>
          <w:lang w:eastAsia="zh-CN"/>
        </w:rPr>
        <w:t>三十三</w:t>
      </w:r>
      <w:r>
        <w:rPr>
          <w:rFonts w:hint="eastAsia"/>
          <w:color w:val="auto"/>
          <w:sz w:val="24"/>
          <w:highlight w:val="none"/>
        </w:rPr>
        <w:t>次会议，20</w:t>
      </w:r>
      <w:r>
        <w:rPr>
          <w:rFonts w:hint="eastAsia"/>
          <w:color w:val="auto"/>
          <w:sz w:val="24"/>
          <w:highlight w:val="none"/>
          <w:lang w:val="en-US" w:eastAsia="zh-CN"/>
        </w:rPr>
        <w:t>22</w:t>
      </w:r>
      <w:r>
        <w:rPr>
          <w:rFonts w:hint="eastAsia"/>
          <w:color w:val="auto"/>
          <w:sz w:val="24"/>
          <w:highlight w:val="none"/>
        </w:rPr>
        <w:t xml:space="preserve">年 </w:t>
      </w:r>
      <w:r>
        <w:rPr>
          <w:rFonts w:hint="eastAsia"/>
          <w:color w:val="auto"/>
          <w:sz w:val="24"/>
          <w:highlight w:val="none"/>
          <w:lang w:val="en-US" w:eastAsia="zh-CN"/>
        </w:rPr>
        <w:t>12</w:t>
      </w:r>
      <w:r>
        <w:rPr>
          <w:rFonts w:hint="eastAsia"/>
          <w:color w:val="auto"/>
          <w:sz w:val="24"/>
          <w:highlight w:val="none"/>
        </w:rPr>
        <w:t xml:space="preserve"> 月</w:t>
      </w:r>
      <w:r>
        <w:rPr>
          <w:rFonts w:hint="eastAsia"/>
          <w:color w:val="auto"/>
          <w:sz w:val="24"/>
          <w:highlight w:val="none"/>
          <w:lang w:val="en-US" w:eastAsia="zh-CN"/>
        </w:rPr>
        <w:t>1</w:t>
      </w:r>
      <w:r>
        <w:rPr>
          <w:rFonts w:hint="eastAsia"/>
          <w:color w:val="auto"/>
          <w:sz w:val="24"/>
          <w:highlight w:val="none"/>
        </w:rPr>
        <w:t>日</w:t>
      </w:r>
      <w:r>
        <w:rPr>
          <w:rFonts w:hint="eastAsia"/>
          <w:color w:val="auto"/>
          <w:sz w:val="24"/>
          <w:highlight w:val="none"/>
          <w:lang w:eastAsia="zh-CN"/>
        </w:rPr>
        <w:t>起</w:t>
      </w:r>
      <w:r>
        <w:rPr>
          <w:rFonts w:hint="eastAsia"/>
          <w:color w:val="auto"/>
          <w:sz w:val="24"/>
          <w:highlight w:val="none"/>
        </w:rPr>
        <w:t>实施)</w:t>
      </w:r>
      <w:r>
        <w:rPr>
          <w:rFonts w:hint="eastAsia"/>
          <w:color w:val="auto"/>
          <w:sz w:val="24"/>
          <w:highlight w:val="none"/>
          <w:lang w:eastAsia="zh-CN"/>
        </w:rPr>
        <w:t>；</w:t>
      </w:r>
    </w:p>
    <w:p>
      <w:pPr>
        <w:spacing w:line="480" w:lineRule="exact"/>
        <w:ind w:firstLine="480" w:firstLineChars="200"/>
        <w:jc w:val="left"/>
        <w:rPr>
          <w:sz w:val="24"/>
          <w:highlight w:val="none"/>
        </w:rPr>
      </w:pPr>
      <w:r>
        <w:rPr>
          <w:rFonts w:hint="eastAsia"/>
          <w:color w:val="auto"/>
          <w:sz w:val="24"/>
          <w:highlight w:val="none"/>
        </w:rPr>
        <w:t xml:space="preserve">(9)《河北省人民政府关于发布&lt;河北省生态保护红线&gt;的通知》(冀政字[2018]23号，2018 </w:t>
      </w:r>
      <w:r>
        <w:rPr>
          <w:rFonts w:hint="eastAsia"/>
          <w:sz w:val="24"/>
          <w:highlight w:val="none"/>
        </w:rPr>
        <w:t>年 6 月 30日)；</w:t>
      </w:r>
    </w:p>
    <w:p>
      <w:pPr>
        <w:spacing w:line="480" w:lineRule="exact"/>
        <w:ind w:firstLine="480" w:firstLineChars="200"/>
        <w:jc w:val="left"/>
        <w:rPr>
          <w:sz w:val="24"/>
          <w:highlight w:val="none"/>
        </w:rPr>
      </w:pPr>
      <w:r>
        <w:rPr>
          <w:rFonts w:hint="eastAsia"/>
          <w:sz w:val="24"/>
          <w:highlight w:val="none"/>
        </w:rPr>
        <w:t>(10)《河北省人民政府关于河北省打赢蓝天保卫战三年行动方案的通知》(冀政发[2018]18号，2018 年 8 月 23日)；</w:t>
      </w:r>
    </w:p>
    <w:p>
      <w:pPr>
        <w:spacing w:line="480" w:lineRule="exact"/>
        <w:ind w:firstLine="480" w:firstLineChars="200"/>
        <w:jc w:val="left"/>
        <w:rPr>
          <w:sz w:val="24"/>
          <w:highlight w:val="none"/>
        </w:rPr>
      </w:pPr>
      <w:r>
        <w:rPr>
          <w:rFonts w:hint="eastAsia"/>
          <w:sz w:val="24"/>
          <w:highlight w:val="none"/>
        </w:rPr>
        <w:t>(11)《关于加快实施“三线一单”生态环境分区管控的意见》(冀政字[2020]71号)；</w:t>
      </w:r>
    </w:p>
    <w:p>
      <w:pPr>
        <w:spacing w:line="480" w:lineRule="exact"/>
        <w:ind w:firstLine="480" w:firstLineChars="200"/>
        <w:jc w:val="left"/>
        <w:rPr>
          <w:sz w:val="24"/>
          <w:highlight w:val="none"/>
        </w:rPr>
      </w:pPr>
      <w:r>
        <w:rPr>
          <w:rFonts w:hint="eastAsia"/>
          <w:sz w:val="24"/>
          <w:highlight w:val="none"/>
        </w:rPr>
        <w:t>(12)《关于加强重要生态功能区及周边区域环境管理工作的通知》(河北省生态环境厅，[2020]-407)；</w:t>
      </w:r>
    </w:p>
    <w:p>
      <w:pPr>
        <w:spacing w:line="480" w:lineRule="exact"/>
        <w:ind w:firstLine="480" w:firstLineChars="200"/>
        <w:jc w:val="left"/>
        <w:rPr>
          <w:sz w:val="24"/>
          <w:highlight w:val="none"/>
        </w:rPr>
      </w:pPr>
      <w:r>
        <w:rPr>
          <w:rFonts w:hint="eastAsia"/>
          <w:sz w:val="24"/>
          <w:highlight w:val="none"/>
        </w:rPr>
        <w:t>(13)《河北省人民政府办公厅转发省环境保护厅&lt;关于进一步深化环评审批制度改革意见&gt;的通知》(河北省人民政府办公厅，2015 年 10月 13日发布并实施)；</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left"/>
        <w:textAlignment w:val="auto"/>
        <w:rPr>
          <w:sz w:val="24"/>
          <w:highlight w:val="none"/>
        </w:rPr>
      </w:pPr>
      <w:r>
        <w:rPr>
          <w:rFonts w:hint="eastAsia"/>
          <w:sz w:val="24"/>
          <w:highlight w:val="none"/>
        </w:rPr>
        <w:t>(14)《关于印发&lt;建设项目环境影响评价文件审批及建设单位自主开展环境保护设施验收工作指引(试行)&gt;的通知》(冀环办字函〔2017〕727 号，2017 年 11 月 23 日发布并实施)；</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left"/>
        <w:textAlignment w:val="auto"/>
        <w:rPr>
          <w:sz w:val="24"/>
          <w:highlight w:val="none"/>
        </w:rPr>
      </w:pPr>
      <w:r>
        <w:rPr>
          <w:rFonts w:hint="eastAsia"/>
          <w:sz w:val="24"/>
          <w:highlight w:val="none"/>
        </w:rPr>
        <w:t>(15)</w:t>
      </w:r>
      <w:r>
        <w:rPr>
          <w:sz w:val="24"/>
          <w:highlight w:val="none"/>
        </w:rPr>
        <w:t>《河北省水功能区管理规定》（2017年11月）。</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left"/>
        <w:textAlignment w:val="auto"/>
        <w:rPr>
          <w:color w:val="auto"/>
          <w:sz w:val="24"/>
          <w:highlight w:val="none"/>
        </w:rPr>
      </w:pPr>
      <w:r>
        <w:rPr>
          <w:rFonts w:hint="eastAsia"/>
          <w:sz w:val="24"/>
          <w:highlight w:val="none"/>
        </w:rPr>
        <w:t>(16)</w:t>
      </w:r>
      <w:r>
        <w:rPr>
          <w:sz w:val="24"/>
          <w:highlight w:val="none"/>
        </w:rPr>
        <w:t>《天</w:t>
      </w:r>
      <w:r>
        <w:rPr>
          <w:color w:val="auto"/>
          <w:sz w:val="24"/>
          <w:highlight w:val="none"/>
        </w:rPr>
        <w:t>津市引滦工程管理办法》（1994年9月8日天津市人民政府第28号令发布</w:t>
      </w:r>
    </w:p>
    <w:p>
      <w:pPr>
        <w:spacing w:line="480" w:lineRule="exact"/>
        <w:ind w:firstLine="480" w:firstLineChars="200"/>
        <w:jc w:val="left"/>
        <w:rPr>
          <w:color w:val="auto"/>
          <w:sz w:val="24"/>
          <w:highlight w:val="none"/>
        </w:rPr>
      </w:pPr>
      <w:r>
        <w:rPr>
          <w:rFonts w:hint="eastAsia"/>
          <w:color w:val="auto"/>
          <w:sz w:val="24"/>
          <w:highlight w:val="none"/>
        </w:rPr>
        <w:t>(17)《唐山市人民政府办公室关于印发&lt;唐山市重污染天气应急预案&gt;的通知》(唐政办字[2019]90号，2019 年 10 月 11日发布并实施)；</w:t>
      </w:r>
    </w:p>
    <w:p>
      <w:pPr>
        <w:spacing w:line="480" w:lineRule="exact"/>
        <w:ind w:firstLine="480" w:firstLineChars="200"/>
        <w:jc w:val="left"/>
        <w:rPr>
          <w:color w:val="auto"/>
          <w:sz w:val="24"/>
          <w:highlight w:val="none"/>
        </w:rPr>
      </w:pPr>
      <w:r>
        <w:rPr>
          <w:rFonts w:hint="eastAsia"/>
          <w:color w:val="auto"/>
          <w:sz w:val="24"/>
          <w:highlight w:val="none"/>
        </w:rPr>
        <w:t>(18)《中共唐山市委办公室唐山市人民政府办公室关于印发&lt;2019 年“十项重点工作”工作方案&gt;的通知》(唐办发[2019]3号)；</w:t>
      </w:r>
    </w:p>
    <w:p>
      <w:pPr>
        <w:spacing w:line="480" w:lineRule="exact"/>
        <w:ind w:firstLine="480" w:firstLineChars="200"/>
        <w:jc w:val="left"/>
        <w:rPr>
          <w:color w:val="auto"/>
          <w:sz w:val="24"/>
          <w:highlight w:val="none"/>
        </w:rPr>
      </w:pPr>
      <w:r>
        <w:rPr>
          <w:rFonts w:hint="eastAsia"/>
          <w:color w:val="auto"/>
          <w:sz w:val="24"/>
          <w:highlight w:val="none"/>
        </w:rPr>
        <w:t>(19)《唐山市建设生态唐山实现绿色发展工作方案》(唐办发[2018]2 号)；</w:t>
      </w:r>
    </w:p>
    <w:p>
      <w:pPr>
        <w:spacing w:line="480" w:lineRule="exact"/>
        <w:ind w:firstLine="480" w:firstLineChars="200"/>
        <w:jc w:val="left"/>
        <w:rPr>
          <w:color w:val="auto"/>
          <w:sz w:val="24"/>
          <w:highlight w:val="none"/>
        </w:rPr>
      </w:pPr>
      <w:r>
        <w:rPr>
          <w:rFonts w:hint="eastAsia"/>
          <w:color w:val="auto"/>
          <w:sz w:val="24"/>
          <w:highlight w:val="none"/>
        </w:rPr>
        <w:t>(</w:t>
      </w:r>
      <w:r>
        <w:rPr>
          <w:rFonts w:hint="eastAsia"/>
          <w:color w:val="auto"/>
          <w:sz w:val="24"/>
          <w:highlight w:val="none"/>
          <w:lang w:val="en-US" w:eastAsia="zh-CN"/>
        </w:rPr>
        <w:t>20</w:t>
      </w:r>
      <w:r>
        <w:rPr>
          <w:rFonts w:hint="eastAsia"/>
          <w:color w:val="auto"/>
          <w:sz w:val="24"/>
          <w:highlight w:val="none"/>
        </w:rPr>
        <w:t>)《河北省关于做好环保违规建设项目现状环境影响评估及备案审查工作的通知》（2016年6月）；</w:t>
      </w:r>
    </w:p>
    <w:p>
      <w:pPr>
        <w:keepNext w:val="0"/>
        <w:keepLines w:val="0"/>
        <w:pageBreakBefore w:val="0"/>
        <w:kinsoku/>
        <w:wordWrap/>
        <w:overflowPunct/>
        <w:topLinePunct w:val="0"/>
        <w:autoSpaceDE/>
        <w:autoSpaceDN/>
        <w:bidi w:val="0"/>
        <w:adjustRightInd/>
        <w:snapToGrid/>
        <w:spacing w:line="440" w:lineRule="exact"/>
        <w:ind w:firstLine="480" w:firstLineChars="200"/>
        <w:jc w:val="left"/>
        <w:textAlignment w:val="auto"/>
        <w:rPr>
          <w:color w:val="auto"/>
          <w:sz w:val="24"/>
          <w:highlight w:val="none"/>
        </w:rPr>
      </w:pPr>
      <w:r>
        <w:rPr>
          <w:rFonts w:hint="eastAsia"/>
          <w:color w:val="auto"/>
          <w:sz w:val="24"/>
          <w:highlight w:val="none"/>
        </w:rPr>
        <w:t>(</w:t>
      </w:r>
      <w:r>
        <w:rPr>
          <w:rFonts w:hint="eastAsia"/>
          <w:color w:val="auto"/>
          <w:sz w:val="24"/>
          <w:highlight w:val="none"/>
          <w:lang w:val="en-US" w:eastAsia="zh-CN"/>
        </w:rPr>
        <w:t>21</w:t>
      </w:r>
      <w:r>
        <w:rPr>
          <w:rFonts w:hint="eastAsia"/>
          <w:color w:val="auto"/>
          <w:sz w:val="24"/>
          <w:highlight w:val="none"/>
        </w:rPr>
        <w:t>)</w:t>
      </w:r>
      <w:r>
        <w:rPr>
          <w:color w:val="auto"/>
          <w:sz w:val="24"/>
          <w:highlight w:val="none"/>
        </w:rPr>
        <w:t>《开展中小河流水能资源开发规划工作的意见》（水规计</w:t>
      </w:r>
      <w:r>
        <w:rPr>
          <w:rFonts w:hint="eastAsia"/>
          <w:color w:val="auto"/>
          <w:sz w:val="24"/>
          <w:highlight w:val="none"/>
        </w:rPr>
        <w:t>[</w:t>
      </w:r>
      <w:r>
        <w:rPr>
          <w:color w:val="auto"/>
          <w:sz w:val="24"/>
          <w:highlight w:val="none"/>
        </w:rPr>
        <w:t>2012]369号）；</w:t>
      </w:r>
    </w:p>
    <w:p>
      <w:pPr>
        <w:keepNext w:val="0"/>
        <w:keepLines w:val="0"/>
        <w:pageBreakBefore w:val="0"/>
        <w:kinsoku/>
        <w:wordWrap/>
        <w:overflowPunct/>
        <w:topLinePunct w:val="0"/>
        <w:autoSpaceDE/>
        <w:autoSpaceDN/>
        <w:bidi w:val="0"/>
        <w:adjustRightInd/>
        <w:snapToGrid/>
        <w:spacing w:line="440" w:lineRule="exact"/>
        <w:ind w:firstLine="480" w:firstLineChars="200"/>
        <w:jc w:val="left"/>
        <w:textAlignment w:val="auto"/>
        <w:rPr>
          <w:rFonts w:hint="eastAsia"/>
          <w:color w:val="auto"/>
          <w:sz w:val="24"/>
          <w:highlight w:val="none"/>
          <w:lang w:eastAsia="zh-CN"/>
        </w:rPr>
      </w:pPr>
      <w:r>
        <w:rPr>
          <w:rFonts w:hint="eastAsia"/>
          <w:color w:val="auto"/>
          <w:sz w:val="24"/>
          <w:highlight w:val="none"/>
        </w:rPr>
        <w:t>(</w:t>
      </w:r>
      <w:r>
        <w:rPr>
          <w:rFonts w:hint="eastAsia"/>
          <w:color w:val="auto"/>
          <w:sz w:val="24"/>
          <w:highlight w:val="none"/>
          <w:lang w:val="en-US" w:eastAsia="zh-CN"/>
        </w:rPr>
        <w:t>22</w:t>
      </w:r>
      <w:r>
        <w:rPr>
          <w:rFonts w:hint="eastAsia"/>
          <w:color w:val="auto"/>
          <w:sz w:val="24"/>
          <w:highlight w:val="none"/>
        </w:rPr>
        <w:t>)</w:t>
      </w:r>
      <w:r>
        <w:rPr>
          <w:color w:val="auto"/>
          <w:sz w:val="24"/>
          <w:highlight w:val="none"/>
        </w:rPr>
        <w:t>《</w:t>
      </w:r>
      <w:r>
        <w:rPr>
          <w:rFonts w:hint="eastAsia"/>
          <w:color w:val="auto"/>
          <w:sz w:val="24"/>
          <w:highlight w:val="none"/>
        </w:rPr>
        <w:t>河北省中小河流水能资源开发规划</w:t>
      </w:r>
      <w:r>
        <w:rPr>
          <w:color w:val="auto"/>
          <w:sz w:val="24"/>
          <w:highlight w:val="none"/>
        </w:rPr>
        <w:t>》（</w:t>
      </w:r>
      <w:r>
        <w:rPr>
          <w:rFonts w:hint="eastAsia"/>
          <w:color w:val="auto"/>
          <w:sz w:val="24"/>
          <w:highlight w:val="none"/>
        </w:rPr>
        <w:t>近期2</w:t>
      </w:r>
      <w:r>
        <w:rPr>
          <w:color w:val="auto"/>
          <w:sz w:val="24"/>
          <w:highlight w:val="none"/>
        </w:rPr>
        <w:t>015-2020年）</w:t>
      </w:r>
      <w:r>
        <w:rPr>
          <w:rFonts w:hint="eastAsia"/>
          <w:color w:val="auto"/>
          <w:sz w:val="24"/>
          <w:highlight w:val="none"/>
          <w:lang w:eastAsia="zh-CN"/>
        </w:rPr>
        <w:t>；</w:t>
      </w:r>
    </w:p>
    <w:p>
      <w:pPr>
        <w:keepNext w:val="0"/>
        <w:keepLines w:val="0"/>
        <w:pageBreakBefore w:val="0"/>
        <w:kinsoku/>
        <w:wordWrap/>
        <w:overflowPunct/>
        <w:topLinePunct w:val="0"/>
        <w:autoSpaceDE/>
        <w:autoSpaceDN/>
        <w:bidi w:val="0"/>
        <w:adjustRightInd/>
        <w:snapToGrid/>
        <w:spacing w:line="440" w:lineRule="exact"/>
        <w:ind w:firstLine="480" w:firstLineChars="200"/>
        <w:jc w:val="left"/>
        <w:textAlignment w:val="auto"/>
        <w:rPr>
          <w:color w:val="auto"/>
          <w:sz w:val="24"/>
          <w:highlight w:val="none"/>
        </w:rPr>
      </w:pPr>
      <w:r>
        <w:rPr>
          <w:rFonts w:hint="eastAsia"/>
          <w:color w:val="auto"/>
          <w:sz w:val="24"/>
          <w:highlight w:val="none"/>
        </w:rPr>
        <w:t>(</w:t>
      </w:r>
      <w:r>
        <w:rPr>
          <w:rFonts w:hint="eastAsia"/>
          <w:color w:val="auto"/>
          <w:sz w:val="24"/>
          <w:highlight w:val="none"/>
          <w:lang w:val="en-US" w:eastAsia="zh-CN"/>
        </w:rPr>
        <w:t>23</w:t>
      </w:r>
      <w:r>
        <w:rPr>
          <w:rFonts w:hint="eastAsia"/>
          <w:color w:val="auto"/>
          <w:sz w:val="24"/>
          <w:highlight w:val="none"/>
        </w:rPr>
        <w:t>)</w:t>
      </w:r>
      <w:r>
        <w:rPr>
          <w:rFonts w:hint="eastAsia" w:asciiTheme="majorEastAsia" w:hAnsiTheme="majorEastAsia" w:eastAsiaTheme="majorEastAsia" w:cstheme="majorEastAsia"/>
          <w:i w:val="0"/>
          <w:iCs w:val="0"/>
          <w:caps w:val="0"/>
          <w:color w:val="auto"/>
          <w:spacing w:val="0"/>
          <w:sz w:val="24"/>
          <w:szCs w:val="24"/>
          <w:highlight w:val="none"/>
          <w:shd w:val="clear" w:fill="FFFFFF"/>
          <w:lang w:eastAsia="zh-CN"/>
        </w:rPr>
        <w:t>《河北省生态环境厅生态环境轻微违法行为免罚办法</w:t>
      </w:r>
      <w:r>
        <w:rPr>
          <w:rFonts w:hint="default" w:asciiTheme="majorEastAsia" w:hAnsiTheme="majorEastAsia" w:eastAsiaTheme="majorEastAsia" w:cstheme="majorEastAsia"/>
          <w:i w:val="0"/>
          <w:iCs w:val="0"/>
          <w:caps w:val="0"/>
          <w:color w:val="auto"/>
          <w:spacing w:val="0"/>
          <w:sz w:val="24"/>
          <w:szCs w:val="24"/>
          <w:highlight w:val="none"/>
          <w:shd w:val="clear" w:fill="FFFFFF"/>
          <w:lang w:eastAsia="zh-CN"/>
        </w:rPr>
        <w:t>（试行）》</w:t>
      </w:r>
      <w:r>
        <w:rPr>
          <w:rFonts w:hint="eastAsia" w:asciiTheme="majorEastAsia" w:hAnsiTheme="majorEastAsia" w:eastAsiaTheme="majorEastAsia" w:cstheme="majorEastAsia"/>
          <w:i w:val="0"/>
          <w:iCs w:val="0"/>
          <w:caps w:val="0"/>
          <w:color w:val="auto"/>
          <w:spacing w:val="0"/>
          <w:sz w:val="24"/>
          <w:szCs w:val="24"/>
          <w:highlight w:val="none"/>
          <w:shd w:val="clear" w:fill="FFFFFF"/>
          <w:lang w:eastAsia="zh-CN"/>
        </w:rPr>
        <w:t>及《河北省生态环境领域轻微违法行为包容免罚清单》</w:t>
      </w:r>
      <w:r>
        <w:rPr>
          <w:rFonts w:hint="default" w:asciiTheme="majorEastAsia" w:hAnsiTheme="majorEastAsia" w:eastAsiaTheme="majorEastAsia" w:cstheme="majorEastAsia"/>
          <w:i w:val="0"/>
          <w:iCs w:val="0"/>
          <w:caps w:val="0"/>
          <w:color w:val="auto"/>
          <w:spacing w:val="0"/>
          <w:sz w:val="24"/>
          <w:szCs w:val="24"/>
          <w:highlight w:val="none"/>
          <w:shd w:val="clear" w:fill="FFFFFF"/>
          <w:lang w:val="en-US" w:eastAsia="zh-CN"/>
        </w:rPr>
        <w:t>河北省生态环境厅</w:t>
      </w:r>
      <w:r>
        <w:rPr>
          <w:rFonts w:hint="eastAsia" w:asciiTheme="majorEastAsia" w:hAnsiTheme="majorEastAsia" w:eastAsiaTheme="majorEastAsia" w:cstheme="majorEastAsia"/>
          <w:i w:val="0"/>
          <w:iCs w:val="0"/>
          <w:caps w:val="0"/>
          <w:color w:val="auto"/>
          <w:spacing w:val="0"/>
          <w:sz w:val="24"/>
          <w:szCs w:val="24"/>
          <w:highlight w:val="none"/>
          <w:shd w:val="clear" w:fill="FFFFFF"/>
          <w:lang w:val="en-US" w:eastAsia="zh-CN"/>
        </w:rPr>
        <w:t>，</w:t>
      </w:r>
      <w:r>
        <w:rPr>
          <w:rFonts w:hint="default" w:ascii="Times New Roman" w:hAnsi="Times New Roman" w:cs="Times New Roman" w:eastAsiaTheme="majorEastAsia"/>
          <w:i w:val="0"/>
          <w:iCs w:val="0"/>
          <w:caps w:val="0"/>
          <w:color w:val="auto"/>
          <w:spacing w:val="0"/>
          <w:sz w:val="24"/>
          <w:szCs w:val="24"/>
          <w:highlight w:val="none"/>
          <w:shd w:val="clear" w:fill="FFFFFF"/>
          <w:lang w:val="en-US" w:eastAsia="zh-CN"/>
        </w:rPr>
        <w:t>2022年8月20日</w:t>
      </w:r>
      <w:r>
        <w:rPr>
          <w:color w:val="auto"/>
          <w:sz w:val="24"/>
          <w:highlight w:val="none"/>
        </w:rPr>
        <w:t>。</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default" w:ascii="Times New Roman" w:hAnsi="Times New Roman" w:cs="Times New Roman"/>
          <w:color w:val="auto"/>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24</w:t>
      </w:r>
      <w:r>
        <w:rPr>
          <w:rFonts w:hint="default" w:ascii="Times New Roman" w:hAnsi="Times New Roman" w:cs="Times New Roman"/>
          <w:color w:val="auto"/>
          <w:sz w:val="24"/>
          <w:highlight w:val="none"/>
          <w:lang w:eastAsia="zh-CN"/>
        </w:rPr>
        <w:t>）《唐山市生态环境保护条例》</w:t>
      </w:r>
      <w:r>
        <w:rPr>
          <w:rFonts w:hint="default" w:ascii="Times New Roman" w:hAnsi="Times New Roman" w:eastAsia="宋体" w:cs="Times New Roman"/>
          <w:color w:val="auto"/>
          <w:kern w:val="0"/>
          <w:sz w:val="24"/>
          <w:szCs w:val="24"/>
          <w:highlight w:val="none"/>
          <w:lang w:val="en-US" w:eastAsia="zh-CN" w:bidi="ar"/>
        </w:rPr>
        <w:t>2022 年 10 月 28 日唐山市第十六届人民代表大会常务委员会第十次会议通过，经河北省第十三届人民代表大会常务委员会第三十四次会议于 2022 年 11月 29 日批准，自 2023 年 3 月 1 日起施行。</w:t>
      </w:r>
    </w:p>
    <w:p>
      <w:pPr>
        <w:spacing w:line="480" w:lineRule="exact"/>
        <w:rPr>
          <w:b/>
          <w:color w:val="auto"/>
          <w:sz w:val="24"/>
          <w:highlight w:val="none"/>
        </w:rPr>
      </w:pPr>
      <w:r>
        <w:rPr>
          <w:rFonts w:hint="eastAsia"/>
          <w:b/>
          <w:color w:val="auto"/>
          <w:sz w:val="24"/>
          <w:highlight w:val="none"/>
        </w:rPr>
        <w:t>1</w:t>
      </w:r>
      <w:r>
        <w:rPr>
          <w:b/>
          <w:color w:val="auto"/>
          <w:sz w:val="24"/>
          <w:highlight w:val="none"/>
        </w:rPr>
        <w:t xml:space="preserve">.2.3 </w:t>
      </w:r>
      <w:r>
        <w:rPr>
          <w:rFonts w:hint="eastAsia"/>
          <w:b/>
          <w:color w:val="auto"/>
          <w:sz w:val="24"/>
          <w:highlight w:val="none"/>
        </w:rPr>
        <w:t>相关</w:t>
      </w:r>
      <w:r>
        <w:rPr>
          <w:b/>
          <w:color w:val="auto"/>
          <w:sz w:val="24"/>
          <w:highlight w:val="none"/>
        </w:rPr>
        <w:t>技术</w:t>
      </w:r>
      <w:r>
        <w:rPr>
          <w:rFonts w:hint="eastAsia"/>
          <w:b/>
          <w:color w:val="auto"/>
          <w:sz w:val="24"/>
          <w:highlight w:val="none"/>
        </w:rPr>
        <w:t>导则与</w:t>
      </w:r>
      <w:r>
        <w:rPr>
          <w:b/>
          <w:color w:val="auto"/>
          <w:sz w:val="24"/>
          <w:highlight w:val="none"/>
        </w:rPr>
        <w:t>规范</w:t>
      </w:r>
    </w:p>
    <w:p>
      <w:pPr>
        <w:spacing w:line="480" w:lineRule="exact"/>
        <w:ind w:firstLine="480" w:firstLineChars="200"/>
        <w:jc w:val="left"/>
        <w:rPr>
          <w:color w:val="auto"/>
          <w:sz w:val="24"/>
          <w:highlight w:val="none"/>
        </w:rPr>
      </w:pPr>
      <w:r>
        <w:rPr>
          <w:color w:val="auto"/>
          <w:sz w:val="24"/>
          <w:highlight w:val="none"/>
        </w:rPr>
        <w:t>(1)《建设项目环境影响评价技术导则－总纲》（HJ 2.1-201</w:t>
      </w:r>
      <w:r>
        <w:rPr>
          <w:rFonts w:hint="eastAsia"/>
          <w:color w:val="auto"/>
          <w:sz w:val="24"/>
          <w:highlight w:val="none"/>
        </w:rPr>
        <w:t>6</w:t>
      </w:r>
      <w:r>
        <w:rPr>
          <w:color w:val="auto"/>
          <w:sz w:val="24"/>
          <w:highlight w:val="none"/>
        </w:rPr>
        <w:t>）；</w:t>
      </w:r>
    </w:p>
    <w:p>
      <w:pPr>
        <w:spacing w:line="480" w:lineRule="exact"/>
        <w:ind w:firstLine="480" w:firstLineChars="200"/>
        <w:jc w:val="left"/>
        <w:rPr>
          <w:color w:val="auto"/>
          <w:sz w:val="24"/>
          <w:highlight w:val="none"/>
        </w:rPr>
      </w:pPr>
      <w:r>
        <w:rPr>
          <w:color w:val="auto"/>
          <w:sz w:val="24"/>
          <w:highlight w:val="none"/>
        </w:rPr>
        <w:t>(2)《环境影响评价技术导则－大气环境》（HJ 2.2-2018）；</w:t>
      </w:r>
    </w:p>
    <w:p>
      <w:pPr>
        <w:spacing w:line="480" w:lineRule="exact"/>
        <w:ind w:firstLine="480" w:firstLineChars="200"/>
        <w:rPr>
          <w:color w:val="auto"/>
          <w:sz w:val="24"/>
          <w:highlight w:val="none"/>
        </w:rPr>
      </w:pPr>
      <w:r>
        <w:rPr>
          <w:color w:val="auto"/>
          <w:sz w:val="24"/>
          <w:highlight w:val="none"/>
        </w:rPr>
        <w:t>(3)《环境影响评价技术导则－</w:t>
      </w:r>
      <w:r>
        <w:rPr>
          <w:rFonts w:hint="eastAsia"/>
          <w:color w:val="auto"/>
          <w:sz w:val="24"/>
          <w:highlight w:val="none"/>
        </w:rPr>
        <w:t>地表</w:t>
      </w:r>
      <w:r>
        <w:rPr>
          <w:color w:val="auto"/>
          <w:sz w:val="24"/>
          <w:highlight w:val="none"/>
        </w:rPr>
        <w:t>水环境》（HJ 2.3-2018）；</w:t>
      </w:r>
    </w:p>
    <w:p>
      <w:pPr>
        <w:spacing w:line="480" w:lineRule="exact"/>
        <w:ind w:firstLine="480" w:firstLineChars="200"/>
        <w:rPr>
          <w:color w:val="auto"/>
          <w:sz w:val="24"/>
          <w:highlight w:val="none"/>
        </w:rPr>
      </w:pPr>
      <w:r>
        <w:rPr>
          <w:color w:val="auto"/>
          <w:sz w:val="24"/>
          <w:highlight w:val="none"/>
        </w:rPr>
        <w:t>(4)《环境影响评价技术导则－地下水环境》（HJ610-2016）；</w:t>
      </w:r>
    </w:p>
    <w:p>
      <w:pPr>
        <w:spacing w:line="480" w:lineRule="exact"/>
        <w:ind w:firstLine="480" w:firstLineChars="200"/>
        <w:rPr>
          <w:color w:val="auto"/>
          <w:sz w:val="24"/>
          <w:highlight w:val="none"/>
        </w:rPr>
      </w:pPr>
      <w:r>
        <w:rPr>
          <w:color w:val="auto"/>
          <w:sz w:val="24"/>
          <w:highlight w:val="none"/>
        </w:rPr>
        <w:t>(5)《环境影响评价技术导则－声环境》（HJ2.4-20</w:t>
      </w:r>
      <w:r>
        <w:rPr>
          <w:rFonts w:hint="eastAsia"/>
          <w:color w:val="auto"/>
          <w:sz w:val="24"/>
          <w:highlight w:val="none"/>
        </w:rPr>
        <w:t>21</w:t>
      </w:r>
      <w:r>
        <w:rPr>
          <w:color w:val="auto"/>
          <w:sz w:val="24"/>
          <w:highlight w:val="none"/>
        </w:rPr>
        <w:t>）；</w:t>
      </w:r>
    </w:p>
    <w:p>
      <w:pPr>
        <w:spacing w:line="480" w:lineRule="exact"/>
        <w:ind w:firstLine="480" w:firstLineChars="200"/>
        <w:rPr>
          <w:color w:val="auto"/>
          <w:sz w:val="24"/>
          <w:highlight w:val="none"/>
        </w:rPr>
      </w:pPr>
      <w:r>
        <w:rPr>
          <w:color w:val="auto"/>
          <w:sz w:val="24"/>
          <w:highlight w:val="none"/>
        </w:rPr>
        <w:t>(6)《环境影响评价技术导则－土壤环境（试行）》（HJ964-2018）；</w:t>
      </w:r>
    </w:p>
    <w:p>
      <w:pPr>
        <w:spacing w:line="480" w:lineRule="exact"/>
        <w:ind w:firstLine="480" w:firstLineChars="200"/>
        <w:rPr>
          <w:color w:val="auto"/>
          <w:sz w:val="24"/>
          <w:highlight w:val="none"/>
        </w:rPr>
      </w:pPr>
      <w:r>
        <w:rPr>
          <w:color w:val="auto"/>
          <w:sz w:val="24"/>
          <w:highlight w:val="none"/>
        </w:rPr>
        <w:t>(7)《环境影响评价技术导则－生态影响》（HJ 19-2022</w:t>
      </w:r>
      <w:r>
        <w:rPr>
          <w:rFonts w:hint="eastAsia"/>
          <w:color w:val="auto"/>
          <w:sz w:val="24"/>
          <w:highlight w:val="none"/>
          <w:lang w:eastAsia="zh-CN"/>
        </w:rPr>
        <w:t>）</w:t>
      </w:r>
      <w:r>
        <w:rPr>
          <w:color w:val="auto"/>
          <w:sz w:val="24"/>
          <w:highlight w:val="none"/>
        </w:rPr>
        <w:t>；</w:t>
      </w:r>
    </w:p>
    <w:p>
      <w:pPr>
        <w:spacing w:line="480" w:lineRule="exact"/>
        <w:ind w:firstLine="480" w:firstLineChars="200"/>
        <w:rPr>
          <w:color w:val="auto"/>
          <w:sz w:val="24"/>
          <w:highlight w:val="none"/>
        </w:rPr>
      </w:pPr>
      <w:r>
        <w:rPr>
          <w:color w:val="auto"/>
          <w:sz w:val="24"/>
          <w:highlight w:val="none"/>
        </w:rPr>
        <w:t>(8)《建设项目环境风险评价技术导则》（HJ/T 169-2018）；</w:t>
      </w:r>
    </w:p>
    <w:p>
      <w:pPr>
        <w:spacing w:line="480" w:lineRule="exact"/>
        <w:ind w:firstLine="480" w:firstLineChars="200"/>
        <w:rPr>
          <w:color w:val="auto"/>
          <w:sz w:val="24"/>
          <w:highlight w:val="none"/>
        </w:rPr>
      </w:pPr>
      <w:r>
        <w:rPr>
          <w:color w:val="auto"/>
          <w:sz w:val="24"/>
          <w:highlight w:val="none"/>
        </w:rPr>
        <w:t>(9)</w:t>
      </w:r>
      <w:r>
        <w:rPr>
          <w:rFonts w:hint="eastAsia"/>
          <w:color w:val="auto"/>
          <w:sz w:val="24"/>
          <w:highlight w:val="none"/>
        </w:rPr>
        <w:t xml:space="preserve"> 《环境影响评价技术导则 水利水电工程》（HJ/T 88-2003）；</w:t>
      </w:r>
    </w:p>
    <w:p>
      <w:pPr>
        <w:spacing w:line="480" w:lineRule="exact"/>
        <w:ind w:firstLine="480" w:firstLineChars="200"/>
        <w:rPr>
          <w:color w:val="auto"/>
          <w:sz w:val="24"/>
          <w:highlight w:val="none"/>
        </w:rPr>
      </w:pPr>
      <w:r>
        <w:rPr>
          <w:rFonts w:hint="eastAsia"/>
          <w:color w:val="auto"/>
          <w:sz w:val="24"/>
          <w:highlight w:val="none"/>
        </w:rPr>
        <w:t>(</w:t>
      </w:r>
      <w:r>
        <w:rPr>
          <w:color w:val="auto"/>
          <w:sz w:val="24"/>
          <w:highlight w:val="none"/>
        </w:rPr>
        <w:t>10</w:t>
      </w:r>
      <w:r>
        <w:rPr>
          <w:rFonts w:hint="eastAsia"/>
          <w:color w:val="auto"/>
          <w:sz w:val="24"/>
          <w:highlight w:val="none"/>
        </w:rPr>
        <w:t>)《环境影响评价技术导则生物多样性影响》（DB 45/T1577-2017）；</w:t>
      </w:r>
    </w:p>
    <w:p>
      <w:pPr>
        <w:spacing w:line="480" w:lineRule="exact"/>
        <w:ind w:firstLine="480" w:firstLineChars="200"/>
        <w:rPr>
          <w:color w:val="auto"/>
          <w:sz w:val="24"/>
          <w:highlight w:val="none"/>
        </w:rPr>
      </w:pPr>
      <w:r>
        <w:rPr>
          <w:rFonts w:hint="eastAsia"/>
          <w:color w:val="auto"/>
          <w:sz w:val="24"/>
          <w:highlight w:val="none"/>
        </w:rPr>
        <w:t>(1</w:t>
      </w:r>
      <w:r>
        <w:rPr>
          <w:color w:val="auto"/>
          <w:sz w:val="24"/>
          <w:highlight w:val="none"/>
        </w:rPr>
        <w:t>1</w:t>
      </w:r>
      <w:r>
        <w:rPr>
          <w:rFonts w:hint="eastAsia"/>
          <w:color w:val="auto"/>
          <w:sz w:val="24"/>
          <w:highlight w:val="none"/>
        </w:rPr>
        <w:t>)《江河流域规划环境影响评价规范》（SL 45-2006）；</w:t>
      </w:r>
    </w:p>
    <w:p>
      <w:pPr>
        <w:spacing w:line="480" w:lineRule="exact"/>
        <w:ind w:firstLine="480" w:firstLineChars="200"/>
        <w:rPr>
          <w:color w:val="auto"/>
          <w:sz w:val="24"/>
          <w:highlight w:val="none"/>
        </w:rPr>
      </w:pPr>
      <w:r>
        <w:rPr>
          <w:rFonts w:hint="eastAsia"/>
          <w:color w:val="auto"/>
          <w:sz w:val="24"/>
          <w:highlight w:val="none"/>
        </w:rPr>
        <w:t>(</w:t>
      </w:r>
      <w:r>
        <w:rPr>
          <w:color w:val="auto"/>
          <w:sz w:val="24"/>
          <w:highlight w:val="none"/>
        </w:rPr>
        <w:t>1</w:t>
      </w:r>
      <w:r>
        <w:rPr>
          <w:rFonts w:hint="eastAsia"/>
          <w:color w:val="auto"/>
          <w:sz w:val="24"/>
          <w:highlight w:val="none"/>
        </w:rPr>
        <w:t>2)《建设项目危险废物环境影响评</w:t>
      </w:r>
      <w:r>
        <w:rPr>
          <w:color w:val="auto"/>
          <w:sz w:val="24"/>
          <w:highlight w:val="none"/>
        </w:rPr>
        <w:t>价指南》</w:t>
      </w:r>
      <w:r>
        <w:rPr>
          <w:rFonts w:hint="eastAsia"/>
          <w:color w:val="auto"/>
          <w:sz w:val="24"/>
          <w:highlight w:val="none"/>
        </w:rPr>
        <w:t>环境保护部</w:t>
      </w:r>
      <w:r>
        <w:rPr>
          <w:color w:val="auto"/>
          <w:sz w:val="24"/>
          <w:highlight w:val="none"/>
        </w:rPr>
        <w:t>公告2017年第43号；</w:t>
      </w:r>
    </w:p>
    <w:p>
      <w:pPr>
        <w:spacing w:line="480" w:lineRule="exact"/>
        <w:ind w:firstLine="480" w:firstLineChars="200"/>
        <w:rPr>
          <w:color w:val="auto"/>
          <w:sz w:val="24"/>
          <w:highlight w:val="none"/>
        </w:rPr>
      </w:pPr>
      <w:r>
        <w:rPr>
          <w:rFonts w:hint="eastAsia"/>
          <w:color w:val="auto"/>
          <w:sz w:val="24"/>
          <w:highlight w:val="none"/>
        </w:rPr>
        <w:t>(</w:t>
      </w:r>
      <w:r>
        <w:rPr>
          <w:color w:val="auto"/>
          <w:sz w:val="24"/>
          <w:highlight w:val="none"/>
        </w:rPr>
        <w:t>13</w:t>
      </w:r>
      <w:r>
        <w:rPr>
          <w:rFonts w:hint="eastAsia"/>
          <w:color w:val="auto"/>
          <w:sz w:val="24"/>
          <w:highlight w:val="none"/>
        </w:rPr>
        <w:t>)《建设项目竣工环境保护验收技术规范 生态影响类》（HJ/T 394-2007）；</w:t>
      </w:r>
    </w:p>
    <w:p>
      <w:pPr>
        <w:spacing w:line="480" w:lineRule="exact"/>
        <w:ind w:firstLine="480" w:firstLineChars="200"/>
        <w:rPr>
          <w:color w:val="auto"/>
          <w:sz w:val="24"/>
          <w:highlight w:val="none"/>
        </w:rPr>
      </w:pPr>
      <w:r>
        <w:rPr>
          <w:rFonts w:hint="eastAsia"/>
          <w:color w:val="auto"/>
          <w:sz w:val="24"/>
          <w:highlight w:val="none"/>
        </w:rPr>
        <w:t>(</w:t>
      </w:r>
      <w:r>
        <w:rPr>
          <w:color w:val="auto"/>
          <w:sz w:val="24"/>
          <w:highlight w:val="none"/>
        </w:rPr>
        <w:t>14</w:t>
      </w:r>
      <w:r>
        <w:rPr>
          <w:rFonts w:hint="eastAsia"/>
          <w:color w:val="auto"/>
          <w:sz w:val="24"/>
          <w:highlight w:val="none"/>
        </w:rPr>
        <w:t>)《建设项目竣工环境保护验收技术规范 水利水电》（HJ 464-2009）；</w:t>
      </w:r>
    </w:p>
    <w:p>
      <w:pPr>
        <w:spacing w:line="480" w:lineRule="exact"/>
        <w:ind w:firstLine="480" w:firstLineChars="200"/>
        <w:rPr>
          <w:color w:val="auto"/>
          <w:sz w:val="24"/>
          <w:highlight w:val="none"/>
        </w:rPr>
      </w:pPr>
      <w:r>
        <w:rPr>
          <w:rFonts w:hint="eastAsia"/>
          <w:color w:val="auto"/>
          <w:sz w:val="24"/>
          <w:highlight w:val="none"/>
        </w:rPr>
        <w:t>(</w:t>
      </w:r>
      <w:r>
        <w:rPr>
          <w:color w:val="auto"/>
          <w:sz w:val="24"/>
          <w:highlight w:val="none"/>
        </w:rPr>
        <w:t>1</w:t>
      </w:r>
      <w:r>
        <w:rPr>
          <w:rFonts w:hint="eastAsia"/>
          <w:color w:val="auto"/>
          <w:sz w:val="24"/>
          <w:highlight w:val="none"/>
        </w:rPr>
        <w:t>5)《河湖生态环境需水计算规范》（SL/T 712-2021）；</w:t>
      </w:r>
    </w:p>
    <w:p>
      <w:pPr>
        <w:pStyle w:val="309"/>
        <w:rPr>
          <w:color w:val="auto"/>
          <w:highlight w:val="none"/>
        </w:rPr>
      </w:pPr>
      <w:r>
        <w:rPr>
          <w:rFonts w:ascii="Times New Roman" w:hAnsi="Times New Roman"/>
          <w:color w:val="auto"/>
          <w:highlight w:val="none"/>
        </w:rPr>
        <w:t>(16)《水利</w:t>
      </w:r>
      <w:r>
        <w:rPr>
          <w:color w:val="auto"/>
          <w:highlight w:val="none"/>
        </w:rPr>
        <w:t>水电工程水文计算规范》</w:t>
      </w:r>
      <w:r>
        <w:rPr>
          <w:rFonts w:hint="eastAsia" w:ascii="Times New Roman" w:hAnsi="Times New Roman" w:eastAsia="宋体" w:cs="Times New Roman"/>
          <w:color w:val="auto"/>
          <w:kern w:val="2"/>
          <w:sz w:val="24"/>
          <w:szCs w:val="24"/>
          <w:highlight w:val="none"/>
          <w:lang w:val="en-US" w:eastAsia="zh-CN" w:bidi="ar-SA"/>
        </w:rPr>
        <w:t>（SL/T278-2020）</w:t>
      </w:r>
      <w:r>
        <w:rPr>
          <w:color w:val="auto"/>
          <w:highlight w:val="none"/>
        </w:rPr>
        <w:t>；</w:t>
      </w:r>
    </w:p>
    <w:p>
      <w:pPr>
        <w:spacing w:line="480" w:lineRule="exact"/>
        <w:ind w:firstLine="480" w:firstLineChars="200"/>
        <w:rPr>
          <w:rFonts w:hint="eastAsia"/>
          <w:color w:val="auto"/>
          <w:sz w:val="24"/>
          <w:highlight w:val="none"/>
        </w:rPr>
      </w:pPr>
      <w:r>
        <w:rPr>
          <w:rFonts w:hint="eastAsia"/>
          <w:color w:val="auto"/>
          <w:sz w:val="24"/>
          <w:highlight w:val="none"/>
        </w:rPr>
        <w:t>(17)《地表水资源质量评价技术规程》（SL395-2007）。</w:t>
      </w:r>
    </w:p>
    <w:p>
      <w:pPr>
        <w:spacing w:line="480" w:lineRule="exact"/>
        <w:ind w:firstLine="480" w:firstLineChars="200"/>
        <w:rPr>
          <w:rFonts w:hint="eastAsia"/>
          <w:color w:val="auto"/>
          <w:sz w:val="24"/>
          <w:highlight w:val="none"/>
          <w:lang w:val="en-US" w:eastAsia="zh-CN"/>
        </w:rPr>
      </w:pPr>
      <w:r>
        <w:rPr>
          <w:rFonts w:hint="eastAsia"/>
          <w:color w:val="auto"/>
          <w:sz w:val="24"/>
          <w:highlight w:val="none"/>
          <w:lang w:val="en-US" w:eastAsia="zh-CN"/>
        </w:rPr>
        <w:t>(18)《危险废物贮存污染控制标准》（GB18597-2023）</w:t>
      </w:r>
    </w:p>
    <w:p>
      <w:pPr>
        <w:spacing w:line="480" w:lineRule="exact"/>
        <w:ind w:firstLine="480" w:firstLineChars="200"/>
        <w:rPr>
          <w:rFonts w:hint="default"/>
          <w:color w:val="auto"/>
          <w:sz w:val="24"/>
          <w:highlight w:val="none"/>
          <w:lang w:val="en-US" w:eastAsia="zh-CN"/>
        </w:rPr>
      </w:pPr>
      <w:r>
        <w:rPr>
          <w:rFonts w:hint="eastAsia"/>
          <w:color w:val="auto"/>
          <w:sz w:val="24"/>
          <w:highlight w:val="none"/>
          <w:lang w:val="en-US" w:eastAsia="zh-CN"/>
        </w:rPr>
        <w:t>(19)《唐山市水文手册》</w:t>
      </w:r>
    </w:p>
    <w:p>
      <w:pPr>
        <w:tabs>
          <w:tab w:val="center" w:pos="4505"/>
        </w:tabs>
        <w:autoSpaceDE w:val="0"/>
        <w:autoSpaceDN w:val="0"/>
        <w:adjustRightInd w:val="0"/>
        <w:spacing w:line="480" w:lineRule="exact"/>
        <w:jc w:val="left"/>
        <w:rPr>
          <w:b/>
          <w:color w:val="auto"/>
          <w:kern w:val="0"/>
          <w:sz w:val="24"/>
          <w:highlight w:val="none"/>
          <w:lang w:val="zh-CN"/>
        </w:rPr>
      </w:pPr>
      <w:r>
        <w:rPr>
          <w:rFonts w:hint="eastAsia"/>
          <w:b/>
          <w:bCs/>
          <w:color w:val="auto"/>
          <w:sz w:val="24"/>
          <w:highlight w:val="none"/>
        </w:rPr>
        <w:t>1</w:t>
      </w:r>
      <w:r>
        <w:rPr>
          <w:b/>
          <w:bCs/>
          <w:color w:val="auto"/>
          <w:sz w:val="24"/>
          <w:highlight w:val="none"/>
        </w:rPr>
        <w:t xml:space="preserve">.2.4 </w:t>
      </w:r>
      <w:r>
        <w:rPr>
          <w:rFonts w:hint="eastAsia"/>
          <w:b/>
          <w:bCs/>
          <w:color w:val="auto"/>
          <w:sz w:val="24"/>
          <w:highlight w:val="none"/>
        </w:rPr>
        <w:t>批复文件及有关资料</w:t>
      </w:r>
    </w:p>
    <w:p>
      <w:pPr>
        <w:spacing w:line="480" w:lineRule="exact"/>
        <w:ind w:firstLine="480" w:firstLineChars="200"/>
        <w:rPr>
          <w:snapToGrid w:val="0"/>
          <w:color w:val="auto"/>
          <w:kern w:val="0"/>
          <w:sz w:val="24"/>
          <w:highlight w:val="none"/>
        </w:rPr>
      </w:pPr>
      <w:r>
        <w:rPr>
          <w:snapToGrid w:val="0"/>
          <w:color w:val="auto"/>
          <w:kern w:val="0"/>
          <w:sz w:val="24"/>
          <w:highlight w:val="none"/>
        </w:rPr>
        <w:t>（1）土地证。</w:t>
      </w:r>
    </w:p>
    <w:p>
      <w:pPr>
        <w:spacing w:line="480" w:lineRule="exact"/>
        <w:ind w:firstLine="480" w:firstLineChars="200"/>
        <w:rPr>
          <w:snapToGrid w:val="0"/>
          <w:color w:val="auto"/>
          <w:kern w:val="0"/>
          <w:sz w:val="24"/>
          <w:highlight w:val="none"/>
        </w:rPr>
      </w:pPr>
      <w:r>
        <w:rPr>
          <w:snapToGrid w:val="0"/>
          <w:color w:val="auto"/>
          <w:kern w:val="0"/>
          <w:sz w:val="24"/>
          <w:highlight w:val="none"/>
        </w:rPr>
        <w:t>（2）河北省水利厅《</w:t>
      </w:r>
      <w:r>
        <w:rPr>
          <w:rFonts w:hint="eastAsia"/>
          <w:snapToGrid w:val="0"/>
          <w:color w:val="auto"/>
          <w:kern w:val="0"/>
          <w:sz w:val="24"/>
          <w:highlight w:val="none"/>
        </w:rPr>
        <w:t>关于同意遵化市黎河四级水电站工程通过竣工验收并正式投入生产运行的通知</w:t>
      </w:r>
      <w:r>
        <w:rPr>
          <w:snapToGrid w:val="0"/>
          <w:color w:val="auto"/>
          <w:kern w:val="0"/>
          <w:sz w:val="24"/>
          <w:highlight w:val="none"/>
        </w:rPr>
        <w:t>》（冀水电[201</w:t>
      </w:r>
      <w:r>
        <w:rPr>
          <w:rFonts w:hint="eastAsia"/>
          <w:snapToGrid w:val="0"/>
          <w:color w:val="auto"/>
          <w:kern w:val="0"/>
          <w:sz w:val="24"/>
          <w:highlight w:val="none"/>
          <w:lang w:val="en-US" w:eastAsia="zh-CN"/>
        </w:rPr>
        <w:t>2</w:t>
      </w:r>
      <w:r>
        <w:rPr>
          <w:snapToGrid w:val="0"/>
          <w:color w:val="auto"/>
          <w:kern w:val="0"/>
          <w:sz w:val="24"/>
          <w:highlight w:val="none"/>
        </w:rPr>
        <w:t>]2</w:t>
      </w:r>
      <w:r>
        <w:rPr>
          <w:rFonts w:hint="eastAsia"/>
          <w:snapToGrid w:val="0"/>
          <w:color w:val="auto"/>
          <w:kern w:val="0"/>
          <w:sz w:val="24"/>
          <w:highlight w:val="none"/>
          <w:lang w:val="en-US" w:eastAsia="zh-CN"/>
        </w:rPr>
        <w:t>7</w:t>
      </w:r>
      <w:r>
        <w:rPr>
          <w:snapToGrid w:val="0"/>
          <w:color w:val="auto"/>
          <w:kern w:val="0"/>
          <w:sz w:val="24"/>
          <w:highlight w:val="none"/>
        </w:rPr>
        <w:t>号）。</w:t>
      </w:r>
    </w:p>
    <w:p>
      <w:pPr>
        <w:spacing w:line="480" w:lineRule="exact"/>
        <w:ind w:firstLine="480" w:firstLineChars="200"/>
        <w:rPr>
          <w:snapToGrid w:val="0"/>
          <w:color w:val="auto"/>
          <w:kern w:val="0"/>
          <w:sz w:val="24"/>
          <w:highlight w:val="none"/>
        </w:rPr>
      </w:pPr>
      <w:r>
        <w:rPr>
          <w:snapToGrid w:val="0"/>
          <w:color w:val="auto"/>
          <w:kern w:val="0"/>
          <w:sz w:val="24"/>
          <w:highlight w:val="none"/>
        </w:rPr>
        <w:t>（3）</w:t>
      </w:r>
      <w:r>
        <w:rPr>
          <w:rFonts w:hint="eastAsia"/>
          <w:snapToGrid w:val="0"/>
          <w:color w:val="auto"/>
          <w:kern w:val="0"/>
          <w:sz w:val="24"/>
          <w:highlight w:val="none"/>
        </w:rPr>
        <w:t>遵化市黎河四级水电站</w:t>
      </w:r>
      <w:r>
        <w:rPr>
          <w:snapToGrid w:val="0"/>
          <w:color w:val="auto"/>
          <w:kern w:val="0"/>
          <w:sz w:val="24"/>
          <w:highlight w:val="none"/>
        </w:rPr>
        <w:t>工程竣工验收鉴定书。</w:t>
      </w:r>
    </w:p>
    <w:p>
      <w:pPr>
        <w:spacing w:line="480" w:lineRule="exact"/>
        <w:ind w:firstLine="480" w:firstLineChars="200"/>
        <w:rPr>
          <w:snapToGrid w:val="0"/>
          <w:color w:val="auto"/>
          <w:kern w:val="0"/>
          <w:sz w:val="24"/>
          <w:highlight w:val="none"/>
        </w:rPr>
      </w:pPr>
      <w:r>
        <w:rPr>
          <w:snapToGrid w:val="0"/>
          <w:color w:val="auto"/>
          <w:kern w:val="0"/>
          <w:sz w:val="24"/>
          <w:highlight w:val="none"/>
        </w:rPr>
        <w:t>（4）</w:t>
      </w:r>
      <w:r>
        <w:rPr>
          <w:rFonts w:hint="eastAsia"/>
          <w:snapToGrid w:val="0"/>
          <w:color w:val="auto"/>
          <w:kern w:val="0"/>
          <w:sz w:val="24"/>
          <w:highlight w:val="none"/>
        </w:rPr>
        <w:t>遵化市黎河四级水电站</w:t>
      </w:r>
      <w:r>
        <w:rPr>
          <w:snapToGrid w:val="0"/>
          <w:color w:val="auto"/>
          <w:kern w:val="0"/>
          <w:sz w:val="24"/>
          <w:highlight w:val="none"/>
        </w:rPr>
        <w:t>工程竣工验收的验收组名单及验收意见。</w:t>
      </w:r>
    </w:p>
    <w:p>
      <w:pPr>
        <w:spacing w:line="480" w:lineRule="exact"/>
        <w:ind w:firstLine="480" w:firstLineChars="200"/>
        <w:rPr>
          <w:snapToGrid w:val="0"/>
          <w:color w:val="auto"/>
          <w:kern w:val="0"/>
          <w:sz w:val="24"/>
          <w:highlight w:val="none"/>
        </w:rPr>
      </w:pPr>
      <w:r>
        <w:rPr>
          <w:snapToGrid w:val="0"/>
          <w:color w:val="auto"/>
          <w:kern w:val="0"/>
          <w:sz w:val="24"/>
          <w:highlight w:val="none"/>
        </w:rPr>
        <w:t>（5）《</w:t>
      </w:r>
      <w:r>
        <w:rPr>
          <w:rFonts w:hint="eastAsia"/>
          <w:snapToGrid w:val="0"/>
          <w:color w:val="auto"/>
          <w:kern w:val="0"/>
          <w:sz w:val="24"/>
          <w:highlight w:val="none"/>
        </w:rPr>
        <w:t>遵化市黎河四级水电站</w:t>
      </w:r>
      <w:r>
        <w:rPr>
          <w:snapToGrid w:val="0"/>
          <w:color w:val="auto"/>
          <w:kern w:val="0"/>
          <w:sz w:val="24"/>
          <w:highlight w:val="none"/>
        </w:rPr>
        <w:t>工程初步验收工作报告》。</w:t>
      </w:r>
    </w:p>
    <w:p>
      <w:pPr>
        <w:spacing w:line="480" w:lineRule="exact"/>
        <w:ind w:firstLine="480" w:firstLineChars="200"/>
        <w:rPr>
          <w:snapToGrid w:val="0"/>
          <w:color w:val="auto"/>
          <w:kern w:val="0"/>
          <w:sz w:val="24"/>
          <w:highlight w:val="none"/>
        </w:rPr>
      </w:pPr>
      <w:r>
        <w:rPr>
          <w:snapToGrid w:val="0"/>
          <w:color w:val="auto"/>
          <w:kern w:val="0"/>
          <w:sz w:val="24"/>
          <w:highlight w:val="none"/>
        </w:rPr>
        <w:t>（6）《</w:t>
      </w:r>
      <w:r>
        <w:rPr>
          <w:rFonts w:hint="eastAsia"/>
          <w:snapToGrid w:val="0"/>
          <w:color w:val="auto"/>
          <w:kern w:val="0"/>
          <w:sz w:val="24"/>
          <w:highlight w:val="none"/>
        </w:rPr>
        <w:t>遵化市黎河四级水电站</w:t>
      </w:r>
      <w:r>
        <w:rPr>
          <w:snapToGrid w:val="0"/>
          <w:color w:val="auto"/>
          <w:kern w:val="0"/>
          <w:sz w:val="24"/>
          <w:highlight w:val="none"/>
        </w:rPr>
        <w:t>开工报告》。</w:t>
      </w:r>
    </w:p>
    <w:p>
      <w:pPr>
        <w:spacing w:line="480" w:lineRule="exact"/>
        <w:ind w:firstLine="480" w:firstLineChars="200"/>
        <w:rPr>
          <w:snapToGrid w:val="0"/>
          <w:color w:val="auto"/>
          <w:kern w:val="0"/>
          <w:sz w:val="24"/>
          <w:highlight w:val="none"/>
        </w:rPr>
      </w:pPr>
      <w:r>
        <w:rPr>
          <w:snapToGrid w:val="0"/>
          <w:color w:val="auto"/>
          <w:kern w:val="0"/>
          <w:sz w:val="24"/>
          <w:highlight w:val="none"/>
        </w:rPr>
        <w:t>（7）河北省水利厅《</w:t>
      </w:r>
      <w:r>
        <w:rPr>
          <w:rFonts w:hint="eastAsia"/>
          <w:snapToGrid w:val="0"/>
          <w:color w:val="auto"/>
          <w:kern w:val="0"/>
          <w:sz w:val="24"/>
          <w:highlight w:val="none"/>
        </w:rPr>
        <w:t>关于遵化市黎河第四~七级水电站可行性研究综合报告的批复</w:t>
      </w:r>
      <w:r>
        <w:rPr>
          <w:snapToGrid w:val="0"/>
          <w:color w:val="auto"/>
          <w:kern w:val="0"/>
          <w:sz w:val="24"/>
          <w:highlight w:val="none"/>
        </w:rPr>
        <w:t>》（冀水电[199</w:t>
      </w:r>
      <w:r>
        <w:rPr>
          <w:rFonts w:hint="eastAsia"/>
          <w:snapToGrid w:val="0"/>
          <w:color w:val="auto"/>
          <w:kern w:val="0"/>
          <w:sz w:val="24"/>
          <w:highlight w:val="none"/>
          <w:lang w:val="en-US" w:eastAsia="zh-CN"/>
        </w:rPr>
        <w:t>9</w:t>
      </w:r>
      <w:r>
        <w:rPr>
          <w:snapToGrid w:val="0"/>
          <w:color w:val="auto"/>
          <w:kern w:val="0"/>
          <w:sz w:val="24"/>
          <w:highlight w:val="none"/>
        </w:rPr>
        <w:t>]</w:t>
      </w:r>
      <w:r>
        <w:rPr>
          <w:rFonts w:hint="eastAsia"/>
          <w:snapToGrid w:val="0"/>
          <w:color w:val="auto"/>
          <w:kern w:val="0"/>
          <w:sz w:val="24"/>
          <w:highlight w:val="none"/>
          <w:lang w:val="en-US" w:eastAsia="zh-CN"/>
        </w:rPr>
        <w:t>5</w:t>
      </w:r>
      <w:r>
        <w:rPr>
          <w:snapToGrid w:val="0"/>
          <w:color w:val="auto"/>
          <w:kern w:val="0"/>
          <w:sz w:val="24"/>
          <w:highlight w:val="none"/>
        </w:rPr>
        <w:t>号）。</w:t>
      </w:r>
    </w:p>
    <w:p>
      <w:pPr>
        <w:spacing w:line="480" w:lineRule="exact"/>
        <w:ind w:firstLine="480" w:firstLineChars="200"/>
        <w:rPr>
          <w:snapToGrid w:val="0"/>
          <w:color w:val="auto"/>
          <w:kern w:val="0"/>
          <w:sz w:val="24"/>
          <w:highlight w:val="none"/>
        </w:rPr>
      </w:pPr>
      <w:r>
        <w:rPr>
          <w:snapToGrid w:val="0"/>
          <w:color w:val="auto"/>
          <w:kern w:val="0"/>
          <w:sz w:val="24"/>
          <w:highlight w:val="none"/>
        </w:rPr>
        <w:t>（8）河北省水利厅《关于</w:t>
      </w:r>
      <w:r>
        <w:rPr>
          <w:rFonts w:hint="eastAsia"/>
          <w:snapToGrid w:val="0"/>
          <w:color w:val="000000" w:themeColor="text1"/>
          <w:kern w:val="0"/>
          <w:sz w:val="24"/>
          <w:highlight w:val="none"/>
          <w14:textFill>
            <w14:solidFill>
              <w14:schemeClr w14:val="tx1"/>
            </w14:solidFill>
          </w14:textFill>
        </w:rPr>
        <w:t>遵化市黎河四级水电站</w:t>
      </w:r>
      <w:r>
        <w:rPr>
          <w:snapToGrid w:val="0"/>
          <w:color w:val="auto"/>
          <w:kern w:val="0"/>
          <w:sz w:val="24"/>
          <w:highlight w:val="none"/>
        </w:rPr>
        <w:t>初步设计报告的批复》（冀水电[</w:t>
      </w:r>
      <w:r>
        <w:rPr>
          <w:rFonts w:hint="eastAsia"/>
          <w:snapToGrid w:val="0"/>
          <w:color w:val="auto"/>
          <w:kern w:val="0"/>
          <w:sz w:val="24"/>
          <w:highlight w:val="none"/>
          <w:lang w:val="en-US" w:eastAsia="zh-CN"/>
        </w:rPr>
        <w:t>2004</w:t>
      </w:r>
      <w:r>
        <w:rPr>
          <w:snapToGrid w:val="0"/>
          <w:color w:val="auto"/>
          <w:kern w:val="0"/>
          <w:sz w:val="24"/>
          <w:highlight w:val="none"/>
        </w:rPr>
        <w:t>]</w:t>
      </w:r>
      <w:r>
        <w:rPr>
          <w:rFonts w:hint="eastAsia"/>
          <w:snapToGrid w:val="0"/>
          <w:color w:val="auto"/>
          <w:kern w:val="0"/>
          <w:sz w:val="24"/>
          <w:highlight w:val="none"/>
          <w:lang w:val="en-US" w:eastAsia="zh-CN"/>
        </w:rPr>
        <w:t>52</w:t>
      </w:r>
      <w:r>
        <w:rPr>
          <w:snapToGrid w:val="0"/>
          <w:color w:val="auto"/>
          <w:kern w:val="0"/>
          <w:sz w:val="24"/>
          <w:highlight w:val="none"/>
        </w:rPr>
        <w:t>号）。</w:t>
      </w:r>
    </w:p>
    <w:p>
      <w:pPr>
        <w:spacing w:line="480" w:lineRule="exact"/>
        <w:ind w:firstLine="480" w:firstLineChars="200"/>
        <w:rPr>
          <w:snapToGrid w:val="0"/>
          <w:color w:val="auto"/>
          <w:kern w:val="0"/>
          <w:sz w:val="24"/>
          <w:highlight w:val="none"/>
        </w:rPr>
      </w:pPr>
      <w:bookmarkStart w:id="487" w:name="_GoBack"/>
      <w:bookmarkEnd w:id="487"/>
    </w:p>
    <w:p>
      <w:pPr>
        <w:spacing w:line="480" w:lineRule="exact"/>
        <w:ind w:firstLine="480" w:firstLineChars="200"/>
        <w:rPr>
          <w:snapToGrid w:val="0"/>
          <w:color w:val="auto"/>
          <w:kern w:val="0"/>
          <w:sz w:val="24"/>
          <w:highlight w:val="none"/>
        </w:rPr>
      </w:pPr>
      <w:r>
        <w:rPr>
          <w:snapToGrid w:val="0"/>
          <w:color w:val="auto"/>
          <w:kern w:val="0"/>
          <w:sz w:val="24"/>
          <w:highlight w:val="none"/>
        </w:rPr>
        <w:t>（</w:t>
      </w:r>
      <w:r>
        <w:rPr>
          <w:rFonts w:hint="eastAsia"/>
          <w:snapToGrid w:val="0"/>
          <w:color w:val="auto"/>
          <w:kern w:val="0"/>
          <w:sz w:val="24"/>
          <w:highlight w:val="none"/>
          <w:lang w:val="en-US" w:eastAsia="zh-CN"/>
        </w:rPr>
        <w:t>9</w:t>
      </w:r>
      <w:r>
        <w:rPr>
          <w:snapToGrid w:val="0"/>
          <w:color w:val="auto"/>
          <w:kern w:val="0"/>
          <w:sz w:val="24"/>
          <w:highlight w:val="none"/>
        </w:rPr>
        <w:t>）河北省水利厅《</w:t>
      </w:r>
      <w:r>
        <w:rPr>
          <w:rFonts w:hint="eastAsia"/>
          <w:snapToGrid w:val="0"/>
          <w:color w:val="auto"/>
          <w:kern w:val="0"/>
          <w:sz w:val="24"/>
          <w:highlight w:val="none"/>
        </w:rPr>
        <w:t>关于遵化市黎河四级水电站修改初步设计的批复</w:t>
      </w:r>
      <w:r>
        <w:rPr>
          <w:snapToGrid w:val="0"/>
          <w:color w:val="auto"/>
          <w:kern w:val="0"/>
          <w:sz w:val="24"/>
          <w:highlight w:val="none"/>
        </w:rPr>
        <w:t>》。</w:t>
      </w:r>
    </w:p>
    <w:p>
      <w:pPr>
        <w:spacing w:line="480" w:lineRule="exact"/>
        <w:ind w:firstLine="480" w:firstLineChars="200"/>
        <w:rPr>
          <w:snapToGrid w:val="0"/>
          <w:color w:val="auto"/>
          <w:kern w:val="0"/>
          <w:sz w:val="24"/>
          <w:highlight w:val="none"/>
        </w:rPr>
      </w:pPr>
      <w:r>
        <w:rPr>
          <w:snapToGrid w:val="0"/>
          <w:color w:val="auto"/>
          <w:kern w:val="0"/>
          <w:sz w:val="24"/>
          <w:highlight w:val="none"/>
        </w:rPr>
        <w:t>（1</w:t>
      </w:r>
      <w:r>
        <w:rPr>
          <w:rFonts w:hint="eastAsia"/>
          <w:snapToGrid w:val="0"/>
          <w:color w:val="auto"/>
          <w:kern w:val="0"/>
          <w:sz w:val="24"/>
          <w:highlight w:val="none"/>
          <w:lang w:val="en-US" w:eastAsia="zh-CN"/>
        </w:rPr>
        <w:t>0</w:t>
      </w:r>
      <w:r>
        <w:rPr>
          <w:snapToGrid w:val="0"/>
          <w:color w:val="auto"/>
          <w:kern w:val="0"/>
          <w:sz w:val="24"/>
          <w:highlight w:val="none"/>
        </w:rPr>
        <w:t>）《关于</w:t>
      </w:r>
      <w:r>
        <w:rPr>
          <w:rFonts w:hint="eastAsia"/>
          <w:snapToGrid w:val="0"/>
          <w:color w:val="auto"/>
          <w:kern w:val="0"/>
          <w:sz w:val="24"/>
          <w:highlight w:val="none"/>
        </w:rPr>
        <w:t>昌明水力发电</w:t>
      </w:r>
      <w:r>
        <w:rPr>
          <w:snapToGrid w:val="0"/>
          <w:color w:val="auto"/>
          <w:kern w:val="0"/>
          <w:sz w:val="24"/>
          <w:highlight w:val="none"/>
        </w:rPr>
        <w:t>站初步设计的报告》（唐水管字[1997]062号）。</w:t>
      </w:r>
    </w:p>
    <w:p>
      <w:pPr>
        <w:spacing w:line="480" w:lineRule="exact"/>
        <w:ind w:right="28" w:firstLine="480" w:firstLineChars="200"/>
        <w:rPr>
          <w:snapToGrid w:val="0"/>
          <w:color w:val="auto"/>
          <w:kern w:val="0"/>
          <w:sz w:val="24"/>
          <w:highlight w:val="none"/>
        </w:rPr>
      </w:pPr>
      <w:r>
        <w:rPr>
          <w:snapToGrid w:val="0"/>
          <w:color w:val="auto"/>
          <w:kern w:val="0"/>
          <w:sz w:val="24"/>
          <w:highlight w:val="none"/>
        </w:rPr>
        <w:t>（1</w:t>
      </w:r>
      <w:r>
        <w:rPr>
          <w:rFonts w:hint="eastAsia"/>
          <w:snapToGrid w:val="0"/>
          <w:color w:val="auto"/>
          <w:kern w:val="0"/>
          <w:sz w:val="24"/>
          <w:highlight w:val="none"/>
          <w:lang w:val="en-US" w:eastAsia="zh-CN"/>
        </w:rPr>
        <w:t>1</w:t>
      </w:r>
      <w:r>
        <w:rPr>
          <w:snapToGrid w:val="0"/>
          <w:color w:val="auto"/>
          <w:kern w:val="0"/>
          <w:sz w:val="24"/>
          <w:highlight w:val="none"/>
        </w:rPr>
        <w:t>）现状监测报告。</w:t>
      </w:r>
    </w:p>
    <w:p>
      <w:pPr>
        <w:spacing w:line="480" w:lineRule="exact"/>
        <w:ind w:right="28" w:firstLine="480" w:firstLineChars="200"/>
        <w:rPr>
          <w:snapToGrid w:val="0"/>
          <w:color w:val="auto"/>
          <w:kern w:val="0"/>
          <w:sz w:val="24"/>
          <w:highlight w:val="none"/>
        </w:rPr>
      </w:pPr>
      <w:r>
        <w:rPr>
          <w:snapToGrid w:val="0"/>
          <w:color w:val="auto"/>
          <w:kern w:val="0"/>
          <w:sz w:val="24"/>
          <w:highlight w:val="none"/>
        </w:rPr>
        <w:t>（1</w:t>
      </w:r>
      <w:r>
        <w:rPr>
          <w:rFonts w:hint="eastAsia"/>
          <w:snapToGrid w:val="0"/>
          <w:color w:val="auto"/>
          <w:kern w:val="0"/>
          <w:sz w:val="24"/>
          <w:highlight w:val="none"/>
          <w:lang w:val="en-US" w:eastAsia="zh-CN"/>
        </w:rPr>
        <w:t>2</w:t>
      </w:r>
      <w:r>
        <w:rPr>
          <w:snapToGrid w:val="0"/>
          <w:color w:val="auto"/>
          <w:kern w:val="0"/>
          <w:sz w:val="24"/>
          <w:highlight w:val="none"/>
        </w:rPr>
        <w:t>）建设单位委托书及承诺书。</w:t>
      </w:r>
    </w:p>
    <w:p>
      <w:pPr>
        <w:spacing w:line="480" w:lineRule="exact"/>
        <w:ind w:firstLine="480" w:firstLineChars="200"/>
        <w:jc w:val="left"/>
        <w:rPr>
          <w:rFonts w:hint="eastAsia"/>
          <w:snapToGrid w:val="0"/>
          <w:color w:val="auto"/>
          <w:kern w:val="0"/>
          <w:sz w:val="24"/>
          <w:highlight w:val="none"/>
          <w:lang w:eastAsia="zh-CN"/>
        </w:rPr>
      </w:pPr>
      <w:r>
        <w:rPr>
          <w:snapToGrid w:val="0"/>
          <w:color w:val="auto"/>
          <w:kern w:val="0"/>
          <w:sz w:val="24"/>
          <w:highlight w:val="none"/>
        </w:rPr>
        <w:t>（1</w:t>
      </w:r>
      <w:r>
        <w:rPr>
          <w:rFonts w:hint="eastAsia"/>
          <w:snapToGrid w:val="0"/>
          <w:color w:val="auto"/>
          <w:kern w:val="0"/>
          <w:sz w:val="24"/>
          <w:highlight w:val="none"/>
          <w:lang w:val="en-US" w:eastAsia="zh-CN"/>
        </w:rPr>
        <w:t>3</w:t>
      </w:r>
      <w:r>
        <w:rPr>
          <w:snapToGrid w:val="0"/>
          <w:color w:val="auto"/>
          <w:kern w:val="0"/>
          <w:sz w:val="24"/>
          <w:highlight w:val="none"/>
        </w:rPr>
        <w:t>）项目有关其他附件</w:t>
      </w:r>
      <w:r>
        <w:rPr>
          <w:rFonts w:hint="eastAsia"/>
          <w:snapToGrid w:val="0"/>
          <w:color w:val="auto"/>
          <w:kern w:val="0"/>
          <w:sz w:val="24"/>
          <w:highlight w:val="none"/>
          <w:lang w:eastAsia="zh-CN"/>
        </w:rPr>
        <w:t>。</w:t>
      </w:r>
    </w:p>
    <w:p>
      <w:pPr>
        <w:spacing w:line="480" w:lineRule="exact"/>
        <w:outlineLvl w:val="1"/>
        <w:rPr>
          <w:b/>
          <w:sz w:val="24"/>
          <w:highlight w:val="none"/>
        </w:rPr>
      </w:pPr>
      <w:bookmarkStart w:id="60" w:name="_Toc774"/>
      <w:r>
        <w:rPr>
          <w:rFonts w:hint="eastAsia"/>
          <w:b/>
          <w:sz w:val="24"/>
          <w:highlight w:val="none"/>
        </w:rPr>
        <w:t>1.</w:t>
      </w:r>
      <w:r>
        <w:rPr>
          <w:rFonts w:hint="eastAsia"/>
          <w:b/>
          <w:sz w:val="24"/>
          <w:highlight w:val="none"/>
          <w:lang w:val="en-US" w:eastAsia="zh-CN"/>
        </w:rPr>
        <w:t>3</w:t>
      </w:r>
      <w:r>
        <w:rPr>
          <w:b/>
          <w:sz w:val="24"/>
          <w:highlight w:val="none"/>
        </w:rPr>
        <w:t xml:space="preserve"> 环境影响要素</w:t>
      </w:r>
      <w:r>
        <w:rPr>
          <w:rFonts w:hint="eastAsia"/>
          <w:b/>
          <w:sz w:val="24"/>
          <w:highlight w:val="none"/>
        </w:rPr>
        <w:t>识别</w:t>
      </w:r>
      <w:r>
        <w:rPr>
          <w:b/>
          <w:sz w:val="24"/>
          <w:highlight w:val="none"/>
        </w:rPr>
        <w:t>和评价因子</w:t>
      </w:r>
      <w:r>
        <w:rPr>
          <w:rFonts w:hint="eastAsia"/>
          <w:b/>
          <w:sz w:val="24"/>
          <w:highlight w:val="none"/>
        </w:rPr>
        <w:t>筛选</w:t>
      </w:r>
      <w:bookmarkEnd w:id="60"/>
    </w:p>
    <w:p>
      <w:pPr>
        <w:spacing w:line="480" w:lineRule="exact"/>
        <w:ind w:firstLine="480" w:firstLineChars="200"/>
        <w:rPr>
          <w:sz w:val="24"/>
          <w:highlight w:val="none"/>
        </w:rPr>
      </w:pPr>
      <w:r>
        <w:rPr>
          <w:rFonts w:hint="eastAsia"/>
          <w:sz w:val="24"/>
          <w:highlight w:val="none"/>
        </w:rPr>
        <w:t>（1）</w:t>
      </w:r>
      <w:r>
        <w:rPr>
          <w:sz w:val="24"/>
          <w:highlight w:val="none"/>
        </w:rPr>
        <w:t>环境影响因素识别</w:t>
      </w:r>
    </w:p>
    <w:p>
      <w:pPr>
        <w:spacing w:line="480" w:lineRule="exact"/>
        <w:ind w:firstLine="480" w:firstLineChars="200"/>
        <w:rPr>
          <w:sz w:val="24"/>
          <w:highlight w:val="none"/>
        </w:rPr>
      </w:pPr>
      <w:r>
        <w:rPr>
          <w:rFonts w:hint="eastAsia"/>
          <w:sz w:val="24"/>
          <w:highlight w:val="none"/>
        </w:rPr>
        <w:t>根据《环境影响评价技术导则—水利水电工程》（HJ/T88-2003）、《环境影响评价技术导则 生态影响》（HJ19-2022）的规定和要求，结合本工程的功能、特性和工程影响地区的环境特点，从自然环境和社会环境两方面对环境影响因子进行识别，见下表。</w:t>
      </w:r>
    </w:p>
    <w:p>
      <w:pPr>
        <w:spacing w:line="480" w:lineRule="exact"/>
        <w:jc w:val="center"/>
        <w:rPr>
          <w:b/>
          <w:sz w:val="24"/>
          <w:highlight w:val="none"/>
        </w:rPr>
      </w:pPr>
      <w:r>
        <w:rPr>
          <w:b/>
          <w:sz w:val="24"/>
          <w:highlight w:val="none"/>
        </w:rPr>
        <w:t>表</w:t>
      </w:r>
      <w:r>
        <w:rPr>
          <w:rFonts w:hint="eastAsia"/>
          <w:b/>
          <w:sz w:val="24"/>
          <w:highlight w:val="none"/>
        </w:rPr>
        <w:t>1.</w:t>
      </w:r>
      <w:r>
        <w:rPr>
          <w:rFonts w:hint="eastAsia"/>
          <w:b/>
          <w:sz w:val="24"/>
          <w:highlight w:val="none"/>
          <w:lang w:val="en-US" w:eastAsia="zh-CN"/>
        </w:rPr>
        <w:t>3</w:t>
      </w:r>
      <w:r>
        <w:rPr>
          <w:b/>
          <w:sz w:val="24"/>
          <w:highlight w:val="none"/>
        </w:rPr>
        <w:t>-1   环境影响因素识别矩阵表</w:t>
      </w:r>
    </w:p>
    <w:tbl>
      <w:tblPr>
        <w:tblStyle w:val="51"/>
        <w:tblW w:w="8039" w:type="dxa"/>
        <w:jc w:val="center"/>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Layout w:type="fixed"/>
        <w:tblCellMar>
          <w:top w:w="0" w:type="dxa"/>
          <w:left w:w="108" w:type="dxa"/>
          <w:bottom w:w="0" w:type="dxa"/>
          <w:right w:w="108" w:type="dxa"/>
        </w:tblCellMar>
      </w:tblPr>
      <w:tblGrid>
        <w:gridCol w:w="675"/>
        <w:gridCol w:w="2064"/>
        <w:gridCol w:w="1248"/>
        <w:gridCol w:w="842"/>
        <w:gridCol w:w="1406"/>
        <w:gridCol w:w="1797"/>
        <w:gridCol w:w="7"/>
      </w:tblGrid>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gridAfter w:val="1"/>
          <w:wAfter w:w="7" w:type="dxa"/>
          <w:trHeight w:val="255" w:hRule="atLeast"/>
          <w:jc w:val="center"/>
        </w:trPr>
        <w:tc>
          <w:tcPr>
            <w:tcW w:w="2739" w:type="dxa"/>
            <w:gridSpan w:val="2"/>
            <w:vMerge w:val="restart"/>
            <w:tcBorders>
              <w:tl2br w:val="single" w:color="auto" w:sz="4" w:space="0"/>
            </w:tcBorders>
            <w:vAlign w:val="center"/>
          </w:tcPr>
          <w:p>
            <w:pPr>
              <w:spacing w:line="300" w:lineRule="exact"/>
              <w:ind w:firstLine="480"/>
              <w:jc w:val="center"/>
              <w:rPr>
                <w:caps/>
                <w:szCs w:val="21"/>
                <w:highlight w:val="none"/>
              </w:rPr>
            </w:pPr>
            <w:r>
              <w:rPr>
                <w:rFonts w:hint="eastAsia"/>
                <w:caps/>
                <w:szCs w:val="21"/>
                <w:highlight w:val="none"/>
              </w:rPr>
              <w:t xml:space="preserve"> 工程行为</w:t>
            </w:r>
          </w:p>
          <w:p>
            <w:pPr>
              <w:spacing w:line="300" w:lineRule="exact"/>
              <w:ind w:firstLine="105" w:firstLineChars="50"/>
              <w:jc w:val="left"/>
              <w:rPr>
                <w:caps/>
                <w:szCs w:val="21"/>
                <w:highlight w:val="none"/>
              </w:rPr>
            </w:pPr>
            <w:r>
              <w:rPr>
                <w:rFonts w:hint="eastAsia"/>
                <w:caps/>
                <w:szCs w:val="21"/>
                <w:highlight w:val="none"/>
              </w:rPr>
              <w:t>环境资源</w:t>
            </w:r>
          </w:p>
        </w:tc>
        <w:tc>
          <w:tcPr>
            <w:tcW w:w="3496" w:type="dxa"/>
            <w:gridSpan w:val="3"/>
            <w:tcBorders>
              <w:right w:val="single" w:color="auto" w:sz="4" w:space="0"/>
            </w:tcBorders>
            <w:vAlign w:val="center"/>
          </w:tcPr>
          <w:p>
            <w:pPr>
              <w:spacing w:line="300" w:lineRule="exact"/>
              <w:jc w:val="center"/>
              <w:rPr>
                <w:caps/>
                <w:szCs w:val="21"/>
                <w:highlight w:val="none"/>
              </w:rPr>
            </w:pPr>
            <w:r>
              <w:rPr>
                <w:rFonts w:hint="eastAsia"/>
                <w:caps/>
                <w:szCs w:val="21"/>
                <w:highlight w:val="none"/>
              </w:rPr>
              <w:t>施工期</w:t>
            </w:r>
          </w:p>
        </w:tc>
        <w:tc>
          <w:tcPr>
            <w:tcW w:w="1797" w:type="dxa"/>
            <w:tcBorders>
              <w:left w:val="single" w:color="auto" w:sz="4" w:space="0"/>
            </w:tcBorders>
            <w:vAlign w:val="center"/>
          </w:tcPr>
          <w:p>
            <w:pPr>
              <w:spacing w:line="300" w:lineRule="exact"/>
              <w:jc w:val="center"/>
              <w:rPr>
                <w:caps/>
                <w:szCs w:val="21"/>
                <w:highlight w:val="none"/>
              </w:rPr>
            </w:pPr>
            <w:r>
              <w:rPr>
                <w:rFonts w:hint="eastAsia"/>
                <w:caps/>
                <w:szCs w:val="21"/>
                <w:highlight w:val="none"/>
              </w:rPr>
              <w:t>运营期</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255" w:hRule="atLeast"/>
          <w:jc w:val="center"/>
        </w:trPr>
        <w:tc>
          <w:tcPr>
            <w:tcW w:w="2739" w:type="dxa"/>
            <w:gridSpan w:val="2"/>
            <w:vMerge w:val="continue"/>
            <w:vAlign w:val="center"/>
          </w:tcPr>
          <w:p>
            <w:pPr>
              <w:spacing w:line="300" w:lineRule="exact"/>
              <w:jc w:val="center"/>
              <w:rPr>
                <w:szCs w:val="21"/>
                <w:highlight w:val="none"/>
              </w:rPr>
            </w:pPr>
          </w:p>
        </w:tc>
        <w:tc>
          <w:tcPr>
            <w:tcW w:w="1248" w:type="dxa"/>
            <w:vAlign w:val="center"/>
          </w:tcPr>
          <w:p>
            <w:pPr>
              <w:spacing w:line="300" w:lineRule="exact"/>
              <w:jc w:val="center"/>
              <w:rPr>
                <w:szCs w:val="21"/>
                <w:highlight w:val="none"/>
              </w:rPr>
            </w:pPr>
            <w:r>
              <w:rPr>
                <w:rFonts w:hint="eastAsia"/>
                <w:szCs w:val="21"/>
                <w:highlight w:val="none"/>
              </w:rPr>
              <w:t>占地</w:t>
            </w:r>
          </w:p>
        </w:tc>
        <w:tc>
          <w:tcPr>
            <w:tcW w:w="842" w:type="dxa"/>
            <w:vAlign w:val="center"/>
          </w:tcPr>
          <w:p>
            <w:pPr>
              <w:spacing w:line="300" w:lineRule="exact"/>
              <w:jc w:val="center"/>
              <w:rPr>
                <w:spacing w:val="-10"/>
                <w:szCs w:val="21"/>
                <w:highlight w:val="none"/>
              </w:rPr>
            </w:pPr>
            <w:r>
              <w:rPr>
                <w:rFonts w:hint="eastAsia"/>
                <w:spacing w:val="-10"/>
                <w:szCs w:val="21"/>
                <w:highlight w:val="none"/>
              </w:rPr>
              <w:t>挖填方</w:t>
            </w:r>
          </w:p>
        </w:tc>
        <w:tc>
          <w:tcPr>
            <w:tcW w:w="1406" w:type="dxa"/>
            <w:tcBorders>
              <w:right w:val="single" w:color="auto" w:sz="4" w:space="0"/>
            </w:tcBorders>
            <w:vAlign w:val="center"/>
          </w:tcPr>
          <w:p>
            <w:pPr>
              <w:spacing w:line="300" w:lineRule="exact"/>
              <w:jc w:val="center"/>
              <w:rPr>
                <w:szCs w:val="21"/>
                <w:highlight w:val="none"/>
              </w:rPr>
            </w:pPr>
            <w:r>
              <w:rPr>
                <w:rFonts w:hint="eastAsia"/>
                <w:szCs w:val="21"/>
                <w:highlight w:val="none"/>
              </w:rPr>
              <w:t>施工作业</w:t>
            </w:r>
          </w:p>
        </w:tc>
        <w:tc>
          <w:tcPr>
            <w:tcW w:w="1804" w:type="dxa"/>
            <w:gridSpan w:val="2"/>
            <w:tcBorders>
              <w:left w:val="single" w:color="auto" w:sz="4" w:space="0"/>
            </w:tcBorders>
            <w:vAlign w:val="center"/>
          </w:tcPr>
          <w:p>
            <w:pPr>
              <w:spacing w:line="300" w:lineRule="exact"/>
              <w:jc w:val="center"/>
              <w:rPr>
                <w:szCs w:val="21"/>
                <w:highlight w:val="none"/>
              </w:rPr>
            </w:pPr>
            <w:r>
              <w:rPr>
                <w:rFonts w:hint="eastAsia"/>
                <w:szCs w:val="21"/>
                <w:highlight w:val="none"/>
              </w:rPr>
              <w:t>电站运行</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255" w:hRule="atLeast"/>
          <w:jc w:val="center"/>
        </w:trPr>
        <w:tc>
          <w:tcPr>
            <w:tcW w:w="675" w:type="dxa"/>
            <w:vMerge w:val="restart"/>
            <w:vAlign w:val="center"/>
          </w:tcPr>
          <w:p>
            <w:pPr>
              <w:spacing w:line="300" w:lineRule="exact"/>
              <w:jc w:val="center"/>
              <w:rPr>
                <w:szCs w:val="21"/>
                <w:highlight w:val="none"/>
              </w:rPr>
            </w:pPr>
            <w:r>
              <w:rPr>
                <w:rFonts w:hint="eastAsia"/>
                <w:szCs w:val="21"/>
                <w:highlight w:val="none"/>
              </w:rPr>
              <w:t>生态环境</w:t>
            </w:r>
          </w:p>
        </w:tc>
        <w:tc>
          <w:tcPr>
            <w:tcW w:w="2064" w:type="dxa"/>
            <w:vAlign w:val="center"/>
          </w:tcPr>
          <w:p>
            <w:pPr>
              <w:spacing w:line="300" w:lineRule="exact"/>
              <w:jc w:val="center"/>
              <w:rPr>
                <w:szCs w:val="21"/>
                <w:highlight w:val="none"/>
              </w:rPr>
            </w:pPr>
            <w:r>
              <w:rPr>
                <w:rFonts w:hint="eastAsia"/>
                <w:szCs w:val="21"/>
                <w:highlight w:val="none"/>
              </w:rPr>
              <w:t>土地利用</w:t>
            </w:r>
          </w:p>
        </w:tc>
        <w:tc>
          <w:tcPr>
            <w:tcW w:w="1248" w:type="dxa"/>
            <w:vAlign w:val="center"/>
          </w:tcPr>
          <w:p>
            <w:pPr>
              <w:spacing w:line="300" w:lineRule="exact"/>
              <w:jc w:val="center"/>
              <w:rPr>
                <w:szCs w:val="21"/>
                <w:highlight w:val="none"/>
              </w:rPr>
            </w:pPr>
            <w:r>
              <w:rPr>
                <w:rFonts w:hint="eastAsia"/>
                <w:szCs w:val="21"/>
                <w:highlight w:val="none"/>
              </w:rPr>
              <w:t>●</w:t>
            </w:r>
          </w:p>
        </w:tc>
        <w:tc>
          <w:tcPr>
            <w:tcW w:w="842" w:type="dxa"/>
            <w:vAlign w:val="center"/>
          </w:tcPr>
          <w:p>
            <w:pPr>
              <w:spacing w:line="300" w:lineRule="exact"/>
              <w:jc w:val="center"/>
              <w:rPr>
                <w:b/>
                <w:szCs w:val="21"/>
                <w:highlight w:val="none"/>
              </w:rPr>
            </w:pPr>
            <w:r>
              <w:rPr>
                <w:rFonts w:hint="eastAsia"/>
                <w:b/>
                <w:szCs w:val="21"/>
                <w:highlight w:val="none"/>
              </w:rPr>
              <w:t>/</w:t>
            </w:r>
          </w:p>
        </w:tc>
        <w:tc>
          <w:tcPr>
            <w:tcW w:w="1406" w:type="dxa"/>
            <w:tcBorders>
              <w:right w:val="single" w:color="auto" w:sz="4" w:space="0"/>
            </w:tcBorders>
            <w:vAlign w:val="center"/>
          </w:tcPr>
          <w:p>
            <w:pPr>
              <w:spacing w:line="300" w:lineRule="exact"/>
              <w:jc w:val="center"/>
              <w:rPr>
                <w:b/>
                <w:szCs w:val="21"/>
                <w:highlight w:val="none"/>
              </w:rPr>
            </w:pPr>
            <w:r>
              <w:rPr>
                <w:rFonts w:hint="eastAsia"/>
                <w:b/>
                <w:szCs w:val="21"/>
                <w:highlight w:val="none"/>
              </w:rPr>
              <w:t>/</w:t>
            </w:r>
          </w:p>
        </w:tc>
        <w:tc>
          <w:tcPr>
            <w:tcW w:w="1804" w:type="dxa"/>
            <w:gridSpan w:val="2"/>
            <w:tcBorders>
              <w:left w:val="single" w:color="auto" w:sz="4" w:space="0"/>
            </w:tcBorders>
            <w:vAlign w:val="center"/>
          </w:tcPr>
          <w:p>
            <w:pPr>
              <w:spacing w:line="300" w:lineRule="exact"/>
              <w:jc w:val="center"/>
              <w:rPr>
                <w:szCs w:val="21"/>
                <w:highlight w:val="none"/>
              </w:rPr>
            </w:pPr>
            <w:r>
              <w:rPr>
                <w:rFonts w:hint="eastAsia"/>
                <w:szCs w:val="21"/>
                <w:highlight w:val="none"/>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255" w:hRule="atLeast"/>
          <w:jc w:val="center"/>
        </w:trPr>
        <w:tc>
          <w:tcPr>
            <w:tcW w:w="675" w:type="dxa"/>
            <w:vMerge w:val="continue"/>
            <w:vAlign w:val="center"/>
          </w:tcPr>
          <w:p>
            <w:pPr>
              <w:spacing w:line="300" w:lineRule="exact"/>
              <w:jc w:val="center"/>
              <w:rPr>
                <w:szCs w:val="21"/>
                <w:highlight w:val="none"/>
              </w:rPr>
            </w:pPr>
          </w:p>
        </w:tc>
        <w:tc>
          <w:tcPr>
            <w:tcW w:w="2064" w:type="dxa"/>
            <w:vAlign w:val="center"/>
          </w:tcPr>
          <w:p>
            <w:pPr>
              <w:spacing w:line="300" w:lineRule="exact"/>
              <w:jc w:val="center"/>
              <w:rPr>
                <w:szCs w:val="21"/>
                <w:highlight w:val="none"/>
              </w:rPr>
            </w:pPr>
            <w:r>
              <w:rPr>
                <w:rFonts w:hint="eastAsia"/>
                <w:szCs w:val="21"/>
                <w:highlight w:val="none"/>
              </w:rPr>
              <w:t>水土保持</w:t>
            </w:r>
          </w:p>
        </w:tc>
        <w:tc>
          <w:tcPr>
            <w:tcW w:w="1248" w:type="dxa"/>
            <w:vAlign w:val="center"/>
          </w:tcPr>
          <w:p>
            <w:pPr>
              <w:spacing w:line="300" w:lineRule="exact"/>
              <w:jc w:val="center"/>
              <w:rPr>
                <w:szCs w:val="21"/>
                <w:highlight w:val="none"/>
              </w:rPr>
            </w:pPr>
            <w:r>
              <w:rPr>
                <w:rFonts w:hint="eastAsia"/>
                <w:szCs w:val="21"/>
                <w:highlight w:val="none"/>
              </w:rPr>
              <w:t>/</w:t>
            </w:r>
          </w:p>
        </w:tc>
        <w:tc>
          <w:tcPr>
            <w:tcW w:w="842" w:type="dxa"/>
            <w:vAlign w:val="center"/>
          </w:tcPr>
          <w:p>
            <w:pPr>
              <w:spacing w:line="300" w:lineRule="exact"/>
              <w:jc w:val="center"/>
              <w:rPr>
                <w:szCs w:val="21"/>
                <w:highlight w:val="none"/>
              </w:rPr>
            </w:pPr>
            <w:r>
              <w:rPr>
                <w:rFonts w:hint="eastAsia"/>
                <w:szCs w:val="21"/>
                <w:highlight w:val="none"/>
              </w:rPr>
              <w:t>●</w:t>
            </w:r>
          </w:p>
        </w:tc>
        <w:tc>
          <w:tcPr>
            <w:tcW w:w="1406" w:type="dxa"/>
            <w:vAlign w:val="center"/>
          </w:tcPr>
          <w:p>
            <w:pPr>
              <w:spacing w:line="300" w:lineRule="exact"/>
              <w:jc w:val="center"/>
              <w:rPr>
                <w:szCs w:val="21"/>
                <w:highlight w:val="none"/>
              </w:rPr>
            </w:pPr>
            <w:r>
              <w:rPr>
                <w:rFonts w:hint="eastAsia"/>
                <w:szCs w:val="21"/>
                <w:highlight w:val="none"/>
              </w:rPr>
              <w:t>●</w:t>
            </w:r>
          </w:p>
        </w:tc>
        <w:tc>
          <w:tcPr>
            <w:tcW w:w="1804" w:type="dxa"/>
            <w:gridSpan w:val="2"/>
            <w:vAlign w:val="center"/>
          </w:tcPr>
          <w:p>
            <w:pPr>
              <w:spacing w:line="300" w:lineRule="exact"/>
              <w:jc w:val="center"/>
              <w:rPr>
                <w:szCs w:val="21"/>
                <w:highlight w:val="none"/>
              </w:rPr>
            </w:pPr>
            <w:r>
              <w:rPr>
                <w:rFonts w:hint="eastAsia"/>
                <w:szCs w:val="21"/>
                <w:highlight w:val="none"/>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255" w:hRule="atLeast"/>
          <w:jc w:val="center"/>
        </w:trPr>
        <w:tc>
          <w:tcPr>
            <w:tcW w:w="675" w:type="dxa"/>
            <w:vMerge w:val="continue"/>
            <w:vAlign w:val="center"/>
          </w:tcPr>
          <w:p>
            <w:pPr>
              <w:spacing w:line="300" w:lineRule="exact"/>
              <w:jc w:val="center"/>
              <w:rPr>
                <w:szCs w:val="21"/>
                <w:highlight w:val="none"/>
              </w:rPr>
            </w:pPr>
          </w:p>
        </w:tc>
        <w:tc>
          <w:tcPr>
            <w:tcW w:w="2064" w:type="dxa"/>
            <w:vAlign w:val="center"/>
          </w:tcPr>
          <w:p>
            <w:pPr>
              <w:spacing w:line="300" w:lineRule="exact"/>
              <w:jc w:val="center"/>
              <w:rPr>
                <w:szCs w:val="21"/>
                <w:highlight w:val="none"/>
              </w:rPr>
            </w:pPr>
            <w:r>
              <w:rPr>
                <w:rFonts w:hint="eastAsia"/>
                <w:szCs w:val="21"/>
                <w:highlight w:val="none"/>
              </w:rPr>
              <w:t>陆域动植物</w:t>
            </w:r>
          </w:p>
        </w:tc>
        <w:tc>
          <w:tcPr>
            <w:tcW w:w="1248" w:type="dxa"/>
            <w:vAlign w:val="center"/>
          </w:tcPr>
          <w:p>
            <w:pPr>
              <w:spacing w:line="300" w:lineRule="exact"/>
              <w:jc w:val="center"/>
              <w:rPr>
                <w:szCs w:val="21"/>
                <w:highlight w:val="none"/>
              </w:rPr>
            </w:pPr>
            <w:r>
              <w:rPr>
                <w:rFonts w:hint="eastAsia"/>
                <w:szCs w:val="21"/>
                <w:highlight w:val="none"/>
              </w:rPr>
              <w:t>●</w:t>
            </w:r>
          </w:p>
        </w:tc>
        <w:tc>
          <w:tcPr>
            <w:tcW w:w="842" w:type="dxa"/>
            <w:vAlign w:val="center"/>
          </w:tcPr>
          <w:p>
            <w:pPr>
              <w:spacing w:line="300" w:lineRule="exact"/>
              <w:jc w:val="center"/>
              <w:rPr>
                <w:szCs w:val="21"/>
                <w:highlight w:val="none"/>
              </w:rPr>
            </w:pPr>
            <w:r>
              <w:rPr>
                <w:rFonts w:hint="eastAsia"/>
                <w:szCs w:val="21"/>
                <w:highlight w:val="none"/>
              </w:rPr>
              <w:t>●</w:t>
            </w:r>
          </w:p>
        </w:tc>
        <w:tc>
          <w:tcPr>
            <w:tcW w:w="1406" w:type="dxa"/>
            <w:vAlign w:val="center"/>
          </w:tcPr>
          <w:p>
            <w:pPr>
              <w:spacing w:line="300" w:lineRule="exact"/>
              <w:jc w:val="center"/>
              <w:rPr>
                <w:szCs w:val="21"/>
                <w:highlight w:val="none"/>
              </w:rPr>
            </w:pPr>
            <w:r>
              <w:rPr>
                <w:rFonts w:hint="eastAsia"/>
                <w:szCs w:val="21"/>
                <w:highlight w:val="none"/>
              </w:rPr>
              <w:t>●</w:t>
            </w:r>
          </w:p>
        </w:tc>
        <w:tc>
          <w:tcPr>
            <w:tcW w:w="1804" w:type="dxa"/>
            <w:gridSpan w:val="2"/>
            <w:vAlign w:val="center"/>
          </w:tcPr>
          <w:p>
            <w:pPr>
              <w:spacing w:line="300" w:lineRule="exact"/>
              <w:jc w:val="center"/>
              <w:rPr>
                <w:szCs w:val="21"/>
                <w:highlight w:val="none"/>
              </w:rPr>
            </w:pPr>
            <w:r>
              <w:rPr>
                <w:rFonts w:hint="eastAsia"/>
                <w:szCs w:val="21"/>
                <w:highlight w:val="none"/>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255" w:hRule="atLeast"/>
          <w:jc w:val="center"/>
        </w:trPr>
        <w:tc>
          <w:tcPr>
            <w:tcW w:w="675" w:type="dxa"/>
            <w:vMerge w:val="continue"/>
            <w:vAlign w:val="center"/>
          </w:tcPr>
          <w:p>
            <w:pPr>
              <w:spacing w:line="300" w:lineRule="exact"/>
              <w:jc w:val="center"/>
              <w:rPr>
                <w:szCs w:val="21"/>
                <w:highlight w:val="none"/>
              </w:rPr>
            </w:pPr>
          </w:p>
        </w:tc>
        <w:tc>
          <w:tcPr>
            <w:tcW w:w="2064" w:type="dxa"/>
            <w:vAlign w:val="center"/>
          </w:tcPr>
          <w:p>
            <w:pPr>
              <w:spacing w:line="300" w:lineRule="exact"/>
              <w:jc w:val="center"/>
              <w:rPr>
                <w:szCs w:val="21"/>
                <w:highlight w:val="none"/>
              </w:rPr>
            </w:pPr>
            <w:r>
              <w:rPr>
                <w:rFonts w:hint="eastAsia"/>
                <w:szCs w:val="21"/>
                <w:highlight w:val="none"/>
              </w:rPr>
              <w:t>水生、鱼类资源</w:t>
            </w:r>
          </w:p>
        </w:tc>
        <w:tc>
          <w:tcPr>
            <w:tcW w:w="1248" w:type="dxa"/>
            <w:vAlign w:val="center"/>
          </w:tcPr>
          <w:p>
            <w:pPr>
              <w:spacing w:line="300" w:lineRule="exact"/>
              <w:jc w:val="center"/>
              <w:rPr>
                <w:szCs w:val="21"/>
                <w:highlight w:val="none"/>
              </w:rPr>
            </w:pPr>
            <w:r>
              <w:rPr>
                <w:rFonts w:hint="eastAsia"/>
                <w:szCs w:val="21"/>
                <w:highlight w:val="none"/>
              </w:rPr>
              <w:t>/</w:t>
            </w:r>
          </w:p>
        </w:tc>
        <w:tc>
          <w:tcPr>
            <w:tcW w:w="842" w:type="dxa"/>
            <w:vAlign w:val="center"/>
          </w:tcPr>
          <w:p>
            <w:pPr>
              <w:spacing w:line="300" w:lineRule="exact"/>
              <w:jc w:val="center"/>
              <w:rPr>
                <w:szCs w:val="21"/>
                <w:highlight w:val="none"/>
              </w:rPr>
            </w:pPr>
            <w:r>
              <w:rPr>
                <w:rFonts w:hint="eastAsia"/>
                <w:szCs w:val="21"/>
                <w:highlight w:val="none"/>
              </w:rPr>
              <w:t>/</w:t>
            </w:r>
          </w:p>
        </w:tc>
        <w:tc>
          <w:tcPr>
            <w:tcW w:w="1406" w:type="dxa"/>
            <w:vAlign w:val="center"/>
          </w:tcPr>
          <w:p>
            <w:pPr>
              <w:spacing w:line="300" w:lineRule="exact"/>
              <w:jc w:val="center"/>
              <w:rPr>
                <w:szCs w:val="21"/>
                <w:highlight w:val="none"/>
              </w:rPr>
            </w:pPr>
            <w:r>
              <w:rPr>
                <w:rFonts w:hint="eastAsia"/>
                <w:szCs w:val="21"/>
                <w:highlight w:val="none"/>
              </w:rPr>
              <w:t>/</w:t>
            </w:r>
          </w:p>
        </w:tc>
        <w:tc>
          <w:tcPr>
            <w:tcW w:w="1804" w:type="dxa"/>
            <w:gridSpan w:val="2"/>
            <w:vAlign w:val="center"/>
          </w:tcPr>
          <w:p>
            <w:pPr>
              <w:spacing w:line="300" w:lineRule="exact"/>
              <w:jc w:val="center"/>
              <w:rPr>
                <w:szCs w:val="21"/>
                <w:highlight w:val="none"/>
              </w:rPr>
            </w:pPr>
            <w:r>
              <w:rPr>
                <w:rFonts w:hint="eastAsia"/>
                <w:szCs w:val="21"/>
                <w:highlight w:val="none"/>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255" w:hRule="atLeast"/>
          <w:jc w:val="center"/>
        </w:trPr>
        <w:tc>
          <w:tcPr>
            <w:tcW w:w="675" w:type="dxa"/>
            <w:vMerge w:val="restart"/>
            <w:vAlign w:val="center"/>
          </w:tcPr>
          <w:p>
            <w:pPr>
              <w:spacing w:line="300" w:lineRule="exact"/>
              <w:jc w:val="center"/>
              <w:rPr>
                <w:szCs w:val="21"/>
                <w:highlight w:val="none"/>
              </w:rPr>
            </w:pPr>
            <w:r>
              <w:rPr>
                <w:rFonts w:hint="eastAsia"/>
                <w:szCs w:val="21"/>
                <w:highlight w:val="none"/>
              </w:rPr>
              <w:t>环境质量</w:t>
            </w:r>
          </w:p>
        </w:tc>
        <w:tc>
          <w:tcPr>
            <w:tcW w:w="2064" w:type="dxa"/>
            <w:vAlign w:val="center"/>
          </w:tcPr>
          <w:p>
            <w:pPr>
              <w:spacing w:line="300" w:lineRule="exact"/>
              <w:jc w:val="center"/>
              <w:rPr>
                <w:szCs w:val="21"/>
                <w:highlight w:val="none"/>
              </w:rPr>
            </w:pPr>
            <w:r>
              <w:rPr>
                <w:rFonts w:hint="eastAsia"/>
                <w:szCs w:val="21"/>
                <w:highlight w:val="none"/>
              </w:rPr>
              <w:t>环境空气</w:t>
            </w:r>
          </w:p>
        </w:tc>
        <w:tc>
          <w:tcPr>
            <w:tcW w:w="1248" w:type="dxa"/>
            <w:vAlign w:val="center"/>
          </w:tcPr>
          <w:p>
            <w:pPr>
              <w:spacing w:line="300" w:lineRule="exact"/>
              <w:jc w:val="center"/>
              <w:rPr>
                <w:szCs w:val="21"/>
                <w:highlight w:val="none"/>
              </w:rPr>
            </w:pPr>
            <w:r>
              <w:rPr>
                <w:rFonts w:hint="eastAsia"/>
                <w:szCs w:val="21"/>
                <w:highlight w:val="none"/>
              </w:rPr>
              <w:t>/</w:t>
            </w:r>
          </w:p>
        </w:tc>
        <w:tc>
          <w:tcPr>
            <w:tcW w:w="842" w:type="dxa"/>
            <w:vAlign w:val="center"/>
          </w:tcPr>
          <w:p>
            <w:pPr>
              <w:spacing w:line="300" w:lineRule="exact"/>
              <w:jc w:val="center"/>
              <w:rPr>
                <w:szCs w:val="21"/>
                <w:highlight w:val="none"/>
              </w:rPr>
            </w:pPr>
            <w:r>
              <w:rPr>
                <w:rFonts w:hint="eastAsia"/>
                <w:szCs w:val="21"/>
                <w:highlight w:val="none"/>
              </w:rPr>
              <w:t>●</w:t>
            </w:r>
          </w:p>
        </w:tc>
        <w:tc>
          <w:tcPr>
            <w:tcW w:w="1406" w:type="dxa"/>
            <w:vAlign w:val="center"/>
          </w:tcPr>
          <w:p>
            <w:pPr>
              <w:spacing w:line="300" w:lineRule="exact"/>
              <w:jc w:val="center"/>
              <w:rPr>
                <w:szCs w:val="21"/>
                <w:highlight w:val="none"/>
              </w:rPr>
            </w:pPr>
            <w:r>
              <w:rPr>
                <w:rFonts w:hint="eastAsia"/>
                <w:szCs w:val="21"/>
                <w:highlight w:val="none"/>
              </w:rPr>
              <w:t>●</w:t>
            </w:r>
          </w:p>
        </w:tc>
        <w:tc>
          <w:tcPr>
            <w:tcW w:w="1804" w:type="dxa"/>
            <w:gridSpan w:val="2"/>
            <w:vAlign w:val="center"/>
          </w:tcPr>
          <w:p>
            <w:pPr>
              <w:spacing w:line="300" w:lineRule="exact"/>
              <w:jc w:val="center"/>
              <w:rPr>
                <w:szCs w:val="21"/>
                <w:highlight w:val="none"/>
              </w:rPr>
            </w:pPr>
            <w:r>
              <w:rPr>
                <w:rFonts w:hint="eastAsia"/>
                <w:szCs w:val="21"/>
                <w:highlight w:val="none"/>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255" w:hRule="atLeast"/>
          <w:jc w:val="center"/>
        </w:trPr>
        <w:tc>
          <w:tcPr>
            <w:tcW w:w="675" w:type="dxa"/>
            <w:vMerge w:val="continue"/>
            <w:vAlign w:val="center"/>
          </w:tcPr>
          <w:p>
            <w:pPr>
              <w:spacing w:line="300" w:lineRule="exact"/>
              <w:jc w:val="center"/>
              <w:rPr>
                <w:szCs w:val="21"/>
                <w:highlight w:val="none"/>
              </w:rPr>
            </w:pPr>
          </w:p>
        </w:tc>
        <w:tc>
          <w:tcPr>
            <w:tcW w:w="2064" w:type="dxa"/>
            <w:vAlign w:val="center"/>
          </w:tcPr>
          <w:p>
            <w:pPr>
              <w:spacing w:line="300" w:lineRule="exact"/>
              <w:jc w:val="center"/>
              <w:rPr>
                <w:szCs w:val="21"/>
                <w:highlight w:val="none"/>
              </w:rPr>
            </w:pPr>
            <w:r>
              <w:rPr>
                <w:rFonts w:hint="eastAsia"/>
                <w:szCs w:val="21"/>
                <w:highlight w:val="none"/>
              </w:rPr>
              <w:t>地表水环境</w:t>
            </w:r>
          </w:p>
        </w:tc>
        <w:tc>
          <w:tcPr>
            <w:tcW w:w="1248" w:type="dxa"/>
            <w:vAlign w:val="center"/>
          </w:tcPr>
          <w:p>
            <w:pPr>
              <w:spacing w:line="300" w:lineRule="exact"/>
              <w:jc w:val="center"/>
              <w:rPr>
                <w:szCs w:val="21"/>
                <w:highlight w:val="none"/>
              </w:rPr>
            </w:pPr>
            <w:r>
              <w:rPr>
                <w:rFonts w:hint="eastAsia"/>
                <w:szCs w:val="21"/>
                <w:highlight w:val="none"/>
              </w:rPr>
              <w:t>/</w:t>
            </w:r>
          </w:p>
        </w:tc>
        <w:tc>
          <w:tcPr>
            <w:tcW w:w="842" w:type="dxa"/>
            <w:vAlign w:val="center"/>
          </w:tcPr>
          <w:p>
            <w:pPr>
              <w:spacing w:line="300" w:lineRule="exact"/>
              <w:jc w:val="center"/>
              <w:rPr>
                <w:szCs w:val="21"/>
                <w:highlight w:val="none"/>
              </w:rPr>
            </w:pPr>
            <w:r>
              <w:rPr>
                <w:rFonts w:hint="eastAsia"/>
                <w:szCs w:val="21"/>
                <w:highlight w:val="none"/>
              </w:rPr>
              <w:t>/</w:t>
            </w:r>
          </w:p>
        </w:tc>
        <w:tc>
          <w:tcPr>
            <w:tcW w:w="1406" w:type="dxa"/>
            <w:vAlign w:val="center"/>
          </w:tcPr>
          <w:p>
            <w:pPr>
              <w:spacing w:line="300" w:lineRule="exact"/>
              <w:jc w:val="center"/>
              <w:rPr>
                <w:szCs w:val="21"/>
                <w:highlight w:val="none"/>
              </w:rPr>
            </w:pPr>
            <w:r>
              <w:rPr>
                <w:rFonts w:hint="eastAsia"/>
                <w:szCs w:val="21"/>
                <w:highlight w:val="none"/>
              </w:rPr>
              <w:t>●</w:t>
            </w:r>
          </w:p>
        </w:tc>
        <w:tc>
          <w:tcPr>
            <w:tcW w:w="1804" w:type="dxa"/>
            <w:gridSpan w:val="2"/>
            <w:vAlign w:val="center"/>
          </w:tcPr>
          <w:p>
            <w:pPr>
              <w:spacing w:line="300" w:lineRule="exact"/>
              <w:jc w:val="center"/>
              <w:rPr>
                <w:b/>
                <w:szCs w:val="21"/>
                <w:highlight w:val="none"/>
              </w:rPr>
            </w:pPr>
            <w:r>
              <w:rPr>
                <w:rFonts w:hint="eastAsia"/>
                <w:b/>
                <w:szCs w:val="21"/>
                <w:highlight w:val="none"/>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255" w:hRule="atLeast"/>
          <w:jc w:val="center"/>
        </w:trPr>
        <w:tc>
          <w:tcPr>
            <w:tcW w:w="675" w:type="dxa"/>
            <w:vMerge w:val="continue"/>
            <w:vAlign w:val="center"/>
          </w:tcPr>
          <w:p>
            <w:pPr>
              <w:spacing w:line="300" w:lineRule="exact"/>
              <w:jc w:val="center"/>
              <w:rPr>
                <w:szCs w:val="21"/>
                <w:highlight w:val="none"/>
              </w:rPr>
            </w:pPr>
          </w:p>
        </w:tc>
        <w:tc>
          <w:tcPr>
            <w:tcW w:w="2064" w:type="dxa"/>
            <w:vAlign w:val="center"/>
          </w:tcPr>
          <w:p>
            <w:pPr>
              <w:spacing w:line="300" w:lineRule="exact"/>
              <w:jc w:val="center"/>
              <w:rPr>
                <w:szCs w:val="21"/>
                <w:highlight w:val="none"/>
              </w:rPr>
            </w:pPr>
            <w:r>
              <w:rPr>
                <w:rFonts w:hint="eastAsia"/>
                <w:szCs w:val="21"/>
                <w:highlight w:val="none"/>
              </w:rPr>
              <w:t>地下水环境</w:t>
            </w:r>
          </w:p>
        </w:tc>
        <w:tc>
          <w:tcPr>
            <w:tcW w:w="1248" w:type="dxa"/>
            <w:vAlign w:val="center"/>
          </w:tcPr>
          <w:p>
            <w:pPr>
              <w:spacing w:line="300" w:lineRule="exact"/>
              <w:jc w:val="center"/>
              <w:rPr>
                <w:szCs w:val="21"/>
                <w:highlight w:val="none"/>
              </w:rPr>
            </w:pPr>
            <w:r>
              <w:rPr>
                <w:rFonts w:hint="eastAsia"/>
                <w:szCs w:val="21"/>
                <w:highlight w:val="none"/>
              </w:rPr>
              <w:t>/</w:t>
            </w:r>
          </w:p>
        </w:tc>
        <w:tc>
          <w:tcPr>
            <w:tcW w:w="842" w:type="dxa"/>
            <w:vAlign w:val="center"/>
          </w:tcPr>
          <w:p>
            <w:pPr>
              <w:spacing w:line="300" w:lineRule="exact"/>
              <w:jc w:val="center"/>
              <w:rPr>
                <w:szCs w:val="21"/>
                <w:highlight w:val="none"/>
              </w:rPr>
            </w:pPr>
            <w:r>
              <w:rPr>
                <w:rFonts w:hint="eastAsia"/>
                <w:szCs w:val="21"/>
                <w:highlight w:val="none"/>
              </w:rPr>
              <w:t>●</w:t>
            </w:r>
          </w:p>
        </w:tc>
        <w:tc>
          <w:tcPr>
            <w:tcW w:w="1406" w:type="dxa"/>
            <w:vAlign w:val="center"/>
          </w:tcPr>
          <w:p>
            <w:pPr>
              <w:spacing w:line="300" w:lineRule="exact"/>
              <w:jc w:val="center"/>
              <w:rPr>
                <w:szCs w:val="21"/>
                <w:highlight w:val="none"/>
              </w:rPr>
            </w:pPr>
            <w:r>
              <w:rPr>
                <w:rFonts w:hint="eastAsia"/>
                <w:szCs w:val="21"/>
                <w:highlight w:val="none"/>
              </w:rPr>
              <w:t>●</w:t>
            </w:r>
          </w:p>
        </w:tc>
        <w:tc>
          <w:tcPr>
            <w:tcW w:w="1804" w:type="dxa"/>
            <w:gridSpan w:val="2"/>
            <w:vAlign w:val="center"/>
          </w:tcPr>
          <w:p>
            <w:pPr>
              <w:spacing w:line="300" w:lineRule="exact"/>
              <w:jc w:val="center"/>
              <w:rPr>
                <w:b/>
                <w:szCs w:val="21"/>
                <w:highlight w:val="none"/>
              </w:rPr>
            </w:pPr>
            <w:r>
              <w:rPr>
                <w:rFonts w:hint="eastAsia"/>
                <w:b/>
                <w:szCs w:val="21"/>
                <w:highlight w:val="none"/>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255" w:hRule="atLeast"/>
          <w:jc w:val="center"/>
        </w:trPr>
        <w:tc>
          <w:tcPr>
            <w:tcW w:w="675" w:type="dxa"/>
            <w:vMerge w:val="continue"/>
            <w:vAlign w:val="center"/>
          </w:tcPr>
          <w:p>
            <w:pPr>
              <w:spacing w:line="300" w:lineRule="exact"/>
              <w:jc w:val="center"/>
              <w:rPr>
                <w:szCs w:val="21"/>
                <w:highlight w:val="none"/>
              </w:rPr>
            </w:pPr>
          </w:p>
        </w:tc>
        <w:tc>
          <w:tcPr>
            <w:tcW w:w="2064" w:type="dxa"/>
            <w:vAlign w:val="center"/>
          </w:tcPr>
          <w:p>
            <w:pPr>
              <w:spacing w:line="300" w:lineRule="exact"/>
              <w:jc w:val="center"/>
              <w:rPr>
                <w:szCs w:val="21"/>
                <w:highlight w:val="none"/>
              </w:rPr>
            </w:pPr>
            <w:r>
              <w:rPr>
                <w:rFonts w:hint="eastAsia"/>
                <w:szCs w:val="21"/>
                <w:highlight w:val="none"/>
              </w:rPr>
              <w:t>声环境</w:t>
            </w:r>
          </w:p>
        </w:tc>
        <w:tc>
          <w:tcPr>
            <w:tcW w:w="1248" w:type="dxa"/>
            <w:vAlign w:val="center"/>
          </w:tcPr>
          <w:p>
            <w:pPr>
              <w:spacing w:line="300" w:lineRule="exact"/>
              <w:jc w:val="center"/>
              <w:rPr>
                <w:szCs w:val="21"/>
                <w:highlight w:val="none"/>
              </w:rPr>
            </w:pPr>
            <w:r>
              <w:rPr>
                <w:rFonts w:hint="eastAsia"/>
                <w:szCs w:val="21"/>
                <w:highlight w:val="none"/>
              </w:rPr>
              <w:t>/</w:t>
            </w:r>
          </w:p>
        </w:tc>
        <w:tc>
          <w:tcPr>
            <w:tcW w:w="842" w:type="dxa"/>
            <w:vAlign w:val="center"/>
          </w:tcPr>
          <w:p>
            <w:pPr>
              <w:spacing w:line="300" w:lineRule="exact"/>
              <w:jc w:val="center"/>
              <w:rPr>
                <w:szCs w:val="21"/>
                <w:highlight w:val="none"/>
              </w:rPr>
            </w:pPr>
            <w:r>
              <w:rPr>
                <w:rFonts w:hint="eastAsia"/>
                <w:szCs w:val="21"/>
                <w:highlight w:val="none"/>
              </w:rPr>
              <w:t>●</w:t>
            </w:r>
          </w:p>
        </w:tc>
        <w:tc>
          <w:tcPr>
            <w:tcW w:w="1406" w:type="dxa"/>
            <w:vAlign w:val="center"/>
          </w:tcPr>
          <w:p>
            <w:pPr>
              <w:spacing w:line="300" w:lineRule="exact"/>
              <w:jc w:val="center"/>
              <w:rPr>
                <w:szCs w:val="21"/>
                <w:highlight w:val="none"/>
              </w:rPr>
            </w:pPr>
            <w:r>
              <w:rPr>
                <w:rFonts w:hint="eastAsia"/>
                <w:szCs w:val="21"/>
                <w:highlight w:val="none"/>
              </w:rPr>
              <w:t>●</w:t>
            </w:r>
          </w:p>
        </w:tc>
        <w:tc>
          <w:tcPr>
            <w:tcW w:w="1804" w:type="dxa"/>
            <w:gridSpan w:val="2"/>
            <w:vAlign w:val="center"/>
          </w:tcPr>
          <w:p>
            <w:pPr>
              <w:spacing w:line="300" w:lineRule="exact"/>
              <w:jc w:val="center"/>
              <w:rPr>
                <w:szCs w:val="21"/>
                <w:highlight w:val="none"/>
              </w:rPr>
            </w:pPr>
            <w:r>
              <w:rPr>
                <w:rFonts w:hint="eastAsia"/>
                <w:szCs w:val="21"/>
                <w:highlight w:val="none"/>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255" w:hRule="atLeast"/>
          <w:jc w:val="center"/>
        </w:trPr>
        <w:tc>
          <w:tcPr>
            <w:tcW w:w="675" w:type="dxa"/>
            <w:vMerge w:val="continue"/>
            <w:vAlign w:val="center"/>
          </w:tcPr>
          <w:p>
            <w:pPr>
              <w:spacing w:line="300" w:lineRule="exact"/>
              <w:jc w:val="center"/>
              <w:rPr>
                <w:szCs w:val="21"/>
                <w:highlight w:val="none"/>
              </w:rPr>
            </w:pPr>
          </w:p>
        </w:tc>
        <w:tc>
          <w:tcPr>
            <w:tcW w:w="2064" w:type="dxa"/>
            <w:vAlign w:val="center"/>
          </w:tcPr>
          <w:p>
            <w:pPr>
              <w:spacing w:line="300" w:lineRule="exact"/>
              <w:jc w:val="center"/>
              <w:rPr>
                <w:szCs w:val="21"/>
                <w:highlight w:val="none"/>
              </w:rPr>
            </w:pPr>
            <w:r>
              <w:rPr>
                <w:rFonts w:hint="eastAsia"/>
                <w:szCs w:val="21"/>
                <w:highlight w:val="none"/>
              </w:rPr>
              <w:t>固体废物</w:t>
            </w:r>
          </w:p>
        </w:tc>
        <w:tc>
          <w:tcPr>
            <w:tcW w:w="1248" w:type="dxa"/>
            <w:vAlign w:val="center"/>
          </w:tcPr>
          <w:p>
            <w:pPr>
              <w:spacing w:line="300" w:lineRule="exact"/>
              <w:jc w:val="center"/>
              <w:rPr>
                <w:szCs w:val="21"/>
                <w:highlight w:val="none"/>
              </w:rPr>
            </w:pPr>
            <w:r>
              <w:rPr>
                <w:rFonts w:hint="eastAsia"/>
                <w:szCs w:val="21"/>
                <w:highlight w:val="none"/>
              </w:rPr>
              <w:t>/</w:t>
            </w:r>
          </w:p>
        </w:tc>
        <w:tc>
          <w:tcPr>
            <w:tcW w:w="842" w:type="dxa"/>
            <w:vAlign w:val="center"/>
          </w:tcPr>
          <w:p>
            <w:pPr>
              <w:spacing w:line="300" w:lineRule="exact"/>
              <w:jc w:val="center"/>
              <w:rPr>
                <w:szCs w:val="21"/>
                <w:highlight w:val="none"/>
              </w:rPr>
            </w:pPr>
            <w:r>
              <w:rPr>
                <w:rFonts w:hint="eastAsia"/>
                <w:szCs w:val="21"/>
                <w:highlight w:val="none"/>
              </w:rPr>
              <w:t>●</w:t>
            </w:r>
          </w:p>
        </w:tc>
        <w:tc>
          <w:tcPr>
            <w:tcW w:w="1406" w:type="dxa"/>
            <w:vAlign w:val="center"/>
          </w:tcPr>
          <w:p>
            <w:pPr>
              <w:spacing w:line="300" w:lineRule="exact"/>
              <w:jc w:val="center"/>
              <w:rPr>
                <w:szCs w:val="21"/>
                <w:highlight w:val="none"/>
              </w:rPr>
            </w:pPr>
            <w:r>
              <w:rPr>
                <w:rFonts w:hint="eastAsia"/>
                <w:szCs w:val="21"/>
                <w:highlight w:val="none"/>
              </w:rPr>
              <w:t>●</w:t>
            </w:r>
          </w:p>
        </w:tc>
        <w:tc>
          <w:tcPr>
            <w:tcW w:w="1804" w:type="dxa"/>
            <w:gridSpan w:val="2"/>
            <w:vAlign w:val="center"/>
          </w:tcPr>
          <w:p>
            <w:pPr>
              <w:spacing w:line="300" w:lineRule="exact"/>
              <w:jc w:val="center"/>
              <w:rPr>
                <w:szCs w:val="21"/>
                <w:highlight w:val="none"/>
              </w:rPr>
            </w:pPr>
            <w:r>
              <w:rPr>
                <w:rFonts w:hint="eastAsia"/>
                <w:szCs w:val="21"/>
                <w:highlight w:val="none"/>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255" w:hRule="atLeast"/>
          <w:jc w:val="center"/>
        </w:trPr>
        <w:tc>
          <w:tcPr>
            <w:tcW w:w="675" w:type="dxa"/>
            <w:vMerge w:val="continue"/>
            <w:vAlign w:val="center"/>
          </w:tcPr>
          <w:p>
            <w:pPr>
              <w:spacing w:line="300" w:lineRule="exact"/>
              <w:jc w:val="center"/>
              <w:rPr>
                <w:szCs w:val="21"/>
                <w:highlight w:val="none"/>
              </w:rPr>
            </w:pPr>
          </w:p>
        </w:tc>
        <w:tc>
          <w:tcPr>
            <w:tcW w:w="2064" w:type="dxa"/>
            <w:vAlign w:val="center"/>
          </w:tcPr>
          <w:p>
            <w:pPr>
              <w:spacing w:line="300" w:lineRule="exact"/>
              <w:jc w:val="center"/>
              <w:rPr>
                <w:szCs w:val="21"/>
                <w:highlight w:val="none"/>
              </w:rPr>
            </w:pPr>
            <w:r>
              <w:rPr>
                <w:rFonts w:hint="eastAsia"/>
                <w:szCs w:val="21"/>
                <w:highlight w:val="none"/>
              </w:rPr>
              <w:t>土壤</w:t>
            </w:r>
          </w:p>
        </w:tc>
        <w:tc>
          <w:tcPr>
            <w:tcW w:w="1248" w:type="dxa"/>
            <w:vAlign w:val="center"/>
          </w:tcPr>
          <w:p>
            <w:pPr>
              <w:spacing w:line="300" w:lineRule="exact"/>
              <w:jc w:val="center"/>
              <w:rPr>
                <w:szCs w:val="21"/>
                <w:highlight w:val="none"/>
              </w:rPr>
            </w:pPr>
            <w:r>
              <w:rPr>
                <w:rFonts w:hint="eastAsia"/>
                <w:szCs w:val="21"/>
                <w:highlight w:val="none"/>
              </w:rPr>
              <w:t>/</w:t>
            </w:r>
          </w:p>
        </w:tc>
        <w:tc>
          <w:tcPr>
            <w:tcW w:w="842" w:type="dxa"/>
            <w:vAlign w:val="center"/>
          </w:tcPr>
          <w:p>
            <w:pPr>
              <w:spacing w:line="300" w:lineRule="exact"/>
              <w:jc w:val="center"/>
              <w:rPr>
                <w:szCs w:val="21"/>
                <w:highlight w:val="none"/>
              </w:rPr>
            </w:pPr>
            <w:r>
              <w:rPr>
                <w:rFonts w:hint="eastAsia"/>
                <w:szCs w:val="21"/>
                <w:highlight w:val="none"/>
              </w:rPr>
              <w:t>●</w:t>
            </w:r>
          </w:p>
        </w:tc>
        <w:tc>
          <w:tcPr>
            <w:tcW w:w="1406" w:type="dxa"/>
            <w:vAlign w:val="center"/>
          </w:tcPr>
          <w:p>
            <w:pPr>
              <w:spacing w:line="300" w:lineRule="exact"/>
              <w:jc w:val="center"/>
              <w:rPr>
                <w:szCs w:val="21"/>
                <w:highlight w:val="none"/>
              </w:rPr>
            </w:pPr>
            <w:r>
              <w:rPr>
                <w:rFonts w:hint="eastAsia"/>
                <w:szCs w:val="21"/>
                <w:highlight w:val="none"/>
              </w:rPr>
              <w:t>●</w:t>
            </w:r>
          </w:p>
        </w:tc>
        <w:tc>
          <w:tcPr>
            <w:tcW w:w="1804" w:type="dxa"/>
            <w:gridSpan w:val="2"/>
            <w:vAlign w:val="center"/>
          </w:tcPr>
          <w:p>
            <w:pPr>
              <w:spacing w:line="300" w:lineRule="exact"/>
              <w:jc w:val="center"/>
              <w:rPr>
                <w:b/>
                <w:szCs w:val="21"/>
                <w:highlight w:val="none"/>
              </w:rPr>
            </w:pPr>
            <w:r>
              <w:rPr>
                <w:rFonts w:hint="eastAsia"/>
                <w:b/>
                <w:szCs w:val="21"/>
                <w:highlight w:val="none"/>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735" w:hRule="atLeast"/>
          <w:jc w:val="center"/>
        </w:trPr>
        <w:tc>
          <w:tcPr>
            <w:tcW w:w="8039" w:type="dxa"/>
            <w:gridSpan w:val="7"/>
            <w:vAlign w:val="center"/>
          </w:tcPr>
          <w:p>
            <w:pPr>
              <w:spacing w:line="300" w:lineRule="exact"/>
              <w:rPr>
                <w:highlight w:val="none"/>
              </w:rPr>
            </w:pPr>
            <w:r>
              <w:rPr>
                <w:rFonts w:hint="eastAsia"/>
                <w:highlight w:val="none"/>
              </w:rPr>
              <w:t>注：●表示正常情况下的污染因子；○表示事故风险时可能出现的污染因子；</w:t>
            </w:r>
          </w:p>
          <w:p>
            <w:pPr>
              <w:spacing w:line="300" w:lineRule="exact"/>
              <w:rPr>
                <w:highlight w:val="none"/>
              </w:rPr>
            </w:pPr>
            <w:r>
              <w:rPr>
                <w:rFonts w:hint="eastAsia"/>
                <w:highlight w:val="none"/>
              </w:rPr>
              <w:t>注：本项目</w:t>
            </w:r>
            <w:r>
              <w:rPr>
                <w:rFonts w:hint="eastAsia"/>
                <w:highlight w:val="none"/>
                <w:lang w:val="en-US" w:eastAsia="zh-CN"/>
              </w:rPr>
              <w:t>筹建于2005年</w:t>
            </w:r>
            <w:r>
              <w:rPr>
                <w:rFonts w:hint="eastAsia"/>
                <w:highlight w:val="none"/>
              </w:rPr>
              <w:t>，且稳定运营多年，本次评价不再赘述施工期环境影响评价。</w:t>
            </w:r>
          </w:p>
        </w:tc>
      </w:tr>
    </w:tbl>
    <w:p>
      <w:pPr>
        <w:spacing w:line="480" w:lineRule="exact"/>
        <w:ind w:firstLine="480" w:firstLineChars="200"/>
        <w:jc w:val="left"/>
        <w:rPr>
          <w:color w:val="auto"/>
          <w:sz w:val="24"/>
          <w:highlight w:val="none"/>
        </w:rPr>
      </w:pPr>
      <w:r>
        <w:rPr>
          <w:color w:val="auto"/>
          <w:sz w:val="24"/>
          <w:highlight w:val="none"/>
        </w:rPr>
        <w:t>根据《环境影响评价技术导则－生态影响》（HJ19-2022）附录A，生态影响评价因子及影响程度间表</w:t>
      </w:r>
      <w:r>
        <w:rPr>
          <w:rFonts w:hint="eastAsia"/>
          <w:color w:val="auto"/>
          <w:sz w:val="24"/>
          <w:highlight w:val="none"/>
        </w:rPr>
        <w:t>1</w:t>
      </w:r>
      <w:r>
        <w:rPr>
          <w:color w:val="auto"/>
          <w:sz w:val="24"/>
          <w:highlight w:val="none"/>
        </w:rPr>
        <w:t>.</w:t>
      </w:r>
      <w:r>
        <w:rPr>
          <w:rFonts w:hint="eastAsia"/>
          <w:color w:val="auto"/>
          <w:sz w:val="24"/>
          <w:highlight w:val="none"/>
          <w:lang w:val="en-US" w:eastAsia="zh-CN"/>
        </w:rPr>
        <w:t>3</w:t>
      </w:r>
      <w:r>
        <w:rPr>
          <w:color w:val="auto"/>
          <w:sz w:val="24"/>
          <w:highlight w:val="none"/>
        </w:rPr>
        <w:t>-2。</w:t>
      </w:r>
    </w:p>
    <w:p>
      <w:pPr>
        <w:pStyle w:val="26"/>
        <w:spacing w:line="480" w:lineRule="exact"/>
        <w:ind w:left="0" w:leftChars="0" w:right="0" w:rightChars="0"/>
        <w:jc w:val="center"/>
        <w:rPr>
          <w:b/>
          <w:color w:val="auto"/>
          <w:highlight w:val="none"/>
        </w:rPr>
      </w:pPr>
      <w:r>
        <w:rPr>
          <w:b/>
          <w:color w:val="auto"/>
          <w:highlight w:val="none"/>
        </w:rPr>
        <w:t>表</w:t>
      </w:r>
      <w:r>
        <w:rPr>
          <w:rFonts w:hint="eastAsia"/>
          <w:b/>
          <w:color w:val="auto"/>
          <w:highlight w:val="none"/>
        </w:rPr>
        <w:t>1</w:t>
      </w:r>
      <w:r>
        <w:rPr>
          <w:b/>
          <w:color w:val="auto"/>
          <w:highlight w:val="none"/>
        </w:rPr>
        <w:t>.</w:t>
      </w:r>
      <w:r>
        <w:rPr>
          <w:rFonts w:hint="eastAsia"/>
          <w:b/>
          <w:color w:val="auto"/>
          <w:highlight w:val="none"/>
          <w:lang w:val="en-US" w:eastAsia="zh-CN"/>
        </w:rPr>
        <w:t>3</w:t>
      </w:r>
      <w:r>
        <w:rPr>
          <w:b/>
          <w:color w:val="auto"/>
          <w:highlight w:val="none"/>
        </w:rPr>
        <w:t xml:space="preserve">-2  </w:t>
      </w:r>
      <w:r>
        <w:rPr>
          <w:b/>
          <w:color w:val="auto"/>
          <w:sz w:val="24"/>
          <w:highlight w:val="none"/>
        </w:rPr>
        <w:t>生态影响评价因子及影响程度间表</w:t>
      </w:r>
    </w:p>
    <w:tbl>
      <w:tblPr>
        <w:tblStyle w:val="5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1"/>
        <w:gridCol w:w="2465"/>
        <w:gridCol w:w="2333"/>
        <w:gridCol w:w="1142"/>
        <w:gridCol w:w="11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trPr>
        <w:tc>
          <w:tcPr>
            <w:tcW w:w="1381" w:type="dxa"/>
            <w:vAlign w:val="center"/>
          </w:tcPr>
          <w:p>
            <w:pPr>
              <w:spacing w:line="320" w:lineRule="exact"/>
              <w:jc w:val="center"/>
              <w:rPr>
                <w:caps/>
                <w:color w:val="auto"/>
                <w:szCs w:val="21"/>
                <w:highlight w:val="none"/>
              </w:rPr>
            </w:pPr>
            <w:r>
              <w:rPr>
                <w:caps/>
                <w:color w:val="auto"/>
                <w:szCs w:val="21"/>
                <w:highlight w:val="none"/>
              </w:rPr>
              <w:t>受影响对象</w:t>
            </w:r>
          </w:p>
        </w:tc>
        <w:tc>
          <w:tcPr>
            <w:tcW w:w="2465" w:type="dxa"/>
            <w:vAlign w:val="center"/>
          </w:tcPr>
          <w:p>
            <w:pPr>
              <w:spacing w:line="320" w:lineRule="exact"/>
              <w:jc w:val="center"/>
              <w:rPr>
                <w:caps/>
                <w:color w:val="auto"/>
                <w:szCs w:val="21"/>
                <w:highlight w:val="none"/>
              </w:rPr>
            </w:pPr>
            <w:r>
              <w:rPr>
                <w:caps/>
                <w:color w:val="auto"/>
                <w:szCs w:val="21"/>
                <w:highlight w:val="none"/>
              </w:rPr>
              <w:t>评价因子</w:t>
            </w:r>
          </w:p>
        </w:tc>
        <w:tc>
          <w:tcPr>
            <w:tcW w:w="2333" w:type="dxa"/>
            <w:vAlign w:val="center"/>
          </w:tcPr>
          <w:p>
            <w:pPr>
              <w:spacing w:line="320" w:lineRule="exact"/>
              <w:jc w:val="center"/>
              <w:rPr>
                <w:caps/>
                <w:color w:val="auto"/>
                <w:szCs w:val="21"/>
                <w:highlight w:val="none"/>
              </w:rPr>
            </w:pPr>
            <w:r>
              <w:rPr>
                <w:caps/>
                <w:color w:val="auto"/>
                <w:szCs w:val="21"/>
                <w:highlight w:val="none"/>
              </w:rPr>
              <w:t>工程内容及影响方式</w:t>
            </w:r>
          </w:p>
        </w:tc>
        <w:tc>
          <w:tcPr>
            <w:tcW w:w="1142" w:type="dxa"/>
            <w:vAlign w:val="center"/>
          </w:tcPr>
          <w:p>
            <w:pPr>
              <w:spacing w:line="320" w:lineRule="exact"/>
              <w:jc w:val="center"/>
              <w:rPr>
                <w:caps/>
                <w:color w:val="auto"/>
                <w:szCs w:val="21"/>
                <w:highlight w:val="none"/>
              </w:rPr>
            </w:pPr>
            <w:r>
              <w:rPr>
                <w:caps/>
                <w:color w:val="auto"/>
                <w:szCs w:val="21"/>
                <w:highlight w:val="none"/>
              </w:rPr>
              <w:t>影响性质</w:t>
            </w:r>
          </w:p>
        </w:tc>
        <w:tc>
          <w:tcPr>
            <w:tcW w:w="1157" w:type="dxa"/>
            <w:vAlign w:val="center"/>
          </w:tcPr>
          <w:p>
            <w:pPr>
              <w:spacing w:line="320" w:lineRule="exact"/>
              <w:jc w:val="center"/>
              <w:rPr>
                <w:caps/>
                <w:color w:val="auto"/>
                <w:szCs w:val="21"/>
                <w:highlight w:val="none"/>
              </w:rPr>
            </w:pPr>
            <w:r>
              <w:rPr>
                <w:caps/>
                <w:color w:val="auto"/>
                <w:szCs w:val="21"/>
                <w:highlight w:val="none"/>
              </w:rPr>
              <w:t>影响程度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trPr>
        <w:tc>
          <w:tcPr>
            <w:tcW w:w="1381" w:type="dxa"/>
            <w:vAlign w:val="center"/>
          </w:tcPr>
          <w:p>
            <w:pPr>
              <w:spacing w:line="320" w:lineRule="exact"/>
              <w:jc w:val="center"/>
              <w:rPr>
                <w:caps/>
                <w:color w:val="auto"/>
                <w:szCs w:val="21"/>
                <w:highlight w:val="none"/>
              </w:rPr>
            </w:pPr>
            <w:r>
              <w:rPr>
                <w:rFonts w:hint="eastAsia"/>
                <w:caps/>
                <w:color w:val="auto"/>
                <w:szCs w:val="21"/>
                <w:highlight w:val="none"/>
              </w:rPr>
              <w:t>物种</w:t>
            </w:r>
          </w:p>
        </w:tc>
        <w:tc>
          <w:tcPr>
            <w:tcW w:w="2465" w:type="dxa"/>
            <w:vAlign w:val="center"/>
          </w:tcPr>
          <w:p>
            <w:pPr>
              <w:spacing w:line="320" w:lineRule="exact"/>
              <w:jc w:val="center"/>
              <w:rPr>
                <w:caps/>
                <w:color w:val="auto"/>
                <w:szCs w:val="21"/>
                <w:highlight w:val="none"/>
              </w:rPr>
            </w:pPr>
            <w:r>
              <w:rPr>
                <w:rFonts w:hint="eastAsia"/>
                <w:caps/>
                <w:color w:val="auto"/>
                <w:szCs w:val="21"/>
                <w:highlight w:val="none"/>
              </w:rPr>
              <w:t>分布范围、种群数量、种群结构、行为</w:t>
            </w:r>
          </w:p>
        </w:tc>
        <w:tc>
          <w:tcPr>
            <w:tcW w:w="2333" w:type="dxa"/>
            <w:vAlign w:val="center"/>
          </w:tcPr>
          <w:p>
            <w:pPr>
              <w:spacing w:line="320" w:lineRule="exact"/>
              <w:jc w:val="center"/>
              <w:rPr>
                <w:caps/>
                <w:color w:val="auto"/>
                <w:szCs w:val="21"/>
                <w:highlight w:val="none"/>
              </w:rPr>
            </w:pPr>
            <w:r>
              <w:rPr>
                <w:caps/>
                <w:color w:val="auto"/>
                <w:szCs w:val="21"/>
                <w:highlight w:val="none"/>
              </w:rPr>
              <w:t>施工活动干扰</w:t>
            </w:r>
          </w:p>
        </w:tc>
        <w:tc>
          <w:tcPr>
            <w:tcW w:w="1142" w:type="dxa"/>
            <w:vAlign w:val="center"/>
          </w:tcPr>
          <w:p>
            <w:pPr>
              <w:spacing w:line="320" w:lineRule="exact"/>
              <w:jc w:val="center"/>
              <w:rPr>
                <w:caps/>
                <w:color w:val="auto"/>
                <w:szCs w:val="21"/>
                <w:highlight w:val="none"/>
              </w:rPr>
            </w:pPr>
            <w:r>
              <w:rPr>
                <w:caps/>
                <w:color w:val="auto"/>
                <w:szCs w:val="21"/>
                <w:highlight w:val="none"/>
              </w:rPr>
              <w:t>短期、可逆</w:t>
            </w:r>
          </w:p>
        </w:tc>
        <w:tc>
          <w:tcPr>
            <w:tcW w:w="1157" w:type="dxa"/>
            <w:vAlign w:val="center"/>
          </w:tcPr>
          <w:p>
            <w:pPr>
              <w:spacing w:line="320" w:lineRule="exact"/>
              <w:jc w:val="center"/>
              <w:rPr>
                <w:caps/>
                <w:color w:val="auto"/>
                <w:szCs w:val="21"/>
                <w:highlight w:val="none"/>
              </w:rPr>
            </w:pPr>
            <w:r>
              <w:rPr>
                <w:caps/>
                <w:color w:val="auto"/>
                <w:szCs w:val="21"/>
                <w:highlight w:val="none"/>
              </w:rPr>
              <w:t>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trPr>
        <w:tc>
          <w:tcPr>
            <w:tcW w:w="1381" w:type="dxa"/>
            <w:vAlign w:val="center"/>
          </w:tcPr>
          <w:p>
            <w:pPr>
              <w:spacing w:line="320" w:lineRule="exact"/>
              <w:jc w:val="center"/>
              <w:rPr>
                <w:caps/>
                <w:color w:val="auto"/>
                <w:szCs w:val="21"/>
                <w:highlight w:val="none"/>
              </w:rPr>
            </w:pPr>
            <w:r>
              <w:rPr>
                <w:rFonts w:hint="eastAsia"/>
                <w:caps/>
                <w:color w:val="auto"/>
                <w:szCs w:val="21"/>
                <w:highlight w:val="none"/>
              </w:rPr>
              <w:t>生境</w:t>
            </w:r>
          </w:p>
        </w:tc>
        <w:tc>
          <w:tcPr>
            <w:tcW w:w="2465" w:type="dxa"/>
            <w:vAlign w:val="center"/>
          </w:tcPr>
          <w:p>
            <w:pPr>
              <w:spacing w:line="320" w:lineRule="exact"/>
              <w:jc w:val="center"/>
              <w:rPr>
                <w:caps/>
                <w:color w:val="auto"/>
                <w:szCs w:val="21"/>
                <w:highlight w:val="none"/>
              </w:rPr>
            </w:pPr>
            <w:r>
              <w:rPr>
                <w:rFonts w:hint="eastAsia"/>
                <w:caps/>
                <w:color w:val="auto"/>
                <w:szCs w:val="21"/>
                <w:highlight w:val="none"/>
              </w:rPr>
              <w:t>生境面积、质量、连通性</w:t>
            </w:r>
          </w:p>
        </w:tc>
        <w:tc>
          <w:tcPr>
            <w:tcW w:w="2333" w:type="dxa"/>
            <w:vAlign w:val="center"/>
          </w:tcPr>
          <w:p>
            <w:pPr>
              <w:spacing w:line="320" w:lineRule="exact"/>
              <w:jc w:val="center"/>
              <w:rPr>
                <w:caps/>
                <w:color w:val="auto"/>
                <w:szCs w:val="21"/>
                <w:highlight w:val="none"/>
              </w:rPr>
            </w:pPr>
            <w:r>
              <w:rPr>
                <w:caps/>
                <w:color w:val="auto"/>
                <w:szCs w:val="21"/>
                <w:highlight w:val="none"/>
              </w:rPr>
              <w:t>橡胶坝、引水渠、排水渠、厂区占用</w:t>
            </w:r>
          </w:p>
        </w:tc>
        <w:tc>
          <w:tcPr>
            <w:tcW w:w="1142" w:type="dxa"/>
            <w:vAlign w:val="center"/>
          </w:tcPr>
          <w:p>
            <w:pPr>
              <w:spacing w:line="320" w:lineRule="exact"/>
              <w:jc w:val="center"/>
              <w:rPr>
                <w:caps/>
                <w:color w:val="auto"/>
                <w:szCs w:val="21"/>
                <w:highlight w:val="none"/>
              </w:rPr>
            </w:pPr>
            <w:r>
              <w:rPr>
                <w:caps/>
                <w:color w:val="auto"/>
                <w:szCs w:val="21"/>
                <w:highlight w:val="none"/>
              </w:rPr>
              <w:t>长期，不可逆</w:t>
            </w:r>
          </w:p>
        </w:tc>
        <w:tc>
          <w:tcPr>
            <w:tcW w:w="1157" w:type="dxa"/>
            <w:vAlign w:val="center"/>
          </w:tcPr>
          <w:p>
            <w:pPr>
              <w:spacing w:line="320" w:lineRule="exact"/>
              <w:jc w:val="center"/>
              <w:rPr>
                <w:caps/>
                <w:color w:val="auto"/>
                <w:szCs w:val="21"/>
                <w:highlight w:val="none"/>
              </w:rPr>
            </w:pPr>
            <w:r>
              <w:rPr>
                <w:caps/>
                <w:color w:val="auto"/>
                <w:szCs w:val="21"/>
                <w:highlight w:val="none"/>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trPr>
        <w:tc>
          <w:tcPr>
            <w:tcW w:w="1381" w:type="dxa"/>
            <w:vAlign w:val="center"/>
          </w:tcPr>
          <w:p>
            <w:pPr>
              <w:spacing w:line="320" w:lineRule="exact"/>
              <w:jc w:val="center"/>
              <w:rPr>
                <w:caps/>
                <w:color w:val="auto"/>
                <w:szCs w:val="21"/>
                <w:highlight w:val="none"/>
              </w:rPr>
            </w:pPr>
            <w:r>
              <w:rPr>
                <w:rFonts w:hint="eastAsia"/>
                <w:caps/>
                <w:color w:val="auto"/>
                <w:szCs w:val="21"/>
                <w:highlight w:val="none"/>
              </w:rPr>
              <w:t>生物群落</w:t>
            </w:r>
          </w:p>
        </w:tc>
        <w:tc>
          <w:tcPr>
            <w:tcW w:w="2465" w:type="dxa"/>
            <w:vAlign w:val="center"/>
          </w:tcPr>
          <w:p>
            <w:pPr>
              <w:spacing w:line="320" w:lineRule="exact"/>
              <w:jc w:val="center"/>
              <w:rPr>
                <w:caps/>
                <w:color w:val="auto"/>
                <w:szCs w:val="21"/>
                <w:highlight w:val="none"/>
              </w:rPr>
            </w:pPr>
            <w:r>
              <w:rPr>
                <w:rFonts w:hint="eastAsia"/>
                <w:caps/>
                <w:color w:val="auto"/>
                <w:szCs w:val="21"/>
                <w:highlight w:val="none"/>
              </w:rPr>
              <w:t>物种组成、群落结构</w:t>
            </w:r>
          </w:p>
        </w:tc>
        <w:tc>
          <w:tcPr>
            <w:tcW w:w="2333" w:type="dxa"/>
            <w:vAlign w:val="center"/>
          </w:tcPr>
          <w:p>
            <w:pPr>
              <w:spacing w:line="320" w:lineRule="exact"/>
              <w:jc w:val="center"/>
              <w:rPr>
                <w:caps/>
                <w:color w:val="auto"/>
                <w:szCs w:val="21"/>
                <w:highlight w:val="none"/>
              </w:rPr>
            </w:pPr>
            <w:r>
              <w:rPr>
                <w:caps/>
                <w:color w:val="auto"/>
                <w:szCs w:val="21"/>
                <w:highlight w:val="none"/>
              </w:rPr>
              <w:t>施工活动干扰</w:t>
            </w:r>
          </w:p>
        </w:tc>
        <w:tc>
          <w:tcPr>
            <w:tcW w:w="1142" w:type="dxa"/>
            <w:vAlign w:val="center"/>
          </w:tcPr>
          <w:p>
            <w:pPr>
              <w:spacing w:line="320" w:lineRule="exact"/>
              <w:jc w:val="center"/>
              <w:rPr>
                <w:caps/>
                <w:color w:val="auto"/>
                <w:szCs w:val="21"/>
                <w:highlight w:val="none"/>
              </w:rPr>
            </w:pPr>
            <w:r>
              <w:rPr>
                <w:caps/>
                <w:color w:val="auto"/>
                <w:szCs w:val="21"/>
                <w:highlight w:val="none"/>
              </w:rPr>
              <w:t>短期、可逆</w:t>
            </w:r>
          </w:p>
        </w:tc>
        <w:tc>
          <w:tcPr>
            <w:tcW w:w="1157" w:type="dxa"/>
            <w:vAlign w:val="center"/>
          </w:tcPr>
          <w:p>
            <w:pPr>
              <w:spacing w:line="320" w:lineRule="exact"/>
              <w:jc w:val="center"/>
              <w:rPr>
                <w:caps/>
                <w:color w:val="auto"/>
                <w:szCs w:val="21"/>
                <w:highlight w:val="none"/>
              </w:rPr>
            </w:pPr>
            <w:r>
              <w:rPr>
                <w:caps/>
                <w:color w:val="auto"/>
                <w:szCs w:val="21"/>
                <w:highlight w:val="none"/>
              </w:rPr>
              <w:t>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trPr>
        <w:tc>
          <w:tcPr>
            <w:tcW w:w="1381" w:type="dxa"/>
            <w:vAlign w:val="center"/>
          </w:tcPr>
          <w:p>
            <w:pPr>
              <w:spacing w:line="320" w:lineRule="exact"/>
              <w:jc w:val="center"/>
              <w:rPr>
                <w:caps/>
                <w:color w:val="auto"/>
                <w:szCs w:val="21"/>
                <w:highlight w:val="none"/>
              </w:rPr>
            </w:pPr>
            <w:r>
              <w:rPr>
                <w:rFonts w:hint="eastAsia"/>
                <w:caps/>
                <w:color w:val="auto"/>
                <w:szCs w:val="21"/>
                <w:highlight w:val="none"/>
              </w:rPr>
              <w:t>生态系统</w:t>
            </w:r>
          </w:p>
        </w:tc>
        <w:tc>
          <w:tcPr>
            <w:tcW w:w="2465" w:type="dxa"/>
            <w:vAlign w:val="center"/>
          </w:tcPr>
          <w:p>
            <w:pPr>
              <w:spacing w:line="320" w:lineRule="exact"/>
              <w:jc w:val="center"/>
              <w:rPr>
                <w:caps/>
                <w:color w:val="auto"/>
                <w:szCs w:val="21"/>
                <w:highlight w:val="none"/>
              </w:rPr>
            </w:pPr>
            <w:r>
              <w:rPr>
                <w:rFonts w:hint="eastAsia"/>
                <w:caps/>
                <w:color w:val="auto"/>
                <w:szCs w:val="21"/>
                <w:highlight w:val="none"/>
              </w:rPr>
              <w:t>植被覆盖度、生产力、生物量、生态系统功能</w:t>
            </w:r>
          </w:p>
        </w:tc>
        <w:tc>
          <w:tcPr>
            <w:tcW w:w="2333" w:type="dxa"/>
            <w:vAlign w:val="center"/>
          </w:tcPr>
          <w:p>
            <w:pPr>
              <w:spacing w:line="320" w:lineRule="exact"/>
              <w:jc w:val="center"/>
              <w:rPr>
                <w:caps/>
                <w:color w:val="auto"/>
                <w:szCs w:val="21"/>
                <w:highlight w:val="none"/>
              </w:rPr>
            </w:pPr>
            <w:r>
              <w:rPr>
                <w:caps/>
                <w:color w:val="auto"/>
                <w:szCs w:val="21"/>
                <w:highlight w:val="none"/>
              </w:rPr>
              <w:t>施工活动干扰</w:t>
            </w:r>
          </w:p>
        </w:tc>
        <w:tc>
          <w:tcPr>
            <w:tcW w:w="1142" w:type="dxa"/>
            <w:vAlign w:val="center"/>
          </w:tcPr>
          <w:p>
            <w:pPr>
              <w:spacing w:line="320" w:lineRule="exact"/>
              <w:jc w:val="center"/>
              <w:rPr>
                <w:caps/>
                <w:color w:val="auto"/>
                <w:szCs w:val="21"/>
                <w:highlight w:val="none"/>
              </w:rPr>
            </w:pPr>
            <w:r>
              <w:rPr>
                <w:caps/>
                <w:color w:val="auto"/>
                <w:szCs w:val="21"/>
                <w:highlight w:val="none"/>
              </w:rPr>
              <w:t>短期、可逆</w:t>
            </w:r>
          </w:p>
        </w:tc>
        <w:tc>
          <w:tcPr>
            <w:tcW w:w="1157" w:type="dxa"/>
            <w:vAlign w:val="center"/>
          </w:tcPr>
          <w:p>
            <w:pPr>
              <w:spacing w:line="320" w:lineRule="exact"/>
              <w:jc w:val="center"/>
              <w:rPr>
                <w:caps/>
                <w:color w:val="auto"/>
                <w:szCs w:val="21"/>
                <w:highlight w:val="none"/>
              </w:rPr>
            </w:pPr>
            <w:r>
              <w:rPr>
                <w:caps/>
                <w:color w:val="auto"/>
                <w:szCs w:val="21"/>
                <w:highlight w:val="none"/>
              </w:rPr>
              <w:t>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1381" w:type="dxa"/>
            <w:vAlign w:val="center"/>
          </w:tcPr>
          <w:p>
            <w:pPr>
              <w:spacing w:line="320" w:lineRule="exact"/>
              <w:jc w:val="center"/>
              <w:rPr>
                <w:caps/>
                <w:color w:val="auto"/>
                <w:szCs w:val="21"/>
                <w:highlight w:val="none"/>
              </w:rPr>
            </w:pPr>
            <w:r>
              <w:rPr>
                <w:rFonts w:hint="eastAsia"/>
                <w:caps/>
                <w:color w:val="auto"/>
                <w:szCs w:val="21"/>
                <w:highlight w:val="none"/>
              </w:rPr>
              <w:t>生物多样性</w:t>
            </w:r>
          </w:p>
        </w:tc>
        <w:tc>
          <w:tcPr>
            <w:tcW w:w="2465" w:type="dxa"/>
            <w:vAlign w:val="center"/>
          </w:tcPr>
          <w:p>
            <w:pPr>
              <w:spacing w:line="320" w:lineRule="exact"/>
              <w:jc w:val="center"/>
              <w:rPr>
                <w:caps/>
                <w:color w:val="auto"/>
                <w:szCs w:val="21"/>
                <w:highlight w:val="none"/>
              </w:rPr>
            </w:pPr>
            <w:r>
              <w:rPr>
                <w:rFonts w:hint="eastAsia"/>
                <w:caps/>
                <w:color w:val="auto"/>
                <w:szCs w:val="21"/>
                <w:highlight w:val="none"/>
              </w:rPr>
              <w:t>物种丰富度、均匀度、优势度</w:t>
            </w:r>
          </w:p>
        </w:tc>
        <w:tc>
          <w:tcPr>
            <w:tcW w:w="2333" w:type="dxa"/>
            <w:vAlign w:val="center"/>
          </w:tcPr>
          <w:p>
            <w:pPr>
              <w:spacing w:line="320" w:lineRule="exact"/>
              <w:jc w:val="center"/>
              <w:rPr>
                <w:caps/>
                <w:color w:val="auto"/>
                <w:szCs w:val="21"/>
                <w:highlight w:val="none"/>
              </w:rPr>
            </w:pPr>
            <w:r>
              <w:rPr>
                <w:caps/>
                <w:color w:val="auto"/>
                <w:szCs w:val="21"/>
                <w:highlight w:val="none"/>
              </w:rPr>
              <w:t>施工活动干扰</w:t>
            </w:r>
          </w:p>
        </w:tc>
        <w:tc>
          <w:tcPr>
            <w:tcW w:w="1142" w:type="dxa"/>
            <w:vAlign w:val="center"/>
          </w:tcPr>
          <w:p>
            <w:pPr>
              <w:spacing w:line="320" w:lineRule="exact"/>
              <w:jc w:val="center"/>
              <w:rPr>
                <w:caps/>
                <w:color w:val="auto"/>
                <w:szCs w:val="21"/>
                <w:highlight w:val="none"/>
              </w:rPr>
            </w:pPr>
            <w:r>
              <w:rPr>
                <w:caps/>
                <w:color w:val="auto"/>
                <w:szCs w:val="21"/>
                <w:highlight w:val="none"/>
              </w:rPr>
              <w:t>短期、可逆</w:t>
            </w:r>
          </w:p>
        </w:tc>
        <w:tc>
          <w:tcPr>
            <w:tcW w:w="1157" w:type="dxa"/>
            <w:vAlign w:val="center"/>
          </w:tcPr>
          <w:p>
            <w:pPr>
              <w:spacing w:line="320" w:lineRule="exact"/>
              <w:jc w:val="center"/>
              <w:rPr>
                <w:caps/>
                <w:color w:val="auto"/>
                <w:szCs w:val="21"/>
                <w:highlight w:val="none"/>
              </w:rPr>
            </w:pPr>
            <w:r>
              <w:rPr>
                <w:caps/>
                <w:color w:val="auto"/>
                <w:szCs w:val="21"/>
                <w:highlight w:val="none"/>
              </w:rPr>
              <w:t>较小</w:t>
            </w:r>
          </w:p>
        </w:tc>
      </w:tr>
    </w:tbl>
    <w:p>
      <w:pPr>
        <w:spacing w:line="480" w:lineRule="exact"/>
        <w:ind w:firstLine="480" w:firstLineChars="200"/>
        <w:rPr>
          <w:b/>
          <w:sz w:val="24"/>
          <w:highlight w:val="none"/>
        </w:rPr>
      </w:pPr>
      <w:r>
        <w:rPr>
          <w:rFonts w:hint="eastAsia"/>
          <w:sz w:val="24"/>
          <w:highlight w:val="none"/>
        </w:rPr>
        <w:t>根据《环境影响评价技术导则-土壤环境》（HJ964-2018）附录B，土壤环境影响类型与影响途径进行识别见表1.</w:t>
      </w:r>
      <w:r>
        <w:rPr>
          <w:rFonts w:hint="eastAsia"/>
          <w:sz w:val="24"/>
          <w:highlight w:val="none"/>
          <w:lang w:val="en-US" w:eastAsia="zh-CN"/>
        </w:rPr>
        <w:t>3</w:t>
      </w:r>
      <w:r>
        <w:rPr>
          <w:rFonts w:hint="eastAsia"/>
          <w:sz w:val="24"/>
          <w:highlight w:val="none"/>
        </w:rPr>
        <w:t>-</w:t>
      </w:r>
      <w:r>
        <w:rPr>
          <w:sz w:val="24"/>
          <w:highlight w:val="none"/>
        </w:rPr>
        <w:t>3</w:t>
      </w:r>
      <w:r>
        <w:rPr>
          <w:rFonts w:hint="eastAsia"/>
          <w:sz w:val="24"/>
          <w:highlight w:val="none"/>
        </w:rPr>
        <w:t>。</w:t>
      </w:r>
    </w:p>
    <w:p>
      <w:pPr>
        <w:spacing w:line="480" w:lineRule="exact"/>
        <w:jc w:val="center"/>
        <w:rPr>
          <w:b/>
          <w:sz w:val="24"/>
          <w:highlight w:val="none"/>
        </w:rPr>
      </w:pPr>
      <w:r>
        <w:rPr>
          <w:rFonts w:hint="eastAsia"/>
          <w:b/>
          <w:sz w:val="24"/>
          <w:highlight w:val="none"/>
        </w:rPr>
        <w:t>表1.</w:t>
      </w:r>
      <w:r>
        <w:rPr>
          <w:rFonts w:hint="eastAsia"/>
          <w:b/>
          <w:sz w:val="24"/>
          <w:highlight w:val="none"/>
          <w:lang w:val="en-US" w:eastAsia="zh-CN"/>
        </w:rPr>
        <w:t>3</w:t>
      </w:r>
      <w:r>
        <w:rPr>
          <w:rFonts w:hint="eastAsia"/>
          <w:b/>
          <w:sz w:val="24"/>
          <w:highlight w:val="none"/>
        </w:rPr>
        <w:t>-</w:t>
      </w:r>
      <w:r>
        <w:rPr>
          <w:b/>
          <w:sz w:val="24"/>
          <w:highlight w:val="none"/>
        </w:rPr>
        <w:t>3</w:t>
      </w:r>
      <w:r>
        <w:rPr>
          <w:rFonts w:hint="eastAsia"/>
          <w:b/>
          <w:sz w:val="24"/>
          <w:highlight w:val="none"/>
        </w:rPr>
        <w:t xml:space="preserve">  生态影响型项目土壤环境影响途径识别表</w:t>
      </w:r>
    </w:p>
    <w:tbl>
      <w:tblPr>
        <w:tblStyle w:val="51"/>
        <w:tblW w:w="81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8"/>
        <w:gridCol w:w="2436"/>
        <w:gridCol w:w="2126"/>
        <w:gridCol w:w="22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8" w:type="dxa"/>
            <w:vAlign w:val="center"/>
          </w:tcPr>
          <w:p>
            <w:pPr>
              <w:spacing w:line="300" w:lineRule="exact"/>
              <w:jc w:val="center"/>
              <w:rPr>
                <w:highlight w:val="none"/>
              </w:rPr>
            </w:pPr>
            <w:r>
              <w:rPr>
                <w:rFonts w:hint="eastAsia"/>
                <w:highlight w:val="none"/>
              </w:rPr>
              <w:t>影响结果</w:t>
            </w:r>
          </w:p>
        </w:tc>
        <w:tc>
          <w:tcPr>
            <w:tcW w:w="2436" w:type="dxa"/>
            <w:vAlign w:val="center"/>
          </w:tcPr>
          <w:p>
            <w:pPr>
              <w:spacing w:line="300" w:lineRule="exact"/>
              <w:jc w:val="center"/>
              <w:rPr>
                <w:highlight w:val="none"/>
              </w:rPr>
            </w:pPr>
            <w:r>
              <w:rPr>
                <w:rFonts w:hint="eastAsia"/>
                <w:highlight w:val="none"/>
              </w:rPr>
              <w:t>影响途径</w:t>
            </w:r>
          </w:p>
        </w:tc>
        <w:tc>
          <w:tcPr>
            <w:tcW w:w="2126" w:type="dxa"/>
            <w:vAlign w:val="center"/>
          </w:tcPr>
          <w:p>
            <w:pPr>
              <w:spacing w:line="300" w:lineRule="exact"/>
              <w:jc w:val="center"/>
              <w:rPr>
                <w:highlight w:val="none"/>
              </w:rPr>
            </w:pPr>
            <w:r>
              <w:rPr>
                <w:rFonts w:hint="eastAsia"/>
                <w:highlight w:val="none"/>
              </w:rPr>
              <w:t>具体指标</w:t>
            </w:r>
          </w:p>
        </w:tc>
        <w:tc>
          <w:tcPr>
            <w:tcW w:w="2272" w:type="dxa"/>
            <w:vAlign w:val="center"/>
          </w:tcPr>
          <w:p>
            <w:pPr>
              <w:spacing w:line="300" w:lineRule="exact"/>
              <w:jc w:val="center"/>
              <w:rPr>
                <w:highlight w:val="none"/>
              </w:rPr>
            </w:pPr>
            <w:r>
              <w:rPr>
                <w:rFonts w:hint="eastAsia"/>
                <w:highlight w:val="none"/>
              </w:rPr>
              <w:t>土壤环境敏感目标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8" w:type="dxa"/>
            <w:vAlign w:val="center"/>
          </w:tcPr>
          <w:p>
            <w:pPr>
              <w:spacing w:line="300" w:lineRule="exact"/>
              <w:jc w:val="center"/>
              <w:rPr>
                <w:highlight w:val="none"/>
              </w:rPr>
            </w:pPr>
            <w:r>
              <w:rPr>
                <w:rFonts w:hint="eastAsia"/>
                <w:highlight w:val="none"/>
              </w:rPr>
              <w:t>其他</w:t>
            </w:r>
          </w:p>
        </w:tc>
        <w:tc>
          <w:tcPr>
            <w:tcW w:w="2436" w:type="dxa"/>
            <w:vAlign w:val="center"/>
          </w:tcPr>
          <w:p>
            <w:pPr>
              <w:spacing w:line="300" w:lineRule="exact"/>
              <w:ind w:firstLine="420" w:firstLineChars="200"/>
              <w:jc w:val="left"/>
              <w:rPr>
                <w:highlight w:val="none"/>
              </w:rPr>
            </w:pPr>
            <w:r>
              <w:rPr>
                <w:rFonts w:hint="eastAsia"/>
                <w:highlight w:val="none"/>
              </w:rPr>
              <w:t>水电站物质输入</w:t>
            </w:r>
          </w:p>
          <w:p>
            <w:pPr>
              <w:spacing w:line="300" w:lineRule="exact"/>
              <w:ind w:right="-134" w:rightChars="-64"/>
              <w:jc w:val="left"/>
              <w:rPr>
                <w:highlight w:val="none"/>
              </w:rPr>
            </w:pPr>
            <w:r>
              <w:rPr>
                <w:rFonts w:hint="eastAsia"/>
                <w:highlight w:val="none"/>
              </w:rPr>
              <w:t>（机油、机油垂直渗透）</w:t>
            </w:r>
          </w:p>
        </w:tc>
        <w:tc>
          <w:tcPr>
            <w:tcW w:w="2126" w:type="dxa"/>
            <w:vAlign w:val="center"/>
          </w:tcPr>
          <w:p>
            <w:pPr>
              <w:spacing w:line="300" w:lineRule="exact"/>
              <w:jc w:val="left"/>
              <w:rPr>
                <w:highlight w:val="none"/>
              </w:rPr>
            </w:pPr>
            <w:r>
              <w:rPr>
                <w:rFonts w:hint="eastAsia"/>
                <w:spacing w:val="2"/>
                <w:highlight w:val="none"/>
                <w:lang w:val="eu-ES"/>
              </w:rPr>
              <w:t>土壤常规45项检测指标+pH、石油烃</w:t>
            </w:r>
          </w:p>
        </w:tc>
        <w:tc>
          <w:tcPr>
            <w:tcW w:w="2272" w:type="dxa"/>
            <w:vAlign w:val="center"/>
          </w:tcPr>
          <w:p>
            <w:pPr>
              <w:spacing w:line="300" w:lineRule="exact"/>
              <w:jc w:val="center"/>
              <w:rPr>
                <w:b/>
                <w:highlight w:val="none"/>
              </w:rPr>
            </w:pPr>
            <w:r>
              <w:rPr>
                <w:rFonts w:hint="eastAsia"/>
                <w:bCs/>
                <w:highlight w:val="none"/>
              </w:rPr>
              <w:t>水电站内土壤</w:t>
            </w:r>
          </w:p>
        </w:tc>
      </w:tr>
    </w:tbl>
    <w:p>
      <w:pPr>
        <w:spacing w:line="480" w:lineRule="exact"/>
        <w:ind w:firstLine="480" w:firstLineChars="200"/>
        <w:rPr>
          <w:sz w:val="24"/>
          <w:highlight w:val="none"/>
        </w:rPr>
      </w:pPr>
      <w:r>
        <w:rPr>
          <w:sz w:val="24"/>
          <w:highlight w:val="none"/>
        </w:rPr>
        <w:t>本项目的施工期已结束，因此项目施工期对自然环境要素产生的负面影响，随着施工期的结束</w:t>
      </w:r>
      <w:r>
        <w:rPr>
          <w:rFonts w:hint="eastAsia"/>
          <w:sz w:val="24"/>
          <w:highlight w:val="none"/>
        </w:rPr>
        <w:t>已经</w:t>
      </w:r>
      <w:r>
        <w:rPr>
          <w:sz w:val="24"/>
          <w:highlight w:val="none"/>
        </w:rPr>
        <w:t>消失。</w:t>
      </w:r>
    </w:p>
    <w:p>
      <w:pPr>
        <w:spacing w:line="480" w:lineRule="exact"/>
        <w:ind w:firstLine="480" w:firstLineChars="200"/>
        <w:rPr>
          <w:sz w:val="24"/>
          <w:highlight w:val="none"/>
        </w:rPr>
      </w:pPr>
      <w:r>
        <w:rPr>
          <w:sz w:val="24"/>
          <w:highlight w:val="none"/>
        </w:rPr>
        <w:t>由表</w:t>
      </w:r>
      <w:r>
        <w:rPr>
          <w:rFonts w:hint="eastAsia"/>
          <w:sz w:val="24"/>
          <w:highlight w:val="none"/>
        </w:rPr>
        <w:t>1.</w:t>
      </w:r>
      <w:r>
        <w:rPr>
          <w:rFonts w:hint="eastAsia"/>
          <w:sz w:val="24"/>
          <w:highlight w:val="none"/>
          <w:lang w:val="en-US" w:eastAsia="zh-CN"/>
        </w:rPr>
        <w:t>3</w:t>
      </w:r>
      <w:r>
        <w:rPr>
          <w:sz w:val="24"/>
          <w:highlight w:val="none"/>
        </w:rPr>
        <w:t>-</w:t>
      </w:r>
      <w:r>
        <w:rPr>
          <w:rFonts w:hint="eastAsia"/>
          <w:sz w:val="24"/>
          <w:highlight w:val="none"/>
          <w:lang w:val="en-US" w:eastAsia="zh-CN"/>
        </w:rPr>
        <w:t>2</w:t>
      </w:r>
      <w:r>
        <w:rPr>
          <w:rFonts w:hint="eastAsia"/>
          <w:sz w:val="24"/>
          <w:highlight w:val="none"/>
        </w:rPr>
        <w:t>、表1.</w:t>
      </w:r>
      <w:r>
        <w:rPr>
          <w:rFonts w:hint="eastAsia"/>
          <w:sz w:val="24"/>
          <w:highlight w:val="none"/>
          <w:lang w:val="en-US" w:eastAsia="zh-CN"/>
        </w:rPr>
        <w:t>3</w:t>
      </w:r>
      <w:r>
        <w:rPr>
          <w:rFonts w:hint="eastAsia"/>
          <w:sz w:val="24"/>
          <w:highlight w:val="none"/>
        </w:rPr>
        <w:t>-</w:t>
      </w:r>
      <w:r>
        <w:rPr>
          <w:rFonts w:hint="eastAsia"/>
          <w:sz w:val="24"/>
          <w:highlight w:val="none"/>
          <w:lang w:val="en-US" w:eastAsia="zh-CN"/>
        </w:rPr>
        <w:t>3</w:t>
      </w:r>
      <w:r>
        <w:rPr>
          <w:sz w:val="24"/>
          <w:highlight w:val="none"/>
        </w:rPr>
        <w:t>可知，营运期</w:t>
      </w:r>
      <w:r>
        <w:rPr>
          <w:rFonts w:hint="eastAsia"/>
          <w:sz w:val="24"/>
          <w:highlight w:val="none"/>
        </w:rPr>
        <w:t>正常情况下，</w:t>
      </w:r>
      <w:r>
        <w:rPr>
          <w:sz w:val="24"/>
          <w:highlight w:val="none"/>
        </w:rPr>
        <w:t>对</w:t>
      </w:r>
      <w:r>
        <w:rPr>
          <w:rFonts w:hint="eastAsia"/>
          <w:sz w:val="24"/>
          <w:highlight w:val="none"/>
        </w:rPr>
        <w:t>生态环境（水生、鱼类资源）、环境质量（声环境、固体废物）具有</w:t>
      </w:r>
      <w:r>
        <w:rPr>
          <w:sz w:val="24"/>
          <w:highlight w:val="none"/>
        </w:rPr>
        <w:t>一定的负面影响</w:t>
      </w:r>
      <w:r>
        <w:rPr>
          <w:rFonts w:hint="eastAsia"/>
          <w:sz w:val="24"/>
          <w:highlight w:val="none"/>
        </w:rPr>
        <w:t>；在事故风险时对地表水环境、地下水环境、土壤环境具有</w:t>
      </w:r>
      <w:r>
        <w:rPr>
          <w:sz w:val="24"/>
          <w:highlight w:val="none"/>
        </w:rPr>
        <w:t>一定的负面影响</w:t>
      </w:r>
      <w:r>
        <w:rPr>
          <w:rFonts w:hint="eastAsia"/>
          <w:sz w:val="24"/>
          <w:highlight w:val="none"/>
        </w:rPr>
        <w:t>。</w:t>
      </w:r>
    </w:p>
    <w:p>
      <w:pPr>
        <w:spacing w:line="480" w:lineRule="exact"/>
        <w:ind w:firstLine="480" w:firstLineChars="200"/>
        <w:rPr>
          <w:sz w:val="24"/>
          <w:highlight w:val="none"/>
        </w:rPr>
      </w:pPr>
      <w:r>
        <w:rPr>
          <w:rFonts w:hint="eastAsia"/>
          <w:sz w:val="24"/>
          <w:highlight w:val="none"/>
        </w:rPr>
        <w:t>（2）</w:t>
      </w:r>
      <w:r>
        <w:rPr>
          <w:sz w:val="24"/>
          <w:highlight w:val="none"/>
        </w:rPr>
        <w:t>评价因子</w:t>
      </w:r>
      <w:r>
        <w:rPr>
          <w:rFonts w:hint="eastAsia"/>
          <w:sz w:val="24"/>
          <w:highlight w:val="none"/>
        </w:rPr>
        <w:t>筛选</w:t>
      </w:r>
    </w:p>
    <w:p>
      <w:pPr>
        <w:spacing w:line="480" w:lineRule="exact"/>
        <w:ind w:firstLine="480" w:firstLineChars="200"/>
        <w:rPr>
          <w:rFonts w:hint="eastAsia"/>
          <w:sz w:val="24"/>
          <w:highlight w:val="none"/>
        </w:rPr>
      </w:pPr>
      <w:r>
        <w:rPr>
          <w:rFonts w:hint="eastAsia"/>
          <w:sz w:val="24"/>
          <w:highlight w:val="none"/>
          <w:lang w:eastAsia="zh-CN"/>
        </w:rPr>
        <w:t>本项目</w:t>
      </w:r>
      <w:r>
        <w:rPr>
          <w:rFonts w:hint="eastAsia"/>
          <w:sz w:val="24"/>
          <w:highlight w:val="none"/>
        </w:rPr>
        <w:t>对自然（含生态）和社会环境都有一定的影响，根据本工程特点，电站早已建成并运行多年，因此，本项目对环境的影响主要表现在运行期</w:t>
      </w:r>
      <w:r>
        <w:rPr>
          <w:rFonts w:hint="eastAsia"/>
          <w:sz w:val="24"/>
          <w:highlight w:val="none"/>
          <w:lang w:eastAsia="zh-CN"/>
        </w:rPr>
        <w:t>橡胶坝</w:t>
      </w:r>
      <w:r>
        <w:rPr>
          <w:rFonts w:hint="eastAsia"/>
          <w:sz w:val="24"/>
          <w:highlight w:val="none"/>
        </w:rPr>
        <w:t>对</w:t>
      </w:r>
      <w:r>
        <w:rPr>
          <w:rFonts w:hint="eastAsia"/>
          <w:sz w:val="24"/>
          <w:highlight w:val="none"/>
          <w:lang w:eastAsia="zh-CN"/>
        </w:rPr>
        <w:t>橡胶坝</w:t>
      </w:r>
      <w:r>
        <w:rPr>
          <w:rFonts w:hint="eastAsia"/>
          <w:sz w:val="24"/>
          <w:highlight w:val="none"/>
        </w:rPr>
        <w:t>上</w:t>
      </w:r>
      <w:r>
        <w:rPr>
          <w:rFonts w:hint="eastAsia"/>
          <w:sz w:val="24"/>
          <w:highlight w:val="none"/>
          <w:lang w:eastAsia="zh-CN"/>
        </w:rPr>
        <w:t>、</w:t>
      </w:r>
      <w:r>
        <w:rPr>
          <w:rFonts w:hint="eastAsia"/>
          <w:sz w:val="24"/>
          <w:highlight w:val="none"/>
        </w:rPr>
        <w:t>下游的生态与环境因子产生影响等。</w:t>
      </w:r>
    </w:p>
    <w:p>
      <w:pPr>
        <w:spacing w:line="480" w:lineRule="exact"/>
        <w:ind w:firstLine="480" w:firstLineChars="200"/>
        <w:rPr>
          <w:sz w:val="24"/>
          <w:highlight w:val="none"/>
        </w:rPr>
      </w:pPr>
      <w:r>
        <w:rPr>
          <w:sz w:val="24"/>
          <w:highlight w:val="none"/>
        </w:rPr>
        <w:t>确定本项目评价因子见表</w:t>
      </w:r>
      <w:r>
        <w:rPr>
          <w:rFonts w:hint="eastAsia"/>
          <w:sz w:val="24"/>
          <w:highlight w:val="none"/>
        </w:rPr>
        <w:t>1.</w:t>
      </w:r>
      <w:r>
        <w:rPr>
          <w:rFonts w:hint="eastAsia"/>
          <w:sz w:val="24"/>
          <w:highlight w:val="none"/>
          <w:lang w:val="en-US" w:eastAsia="zh-CN"/>
        </w:rPr>
        <w:t>3</w:t>
      </w:r>
      <w:r>
        <w:rPr>
          <w:sz w:val="24"/>
          <w:highlight w:val="none"/>
        </w:rPr>
        <w:t>-4。</w:t>
      </w:r>
    </w:p>
    <w:p>
      <w:pPr>
        <w:spacing w:line="460" w:lineRule="exact"/>
        <w:jc w:val="center"/>
        <w:rPr>
          <w:b/>
          <w:sz w:val="24"/>
          <w:highlight w:val="none"/>
        </w:rPr>
      </w:pPr>
      <w:r>
        <w:rPr>
          <w:b/>
          <w:sz w:val="24"/>
          <w:highlight w:val="none"/>
        </w:rPr>
        <w:t>表</w:t>
      </w:r>
      <w:r>
        <w:rPr>
          <w:rFonts w:hint="eastAsia"/>
          <w:b/>
          <w:sz w:val="24"/>
          <w:highlight w:val="none"/>
        </w:rPr>
        <w:t>1.</w:t>
      </w:r>
      <w:r>
        <w:rPr>
          <w:rFonts w:hint="eastAsia"/>
          <w:b/>
          <w:sz w:val="24"/>
          <w:highlight w:val="none"/>
          <w:lang w:val="en-US" w:eastAsia="zh-CN"/>
        </w:rPr>
        <w:t>3</w:t>
      </w:r>
      <w:r>
        <w:rPr>
          <w:b/>
          <w:sz w:val="24"/>
          <w:highlight w:val="none"/>
        </w:rPr>
        <w:t xml:space="preserve">-4    </w:t>
      </w:r>
      <w:r>
        <w:rPr>
          <w:rFonts w:hint="eastAsia"/>
          <w:b/>
          <w:sz w:val="24"/>
          <w:highlight w:val="none"/>
        </w:rPr>
        <w:t>各环境要素的评价因子筛选</w:t>
      </w:r>
      <w:r>
        <w:rPr>
          <w:b/>
          <w:sz w:val="24"/>
          <w:highlight w:val="none"/>
        </w:rPr>
        <w:t>一览表</w:t>
      </w:r>
    </w:p>
    <w:tbl>
      <w:tblPr>
        <w:tblStyle w:val="51"/>
        <w:tblW w:w="8496" w:type="dxa"/>
        <w:tblInd w:w="0" w:type="dxa"/>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Layout w:type="fixed"/>
        <w:tblCellMar>
          <w:top w:w="0" w:type="dxa"/>
          <w:left w:w="108" w:type="dxa"/>
          <w:bottom w:w="0" w:type="dxa"/>
          <w:right w:w="108" w:type="dxa"/>
        </w:tblCellMar>
      </w:tblPr>
      <w:tblGrid>
        <w:gridCol w:w="771"/>
        <w:gridCol w:w="569"/>
        <w:gridCol w:w="1425"/>
        <w:gridCol w:w="5731"/>
      </w:tblGrid>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60" w:hRule="atLeast"/>
        </w:trPr>
        <w:tc>
          <w:tcPr>
            <w:tcW w:w="1340" w:type="dxa"/>
            <w:gridSpan w:val="2"/>
            <w:vAlign w:val="center"/>
          </w:tcPr>
          <w:p>
            <w:pPr>
              <w:spacing w:line="300" w:lineRule="exact"/>
              <w:jc w:val="center"/>
              <w:rPr>
                <w:caps/>
                <w:szCs w:val="21"/>
                <w:highlight w:val="none"/>
              </w:rPr>
            </w:pPr>
            <w:bookmarkStart w:id="61" w:name="_Toc246763518"/>
            <w:r>
              <w:rPr>
                <w:caps/>
                <w:szCs w:val="21"/>
                <w:highlight w:val="none"/>
              </w:rPr>
              <w:t>要素</w:t>
            </w:r>
          </w:p>
        </w:tc>
        <w:tc>
          <w:tcPr>
            <w:tcW w:w="1425" w:type="dxa"/>
            <w:vAlign w:val="center"/>
          </w:tcPr>
          <w:p>
            <w:pPr>
              <w:spacing w:line="300" w:lineRule="exact"/>
              <w:jc w:val="center"/>
              <w:rPr>
                <w:caps/>
                <w:szCs w:val="21"/>
                <w:highlight w:val="none"/>
              </w:rPr>
            </w:pPr>
            <w:r>
              <w:rPr>
                <w:caps/>
                <w:szCs w:val="21"/>
                <w:highlight w:val="none"/>
              </w:rPr>
              <w:t>项目</w:t>
            </w:r>
          </w:p>
        </w:tc>
        <w:tc>
          <w:tcPr>
            <w:tcW w:w="5731" w:type="dxa"/>
            <w:vAlign w:val="center"/>
          </w:tcPr>
          <w:p>
            <w:pPr>
              <w:spacing w:line="300" w:lineRule="exact"/>
              <w:jc w:val="center"/>
              <w:rPr>
                <w:caps/>
                <w:szCs w:val="21"/>
                <w:highlight w:val="none"/>
              </w:rPr>
            </w:pPr>
            <w:r>
              <w:rPr>
                <w:caps/>
                <w:szCs w:val="21"/>
                <w:highlight w:val="none"/>
              </w:rPr>
              <w:t>评价因子</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60" w:hRule="atLeast"/>
        </w:trPr>
        <w:tc>
          <w:tcPr>
            <w:tcW w:w="1340" w:type="dxa"/>
            <w:gridSpan w:val="2"/>
            <w:vMerge w:val="restart"/>
            <w:vAlign w:val="center"/>
          </w:tcPr>
          <w:p>
            <w:pPr>
              <w:spacing w:line="300" w:lineRule="exact"/>
              <w:jc w:val="center"/>
              <w:rPr>
                <w:caps/>
                <w:szCs w:val="21"/>
                <w:highlight w:val="none"/>
              </w:rPr>
            </w:pPr>
            <w:r>
              <w:rPr>
                <w:caps/>
                <w:szCs w:val="21"/>
                <w:highlight w:val="none"/>
              </w:rPr>
              <w:t>现状评价</w:t>
            </w:r>
          </w:p>
        </w:tc>
        <w:tc>
          <w:tcPr>
            <w:tcW w:w="1425" w:type="dxa"/>
            <w:vAlign w:val="center"/>
          </w:tcPr>
          <w:p>
            <w:pPr>
              <w:spacing w:line="300" w:lineRule="exact"/>
              <w:jc w:val="center"/>
              <w:rPr>
                <w:caps/>
                <w:szCs w:val="21"/>
                <w:highlight w:val="none"/>
              </w:rPr>
            </w:pPr>
            <w:r>
              <w:rPr>
                <w:caps/>
                <w:szCs w:val="21"/>
                <w:highlight w:val="none"/>
              </w:rPr>
              <w:t>环境</w:t>
            </w:r>
            <w:r>
              <w:rPr>
                <w:rFonts w:hint="eastAsia"/>
                <w:caps/>
                <w:szCs w:val="21"/>
                <w:highlight w:val="none"/>
              </w:rPr>
              <w:t>空气</w:t>
            </w:r>
          </w:p>
        </w:tc>
        <w:tc>
          <w:tcPr>
            <w:tcW w:w="5731" w:type="dxa"/>
            <w:vAlign w:val="center"/>
          </w:tcPr>
          <w:p>
            <w:pPr>
              <w:spacing w:line="300" w:lineRule="exact"/>
              <w:jc w:val="left"/>
              <w:rPr>
                <w:caps/>
                <w:szCs w:val="21"/>
                <w:highlight w:val="none"/>
              </w:rPr>
            </w:pPr>
            <w:r>
              <w:rPr>
                <w:rFonts w:hint="eastAsia"/>
                <w:szCs w:val="21"/>
                <w:highlight w:val="none"/>
              </w:rPr>
              <w:t>区域环境空气质量达标情况：</w:t>
            </w:r>
            <w:r>
              <w:rPr>
                <w:szCs w:val="21"/>
                <w:highlight w:val="none"/>
              </w:rPr>
              <w:t>TSP、PM</w:t>
            </w:r>
            <w:r>
              <w:rPr>
                <w:szCs w:val="21"/>
                <w:highlight w:val="none"/>
                <w:vertAlign w:val="subscript"/>
              </w:rPr>
              <w:t>2.5</w:t>
            </w:r>
            <w:r>
              <w:rPr>
                <w:szCs w:val="21"/>
                <w:highlight w:val="none"/>
              </w:rPr>
              <w:t>、PM</w:t>
            </w:r>
            <w:r>
              <w:rPr>
                <w:szCs w:val="21"/>
                <w:highlight w:val="none"/>
                <w:vertAlign w:val="subscript"/>
              </w:rPr>
              <w:t>10</w:t>
            </w:r>
            <w:r>
              <w:rPr>
                <w:szCs w:val="21"/>
                <w:highlight w:val="none"/>
              </w:rPr>
              <w:t>、SO</w:t>
            </w:r>
            <w:r>
              <w:rPr>
                <w:szCs w:val="21"/>
                <w:highlight w:val="none"/>
                <w:vertAlign w:val="subscript"/>
              </w:rPr>
              <w:t>2</w:t>
            </w:r>
            <w:r>
              <w:rPr>
                <w:szCs w:val="21"/>
                <w:highlight w:val="none"/>
              </w:rPr>
              <w:t>、NO</w:t>
            </w:r>
            <w:r>
              <w:rPr>
                <w:szCs w:val="21"/>
                <w:highlight w:val="none"/>
                <w:vertAlign w:val="subscript"/>
              </w:rPr>
              <w:t>2</w:t>
            </w:r>
            <w:r>
              <w:rPr>
                <w:szCs w:val="21"/>
                <w:highlight w:val="none"/>
              </w:rPr>
              <w:t>、CO、O</w:t>
            </w:r>
            <w:r>
              <w:rPr>
                <w:szCs w:val="21"/>
                <w:highlight w:val="none"/>
                <w:vertAlign w:val="subscript"/>
              </w:rPr>
              <w:t>3</w:t>
            </w:r>
            <w:r>
              <w:rPr>
                <w:rFonts w:hint="eastAsia"/>
                <w:szCs w:val="21"/>
                <w:highlight w:val="none"/>
                <w:vertAlign w:val="baseline"/>
              </w:rPr>
              <w:t>-8h</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60" w:hRule="atLeast"/>
        </w:trPr>
        <w:tc>
          <w:tcPr>
            <w:tcW w:w="1340" w:type="dxa"/>
            <w:gridSpan w:val="2"/>
            <w:vMerge w:val="continue"/>
            <w:vAlign w:val="center"/>
          </w:tcPr>
          <w:p>
            <w:pPr>
              <w:spacing w:line="300" w:lineRule="exact"/>
              <w:jc w:val="center"/>
              <w:rPr>
                <w:caps/>
                <w:szCs w:val="21"/>
                <w:highlight w:val="none"/>
              </w:rPr>
            </w:pPr>
          </w:p>
        </w:tc>
        <w:tc>
          <w:tcPr>
            <w:tcW w:w="1425" w:type="dxa"/>
            <w:vAlign w:val="center"/>
          </w:tcPr>
          <w:p>
            <w:pPr>
              <w:spacing w:line="300" w:lineRule="exact"/>
              <w:jc w:val="center"/>
              <w:rPr>
                <w:caps/>
                <w:szCs w:val="21"/>
                <w:highlight w:val="none"/>
              </w:rPr>
            </w:pPr>
            <w:r>
              <w:rPr>
                <w:caps/>
                <w:szCs w:val="21"/>
                <w:highlight w:val="none"/>
              </w:rPr>
              <w:t>地表水</w:t>
            </w:r>
          </w:p>
        </w:tc>
        <w:tc>
          <w:tcPr>
            <w:tcW w:w="5731" w:type="dxa"/>
            <w:vAlign w:val="center"/>
          </w:tcPr>
          <w:p>
            <w:pPr>
              <w:spacing w:line="300" w:lineRule="exact"/>
              <w:rPr>
                <w:szCs w:val="21"/>
                <w:highlight w:val="none"/>
              </w:rPr>
            </w:pPr>
            <w:r>
              <w:rPr>
                <w:rFonts w:hint="eastAsia"/>
                <w:szCs w:val="21"/>
                <w:highlight w:val="none"/>
              </w:rPr>
              <w:t>pH值、悬浮物、溶解氧、五日生化需氧量、高锰酸盐指数、氨氮、总氮、总磷、石油类、硫化物、阴离子表面活性剂、铅、镉、汞、六价铬、砷、氰化物、锌、铜、挥发酚、粪大肠菌群、氟化物；叶绿素a、透明度</w:t>
            </w:r>
            <w:r>
              <w:rPr>
                <w:szCs w:val="21"/>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60" w:hRule="atLeast"/>
        </w:trPr>
        <w:tc>
          <w:tcPr>
            <w:tcW w:w="1340" w:type="dxa"/>
            <w:gridSpan w:val="2"/>
            <w:vMerge w:val="continue"/>
            <w:vAlign w:val="center"/>
          </w:tcPr>
          <w:p>
            <w:pPr>
              <w:spacing w:line="300" w:lineRule="exact"/>
              <w:jc w:val="center"/>
              <w:rPr>
                <w:caps/>
                <w:szCs w:val="21"/>
                <w:highlight w:val="none"/>
              </w:rPr>
            </w:pPr>
          </w:p>
        </w:tc>
        <w:tc>
          <w:tcPr>
            <w:tcW w:w="1425" w:type="dxa"/>
            <w:vAlign w:val="center"/>
          </w:tcPr>
          <w:p>
            <w:pPr>
              <w:spacing w:line="300" w:lineRule="exact"/>
              <w:jc w:val="center"/>
              <w:rPr>
                <w:caps/>
                <w:szCs w:val="21"/>
                <w:highlight w:val="none"/>
              </w:rPr>
            </w:pPr>
            <w:r>
              <w:rPr>
                <w:caps/>
                <w:szCs w:val="21"/>
                <w:highlight w:val="none"/>
              </w:rPr>
              <w:t>地下水</w:t>
            </w:r>
          </w:p>
        </w:tc>
        <w:tc>
          <w:tcPr>
            <w:tcW w:w="5731" w:type="dxa"/>
            <w:vAlign w:val="center"/>
          </w:tcPr>
          <w:p>
            <w:pPr>
              <w:spacing w:line="300" w:lineRule="exact"/>
              <w:rPr>
                <w:highlight w:val="none"/>
              </w:rPr>
            </w:pPr>
            <w:r>
              <w:rPr>
                <w:highlight w:val="none"/>
              </w:rPr>
              <w:t>pH、K</w:t>
            </w:r>
            <w:r>
              <w:rPr>
                <w:highlight w:val="none"/>
                <w:vertAlign w:val="superscript"/>
              </w:rPr>
              <w:t>+</w:t>
            </w:r>
            <w:r>
              <w:rPr>
                <w:highlight w:val="none"/>
              </w:rPr>
              <w:t>、Na</w:t>
            </w:r>
            <w:r>
              <w:rPr>
                <w:highlight w:val="none"/>
                <w:vertAlign w:val="superscript"/>
              </w:rPr>
              <w:t>+</w:t>
            </w:r>
            <w:r>
              <w:rPr>
                <w:highlight w:val="none"/>
              </w:rPr>
              <w:t>、Ca</w:t>
            </w:r>
            <w:r>
              <w:rPr>
                <w:highlight w:val="none"/>
                <w:vertAlign w:val="superscript"/>
              </w:rPr>
              <w:t>2+</w:t>
            </w:r>
            <w:r>
              <w:rPr>
                <w:highlight w:val="none"/>
              </w:rPr>
              <w:t>、Mg</w:t>
            </w:r>
            <w:r>
              <w:rPr>
                <w:highlight w:val="none"/>
                <w:vertAlign w:val="superscript"/>
              </w:rPr>
              <w:t>2+</w:t>
            </w:r>
            <w:r>
              <w:rPr>
                <w:highlight w:val="none"/>
              </w:rPr>
              <w:t>、CO</w:t>
            </w:r>
            <w:r>
              <w:rPr>
                <w:highlight w:val="none"/>
                <w:vertAlign w:val="subscript"/>
              </w:rPr>
              <w:t>3</w:t>
            </w:r>
            <w:r>
              <w:rPr>
                <w:highlight w:val="none"/>
                <w:vertAlign w:val="superscript"/>
              </w:rPr>
              <w:t>2-</w:t>
            </w:r>
            <w:r>
              <w:rPr>
                <w:highlight w:val="none"/>
              </w:rPr>
              <w:t>、HCO</w:t>
            </w:r>
            <w:r>
              <w:rPr>
                <w:highlight w:val="none"/>
                <w:vertAlign w:val="superscript"/>
              </w:rPr>
              <w:t>3-</w:t>
            </w:r>
            <w:r>
              <w:rPr>
                <w:highlight w:val="none"/>
              </w:rPr>
              <w:t>、Cl</w:t>
            </w:r>
            <w:r>
              <w:rPr>
                <w:highlight w:val="none"/>
                <w:vertAlign w:val="superscript"/>
              </w:rPr>
              <w:t>-</w:t>
            </w:r>
            <w:r>
              <w:rPr>
                <w:highlight w:val="none"/>
              </w:rPr>
              <w:t>、SO</w:t>
            </w:r>
            <w:r>
              <w:rPr>
                <w:highlight w:val="none"/>
                <w:vertAlign w:val="subscript"/>
              </w:rPr>
              <w:t>4</w:t>
            </w:r>
            <w:r>
              <w:rPr>
                <w:highlight w:val="none"/>
                <w:vertAlign w:val="superscript"/>
              </w:rPr>
              <w:t>2-</w:t>
            </w:r>
            <w:r>
              <w:rPr>
                <w:highlight w:val="none"/>
              </w:rPr>
              <w:t>、氨氮、硝酸盐、亚硝酸盐、挥发性酚类、氰化物、砷、汞、铬（六价）、总硬度、铅、氟、镉、铁</w:t>
            </w:r>
            <w:r>
              <w:rPr>
                <w:rFonts w:hint="eastAsia"/>
                <w:highlight w:val="none"/>
                <w:lang w:eastAsia="zh-CN"/>
              </w:rPr>
              <w:t>、锰</w:t>
            </w:r>
            <w:r>
              <w:rPr>
                <w:highlight w:val="none"/>
              </w:rPr>
              <w:t>、溶解性总固体、</w:t>
            </w:r>
            <w:r>
              <w:rPr>
                <w:rFonts w:hint="eastAsia"/>
                <w:highlight w:val="none"/>
                <w:lang w:eastAsia="zh-CN"/>
              </w:rPr>
              <w:t>耗氧量</w:t>
            </w:r>
            <w:r>
              <w:rPr>
                <w:highlight w:val="none"/>
              </w:rPr>
              <w:t>、硫酸盐、氯化物、总大肠菌群、细菌总数、石油类。</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60" w:hRule="atLeast"/>
        </w:trPr>
        <w:tc>
          <w:tcPr>
            <w:tcW w:w="1340" w:type="dxa"/>
            <w:gridSpan w:val="2"/>
            <w:vMerge w:val="continue"/>
            <w:vAlign w:val="center"/>
          </w:tcPr>
          <w:p>
            <w:pPr>
              <w:spacing w:line="300" w:lineRule="exact"/>
              <w:jc w:val="center"/>
              <w:rPr>
                <w:caps/>
                <w:szCs w:val="21"/>
                <w:highlight w:val="none"/>
              </w:rPr>
            </w:pPr>
          </w:p>
        </w:tc>
        <w:tc>
          <w:tcPr>
            <w:tcW w:w="1425" w:type="dxa"/>
            <w:vAlign w:val="center"/>
          </w:tcPr>
          <w:p>
            <w:pPr>
              <w:spacing w:line="300" w:lineRule="exact"/>
              <w:jc w:val="center"/>
              <w:rPr>
                <w:caps/>
                <w:szCs w:val="21"/>
                <w:highlight w:val="none"/>
              </w:rPr>
            </w:pPr>
            <w:r>
              <w:rPr>
                <w:caps/>
                <w:szCs w:val="21"/>
                <w:highlight w:val="none"/>
              </w:rPr>
              <w:t>声环境</w:t>
            </w:r>
          </w:p>
        </w:tc>
        <w:tc>
          <w:tcPr>
            <w:tcW w:w="5731" w:type="dxa"/>
            <w:vAlign w:val="center"/>
          </w:tcPr>
          <w:p>
            <w:pPr>
              <w:spacing w:line="300" w:lineRule="exact"/>
              <w:jc w:val="center"/>
              <w:rPr>
                <w:caps/>
                <w:szCs w:val="21"/>
                <w:highlight w:val="none"/>
              </w:rPr>
            </w:pPr>
            <w:r>
              <w:rPr>
                <w:caps/>
                <w:szCs w:val="21"/>
                <w:highlight w:val="none"/>
              </w:rPr>
              <w:t>等效连续A声级</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60" w:hRule="atLeast"/>
        </w:trPr>
        <w:tc>
          <w:tcPr>
            <w:tcW w:w="1340" w:type="dxa"/>
            <w:gridSpan w:val="2"/>
            <w:vMerge w:val="continue"/>
            <w:vAlign w:val="center"/>
          </w:tcPr>
          <w:p>
            <w:pPr>
              <w:spacing w:line="300" w:lineRule="exact"/>
              <w:jc w:val="center"/>
              <w:rPr>
                <w:caps/>
                <w:szCs w:val="21"/>
                <w:highlight w:val="none"/>
              </w:rPr>
            </w:pPr>
          </w:p>
        </w:tc>
        <w:tc>
          <w:tcPr>
            <w:tcW w:w="1425" w:type="dxa"/>
            <w:vAlign w:val="center"/>
          </w:tcPr>
          <w:p>
            <w:pPr>
              <w:spacing w:line="300" w:lineRule="exact"/>
              <w:jc w:val="center"/>
              <w:rPr>
                <w:rFonts w:hint="eastAsia" w:eastAsia="宋体"/>
                <w:caps/>
                <w:szCs w:val="21"/>
                <w:highlight w:val="none"/>
                <w:lang w:eastAsia="zh-CN"/>
              </w:rPr>
            </w:pPr>
            <w:r>
              <w:rPr>
                <w:rFonts w:hint="eastAsia"/>
                <w:caps/>
                <w:color w:val="auto"/>
                <w:szCs w:val="21"/>
                <w:highlight w:val="none"/>
                <w:lang w:eastAsia="zh-CN"/>
              </w:rPr>
              <w:t>土壤</w:t>
            </w:r>
          </w:p>
        </w:tc>
        <w:tc>
          <w:tcPr>
            <w:tcW w:w="5731" w:type="dxa"/>
            <w:vAlign w:val="center"/>
          </w:tcPr>
          <w:p>
            <w:pPr>
              <w:spacing w:line="300" w:lineRule="exact"/>
              <w:jc w:val="left"/>
              <w:rPr>
                <w:rFonts w:hint="default" w:eastAsia="宋体"/>
                <w:caps/>
                <w:szCs w:val="21"/>
                <w:highlight w:val="none"/>
                <w:lang w:val="en-US" w:eastAsia="zh-CN"/>
              </w:rPr>
            </w:pPr>
            <w:r>
              <w:rPr>
                <w:rFonts w:hint="default" w:ascii="Times New Roman" w:hAnsi="Times New Roman" w:eastAsia="宋体" w:cs="Times New Roman"/>
                <w:caps w:val="0"/>
                <w:snapToGrid w:val="0"/>
                <w:color w:val="auto"/>
                <w:kern w:val="0"/>
                <w:sz w:val="21"/>
                <w:szCs w:val="21"/>
                <w:highlight w:val="none"/>
                <w:lang w:val="en-US" w:eastAsia="zh-CN"/>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石油烃、pH</w:t>
            </w:r>
            <w:r>
              <w:rPr>
                <w:rFonts w:hint="eastAsia" w:ascii="Times New Roman" w:hAnsi="Times New Roman" w:eastAsia="宋体" w:cs="Times New Roman"/>
                <w:caps w:val="0"/>
                <w:snapToGrid w:val="0"/>
                <w:color w:val="auto"/>
                <w:kern w:val="0"/>
                <w:sz w:val="21"/>
                <w:szCs w:val="21"/>
                <w:highlight w:val="none"/>
                <w:lang w:val="en-US" w:eastAsia="zh-CN"/>
              </w:rPr>
              <w:t>，</w:t>
            </w:r>
            <w:r>
              <w:rPr>
                <w:rFonts w:hint="eastAsia"/>
                <w:caps/>
                <w:szCs w:val="21"/>
                <w:highlight w:val="none"/>
                <w:lang w:val="en-US" w:eastAsia="zh-CN"/>
              </w:rPr>
              <w:t>47项</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60" w:hRule="atLeast"/>
        </w:trPr>
        <w:tc>
          <w:tcPr>
            <w:tcW w:w="1340" w:type="dxa"/>
            <w:gridSpan w:val="2"/>
            <w:vMerge w:val="continue"/>
            <w:vAlign w:val="center"/>
          </w:tcPr>
          <w:p>
            <w:pPr>
              <w:spacing w:line="300" w:lineRule="exact"/>
              <w:jc w:val="center"/>
              <w:rPr>
                <w:caps/>
                <w:szCs w:val="21"/>
                <w:highlight w:val="none"/>
              </w:rPr>
            </w:pPr>
          </w:p>
        </w:tc>
        <w:tc>
          <w:tcPr>
            <w:tcW w:w="1425" w:type="dxa"/>
            <w:vAlign w:val="center"/>
          </w:tcPr>
          <w:p>
            <w:pPr>
              <w:spacing w:line="300" w:lineRule="exact"/>
              <w:jc w:val="center"/>
              <w:rPr>
                <w:caps/>
                <w:szCs w:val="21"/>
                <w:highlight w:val="none"/>
              </w:rPr>
            </w:pPr>
            <w:r>
              <w:rPr>
                <w:caps/>
                <w:szCs w:val="21"/>
                <w:highlight w:val="none"/>
              </w:rPr>
              <w:t>生态环境</w:t>
            </w:r>
          </w:p>
        </w:tc>
        <w:tc>
          <w:tcPr>
            <w:tcW w:w="5731" w:type="dxa"/>
            <w:vAlign w:val="center"/>
          </w:tcPr>
          <w:p>
            <w:pPr>
              <w:spacing w:line="300" w:lineRule="exact"/>
              <w:rPr>
                <w:szCs w:val="21"/>
                <w:highlight w:val="none"/>
              </w:rPr>
            </w:pPr>
            <w:r>
              <w:rPr>
                <w:rFonts w:hint="eastAsia"/>
                <w:szCs w:val="21"/>
                <w:highlight w:val="none"/>
              </w:rPr>
              <w:t>水生生态：水生生物、鱼类的种类和数量；</w:t>
            </w:r>
          </w:p>
          <w:p>
            <w:pPr>
              <w:spacing w:line="300" w:lineRule="exact"/>
              <w:rPr>
                <w:caps/>
                <w:szCs w:val="21"/>
                <w:highlight w:val="none"/>
              </w:rPr>
            </w:pPr>
            <w:r>
              <w:rPr>
                <w:rFonts w:hint="eastAsia"/>
                <w:szCs w:val="21"/>
                <w:highlight w:val="none"/>
              </w:rPr>
              <w:t>陆生生态：植被、动物、珍稀保护动植物种类及分布</w:t>
            </w:r>
            <w:r>
              <w:rPr>
                <w:szCs w:val="21"/>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60" w:hRule="atLeast"/>
        </w:trPr>
        <w:tc>
          <w:tcPr>
            <w:tcW w:w="771" w:type="dxa"/>
            <w:vMerge w:val="restart"/>
            <w:vAlign w:val="center"/>
          </w:tcPr>
          <w:p>
            <w:pPr>
              <w:spacing w:line="300" w:lineRule="exact"/>
              <w:jc w:val="center"/>
              <w:rPr>
                <w:caps/>
                <w:szCs w:val="21"/>
                <w:highlight w:val="none"/>
              </w:rPr>
            </w:pPr>
            <w:r>
              <w:rPr>
                <w:caps/>
                <w:szCs w:val="21"/>
                <w:highlight w:val="none"/>
              </w:rPr>
              <w:t>影响分析</w:t>
            </w:r>
          </w:p>
          <w:p>
            <w:pPr>
              <w:spacing w:line="300" w:lineRule="exact"/>
              <w:jc w:val="center"/>
              <w:rPr>
                <w:caps/>
                <w:szCs w:val="21"/>
                <w:highlight w:val="none"/>
              </w:rPr>
            </w:pPr>
            <w:r>
              <w:rPr>
                <w:caps/>
                <w:szCs w:val="21"/>
                <w:highlight w:val="none"/>
              </w:rPr>
              <w:t>/评价</w:t>
            </w:r>
          </w:p>
        </w:tc>
        <w:tc>
          <w:tcPr>
            <w:tcW w:w="569" w:type="dxa"/>
            <w:vMerge w:val="restart"/>
            <w:vAlign w:val="center"/>
          </w:tcPr>
          <w:p>
            <w:pPr>
              <w:spacing w:line="300" w:lineRule="exact"/>
              <w:jc w:val="center"/>
              <w:rPr>
                <w:caps/>
                <w:szCs w:val="21"/>
                <w:highlight w:val="none"/>
              </w:rPr>
            </w:pPr>
            <w:r>
              <w:rPr>
                <w:caps/>
                <w:szCs w:val="21"/>
                <w:highlight w:val="none"/>
              </w:rPr>
              <w:t>运营期</w:t>
            </w:r>
          </w:p>
        </w:tc>
        <w:tc>
          <w:tcPr>
            <w:tcW w:w="1425" w:type="dxa"/>
            <w:vAlign w:val="center"/>
          </w:tcPr>
          <w:p>
            <w:pPr>
              <w:spacing w:line="300" w:lineRule="exact"/>
              <w:jc w:val="center"/>
              <w:rPr>
                <w:caps/>
                <w:szCs w:val="21"/>
                <w:highlight w:val="none"/>
              </w:rPr>
            </w:pPr>
            <w:r>
              <w:rPr>
                <w:caps/>
                <w:szCs w:val="21"/>
                <w:highlight w:val="none"/>
              </w:rPr>
              <w:t>大气环境</w:t>
            </w:r>
          </w:p>
        </w:tc>
        <w:tc>
          <w:tcPr>
            <w:tcW w:w="5731" w:type="dxa"/>
            <w:vAlign w:val="center"/>
          </w:tcPr>
          <w:p>
            <w:pPr>
              <w:spacing w:line="300" w:lineRule="exact"/>
              <w:jc w:val="center"/>
              <w:rPr>
                <w:rFonts w:hint="eastAsia" w:eastAsia="宋体"/>
                <w:b/>
                <w:caps/>
                <w:szCs w:val="21"/>
                <w:highlight w:val="none"/>
                <w:lang w:val="en-US" w:eastAsia="zh-CN"/>
              </w:rPr>
            </w:pPr>
            <w:r>
              <w:rPr>
                <w:rFonts w:hint="eastAsia"/>
                <w:b/>
                <w:caps/>
                <w:szCs w:val="21"/>
                <w:highlight w:val="non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60" w:hRule="atLeast"/>
        </w:trPr>
        <w:tc>
          <w:tcPr>
            <w:tcW w:w="771" w:type="dxa"/>
            <w:vMerge w:val="continue"/>
            <w:vAlign w:val="center"/>
          </w:tcPr>
          <w:p>
            <w:pPr>
              <w:spacing w:line="300" w:lineRule="exact"/>
              <w:jc w:val="center"/>
              <w:rPr>
                <w:caps/>
                <w:color w:val="auto"/>
                <w:szCs w:val="21"/>
                <w:highlight w:val="none"/>
              </w:rPr>
            </w:pPr>
          </w:p>
        </w:tc>
        <w:tc>
          <w:tcPr>
            <w:tcW w:w="569" w:type="dxa"/>
            <w:vMerge w:val="continue"/>
            <w:vAlign w:val="center"/>
          </w:tcPr>
          <w:p>
            <w:pPr>
              <w:spacing w:line="300" w:lineRule="exact"/>
              <w:jc w:val="center"/>
              <w:rPr>
                <w:caps/>
                <w:color w:val="auto"/>
                <w:szCs w:val="21"/>
                <w:highlight w:val="none"/>
              </w:rPr>
            </w:pPr>
          </w:p>
        </w:tc>
        <w:tc>
          <w:tcPr>
            <w:tcW w:w="1425" w:type="dxa"/>
            <w:vAlign w:val="center"/>
          </w:tcPr>
          <w:p>
            <w:pPr>
              <w:spacing w:line="300" w:lineRule="exact"/>
              <w:jc w:val="center"/>
              <w:rPr>
                <w:caps/>
                <w:color w:val="auto"/>
                <w:szCs w:val="21"/>
                <w:highlight w:val="none"/>
              </w:rPr>
            </w:pPr>
            <w:r>
              <w:rPr>
                <w:caps/>
                <w:color w:val="auto"/>
                <w:szCs w:val="21"/>
                <w:highlight w:val="none"/>
              </w:rPr>
              <w:t>地表水</w:t>
            </w:r>
          </w:p>
        </w:tc>
        <w:tc>
          <w:tcPr>
            <w:tcW w:w="5731" w:type="dxa"/>
            <w:vAlign w:val="center"/>
          </w:tcPr>
          <w:p>
            <w:pPr>
              <w:spacing w:line="300" w:lineRule="exact"/>
              <w:jc w:val="left"/>
              <w:rPr>
                <w:caps/>
                <w:color w:val="auto"/>
                <w:szCs w:val="21"/>
                <w:highlight w:val="none"/>
              </w:rPr>
            </w:pPr>
            <w:r>
              <w:rPr>
                <w:caps/>
                <w:color w:val="auto"/>
                <w:szCs w:val="21"/>
                <w:highlight w:val="none"/>
              </w:rPr>
              <w:t>水质</w:t>
            </w:r>
            <w:r>
              <w:rPr>
                <w:rFonts w:hint="eastAsia"/>
                <w:caps/>
                <w:color w:val="auto"/>
                <w:szCs w:val="21"/>
                <w:highlight w:val="none"/>
              </w:rPr>
              <w:t>：COD、氨氮、</w:t>
            </w:r>
            <w:r>
              <w:rPr>
                <w:caps/>
                <w:color w:val="auto"/>
                <w:szCs w:val="21"/>
                <w:highlight w:val="none"/>
              </w:rPr>
              <w:t>石油类</w:t>
            </w:r>
            <w:r>
              <w:rPr>
                <w:rFonts w:hint="eastAsia"/>
                <w:caps/>
                <w:color w:val="auto"/>
                <w:szCs w:val="21"/>
                <w:highlight w:val="none"/>
              </w:rPr>
              <w:t>；</w:t>
            </w:r>
          </w:p>
          <w:p>
            <w:pPr>
              <w:spacing w:line="300" w:lineRule="exact"/>
              <w:jc w:val="left"/>
              <w:rPr>
                <w:caps/>
                <w:color w:val="auto"/>
                <w:szCs w:val="21"/>
                <w:highlight w:val="none"/>
              </w:rPr>
            </w:pPr>
            <w:r>
              <w:rPr>
                <w:rFonts w:hint="eastAsia"/>
                <w:caps/>
                <w:color w:val="auto"/>
                <w:szCs w:val="21"/>
                <w:highlight w:val="none"/>
              </w:rPr>
              <w:t>水文情势：水位、流量、流速</w:t>
            </w:r>
            <w:r>
              <w:rPr>
                <w:rFonts w:hint="eastAsia"/>
                <w:caps/>
                <w:color w:val="auto"/>
                <w:szCs w:val="21"/>
                <w:highlight w:val="none"/>
                <w:lang w:eastAsia="zh-CN"/>
              </w:rPr>
              <w:t>、水温、泥沙</w:t>
            </w:r>
            <w:r>
              <w:rPr>
                <w:rFonts w:hint="eastAsia"/>
                <w:caps/>
                <w:color w:val="auto"/>
                <w:szCs w:val="21"/>
                <w:highlight w:val="none"/>
              </w:rPr>
              <w:t>等。</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60" w:hRule="atLeast"/>
        </w:trPr>
        <w:tc>
          <w:tcPr>
            <w:tcW w:w="771" w:type="dxa"/>
            <w:vMerge w:val="continue"/>
            <w:vAlign w:val="center"/>
          </w:tcPr>
          <w:p>
            <w:pPr>
              <w:spacing w:line="300" w:lineRule="exact"/>
              <w:jc w:val="center"/>
              <w:rPr>
                <w:caps/>
                <w:color w:val="auto"/>
                <w:szCs w:val="21"/>
                <w:highlight w:val="none"/>
              </w:rPr>
            </w:pPr>
          </w:p>
        </w:tc>
        <w:tc>
          <w:tcPr>
            <w:tcW w:w="569" w:type="dxa"/>
            <w:vMerge w:val="continue"/>
            <w:vAlign w:val="center"/>
          </w:tcPr>
          <w:p>
            <w:pPr>
              <w:spacing w:line="300" w:lineRule="exact"/>
              <w:jc w:val="center"/>
              <w:rPr>
                <w:caps/>
                <w:color w:val="auto"/>
                <w:szCs w:val="21"/>
                <w:highlight w:val="none"/>
              </w:rPr>
            </w:pPr>
          </w:p>
        </w:tc>
        <w:tc>
          <w:tcPr>
            <w:tcW w:w="1425" w:type="dxa"/>
            <w:vAlign w:val="center"/>
          </w:tcPr>
          <w:p>
            <w:pPr>
              <w:spacing w:line="300" w:lineRule="exact"/>
              <w:jc w:val="center"/>
              <w:rPr>
                <w:caps/>
                <w:color w:val="auto"/>
                <w:szCs w:val="21"/>
                <w:highlight w:val="none"/>
              </w:rPr>
            </w:pPr>
            <w:r>
              <w:rPr>
                <w:caps/>
                <w:color w:val="auto"/>
                <w:szCs w:val="21"/>
                <w:highlight w:val="none"/>
              </w:rPr>
              <w:t>地下水</w:t>
            </w:r>
          </w:p>
        </w:tc>
        <w:tc>
          <w:tcPr>
            <w:tcW w:w="5731" w:type="dxa"/>
            <w:vAlign w:val="center"/>
          </w:tcPr>
          <w:p>
            <w:pPr>
              <w:spacing w:line="300" w:lineRule="exact"/>
              <w:jc w:val="left"/>
              <w:rPr>
                <w:color w:val="auto"/>
                <w:szCs w:val="21"/>
                <w:highlight w:val="none"/>
              </w:rPr>
            </w:pPr>
            <w:r>
              <w:rPr>
                <w:color w:val="auto"/>
                <w:szCs w:val="21"/>
                <w:highlight w:val="none"/>
              </w:rPr>
              <w:t>耗氧量、石油类</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60" w:hRule="atLeast"/>
        </w:trPr>
        <w:tc>
          <w:tcPr>
            <w:tcW w:w="771" w:type="dxa"/>
            <w:vMerge w:val="continue"/>
            <w:vAlign w:val="center"/>
          </w:tcPr>
          <w:p>
            <w:pPr>
              <w:spacing w:line="300" w:lineRule="exact"/>
              <w:jc w:val="center"/>
              <w:rPr>
                <w:caps/>
                <w:color w:val="auto"/>
                <w:szCs w:val="21"/>
                <w:highlight w:val="none"/>
              </w:rPr>
            </w:pPr>
          </w:p>
        </w:tc>
        <w:tc>
          <w:tcPr>
            <w:tcW w:w="569" w:type="dxa"/>
            <w:vMerge w:val="continue"/>
            <w:vAlign w:val="center"/>
          </w:tcPr>
          <w:p>
            <w:pPr>
              <w:spacing w:line="300" w:lineRule="exact"/>
              <w:jc w:val="center"/>
              <w:rPr>
                <w:caps/>
                <w:color w:val="auto"/>
                <w:szCs w:val="21"/>
                <w:highlight w:val="none"/>
              </w:rPr>
            </w:pPr>
          </w:p>
        </w:tc>
        <w:tc>
          <w:tcPr>
            <w:tcW w:w="1425" w:type="dxa"/>
            <w:vAlign w:val="center"/>
          </w:tcPr>
          <w:p>
            <w:pPr>
              <w:spacing w:line="300" w:lineRule="exact"/>
              <w:jc w:val="center"/>
              <w:rPr>
                <w:caps/>
                <w:color w:val="auto"/>
                <w:szCs w:val="21"/>
                <w:highlight w:val="none"/>
              </w:rPr>
            </w:pPr>
            <w:r>
              <w:rPr>
                <w:caps/>
                <w:color w:val="auto"/>
                <w:szCs w:val="21"/>
                <w:highlight w:val="none"/>
              </w:rPr>
              <w:t>声环境</w:t>
            </w:r>
          </w:p>
        </w:tc>
        <w:tc>
          <w:tcPr>
            <w:tcW w:w="5731" w:type="dxa"/>
            <w:vAlign w:val="center"/>
          </w:tcPr>
          <w:p>
            <w:pPr>
              <w:spacing w:line="300" w:lineRule="exact"/>
              <w:jc w:val="left"/>
              <w:rPr>
                <w:caps/>
                <w:color w:val="auto"/>
                <w:szCs w:val="21"/>
                <w:highlight w:val="none"/>
              </w:rPr>
            </w:pPr>
            <w:r>
              <w:rPr>
                <w:caps/>
                <w:color w:val="auto"/>
                <w:szCs w:val="21"/>
                <w:highlight w:val="none"/>
              </w:rPr>
              <w:t>等效连续A声级</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50" w:hRule="atLeast"/>
        </w:trPr>
        <w:tc>
          <w:tcPr>
            <w:tcW w:w="771" w:type="dxa"/>
            <w:vMerge w:val="continue"/>
            <w:vAlign w:val="center"/>
          </w:tcPr>
          <w:p>
            <w:pPr>
              <w:spacing w:line="300" w:lineRule="exact"/>
              <w:jc w:val="center"/>
              <w:rPr>
                <w:caps/>
                <w:color w:val="auto"/>
                <w:szCs w:val="21"/>
                <w:highlight w:val="none"/>
              </w:rPr>
            </w:pPr>
          </w:p>
        </w:tc>
        <w:tc>
          <w:tcPr>
            <w:tcW w:w="569" w:type="dxa"/>
            <w:vMerge w:val="continue"/>
            <w:vAlign w:val="center"/>
          </w:tcPr>
          <w:p>
            <w:pPr>
              <w:spacing w:line="300" w:lineRule="exact"/>
              <w:jc w:val="center"/>
              <w:rPr>
                <w:caps/>
                <w:color w:val="auto"/>
                <w:szCs w:val="21"/>
                <w:highlight w:val="none"/>
              </w:rPr>
            </w:pPr>
          </w:p>
        </w:tc>
        <w:tc>
          <w:tcPr>
            <w:tcW w:w="1425" w:type="dxa"/>
            <w:vAlign w:val="center"/>
          </w:tcPr>
          <w:p>
            <w:pPr>
              <w:spacing w:line="300" w:lineRule="exact"/>
              <w:jc w:val="center"/>
              <w:rPr>
                <w:caps/>
                <w:color w:val="auto"/>
                <w:szCs w:val="21"/>
                <w:highlight w:val="none"/>
              </w:rPr>
            </w:pPr>
            <w:r>
              <w:rPr>
                <w:caps/>
                <w:color w:val="auto"/>
                <w:szCs w:val="21"/>
                <w:highlight w:val="none"/>
              </w:rPr>
              <w:t>固体废物</w:t>
            </w:r>
          </w:p>
        </w:tc>
        <w:tc>
          <w:tcPr>
            <w:tcW w:w="5731" w:type="dxa"/>
            <w:vAlign w:val="center"/>
          </w:tcPr>
          <w:p>
            <w:pPr>
              <w:spacing w:line="300" w:lineRule="exact"/>
              <w:jc w:val="left"/>
              <w:rPr>
                <w:caps/>
                <w:color w:val="auto"/>
                <w:szCs w:val="21"/>
                <w:highlight w:val="none"/>
              </w:rPr>
            </w:pPr>
            <w:r>
              <w:rPr>
                <w:rFonts w:hint="eastAsia"/>
                <w:color w:val="auto"/>
                <w:szCs w:val="21"/>
                <w:highlight w:val="none"/>
              </w:rPr>
              <w:t>危废：</w:t>
            </w:r>
            <w:r>
              <w:rPr>
                <w:color w:val="auto"/>
                <w:szCs w:val="21"/>
                <w:highlight w:val="none"/>
              </w:rPr>
              <w:t>废</w:t>
            </w:r>
            <w:r>
              <w:rPr>
                <w:rFonts w:hint="eastAsia"/>
                <w:color w:val="auto"/>
                <w:szCs w:val="21"/>
                <w:highlight w:val="none"/>
                <w:lang w:eastAsia="zh-CN"/>
              </w:rPr>
              <w:t>润滑油、废油桶、含油废棉丝、废变压器油</w:t>
            </w:r>
            <w:r>
              <w:rPr>
                <w:rFonts w:hint="eastAsia"/>
                <w:color w:val="auto"/>
                <w:szCs w:val="21"/>
                <w:highlight w:val="none"/>
              </w:rPr>
              <w:t>；一般固废：</w:t>
            </w:r>
            <w:r>
              <w:rPr>
                <w:color w:val="auto"/>
                <w:szCs w:val="21"/>
                <w:highlight w:val="none"/>
              </w:rPr>
              <w:t>职工生活垃圾</w:t>
            </w:r>
            <w:r>
              <w:rPr>
                <w:rFonts w:hint="eastAsia"/>
                <w:color w:val="auto"/>
                <w:szCs w:val="21"/>
                <w:highlight w:val="none"/>
                <w:lang w:eastAsia="zh-CN"/>
              </w:rPr>
              <w:t>、格栅截留物</w:t>
            </w:r>
            <w:r>
              <w:rPr>
                <w:rFonts w:hint="eastAsia"/>
                <w:color w:val="auto"/>
                <w:szCs w:val="21"/>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50" w:hRule="atLeast"/>
        </w:trPr>
        <w:tc>
          <w:tcPr>
            <w:tcW w:w="771" w:type="dxa"/>
            <w:vMerge w:val="continue"/>
            <w:vAlign w:val="center"/>
          </w:tcPr>
          <w:p>
            <w:pPr>
              <w:spacing w:line="300" w:lineRule="exact"/>
              <w:jc w:val="center"/>
              <w:rPr>
                <w:caps/>
                <w:color w:val="auto"/>
                <w:szCs w:val="21"/>
                <w:highlight w:val="none"/>
              </w:rPr>
            </w:pPr>
          </w:p>
        </w:tc>
        <w:tc>
          <w:tcPr>
            <w:tcW w:w="569" w:type="dxa"/>
            <w:vMerge w:val="continue"/>
            <w:vAlign w:val="center"/>
          </w:tcPr>
          <w:p>
            <w:pPr>
              <w:spacing w:line="300" w:lineRule="exact"/>
              <w:jc w:val="center"/>
              <w:rPr>
                <w:caps/>
                <w:color w:val="auto"/>
                <w:szCs w:val="21"/>
                <w:highlight w:val="none"/>
              </w:rPr>
            </w:pPr>
          </w:p>
        </w:tc>
        <w:tc>
          <w:tcPr>
            <w:tcW w:w="1425" w:type="dxa"/>
            <w:vAlign w:val="center"/>
          </w:tcPr>
          <w:p>
            <w:pPr>
              <w:spacing w:line="300" w:lineRule="exact"/>
              <w:jc w:val="center"/>
              <w:rPr>
                <w:caps/>
                <w:color w:val="auto"/>
                <w:szCs w:val="21"/>
                <w:highlight w:val="none"/>
              </w:rPr>
            </w:pPr>
            <w:r>
              <w:rPr>
                <w:caps/>
                <w:color w:val="auto"/>
                <w:szCs w:val="21"/>
                <w:highlight w:val="none"/>
              </w:rPr>
              <w:t>生态环境</w:t>
            </w:r>
          </w:p>
        </w:tc>
        <w:tc>
          <w:tcPr>
            <w:tcW w:w="5731" w:type="dxa"/>
            <w:vAlign w:val="center"/>
          </w:tcPr>
          <w:p>
            <w:pPr>
              <w:spacing w:line="300" w:lineRule="exact"/>
              <w:rPr>
                <w:color w:val="auto"/>
                <w:szCs w:val="21"/>
                <w:highlight w:val="none"/>
              </w:rPr>
            </w:pPr>
            <w:r>
              <w:rPr>
                <w:rFonts w:hint="eastAsia"/>
                <w:color w:val="auto"/>
                <w:szCs w:val="21"/>
                <w:highlight w:val="none"/>
              </w:rPr>
              <w:t>水生生态：水生生物、鱼类的种类和数量；</w:t>
            </w:r>
          </w:p>
          <w:p>
            <w:pPr>
              <w:spacing w:line="300" w:lineRule="exact"/>
              <w:rPr>
                <w:color w:val="auto"/>
                <w:szCs w:val="21"/>
                <w:highlight w:val="none"/>
              </w:rPr>
            </w:pPr>
            <w:r>
              <w:rPr>
                <w:rFonts w:hint="eastAsia"/>
                <w:color w:val="auto"/>
                <w:szCs w:val="21"/>
                <w:highlight w:val="none"/>
              </w:rPr>
              <w:t>陆生生态：植被、动物、珍稀保护动植物种类及分布</w:t>
            </w:r>
            <w:r>
              <w:rPr>
                <w:color w:val="auto"/>
                <w:szCs w:val="21"/>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50" w:hRule="atLeast"/>
        </w:trPr>
        <w:tc>
          <w:tcPr>
            <w:tcW w:w="771" w:type="dxa"/>
            <w:vMerge w:val="continue"/>
            <w:vAlign w:val="center"/>
          </w:tcPr>
          <w:p>
            <w:pPr>
              <w:spacing w:line="300" w:lineRule="exact"/>
              <w:jc w:val="center"/>
              <w:rPr>
                <w:caps/>
                <w:color w:val="auto"/>
                <w:szCs w:val="21"/>
                <w:highlight w:val="none"/>
              </w:rPr>
            </w:pPr>
          </w:p>
        </w:tc>
        <w:tc>
          <w:tcPr>
            <w:tcW w:w="569" w:type="dxa"/>
            <w:vMerge w:val="continue"/>
            <w:vAlign w:val="center"/>
          </w:tcPr>
          <w:p>
            <w:pPr>
              <w:spacing w:line="300" w:lineRule="exact"/>
              <w:jc w:val="center"/>
              <w:rPr>
                <w:caps/>
                <w:color w:val="auto"/>
                <w:szCs w:val="21"/>
                <w:highlight w:val="none"/>
              </w:rPr>
            </w:pPr>
          </w:p>
        </w:tc>
        <w:tc>
          <w:tcPr>
            <w:tcW w:w="1425" w:type="dxa"/>
            <w:vAlign w:val="center"/>
          </w:tcPr>
          <w:p>
            <w:pPr>
              <w:spacing w:line="300" w:lineRule="exact"/>
              <w:jc w:val="center"/>
              <w:rPr>
                <w:caps/>
                <w:color w:val="auto"/>
                <w:szCs w:val="21"/>
                <w:highlight w:val="none"/>
              </w:rPr>
            </w:pPr>
            <w:r>
              <w:rPr>
                <w:rFonts w:hint="eastAsia"/>
                <w:caps/>
                <w:color w:val="auto"/>
                <w:szCs w:val="21"/>
                <w:highlight w:val="none"/>
              </w:rPr>
              <w:t>环境风险</w:t>
            </w:r>
          </w:p>
        </w:tc>
        <w:tc>
          <w:tcPr>
            <w:tcW w:w="5731" w:type="dxa"/>
            <w:vAlign w:val="center"/>
          </w:tcPr>
          <w:p>
            <w:pPr>
              <w:spacing w:line="300" w:lineRule="exact"/>
              <w:rPr>
                <w:color w:val="auto"/>
                <w:szCs w:val="21"/>
                <w:highlight w:val="none"/>
              </w:rPr>
            </w:pPr>
            <w:r>
              <w:rPr>
                <w:rFonts w:hint="eastAsia"/>
                <w:color w:val="auto"/>
                <w:szCs w:val="21"/>
                <w:highlight w:val="none"/>
              </w:rPr>
              <w:t>溢油、火灾</w:t>
            </w:r>
          </w:p>
        </w:tc>
      </w:tr>
      <w:bookmarkEnd w:id="61"/>
    </w:tbl>
    <w:p>
      <w:pPr>
        <w:pStyle w:val="309"/>
        <w:rPr>
          <w:color w:val="auto"/>
          <w:highlight w:val="none"/>
        </w:rPr>
      </w:pPr>
      <w:r>
        <w:rPr>
          <w:rFonts w:hint="eastAsia"/>
          <w:color w:val="auto"/>
          <w:highlight w:val="none"/>
        </w:rPr>
        <w:t>（3）评价重点</w:t>
      </w:r>
    </w:p>
    <w:p>
      <w:pPr>
        <w:pStyle w:val="309"/>
        <w:rPr>
          <w:color w:val="auto"/>
          <w:highlight w:val="none"/>
        </w:rPr>
      </w:pPr>
      <w:r>
        <w:rPr>
          <w:rFonts w:hint="eastAsia"/>
          <w:color w:val="auto"/>
          <w:highlight w:val="none"/>
        </w:rPr>
        <w:t>在收集和调查建设项目周围环境现状和进行工程分析的基础上，重点是评价本项目施工期各类施工场地的生态恢复方式与效果，详细调查工程投运以来造成的实际环境影响、采取的环境保护措施及取得的效果，以及工程存在的环境问题；运营后对水文情势的变化及带来的生态影响，结合同类水电工程的运行实践，提出合理可行的环境保护措施。从环保角度论证项目的可行性，提出综合评价结论。</w:t>
      </w:r>
    </w:p>
    <w:p>
      <w:pPr>
        <w:keepNext w:val="0"/>
        <w:keepLines w:val="0"/>
        <w:pageBreakBefore w:val="0"/>
        <w:widowControl w:val="0"/>
        <w:kinsoku/>
        <w:wordWrap/>
        <w:overflowPunct/>
        <w:topLinePunct w:val="0"/>
        <w:bidi w:val="0"/>
        <w:adjustRightInd/>
        <w:spacing w:line="420" w:lineRule="exact"/>
        <w:textAlignment w:val="auto"/>
        <w:outlineLvl w:val="1"/>
        <w:rPr>
          <w:b/>
          <w:color w:val="auto"/>
          <w:sz w:val="24"/>
          <w:highlight w:val="none"/>
        </w:rPr>
      </w:pPr>
      <w:bookmarkStart w:id="62" w:name="_Toc17301"/>
      <w:bookmarkStart w:id="63" w:name="_Toc721"/>
      <w:bookmarkStart w:id="64" w:name="_Toc246763520"/>
      <w:bookmarkStart w:id="65" w:name="_Toc11223"/>
      <w:r>
        <w:rPr>
          <w:rFonts w:hint="eastAsia"/>
          <w:b/>
          <w:color w:val="auto"/>
          <w:sz w:val="24"/>
          <w:highlight w:val="none"/>
        </w:rPr>
        <w:t>1.</w:t>
      </w:r>
      <w:r>
        <w:rPr>
          <w:rFonts w:hint="eastAsia"/>
          <w:b/>
          <w:color w:val="auto"/>
          <w:sz w:val="24"/>
          <w:highlight w:val="none"/>
          <w:lang w:val="en-US" w:eastAsia="zh-CN"/>
        </w:rPr>
        <w:t>4</w:t>
      </w:r>
      <w:r>
        <w:rPr>
          <w:b/>
          <w:color w:val="auto"/>
          <w:sz w:val="24"/>
          <w:highlight w:val="none"/>
        </w:rPr>
        <w:t xml:space="preserve"> 评价标准</w:t>
      </w:r>
      <w:bookmarkEnd w:id="62"/>
      <w:bookmarkEnd w:id="63"/>
      <w:bookmarkEnd w:id="64"/>
      <w:bookmarkEnd w:id="65"/>
    </w:p>
    <w:p>
      <w:pPr>
        <w:keepNext w:val="0"/>
        <w:keepLines w:val="0"/>
        <w:pageBreakBefore w:val="0"/>
        <w:widowControl w:val="0"/>
        <w:kinsoku/>
        <w:wordWrap/>
        <w:overflowPunct/>
        <w:topLinePunct w:val="0"/>
        <w:bidi w:val="0"/>
        <w:adjustRightInd/>
        <w:spacing w:line="420" w:lineRule="exact"/>
        <w:textAlignment w:val="auto"/>
        <w:outlineLvl w:val="2"/>
        <w:rPr>
          <w:b/>
          <w:color w:val="auto"/>
          <w:sz w:val="24"/>
          <w:highlight w:val="none"/>
        </w:rPr>
      </w:pPr>
      <w:r>
        <w:rPr>
          <w:rFonts w:hint="eastAsia"/>
          <w:b/>
          <w:color w:val="auto"/>
          <w:sz w:val="24"/>
          <w:highlight w:val="none"/>
        </w:rPr>
        <w:t>1.</w:t>
      </w:r>
      <w:r>
        <w:rPr>
          <w:rFonts w:hint="eastAsia"/>
          <w:b/>
          <w:color w:val="auto"/>
          <w:sz w:val="24"/>
          <w:highlight w:val="none"/>
          <w:lang w:val="en-US" w:eastAsia="zh-CN"/>
        </w:rPr>
        <w:t>4</w:t>
      </w:r>
      <w:r>
        <w:rPr>
          <w:b/>
          <w:color w:val="auto"/>
          <w:sz w:val="24"/>
          <w:highlight w:val="none"/>
        </w:rPr>
        <w:t>.1</w:t>
      </w:r>
      <w:bookmarkStart w:id="66" w:name="_Toc10743"/>
      <w:bookmarkStart w:id="67" w:name="_Toc22583"/>
      <w:bookmarkStart w:id="68" w:name="_Toc246763517"/>
      <w:r>
        <w:rPr>
          <w:b/>
          <w:color w:val="auto"/>
          <w:sz w:val="24"/>
          <w:highlight w:val="none"/>
        </w:rPr>
        <w:t xml:space="preserve"> 环境</w:t>
      </w:r>
      <w:bookmarkEnd w:id="66"/>
      <w:bookmarkEnd w:id="67"/>
      <w:bookmarkEnd w:id="68"/>
      <w:r>
        <w:rPr>
          <w:rFonts w:hint="eastAsia"/>
          <w:b/>
          <w:color w:val="auto"/>
          <w:sz w:val="24"/>
          <w:highlight w:val="none"/>
        </w:rPr>
        <w:t>质量标准</w:t>
      </w:r>
    </w:p>
    <w:p>
      <w:pPr>
        <w:keepNext w:val="0"/>
        <w:keepLines w:val="0"/>
        <w:pageBreakBefore w:val="0"/>
        <w:widowControl w:val="0"/>
        <w:kinsoku/>
        <w:wordWrap/>
        <w:overflowPunct/>
        <w:topLinePunct w:val="0"/>
        <w:bidi w:val="0"/>
        <w:adjustRightInd/>
        <w:spacing w:line="420" w:lineRule="exact"/>
        <w:ind w:firstLine="482" w:firstLineChars="200"/>
        <w:textAlignment w:val="auto"/>
        <w:rPr>
          <w:b/>
          <w:color w:val="auto"/>
          <w:sz w:val="24"/>
          <w:highlight w:val="none"/>
        </w:rPr>
      </w:pPr>
      <w:r>
        <w:rPr>
          <w:rFonts w:hint="eastAsia" w:ascii="宋体" w:hAnsi="宋体" w:cs="宋体"/>
          <w:b/>
          <w:color w:val="auto"/>
          <w:sz w:val="24"/>
          <w:highlight w:val="none"/>
        </w:rPr>
        <w:t>（1）</w:t>
      </w:r>
      <w:r>
        <w:rPr>
          <w:b/>
          <w:color w:val="auto"/>
          <w:sz w:val="24"/>
          <w:highlight w:val="none"/>
        </w:rPr>
        <w:t>环境空气</w:t>
      </w:r>
    </w:p>
    <w:p>
      <w:pPr>
        <w:keepNext w:val="0"/>
        <w:keepLines w:val="0"/>
        <w:pageBreakBefore w:val="0"/>
        <w:widowControl w:val="0"/>
        <w:kinsoku/>
        <w:wordWrap/>
        <w:overflowPunct/>
        <w:topLinePunct w:val="0"/>
        <w:autoSpaceDE w:val="0"/>
        <w:autoSpaceDN w:val="0"/>
        <w:bidi w:val="0"/>
        <w:adjustRightInd/>
        <w:spacing w:line="420" w:lineRule="exact"/>
        <w:ind w:firstLine="480" w:firstLineChars="200"/>
        <w:textAlignment w:val="auto"/>
        <w:rPr>
          <w:b/>
          <w:bCs/>
          <w:color w:val="auto"/>
          <w:sz w:val="24"/>
          <w:highlight w:val="none"/>
        </w:rPr>
      </w:pPr>
      <w:r>
        <w:rPr>
          <w:rFonts w:hint="eastAsia"/>
          <w:color w:val="auto"/>
          <w:sz w:val="24"/>
          <w:highlight w:val="none"/>
        </w:rPr>
        <w:t>评价区域为农村地区，所在区域环境空气功能区划为二类区，环境空气质量执行《环境空气质量标准》（GB3095-2012）及其修改单二级标准。</w:t>
      </w:r>
      <w:r>
        <w:rPr>
          <w:color w:val="auto"/>
          <w:sz w:val="24"/>
          <w:highlight w:val="none"/>
        </w:rPr>
        <w:t>见</w:t>
      </w:r>
      <w:r>
        <w:rPr>
          <w:rFonts w:hint="eastAsia"/>
          <w:color w:val="auto"/>
          <w:sz w:val="24"/>
          <w:highlight w:val="none"/>
        </w:rPr>
        <w:t>下</w:t>
      </w:r>
      <w:r>
        <w:rPr>
          <w:color w:val="auto"/>
          <w:sz w:val="24"/>
          <w:highlight w:val="none"/>
        </w:rPr>
        <w:t>表</w:t>
      </w:r>
      <w:r>
        <w:rPr>
          <w:rFonts w:hint="eastAsia"/>
          <w:color w:val="auto"/>
          <w:sz w:val="24"/>
          <w:highlight w:val="none"/>
        </w:rPr>
        <w:t>。</w:t>
      </w:r>
    </w:p>
    <w:p>
      <w:pPr>
        <w:keepNext w:val="0"/>
        <w:keepLines w:val="0"/>
        <w:pageBreakBefore w:val="0"/>
        <w:widowControl w:val="0"/>
        <w:kinsoku/>
        <w:wordWrap/>
        <w:overflowPunct/>
        <w:topLinePunct w:val="0"/>
        <w:bidi w:val="0"/>
        <w:adjustRightInd/>
        <w:snapToGrid w:val="0"/>
        <w:spacing w:line="420" w:lineRule="exact"/>
        <w:ind w:firstLine="482" w:firstLineChars="200"/>
        <w:jc w:val="center"/>
        <w:textAlignment w:val="auto"/>
        <w:rPr>
          <w:b/>
          <w:bCs/>
          <w:color w:val="auto"/>
          <w:sz w:val="24"/>
          <w:highlight w:val="none"/>
        </w:rPr>
      </w:pPr>
      <w:r>
        <w:rPr>
          <w:b/>
          <w:bCs/>
          <w:color w:val="auto"/>
          <w:sz w:val="24"/>
          <w:highlight w:val="none"/>
        </w:rPr>
        <w:t>表</w:t>
      </w:r>
      <w:r>
        <w:rPr>
          <w:rFonts w:hint="eastAsia"/>
          <w:b/>
          <w:bCs/>
          <w:color w:val="auto"/>
          <w:sz w:val="24"/>
          <w:highlight w:val="none"/>
        </w:rPr>
        <w:t>1.</w:t>
      </w:r>
      <w:r>
        <w:rPr>
          <w:rFonts w:hint="eastAsia"/>
          <w:b/>
          <w:bCs/>
          <w:color w:val="auto"/>
          <w:sz w:val="24"/>
          <w:highlight w:val="none"/>
          <w:lang w:val="en-US" w:eastAsia="zh-CN"/>
        </w:rPr>
        <w:t>4</w:t>
      </w:r>
      <w:r>
        <w:rPr>
          <w:rFonts w:hint="eastAsia"/>
          <w:b/>
          <w:bCs/>
          <w:color w:val="auto"/>
          <w:sz w:val="24"/>
          <w:highlight w:val="none"/>
        </w:rPr>
        <w:t>-1</w:t>
      </w:r>
      <w:r>
        <w:rPr>
          <w:b/>
          <w:bCs/>
          <w:color w:val="auto"/>
          <w:sz w:val="24"/>
          <w:highlight w:val="none"/>
        </w:rPr>
        <w:t xml:space="preserve">  环境空气质量标准 </w:t>
      </w:r>
    </w:p>
    <w:tbl>
      <w:tblPr>
        <w:tblStyle w:val="51"/>
        <w:tblW w:w="8437"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049"/>
        <w:gridCol w:w="2483"/>
        <w:gridCol w:w="960"/>
        <w:gridCol w:w="1050"/>
        <w:gridCol w:w="1230"/>
        <w:gridCol w:w="1665"/>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49" w:type="dxa"/>
            <w:vMerge w:val="restart"/>
            <w:vAlign w:val="center"/>
          </w:tcPr>
          <w:p>
            <w:pPr>
              <w:autoSpaceDE w:val="0"/>
              <w:autoSpaceDN w:val="0"/>
              <w:spacing w:line="240" w:lineRule="atLeast"/>
              <w:jc w:val="center"/>
              <w:rPr>
                <w:color w:val="auto"/>
                <w:szCs w:val="21"/>
                <w:highlight w:val="none"/>
                <w:lang w:val="zh-CN"/>
              </w:rPr>
            </w:pPr>
            <w:r>
              <w:rPr>
                <w:color w:val="auto"/>
                <w:szCs w:val="21"/>
                <w:highlight w:val="none"/>
                <w:lang w:val="zh-CN"/>
              </w:rPr>
              <w:t>污染</w:t>
            </w:r>
          </w:p>
          <w:p>
            <w:pPr>
              <w:autoSpaceDE w:val="0"/>
              <w:autoSpaceDN w:val="0"/>
              <w:spacing w:line="240" w:lineRule="atLeast"/>
              <w:jc w:val="center"/>
              <w:rPr>
                <w:color w:val="auto"/>
                <w:szCs w:val="21"/>
                <w:highlight w:val="none"/>
                <w:lang w:val="zh-CN"/>
              </w:rPr>
            </w:pPr>
            <w:r>
              <w:rPr>
                <w:color w:val="auto"/>
                <w:szCs w:val="21"/>
                <w:highlight w:val="none"/>
                <w:lang w:val="zh-CN"/>
              </w:rPr>
              <w:t>因子</w:t>
            </w:r>
          </w:p>
        </w:tc>
        <w:tc>
          <w:tcPr>
            <w:tcW w:w="2483" w:type="dxa"/>
            <w:vMerge w:val="restart"/>
            <w:vAlign w:val="center"/>
          </w:tcPr>
          <w:p>
            <w:pPr>
              <w:autoSpaceDE w:val="0"/>
              <w:autoSpaceDN w:val="0"/>
              <w:spacing w:line="240" w:lineRule="atLeast"/>
              <w:jc w:val="center"/>
              <w:rPr>
                <w:color w:val="auto"/>
                <w:szCs w:val="21"/>
                <w:highlight w:val="none"/>
                <w:lang w:val="zh-CN"/>
              </w:rPr>
            </w:pPr>
            <w:r>
              <w:rPr>
                <w:color w:val="auto"/>
                <w:szCs w:val="21"/>
                <w:highlight w:val="none"/>
                <w:lang w:val="zh-CN"/>
              </w:rPr>
              <w:t>取值时间</w:t>
            </w:r>
          </w:p>
        </w:tc>
        <w:tc>
          <w:tcPr>
            <w:tcW w:w="3240" w:type="dxa"/>
            <w:gridSpan w:val="3"/>
            <w:vAlign w:val="center"/>
          </w:tcPr>
          <w:p>
            <w:pPr>
              <w:autoSpaceDE w:val="0"/>
              <w:autoSpaceDN w:val="0"/>
              <w:spacing w:line="240" w:lineRule="atLeast"/>
              <w:jc w:val="center"/>
              <w:rPr>
                <w:color w:val="auto"/>
                <w:szCs w:val="21"/>
                <w:highlight w:val="none"/>
                <w:lang w:val="zh-CN"/>
              </w:rPr>
            </w:pPr>
            <w:r>
              <w:rPr>
                <w:color w:val="auto"/>
                <w:szCs w:val="21"/>
                <w:highlight w:val="none"/>
                <w:lang w:val="zh-CN"/>
              </w:rPr>
              <w:t>浓 度 限 值</w:t>
            </w:r>
          </w:p>
        </w:tc>
        <w:tc>
          <w:tcPr>
            <w:tcW w:w="1665" w:type="dxa"/>
            <w:vMerge w:val="restart"/>
            <w:vAlign w:val="center"/>
          </w:tcPr>
          <w:p>
            <w:pPr>
              <w:autoSpaceDE w:val="0"/>
              <w:autoSpaceDN w:val="0"/>
              <w:spacing w:line="240" w:lineRule="atLeast"/>
              <w:ind w:firstLine="240"/>
              <w:jc w:val="center"/>
              <w:rPr>
                <w:color w:val="auto"/>
                <w:szCs w:val="21"/>
                <w:highlight w:val="none"/>
                <w:lang w:val="zh-CN"/>
              </w:rPr>
            </w:pPr>
            <w:r>
              <w:rPr>
                <w:color w:val="auto"/>
                <w:szCs w:val="21"/>
                <w:highlight w:val="none"/>
                <w:lang w:val="zh-CN"/>
              </w:rPr>
              <w:t>标准名称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49" w:type="dxa"/>
            <w:vMerge w:val="continue"/>
            <w:vAlign w:val="center"/>
          </w:tcPr>
          <w:p>
            <w:pPr>
              <w:autoSpaceDE w:val="0"/>
              <w:autoSpaceDN w:val="0"/>
              <w:spacing w:line="240" w:lineRule="atLeast"/>
              <w:jc w:val="center"/>
              <w:rPr>
                <w:color w:val="auto"/>
                <w:szCs w:val="21"/>
                <w:highlight w:val="none"/>
              </w:rPr>
            </w:pPr>
          </w:p>
        </w:tc>
        <w:tc>
          <w:tcPr>
            <w:tcW w:w="2483" w:type="dxa"/>
            <w:vMerge w:val="continue"/>
            <w:vAlign w:val="center"/>
          </w:tcPr>
          <w:p>
            <w:pPr>
              <w:autoSpaceDE w:val="0"/>
              <w:autoSpaceDN w:val="0"/>
              <w:spacing w:line="240" w:lineRule="atLeast"/>
              <w:jc w:val="center"/>
              <w:rPr>
                <w:color w:val="auto"/>
                <w:szCs w:val="21"/>
                <w:highlight w:val="none"/>
              </w:rPr>
            </w:pPr>
          </w:p>
        </w:tc>
        <w:tc>
          <w:tcPr>
            <w:tcW w:w="960" w:type="dxa"/>
            <w:vAlign w:val="center"/>
          </w:tcPr>
          <w:p>
            <w:pPr>
              <w:autoSpaceDE w:val="0"/>
              <w:autoSpaceDN w:val="0"/>
              <w:spacing w:line="240" w:lineRule="atLeast"/>
              <w:jc w:val="center"/>
              <w:rPr>
                <w:color w:val="auto"/>
                <w:szCs w:val="21"/>
                <w:highlight w:val="none"/>
              </w:rPr>
            </w:pPr>
            <w:r>
              <w:rPr>
                <w:color w:val="auto"/>
                <w:szCs w:val="21"/>
                <w:highlight w:val="none"/>
                <w:lang w:val="zh-CN"/>
              </w:rPr>
              <w:t>级别</w:t>
            </w:r>
          </w:p>
        </w:tc>
        <w:tc>
          <w:tcPr>
            <w:tcW w:w="1050" w:type="dxa"/>
            <w:vAlign w:val="center"/>
          </w:tcPr>
          <w:p>
            <w:pPr>
              <w:autoSpaceDE w:val="0"/>
              <w:autoSpaceDN w:val="0"/>
              <w:spacing w:line="240" w:lineRule="atLeast"/>
              <w:jc w:val="center"/>
              <w:rPr>
                <w:color w:val="auto"/>
                <w:szCs w:val="21"/>
                <w:highlight w:val="none"/>
              </w:rPr>
            </w:pPr>
            <w:r>
              <w:rPr>
                <w:color w:val="auto"/>
                <w:szCs w:val="21"/>
                <w:highlight w:val="none"/>
                <w:lang w:val="zh-CN"/>
              </w:rPr>
              <w:t>浓度</w:t>
            </w:r>
          </w:p>
        </w:tc>
        <w:tc>
          <w:tcPr>
            <w:tcW w:w="1230" w:type="dxa"/>
            <w:vAlign w:val="center"/>
          </w:tcPr>
          <w:p>
            <w:pPr>
              <w:autoSpaceDE w:val="0"/>
              <w:autoSpaceDN w:val="0"/>
              <w:spacing w:line="240" w:lineRule="atLeast"/>
              <w:jc w:val="center"/>
              <w:rPr>
                <w:color w:val="auto"/>
                <w:szCs w:val="21"/>
                <w:highlight w:val="none"/>
              </w:rPr>
            </w:pPr>
            <w:r>
              <w:rPr>
                <w:color w:val="auto"/>
                <w:szCs w:val="21"/>
                <w:highlight w:val="none"/>
                <w:lang w:val="zh-CN"/>
              </w:rPr>
              <w:t>单位</w:t>
            </w:r>
          </w:p>
        </w:tc>
        <w:tc>
          <w:tcPr>
            <w:tcW w:w="1665" w:type="dxa"/>
            <w:vMerge w:val="continue"/>
            <w:vAlign w:val="center"/>
          </w:tcPr>
          <w:p>
            <w:pPr>
              <w:autoSpaceDE w:val="0"/>
              <w:autoSpaceDN w:val="0"/>
              <w:spacing w:line="240" w:lineRule="atLeast"/>
              <w:ind w:firstLine="240"/>
              <w:jc w:val="center"/>
              <w:rPr>
                <w:color w:val="auto"/>
                <w:szCs w:val="21"/>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49" w:type="dxa"/>
            <w:vMerge w:val="restart"/>
            <w:vAlign w:val="center"/>
          </w:tcPr>
          <w:p>
            <w:pPr>
              <w:autoSpaceDE w:val="0"/>
              <w:autoSpaceDN w:val="0"/>
              <w:spacing w:line="240" w:lineRule="atLeast"/>
              <w:jc w:val="center"/>
              <w:rPr>
                <w:color w:val="auto"/>
                <w:szCs w:val="21"/>
                <w:highlight w:val="none"/>
                <w:vertAlign w:val="subscript"/>
              </w:rPr>
            </w:pPr>
            <w:r>
              <w:rPr>
                <w:color w:val="auto"/>
                <w:kern w:val="24"/>
                <w:szCs w:val="21"/>
                <w:highlight w:val="none"/>
              </w:rPr>
              <w:t>SO</w:t>
            </w:r>
            <w:r>
              <w:rPr>
                <w:color w:val="auto"/>
                <w:kern w:val="24"/>
                <w:szCs w:val="21"/>
                <w:highlight w:val="none"/>
                <w:vertAlign w:val="subscript"/>
              </w:rPr>
              <w:t>2</w:t>
            </w:r>
          </w:p>
        </w:tc>
        <w:tc>
          <w:tcPr>
            <w:tcW w:w="2483" w:type="dxa"/>
            <w:vAlign w:val="center"/>
          </w:tcPr>
          <w:p>
            <w:pPr>
              <w:autoSpaceDE w:val="0"/>
              <w:autoSpaceDN w:val="0"/>
              <w:spacing w:line="240" w:lineRule="atLeast"/>
              <w:jc w:val="center"/>
              <w:rPr>
                <w:color w:val="auto"/>
                <w:szCs w:val="21"/>
                <w:highlight w:val="none"/>
              </w:rPr>
            </w:pPr>
            <w:r>
              <w:rPr>
                <w:color w:val="auto"/>
                <w:szCs w:val="21"/>
                <w:highlight w:val="none"/>
              </w:rPr>
              <w:t>24小时平均</w:t>
            </w:r>
          </w:p>
        </w:tc>
        <w:tc>
          <w:tcPr>
            <w:tcW w:w="960" w:type="dxa"/>
            <w:vMerge w:val="restart"/>
            <w:vAlign w:val="center"/>
          </w:tcPr>
          <w:p>
            <w:pPr>
              <w:autoSpaceDE w:val="0"/>
              <w:autoSpaceDN w:val="0"/>
              <w:spacing w:line="240" w:lineRule="atLeast"/>
              <w:ind w:firstLine="77"/>
              <w:jc w:val="center"/>
              <w:rPr>
                <w:color w:val="auto"/>
                <w:szCs w:val="21"/>
                <w:highlight w:val="none"/>
              </w:rPr>
            </w:pPr>
            <w:r>
              <w:rPr>
                <w:color w:val="auto"/>
                <w:szCs w:val="21"/>
                <w:highlight w:val="none"/>
                <w:lang w:val="zh-CN"/>
              </w:rPr>
              <w:t>二级</w:t>
            </w:r>
          </w:p>
        </w:tc>
        <w:tc>
          <w:tcPr>
            <w:tcW w:w="1050" w:type="dxa"/>
            <w:vAlign w:val="center"/>
          </w:tcPr>
          <w:p>
            <w:pPr>
              <w:autoSpaceDE w:val="0"/>
              <w:autoSpaceDN w:val="0"/>
              <w:spacing w:line="240" w:lineRule="atLeast"/>
              <w:jc w:val="center"/>
              <w:rPr>
                <w:color w:val="auto"/>
                <w:szCs w:val="21"/>
                <w:highlight w:val="none"/>
              </w:rPr>
            </w:pPr>
            <w:r>
              <w:rPr>
                <w:color w:val="auto"/>
                <w:szCs w:val="21"/>
                <w:highlight w:val="none"/>
              </w:rPr>
              <w:t>150</w:t>
            </w:r>
          </w:p>
        </w:tc>
        <w:tc>
          <w:tcPr>
            <w:tcW w:w="1230" w:type="dxa"/>
            <w:vMerge w:val="restart"/>
            <w:vAlign w:val="center"/>
          </w:tcPr>
          <w:p>
            <w:pPr>
              <w:autoSpaceDE w:val="0"/>
              <w:autoSpaceDN w:val="0"/>
              <w:spacing w:line="240" w:lineRule="atLeast"/>
              <w:jc w:val="center"/>
              <w:rPr>
                <w:color w:val="auto"/>
                <w:szCs w:val="21"/>
                <w:highlight w:val="none"/>
              </w:rPr>
            </w:pPr>
            <w:r>
              <w:rPr>
                <w:color w:val="auto"/>
                <w:szCs w:val="21"/>
                <w:highlight w:val="none"/>
              </w:rPr>
              <w:t>μg/Nm</w:t>
            </w:r>
            <w:r>
              <w:rPr>
                <w:color w:val="auto"/>
                <w:szCs w:val="21"/>
                <w:highlight w:val="none"/>
                <w:vertAlign w:val="superscript"/>
              </w:rPr>
              <w:t>3</w:t>
            </w:r>
          </w:p>
        </w:tc>
        <w:tc>
          <w:tcPr>
            <w:tcW w:w="1665" w:type="dxa"/>
            <w:vMerge w:val="restart"/>
            <w:vAlign w:val="center"/>
          </w:tcPr>
          <w:p>
            <w:pPr>
              <w:autoSpaceDE w:val="0"/>
              <w:autoSpaceDN w:val="0"/>
              <w:spacing w:line="240" w:lineRule="atLeast"/>
              <w:ind w:right="-108"/>
              <w:jc w:val="center"/>
              <w:rPr>
                <w:color w:val="auto"/>
                <w:szCs w:val="21"/>
                <w:highlight w:val="none"/>
              </w:rPr>
            </w:pPr>
            <w:r>
              <w:rPr>
                <w:color w:val="auto"/>
                <w:szCs w:val="21"/>
                <w:highlight w:val="none"/>
                <w:lang w:val="zh-CN"/>
              </w:rPr>
              <w:t>《环境空气质量标准》</w:t>
            </w:r>
            <w:r>
              <w:rPr>
                <w:color w:val="auto"/>
                <w:szCs w:val="21"/>
                <w:highlight w:val="none"/>
              </w:rPr>
              <w:t>（GB3095</w:t>
            </w:r>
            <w:r>
              <w:rPr>
                <w:rFonts w:hint="eastAsia"/>
                <w:color w:val="auto"/>
                <w:szCs w:val="21"/>
                <w:highlight w:val="none"/>
              </w:rPr>
              <w:t xml:space="preserve"> </w:t>
            </w:r>
            <w:r>
              <w:rPr>
                <w:color w:val="auto"/>
                <w:szCs w:val="21"/>
                <w:highlight w:val="none"/>
              </w:rPr>
              <w:t>-2012）及修改单</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49" w:type="dxa"/>
            <w:vMerge w:val="continue"/>
            <w:vAlign w:val="center"/>
          </w:tcPr>
          <w:p>
            <w:pPr>
              <w:autoSpaceDE w:val="0"/>
              <w:autoSpaceDN w:val="0"/>
              <w:spacing w:line="240" w:lineRule="atLeast"/>
              <w:jc w:val="center"/>
              <w:rPr>
                <w:color w:val="auto"/>
                <w:szCs w:val="21"/>
                <w:highlight w:val="none"/>
              </w:rPr>
            </w:pPr>
          </w:p>
        </w:tc>
        <w:tc>
          <w:tcPr>
            <w:tcW w:w="2483" w:type="dxa"/>
            <w:vAlign w:val="center"/>
          </w:tcPr>
          <w:p>
            <w:pPr>
              <w:autoSpaceDE w:val="0"/>
              <w:autoSpaceDN w:val="0"/>
              <w:spacing w:line="240" w:lineRule="atLeast"/>
              <w:jc w:val="center"/>
              <w:rPr>
                <w:color w:val="auto"/>
                <w:szCs w:val="21"/>
                <w:highlight w:val="none"/>
              </w:rPr>
            </w:pPr>
            <w:r>
              <w:rPr>
                <w:color w:val="auto"/>
                <w:szCs w:val="21"/>
                <w:highlight w:val="none"/>
              </w:rPr>
              <w:t>小时平均</w:t>
            </w:r>
          </w:p>
        </w:tc>
        <w:tc>
          <w:tcPr>
            <w:tcW w:w="960" w:type="dxa"/>
            <w:vMerge w:val="continue"/>
            <w:vAlign w:val="center"/>
          </w:tcPr>
          <w:p>
            <w:pPr>
              <w:autoSpaceDE w:val="0"/>
              <w:autoSpaceDN w:val="0"/>
              <w:spacing w:line="240" w:lineRule="atLeast"/>
              <w:ind w:firstLine="77"/>
              <w:jc w:val="center"/>
              <w:rPr>
                <w:color w:val="auto"/>
                <w:szCs w:val="21"/>
                <w:highlight w:val="none"/>
              </w:rPr>
            </w:pPr>
          </w:p>
        </w:tc>
        <w:tc>
          <w:tcPr>
            <w:tcW w:w="1050" w:type="dxa"/>
            <w:vAlign w:val="center"/>
          </w:tcPr>
          <w:p>
            <w:pPr>
              <w:autoSpaceDE w:val="0"/>
              <w:autoSpaceDN w:val="0"/>
              <w:spacing w:line="240" w:lineRule="atLeast"/>
              <w:jc w:val="center"/>
              <w:rPr>
                <w:color w:val="auto"/>
                <w:szCs w:val="21"/>
                <w:highlight w:val="none"/>
              </w:rPr>
            </w:pPr>
            <w:r>
              <w:rPr>
                <w:color w:val="auto"/>
                <w:szCs w:val="21"/>
                <w:highlight w:val="none"/>
              </w:rPr>
              <w:t>500</w:t>
            </w:r>
          </w:p>
        </w:tc>
        <w:tc>
          <w:tcPr>
            <w:tcW w:w="1230" w:type="dxa"/>
            <w:vMerge w:val="continue"/>
            <w:vAlign w:val="center"/>
          </w:tcPr>
          <w:p>
            <w:pPr>
              <w:autoSpaceDE w:val="0"/>
              <w:autoSpaceDN w:val="0"/>
              <w:spacing w:line="240" w:lineRule="atLeast"/>
              <w:jc w:val="center"/>
              <w:rPr>
                <w:color w:val="auto"/>
                <w:szCs w:val="21"/>
                <w:highlight w:val="none"/>
              </w:rPr>
            </w:pPr>
          </w:p>
        </w:tc>
        <w:tc>
          <w:tcPr>
            <w:tcW w:w="1665" w:type="dxa"/>
            <w:vMerge w:val="continue"/>
            <w:vAlign w:val="center"/>
          </w:tcPr>
          <w:p>
            <w:pPr>
              <w:autoSpaceDE w:val="0"/>
              <w:autoSpaceDN w:val="0"/>
              <w:spacing w:line="240" w:lineRule="atLeast"/>
              <w:jc w:val="center"/>
              <w:rPr>
                <w:color w:val="auto"/>
                <w:szCs w:val="21"/>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49" w:type="dxa"/>
            <w:vMerge w:val="restart"/>
            <w:vAlign w:val="center"/>
          </w:tcPr>
          <w:p>
            <w:pPr>
              <w:autoSpaceDE w:val="0"/>
              <w:autoSpaceDN w:val="0"/>
              <w:spacing w:line="240" w:lineRule="atLeast"/>
              <w:jc w:val="center"/>
              <w:rPr>
                <w:color w:val="auto"/>
                <w:szCs w:val="21"/>
                <w:highlight w:val="none"/>
                <w:vertAlign w:val="subscript"/>
              </w:rPr>
            </w:pPr>
            <w:r>
              <w:rPr>
                <w:color w:val="auto"/>
                <w:szCs w:val="21"/>
                <w:highlight w:val="none"/>
              </w:rPr>
              <w:t>TSP</w:t>
            </w:r>
          </w:p>
        </w:tc>
        <w:tc>
          <w:tcPr>
            <w:tcW w:w="2483" w:type="dxa"/>
            <w:vAlign w:val="center"/>
          </w:tcPr>
          <w:p>
            <w:pPr>
              <w:autoSpaceDE w:val="0"/>
              <w:autoSpaceDN w:val="0"/>
              <w:spacing w:line="240" w:lineRule="atLeast"/>
              <w:jc w:val="center"/>
              <w:rPr>
                <w:color w:val="auto"/>
                <w:szCs w:val="21"/>
                <w:highlight w:val="none"/>
              </w:rPr>
            </w:pPr>
            <w:r>
              <w:rPr>
                <w:color w:val="auto"/>
                <w:szCs w:val="21"/>
                <w:highlight w:val="none"/>
                <w:lang w:val="zh-CN"/>
              </w:rPr>
              <w:t>年平均</w:t>
            </w:r>
          </w:p>
        </w:tc>
        <w:tc>
          <w:tcPr>
            <w:tcW w:w="960" w:type="dxa"/>
            <w:vMerge w:val="continue"/>
            <w:vAlign w:val="center"/>
          </w:tcPr>
          <w:p>
            <w:pPr>
              <w:autoSpaceDE w:val="0"/>
              <w:autoSpaceDN w:val="0"/>
              <w:spacing w:line="240" w:lineRule="atLeast"/>
              <w:ind w:firstLine="77"/>
              <w:jc w:val="center"/>
              <w:rPr>
                <w:color w:val="auto"/>
                <w:szCs w:val="21"/>
                <w:highlight w:val="none"/>
              </w:rPr>
            </w:pPr>
          </w:p>
        </w:tc>
        <w:tc>
          <w:tcPr>
            <w:tcW w:w="1050" w:type="dxa"/>
            <w:vAlign w:val="center"/>
          </w:tcPr>
          <w:p>
            <w:pPr>
              <w:autoSpaceDE w:val="0"/>
              <w:autoSpaceDN w:val="0"/>
              <w:spacing w:line="240" w:lineRule="atLeast"/>
              <w:jc w:val="center"/>
              <w:rPr>
                <w:color w:val="auto"/>
                <w:szCs w:val="21"/>
                <w:highlight w:val="none"/>
              </w:rPr>
            </w:pPr>
            <w:r>
              <w:rPr>
                <w:color w:val="auto"/>
                <w:szCs w:val="21"/>
                <w:highlight w:val="none"/>
              </w:rPr>
              <w:t>200</w:t>
            </w:r>
          </w:p>
        </w:tc>
        <w:tc>
          <w:tcPr>
            <w:tcW w:w="1230" w:type="dxa"/>
            <w:vMerge w:val="continue"/>
            <w:vAlign w:val="center"/>
          </w:tcPr>
          <w:p>
            <w:pPr>
              <w:autoSpaceDE w:val="0"/>
              <w:autoSpaceDN w:val="0"/>
              <w:spacing w:line="240" w:lineRule="atLeast"/>
              <w:jc w:val="center"/>
              <w:rPr>
                <w:color w:val="auto"/>
                <w:szCs w:val="21"/>
                <w:highlight w:val="none"/>
              </w:rPr>
            </w:pPr>
          </w:p>
        </w:tc>
        <w:tc>
          <w:tcPr>
            <w:tcW w:w="1665" w:type="dxa"/>
            <w:vMerge w:val="continue"/>
            <w:vAlign w:val="center"/>
          </w:tcPr>
          <w:p>
            <w:pPr>
              <w:autoSpaceDE w:val="0"/>
              <w:autoSpaceDN w:val="0"/>
              <w:spacing w:line="240" w:lineRule="atLeast"/>
              <w:jc w:val="center"/>
              <w:rPr>
                <w:color w:val="auto"/>
                <w:szCs w:val="21"/>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49" w:type="dxa"/>
            <w:vMerge w:val="continue"/>
            <w:vAlign w:val="center"/>
          </w:tcPr>
          <w:p>
            <w:pPr>
              <w:autoSpaceDE w:val="0"/>
              <w:autoSpaceDN w:val="0"/>
              <w:spacing w:line="240" w:lineRule="atLeast"/>
              <w:jc w:val="center"/>
              <w:rPr>
                <w:color w:val="auto"/>
                <w:szCs w:val="21"/>
                <w:highlight w:val="none"/>
              </w:rPr>
            </w:pPr>
          </w:p>
        </w:tc>
        <w:tc>
          <w:tcPr>
            <w:tcW w:w="2483" w:type="dxa"/>
            <w:vAlign w:val="center"/>
          </w:tcPr>
          <w:p>
            <w:pPr>
              <w:autoSpaceDE w:val="0"/>
              <w:autoSpaceDN w:val="0"/>
              <w:spacing w:line="240" w:lineRule="atLeast"/>
              <w:jc w:val="center"/>
              <w:rPr>
                <w:color w:val="auto"/>
                <w:szCs w:val="21"/>
                <w:highlight w:val="none"/>
              </w:rPr>
            </w:pPr>
            <w:r>
              <w:rPr>
                <w:color w:val="auto"/>
                <w:szCs w:val="21"/>
                <w:highlight w:val="none"/>
                <w:lang w:val="zh-CN"/>
              </w:rPr>
              <w:t>24小时平均</w:t>
            </w:r>
          </w:p>
        </w:tc>
        <w:tc>
          <w:tcPr>
            <w:tcW w:w="960" w:type="dxa"/>
            <w:vMerge w:val="continue"/>
            <w:vAlign w:val="center"/>
          </w:tcPr>
          <w:p>
            <w:pPr>
              <w:autoSpaceDE w:val="0"/>
              <w:autoSpaceDN w:val="0"/>
              <w:spacing w:line="240" w:lineRule="atLeast"/>
              <w:ind w:firstLine="77"/>
              <w:jc w:val="center"/>
              <w:rPr>
                <w:color w:val="auto"/>
                <w:szCs w:val="21"/>
                <w:highlight w:val="none"/>
              </w:rPr>
            </w:pPr>
          </w:p>
        </w:tc>
        <w:tc>
          <w:tcPr>
            <w:tcW w:w="1050" w:type="dxa"/>
            <w:vAlign w:val="center"/>
          </w:tcPr>
          <w:p>
            <w:pPr>
              <w:autoSpaceDE w:val="0"/>
              <w:autoSpaceDN w:val="0"/>
              <w:spacing w:line="240" w:lineRule="atLeast"/>
              <w:jc w:val="center"/>
              <w:rPr>
                <w:color w:val="auto"/>
                <w:szCs w:val="21"/>
                <w:highlight w:val="none"/>
              </w:rPr>
            </w:pPr>
            <w:r>
              <w:rPr>
                <w:color w:val="auto"/>
                <w:szCs w:val="21"/>
                <w:highlight w:val="none"/>
              </w:rPr>
              <w:t>300</w:t>
            </w:r>
          </w:p>
        </w:tc>
        <w:tc>
          <w:tcPr>
            <w:tcW w:w="1230" w:type="dxa"/>
            <w:vMerge w:val="continue"/>
            <w:vAlign w:val="center"/>
          </w:tcPr>
          <w:p>
            <w:pPr>
              <w:autoSpaceDE w:val="0"/>
              <w:autoSpaceDN w:val="0"/>
              <w:spacing w:line="240" w:lineRule="atLeast"/>
              <w:jc w:val="center"/>
              <w:rPr>
                <w:color w:val="auto"/>
                <w:szCs w:val="21"/>
                <w:highlight w:val="none"/>
              </w:rPr>
            </w:pPr>
          </w:p>
        </w:tc>
        <w:tc>
          <w:tcPr>
            <w:tcW w:w="1665" w:type="dxa"/>
            <w:vMerge w:val="continue"/>
            <w:vAlign w:val="center"/>
          </w:tcPr>
          <w:p>
            <w:pPr>
              <w:autoSpaceDE w:val="0"/>
              <w:autoSpaceDN w:val="0"/>
              <w:spacing w:line="240" w:lineRule="atLeast"/>
              <w:jc w:val="center"/>
              <w:rPr>
                <w:color w:val="auto"/>
                <w:szCs w:val="21"/>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49" w:type="dxa"/>
            <w:vMerge w:val="restart"/>
            <w:vAlign w:val="center"/>
          </w:tcPr>
          <w:p>
            <w:pPr>
              <w:autoSpaceDE w:val="0"/>
              <w:autoSpaceDN w:val="0"/>
              <w:spacing w:line="240" w:lineRule="atLeast"/>
              <w:jc w:val="center"/>
              <w:rPr>
                <w:color w:val="auto"/>
                <w:szCs w:val="21"/>
                <w:highlight w:val="none"/>
              </w:rPr>
            </w:pPr>
            <w:r>
              <w:rPr>
                <w:color w:val="auto"/>
                <w:kern w:val="24"/>
                <w:szCs w:val="21"/>
                <w:highlight w:val="none"/>
              </w:rPr>
              <w:t>NO</w:t>
            </w:r>
            <w:r>
              <w:rPr>
                <w:color w:val="auto"/>
                <w:kern w:val="24"/>
                <w:szCs w:val="21"/>
                <w:highlight w:val="none"/>
                <w:vertAlign w:val="subscript"/>
              </w:rPr>
              <w:t>2</w:t>
            </w:r>
          </w:p>
        </w:tc>
        <w:tc>
          <w:tcPr>
            <w:tcW w:w="2483" w:type="dxa"/>
            <w:vAlign w:val="center"/>
          </w:tcPr>
          <w:p>
            <w:pPr>
              <w:autoSpaceDE w:val="0"/>
              <w:autoSpaceDN w:val="0"/>
              <w:spacing w:line="240" w:lineRule="atLeast"/>
              <w:jc w:val="center"/>
              <w:rPr>
                <w:color w:val="auto"/>
                <w:szCs w:val="21"/>
                <w:highlight w:val="none"/>
              </w:rPr>
            </w:pPr>
            <w:r>
              <w:rPr>
                <w:color w:val="auto"/>
                <w:szCs w:val="21"/>
                <w:highlight w:val="none"/>
              </w:rPr>
              <w:t>24小时平均</w:t>
            </w:r>
          </w:p>
        </w:tc>
        <w:tc>
          <w:tcPr>
            <w:tcW w:w="960" w:type="dxa"/>
            <w:vMerge w:val="continue"/>
            <w:vAlign w:val="center"/>
          </w:tcPr>
          <w:p>
            <w:pPr>
              <w:autoSpaceDE w:val="0"/>
              <w:autoSpaceDN w:val="0"/>
              <w:spacing w:line="240" w:lineRule="atLeast"/>
              <w:ind w:firstLine="77"/>
              <w:jc w:val="center"/>
              <w:rPr>
                <w:color w:val="auto"/>
                <w:szCs w:val="21"/>
                <w:highlight w:val="none"/>
              </w:rPr>
            </w:pPr>
          </w:p>
        </w:tc>
        <w:tc>
          <w:tcPr>
            <w:tcW w:w="1050" w:type="dxa"/>
            <w:vAlign w:val="center"/>
          </w:tcPr>
          <w:p>
            <w:pPr>
              <w:autoSpaceDE w:val="0"/>
              <w:autoSpaceDN w:val="0"/>
              <w:spacing w:line="240" w:lineRule="atLeast"/>
              <w:jc w:val="center"/>
              <w:rPr>
                <w:color w:val="auto"/>
                <w:szCs w:val="21"/>
                <w:highlight w:val="none"/>
              </w:rPr>
            </w:pPr>
            <w:r>
              <w:rPr>
                <w:color w:val="auto"/>
                <w:szCs w:val="21"/>
                <w:highlight w:val="none"/>
              </w:rPr>
              <w:t>80</w:t>
            </w:r>
          </w:p>
        </w:tc>
        <w:tc>
          <w:tcPr>
            <w:tcW w:w="1230" w:type="dxa"/>
            <w:vMerge w:val="continue"/>
            <w:vAlign w:val="center"/>
          </w:tcPr>
          <w:p>
            <w:pPr>
              <w:autoSpaceDE w:val="0"/>
              <w:autoSpaceDN w:val="0"/>
              <w:spacing w:line="240" w:lineRule="atLeast"/>
              <w:jc w:val="center"/>
              <w:rPr>
                <w:color w:val="auto"/>
                <w:szCs w:val="21"/>
                <w:highlight w:val="none"/>
              </w:rPr>
            </w:pPr>
          </w:p>
        </w:tc>
        <w:tc>
          <w:tcPr>
            <w:tcW w:w="1665" w:type="dxa"/>
            <w:vMerge w:val="continue"/>
            <w:vAlign w:val="center"/>
          </w:tcPr>
          <w:p>
            <w:pPr>
              <w:autoSpaceDE w:val="0"/>
              <w:autoSpaceDN w:val="0"/>
              <w:spacing w:line="240" w:lineRule="atLeast"/>
              <w:jc w:val="center"/>
              <w:rPr>
                <w:color w:val="auto"/>
                <w:szCs w:val="21"/>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49" w:type="dxa"/>
            <w:vMerge w:val="continue"/>
            <w:vAlign w:val="center"/>
          </w:tcPr>
          <w:p>
            <w:pPr>
              <w:autoSpaceDE w:val="0"/>
              <w:autoSpaceDN w:val="0"/>
              <w:spacing w:line="240" w:lineRule="atLeast"/>
              <w:jc w:val="center"/>
              <w:rPr>
                <w:color w:val="auto"/>
                <w:szCs w:val="21"/>
                <w:highlight w:val="none"/>
              </w:rPr>
            </w:pPr>
          </w:p>
        </w:tc>
        <w:tc>
          <w:tcPr>
            <w:tcW w:w="2483" w:type="dxa"/>
            <w:vAlign w:val="center"/>
          </w:tcPr>
          <w:p>
            <w:pPr>
              <w:autoSpaceDE w:val="0"/>
              <w:autoSpaceDN w:val="0"/>
              <w:spacing w:line="240" w:lineRule="atLeast"/>
              <w:jc w:val="center"/>
              <w:rPr>
                <w:color w:val="auto"/>
                <w:szCs w:val="21"/>
                <w:highlight w:val="none"/>
              </w:rPr>
            </w:pPr>
            <w:r>
              <w:rPr>
                <w:color w:val="auto"/>
                <w:szCs w:val="21"/>
                <w:highlight w:val="none"/>
              </w:rPr>
              <w:t>小时平均</w:t>
            </w:r>
          </w:p>
        </w:tc>
        <w:tc>
          <w:tcPr>
            <w:tcW w:w="960" w:type="dxa"/>
            <w:vMerge w:val="continue"/>
            <w:vAlign w:val="center"/>
          </w:tcPr>
          <w:p>
            <w:pPr>
              <w:autoSpaceDE w:val="0"/>
              <w:autoSpaceDN w:val="0"/>
              <w:spacing w:line="240" w:lineRule="atLeast"/>
              <w:ind w:firstLine="77"/>
              <w:jc w:val="center"/>
              <w:rPr>
                <w:color w:val="auto"/>
                <w:szCs w:val="21"/>
                <w:highlight w:val="none"/>
              </w:rPr>
            </w:pPr>
          </w:p>
        </w:tc>
        <w:tc>
          <w:tcPr>
            <w:tcW w:w="1050" w:type="dxa"/>
            <w:tcBorders>
              <w:bottom w:val="single" w:color="auto" w:sz="6" w:space="0"/>
            </w:tcBorders>
            <w:vAlign w:val="center"/>
          </w:tcPr>
          <w:p>
            <w:pPr>
              <w:autoSpaceDE w:val="0"/>
              <w:autoSpaceDN w:val="0"/>
              <w:spacing w:line="240" w:lineRule="atLeast"/>
              <w:jc w:val="center"/>
              <w:rPr>
                <w:color w:val="auto"/>
                <w:szCs w:val="21"/>
                <w:highlight w:val="none"/>
              </w:rPr>
            </w:pPr>
            <w:r>
              <w:rPr>
                <w:color w:val="auto"/>
                <w:szCs w:val="21"/>
                <w:highlight w:val="none"/>
              </w:rPr>
              <w:t>200</w:t>
            </w:r>
          </w:p>
        </w:tc>
        <w:tc>
          <w:tcPr>
            <w:tcW w:w="1230" w:type="dxa"/>
            <w:vMerge w:val="continue"/>
            <w:tcBorders>
              <w:bottom w:val="single" w:color="auto" w:sz="6" w:space="0"/>
            </w:tcBorders>
            <w:vAlign w:val="center"/>
          </w:tcPr>
          <w:p>
            <w:pPr>
              <w:autoSpaceDE w:val="0"/>
              <w:autoSpaceDN w:val="0"/>
              <w:spacing w:line="240" w:lineRule="atLeast"/>
              <w:jc w:val="center"/>
              <w:rPr>
                <w:color w:val="auto"/>
                <w:szCs w:val="21"/>
                <w:highlight w:val="none"/>
              </w:rPr>
            </w:pPr>
          </w:p>
        </w:tc>
        <w:tc>
          <w:tcPr>
            <w:tcW w:w="1665" w:type="dxa"/>
            <w:vMerge w:val="continue"/>
            <w:vAlign w:val="center"/>
          </w:tcPr>
          <w:p>
            <w:pPr>
              <w:autoSpaceDE w:val="0"/>
              <w:autoSpaceDN w:val="0"/>
              <w:spacing w:line="240" w:lineRule="atLeast"/>
              <w:jc w:val="center"/>
              <w:rPr>
                <w:color w:val="auto"/>
                <w:szCs w:val="21"/>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49" w:type="dxa"/>
            <w:vMerge w:val="restart"/>
            <w:vAlign w:val="center"/>
          </w:tcPr>
          <w:p>
            <w:pPr>
              <w:autoSpaceDE w:val="0"/>
              <w:autoSpaceDN w:val="0"/>
              <w:spacing w:line="240" w:lineRule="atLeast"/>
              <w:jc w:val="center"/>
              <w:rPr>
                <w:color w:val="auto"/>
                <w:szCs w:val="21"/>
                <w:highlight w:val="none"/>
              </w:rPr>
            </w:pPr>
            <w:r>
              <w:rPr>
                <w:color w:val="auto"/>
                <w:szCs w:val="21"/>
                <w:highlight w:val="none"/>
              </w:rPr>
              <w:t>CO</w:t>
            </w:r>
          </w:p>
        </w:tc>
        <w:tc>
          <w:tcPr>
            <w:tcW w:w="2483" w:type="dxa"/>
            <w:vAlign w:val="center"/>
          </w:tcPr>
          <w:p>
            <w:pPr>
              <w:autoSpaceDE w:val="0"/>
              <w:autoSpaceDN w:val="0"/>
              <w:spacing w:line="240" w:lineRule="atLeast"/>
              <w:jc w:val="center"/>
              <w:rPr>
                <w:color w:val="auto"/>
                <w:szCs w:val="21"/>
                <w:highlight w:val="none"/>
              </w:rPr>
            </w:pPr>
            <w:r>
              <w:rPr>
                <w:color w:val="auto"/>
                <w:szCs w:val="21"/>
                <w:highlight w:val="none"/>
              </w:rPr>
              <w:t>24小时平均</w:t>
            </w:r>
          </w:p>
        </w:tc>
        <w:tc>
          <w:tcPr>
            <w:tcW w:w="960" w:type="dxa"/>
            <w:vMerge w:val="continue"/>
            <w:vAlign w:val="center"/>
          </w:tcPr>
          <w:p>
            <w:pPr>
              <w:autoSpaceDE w:val="0"/>
              <w:autoSpaceDN w:val="0"/>
              <w:spacing w:line="240" w:lineRule="atLeast"/>
              <w:ind w:firstLine="77"/>
              <w:jc w:val="center"/>
              <w:rPr>
                <w:color w:val="auto"/>
                <w:szCs w:val="21"/>
                <w:highlight w:val="none"/>
              </w:rPr>
            </w:pPr>
          </w:p>
        </w:tc>
        <w:tc>
          <w:tcPr>
            <w:tcW w:w="1050" w:type="dxa"/>
            <w:tcBorders>
              <w:top w:val="single" w:color="auto" w:sz="6" w:space="0"/>
            </w:tcBorders>
            <w:vAlign w:val="center"/>
          </w:tcPr>
          <w:p>
            <w:pPr>
              <w:autoSpaceDE w:val="0"/>
              <w:autoSpaceDN w:val="0"/>
              <w:spacing w:line="240" w:lineRule="atLeast"/>
              <w:jc w:val="center"/>
              <w:rPr>
                <w:color w:val="auto"/>
                <w:szCs w:val="21"/>
                <w:highlight w:val="none"/>
              </w:rPr>
            </w:pPr>
            <w:r>
              <w:rPr>
                <w:color w:val="auto"/>
                <w:szCs w:val="21"/>
                <w:highlight w:val="none"/>
              </w:rPr>
              <w:t>4</w:t>
            </w:r>
          </w:p>
        </w:tc>
        <w:tc>
          <w:tcPr>
            <w:tcW w:w="1230" w:type="dxa"/>
            <w:vMerge w:val="restart"/>
            <w:tcBorders>
              <w:top w:val="single" w:color="auto" w:sz="6" w:space="0"/>
            </w:tcBorders>
            <w:vAlign w:val="center"/>
          </w:tcPr>
          <w:p>
            <w:pPr>
              <w:autoSpaceDE w:val="0"/>
              <w:autoSpaceDN w:val="0"/>
              <w:spacing w:line="240" w:lineRule="atLeast"/>
              <w:jc w:val="center"/>
              <w:rPr>
                <w:color w:val="auto"/>
                <w:szCs w:val="21"/>
                <w:highlight w:val="none"/>
              </w:rPr>
            </w:pPr>
            <w:r>
              <w:rPr>
                <w:color w:val="auto"/>
                <w:szCs w:val="21"/>
                <w:highlight w:val="none"/>
              </w:rPr>
              <w:t>mg/Nm</w:t>
            </w:r>
            <w:r>
              <w:rPr>
                <w:color w:val="auto"/>
                <w:szCs w:val="21"/>
                <w:highlight w:val="none"/>
                <w:vertAlign w:val="superscript"/>
              </w:rPr>
              <w:t>3</w:t>
            </w:r>
          </w:p>
        </w:tc>
        <w:tc>
          <w:tcPr>
            <w:tcW w:w="1665" w:type="dxa"/>
            <w:vMerge w:val="continue"/>
            <w:vAlign w:val="center"/>
          </w:tcPr>
          <w:p>
            <w:pPr>
              <w:autoSpaceDE w:val="0"/>
              <w:autoSpaceDN w:val="0"/>
              <w:spacing w:line="240" w:lineRule="atLeast"/>
              <w:jc w:val="center"/>
              <w:rPr>
                <w:color w:val="auto"/>
                <w:szCs w:val="21"/>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49" w:type="dxa"/>
            <w:vMerge w:val="continue"/>
            <w:vAlign w:val="center"/>
          </w:tcPr>
          <w:p>
            <w:pPr>
              <w:autoSpaceDE w:val="0"/>
              <w:autoSpaceDN w:val="0"/>
              <w:spacing w:line="240" w:lineRule="atLeast"/>
              <w:jc w:val="center"/>
              <w:rPr>
                <w:color w:val="auto"/>
                <w:szCs w:val="21"/>
                <w:highlight w:val="none"/>
              </w:rPr>
            </w:pPr>
          </w:p>
        </w:tc>
        <w:tc>
          <w:tcPr>
            <w:tcW w:w="2483" w:type="dxa"/>
            <w:vAlign w:val="center"/>
          </w:tcPr>
          <w:p>
            <w:pPr>
              <w:autoSpaceDE w:val="0"/>
              <w:autoSpaceDN w:val="0"/>
              <w:spacing w:line="240" w:lineRule="atLeast"/>
              <w:jc w:val="center"/>
              <w:rPr>
                <w:color w:val="auto"/>
                <w:szCs w:val="21"/>
                <w:highlight w:val="none"/>
              </w:rPr>
            </w:pPr>
            <w:r>
              <w:rPr>
                <w:color w:val="auto"/>
                <w:szCs w:val="21"/>
                <w:highlight w:val="none"/>
              </w:rPr>
              <w:t>小时平均</w:t>
            </w:r>
          </w:p>
        </w:tc>
        <w:tc>
          <w:tcPr>
            <w:tcW w:w="960" w:type="dxa"/>
            <w:vMerge w:val="continue"/>
            <w:vAlign w:val="center"/>
          </w:tcPr>
          <w:p>
            <w:pPr>
              <w:autoSpaceDE w:val="0"/>
              <w:autoSpaceDN w:val="0"/>
              <w:spacing w:line="240" w:lineRule="atLeast"/>
              <w:ind w:firstLine="77"/>
              <w:jc w:val="center"/>
              <w:rPr>
                <w:color w:val="auto"/>
                <w:szCs w:val="21"/>
                <w:highlight w:val="none"/>
              </w:rPr>
            </w:pPr>
          </w:p>
        </w:tc>
        <w:tc>
          <w:tcPr>
            <w:tcW w:w="1050" w:type="dxa"/>
            <w:tcBorders>
              <w:bottom w:val="single" w:color="auto" w:sz="6" w:space="0"/>
            </w:tcBorders>
            <w:vAlign w:val="center"/>
          </w:tcPr>
          <w:p>
            <w:pPr>
              <w:autoSpaceDE w:val="0"/>
              <w:autoSpaceDN w:val="0"/>
              <w:spacing w:line="240" w:lineRule="atLeast"/>
              <w:jc w:val="center"/>
              <w:rPr>
                <w:color w:val="auto"/>
                <w:szCs w:val="21"/>
                <w:highlight w:val="none"/>
              </w:rPr>
            </w:pPr>
            <w:r>
              <w:rPr>
                <w:color w:val="auto"/>
                <w:szCs w:val="21"/>
                <w:highlight w:val="none"/>
              </w:rPr>
              <w:t>10</w:t>
            </w:r>
          </w:p>
        </w:tc>
        <w:tc>
          <w:tcPr>
            <w:tcW w:w="1230" w:type="dxa"/>
            <w:vMerge w:val="continue"/>
            <w:tcBorders>
              <w:bottom w:val="single" w:color="auto" w:sz="6" w:space="0"/>
            </w:tcBorders>
            <w:vAlign w:val="center"/>
          </w:tcPr>
          <w:p>
            <w:pPr>
              <w:autoSpaceDE w:val="0"/>
              <w:autoSpaceDN w:val="0"/>
              <w:spacing w:line="240" w:lineRule="atLeast"/>
              <w:jc w:val="center"/>
              <w:rPr>
                <w:color w:val="auto"/>
                <w:szCs w:val="21"/>
                <w:highlight w:val="none"/>
              </w:rPr>
            </w:pPr>
          </w:p>
        </w:tc>
        <w:tc>
          <w:tcPr>
            <w:tcW w:w="1665" w:type="dxa"/>
            <w:vMerge w:val="continue"/>
            <w:vAlign w:val="center"/>
          </w:tcPr>
          <w:p>
            <w:pPr>
              <w:autoSpaceDE w:val="0"/>
              <w:autoSpaceDN w:val="0"/>
              <w:spacing w:line="240" w:lineRule="atLeast"/>
              <w:jc w:val="center"/>
              <w:rPr>
                <w:color w:val="auto"/>
                <w:szCs w:val="21"/>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49" w:type="dxa"/>
            <w:vMerge w:val="restart"/>
            <w:vAlign w:val="center"/>
          </w:tcPr>
          <w:p>
            <w:pPr>
              <w:autoSpaceDE w:val="0"/>
              <w:autoSpaceDN w:val="0"/>
              <w:spacing w:line="240" w:lineRule="atLeast"/>
              <w:jc w:val="center"/>
              <w:rPr>
                <w:color w:val="auto"/>
                <w:szCs w:val="21"/>
                <w:highlight w:val="none"/>
              </w:rPr>
            </w:pPr>
            <w:r>
              <w:rPr>
                <w:color w:val="auto"/>
                <w:szCs w:val="21"/>
                <w:highlight w:val="none"/>
              </w:rPr>
              <w:t>臭氧（O</w:t>
            </w:r>
            <w:r>
              <w:rPr>
                <w:color w:val="auto"/>
                <w:szCs w:val="21"/>
                <w:highlight w:val="none"/>
                <w:vertAlign w:val="subscript"/>
              </w:rPr>
              <w:t>3</w:t>
            </w:r>
            <w:r>
              <w:rPr>
                <w:color w:val="auto"/>
                <w:szCs w:val="21"/>
                <w:highlight w:val="none"/>
              </w:rPr>
              <w:t>）</w:t>
            </w:r>
          </w:p>
        </w:tc>
        <w:tc>
          <w:tcPr>
            <w:tcW w:w="2483" w:type="dxa"/>
            <w:vAlign w:val="center"/>
          </w:tcPr>
          <w:p>
            <w:pPr>
              <w:autoSpaceDE w:val="0"/>
              <w:autoSpaceDN w:val="0"/>
              <w:spacing w:line="240" w:lineRule="atLeast"/>
              <w:jc w:val="center"/>
              <w:rPr>
                <w:color w:val="auto"/>
                <w:szCs w:val="21"/>
                <w:highlight w:val="none"/>
              </w:rPr>
            </w:pPr>
            <w:r>
              <w:rPr>
                <w:color w:val="auto"/>
                <w:szCs w:val="21"/>
                <w:highlight w:val="none"/>
              </w:rPr>
              <w:t>日最大8小时平均</w:t>
            </w:r>
          </w:p>
        </w:tc>
        <w:tc>
          <w:tcPr>
            <w:tcW w:w="960" w:type="dxa"/>
            <w:vMerge w:val="continue"/>
            <w:vAlign w:val="center"/>
          </w:tcPr>
          <w:p>
            <w:pPr>
              <w:autoSpaceDE w:val="0"/>
              <w:autoSpaceDN w:val="0"/>
              <w:spacing w:line="240" w:lineRule="atLeast"/>
              <w:ind w:firstLine="77"/>
              <w:jc w:val="center"/>
              <w:rPr>
                <w:color w:val="auto"/>
                <w:szCs w:val="21"/>
                <w:highlight w:val="none"/>
              </w:rPr>
            </w:pPr>
          </w:p>
        </w:tc>
        <w:tc>
          <w:tcPr>
            <w:tcW w:w="1050" w:type="dxa"/>
            <w:tcBorders>
              <w:top w:val="single" w:color="auto" w:sz="6" w:space="0"/>
            </w:tcBorders>
            <w:vAlign w:val="center"/>
          </w:tcPr>
          <w:p>
            <w:pPr>
              <w:autoSpaceDE w:val="0"/>
              <w:autoSpaceDN w:val="0"/>
              <w:spacing w:line="240" w:lineRule="atLeast"/>
              <w:jc w:val="center"/>
              <w:rPr>
                <w:color w:val="auto"/>
                <w:szCs w:val="21"/>
                <w:highlight w:val="none"/>
              </w:rPr>
            </w:pPr>
            <w:r>
              <w:rPr>
                <w:color w:val="auto"/>
                <w:szCs w:val="21"/>
                <w:highlight w:val="none"/>
              </w:rPr>
              <w:t>160</w:t>
            </w:r>
          </w:p>
        </w:tc>
        <w:tc>
          <w:tcPr>
            <w:tcW w:w="1230" w:type="dxa"/>
            <w:vMerge w:val="restart"/>
            <w:tcBorders>
              <w:top w:val="single" w:color="auto" w:sz="6" w:space="0"/>
            </w:tcBorders>
            <w:vAlign w:val="center"/>
          </w:tcPr>
          <w:p>
            <w:pPr>
              <w:autoSpaceDE w:val="0"/>
              <w:autoSpaceDN w:val="0"/>
              <w:spacing w:line="240" w:lineRule="atLeast"/>
              <w:jc w:val="center"/>
              <w:rPr>
                <w:color w:val="auto"/>
                <w:szCs w:val="21"/>
                <w:highlight w:val="none"/>
              </w:rPr>
            </w:pPr>
            <w:r>
              <w:rPr>
                <w:color w:val="auto"/>
                <w:szCs w:val="21"/>
                <w:highlight w:val="none"/>
              </w:rPr>
              <w:t>μg/Nm</w:t>
            </w:r>
            <w:r>
              <w:rPr>
                <w:color w:val="auto"/>
                <w:szCs w:val="21"/>
                <w:highlight w:val="none"/>
                <w:vertAlign w:val="superscript"/>
              </w:rPr>
              <w:t>3</w:t>
            </w:r>
          </w:p>
        </w:tc>
        <w:tc>
          <w:tcPr>
            <w:tcW w:w="1665" w:type="dxa"/>
            <w:vMerge w:val="continue"/>
            <w:vAlign w:val="center"/>
          </w:tcPr>
          <w:p>
            <w:pPr>
              <w:autoSpaceDE w:val="0"/>
              <w:autoSpaceDN w:val="0"/>
              <w:spacing w:line="240" w:lineRule="atLeast"/>
              <w:jc w:val="center"/>
              <w:rPr>
                <w:color w:val="auto"/>
                <w:szCs w:val="21"/>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49" w:type="dxa"/>
            <w:vMerge w:val="continue"/>
            <w:vAlign w:val="center"/>
          </w:tcPr>
          <w:p>
            <w:pPr>
              <w:autoSpaceDE w:val="0"/>
              <w:autoSpaceDN w:val="0"/>
              <w:spacing w:line="240" w:lineRule="atLeast"/>
              <w:jc w:val="center"/>
              <w:rPr>
                <w:color w:val="auto"/>
                <w:szCs w:val="21"/>
                <w:highlight w:val="none"/>
              </w:rPr>
            </w:pPr>
          </w:p>
        </w:tc>
        <w:tc>
          <w:tcPr>
            <w:tcW w:w="2483" w:type="dxa"/>
            <w:vAlign w:val="center"/>
          </w:tcPr>
          <w:p>
            <w:pPr>
              <w:autoSpaceDE w:val="0"/>
              <w:autoSpaceDN w:val="0"/>
              <w:spacing w:line="240" w:lineRule="atLeast"/>
              <w:jc w:val="center"/>
              <w:rPr>
                <w:color w:val="auto"/>
                <w:szCs w:val="21"/>
                <w:highlight w:val="none"/>
              </w:rPr>
            </w:pPr>
            <w:r>
              <w:rPr>
                <w:color w:val="auto"/>
                <w:szCs w:val="21"/>
                <w:highlight w:val="none"/>
              </w:rPr>
              <w:t>1小时平均</w:t>
            </w:r>
          </w:p>
        </w:tc>
        <w:tc>
          <w:tcPr>
            <w:tcW w:w="960" w:type="dxa"/>
            <w:vMerge w:val="continue"/>
            <w:vAlign w:val="center"/>
          </w:tcPr>
          <w:p>
            <w:pPr>
              <w:autoSpaceDE w:val="0"/>
              <w:autoSpaceDN w:val="0"/>
              <w:spacing w:line="240" w:lineRule="atLeast"/>
              <w:ind w:firstLine="77"/>
              <w:jc w:val="center"/>
              <w:rPr>
                <w:color w:val="auto"/>
                <w:szCs w:val="21"/>
                <w:highlight w:val="none"/>
              </w:rPr>
            </w:pPr>
          </w:p>
        </w:tc>
        <w:tc>
          <w:tcPr>
            <w:tcW w:w="1050" w:type="dxa"/>
            <w:tcBorders>
              <w:bottom w:val="single" w:color="auto" w:sz="6" w:space="0"/>
            </w:tcBorders>
            <w:vAlign w:val="center"/>
          </w:tcPr>
          <w:p>
            <w:pPr>
              <w:autoSpaceDE w:val="0"/>
              <w:autoSpaceDN w:val="0"/>
              <w:spacing w:line="240" w:lineRule="atLeast"/>
              <w:jc w:val="center"/>
              <w:rPr>
                <w:color w:val="auto"/>
                <w:szCs w:val="21"/>
                <w:highlight w:val="none"/>
              </w:rPr>
            </w:pPr>
            <w:r>
              <w:rPr>
                <w:color w:val="auto"/>
                <w:szCs w:val="21"/>
                <w:highlight w:val="none"/>
              </w:rPr>
              <w:t>200</w:t>
            </w:r>
          </w:p>
        </w:tc>
        <w:tc>
          <w:tcPr>
            <w:tcW w:w="1230" w:type="dxa"/>
            <w:vMerge w:val="continue"/>
            <w:tcBorders>
              <w:bottom w:val="single" w:color="auto" w:sz="6" w:space="0"/>
            </w:tcBorders>
            <w:vAlign w:val="center"/>
          </w:tcPr>
          <w:p>
            <w:pPr>
              <w:autoSpaceDE w:val="0"/>
              <w:autoSpaceDN w:val="0"/>
              <w:spacing w:line="240" w:lineRule="atLeast"/>
              <w:jc w:val="center"/>
              <w:rPr>
                <w:color w:val="auto"/>
                <w:szCs w:val="21"/>
                <w:highlight w:val="none"/>
              </w:rPr>
            </w:pPr>
          </w:p>
        </w:tc>
        <w:tc>
          <w:tcPr>
            <w:tcW w:w="1665" w:type="dxa"/>
            <w:vMerge w:val="continue"/>
            <w:vAlign w:val="center"/>
          </w:tcPr>
          <w:p>
            <w:pPr>
              <w:autoSpaceDE w:val="0"/>
              <w:autoSpaceDN w:val="0"/>
              <w:spacing w:line="240" w:lineRule="atLeast"/>
              <w:jc w:val="center"/>
              <w:rPr>
                <w:color w:val="auto"/>
                <w:szCs w:val="21"/>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49" w:type="dxa"/>
            <w:vMerge w:val="restart"/>
            <w:vAlign w:val="center"/>
          </w:tcPr>
          <w:p>
            <w:pPr>
              <w:autoSpaceDE w:val="0"/>
              <w:autoSpaceDN w:val="0"/>
              <w:spacing w:line="240" w:lineRule="atLeast"/>
              <w:jc w:val="center"/>
              <w:rPr>
                <w:color w:val="auto"/>
                <w:szCs w:val="21"/>
                <w:highlight w:val="none"/>
              </w:rPr>
            </w:pPr>
            <w:r>
              <w:rPr>
                <w:color w:val="auto"/>
                <w:szCs w:val="21"/>
                <w:highlight w:val="none"/>
              </w:rPr>
              <w:t>PM</w:t>
            </w:r>
            <w:r>
              <w:rPr>
                <w:color w:val="auto"/>
                <w:szCs w:val="21"/>
                <w:highlight w:val="none"/>
                <w:vertAlign w:val="subscript"/>
              </w:rPr>
              <w:t>10</w:t>
            </w:r>
          </w:p>
        </w:tc>
        <w:tc>
          <w:tcPr>
            <w:tcW w:w="2483" w:type="dxa"/>
            <w:vAlign w:val="center"/>
          </w:tcPr>
          <w:p>
            <w:pPr>
              <w:autoSpaceDE w:val="0"/>
              <w:autoSpaceDN w:val="0"/>
              <w:spacing w:line="240" w:lineRule="atLeast"/>
              <w:jc w:val="center"/>
              <w:rPr>
                <w:color w:val="auto"/>
                <w:szCs w:val="21"/>
                <w:highlight w:val="none"/>
              </w:rPr>
            </w:pPr>
            <w:r>
              <w:rPr>
                <w:color w:val="auto"/>
                <w:szCs w:val="21"/>
                <w:highlight w:val="none"/>
                <w:lang w:val="zh-CN"/>
              </w:rPr>
              <w:t>年平均</w:t>
            </w:r>
          </w:p>
        </w:tc>
        <w:tc>
          <w:tcPr>
            <w:tcW w:w="960" w:type="dxa"/>
            <w:vMerge w:val="continue"/>
            <w:vAlign w:val="center"/>
          </w:tcPr>
          <w:p>
            <w:pPr>
              <w:autoSpaceDE w:val="0"/>
              <w:autoSpaceDN w:val="0"/>
              <w:spacing w:line="240" w:lineRule="atLeast"/>
              <w:ind w:firstLine="77"/>
              <w:jc w:val="center"/>
              <w:rPr>
                <w:color w:val="auto"/>
                <w:szCs w:val="21"/>
                <w:highlight w:val="none"/>
              </w:rPr>
            </w:pPr>
          </w:p>
        </w:tc>
        <w:tc>
          <w:tcPr>
            <w:tcW w:w="1050" w:type="dxa"/>
            <w:tcBorders>
              <w:top w:val="single" w:color="auto" w:sz="6" w:space="0"/>
            </w:tcBorders>
            <w:vAlign w:val="center"/>
          </w:tcPr>
          <w:p>
            <w:pPr>
              <w:autoSpaceDE w:val="0"/>
              <w:autoSpaceDN w:val="0"/>
              <w:spacing w:line="240" w:lineRule="atLeast"/>
              <w:jc w:val="center"/>
              <w:rPr>
                <w:color w:val="auto"/>
                <w:szCs w:val="21"/>
                <w:highlight w:val="none"/>
              </w:rPr>
            </w:pPr>
            <w:r>
              <w:rPr>
                <w:color w:val="auto"/>
                <w:szCs w:val="21"/>
                <w:highlight w:val="none"/>
              </w:rPr>
              <w:t>70</w:t>
            </w:r>
          </w:p>
        </w:tc>
        <w:tc>
          <w:tcPr>
            <w:tcW w:w="1230" w:type="dxa"/>
            <w:vMerge w:val="restart"/>
            <w:tcBorders>
              <w:top w:val="single" w:color="auto" w:sz="6" w:space="0"/>
            </w:tcBorders>
            <w:vAlign w:val="center"/>
          </w:tcPr>
          <w:p>
            <w:pPr>
              <w:autoSpaceDE w:val="0"/>
              <w:autoSpaceDN w:val="0"/>
              <w:spacing w:line="240" w:lineRule="atLeast"/>
              <w:jc w:val="center"/>
              <w:rPr>
                <w:color w:val="auto"/>
                <w:szCs w:val="21"/>
                <w:highlight w:val="none"/>
              </w:rPr>
            </w:pPr>
            <w:r>
              <w:rPr>
                <w:color w:val="auto"/>
                <w:szCs w:val="21"/>
                <w:highlight w:val="none"/>
              </w:rPr>
              <w:t>μg/Nm</w:t>
            </w:r>
            <w:r>
              <w:rPr>
                <w:color w:val="auto"/>
                <w:szCs w:val="21"/>
                <w:highlight w:val="none"/>
                <w:vertAlign w:val="superscript"/>
              </w:rPr>
              <w:t>3</w:t>
            </w:r>
          </w:p>
        </w:tc>
        <w:tc>
          <w:tcPr>
            <w:tcW w:w="1665" w:type="dxa"/>
            <w:vMerge w:val="continue"/>
            <w:vAlign w:val="center"/>
          </w:tcPr>
          <w:p>
            <w:pPr>
              <w:autoSpaceDE w:val="0"/>
              <w:autoSpaceDN w:val="0"/>
              <w:spacing w:line="240" w:lineRule="atLeast"/>
              <w:jc w:val="center"/>
              <w:rPr>
                <w:color w:val="auto"/>
                <w:szCs w:val="21"/>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49" w:type="dxa"/>
            <w:vMerge w:val="continue"/>
            <w:vAlign w:val="center"/>
          </w:tcPr>
          <w:p>
            <w:pPr>
              <w:autoSpaceDE w:val="0"/>
              <w:autoSpaceDN w:val="0"/>
              <w:spacing w:line="240" w:lineRule="atLeast"/>
              <w:jc w:val="center"/>
              <w:rPr>
                <w:color w:val="auto"/>
                <w:szCs w:val="21"/>
                <w:highlight w:val="none"/>
              </w:rPr>
            </w:pPr>
          </w:p>
        </w:tc>
        <w:tc>
          <w:tcPr>
            <w:tcW w:w="2483" w:type="dxa"/>
            <w:vAlign w:val="center"/>
          </w:tcPr>
          <w:p>
            <w:pPr>
              <w:autoSpaceDE w:val="0"/>
              <w:autoSpaceDN w:val="0"/>
              <w:spacing w:line="240" w:lineRule="atLeast"/>
              <w:jc w:val="center"/>
              <w:rPr>
                <w:color w:val="auto"/>
                <w:szCs w:val="21"/>
                <w:highlight w:val="none"/>
              </w:rPr>
            </w:pPr>
            <w:r>
              <w:rPr>
                <w:color w:val="auto"/>
                <w:szCs w:val="21"/>
                <w:highlight w:val="none"/>
                <w:lang w:val="zh-CN"/>
              </w:rPr>
              <w:t>24小时平均</w:t>
            </w:r>
          </w:p>
        </w:tc>
        <w:tc>
          <w:tcPr>
            <w:tcW w:w="960" w:type="dxa"/>
            <w:vMerge w:val="continue"/>
            <w:vAlign w:val="center"/>
          </w:tcPr>
          <w:p>
            <w:pPr>
              <w:autoSpaceDE w:val="0"/>
              <w:autoSpaceDN w:val="0"/>
              <w:spacing w:line="240" w:lineRule="atLeast"/>
              <w:ind w:firstLine="77"/>
              <w:jc w:val="center"/>
              <w:rPr>
                <w:color w:val="auto"/>
                <w:szCs w:val="21"/>
                <w:highlight w:val="none"/>
              </w:rPr>
            </w:pPr>
          </w:p>
        </w:tc>
        <w:tc>
          <w:tcPr>
            <w:tcW w:w="1050" w:type="dxa"/>
            <w:vAlign w:val="center"/>
          </w:tcPr>
          <w:p>
            <w:pPr>
              <w:autoSpaceDE w:val="0"/>
              <w:autoSpaceDN w:val="0"/>
              <w:spacing w:line="240" w:lineRule="atLeast"/>
              <w:jc w:val="center"/>
              <w:rPr>
                <w:color w:val="auto"/>
                <w:szCs w:val="21"/>
                <w:highlight w:val="none"/>
              </w:rPr>
            </w:pPr>
            <w:r>
              <w:rPr>
                <w:color w:val="auto"/>
                <w:szCs w:val="21"/>
                <w:highlight w:val="none"/>
              </w:rPr>
              <w:t>150</w:t>
            </w:r>
          </w:p>
        </w:tc>
        <w:tc>
          <w:tcPr>
            <w:tcW w:w="1230" w:type="dxa"/>
            <w:vMerge w:val="continue"/>
            <w:vAlign w:val="center"/>
          </w:tcPr>
          <w:p>
            <w:pPr>
              <w:autoSpaceDE w:val="0"/>
              <w:autoSpaceDN w:val="0"/>
              <w:spacing w:line="240" w:lineRule="atLeast"/>
              <w:jc w:val="center"/>
              <w:rPr>
                <w:color w:val="auto"/>
                <w:szCs w:val="21"/>
                <w:highlight w:val="none"/>
              </w:rPr>
            </w:pPr>
          </w:p>
        </w:tc>
        <w:tc>
          <w:tcPr>
            <w:tcW w:w="1665" w:type="dxa"/>
            <w:vMerge w:val="continue"/>
            <w:vAlign w:val="center"/>
          </w:tcPr>
          <w:p>
            <w:pPr>
              <w:autoSpaceDE w:val="0"/>
              <w:autoSpaceDN w:val="0"/>
              <w:spacing w:line="240" w:lineRule="atLeast"/>
              <w:jc w:val="center"/>
              <w:rPr>
                <w:color w:val="auto"/>
                <w:szCs w:val="21"/>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49" w:type="dxa"/>
            <w:vAlign w:val="center"/>
          </w:tcPr>
          <w:p>
            <w:pPr>
              <w:autoSpaceDE w:val="0"/>
              <w:autoSpaceDN w:val="0"/>
              <w:spacing w:line="240" w:lineRule="atLeast"/>
              <w:jc w:val="center"/>
              <w:rPr>
                <w:color w:val="auto"/>
                <w:szCs w:val="21"/>
                <w:highlight w:val="none"/>
              </w:rPr>
            </w:pPr>
            <w:r>
              <w:rPr>
                <w:color w:val="auto"/>
                <w:szCs w:val="21"/>
                <w:highlight w:val="none"/>
              </w:rPr>
              <w:t>PM</w:t>
            </w:r>
            <w:r>
              <w:rPr>
                <w:color w:val="auto"/>
                <w:szCs w:val="21"/>
                <w:highlight w:val="none"/>
                <w:vertAlign w:val="subscript"/>
              </w:rPr>
              <w:t>2.5</w:t>
            </w:r>
          </w:p>
        </w:tc>
        <w:tc>
          <w:tcPr>
            <w:tcW w:w="2483" w:type="dxa"/>
            <w:vAlign w:val="center"/>
          </w:tcPr>
          <w:p>
            <w:pPr>
              <w:autoSpaceDE w:val="0"/>
              <w:autoSpaceDN w:val="0"/>
              <w:spacing w:line="240" w:lineRule="atLeast"/>
              <w:jc w:val="center"/>
              <w:rPr>
                <w:color w:val="auto"/>
                <w:szCs w:val="21"/>
                <w:highlight w:val="none"/>
                <w:lang w:val="zh-CN"/>
              </w:rPr>
            </w:pPr>
            <w:r>
              <w:rPr>
                <w:color w:val="auto"/>
                <w:szCs w:val="21"/>
                <w:highlight w:val="none"/>
                <w:lang w:val="zh-CN"/>
              </w:rPr>
              <w:t>24小时平均</w:t>
            </w:r>
          </w:p>
        </w:tc>
        <w:tc>
          <w:tcPr>
            <w:tcW w:w="960" w:type="dxa"/>
            <w:vMerge w:val="continue"/>
            <w:vAlign w:val="center"/>
          </w:tcPr>
          <w:p>
            <w:pPr>
              <w:autoSpaceDE w:val="0"/>
              <w:autoSpaceDN w:val="0"/>
              <w:spacing w:line="240" w:lineRule="atLeast"/>
              <w:ind w:firstLine="77"/>
              <w:jc w:val="center"/>
              <w:rPr>
                <w:color w:val="auto"/>
                <w:szCs w:val="21"/>
                <w:highlight w:val="none"/>
              </w:rPr>
            </w:pPr>
          </w:p>
        </w:tc>
        <w:tc>
          <w:tcPr>
            <w:tcW w:w="1050" w:type="dxa"/>
            <w:vAlign w:val="center"/>
          </w:tcPr>
          <w:p>
            <w:pPr>
              <w:autoSpaceDE w:val="0"/>
              <w:autoSpaceDN w:val="0"/>
              <w:spacing w:line="240" w:lineRule="atLeast"/>
              <w:jc w:val="center"/>
              <w:rPr>
                <w:color w:val="auto"/>
                <w:szCs w:val="21"/>
                <w:highlight w:val="none"/>
              </w:rPr>
            </w:pPr>
            <w:r>
              <w:rPr>
                <w:color w:val="auto"/>
                <w:szCs w:val="21"/>
                <w:highlight w:val="none"/>
              </w:rPr>
              <w:t>75</w:t>
            </w:r>
          </w:p>
        </w:tc>
        <w:tc>
          <w:tcPr>
            <w:tcW w:w="1230" w:type="dxa"/>
            <w:vAlign w:val="center"/>
          </w:tcPr>
          <w:p>
            <w:pPr>
              <w:autoSpaceDE w:val="0"/>
              <w:autoSpaceDN w:val="0"/>
              <w:spacing w:line="240" w:lineRule="atLeast"/>
              <w:jc w:val="center"/>
              <w:rPr>
                <w:color w:val="auto"/>
                <w:szCs w:val="21"/>
                <w:highlight w:val="none"/>
              </w:rPr>
            </w:pPr>
            <w:r>
              <w:rPr>
                <w:color w:val="auto"/>
                <w:szCs w:val="21"/>
                <w:highlight w:val="none"/>
              </w:rPr>
              <w:t>μg/Nm</w:t>
            </w:r>
            <w:r>
              <w:rPr>
                <w:color w:val="auto"/>
                <w:szCs w:val="21"/>
                <w:highlight w:val="none"/>
                <w:vertAlign w:val="superscript"/>
              </w:rPr>
              <w:t>3</w:t>
            </w:r>
          </w:p>
        </w:tc>
        <w:tc>
          <w:tcPr>
            <w:tcW w:w="1665" w:type="dxa"/>
            <w:vMerge w:val="continue"/>
            <w:vAlign w:val="center"/>
          </w:tcPr>
          <w:p>
            <w:pPr>
              <w:autoSpaceDE w:val="0"/>
              <w:autoSpaceDN w:val="0"/>
              <w:spacing w:line="240" w:lineRule="atLeast"/>
              <w:jc w:val="center"/>
              <w:rPr>
                <w:color w:val="auto"/>
                <w:szCs w:val="21"/>
                <w:highlight w:val="none"/>
              </w:rPr>
            </w:pPr>
          </w:p>
        </w:tc>
      </w:tr>
    </w:tbl>
    <w:p>
      <w:pPr>
        <w:spacing w:line="480" w:lineRule="exact"/>
        <w:ind w:firstLine="480" w:firstLineChars="200"/>
        <w:jc w:val="left"/>
        <w:rPr>
          <w:rStyle w:val="64"/>
          <w:color w:val="auto"/>
          <w:highlight w:val="none"/>
        </w:rPr>
      </w:pPr>
      <w:r>
        <w:rPr>
          <w:color w:val="auto"/>
          <w:sz w:val="24"/>
          <w:highlight w:val="none"/>
        </w:rPr>
        <w:t>（2）地下水环境质量</w:t>
      </w:r>
    </w:p>
    <w:p>
      <w:pPr>
        <w:spacing w:line="480" w:lineRule="exact"/>
        <w:ind w:firstLine="480" w:firstLineChars="200"/>
        <w:jc w:val="left"/>
        <w:rPr>
          <w:rStyle w:val="64"/>
          <w:color w:val="auto"/>
          <w:highlight w:val="none"/>
        </w:rPr>
      </w:pPr>
      <w:r>
        <w:rPr>
          <w:color w:val="auto"/>
          <w:sz w:val="24"/>
          <w:highlight w:val="none"/>
        </w:rPr>
        <w:t>执行《地下水质量标准》（GB/T14848-2017）中</w:t>
      </w:r>
      <w:r>
        <w:rPr>
          <w:color w:val="auto"/>
          <w:sz w:val="24"/>
          <w:highlight w:val="none"/>
        </w:rPr>
        <w:fldChar w:fldCharType="begin"/>
      </w:r>
      <w:r>
        <w:rPr>
          <w:color w:val="auto"/>
          <w:sz w:val="24"/>
          <w:highlight w:val="none"/>
        </w:rPr>
        <w:instrText xml:space="preserve"> = 3 \* ROMAN \* MERGEFORMAT </w:instrText>
      </w:r>
      <w:r>
        <w:rPr>
          <w:color w:val="auto"/>
          <w:sz w:val="24"/>
          <w:highlight w:val="none"/>
        </w:rPr>
        <w:fldChar w:fldCharType="separate"/>
      </w:r>
      <w:r>
        <w:rPr>
          <w:color w:val="auto"/>
          <w:sz w:val="24"/>
          <w:highlight w:val="none"/>
        </w:rPr>
        <w:t>III</w:t>
      </w:r>
      <w:r>
        <w:rPr>
          <w:color w:val="auto"/>
          <w:sz w:val="24"/>
          <w:highlight w:val="none"/>
        </w:rPr>
        <w:fldChar w:fldCharType="end"/>
      </w:r>
      <w:r>
        <w:rPr>
          <w:color w:val="auto"/>
          <w:sz w:val="24"/>
          <w:highlight w:val="none"/>
        </w:rPr>
        <w:t>类标准，</w:t>
      </w:r>
      <w:r>
        <w:rPr>
          <w:rFonts w:hint="eastAsia"/>
          <w:color w:val="auto"/>
          <w:sz w:val="24"/>
          <w:highlight w:val="none"/>
          <w:lang w:eastAsia="zh-CN"/>
        </w:rPr>
        <w:t>其中石油类参照</w:t>
      </w:r>
      <w:r>
        <w:rPr>
          <w:color w:val="auto"/>
          <w:sz w:val="24"/>
          <w:highlight w:val="none"/>
        </w:rPr>
        <w:t>《地</w:t>
      </w:r>
      <w:r>
        <w:rPr>
          <w:rFonts w:hint="eastAsia"/>
          <w:color w:val="auto"/>
          <w:sz w:val="24"/>
          <w:highlight w:val="none"/>
          <w:lang w:eastAsia="zh-CN"/>
        </w:rPr>
        <w:t>表</w:t>
      </w:r>
      <w:r>
        <w:rPr>
          <w:color w:val="auto"/>
          <w:sz w:val="24"/>
          <w:highlight w:val="none"/>
        </w:rPr>
        <w:t>水</w:t>
      </w:r>
      <w:r>
        <w:rPr>
          <w:rFonts w:hint="eastAsia"/>
          <w:color w:val="auto"/>
          <w:sz w:val="24"/>
          <w:highlight w:val="none"/>
          <w:lang w:eastAsia="zh-CN"/>
        </w:rPr>
        <w:t>环境</w:t>
      </w:r>
      <w:r>
        <w:rPr>
          <w:color w:val="auto"/>
          <w:sz w:val="24"/>
          <w:highlight w:val="none"/>
        </w:rPr>
        <w:t>质量标准》（GB</w:t>
      </w:r>
      <w:r>
        <w:rPr>
          <w:rFonts w:hint="eastAsia"/>
          <w:color w:val="auto"/>
          <w:sz w:val="24"/>
          <w:highlight w:val="none"/>
          <w:lang w:val="en-US" w:eastAsia="zh-CN"/>
        </w:rPr>
        <w:t>383</w:t>
      </w:r>
      <w:r>
        <w:rPr>
          <w:color w:val="auto"/>
          <w:sz w:val="24"/>
          <w:highlight w:val="none"/>
        </w:rPr>
        <w:t>8-20</w:t>
      </w:r>
      <w:r>
        <w:rPr>
          <w:rFonts w:hint="eastAsia"/>
          <w:color w:val="auto"/>
          <w:sz w:val="24"/>
          <w:highlight w:val="none"/>
          <w:lang w:val="en-US" w:eastAsia="zh-CN"/>
        </w:rPr>
        <w:t>02</w:t>
      </w:r>
      <w:r>
        <w:rPr>
          <w:color w:val="auto"/>
          <w:sz w:val="24"/>
          <w:highlight w:val="none"/>
        </w:rPr>
        <w:t>）</w:t>
      </w:r>
      <w:r>
        <w:rPr>
          <w:color w:val="auto"/>
          <w:sz w:val="24"/>
          <w:highlight w:val="none"/>
        </w:rPr>
        <w:fldChar w:fldCharType="begin"/>
      </w:r>
      <w:r>
        <w:rPr>
          <w:color w:val="auto"/>
          <w:sz w:val="24"/>
          <w:highlight w:val="none"/>
        </w:rPr>
        <w:instrText xml:space="preserve"> = 3 \* ROMAN \* MERGEFORMAT </w:instrText>
      </w:r>
      <w:r>
        <w:rPr>
          <w:color w:val="auto"/>
          <w:sz w:val="24"/>
          <w:highlight w:val="none"/>
        </w:rPr>
        <w:fldChar w:fldCharType="separate"/>
      </w:r>
      <w:r>
        <w:rPr>
          <w:color w:val="auto"/>
          <w:sz w:val="24"/>
          <w:highlight w:val="none"/>
        </w:rPr>
        <w:t>III</w:t>
      </w:r>
      <w:r>
        <w:rPr>
          <w:color w:val="auto"/>
          <w:sz w:val="24"/>
          <w:highlight w:val="none"/>
        </w:rPr>
        <w:fldChar w:fldCharType="end"/>
      </w:r>
      <w:r>
        <w:rPr>
          <w:color w:val="auto"/>
          <w:sz w:val="24"/>
          <w:highlight w:val="none"/>
        </w:rPr>
        <w:t>类标准</w:t>
      </w:r>
      <w:r>
        <w:rPr>
          <w:rFonts w:hint="eastAsia"/>
          <w:color w:val="auto"/>
          <w:sz w:val="24"/>
          <w:highlight w:val="none"/>
          <w:lang w:eastAsia="zh-CN"/>
        </w:rPr>
        <w:t>，</w:t>
      </w:r>
      <w:r>
        <w:rPr>
          <w:color w:val="auto"/>
          <w:sz w:val="24"/>
          <w:highlight w:val="none"/>
        </w:rPr>
        <w:t>见</w:t>
      </w:r>
      <w:r>
        <w:rPr>
          <w:rFonts w:hint="eastAsia"/>
          <w:color w:val="auto"/>
          <w:sz w:val="24"/>
          <w:highlight w:val="none"/>
        </w:rPr>
        <w:t>下</w:t>
      </w:r>
      <w:r>
        <w:rPr>
          <w:color w:val="auto"/>
          <w:sz w:val="24"/>
          <w:highlight w:val="none"/>
        </w:rPr>
        <w:t>表。</w:t>
      </w:r>
    </w:p>
    <w:p>
      <w:pPr>
        <w:snapToGrid w:val="0"/>
        <w:spacing w:line="480" w:lineRule="exact"/>
        <w:jc w:val="center"/>
        <w:rPr>
          <w:b/>
          <w:bCs/>
          <w:color w:val="auto"/>
          <w:szCs w:val="21"/>
          <w:highlight w:val="none"/>
        </w:rPr>
      </w:pPr>
      <w:r>
        <w:rPr>
          <w:b/>
          <w:color w:val="auto"/>
          <w:sz w:val="24"/>
          <w:highlight w:val="none"/>
        </w:rPr>
        <w:t>表</w:t>
      </w:r>
      <w:r>
        <w:rPr>
          <w:rFonts w:hint="eastAsia"/>
          <w:b/>
          <w:color w:val="auto"/>
          <w:sz w:val="24"/>
          <w:highlight w:val="none"/>
        </w:rPr>
        <w:t>1.</w:t>
      </w:r>
      <w:r>
        <w:rPr>
          <w:rFonts w:hint="eastAsia"/>
          <w:b/>
          <w:color w:val="auto"/>
          <w:sz w:val="24"/>
          <w:highlight w:val="none"/>
          <w:lang w:val="en-US" w:eastAsia="zh-CN"/>
        </w:rPr>
        <w:t>4</w:t>
      </w:r>
      <w:r>
        <w:rPr>
          <w:rFonts w:hint="eastAsia"/>
          <w:b/>
          <w:color w:val="auto"/>
          <w:sz w:val="24"/>
          <w:highlight w:val="none"/>
        </w:rPr>
        <w:t>-2</w:t>
      </w:r>
      <w:r>
        <w:rPr>
          <w:b/>
          <w:color w:val="auto"/>
          <w:sz w:val="24"/>
          <w:highlight w:val="none"/>
        </w:rPr>
        <w:t xml:space="preserve">  地下水环境质量标准  </w:t>
      </w:r>
      <w:r>
        <w:rPr>
          <w:color w:val="auto"/>
          <w:sz w:val="24"/>
          <w:highlight w:val="none"/>
        </w:rPr>
        <w:t xml:space="preserve"> （</w:t>
      </w:r>
      <w:r>
        <w:rPr>
          <w:bCs/>
          <w:color w:val="auto"/>
          <w:szCs w:val="21"/>
          <w:highlight w:val="none"/>
        </w:rPr>
        <w:t>单位：mg/L、pH无量纲）</w:t>
      </w:r>
    </w:p>
    <w:tbl>
      <w:tblPr>
        <w:tblStyle w:val="51"/>
        <w:tblW w:w="8547" w:type="dxa"/>
        <w:jc w:val="center"/>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fixed"/>
        <w:tblCellMar>
          <w:top w:w="0" w:type="dxa"/>
          <w:left w:w="28" w:type="dxa"/>
          <w:bottom w:w="0" w:type="dxa"/>
          <w:right w:w="28" w:type="dxa"/>
        </w:tblCellMar>
      </w:tblPr>
      <w:tblGrid>
        <w:gridCol w:w="791"/>
        <w:gridCol w:w="2465"/>
        <w:gridCol w:w="1065"/>
        <w:gridCol w:w="660"/>
        <w:gridCol w:w="2400"/>
        <w:gridCol w:w="1166"/>
      </w:tblGrid>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252" w:hRule="atLeast"/>
          <w:tblHeader/>
          <w:jc w:val="center"/>
        </w:trPr>
        <w:tc>
          <w:tcPr>
            <w:tcW w:w="3256" w:type="dxa"/>
            <w:gridSpan w:val="2"/>
            <w:tcBorders>
              <w:top w:val="single" w:color="auto" w:sz="2" w:space="0"/>
            </w:tcBorders>
            <w:vAlign w:val="center"/>
          </w:tcPr>
          <w:p>
            <w:pPr>
              <w:spacing w:line="300" w:lineRule="exact"/>
              <w:jc w:val="center"/>
              <w:rPr>
                <w:color w:val="auto"/>
                <w:szCs w:val="21"/>
                <w:highlight w:val="none"/>
              </w:rPr>
            </w:pPr>
            <w:r>
              <w:rPr>
                <w:color w:val="auto"/>
                <w:szCs w:val="21"/>
                <w:highlight w:val="none"/>
              </w:rPr>
              <w:t>污染物名称</w:t>
            </w:r>
          </w:p>
        </w:tc>
        <w:tc>
          <w:tcPr>
            <w:tcW w:w="1065" w:type="dxa"/>
            <w:tcBorders>
              <w:top w:val="single" w:color="auto" w:sz="2" w:space="0"/>
              <w:right w:val="single" w:color="auto" w:sz="8" w:space="0"/>
            </w:tcBorders>
            <w:vAlign w:val="center"/>
          </w:tcPr>
          <w:p>
            <w:pPr>
              <w:spacing w:line="300" w:lineRule="exact"/>
              <w:jc w:val="center"/>
              <w:rPr>
                <w:color w:val="auto"/>
                <w:szCs w:val="21"/>
                <w:highlight w:val="none"/>
              </w:rPr>
            </w:pPr>
            <w:r>
              <w:rPr>
                <w:color w:val="auto"/>
                <w:szCs w:val="21"/>
                <w:highlight w:val="none"/>
              </w:rPr>
              <w:t>标准值</w:t>
            </w:r>
          </w:p>
        </w:tc>
        <w:tc>
          <w:tcPr>
            <w:tcW w:w="3060" w:type="dxa"/>
            <w:gridSpan w:val="2"/>
            <w:tcBorders>
              <w:top w:val="single" w:color="auto" w:sz="2" w:space="0"/>
              <w:left w:val="single" w:color="auto" w:sz="8" w:space="0"/>
              <w:right w:val="single" w:color="auto" w:sz="8" w:space="0"/>
            </w:tcBorders>
            <w:vAlign w:val="center"/>
          </w:tcPr>
          <w:p>
            <w:pPr>
              <w:spacing w:line="300" w:lineRule="exact"/>
              <w:jc w:val="center"/>
              <w:rPr>
                <w:color w:val="auto"/>
                <w:szCs w:val="21"/>
                <w:highlight w:val="none"/>
              </w:rPr>
            </w:pPr>
            <w:r>
              <w:rPr>
                <w:color w:val="auto"/>
                <w:szCs w:val="21"/>
                <w:highlight w:val="none"/>
              </w:rPr>
              <w:t>污染物名称</w:t>
            </w:r>
          </w:p>
        </w:tc>
        <w:tc>
          <w:tcPr>
            <w:tcW w:w="1166" w:type="dxa"/>
            <w:tcBorders>
              <w:top w:val="single" w:color="auto" w:sz="2" w:space="0"/>
              <w:left w:val="single" w:color="auto" w:sz="8" w:space="0"/>
            </w:tcBorders>
            <w:vAlign w:val="center"/>
          </w:tcPr>
          <w:p>
            <w:pPr>
              <w:spacing w:line="300" w:lineRule="exact"/>
              <w:jc w:val="center"/>
              <w:rPr>
                <w:color w:val="auto"/>
                <w:szCs w:val="21"/>
                <w:highlight w:val="none"/>
              </w:rPr>
            </w:pPr>
            <w:r>
              <w:rPr>
                <w:color w:val="auto"/>
                <w:szCs w:val="21"/>
                <w:highlight w:val="none"/>
              </w:rPr>
              <w:t>标准值</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232" w:hRule="atLeast"/>
          <w:tblHeader/>
          <w:jc w:val="center"/>
        </w:trPr>
        <w:tc>
          <w:tcPr>
            <w:tcW w:w="791"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1</w:t>
            </w:r>
          </w:p>
        </w:tc>
        <w:tc>
          <w:tcPr>
            <w:tcW w:w="2465" w:type="dxa"/>
            <w:tcBorders>
              <w:left w:val="single" w:color="auto" w:sz="4" w:space="0"/>
            </w:tcBorders>
            <w:vAlign w:val="center"/>
          </w:tcPr>
          <w:p>
            <w:pPr>
              <w:widowControl/>
              <w:spacing w:line="300" w:lineRule="exact"/>
              <w:jc w:val="center"/>
              <w:rPr>
                <w:color w:val="auto"/>
                <w:szCs w:val="21"/>
                <w:highlight w:val="none"/>
              </w:rPr>
            </w:pPr>
            <w:r>
              <w:rPr>
                <w:color w:val="auto"/>
                <w:szCs w:val="21"/>
                <w:highlight w:val="none"/>
              </w:rPr>
              <w:t>pH</w:t>
            </w:r>
          </w:p>
        </w:tc>
        <w:tc>
          <w:tcPr>
            <w:tcW w:w="1065" w:type="dxa"/>
            <w:tcBorders>
              <w:bottom w:val="single" w:color="auto" w:sz="8" w:space="0"/>
              <w:right w:val="single" w:color="auto" w:sz="8" w:space="0"/>
            </w:tcBorders>
            <w:vAlign w:val="center"/>
          </w:tcPr>
          <w:p>
            <w:pPr>
              <w:widowControl/>
              <w:spacing w:line="300" w:lineRule="exact"/>
              <w:jc w:val="center"/>
              <w:rPr>
                <w:color w:val="auto"/>
                <w:szCs w:val="21"/>
                <w:highlight w:val="none"/>
              </w:rPr>
            </w:pPr>
            <w:r>
              <w:rPr>
                <w:color w:val="auto"/>
                <w:szCs w:val="21"/>
                <w:highlight w:val="none"/>
              </w:rPr>
              <w:t>6.5-8.5</w:t>
            </w:r>
          </w:p>
        </w:tc>
        <w:tc>
          <w:tcPr>
            <w:tcW w:w="660" w:type="dxa"/>
            <w:tcBorders>
              <w:left w:val="single" w:color="auto" w:sz="8" w:space="0"/>
              <w:bottom w:val="single" w:color="auto" w:sz="8" w:space="0"/>
              <w:right w:val="single" w:color="auto" w:sz="4" w:space="0"/>
            </w:tcBorders>
            <w:vAlign w:val="center"/>
          </w:tcPr>
          <w:p>
            <w:pPr>
              <w:widowControl/>
              <w:spacing w:line="300" w:lineRule="exact"/>
              <w:jc w:val="center"/>
              <w:rPr>
                <w:color w:val="auto"/>
                <w:szCs w:val="21"/>
                <w:highlight w:val="none"/>
              </w:rPr>
            </w:pPr>
            <w:r>
              <w:rPr>
                <w:color w:val="auto"/>
                <w:szCs w:val="21"/>
                <w:highlight w:val="none"/>
              </w:rPr>
              <w:t>1</w:t>
            </w:r>
            <w:r>
              <w:rPr>
                <w:rFonts w:hint="eastAsia"/>
                <w:color w:val="auto"/>
                <w:szCs w:val="21"/>
                <w:highlight w:val="none"/>
              </w:rPr>
              <w:t>4</w:t>
            </w:r>
          </w:p>
        </w:tc>
        <w:tc>
          <w:tcPr>
            <w:tcW w:w="2400" w:type="dxa"/>
            <w:tcBorders>
              <w:left w:val="single" w:color="auto" w:sz="4" w:space="0"/>
              <w:bottom w:val="single" w:color="auto" w:sz="8" w:space="0"/>
              <w:right w:val="single" w:color="auto" w:sz="8"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砷(mg/L)</w:t>
            </w:r>
          </w:p>
        </w:tc>
        <w:tc>
          <w:tcPr>
            <w:tcW w:w="1166" w:type="dxa"/>
            <w:tcBorders>
              <w:left w:val="single" w:color="auto" w:sz="8" w:space="0"/>
              <w:bottom w:val="single" w:color="auto" w:sz="8"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≤0.01</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31" w:hRule="atLeast"/>
          <w:tblHeader/>
          <w:jc w:val="center"/>
        </w:trPr>
        <w:tc>
          <w:tcPr>
            <w:tcW w:w="791"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2</w:t>
            </w:r>
          </w:p>
        </w:tc>
        <w:tc>
          <w:tcPr>
            <w:tcW w:w="2465" w:type="dxa"/>
            <w:tcBorders>
              <w:left w:val="single" w:color="auto" w:sz="4" w:space="0"/>
            </w:tcBorders>
            <w:vAlign w:val="center"/>
          </w:tcPr>
          <w:p>
            <w:pPr>
              <w:widowControl/>
              <w:spacing w:line="300" w:lineRule="exact"/>
              <w:jc w:val="center"/>
              <w:rPr>
                <w:color w:val="auto"/>
                <w:szCs w:val="21"/>
                <w:highlight w:val="none"/>
              </w:rPr>
            </w:pPr>
            <w:r>
              <w:rPr>
                <w:color w:val="auto"/>
                <w:szCs w:val="21"/>
                <w:highlight w:val="none"/>
              </w:rPr>
              <w:t>溶解性总固体(mg/L)</w:t>
            </w:r>
          </w:p>
        </w:tc>
        <w:tc>
          <w:tcPr>
            <w:tcW w:w="1065" w:type="dxa"/>
            <w:tcBorders>
              <w:bottom w:val="single" w:color="auto" w:sz="8" w:space="0"/>
              <w:right w:val="single" w:color="auto" w:sz="8" w:space="0"/>
            </w:tcBorders>
            <w:vAlign w:val="center"/>
          </w:tcPr>
          <w:p>
            <w:pPr>
              <w:widowControl/>
              <w:spacing w:line="300" w:lineRule="exact"/>
              <w:jc w:val="center"/>
              <w:rPr>
                <w:color w:val="auto"/>
                <w:szCs w:val="21"/>
                <w:highlight w:val="none"/>
              </w:rPr>
            </w:pPr>
            <w:r>
              <w:rPr>
                <w:color w:val="auto"/>
                <w:szCs w:val="21"/>
                <w:highlight w:val="none"/>
              </w:rPr>
              <w:t>≤1000</w:t>
            </w:r>
          </w:p>
        </w:tc>
        <w:tc>
          <w:tcPr>
            <w:tcW w:w="660" w:type="dxa"/>
            <w:tcBorders>
              <w:left w:val="single" w:color="auto" w:sz="8" w:space="0"/>
              <w:bottom w:val="single" w:color="auto" w:sz="8" w:space="0"/>
              <w:right w:val="single" w:color="auto" w:sz="4" w:space="0"/>
            </w:tcBorders>
            <w:vAlign w:val="center"/>
          </w:tcPr>
          <w:p>
            <w:pPr>
              <w:widowControl/>
              <w:spacing w:line="300" w:lineRule="exact"/>
              <w:jc w:val="center"/>
              <w:rPr>
                <w:color w:val="auto"/>
                <w:szCs w:val="21"/>
                <w:highlight w:val="none"/>
              </w:rPr>
            </w:pPr>
            <w:r>
              <w:rPr>
                <w:color w:val="auto"/>
                <w:szCs w:val="21"/>
                <w:highlight w:val="none"/>
              </w:rPr>
              <w:t>15</w:t>
            </w:r>
          </w:p>
        </w:tc>
        <w:tc>
          <w:tcPr>
            <w:tcW w:w="2400" w:type="dxa"/>
            <w:tcBorders>
              <w:left w:val="single" w:color="auto" w:sz="4" w:space="0"/>
              <w:bottom w:val="single" w:color="auto" w:sz="8" w:space="0"/>
              <w:right w:val="single" w:color="auto" w:sz="8"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汞(mg/L)</w:t>
            </w:r>
          </w:p>
        </w:tc>
        <w:tc>
          <w:tcPr>
            <w:tcW w:w="1166" w:type="dxa"/>
            <w:tcBorders>
              <w:left w:val="single" w:color="auto" w:sz="8" w:space="0"/>
              <w:bottom w:val="single" w:color="auto" w:sz="8"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≤0.001</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265" w:hRule="atLeast"/>
          <w:tblHeader/>
          <w:jc w:val="center"/>
        </w:trPr>
        <w:tc>
          <w:tcPr>
            <w:tcW w:w="791"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3</w:t>
            </w:r>
          </w:p>
        </w:tc>
        <w:tc>
          <w:tcPr>
            <w:tcW w:w="2465" w:type="dxa"/>
            <w:tcBorders>
              <w:left w:val="single" w:color="auto" w:sz="4" w:space="0"/>
            </w:tcBorders>
            <w:vAlign w:val="center"/>
          </w:tcPr>
          <w:p>
            <w:pPr>
              <w:widowControl/>
              <w:spacing w:line="300" w:lineRule="exact"/>
              <w:jc w:val="center"/>
              <w:rPr>
                <w:color w:val="auto"/>
                <w:szCs w:val="21"/>
                <w:highlight w:val="none"/>
              </w:rPr>
            </w:pPr>
            <w:r>
              <w:rPr>
                <w:color w:val="auto"/>
                <w:szCs w:val="21"/>
                <w:highlight w:val="none"/>
              </w:rPr>
              <w:t>耗氧量(mg/L)</w:t>
            </w:r>
          </w:p>
        </w:tc>
        <w:tc>
          <w:tcPr>
            <w:tcW w:w="1065" w:type="dxa"/>
            <w:tcBorders>
              <w:bottom w:val="single" w:color="auto" w:sz="8" w:space="0"/>
              <w:right w:val="single" w:color="auto" w:sz="8" w:space="0"/>
            </w:tcBorders>
            <w:vAlign w:val="center"/>
          </w:tcPr>
          <w:p>
            <w:pPr>
              <w:widowControl/>
              <w:spacing w:line="300" w:lineRule="exact"/>
              <w:jc w:val="center"/>
              <w:rPr>
                <w:color w:val="auto"/>
                <w:szCs w:val="21"/>
                <w:highlight w:val="none"/>
              </w:rPr>
            </w:pPr>
            <w:r>
              <w:rPr>
                <w:color w:val="auto"/>
                <w:szCs w:val="21"/>
                <w:highlight w:val="none"/>
              </w:rPr>
              <w:t>≤3.0</w:t>
            </w:r>
          </w:p>
        </w:tc>
        <w:tc>
          <w:tcPr>
            <w:tcW w:w="660" w:type="dxa"/>
            <w:tcBorders>
              <w:left w:val="single" w:color="auto" w:sz="8" w:space="0"/>
              <w:bottom w:val="single" w:color="auto" w:sz="8" w:space="0"/>
              <w:right w:val="single" w:color="auto" w:sz="4" w:space="0"/>
            </w:tcBorders>
            <w:vAlign w:val="center"/>
          </w:tcPr>
          <w:p>
            <w:pPr>
              <w:widowControl/>
              <w:spacing w:line="300" w:lineRule="exact"/>
              <w:jc w:val="center"/>
              <w:rPr>
                <w:color w:val="auto"/>
                <w:szCs w:val="21"/>
                <w:highlight w:val="none"/>
              </w:rPr>
            </w:pPr>
            <w:r>
              <w:rPr>
                <w:color w:val="auto"/>
                <w:szCs w:val="21"/>
                <w:highlight w:val="none"/>
              </w:rPr>
              <w:t>16</w:t>
            </w:r>
          </w:p>
        </w:tc>
        <w:tc>
          <w:tcPr>
            <w:tcW w:w="2400" w:type="dxa"/>
            <w:tcBorders>
              <w:left w:val="single" w:color="auto" w:sz="4" w:space="0"/>
              <w:bottom w:val="single" w:color="auto" w:sz="8" w:space="0"/>
              <w:right w:val="single" w:color="auto" w:sz="8"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镉(mg/L)</w:t>
            </w:r>
          </w:p>
        </w:tc>
        <w:tc>
          <w:tcPr>
            <w:tcW w:w="1166" w:type="dxa"/>
            <w:tcBorders>
              <w:left w:val="single" w:color="auto" w:sz="8" w:space="0"/>
              <w:bottom w:val="single" w:color="auto" w:sz="8"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≤0.005</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227" w:hRule="atLeast"/>
          <w:tblHeader/>
          <w:jc w:val="center"/>
        </w:trPr>
        <w:tc>
          <w:tcPr>
            <w:tcW w:w="791"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4</w:t>
            </w:r>
          </w:p>
        </w:tc>
        <w:tc>
          <w:tcPr>
            <w:tcW w:w="2465" w:type="dxa"/>
            <w:tcBorders>
              <w:left w:val="single" w:color="auto" w:sz="4" w:space="0"/>
            </w:tcBorders>
            <w:vAlign w:val="center"/>
          </w:tcPr>
          <w:p>
            <w:pPr>
              <w:widowControl/>
              <w:spacing w:line="300" w:lineRule="exact"/>
              <w:jc w:val="center"/>
              <w:rPr>
                <w:color w:val="auto"/>
                <w:szCs w:val="21"/>
                <w:highlight w:val="none"/>
              </w:rPr>
            </w:pPr>
            <w:r>
              <w:rPr>
                <w:color w:val="auto"/>
                <w:szCs w:val="21"/>
                <w:highlight w:val="none"/>
              </w:rPr>
              <w:t>氨氮(mg/L)</w:t>
            </w:r>
          </w:p>
        </w:tc>
        <w:tc>
          <w:tcPr>
            <w:tcW w:w="1065" w:type="dxa"/>
            <w:tcBorders>
              <w:bottom w:val="single" w:color="auto" w:sz="8" w:space="0"/>
              <w:right w:val="single" w:color="auto" w:sz="8" w:space="0"/>
            </w:tcBorders>
            <w:vAlign w:val="center"/>
          </w:tcPr>
          <w:p>
            <w:pPr>
              <w:widowControl/>
              <w:spacing w:line="300" w:lineRule="exact"/>
              <w:jc w:val="center"/>
              <w:rPr>
                <w:color w:val="auto"/>
                <w:szCs w:val="21"/>
                <w:highlight w:val="none"/>
              </w:rPr>
            </w:pPr>
            <w:r>
              <w:rPr>
                <w:color w:val="auto"/>
                <w:szCs w:val="21"/>
                <w:highlight w:val="none"/>
              </w:rPr>
              <w:t>≤0.5</w:t>
            </w:r>
          </w:p>
        </w:tc>
        <w:tc>
          <w:tcPr>
            <w:tcW w:w="660" w:type="dxa"/>
            <w:tcBorders>
              <w:left w:val="single" w:color="auto" w:sz="8" w:space="0"/>
              <w:bottom w:val="single" w:color="auto" w:sz="8" w:space="0"/>
              <w:right w:val="single" w:color="auto" w:sz="4" w:space="0"/>
            </w:tcBorders>
            <w:vAlign w:val="center"/>
          </w:tcPr>
          <w:p>
            <w:pPr>
              <w:widowControl/>
              <w:spacing w:line="300" w:lineRule="exact"/>
              <w:jc w:val="center"/>
              <w:rPr>
                <w:color w:val="auto"/>
                <w:szCs w:val="21"/>
                <w:highlight w:val="none"/>
              </w:rPr>
            </w:pPr>
            <w:r>
              <w:rPr>
                <w:color w:val="auto"/>
                <w:szCs w:val="21"/>
                <w:highlight w:val="none"/>
              </w:rPr>
              <w:t>17</w:t>
            </w:r>
          </w:p>
        </w:tc>
        <w:tc>
          <w:tcPr>
            <w:tcW w:w="2400" w:type="dxa"/>
            <w:tcBorders>
              <w:left w:val="single" w:color="auto" w:sz="4" w:space="0"/>
              <w:bottom w:val="single" w:color="auto" w:sz="8" w:space="0"/>
              <w:right w:val="single" w:color="auto" w:sz="8"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铁(mg/L)</w:t>
            </w:r>
          </w:p>
        </w:tc>
        <w:tc>
          <w:tcPr>
            <w:tcW w:w="1166" w:type="dxa"/>
            <w:tcBorders>
              <w:left w:val="single" w:color="auto" w:sz="8" w:space="0"/>
              <w:bottom w:val="single" w:color="auto" w:sz="8"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≤0.3</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264" w:hRule="atLeast"/>
          <w:tblHeader/>
          <w:jc w:val="center"/>
        </w:trPr>
        <w:tc>
          <w:tcPr>
            <w:tcW w:w="791"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5</w:t>
            </w:r>
          </w:p>
        </w:tc>
        <w:tc>
          <w:tcPr>
            <w:tcW w:w="2465" w:type="dxa"/>
            <w:tcBorders>
              <w:left w:val="single" w:color="auto" w:sz="4" w:space="0"/>
            </w:tcBorders>
            <w:vAlign w:val="center"/>
          </w:tcPr>
          <w:p>
            <w:pPr>
              <w:widowControl/>
              <w:spacing w:line="300" w:lineRule="exact"/>
              <w:jc w:val="center"/>
              <w:rPr>
                <w:color w:val="auto"/>
                <w:szCs w:val="21"/>
                <w:highlight w:val="none"/>
              </w:rPr>
            </w:pPr>
            <w:r>
              <w:rPr>
                <w:color w:val="auto"/>
                <w:szCs w:val="21"/>
                <w:highlight w:val="none"/>
              </w:rPr>
              <w:t>硝酸盐(以N计)(mg/L)</w:t>
            </w:r>
          </w:p>
        </w:tc>
        <w:tc>
          <w:tcPr>
            <w:tcW w:w="1065" w:type="dxa"/>
            <w:tcBorders>
              <w:bottom w:val="single" w:color="auto" w:sz="8" w:space="0"/>
              <w:right w:val="single" w:color="auto" w:sz="8" w:space="0"/>
            </w:tcBorders>
            <w:vAlign w:val="center"/>
          </w:tcPr>
          <w:p>
            <w:pPr>
              <w:widowControl/>
              <w:spacing w:line="300" w:lineRule="exact"/>
              <w:jc w:val="center"/>
              <w:rPr>
                <w:color w:val="auto"/>
                <w:szCs w:val="21"/>
                <w:highlight w:val="none"/>
              </w:rPr>
            </w:pPr>
            <w:r>
              <w:rPr>
                <w:color w:val="auto"/>
                <w:szCs w:val="21"/>
                <w:highlight w:val="none"/>
              </w:rPr>
              <w:t>≤20</w:t>
            </w:r>
          </w:p>
        </w:tc>
        <w:tc>
          <w:tcPr>
            <w:tcW w:w="660" w:type="dxa"/>
            <w:tcBorders>
              <w:left w:val="single" w:color="auto" w:sz="8" w:space="0"/>
              <w:bottom w:val="single" w:color="auto" w:sz="8" w:space="0"/>
              <w:right w:val="single" w:color="auto" w:sz="4" w:space="0"/>
            </w:tcBorders>
            <w:vAlign w:val="center"/>
          </w:tcPr>
          <w:p>
            <w:pPr>
              <w:widowControl/>
              <w:spacing w:line="300" w:lineRule="exact"/>
              <w:jc w:val="center"/>
              <w:rPr>
                <w:color w:val="auto"/>
                <w:szCs w:val="21"/>
                <w:highlight w:val="none"/>
              </w:rPr>
            </w:pPr>
            <w:r>
              <w:rPr>
                <w:color w:val="auto"/>
                <w:szCs w:val="21"/>
                <w:highlight w:val="none"/>
              </w:rPr>
              <w:t>18</w:t>
            </w:r>
          </w:p>
        </w:tc>
        <w:tc>
          <w:tcPr>
            <w:tcW w:w="2400" w:type="dxa"/>
            <w:tcBorders>
              <w:left w:val="single" w:color="auto" w:sz="4" w:space="0"/>
              <w:bottom w:val="single" w:color="auto" w:sz="8" w:space="0"/>
              <w:right w:val="single" w:color="auto" w:sz="8"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铅(mg/L)</w:t>
            </w:r>
          </w:p>
        </w:tc>
        <w:tc>
          <w:tcPr>
            <w:tcW w:w="1166" w:type="dxa"/>
            <w:tcBorders>
              <w:left w:val="single" w:color="auto" w:sz="8" w:space="0"/>
              <w:bottom w:val="single" w:color="auto" w:sz="8"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≤0.01</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253" w:hRule="atLeast"/>
          <w:tblHeader/>
          <w:jc w:val="center"/>
        </w:trPr>
        <w:tc>
          <w:tcPr>
            <w:tcW w:w="791"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6</w:t>
            </w:r>
          </w:p>
        </w:tc>
        <w:tc>
          <w:tcPr>
            <w:tcW w:w="2465" w:type="dxa"/>
            <w:tcBorders>
              <w:left w:val="single" w:color="auto" w:sz="4" w:space="0"/>
            </w:tcBorders>
            <w:vAlign w:val="center"/>
          </w:tcPr>
          <w:p>
            <w:pPr>
              <w:widowControl/>
              <w:spacing w:line="300" w:lineRule="exact"/>
              <w:jc w:val="center"/>
              <w:rPr>
                <w:color w:val="auto"/>
                <w:szCs w:val="21"/>
                <w:highlight w:val="none"/>
              </w:rPr>
            </w:pPr>
            <w:r>
              <w:rPr>
                <w:color w:val="auto"/>
                <w:szCs w:val="21"/>
                <w:highlight w:val="none"/>
              </w:rPr>
              <w:t>亚硝酸盐(以N)(mg/L)</w:t>
            </w:r>
          </w:p>
        </w:tc>
        <w:tc>
          <w:tcPr>
            <w:tcW w:w="1065" w:type="dxa"/>
            <w:tcBorders>
              <w:bottom w:val="single" w:color="auto" w:sz="8" w:space="0"/>
              <w:right w:val="single" w:color="auto" w:sz="8" w:space="0"/>
            </w:tcBorders>
            <w:vAlign w:val="center"/>
          </w:tcPr>
          <w:p>
            <w:pPr>
              <w:widowControl/>
              <w:spacing w:line="300" w:lineRule="exact"/>
              <w:jc w:val="center"/>
              <w:rPr>
                <w:color w:val="auto"/>
                <w:szCs w:val="21"/>
                <w:highlight w:val="none"/>
              </w:rPr>
            </w:pPr>
            <w:r>
              <w:rPr>
                <w:color w:val="auto"/>
                <w:szCs w:val="21"/>
                <w:highlight w:val="none"/>
              </w:rPr>
              <w:t>≤1.0</w:t>
            </w:r>
          </w:p>
        </w:tc>
        <w:tc>
          <w:tcPr>
            <w:tcW w:w="660" w:type="dxa"/>
            <w:tcBorders>
              <w:left w:val="single" w:color="auto" w:sz="8" w:space="0"/>
              <w:bottom w:val="single" w:color="auto" w:sz="8" w:space="0"/>
              <w:right w:val="single" w:color="auto" w:sz="4" w:space="0"/>
            </w:tcBorders>
            <w:vAlign w:val="center"/>
          </w:tcPr>
          <w:p>
            <w:pPr>
              <w:widowControl/>
              <w:spacing w:line="300" w:lineRule="exact"/>
              <w:jc w:val="center"/>
              <w:rPr>
                <w:color w:val="auto"/>
                <w:szCs w:val="21"/>
                <w:highlight w:val="none"/>
              </w:rPr>
            </w:pPr>
            <w:r>
              <w:rPr>
                <w:color w:val="auto"/>
                <w:szCs w:val="21"/>
                <w:highlight w:val="none"/>
              </w:rPr>
              <w:t>19</w:t>
            </w:r>
          </w:p>
        </w:tc>
        <w:tc>
          <w:tcPr>
            <w:tcW w:w="2400" w:type="dxa"/>
            <w:tcBorders>
              <w:left w:val="single" w:color="auto" w:sz="4" w:space="0"/>
              <w:bottom w:val="single" w:color="auto" w:sz="8" w:space="0"/>
              <w:right w:val="single" w:color="auto" w:sz="8"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铬(六价)(mgL)</w:t>
            </w:r>
          </w:p>
        </w:tc>
        <w:tc>
          <w:tcPr>
            <w:tcW w:w="1166" w:type="dxa"/>
            <w:tcBorders>
              <w:left w:val="single" w:color="auto" w:sz="8" w:space="0"/>
              <w:bottom w:val="single" w:color="auto" w:sz="8"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≤0.05</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202" w:hRule="atLeast"/>
          <w:tblHeader/>
          <w:jc w:val="center"/>
        </w:trPr>
        <w:tc>
          <w:tcPr>
            <w:tcW w:w="791"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7</w:t>
            </w:r>
          </w:p>
        </w:tc>
        <w:tc>
          <w:tcPr>
            <w:tcW w:w="2465" w:type="dxa"/>
            <w:tcBorders>
              <w:left w:val="single" w:color="auto" w:sz="4" w:space="0"/>
            </w:tcBorders>
            <w:vAlign w:val="center"/>
          </w:tcPr>
          <w:p>
            <w:pPr>
              <w:widowControl/>
              <w:spacing w:line="300" w:lineRule="exact"/>
              <w:jc w:val="center"/>
              <w:rPr>
                <w:color w:val="auto"/>
                <w:szCs w:val="21"/>
                <w:highlight w:val="none"/>
              </w:rPr>
            </w:pPr>
            <w:r>
              <w:rPr>
                <w:color w:val="auto"/>
                <w:szCs w:val="21"/>
                <w:highlight w:val="none"/>
              </w:rPr>
              <w:t>硫酸盐(mg/L)</w:t>
            </w:r>
          </w:p>
        </w:tc>
        <w:tc>
          <w:tcPr>
            <w:tcW w:w="1065" w:type="dxa"/>
            <w:tcBorders>
              <w:bottom w:val="single" w:color="auto" w:sz="8" w:space="0"/>
              <w:right w:val="single" w:color="auto" w:sz="8" w:space="0"/>
            </w:tcBorders>
            <w:vAlign w:val="center"/>
          </w:tcPr>
          <w:p>
            <w:pPr>
              <w:widowControl/>
              <w:spacing w:line="300" w:lineRule="exact"/>
              <w:jc w:val="center"/>
              <w:rPr>
                <w:color w:val="auto"/>
                <w:szCs w:val="21"/>
                <w:highlight w:val="none"/>
              </w:rPr>
            </w:pPr>
            <w:r>
              <w:rPr>
                <w:color w:val="auto"/>
                <w:szCs w:val="21"/>
                <w:highlight w:val="none"/>
              </w:rPr>
              <w:t>≤250</w:t>
            </w:r>
          </w:p>
        </w:tc>
        <w:tc>
          <w:tcPr>
            <w:tcW w:w="660" w:type="dxa"/>
            <w:tcBorders>
              <w:left w:val="single" w:color="auto" w:sz="8" w:space="0"/>
              <w:bottom w:val="single" w:color="auto" w:sz="8" w:space="0"/>
              <w:right w:val="single" w:color="auto" w:sz="4" w:space="0"/>
            </w:tcBorders>
            <w:vAlign w:val="center"/>
          </w:tcPr>
          <w:p>
            <w:pPr>
              <w:widowControl/>
              <w:spacing w:line="300" w:lineRule="exact"/>
              <w:jc w:val="center"/>
              <w:rPr>
                <w:color w:val="auto"/>
                <w:szCs w:val="21"/>
                <w:highlight w:val="none"/>
              </w:rPr>
            </w:pPr>
            <w:r>
              <w:rPr>
                <w:color w:val="auto"/>
                <w:szCs w:val="21"/>
                <w:highlight w:val="none"/>
              </w:rPr>
              <w:t>20</w:t>
            </w:r>
          </w:p>
        </w:tc>
        <w:tc>
          <w:tcPr>
            <w:tcW w:w="2400" w:type="dxa"/>
            <w:tcBorders>
              <w:left w:val="single" w:color="auto" w:sz="4" w:space="0"/>
              <w:bottom w:val="single" w:color="auto" w:sz="8" w:space="0"/>
              <w:right w:val="single" w:color="auto" w:sz="8" w:space="0"/>
            </w:tcBorders>
            <w:vAlign w:val="center"/>
          </w:tcPr>
          <w:p>
            <w:pPr>
              <w:widowControl/>
              <w:kinsoku w:val="0"/>
              <w:adjustRightInd w:val="0"/>
              <w:snapToGrid w:val="0"/>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锰(mg/L)</w:t>
            </w:r>
          </w:p>
        </w:tc>
        <w:tc>
          <w:tcPr>
            <w:tcW w:w="1166" w:type="dxa"/>
            <w:tcBorders>
              <w:left w:val="single" w:color="auto" w:sz="8" w:space="0"/>
              <w:bottom w:val="single" w:color="auto" w:sz="8"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≤0.10</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06" w:hRule="atLeast"/>
          <w:tblHeader/>
          <w:jc w:val="center"/>
        </w:trPr>
        <w:tc>
          <w:tcPr>
            <w:tcW w:w="791"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8</w:t>
            </w:r>
          </w:p>
        </w:tc>
        <w:tc>
          <w:tcPr>
            <w:tcW w:w="2465" w:type="dxa"/>
            <w:tcBorders>
              <w:left w:val="single" w:color="auto" w:sz="4" w:space="0"/>
            </w:tcBorders>
            <w:vAlign w:val="center"/>
          </w:tcPr>
          <w:p>
            <w:pPr>
              <w:widowControl/>
              <w:spacing w:line="300" w:lineRule="exact"/>
              <w:jc w:val="center"/>
              <w:rPr>
                <w:color w:val="auto"/>
                <w:szCs w:val="21"/>
                <w:highlight w:val="none"/>
              </w:rPr>
            </w:pPr>
            <w:r>
              <w:rPr>
                <w:color w:val="auto"/>
                <w:szCs w:val="21"/>
                <w:highlight w:val="none"/>
              </w:rPr>
              <w:t>氟化物(mg/L)</w:t>
            </w:r>
          </w:p>
        </w:tc>
        <w:tc>
          <w:tcPr>
            <w:tcW w:w="1065" w:type="dxa"/>
            <w:tcBorders>
              <w:top w:val="single" w:color="auto" w:sz="8" w:space="0"/>
              <w:bottom w:val="single" w:color="auto" w:sz="8" w:space="0"/>
            </w:tcBorders>
            <w:vAlign w:val="center"/>
          </w:tcPr>
          <w:p>
            <w:pPr>
              <w:widowControl/>
              <w:spacing w:line="300" w:lineRule="exact"/>
              <w:jc w:val="center"/>
              <w:rPr>
                <w:color w:val="auto"/>
                <w:szCs w:val="21"/>
                <w:highlight w:val="none"/>
              </w:rPr>
            </w:pPr>
            <w:r>
              <w:rPr>
                <w:color w:val="auto"/>
                <w:szCs w:val="21"/>
                <w:highlight w:val="none"/>
              </w:rPr>
              <w:t>≤1.0</w:t>
            </w:r>
          </w:p>
        </w:tc>
        <w:tc>
          <w:tcPr>
            <w:tcW w:w="660" w:type="dxa"/>
            <w:tcBorders>
              <w:top w:val="single" w:color="auto" w:sz="8" w:space="0"/>
              <w:bottom w:val="single" w:color="auto" w:sz="8" w:space="0"/>
              <w:right w:val="single" w:color="auto" w:sz="4" w:space="0"/>
            </w:tcBorders>
            <w:vAlign w:val="center"/>
          </w:tcPr>
          <w:p>
            <w:pPr>
              <w:widowControl/>
              <w:spacing w:line="300" w:lineRule="exact"/>
              <w:jc w:val="center"/>
              <w:rPr>
                <w:color w:val="auto"/>
                <w:szCs w:val="21"/>
                <w:highlight w:val="none"/>
              </w:rPr>
            </w:pPr>
            <w:r>
              <w:rPr>
                <w:color w:val="auto"/>
                <w:szCs w:val="21"/>
                <w:highlight w:val="none"/>
              </w:rPr>
              <w:t>21</w:t>
            </w:r>
          </w:p>
        </w:tc>
        <w:tc>
          <w:tcPr>
            <w:tcW w:w="2400" w:type="dxa"/>
            <w:tcBorders>
              <w:top w:val="single" w:color="auto" w:sz="8" w:space="0"/>
              <w:left w:val="single" w:color="auto" w:sz="4" w:space="0"/>
              <w:bottom w:val="single" w:color="auto" w:sz="8" w:space="0"/>
              <w:right w:val="single" w:color="auto" w:sz="8" w:space="0"/>
            </w:tcBorders>
            <w:vAlign w:val="center"/>
          </w:tcPr>
          <w:p>
            <w:pPr>
              <w:widowControl/>
              <w:kinsoku w:val="0"/>
              <w:adjustRightInd w:val="0"/>
              <w:snapToGrid w:val="0"/>
              <w:spacing w:line="300" w:lineRule="exact"/>
              <w:rPr>
                <w:rFonts w:ascii="Times New Roman" w:hAnsi="Times New Roman" w:eastAsia="宋体" w:cs="Times New Roman"/>
                <w:color w:val="auto"/>
                <w:kern w:val="2"/>
                <w:sz w:val="21"/>
                <w:szCs w:val="21"/>
                <w:highlight w:val="none"/>
                <w:lang w:val="en-US" w:eastAsia="zh-CN" w:bidi="ar-SA"/>
              </w:rPr>
            </w:pPr>
            <w:r>
              <w:rPr>
                <w:color w:val="auto"/>
                <w:szCs w:val="21"/>
                <w:highlight w:val="none"/>
              </w:rPr>
              <w:t>总大肠菌群(MPN/100ml)</w:t>
            </w:r>
          </w:p>
        </w:tc>
        <w:tc>
          <w:tcPr>
            <w:tcW w:w="1166" w:type="dxa"/>
            <w:tcBorders>
              <w:top w:val="single" w:color="auto" w:sz="8" w:space="0"/>
              <w:left w:val="single" w:color="auto" w:sz="8" w:space="0"/>
              <w:bottom w:val="single" w:color="auto" w:sz="8" w:space="0"/>
            </w:tcBorders>
            <w:vAlign w:val="center"/>
          </w:tcPr>
          <w:p>
            <w:pPr>
              <w:widowControl/>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color w:val="auto"/>
                <w:szCs w:val="21"/>
                <w:highlight w:val="none"/>
              </w:rPr>
              <w:t>≤0.</w:t>
            </w:r>
            <w:r>
              <w:rPr>
                <w:rFonts w:hint="eastAsia"/>
                <w:color w:val="auto"/>
                <w:szCs w:val="21"/>
                <w:highlight w:val="none"/>
                <w:lang w:val="en-US" w:eastAsia="zh-CN"/>
              </w:rPr>
              <w:t>3.0</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268" w:hRule="atLeast"/>
          <w:tblHeader/>
          <w:jc w:val="center"/>
        </w:trPr>
        <w:tc>
          <w:tcPr>
            <w:tcW w:w="791"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9</w:t>
            </w:r>
          </w:p>
        </w:tc>
        <w:tc>
          <w:tcPr>
            <w:tcW w:w="2465" w:type="dxa"/>
            <w:tcBorders>
              <w:left w:val="single" w:color="auto" w:sz="4" w:space="0"/>
            </w:tcBorders>
            <w:vAlign w:val="center"/>
          </w:tcPr>
          <w:p>
            <w:pPr>
              <w:widowControl/>
              <w:spacing w:line="300" w:lineRule="exact"/>
              <w:jc w:val="center"/>
              <w:rPr>
                <w:color w:val="auto"/>
                <w:szCs w:val="21"/>
                <w:highlight w:val="none"/>
              </w:rPr>
            </w:pPr>
            <w:r>
              <w:rPr>
                <w:color w:val="auto"/>
                <w:szCs w:val="21"/>
                <w:highlight w:val="none"/>
              </w:rPr>
              <w:t>氯化物(mg/L)</w:t>
            </w:r>
          </w:p>
        </w:tc>
        <w:tc>
          <w:tcPr>
            <w:tcW w:w="1065" w:type="dxa"/>
            <w:tcBorders>
              <w:top w:val="single" w:color="auto" w:sz="8" w:space="0"/>
              <w:bottom w:val="single" w:color="auto" w:sz="8" w:space="0"/>
            </w:tcBorders>
            <w:vAlign w:val="center"/>
          </w:tcPr>
          <w:p>
            <w:pPr>
              <w:widowControl/>
              <w:spacing w:line="300" w:lineRule="exact"/>
              <w:jc w:val="center"/>
              <w:rPr>
                <w:color w:val="auto"/>
                <w:szCs w:val="21"/>
                <w:highlight w:val="none"/>
              </w:rPr>
            </w:pPr>
            <w:r>
              <w:rPr>
                <w:color w:val="auto"/>
                <w:szCs w:val="21"/>
                <w:highlight w:val="none"/>
              </w:rPr>
              <w:t>≤250</w:t>
            </w:r>
          </w:p>
        </w:tc>
        <w:tc>
          <w:tcPr>
            <w:tcW w:w="660" w:type="dxa"/>
            <w:tcBorders>
              <w:top w:val="single" w:color="auto" w:sz="8" w:space="0"/>
              <w:bottom w:val="single" w:color="auto" w:sz="8" w:space="0"/>
              <w:right w:val="single" w:color="auto" w:sz="4" w:space="0"/>
            </w:tcBorders>
            <w:vAlign w:val="center"/>
          </w:tcPr>
          <w:p>
            <w:pPr>
              <w:widowControl/>
              <w:spacing w:line="300" w:lineRule="exact"/>
              <w:jc w:val="center"/>
              <w:rPr>
                <w:color w:val="auto"/>
                <w:szCs w:val="21"/>
                <w:highlight w:val="none"/>
              </w:rPr>
            </w:pPr>
            <w:r>
              <w:rPr>
                <w:color w:val="auto"/>
                <w:szCs w:val="21"/>
                <w:highlight w:val="none"/>
              </w:rPr>
              <w:t>22</w:t>
            </w:r>
          </w:p>
        </w:tc>
        <w:tc>
          <w:tcPr>
            <w:tcW w:w="2400" w:type="dxa"/>
            <w:tcBorders>
              <w:top w:val="single" w:color="auto" w:sz="8" w:space="0"/>
              <w:left w:val="single" w:color="auto" w:sz="4" w:space="0"/>
              <w:bottom w:val="single" w:color="auto" w:sz="8" w:space="0"/>
              <w:right w:val="single" w:color="auto" w:sz="8" w:space="0"/>
            </w:tcBorders>
            <w:vAlign w:val="center"/>
          </w:tcPr>
          <w:p>
            <w:pPr>
              <w:widowControl/>
              <w:kinsoku w:val="0"/>
              <w:adjustRightInd w:val="0"/>
              <w:snapToGrid w:val="0"/>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菌落总数（个/ml）</w:t>
            </w:r>
          </w:p>
        </w:tc>
        <w:tc>
          <w:tcPr>
            <w:tcW w:w="1166" w:type="dxa"/>
            <w:tcBorders>
              <w:top w:val="single" w:color="auto" w:sz="8" w:space="0"/>
              <w:left w:val="single" w:color="auto" w:sz="8" w:space="0"/>
              <w:bottom w:val="single" w:color="auto" w:sz="8" w:space="0"/>
            </w:tcBorders>
            <w:vAlign w:val="center"/>
          </w:tcPr>
          <w:p>
            <w:pPr>
              <w:widowControl/>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color w:val="auto"/>
                <w:szCs w:val="21"/>
                <w:highlight w:val="none"/>
              </w:rPr>
              <w:t>≤100</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71" w:hRule="atLeast"/>
          <w:tblHeader/>
          <w:jc w:val="center"/>
        </w:trPr>
        <w:tc>
          <w:tcPr>
            <w:tcW w:w="791"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10</w:t>
            </w:r>
          </w:p>
        </w:tc>
        <w:tc>
          <w:tcPr>
            <w:tcW w:w="2465" w:type="dxa"/>
            <w:tcBorders>
              <w:left w:val="single" w:color="auto" w:sz="4" w:space="0"/>
            </w:tcBorders>
            <w:vAlign w:val="center"/>
          </w:tcPr>
          <w:p>
            <w:pPr>
              <w:widowControl/>
              <w:spacing w:line="300" w:lineRule="exact"/>
              <w:jc w:val="center"/>
              <w:rPr>
                <w:color w:val="auto"/>
                <w:szCs w:val="21"/>
                <w:highlight w:val="none"/>
              </w:rPr>
            </w:pPr>
            <w:r>
              <w:rPr>
                <w:color w:val="auto"/>
                <w:szCs w:val="21"/>
                <w:highlight w:val="none"/>
              </w:rPr>
              <w:t>挥发性酚类(mg/L)</w:t>
            </w:r>
          </w:p>
        </w:tc>
        <w:tc>
          <w:tcPr>
            <w:tcW w:w="1065" w:type="dxa"/>
            <w:tcBorders>
              <w:top w:val="single" w:color="auto" w:sz="8" w:space="0"/>
              <w:bottom w:val="single" w:color="auto" w:sz="8" w:space="0"/>
            </w:tcBorders>
            <w:vAlign w:val="center"/>
          </w:tcPr>
          <w:p>
            <w:pPr>
              <w:widowControl/>
              <w:spacing w:line="300" w:lineRule="exact"/>
              <w:jc w:val="center"/>
              <w:rPr>
                <w:color w:val="auto"/>
                <w:szCs w:val="21"/>
                <w:highlight w:val="none"/>
              </w:rPr>
            </w:pPr>
            <w:r>
              <w:rPr>
                <w:color w:val="auto"/>
                <w:szCs w:val="21"/>
                <w:highlight w:val="none"/>
              </w:rPr>
              <w:t>≤0.002</w:t>
            </w:r>
          </w:p>
        </w:tc>
        <w:tc>
          <w:tcPr>
            <w:tcW w:w="660" w:type="dxa"/>
            <w:tcBorders>
              <w:top w:val="single" w:color="auto" w:sz="8" w:space="0"/>
              <w:bottom w:val="single" w:color="auto" w:sz="8" w:space="0"/>
              <w:right w:val="single" w:color="auto" w:sz="4" w:space="0"/>
            </w:tcBorders>
            <w:vAlign w:val="center"/>
          </w:tcPr>
          <w:p>
            <w:pPr>
              <w:widowControl/>
              <w:spacing w:line="300" w:lineRule="exact"/>
              <w:jc w:val="center"/>
              <w:rPr>
                <w:color w:val="auto"/>
                <w:szCs w:val="21"/>
                <w:highlight w:val="none"/>
              </w:rPr>
            </w:pPr>
          </w:p>
        </w:tc>
        <w:tc>
          <w:tcPr>
            <w:tcW w:w="2400" w:type="dxa"/>
            <w:tcBorders>
              <w:top w:val="single" w:color="auto" w:sz="8" w:space="0"/>
              <w:left w:val="single" w:color="auto" w:sz="4" w:space="0"/>
              <w:bottom w:val="single" w:color="auto" w:sz="8" w:space="0"/>
              <w:right w:val="single" w:color="auto" w:sz="8" w:space="0"/>
            </w:tcBorders>
            <w:vAlign w:val="center"/>
          </w:tcPr>
          <w:p>
            <w:pPr>
              <w:widowControl/>
              <w:kinsoku w:val="0"/>
              <w:adjustRightInd w:val="0"/>
              <w:snapToGrid w:val="0"/>
              <w:spacing w:line="300" w:lineRule="exact"/>
              <w:jc w:val="center"/>
              <w:rPr>
                <w:rFonts w:ascii="Times New Roman" w:hAnsi="Times New Roman" w:eastAsia="宋体" w:cs="Times New Roman"/>
                <w:color w:val="auto"/>
                <w:kern w:val="2"/>
                <w:sz w:val="21"/>
                <w:szCs w:val="21"/>
                <w:highlight w:val="none"/>
                <w:lang w:val="en-US" w:eastAsia="zh-CN" w:bidi="ar-SA"/>
              </w:rPr>
            </w:pPr>
          </w:p>
        </w:tc>
        <w:tc>
          <w:tcPr>
            <w:tcW w:w="1166" w:type="dxa"/>
            <w:tcBorders>
              <w:top w:val="single" w:color="auto" w:sz="8" w:space="0"/>
              <w:left w:val="single" w:color="auto" w:sz="8" w:space="0"/>
              <w:bottom w:val="single" w:color="auto" w:sz="8" w:space="0"/>
            </w:tcBorders>
            <w:vAlign w:val="center"/>
          </w:tcPr>
          <w:p>
            <w:pPr>
              <w:widowControl/>
              <w:spacing w:line="300" w:lineRule="exact"/>
              <w:jc w:val="center"/>
              <w:rPr>
                <w:rFonts w:hint="default" w:ascii="Times New Roman" w:hAnsi="Times New Roman" w:eastAsia="宋体" w:cs="Times New Roman"/>
                <w:color w:val="auto"/>
                <w:kern w:val="2"/>
                <w:sz w:val="21"/>
                <w:szCs w:val="21"/>
                <w:highlight w:val="none"/>
                <w:lang w:val="en-US" w:eastAsia="zh-CN" w:bidi="ar-SA"/>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291" w:hRule="atLeast"/>
          <w:tblHeader/>
          <w:jc w:val="center"/>
        </w:trPr>
        <w:tc>
          <w:tcPr>
            <w:tcW w:w="791"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11</w:t>
            </w:r>
          </w:p>
        </w:tc>
        <w:tc>
          <w:tcPr>
            <w:tcW w:w="2465" w:type="dxa"/>
            <w:tcBorders>
              <w:left w:val="single" w:color="auto" w:sz="4" w:space="0"/>
            </w:tcBorders>
            <w:vAlign w:val="center"/>
          </w:tcPr>
          <w:p>
            <w:pPr>
              <w:widowControl/>
              <w:spacing w:line="300" w:lineRule="exact"/>
              <w:jc w:val="center"/>
              <w:rPr>
                <w:color w:val="auto"/>
                <w:szCs w:val="21"/>
                <w:highlight w:val="none"/>
              </w:rPr>
            </w:pPr>
            <w:r>
              <w:rPr>
                <w:color w:val="auto"/>
                <w:szCs w:val="21"/>
                <w:highlight w:val="none"/>
              </w:rPr>
              <w:t>氰化物</w:t>
            </w:r>
          </w:p>
        </w:tc>
        <w:tc>
          <w:tcPr>
            <w:tcW w:w="1065" w:type="dxa"/>
            <w:tcBorders>
              <w:top w:val="single" w:color="auto" w:sz="8" w:space="0"/>
              <w:bottom w:val="single" w:color="auto" w:sz="8" w:space="0"/>
            </w:tcBorders>
            <w:vAlign w:val="center"/>
          </w:tcPr>
          <w:p>
            <w:pPr>
              <w:widowControl/>
              <w:spacing w:line="300" w:lineRule="exact"/>
              <w:jc w:val="center"/>
              <w:rPr>
                <w:color w:val="auto"/>
                <w:szCs w:val="21"/>
                <w:highlight w:val="none"/>
              </w:rPr>
            </w:pPr>
            <w:r>
              <w:rPr>
                <w:color w:val="auto"/>
                <w:szCs w:val="21"/>
                <w:highlight w:val="none"/>
              </w:rPr>
              <w:t>≤0.05</w:t>
            </w:r>
          </w:p>
        </w:tc>
        <w:tc>
          <w:tcPr>
            <w:tcW w:w="660" w:type="dxa"/>
            <w:tcBorders>
              <w:top w:val="single" w:color="auto" w:sz="8" w:space="0"/>
              <w:bottom w:val="single" w:color="auto" w:sz="8" w:space="0"/>
              <w:right w:val="single" w:color="auto" w:sz="4" w:space="0"/>
            </w:tcBorders>
            <w:vAlign w:val="center"/>
          </w:tcPr>
          <w:p>
            <w:pPr>
              <w:widowControl/>
              <w:spacing w:line="300" w:lineRule="exact"/>
              <w:jc w:val="center"/>
              <w:rPr>
                <w:color w:val="auto"/>
                <w:szCs w:val="21"/>
                <w:highlight w:val="none"/>
              </w:rPr>
            </w:pPr>
          </w:p>
        </w:tc>
        <w:tc>
          <w:tcPr>
            <w:tcW w:w="2400" w:type="dxa"/>
            <w:tcBorders>
              <w:top w:val="single" w:color="auto" w:sz="8" w:space="0"/>
              <w:left w:val="single" w:color="auto" w:sz="4" w:space="0"/>
              <w:bottom w:val="single" w:color="auto" w:sz="8" w:space="0"/>
              <w:right w:val="single" w:color="auto" w:sz="8" w:space="0"/>
            </w:tcBorders>
            <w:vAlign w:val="center"/>
          </w:tcPr>
          <w:p>
            <w:pPr>
              <w:widowControl/>
              <w:kinsoku w:val="0"/>
              <w:adjustRightInd w:val="0"/>
              <w:snapToGrid w:val="0"/>
              <w:spacing w:line="300" w:lineRule="exact"/>
              <w:jc w:val="center"/>
              <w:rPr>
                <w:color w:val="auto"/>
                <w:szCs w:val="21"/>
                <w:highlight w:val="none"/>
              </w:rPr>
            </w:pPr>
          </w:p>
        </w:tc>
        <w:tc>
          <w:tcPr>
            <w:tcW w:w="1166" w:type="dxa"/>
            <w:tcBorders>
              <w:top w:val="single" w:color="auto" w:sz="8" w:space="0"/>
              <w:left w:val="single" w:color="auto" w:sz="8" w:space="0"/>
              <w:bottom w:val="single" w:color="auto" w:sz="8" w:space="0"/>
            </w:tcBorders>
            <w:vAlign w:val="center"/>
          </w:tcPr>
          <w:p>
            <w:pPr>
              <w:widowControl/>
              <w:spacing w:line="300" w:lineRule="exact"/>
              <w:jc w:val="center"/>
              <w:rPr>
                <w:color w:val="auto"/>
                <w:szCs w:val="21"/>
                <w:highlight w:val="none"/>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291" w:hRule="atLeast"/>
          <w:tblHeader/>
          <w:jc w:val="center"/>
        </w:trPr>
        <w:tc>
          <w:tcPr>
            <w:tcW w:w="791" w:type="dxa"/>
            <w:tcBorders>
              <w:right w:val="single" w:color="auto" w:sz="4" w:space="0"/>
            </w:tcBorders>
            <w:vAlign w:val="center"/>
          </w:tcPr>
          <w:p>
            <w:pPr>
              <w:widowControl/>
              <w:spacing w:line="300" w:lineRule="exact"/>
              <w:jc w:val="center"/>
              <w:rPr>
                <w:color w:val="auto"/>
                <w:szCs w:val="21"/>
                <w:highlight w:val="none"/>
              </w:rPr>
            </w:pPr>
            <w:r>
              <w:rPr>
                <w:rFonts w:hint="eastAsia"/>
                <w:color w:val="auto"/>
                <w:szCs w:val="21"/>
                <w:highlight w:val="none"/>
              </w:rPr>
              <w:t>12</w:t>
            </w:r>
          </w:p>
        </w:tc>
        <w:tc>
          <w:tcPr>
            <w:tcW w:w="2465" w:type="dxa"/>
            <w:tcBorders>
              <w:left w:val="single" w:color="auto" w:sz="4" w:space="0"/>
            </w:tcBorders>
            <w:vAlign w:val="center"/>
          </w:tcPr>
          <w:p>
            <w:pPr>
              <w:widowControl/>
              <w:kinsoku w:val="0"/>
              <w:adjustRightInd w:val="0"/>
              <w:snapToGrid w:val="0"/>
              <w:spacing w:line="300" w:lineRule="exact"/>
              <w:jc w:val="center"/>
              <w:rPr>
                <w:color w:val="auto"/>
                <w:szCs w:val="21"/>
                <w:highlight w:val="none"/>
              </w:rPr>
            </w:pPr>
            <w:r>
              <w:rPr>
                <w:color w:val="auto"/>
                <w:szCs w:val="21"/>
                <w:highlight w:val="none"/>
              </w:rPr>
              <w:t>总硬度</w:t>
            </w:r>
          </w:p>
        </w:tc>
        <w:tc>
          <w:tcPr>
            <w:tcW w:w="1065" w:type="dxa"/>
            <w:tcBorders>
              <w:top w:val="single" w:color="auto" w:sz="8" w:space="0"/>
              <w:bottom w:val="single" w:color="auto" w:sz="8" w:space="0"/>
            </w:tcBorders>
            <w:vAlign w:val="center"/>
          </w:tcPr>
          <w:p>
            <w:pPr>
              <w:widowControl/>
              <w:spacing w:line="300" w:lineRule="exact"/>
              <w:jc w:val="center"/>
              <w:rPr>
                <w:color w:val="auto"/>
                <w:szCs w:val="21"/>
                <w:highlight w:val="none"/>
              </w:rPr>
            </w:pPr>
            <w:r>
              <w:rPr>
                <w:color w:val="auto"/>
                <w:szCs w:val="21"/>
                <w:highlight w:val="none"/>
              </w:rPr>
              <w:t>≤450</w:t>
            </w:r>
          </w:p>
        </w:tc>
        <w:tc>
          <w:tcPr>
            <w:tcW w:w="660" w:type="dxa"/>
            <w:tcBorders>
              <w:top w:val="single" w:color="auto" w:sz="8" w:space="0"/>
              <w:bottom w:val="single" w:color="auto" w:sz="8" w:space="0"/>
              <w:right w:val="single" w:color="auto" w:sz="4" w:space="0"/>
            </w:tcBorders>
            <w:vAlign w:val="center"/>
          </w:tcPr>
          <w:p>
            <w:pPr>
              <w:widowControl/>
              <w:spacing w:line="300" w:lineRule="exact"/>
              <w:jc w:val="center"/>
              <w:rPr>
                <w:color w:val="auto"/>
                <w:szCs w:val="21"/>
                <w:highlight w:val="none"/>
              </w:rPr>
            </w:pPr>
          </w:p>
        </w:tc>
        <w:tc>
          <w:tcPr>
            <w:tcW w:w="2400" w:type="dxa"/>
            <w:tcBorders>
              <w:top w:val="single" w:color="auto" w:sz="8" w:space="0"/>
              <w:left w:val="single" w:color="auto" w:sz="4" w:space="0"/>
              <w:bottom w:val="single" w:color="auto" w:sz="8" w:space="0"/>
              <w:right w:val="single" w:color="auto" w:sz="8" w:space="0"/>
            </w:tcBorders>
            <w:vAlign w:val="center"/>
          </w:tcPr>
          <w:p>
            <w:pPr>
              <w:widowControl/>
              <w:kinsoku w:val="0"/>
              <w:adjustRightInd w:val="0"/>
              <w:snapToGrid w:val="0"/>
              <w:spacing w:line="300" w:lineRule="exact"/>
              <w:jc w:val="center"/>
              <w:rPr>
                <w:color w:val="auto"/>
                <w:szCs w:val="21"/>
                <w:highlight w:val="none"/>
              </w:rPr>
            </w:pPr>
          </w:p>
        </w:tc>
        <w:tc>
          <w:tcPr>
            <w:tcW w:w="1166" w:type="dxa"/>
            <w:tcBorders>
              <w:top w:val="single" w:color="auto" w:sz="8" w:space="0"/>
              <w:left w:val="single" w:color="auto" w:sz="8" w:space="0"/>
              <w:bottom w:val="single" w:color="auto" w:sz="8" w:space="0"/>
            </w:tcBorders>
            <w:vAlign w:val="center"/>
          </w:tcPr>
          <w:p>
            <w:pPr>
              <w:widowControl/>
              <w:spacing w:line="300" w:lineRule="exact"/>
              <w:jc w:val="center"/>
              <w:rPr>
                <w:color w:val="auto"/>
                <w:szCs w:val="21"/>
                <w:highlight w:val="none"/>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291" w:hRule="atLeast"/>
          <w:tblHeader/>
          <w:jc w:val="center"/>
        </w:trPr>
        <w:tc>
          <w:tcPr>
            <w:tcW w:w="791" w:type="dxa"/>
            <w:tcBorders>
              <w:right w:val="single" w:color="auto" w:sz="4" w:space="0"/>
            </w:tcBorders>
            <w:vAlign w:val="center"/>
          </w:tcPr>
          <w:p>
            <w:pPr>
              <w:widowControl/>
              <w:spacing w:line="300" w:lineRule="exact"/>
              <w:jc w:val="center"/>
              <w:rPr>
                <w:color w:val="auto"/>
                <w:szCs w:val="21"/>
                <w:highlight w:val="none"/>
              </w:rPr>
            </w:pPr>
            <w:r>
              <w:rPr>
                <w:rFonts w:hint="eastAsia"/>
                <w:color w:val="auto"/>
                <w:szCs w:val="21"/>
                <w:highlight w:val="none"/>
              </w:rPr>
              <w:t>13</w:t>
            </w:r>
          </w:p>
        </w:tc>
        <w:tc>
          <w:tcPr>
            <w:tcW w:w="2465" w:type="dxa"/>
            <w:tcBorders>
              <w:left w:val="single" w:color="auto" w:sz="4" w:space="0"/>
            </w:tcBorders>
            <w:vAlign w:val="center"/>
          </w:tcPr>
          <w:p>
            <w:pPr>
              <w:widowControl/>
              <w:kinsoku w:val="0"/>
              <w:adjustRightInd w:val="0"/>
              <w:snapToGrid w:val="0"/>
              <w:spacing w:line="300" w:lineRule="exact"/>
              <w:jc w:val="center"/>
              <w:rPr>
                <w:color w:val="auto"/>
                <w:szCs w:val="21"/>
                <w:highlight w:val="none"/>
              </w:rPr>
            </w:pPr>
            <w:r>
              <w:rPr>
                <w:color w:val="auto"/>
                <w:szCs w:val="21"/>
                <w:highlight w:val="none"/>
              </w:rPr>
              <w:t>石油类（mg/L）</w:t>
            </w:r>
          </w:p>
        </w:tc>
        <w:tc>
          <w:tcPr>
            <w:tcW w:w="1065" w:type="dxa"/>
            <w:tcBorders>
              <w:top w:val="single" w:color="auto" w:sz="8" w:space="0"/>
              <w:bottom w:val="single" w:color="auto" w:sz="8" w:space="0"/>
            </w:tcBorders>
            <w:vAlign w:val="center"/>
          </w:tcPr>
          <w:p>
            <w:pPr>
              <w:widowControl/>
              <w:spacing w:line="300" w:lineRule="exact"/>
              <w:jc w:val="center"/>
              <w:rPr>
                <w:color w:val="auto"/>
                <w:szCs w:val="21"/>
                <w:highlight w:val="none"/>
              </w:rPr>
            </w:pPr>
            <w:r>
              <w:rPr>
                <w:color w:val="auto"/>
                <w:szCs w:val="21"/>
                <w:highlight w:val="none"/>
              </w:rPr>
              <w:t>≤0.05</w:t>
            </w:r>
          </w:p>
        </w:tc>
        <w:tc>
          <w:tcPr>
            <w:tcW w:w="660" w:type="dxa"/>
            <w:tcBorders>
              <w:top w:val="single" w:color="auto" w:sz="8" w:space="0"/>
              <w:bottom w:val="single" w:color="auto" w:sz="8" w:space="0"/>
              <w:right w:val="single" w:color="auto" w:sz="4" w:space="0"/>
            </w:tcBorders>
            <w:vAlign w:val="center"/>
          </w:tcPr>
          <w:p>
            <w:pPr>
              <w:widowControl/>
              <w:spacing w:line="300" w:lineRule="exact"/>
              <w:jc w:val="center"/>
              <w:rPr>
                <w:rFonts w:hint="default" w:eastAsia="宋体"/>
                <w:color w:val="auto"/>
                <w:szCs w:val="21"/>
                <w:highlight w:val="none"/>
                <w:lang w:val="en-US" w:eastAsia="zh-CN"/>
              </w:rPr>
            </w:pPr>
          </w:p>
        </w:tc>
        <w:tc>
          <w:tcPr>
            <w:tcW w:w="2400" w:type="dxa"/>
            <w:tcBorders>
              <w:top w:val="single" w:color="auto" w:sz="8" w:space="0"/>
              <w:left w:val="single" w:color="auto" w:sz="4" w:space="0"/>
              <w:bottom w:val="single" w:color="auto" w:sz="8" w:space="0"/>
              <w:right w:val="single" w:color="auto" w:sz="8" w:space="0"/>
            </w:tcBorders>
            <w:vAlign w:val="center"/>
          </w:tcPr>
          <w:p>
            <w:pPr>
              <w:widowControl/>
              <w:kinsoku w:val="0"/>
              <w:adjustRightInd w:val="0"/>
              <w:snapToGrid w:val="0"/>
              <w:spacing w:line="300" w:lineRule="exact"/>
              <w:jc w:val="center"/>
              <w:rPr>
                <w:rFonts w:hint="eastAsia" w:eastAsia="宋体"/>
                <w:color w:val="auto"/>
                <w:szCs w:val="21"/>
                <w:highlight w:val="none"/>
                <w:lang w:eastAsia="zh-CN"/>
              </w:rPr>
            </w:pPr>
          </w:p>
        </w:tc>
        <w:tc>
          <w:tcPr>
            <w:tcW w:w="1166" w:type="dxa"/>
            <w:tcBorders>
              <w:top w:val="single" w:color="auto" w:sz="8" w:space="0"/>
              <w:left w:val="single" w:color="auto" w:sz="8" w:space="0"/>
              <w:bottom w:val="single" w:color="auto" w:sz="8" w:space="0"/>
            </w:tcBorders>
            <w:vAlign w:val="center"/>
          </w:tcPr>
          <w:p>
            <w:pPr>
              <w:widowControl/>
              <w:spacing w:line="300" w:lineRule="exact"/>
              <w:jc w:val="center"/>
              <w:rPr>
                <w:rFonts w:hint="eastAsia" w:eastAsia="宋体"/>
                <w:color w:val="auto"/>
                <w:szCs w:val="21"/>
                <w:highlight w:val="none"/>
                <w:lang w:val="en-US" w:eastAsia="zh-CN"/>
              </w:rPr>
            </w:pPr>
          </w:p>
        </w:tc>
      </w:tr>
    </w:tbl>
    <w:p>
      <w:pPr>
        <w:spacing w:line="480" w:lineRule="exact"/>
        <w:ind w:firstLine="480" w:firstLineChars="200"/>
        <w:rPr>
          <w:color w:val="auto"/>
          <w:sz w:val="24"/>
          <w:highlight w:val="none"/>
        </w:rPr>
      </w:pPr>
      <w:r>
        <w:rPr>
          <w:color w:val="auto"/>
          <w:sz w:val="24"/>
          <w:highlight w:val="none"/>
        </w:rPr>
        <w:t>（3）地表水环境质量标准</w:t>
      </w:r>
    </w:p>
    <w:p>
      <w:pPr>
        <w:spacing w:line="480" w:lineRule="exact"/>
        <w:ind w:firstLine="480" w:firstLineChars="200"/>
        <w:rPr>
          <w:color w:val="auto"/>
          <w:sz w:val="24"/>
          <w:highlight w:val="none"/>
        </w:rPr>
      </w:pPr>
      <w:r>
        <w:rPr>
          <w:color w:val="auto"/>
          <w:sz w:val="24"/>
          <w:highlight w:val="none"/>
        </w:rPr>
        <w:t>执行《地表水环境质量标准》（GB3838-2002）</w:t>
      </w:r>
      <w:r>
        <w:rPr>
          <w:color w:val="auto"/>
          <w:sz w:val="24"/>
          <w:highlight w:val="none"/>
        </w:rPr>
        <w:fldChar w:fldCharType="begin"/>
      </w:r>
      <w:r>
        <w:rPr>
          <w:color w:val="auto"/>
          <w:sz w:val="24"/>
          <w:highlight w:val="none"/>
        </w:rPr>
        <w:instrText xml:space="preserve"> = 3 \* ROMAN \* MERGEFORMAT </w:instrText>
      </w:r>
      <w:r>
        <w:rPr>
          <w:color w:val="auto"/>
          <w:sz w:val="24"/>
          <w:highlight w:val="none"/>
        </w:rPr>
        <w:fldChar w:fldCharType="separate"/>
      </w:r>
      <w:r>
        <w:rPr>
          <w:color w:val="auto"/>
          <w:sz w:val="24"/>
          <w:highlight w:val="none"/>
        </w:rPr>
        <w:t>III</w:t>
      </w:r>
      <w:r>
        <w:rPr>
          <w:color w:val="auto"/>
          <w:sz w:val="24"/>
          <w:highlight w:val="none"/>
        </w:rPr>
        <w:fldChar w:fldCharType="end"/>
      </w:r>
      <w:r>
        <w:rPr>
          <w:color w:val="auto"/>
          <w:sz w:val="24"/>
          <w:highlight w:val="none"/>
        </w:rPr>
        <w:t>类标准，见表</w:t>
      </w:r>
      <w:r>
        <w:rPr>
          <w:rFonts w:hint="eastAsia"/>
          <w:color w:val="auto"/>
          <w:sz w:val="24"/>
          <w:highlight w:val="none"/>
        </w:rPr>
        <w:t>1.</w:t>
      </w:r>
      <w:r>
        <w:rPr>
          <w:rFonts w:hint="eastAsia"/>
          <w:color w:val="auto"/>
          <w:sz w:val="24"/>
          <w:highlight w:val="none"/>
          <w:lang w:val="en-US" w:eastAsia="zh-CN"/>
        </w:rPr>
        <w:t>4</w:t>
      </w:r>
      <w:r>
        <w:rPr>
          <w:rFonts w:hint="eastAsia"/>
          <w:color w:val="auto"/>
          <w:sz w:val="24"/>
          <w:highlight w:val="none"/>
        </w:rPr>
        <w:t>-3</w:t>
      </w:r>
      <w:r>
        <w:rPr>
          <w:color w:val="auto"/>
          <w:sz w:val="24"/>
          <w:highlight w:val="none"/>
        </w:rPr>
        <w:t>。</w:t>
      </w:r>
    </w:p>
    <w:p>
      <w:pPr>
        <w:spacing w:line="480" w:lineRule="exact"/>
        <w:jc w:val="center"/>
        <w:rPr>
          <w:b/>
          <w:color w:val="auto"/>
          <w:sz w:val="24"/>
          <w:highlight w:val="none"/>
        </w:rPr>
      </w:pPr>
      <w:r>
        <w:rPr>
          <w:b/>
          <w:color w:val="auto"/>
          <w:sz w:val="24"/>
          <w:highlight w:val="none"/>
        </w:rPr>
        <w:t>表</w:t>
      </w:r>
      <w:r>
        <w:rPr>
          <w:rFonts w:hint="eastAsia"/>
          <w:b/>
          <w:color w:val="auto"/>
          <w:sz w:val="24"/>
          <w:highlight w:val="none"/>
        </w:rPr>
        <w:t>1.</w:t>
      </w:r>
      <w:r>
        <w:rPr>
          <w:rFonts w:hint="eastAsia"/>
          <w:b/>
          <w:color w:val="auto"/>
          <w:sz w:val="24"/>
          <w:highlight w:val="none"/>
          <w:lang w:val="en-US" w:eastAsia="zh-CN"/>
        </w:rPr>
        <w:t>4</w:t>
      </w:r>
      <w:r>
        <w:rPr>
          <w:rFonts w:hint="eastAsia"/>
          <w:b/>
          <w:color w:val="auto"/>
          <w:sz w:val="24"/>
          <w:highlight w:val="none"/>
        </w:rPr>
        <w:t>-3</w:t>
      </w:r>
      <w:r>
        <w:rPr>
          <w:b/>
          <w:color w:val="auto"/>
          <w:sz w:val="24"/>
          <w:highlight w:val="none"/>
        </w:rPr>
        <w:t xml:space="preserve"> 《地表水环境质量标准》</w:t>
      </w:r>
      <w:r>
        <w:rPr>
          <w:rFonts w:hint="eastAsia"/>
          <w:b/>
          <w:color w:val="auto"/>
          <w:sz w:val="24"/>
          <w:highlight w:val="none"/>
        </w:rPr>
        <w:t xml:space="preserve">   </w:t>
      </w:r>
      <w:r>
        <w:rPr>
          <w:bCs/>
          <w:color w:val="auto"/>
          <w:sz w:val="24"/>
          <w:highlight w:val="none"/>
        </w:rPr>
        <w:t>单位：mg/L、pH无量纲</w:t>
      </w:r>
    </w:p>
    <w:tbl>
      <w:tblPr>
        <w:tblStyle w:val="51"/>
        <w:tblW w:w="8257" w:type="dxa"/>
        <w:jc w:val="center"/>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fixed"/>
        <w:tblCellMar>
          <w:top w:w="0" w:type="dxa"/>
          <w:left w:w="28" w:type="dxa"/>
          <w:bottom w:w="0" w:type="dxa"/>
          <w:right w:w="28" w:type="dxa"/>
        </w:tblCellMar>
      </w:tblPr>
      <w:tblGrid>
        <w:gridCol w:w="525"/>
        <w:gridCol w:w="2521"/>
        <w:gridCol w:w="969"/>
        <w:gridCol w:w="731"/>
        <w:gridCol w:w="2404"/>
        <w:gridCol w:w="1107"/>
      </w:tblGrid>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294" w:hRule="atLeast"/>
          <w:tblHeader/>
          <w:jc w:val="center"/>
        </w:trPr>
        <w:tc>
          <w:tcPr>
            <w:tcW w:w="525" w:type="dxa"/>
            <w:tcBorders>
              <w:top w:val="single" w:color="auto" w:sz="2" w:space="0"/>
              <w:right w:val="single" w:color="auto" w:sz="4" w:space="0"/>
            </w:tcBorders>
            <w:vAlign w:val="center"/>
          </w:tcPr>
          <w:p>
            <w:pPr>
              <w:spacing w:line="300" w:lineRule="exact"/>
              <w:jc w:val="center"/>
              <w:rPr>
                <w:color w:val="auto"/>
                <w:szCs w:val="21"/>
                <w:highlight w:val="none"/>
              </w:rPr>
            </w:pPr>
            <w:r>
              <w:rPr>
                <w:rFonts w:hint="eastAsia"/>
                <w:color w:val="auto"/>
                <w:szCs w:val="21"/>
                <w:highlight w:val="none"/>
              </w:rPr>
              <w:t>序号</w:t>
            </w:r>
          </w:p>
        </w:tc>
        <w:tc>
          <w:tcPr>
            <w:tcW w:w="2521" w:type="dxa"/>
            <w:tcBorders>
              <w:top w:val="single" w:color="auto" w:sz="2" w:space="0"/>
              <w:left w:val="single" w:color="auto" w:sz="4" w:space="0"/>
            </w:tcBorders>
            <w:vAlign w:val="center"/>
          </w:tcPr>
          <w:p>
            <w:pPr>
              <w:spacing w:line="300" w:lineRule="exact"/>
              <w:jc w:val="center"/>
              <w:rPr>
                <w:color w:val="auto"/>
                <w:szCs w:val="21"/>
                <w:highlight w:val="none"/>
              </w:rPr>
            </w:pPr>
            <w:r>
              <w:rPr>
                <w:color w:val="auto"/>
                <w:szCs w:val="21"/>
                <w:highlight w:val="none"/>
              </w:rPr>
              <w:t>污染物名称</w:t>
            </w:r>
          </w:p>
        </w:tc>
        <w:tc>
          <w:tcPr>
            <w:tcW w:w="969" w:type="dxa"/>
            <w:tcBorders>
              <w:top w:val="single" w:color="auto" w:sz="2" w:space="0"/>
              <w:right w:val="single" w:color="auto" w:sz="8" w:space="0"/>
            </w:tcBorders>
            <w:vAlign w:val="center"/>
          </w:tcPr>
          <w:p>
            <w:pPr>
              <w:spacing w:line="300" w:lineRule="exact"/>
              <w:jc w:val="center"/>
              <w:rPr>
                <w:color w:val="auto"/>
                <w:szCs w:val="21"/>
                <w:highlight w:val="none"/>
              </w:rPr>
            </w:pPr>
            <w:r>
              <w:rPr>
                <w:color w:val="auto"/>
                <w:szCs w:val="21"/>
                <w:highlight w:val="none"/>
              </w:rPr>
              <w:t>标准值</w:t>
            </w:r>
          </w:p>
        </w:tc>
        <w:tc>
          <w:tcPr>
            <w:tcW w:w="731" w:type="dxa"/>
            <w:tcBorders>
              <w:top w:val="single" w:color="auto" w:sz="2" w:space="0"/>
              <w:left w:val="single" w:color="auto" w:sz="8" w:space="0"/>
              <w:right w:val="single" w:color="auto" w:sz="4" w:space="0"/>
            </w:tcBorders>
            <w:vAlign w:val="center"/>
          </w:tcPr>
          <w:p>
            <w:pPr>
              <w:spacing w:line="300" w:lineRule="exact"/>
              <w:jc w:val="center"/>
              <w:rPr>
                <w:color w:val="auto"/>
                <w:szCs w:val="21"/>
                <w:highlight w:val="none"/>
              </w:rPr>
            </w:pPr>
            <w:r>
              <w:rPr>
                <w:rFonts w:hint="eastAsia"/>
                <w:color w:val="auto"/>
                <w:szCs w:val="21"/>
                <w:highlight w:val="none"/>
              </w:rPr>
              <w:t>序号</w:t>
            </w:r>
          </w:p>
        </w:tc>
        <w:tc>
          <w:tcPr>
            <w:tcW w:w="2404" w:type="dxa"/>
            <w:tcBorders>
              <w:top w:val="single" w:color="auto" w:sz="2" w:space="0"/>
              <w:left w:val="single" w:color="auto" w:sz="4" w:space="0"/>
              <w:right w:val="single" w:color="auto" w:sz="8" w:space="0"/>
            </w:tcBorders>
            <w:vAlign w:val="center"/>
          </w:tcPr>
          <w:p>
            <w:pPr>
              <w:spacing w:line="300" w:lineRule="exact"/>
              <w:jc w:val="center"/>
              <w:rPr>
                <w:color w:val="auto"/>
                <w:szCs w:val="21"/>
                <w:highlight w:val="none"/>
              </w:rPr>
            </w:pPr>
            <w:r>
              <w:rPr>
                <w:color w:val="auto"/>
                <w:szCs w:val="21"/>
                <w:highlight w:val="none"/>
              </w:rPr>
              <w:t>污染物名称</w:t>
            </w:r>
          </w:p>
        </w:tc>
        <w:tc>
          <w:tcPr>
            <w:tcW w:w="1107" w:type="dxa"/>
            <w:tcBorders>
              <w:top w:val="single" w:color="auto" w:sz="2" w:space="0"/>
              <w:left w:val="single" w:color="auto" w:sz="8" w:space="0"/>
            </w:tcBorders>
            <w:vAlign w:val="center"/>
          </w:tcPr>
          <w:p>
            <w:pPr>
              <w:spacing w:line="300" w:lineRule="exact"/>
              <w:jc w:val="center"/>
              <w:rPr>
                <w:color w:val="auto"/>
                <w:szCs w:val="21"/>
                <w:highlight w:val="none"/>
              </w:rPr>
            </w:pPr>
            <w:r>
              <w:rPr>
                <w:color w:val="auto"/>
                <w:szCs w:val="21"/>
                <w:highlight w:val="none"/>
              </w:rPr>
              <w:t>标准值</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02" w:hRule="atLeast"/>
          <w:tblHeader/>
          <w:jc w:val="center"/>
        </w:trPr>
        <w:tc>
          <w:tcPr>
            <w:tcW w:w="525"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1</w:t>
            </w:r>
          </w:p>
        </w:tc>
        <w:tc>
          <w:tcPr>
            <w:tcW w:w="2521" w:type="dxa"/>
            <w:tcBorders>
              <w:left w:val="single" w:color="auto" w:sz="4" w:space="0"/>
            </w:tcBorders>
            <w:vAlign w:val="center"/>
          </w:tcPr>
          <w:p>
            <w:pPr>
              <w:widowControl/>
              <w:spacing w:line="300" w:lineRule="exact"/>
              <w:jc w:val="center"/>
              <w:rPr>
                <w:color w:val="auto"/>
                <w:szCs w:val="21"/>
                <w:highlight w:val="none"/>
              </w:rPr>
            </w:pPr>
            <w:r>
              <w:rPr>
                <w:color w:val="auto"/>
                <w:szCs w:val="21"/>
                <w:highlight w:val="none"/>
              </w:rPr>
              <w:t>pH</w:t>
            </w:r>
          </w:p>
        </w:tc>
        <w:tc>
          <w:tcPr>
            <w:tcW w:w="969" w:type="dxa"/>
            <w:tcBorders>
              <w:bottom w:val="single" w:color="auto" w:sz="8" w:space="0"/>
              <w:right w:val="single" w:color="auto" w:sz="8" w:space="0"/>
            </w:tcBorders>
            <w:vAlign w:val="center"/>
          </w:tcPr>
          <w:p>
            <w:pPr>
              <w:widowControl/>
              <w:spacing w:line="300" w:lineRule="exact"/>
              <w:jc w:val="center"/>
              <w:rPr>
                <w:color w:val="auto"/>
                <w:szCs w:val="21"/>
                <w:highlight w:val="none"/>
              </w:rPr>
            </w:pPr>
            <w:r>
              <w:rPr>
                <w:color w:val="auto"/>
                <w:szCs w:val="21"/>
                <w:highlight w:val="none"/>
              </w:rPr>
              <w:t>6-9</w:t>
            </w:r>
          </w:p>
        </w:tc>
        <w:tc>
          <w:tcPr>
            <w:tcW w:w="731" w:type="dxa"/>
            <w:tcBorders>
              <w:left w:val="single" w:color="auto" w:sz="8" w:space="0"/>
              <w:bottom w:val="single" w:color="auto" w:sz="8" w:space="0"/>
              <w:right w:val="single" w:color="auto" w:sz="4" w:space="0"/>
            </w:tcBorders>
            <w:vAlign w:val="center"/>
          </w:tcPr>
          <w:p>
            <w:pPr>
              <w:widowControl/>
              <w:spacing w:line="300" w:lineRule="exact"/>
              <w:jc w:val="center"/>
              <w:rPr>
                <w:rFonts w:hint="default" w:eastAsia="宋体"/>
                <w:color w:val="auto"/>
                <w:szCs w:val="21"/>
                <w:highlight w:val="none"/>
                <w:lang w:val="en-US" w:eastAsia="zh-CN"/>
              </w:rPr>
            </w:pPr>
            <w:r>
              <w:rPr>
                <w:rFonts w:hint="eastAsia"/>
                <w:color w:val="auto"/>
                <w:szCs w:val="21"/>
                <w:highlight w:val="none"/>
                <w:lang w:val="en-US" w:eastAsia="zh-CN"/>
              </w:rPr>
              <w:t>12</w:t>
            </w:r>
          </w:p>
        </w:tc>
        <w:tc>
          <w:tcPr>
            <w:tcW w:w="2404" w:type="dxa"/>
            <w:tcBorders>
              <w:left w:val="single" w:color="auto" w:sz="4" w:space="0"/>
              <w:bottom w:val="single" w:color="auto" w:sz="8" w:space="0"/>
              <w:right w:val="single" w:color="auto" w:sz="8" w:space="0"/>
            </w:tcBorders>
            <w:vAlign w:val="center"/>
          </w:tcPr>
          <w:p>
            <w:pPr>
              <w:widowControl/>
              <w:spacing w:line="300" w:lineRule="exact"/>
              <w:jc w:val="center"/>
              <w:rPr>
                <w:color w:val="auto"/>
                <w:szCs w:val="21"/>
                <w:highlight w:val="none"/>
              </w:rPr>
            </w:pPr>
            <w:r>
              <w:rPr>
                <w:color w:val="auto"/>
                <w:szCs w:val="21"/>
                <w:highlight w:val="none"/>
              </w:rPr>
              <w:t>砷</w:t>
            </w:r>
          </w:p>
        </w:tc>
        <w:tc>
          <w:tcPr>
            <w:tcW w:w="1107" w:type="dxa"/>
            <w:tcBorders>
              <w:left w:val="single" w:color="auto" w:sz="8" w:space="0"/>
              <w:bottom w:val="single" w:color="auto" w:sz="8" w:space="0"/>
            </w:tcBorders>
            <w:vAlign w:val="center"/>
          </w:tcPr>
          <w:p>
            <w:pPr>
              <w:widowControl/>
              <w:spacing w:line="300" w:lineRule="exact"/>
              <w:jc w:val="center"/>
              <w:rPr>
                <w:color w:val="auto"/>
                <w:szCs w:val="21"/>
                <w:highlight w:val="none"/>
              </w:rPr>
            </w:pPr>
            <w:r>
              <w:rPr>
                <w:color w:val="auto"/>
                <w:szCs w:val="21"/>
                <w:highlight w:val="none"/>
              </w:rPr>
              <w:t>≤</w:t>
            </w:r>
            <w:r>
              <w:rPr>
                <w:rFonts w:hint="eastAsia"/>
                <w:color w:val="auto"/>
                <w:szCs w:val="21"/>
                <w:highlight w:val="none"/>
              </w:rPr>
              <w:t>0.05</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06" w:hRule="atLeast"/>
          <w:tblHeader/>
          <w:jc w:val="center"/>
        </w:trPr>
        <w:tc>
          <w:tcPr>
            <w:tcW w:w="525"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2</w:t>
            </w:r>
          </w:p>
        </w:tc>
        <w:tc>
          <w:tcPr>
            <w:tcW w:w="2521" w:type="dxa"/>
            <w:tcBorders>
              <w:left w:val="single" w:color="auto" w:sz="4" w:space="0"/>
            </w:tcBorders>
            <w:vAlign w:val="center"/>
          </w:tcPr>
          <w:p>
            <w:pPr>
              <w:widowControl/>
              <w:spacing w:line="300" w:lineRule="exact"/>
              <w:jc w:val="center"/>
              <w:rPr>
                <w:color w:val="auto"/>
                <w:szCs w:val="21"/>
                <w:highlight w:val="none"/>
              </w:rPr>
            </w:pPr>
            <w:r>
              <w:rPr>
                <w:color w:val="auto"/>
                <w:szCs w:val="21"/>
                <w:highlight w:val="none"/>
              </w:rPr>
              <w:t>溶解氧</w:t>
            </w:r>
          </w:p>
        </w:tc>
        <w:tc>
          <w:tcPr>
            <w:tcW w:w="969" w:type="dxa"/>
            <w:tcBorders>
              <w:bottom w:val="single" w:color="auto" w:sz="8" w:space="0"/>
              <w:right w:val="single" w:color="auto" w:sz="8" w:space="0"/>
            </w:tcBorders>
            <w:vAlign w:val="center"/>
          </w:tcPr>
          <w:p>
            <w:pPr>
              <w:widowControl/>
              <w:spacing w:line="300" w:lineRule="exact"/>
              <w:jc w:val="center"/>
              <w:rPr>
                <w:rFonts w:hint="eastAsia" w:eastAsia="宋体"/>
                <w:color w:val="auto"/>
                <w:szCs w:val="21"/>
                <w:highlight w:val="none"/>
                <w:lang w:eastAsia="zh-CN"/>
              </w:rPr>
            </w:pPr>
            <w:r>
              <w:rPr>
                <w:color w:val="auto"/>
                <w:szCs w:val="21"/>
                <w:highlight w:val="none"/>
              </w:rPr>
              <w:t>≤</w:t>
            </w:r>
            <w:r>
              <w:rPr>
                <w:rFonts w:hint="eastAsia"/>
                <w:color w:val="auto"/>
                <w:szCs w:val="21"/>
                <w:highlight w:val="none"/>
                <w:lang w:val="en-US" w:eastAsia="zh-CN"/>
              </w:rPr>
              <w:t>5</w:t>
            </w:r>
          </w:p>
        </w:tc>
        <w:tc>
          <w:tcPr>
            <w:tcW w:w="731" w:type="dxa"/>
            <w:tcBorders>
              <w:left w:val="single" w:color="auto" w:sz="8" w:space="0"/>
              <w:bottom w:val="single" w:color="auto" w:sz="8" w:space="0"/>
              <w:right w:val="single" w:color="auto" w:sz="4"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13</w:t>
            </w:r>
          </w:p>
        </w:tc>
        <w:tc>
          <w:tcPr>
            <w:tcW w:w="2404" w:type="dxa"/>
            <w:tcBorders>
              <w:left w:val="single" w:color="auto" w:sz="4" w:space="0"/>
              <w:bottom w:val="single" w:color="auto" w:sz="8" w:space="0"/>
              <w:right w:val="single" w:color="auto" w:sz="8" w:space="0"/>
            </w:tcBorders>
            <w:vAlign w:val="center"/>
          </w:tcPr>
          <w:p>
            <w:pPr>
              <w:widowControl/>
              <w:spacing w:line="300" w:lineRule="exact"/>
              <w:jc w:val="center"/>
              <w:rPr>
                <w:color w:val="auto"/>
                <w:szCs w:val="21"/>
                <w:highlight w:val="none"/>
              </w:rPr>
            </w:pPr>
            <w:r>
              <w:rPr>
                <w:color w:val="auto"/>
                <w:szCs w:val="21"/>
                <w:highlight w:val="none"/>
              </w:rPr>
              <w:t>汞</w:t>
            </w:r>
          </w:p>
        </w:tc>
        <w:tc>
          <w:tcPr>
            <w:tcW w:w="1107" w:type="dxa"/>
            <w:tcBorders>
              <w:left w:val="single" w:color="auto" w:sz="8" w:space="0"/>
              <w:bottom w:val="single" w:color="auto" w:sz="8" w:space="0"/>
            </w:tcBorders>
            <w:vAlign w:val="center"/>
          </w:tcPr>
          <w:p>
            <w:pPr>
              <w:widowControl/>
              <w:spacing w:line="300" w:lineRule="exact"/>
              <w:jc w:val="center"/>
              <w:rPr>
                <w:rFonts w:hint="eastAsia" w:eastAsia="宋体"/>
                <w:color w:val="auto"/>
                <w:szCs w:val="21"/>
                <w:highlight w:val="none"/>
                <w:lang w:eastAsia="zh-CN"/>
              </w:rPr>
            </w:pPr>
            <w:r>
              <w:rPr>
                <w:color w:val="auto"/>
                <w:szCs w:val="21"/>
                <w:highlight w:val="none"/>
              </w:rPr>
              <w:t>≤</w:t>
            </w:r>
            <w:r>
              <w:rPr>
                <w:rFonts w:hint="eastAsia"/>
                <w:color w:val="auto"/>
                <w:szCs w:val="21"/>
                <w:highlight w:val="none"/>
              </w:rPr>
              <w:t>0.000</w:t>
            </w:r>
            <w:r>
              <w:rPr>
                <w:rFonts w:hint="eastAsia"/>
                <w:color w:val="auto"/>
                <w:szCs w:val="21"/>
                <w:highlight w:val="none"/>
                <w:lang w:val="en-US" w:eastAsia="zh-CN"/>
              </w:rPr>
              <w:t>1</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06" w:hRule="atLeast"/>
          <w:tblHeader/>
          <w:jc w:val="center"/>
        </w:trPr>
        <w:tc>
          <w:tcPr>
            <w:tcW w:w="525"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3</w:t>
            </w:r>
          </w:p>
        </w:tc>
        <w:tc>
          <w:tcPr>
            <w:tcW w:w="2521" w:type="dxa"/>
            <w:tcBorders>
              <w:left w:val="single" w:color="auto" w:sz="4"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高锰酸盐指数</w:t>
            </w:r>
            <w:r>
              <w:rPr>
                <w:color w:val="auto"/>
                <w:szCs w:val="21"/>
                <w:highlight w:val="none"/>
              </w:rPr>
              <w:t>（COD</w:t>
            </w:r>
            <w:r>
              <w:rPr>
                <w:rFonts w:hint="eastAsia"/>
                <w:color w:val="auto"/>
                <w:szCs w:val="21"/>
                <w:highlight w:val="none"/>
                <w:vertAlign w:val="subscript"/>
              </w:rPr>
              <w:t>Mn</w:t>
            </w:r>
            <w:r>
              <w:rPr>
                <w:color w:val="auto"/>
                <w:szCs w:val="21"/>
                <w:highlight w:val="none"/>
              </w:rPr>
              <w:t>）</w:t>
            </w:r>
          </w:p>
        </w:tc>
        <w:tc>
          <w:tcPr>
            <w:tcW w:w="969" w:type="dxa"/>
            <w:tcBorders>
              <w:bottom w:val="single" w:color="auto" w:sz="8" w:space="0"/>
              <w:right w:val="single" w:color="auto" w:sz="8" w:space="0"/>
            </w:tcBorders>
            <w:vAlign w:val="center"/>
          </w:tcPr>
          <w:p>
            <w:pPr>
              <w:widowControl/>
              <w:spacing w:line="300" w:lineRule="exact"/>
              <w:jc w:val="center"/>
              <w:rPr>
                <w:rFonts w:hint="eastAsia" w:ascii="Times New Roman" w:hAnsi="Times New Roman" w:eastAsia="宋体" w:cs="Times New Roman"/>
                <w:color w:val="auto"/>
                <w:kern w:val="2"/>
                <w:sz w:val="21"/>
                <w:szCs w:val="21"/>
                <w:highlight w:val="none"/>
                <w:lang w:val="en-US" w:eastAsia="zh-CN" w:bidi="ar-SA"/>
              </w:rPr>
            </w:pPr>
            <w:r>
              <w:rPr>
                <w:color w:val="auto"/>
                <w:szCs w:val="21"/>
                <w:highlight w:val="none"/>
              </w:rPr>
              <w:t>≤</w:t>
            </w:r>
            <w:r>
              <w:rPr>
                <w:rFonts w:hint="eastAsia"/>
                <w:color w:val="auto"/>
                <w:szCs w:val="21"/>
                <w:highlight w:val="none"/>
                <w:lang w:val="en-US" w:eastAsia="zh-CN"/>
              </w:rPr>
              <w:t>20</w:t>
            </w:r>
          </w:p>
        </w:tc>
        <w:tc>
          <w:tcPr>
            <w:tcW w:w="731" w:type="dxa"/>
            <w:tcBorders>
              <w:left w:val="single" w:color="auto" w:sz="8" w:space="0"/>
              <w:bottom w:val="single" w:color="auto" w:sz="8" w:space="0"/>
              <w:right w:val="single" w:color="auto" w:sz="4"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14</w:t>
            </w:r>
          </w:p>
        </w:tc>
        <w:tc>
          <w:tcPr>
            <w:tcW w:w="2404" w:type="dxa"/>
            <w:tcBorders>
              <w:left w:val="single" w:color="auto" w:sz="4" w:space="0"/>
              <w:bottom w:val="single" w:color="auto" w:sz="8" w:space="0"/>
              <w:right w:val="single" w:color="auto" w:sz="8" w:space="0"/>
            </w:tcBorders>
            <w:vAlign w:val="center"/>
          </w:tcPr>
          <w:p>
            <w:pPr>
              <w:widowControl/>
              <w:spacing w:line="300" w:lineRule="exact"/>
              <w:jc w:val="center"/>
              <w:rPr>
                <w:color w:val="auto"/>
                <w:szCs w:val="21"/>
                <w:highlight w:val="none"/>
              </w:rPr>
            </w:pPr>
            <w:r>
              <w:rPr>
                <w:color w:val="auto"/>
                <w:szCs w:val="21"/>
                <w:highlight w:val="none"/>
              </w:rPr>
              <w:t>镉</w:t>
            </w:r>
          </w:p>
        </w:tc>
        <w:tc>
          <w:tcPr>
            <w:tcW w:w="1107" w:type="dxa"/>
            <w:tcBorders>
              <w:left w:val="single" w:color="auto" w:sz="8" w:space="0"/>
              <w:bottom w:val="single" w:color="auto" w:sz="8" w:space="0"/>
            </w:tcBorders>
            <w:vAlign w:val="center"/>
          </w:tcPr>
          <w:p>
            <w:pPr>
              <w:widowControl/>
              <w:spacing w:line="300" w:lineRule="exact"/>
              <w:jc w:val="center"/>
              <w:rPr>
                <w:color w:val="auto"/>
                <w:szCs w:val="21"/>
                <w:highlight w:val="none"/>
              </w:rPr>
            </w:pPr>
            <w:r>
              <w:rPr>
                <w:color w:val="auto"/>
                <w:szCs w:val="21"/>
                <w:highlight w:val="none"/>
              </w:rPr>
              <w:t>≤</w:t>
            </w:r>
            <w:r>
              <w:rPr>
                <w:rFonts w:hint="eastAsia"/>
                <w:color w:val="auto"/>
                <w:szCs w:val="21"/>
                <w:highlight w:val="none"/>
              </w:rPr>
              <w:t>0.005</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06" w:hRule="atLeast"/>
          <w:tblHeader/>
          <w:jc w:val="center"/>
        </w:trPr>
        <w:tc>
          <w:tcPr>
            <w:tcW w:w="525"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4</w:t>
            </w:r>
          </w:p>
        </w:tc>
        <w:tc>
          <w:tcPr>
            <w:tcW w:w="2521" w:type="dxa"/>
            <w:tcBorders>
              <w:left w:val="single" w:color="auto" w:sz="4"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五日化学需氧量（BOD</w:t>
            </w:r>
            <w:r>
              <w:rPr>
                <w:color w:val="auto"/>
                <w:szCs w:val="21"/>
                <w:highlight w:val="none"/>
                <w:vertAlign w:val="subscript"/>
              </w:rPr>
              <w:t>5</w:t>
            </w:r>
            <w:r>
              <w:rPr>
                <w:color w:val="auto"/>
                <w:szCs w:val="21"/>
                <w:highlight w:val="none"/>
              </w:rPr>
              <w:t>）</w:t>
            </w:r>
          </w:p>
        </w:tc>
        <w:tc>
          <w:tcPr>
            <w:tcW w:w="969" w:type="dxa"/>
            <w:tcBorders>
              <w:bottom w:val="single" w:color="auto" w:sz="8" w:space="0"/>
              <w:right w:val="single" w:color="auto" w:sz="8" w:space="0"/>
            </w:tcBorders>
            <w:vAlign w:val="center"/>
          </w:tcPr>
          <w:p>
            <w:pPr>
              <w:widowControl/>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color w:val="auto"/>
                <w:szCs w:val="21"/>
                <w:highlight w:val="none"/>
              </w:rPr>
              <w:t>≤</w:t>
            </w:r>
            <w:r>
              <w:rPr>
                <w:rFonts w:hint="eastAsia"/>
                <w:color w:val="auto"/>
                <w:szCs w:val="21"/>
                <w:highlight w:val="none"/>
                <w:lang w:val="en-US" w:eastAsia="zh-CN"/>
              </w:rPr>
              <w:t>4</w:t>
            </w:r>
          </w:p>
        </w:tc>
        <w:tc>
          <w:tcPr>
            <w:tcW w:w="731" w:type="dxa"/>
            <w:tcBorders>
              <w:left w:val="single" w:color="auto" w:sz="8" w:space="0"/>
              <w:bottom w:val="single" w:color="auto" w:sz="8" w:space="0"/>
              <w:right w:val="single" w:color="auto" w:sz="4"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15</w:t>
            </w:r>
          </w:p>
        </w:tc>
        <w:tc>
          <w:tcPr>
            <w:tcW w:w="2404" w:type="dxa"/>
            <w:tcBorders>
              <w:left w:val="single" w:color="auto" w:sz="4" w:space="0"/>
              <w:bottom w:val="single" w:color="auto" w:sz="8" w:space="0"/>
              <w:right w:val="single" w:color="auto" w:sz="8" w:space="0"/>
            </w:tcBorders>
            <w:vAlign w:val="center"/>
          </w:tcPr>
          <w:p>
            <w:pPr>
              <w:widowControl/>
              <w:spacing w:line="300" w:lineRule="exact"/>
              <w:jc w:val="center"/>
              <w:rPr>
                <w:color w:val="auto"/>
                <w:szCs w:val="21"/>
                <w:highlight w:val="none"/>
              </w:rPr>
            </w:pPr>
            <w:r>
              <w:rPr>
                <w:color w:val="auto"/>
                <w:szCs w:val="21"/>
                <w:highlight w:val="none"/>
              </w:rPr>
              <w:t>铬（六价）</w:t>
            </w:r>
          </w:p>
        </w:tc>
        <w:tc>
          <w:tcPr>
            <w:tcW w:w="1107" w:type="dxa"/>
            <w:tcBorders>
              <w:left w:val="single" w:color="auto" w:sz="8" w:space="0"/>
              <w:bottom w:val="single" w:color="auto" w:sz="8" w:space="0"/>
            </w:tcBorders>
            <w:vAlign w:val="center"/>
          </w:tcPr>
          <w:p>
            <w:pPr>
              <w:widowControl/>
              <w:spacing w:line="300" w:lineRule="exact"/>
              <w:jc w:val="center"/>
              <w:rPr>
                <w:color w:val="auto"/>
                <w:szCs w:val="21"/>
                <w:highlight w:val="none"/>
              </w:rPr>
            </w:pPr>
            <w:r>
              <w:rPr>
                <w:color w:val="auto"/>
                <w:szCs w:val="21"/>
                <w:highlight w:val="none"/>
              </w:rPr>
              <w:t>≤</w:t>
            </w:r>
            <w:r>
              <w:rPr>
                <w:rFonts w:hint="eastAsia"/>
                <w:color w:val="auto"/>
                <w:szCs w:val="21"/>
                <w:highlight w:val="none"/>
              </w:rPr>
              <w:t>0.05</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06" w:hRule="atLeast"/>
          <w:tblHeader/>
          <w:jc w:val="center"/>
        </w:trPr>
        <w:tc>
          <w:tcPr>
            <w:tcW w:w="525"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5</w:t>
            </w:r>
          </w:p>
        </w:tc>
        <w:tc>
          <w:tcPr>
            <w:tcW w:w="2521" w:type="dxa"/>
            <w:tcBorders>
              <w:left w:val="single" w:color="auto" w:sz="4"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氨氮（NH</w:t>
            </w:r>
            <w:r>
              <w:rPr>
                <w:color w:val="auto"/>
                <w:szCs w:val="21"/>
                <w:highlight w:val="none"/>
                <w:vertAlign w:val="subscript"/>
              </w:rPr>
              <w:t>3</w:t>
            </w:r>
            <w:r>
              <w:rPr>
                <w:color w:val="auto"/>
                <w:szCs w:val="21"/>
                <w:highlight w:val="none"/>
              </w:rPr>
              <w:t>-N）</w:t>
            </w:r>
          </w:p>
        </w:tc>
        <w:tc>
          <w:tcPr>
            <w:tcW w:w="969" w:type="dxa"/>
            <w:tcBorders>
              <w:bottom w:val="single" w:color="auto" w:sz="8" w:space="0"/>
              <w:right w:val="single" w:color="auto" w:sz="8" w:space="0"/>
            </w:tcBorders>
            <w:vAlign w:val="center"/>
          </w:tcPr>
          <w:p>
            <w:pPr>
              <w:widowControl/>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color w:val="auto"/>
                <w:szCs w:val="21"/>
                <w:highlight w:val="none"/>
              </w:rPr>
              <w:t>≤</w:t>
            </w:r>
            <w:r>
              <w:rPr>
                <w:rFonts w:hint="eastAsia"/>
                <w:color w:val="auto"/>
                <w:szCs w:val="21"/>
                <w:highlight w:val="none"/>
                <w:lang w:val="en-US" w:eastAsia="zh-CN"/>
              </w:rPr>
              <w:t>1.0</w:t>
            </w:r>
          </w:p>
        </w:tc>
        <w:tc>
          <w:tcPr>
            <w:tcW w:w="731" w:type="dxa"/>
            <w:tcBorders>
              <w:left w:val="single" w:color="auto" w:sz="8" w:space="0"/>
              <w:bottom w:val="single" w:color="auto" w:sz="8" w:space="0"/>
              <w:right w:val="single" w:color="auto" w:sz="4"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16</w:t>
            </w:r>
          </w:p>
        </w:tc>
        <w:tc>
          <w:tcPr>
            <w:tcW w:w="2404" w:type="dxa"/>
            <w:tcBorders>
              <w:left w:val="single" w:color="auto" w:sz="4" w:space="0"/>
              <w:bottom w:val="single" w:color="auto" w:sz="8" w:space="0"/>
              <w:right w:val="single" w:color="auto" w:sz="8" w:space="0"/>
            </w:tcBorders>
            <w:vAlign w:val="center"/>
          </w:tcPr>
          <w:p>
            <w:pPr>
              <w:widowControl/>
              <w:spacing w:line="300" w:lineRule="exact"/>
              <w:jc w:val="center"/>
              <w:rPr>
                <w:color w:val="auto"/>
                <w:szCs w:val="21"/>
                <w:highlight w:val="none"/>
              </w:rPr>
            </w:pPr>
            <w:r>
              <w:rPr>
                <w:color w:val="auto"/>
                <w:szCs w:val="21"/>
                <w:highlight w:val="none"/>
              </w:rPr>
              <w:t>铅</w:t>
            </w:r>
          </w:p>
        </w:tc>
        <w:tc>
          <w:tcPr>
            <w:tcW w:w="1107" w:type="dxa"/>
            <w:tcBorders>
              <w:left w:val="single" w:color="auto" w:sz="8" w:space="0"/>
              <w:bottom w:val="single" w:color="auto" w:sz="8" w:space="0"/>
            </w:tcBorders>
            <w:vAlign w:val="center"/>
          </w:tcPr>
          <w:p>
            <w:pPr>
              <w:widowControl/>
              <w:spacing w:line="300" w:lineRule="exact"/>
              <w:jc w:val="center"/>
              <w:rPr>
                <w:rFonts w:hint="eastAsia" w:eastAsia="宋体"/>
                <w:color w:val="auto"/>
                <w:szCs w:val="21"/>
                <w:highlight w:val="none"/>
                <w:lang w:eastAsia="zh-CN"/>
              </w:rPr>
            </w:pPr>
            <w:r>
              <w:rPr>
                <w:color w:val="auto"/>
                <w:szCs w:val="21"/>
                <w:highlight w:val="none"/>
              </w:rPr>
              <w:t>≤</w:t>
            </w:r>
            <w:r>
              <w:rPr>
                <w:rFonts w:hint="eastAsia"/>
                <w:color w:val="auto"/>
                <w:szCs w:val="21"/>
                <w:highlight w:val="none"/>
              </w:rPr>
              <w:t>0.0</w:t>
            </w:r>
            <w:r>
              <w:rPr>
                <w:rFonts w:hint="eastAsia"/>
                <w:color w:val="auto"/>
                <w:szCs w:val="21"/>
                <w:highlight w:val="none"/>
                <w:lang w:val="en-US" w:eastAsia="zh-CN"/>
              </w:rPr>
              <w:t>5</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06" w:hRule="atLeast"/>
          <w:tblHeader/>
          <w:jc w:val="center"/>
        </w:trPr>
        <w:tc>
          <w:tcPr>
            <w:tcW w:w="525"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6</w:t>
            </w:r>
          </w:p>
        </w:tc>
        <w:tc>
          <w:tcPr>
            <w:tcW w:w="2521" w:type="dxa"/>
            <w:tcBorders>
              <w:left w:val="single" w:color="auto" w:sz="4"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总磷（以P计）</w:t>
            </w:r>
          </w:p>
        </w:tc>
        <w:tc>
          <w:tcPr>
            <w:tcW w:w="969" w:type="dxa"/>
            <w:tcBorders>
              <w:bottom w:val="single" w:color="auto" w:sz="8" w:space="0"/>
              <w:right w:val="single" w:color="auto" w:sz="8" w:space="0"/>
            </w:tcBorders>
            <w:vAlign w:val="center"/>
          </w:tcPr>
          <w:p>
            <w:pPr>
              <w:widowControl/>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color w:val="auto"/>
                <w:szCs w:val="21"/>
                <w:highlight w:val="none"/>
              </w:rPr>
              <w:t>≤</w:t>
            </w:r>
            <w:r>
              <w:rPr>
                <w:rFonts w:hint="eastAsia"/>
                <w:color w:val="auto"/>
                <w:szCs w:val="21"/>
                <w:highlight w:val="none"/>
              </w:rPr>
              <w:t>0.</w:t>
            </w:r>
            <w:r>
              <w:rPr>
                <w:rFonts w:hint="eastAsia"/>
                <w:color w:val="auto"/>
                <w:szCs w:val="21"/>
                <w:highlight w:val="none"/>
                <w:lang w:val="en-US" w:eastAsia="zh-CN"/>
              </w:rPr>
              <w:t>2</w:t>
            </w:r>
          </w:p>
        </w:tc>
        <w:tc>
          <w:tcPr>
            <w:tcW w:w="731" w:type="dxa"/>
            <w:tcBorders>
              <w:left w:val="single" w:color="auto" w:sz="8" w:space="0"/>
              <w:bottom w:val="single" w:color="auto" w:sz="8" w:space="0"/>
              <w:right w:val="single" w:color="auto" w:sz="4"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17</w:t>
            </w:r>
          </w:p>
        </w:tc>
        <w:tc>
          <w:tcPr>
            <w:tcW w:w="2404" w:type="dxa"/>
            <w:tcBorders>
              <w:left w:val="single" w:color="auto" w:sz="4" w:space="0"/>
              <w:bottom w:val="single" w:color="auto" w:sz="8" w:space="0"/>
              <w:right w:val="single" w:color="auto" w:sz="8" w:space="0"/>
            </w:tcBorders>
            <w:vAlign w:val="center"/>
          </w:tcPr>
          <w:p>
            <w:pPr>
              <w:widowControl/>
              <w:spacing w:line="300" w:lineRule="exact"/>
              <w:jc w:val="center"/>
              <w:rPr>
                <w:color w:val="auto"/>
                <w:szCs w:val="21"/>
                <w:highlight w:val="none"/>
              </w:rPr>
            </w:pPr>
            <w:r>
              <w:rPr>
                <w:color w:val="auto"/>
                <w:szCs w:val="21"/>
                <w:highlight w:val="none"/>
              </w:rPr>
              <w:t>氰化物</w:t>
            </w:r>
          </w:p>
        </w:tc>
        <w:tc>
          <w:tcPr>
            <w:tcW w:w="1107" w:type="dxa"/>
            <w:tcBorders>
              <w:left w:val="single" w:color="auto" w:sz="8" w:space="0"/>
              <w:bottom w:val="single" w:color="auto" w:sz="8" w:space="0"/>
            </w:tcBorders>
            <w:vAlign w:val="center"/>
          </w:tcPr>
          <w:p>
            <w:pPr>
              <w:widowControl/>
              <w:spacing w:line="300" w:lineRule="exact"/>
              <w:jc w:val="center"/>
              <w:rPr>
                <w:rFonts w:hint="eastAsia" w:eastAsia="宋体"/>
                <w:color w:val="auto"/>
                <w:szCs w:val="21"/>
                <w:highlight w:val="none"/>
                <w:lang w:eastAsia="zh-CN"/>
              </w:rPr>
            </w:pPr>
            <w:r>
              <w:rPr>
                <w:color w:val="auto"/>
                <w:szCs w:val="21"/>
                <w:highlight w:val="none"/>
              </w:rPr>
              <w:t>≤</w:t>
            </w:r>
            <w:r>
              <w:rPr>
                <w:rFonts w:hint="eastAsia"/>
                <w:color w:val="auto"/>
                <w:szCs w:val="21"/>
                <w:highlight w:val="none"/>
              </w:rPr>
              <w:t>0.0</w:t>
            </w:r>
            <w:r>
              <w:rPr>
                <w:rFonts w:hint="eastAsia"/>
                <w:color w:val="auto"/>
                <w:szCs w:val="21"/>
                <w:highlight w:val="none"/>
                <w:lang w:val="en-US" w:eastAsia="zh-CN"/>
              </w:rPr>
              <w:t>2</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06" w:hRule="atLeast"/>
          <w:tblHeader/>
          <w:jc w:val="center"/>
        </w:trPr>
        <w:tc>
          <w:tcPr>
            <w:tcW w:w="525"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7</w:t>
            </w:r>
          </w:p>
        </w:tc>
        <w:tc>
          <w:tcPr>
            <w:tcW w:w="2521" w:type="dxa"/>
            <w:tcBorders>
              <w:left w:val="single" w:color="auto" w:sz="4"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总氮</w:t>
            </w:r>
          </w:p>
        </w:tc>
        <w:tc>
          <w:tcPr>
            <w:tcW w:w="969" w:type="dxa"/>
            <w:tcBorders>
              <w:bottom w:val="single" w:color="auto" w:sz="8" w:space="0"/>
              <w:right w:val="single" w:color="auto" w:sz="8" w:space="0"/>
            </w:tcBorders>
            <w:vAlign w:val="center"/>
          </w:tcPr>
          <w:p>
            <w:pPr>
              <w:widowControl/>
              <w:spacing w:line="300" w:lineRule="exact"/>
              <w:jc w:val="center"/>
              <w:rPr>
                <w:rFonts w:hint="eastAsia" w:ascii="Times New Roman" w:hAnsi="Times New Roman" w:eastAsia="宋体" w:cs="Times New Roman"/>
                <w:color w:val="auto"/>
                <w:kern w:val="2"/>
                <w:sz w:val="21"/>
                <w:szCs w:val="21"/>
                <w:highlight w:val="none"/>
                <w:lang w:val="en-US" w:eastAsia="zh-CN" w:bidi="ar-SA"/>
              </w:rPr>
            </w:pPr>
            <w:r>
              <w:rPr>
                <w:color w:val="auto"/>
                <w:szCs w:val="21"/>
                <w:highlight w:val="none"/>
              </w:rPr>
              <w:t>≤</w:t>
            </w:r>
            <w:r>
              <w:rPr>
                <w:rFonts w:hint="eastAsia"/>
                <w:color w:val="auto"/>
                <w:szCs w:val="21"/>
                <w:highlight w:val="none"/>
                <w:lang w:val="en-US" w:eastAsia="zh-CN"/>
              </w:rPr>
              <w:t>1.0</w:t>
            </w:r>
          </w:p>
        </w:tc>
        <w:tc>
          <w:tcPr>
            <w:tcW w:w="731" w:type="dxa"/>
            <w:tcBorders>
              <w:left w:val="single" w:color="auto" w:sz="8" w:space="0"/>
              <w:bottom w:val="single" w:color="auto" w:sz="8" w:space="0"/>
              <w:right w:val="single" w:color="auto" w:sz="4"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18</w:t>
            </w:r>
          </w:p>
        </w:tc>
        <w:tc>
          <w:tcPr>
            <w:tcW w:w="2404" w:type="dxa"/>
            <w:tcBorders>
              <w:left w:val="single" w:color="auto" w:sz="4" w:space="0"/>
              <w:bottom w:val="single" w:color="auto" w:sz="8" w:space="0"/>
              <w:right w:val="single" w:color="auto" w:sz="8" w:space="0"/>
            </w:tcBorders>
            <w:vAlign w:val="center"/>
          </w:tcPr>
          <w:p>
            <w:pPr>
              <w:widowControl/>
              <w:spacing w:line="300" w:lineRule="exact"/>
              <w:jc w:val="center"/>
              <w:rPr>
                <w:color w:val="auto"/>
                <w:szCs w:val="21"/>
                <w:highlight w:val="none"/>
              </w:rPr>
            </w:pPr>
            <w:r>
              <w:rPr>
                <w:color w:val="auto"/>
                <w:szCs w:val="21"/>
                <w:highlight w:val="none"/>
              </w:rPr>
              <w:t>挥发酚</w:t>
            </w:r>
          </w:p>
        </w:tc>
        <w:tc>
          <w:tcPr>
            <w:tcW w:w="1107" w:type="dxa"/>
            <w:tcBorders>
              <w:left w:val="single" w:color="auto" w:sz="8" w:space="0"/>
              <w:bottom w:val="single" w:color="auto" w:sz="8" w:space="0"/>
            </w:tcBorders>
            <w:vAlign w:val="center"/>
          </w:tcPr>
          <w:p>
            <w:pPr>
              <w:widowControl/>
              <w:spacing w:line="300" w:lineRule="exact"/>
              <w:jc w:val="center"/>
              <w:rPr>
                <w:rFonts w:hint="eastAsia" w:eastAsia="宋体"/>
                <w:color w:val="auto"/>
                <w:szCs w:val="21"/>
                <w:highlight w:val="none"/>
                <w:lang w:eastAsia="zh-CN"/>
              </w:rPr>
            </w:pPr>
            <w:r>
              <w:rPr>
                <w:color w:val="auto"/>
                <w:szCs w:val="21"/>
                <w:highlight w:val="none"/>
              </w:rPr>
              <w:t>≤</w:t>
            </w:r>
            <w:r>
              <w:rPr>
                <w:rFonts w:hint="eastAsia"/>
                <w:color w:val="auto"/>
                <w:szCs w:val="21"/>
                <w:highlight w:val="none"/>
              </w:rPr>
              <w:t>0.00</w:t>
            </w:r>
            <w:r>
              <w:rPr>
                <w:rFonts w:hint="eastAsia"/>
                <w:color w:val="auto"/>
                <w:szCs w:val="21"/>
                <w:highlight w:val="none"/>
                <w:lang w:val="en-US" w:eastAsia="zh-CN"/>
              </w:rPr>
              <w:t>5</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06" w:hRule="atLeast"/>
          <w:tblHeader/>
          <w:jc w:val="center"/>
        </w:trPr>
        <w:tc>
          <w:tcPr>
            <w:tcW w:w="525"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8</w:t>
            </w:r>
          </w:p>
        </w:tc>
        <w:tc>
          <w:tcPr>
            <w:tcW w:w="2521" w:type="dxa"/>
            <w:tcBorders>
              <w:left w:val="single" w:color="auto" w:sz="4"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铜</w:t>
            </w:r>
          </w:p>
        </w:tc>
        <w:tc>
          <w:tcPr>
            <w:tcW w:w="969" w:type="dxa"/>
            <w:tcBorders>
              <w:top w:val="single" w:color="auto" w:sz="8" w:space="0"/>
              <w:bottom w:val="single" w:color="auto" w:sz="8" w:space="0"/>
            </w:tcBorders>
            <w:vAlign w:val="center"/>
          </w:tcPr>
          <w:p>
            <w:pPr>
              <w:widowControl/>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color w:val="auto"/>
                <w:szCs w:val="21"/>
                <w:highlight w:val="none"/>
              </w:rPr>
              <w:t>≤</w:t>
            </w:r>
            <w:r>
              <w:rPr>
                <w:rFonts w:hint="eastAsia"/>
                <w:color w:val="auto"/>
                <w:szCs w:val="21"/>
                <w:highlight w:val="none"/>
              </w:rPr>
              <w:t>1.0</w:t>
            </w:r>
          </w:p>
        </w:tc>
        <w:tc>
          <w:tcPr>
            <w:tcW w:w="731" w:type="dxa"/>
            <w:tcBorders>
              <w:top w:val="single" w:color="auto" w:sz="8" w:space="0"/>
              <w:bottom w:val="single" w:color="auto" w:sz="8" w:space="0"/>
              <w:right w:val="single" w:color="auto" w:sz="4"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19</w:t>
            </w:r>
          </w:p>
        </w:tc>
        <w:tc>
          <w:tcPr>
            <w:tcW w:w="2404" w:type="dxa"/>
            <w:tcBorders>
              <w:top w:val="single" w:color="auto" w:sz="8" w:space="0"/>
              <w:left w:val="single" w:color="auto" w:sz="4" w:space="0"/>
              <w:bottom w:val="single" w:color="auto" w:sz="8" w:space="0"/>
              <w:right w:val="single" w:color="auto" w:sz="8" w:space="0"/>
            </w:tcBorders>
            <w:vAlign w:val="center"/>
          </w:tcPr>
          <w:p>
            <w:pPr>
              <w:widowControl/>
              <w:spacing w:line="300" w:lineRule="exact"/>
              <w:jc w:val="center"/>
              <w:rPr>
                <w:color w:val="auto"/>
                <w:szCs w:val="21"/>
                <w:highlight w:val="none"/>
              </w:rPr>
            </w:pPr>
            <w:r>
              <w:rPr>
                <w:color w:val="auto"/>
                <w:szCs w:val="21"/>
                <w:highlight w:val="none"/>
              </w:rPr>
              <w:t>石油类</w:t>
            </w:r>
          </w:p>
        </w:tc>
        <w:tc>
          <w:tcPr>
            <w:tcW w:w="1107" w:type="dxa"/>
            <w:tcBorders>
              <w:top w:val="single" w:color="auto" w:sz="8" w:space="0"/>
              <w:left w:val="single" w:color="auto" w:sz="8" w:space="0"/>
              <w:bottom w:val="single" w:color="auto" w:sz="8" w:space="0"/>
            </w:tcBorders>
            <w:vAlign w:val="center"/>
          </w:tcPr>
          <w:p>
            <w:pPr>
              <w:widowControl/>
              <w:spacing w:line="300" w:lineRule="exact"/>
              <w:jc w:val="center"/>
              <w:rPr>
                <w:color w:val="auto"/>
                <w:szCs w:val="21"/>
                <w:highlight w:val="none"/>
              </w:rPr>
            </w:pPr>
            <w:r>
              <w:rPr>
                <w:color w:val="auto"/>
                <w:szCs w:val="21"/>
                <w:highlight w:val="none"/>
              </w:rPr>
              <w:t>≤</w:t>
            </w:r>
            <w:r>
              <w:rPr>
                <w:rFonts w:hint="eastAsia"/>
                <w:color w:val="auto"/>
                <w:szCs w:val="21"/>
                <w:highlight w:val="none"/>
              </w:rPr>
              <w:t>0.05</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06" w:hRule="atLeast"/>
          <w:tblHeader/>
          <w:jc w:val="center"/>
        </w:trPr>
        <w:tc>
          <w:tcPr>
            <w:tcW w:w="525"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9</w:t>
            </w:r>
          </w:p>
        </w:tc>
        <w:tc>
          <w:tcPr>
            <w:tcW w:w="2521" w:type="dxa"/>
            <w:tcBorders>
              <w:left w:val="single" w:color="auto" w:sz="4"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锌</w:t>
            </w:r>
          </w:p>
        </w:tc>
        <w:tc>
          <w:tcPr>
            <w:tcW w:w="969" w:type="dxa"/>
            <w:tcBorders>
              <w:top w:val="single" w:color="auto" w:sz="8" w:space="0"/>
              <w:bottom w:val="single" w:color="auto" w:sz="8"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w:t>
            </w:r>
            <w:r>
              <w:rPr>
                <w:rFonts w:hint="eastAsia"/>
                <w:color w:val="auto"/>
                <w:szCs w:val="21"/>
                <w:highlight w:val="none"/>
              </w:rPr>
              <w:t>1.0</w:t>
            </w:r>
          </w:p>
        </w:tc>
        <w:tc>
          <w:tcPr>
            <w:tcW w:w="731" w:type="dxa"/>
            <w:tcBorders>
              <w:top w:val="single" w:color="auto" w:sz="8" w:space="0"/>
              <w:bottom w:val="single" w:color="auto" w:sz="8" w:space="0"/>
              <w:right w:val="single" w:color="auto" w:sz="4"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20</w:t>
            </w:r>
          </w:p>
        </w:tc>
        <w:tc>
          <w:tcPr>
            <w:tcW w:w="2404" w:type="dxa"/>
            <w:tcBorders>
              <w:top w:val="single" w:color="auto" w:sz="8" w:space="0"/>
              <w:left w:val="single" w:color="auto" w:sz="4" w:space="0"/>
              <w:bottom w:val="single" w:color="auto" w:sz="8" w:space="0"/>
              <w:right w:val="single" w:color="auto" w:sz="8" w:space="0"/>
            </w:tcBorders>
            <w:vAlign w:val="center"/>
          </w:tcPr>
          <w:p>
            <w:pPr>
              <w:widowControl/>
              <w:spacing w:line="300" w:lineRule="exact"/>
              <w:jc w:val="center"/>
              <w:rPr>
                <w:color w:val="auto"/>
                <w:szCs w:val="21"/>
                <w:highlight w:val="none"/>
              </w:rPr>
            </w:pPr>
            <w:r>
              <w:rPr>
                <w:color w:val="auto"/>
                <w:szCs w:val="21"/>
                <w:highlight w:val="none"/>
              </w:rPr>
              <w:t>阴离子便面活性剂</w:t>
            </w:r>
          </w:p>
        </w:tc>
        <w:tc>
          <w:tcPr>
            <w:tcW w:w="1107" w:type="dxa"/>
            <w:tcBorders>
              <w:top w:val="single" w:color="auto" w:sz="8" w:space="0"/>
              <w:left w:val="single" w:color="auto" w:sz="8" w:space="0"/>
              <w:bottom w:val="single" w:color="auto" w:sz="8" w:space="0"/>
            </w:tcBorders>
            <w:vAlign w:val="center"/>
          </w:tcPr>
          <w:p>
            <w:pPr>
              <w:widowControl/>
              <w:spacing w:line="300" w:lineRule="exact"/>
              <w:jc w:val="center"/>
              <w:rPr>
                <w:color w:val="auto"/>
                <w:szCs w:val="21"/>
                <w:highlight w:val="none"/>
              </w:rPr>
            </w:pPr>
            <w:r>
              <w:rPr>
                <w:color w:val="auto"/>
                <w:szCs w:val="21"/>
                <w:highlight w:val="none"/>
              </w:rPr>
              <w:t>≤</w:t>
            </w:r>
            <w:r>
              <w:rPr>
                <w:rFonts w:hint="eastAsia"/>
                <w:color w:val="auto"/>
                <w:szCs w:val="21"/>
                <w:highlight w:val="none"/>
              </w:rPr>
              <w:t>0.2</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06" w:hRule="atLeast"/>
          <w:tblHeader/>
          <w:jc w:val="center"/>
        </w:trPr>
        <w:tc>
          <w:tcPr>
            <w:tcW w:w="525"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10</w:t>
            </w:r>
          </w:p>
        </w:tc>
        <w:tc>
          <w:tcPr>
            <w:tcW w:w="2521" w:type="dxa"/>
            <w:tcBorders>
              <w:left w:val="single" w:color="auto" w:sz="4"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氟化物（以F</w:t>
            </w:r>
            <w:r>
              <w:rPr>
                <w:color w:val="auto"/>
                <w:szCs w:val="21"/>
                <w:highlight w:val="none"/>
                <w:vertAlign w:val="superscript"/>
              </w:rPr>
              <w:t>-</w:t>
            </w:r>
            <w:r>
              <w:rPr>
                <w:color w:val="auto"/>
                <w:szCs w:val="21"/>
                <w:highlight w:val="none"/>
              </w:rPr>
              <w:t>计）</w:t>
            </w:r>
          </w:p>
        </w:tc>
        <w:tc>
          <w:tcPr>
            <w:tcW w:w="969" w:type="dxa"/>
            <w:tcBorders>
              <w:top w:val="single" w:color="auto" w:sz="8" w:space="0"/>
              <w:bottom w:val="single" w:color="auto" w:sz="8"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w:t>
            </w:r>
            <w:r>
              <w:rPr>
                <w:rFonts w:hint="eastAsia"/>
                <w:color w:val="auto"/>
                <w:szCs w:val="21"/>
                <w:highlight w:val="none"/>
              </w:rPr>
              <w:t>1.0</w:t>
            </w:r>
          </w:p>
        </w:tc>
        <w:tc>
          <w:tcPr>
            <w:tcW w:w="731" w:type="dxa"/>
            <w:tcBorders>
              <w:top w:val="single" w:color="auto" w:sz="8" w:space="0"/>
              <w:bottom w:val="single" w:color="auto" w:sz="8" w:space="0"/>
              <w:right w:val="single" w:color="auto" w:sz="4"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21</w:t>
            </w:r>
          </w:p>
        </w:tc>
        <w:tc>
          <w:tcPr>
            <w:tcW w:w="2404" w:type="dxa"/>
            <w:tcBorders>
              <w:top w:val="single" w:color="auto" w:sz="8" w:space="0"/>
              <w:left w:val="single" w:color="auto" w:sz="4" w:space="0"/>
              <w:bottom w:val="single" w:color="auto" w:sz="8" w:space="0"/>
              <w:right w:val="single" w:color="auto" w:sz="8" w:space="0"/>
            </w:tcBorders>
            <w:vAlign w:val="center"/>
          </w:tcPr>
          <w:p>
            <w:pPr>
              <w:widowControl/>
              <w:spacing w:line="300" w:lineRule="exact"/>
              <w:jc w:val="center"/>
              <w:rPr>
                <w:color w:val="auto"/>
                <w:szCs w:val="21"/>
                <w:highlight w:val="none"/>
              </w:rPr>
            </w:pPr>
            <w:r>
              <w:rPr>
                <w:color w:val="auto"/>
                <w:szCs w:val="21"/>
                <w:highlight w:val="none"/>
              </w:rPr>
              <w:t>硫化物</w:t>
            </w:r>
          </w:p>
        </w:tc>
        <w:tc>
          <w:tcPr>
            <w:tcW w:w="1107" w:type="dxa"/>
            <w:tcBorders>
              <w:top w:val="single" w:color="auto" w:sz="8" w:space="0"/>
              <w:left w:val="single" w:color="auto" w:sz="8" w:space="0"/>
              <w:bottom w:val="single" w:color="auto" w:sz="8" w:space="0"/>
            </w:tcBorders>
            <w:vAlign w:val="center"/>
          </w:tcPr>
          <w:p>
            <w:pPr>
              <w:widowControl/>
              <w:spacing w:line="300" w:lineRule="exact"/>
              <w:jc w:val="center"/>
              <w:rPr>
                <w:rFonts w:hint="eastAsia" w:eastAsia="宋体"/>
                <w:color w:val="auto"/>
                <w:szCs w:val="21"/>
                <w:highlight w:val="none"/>
                <w:lang w:eastAsia="zh-CN"/>
              </w:rPr>
            </w:pPr>
            <w:r>
              <w:rPr>
                <w:color w:val="auto"/>
                <w:szCs w:val="21"/>
                <w:highlight w:val="none"/>
              </w:rPr>
              <w:t>≤</w:t>
            </w:r>
            <w:r>
              <w:rPr>
                <w:rFonts w:hint="eastAsia"/>
                <w:color w:val="auto"/>
                <w:szCs w:val="21"/>
                <w:highlight w:val="none"/>
              </w:rPr>
              <w:t>0.</w:t>
            </w:r>
            <w:r>
              <w:rPr>
                <w:rFonts w:hint="eastAsia"/>
                <w:color w:val="auto"/>
                <w:szCs w:val="21"/>
                <w:highlight w:val="none"/>
                <w:lang w:val="en-US" w:eastAsia="zh-CN"/>
              </w:rPr>
              <w:t>2</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23" w:hRule="atLeast"/>
          <w:tblHeader/>
          <w:jc w:val="center"/>
        </w:trPr>
        <w:tc>
          <w:tcPr>
            <w:tcW w:w="525"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11</w:t>
            </w:r>
          </w:p>
        </w:tc>
        <w:tc>
          <w:tcPr>
            <w:tcW w:w="2521" w:type="dxa"/>
            <w:tcBorders>
              <w:left w:val="single" w:color="auto" w:sz="4"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硒</w:t>
            </w:r>
          </w:p>
        </w:tc>
        <w:tc>
          <w:tcPr>
            <w:tcW w:w="969" w:type="dxa"/>
            <w:tcBorders>
              <w:top w:val="single" w:color="auto" w:sz="8" w:space="0"/>
              <w:bottom w:val="single" w:color="auto" w:sz="8"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w:t>
            </w:r>
            <w:r>
              <w:rPr>
                <w:rFonts w:hint="eastAsia"/>
                <w:color w:val="auto"/>
                <w:szCs w:val="21"/>
                <w:highlight w:val="none"/>
              </w:rPr>
              <w:t>0.01</w:t>
            </w:r>
          </w:p>
        </w:tc>
        <w:tc>
          <w:tcPr>
            <w:tcW w:w="731" w:type="dxa"/>
            <w:tcBorders>
              <w:top w:val="single" w:color="auto" w:sz="8" w:space="0"/>
              <w:bottom w:val="single" w:color="auto" w:sz="8" w:space="0"/>
              <w:right w:val="single" w:color="auto" w:sz="4" w:space="0"/>
            </w:tcBorders>
            <w:vAlign w:val="center"/>
          </w:tcPr>
          <w:p>
            <w:pPr>
              <w:widowControl/>
              <w:spacing w:line="30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22</w:t>
            </w:r>
          </w:p>
        </w:tc>
        <w:tc>
          <w:tcPr>
            <w:tcW w:w="2404" w:type="dxa"/>
            <w:tcBorders>
              <w:top w:val="single" w:color="auto" w:sz="8" w:space="0"/>
              <w:left w:val="single" w:color="auto" w:sz="4" w:space="0"/>
              <w:bottom w:val="single" w:color="auto" w:sz="8" w:space="0"/>
              <w:right w:val="single" w:color="auto" w:sz="8" w:space="0"/>
            </w:tcBorders>
            <w:vAlign w:val="center"/>
          </w:tcPr>
          <w:p>
            <w:pPr>
              <w:widowControl/>
              <w:spacing w:line="300" w:lineRule="exact"/>
              <w:jc w:val="center"/>
              <w:rPr>
                <w:color w:val="auto"/>
                <w:szCs w:val="21"/>
                <w:highlight w:val="none"/>
              </w:rPr>
            </w:pPr>
            <w:r>
              <w:rPr>
                <w:color w:val="auto"/>
                <w:szCs w:val="21"/>
                <w:highlight w:val="none"/>
              </w:rPr>
              <w:t>粪大肠杆菌（个/L）</w:t>
            </w:r>
          </w:p>
        </w:tc>
        <w:tc>
          <w:tcPr>
            <w:tcW w:w="1107" w:type="dxa"/>
            <w:tcBorders>
              <w:top w:val="single" w:color="auto" w:sz="8" w:space="0"/>
              <w:left w:val="single" w:color="auto" w:sz="8" w:space="0"/>
              <w:bottom w:val="single" w:color="auto" w:sz="8" w:space="0"/>
            </w:tcBorders>
            <w:vAlign w:val="center"/>
          </w:tcPr>
          <w:p>
            <w:pPr>
              <w:widowControl/>
              <w:spacing w:line="300" w:lineRule="exact"/>
              <w:jc w:val="center"/>
              <w:rPr>
                <w:color w:val="auto"/>
                <w:szCs w:val="21"/>
                <w:highlight w:val="none"/>
              </w:rPr>
            </w:pPr>
            <w:r>
              <w:rPr>
                <w:color w:val="auto"/>
                <w:szCs w:val="21"/>
                <w:highlight w:val="none"/>
              </w:rPr>
              <w:t>≤</w:t>
            </w:r>
            <w:r>
              <w:rPr>
                <w:rFonts w:hint="eastAsia"/>
                <w:color w:val="auto"/>
                <w:szCs w:val="21"/>
                <w:highlight w:val="none"/>
                <w:lang w:val="en-US" w:eastAsia="zh-CN"/>
              </w:rPr>
              <w:t>10</w:t>
            </w:r>
            <w:r>
              <w:rPr>
                <w:rFonts w:hint="eastAsia"/>
                <w:color w:val="auto"/>
                <w:szCs w:val="21"/>
                <w:highlight w:val="none"/>
              </w:rPr>
              <w:t>000</w:t>
            </w:r>
          </w:p>
        </w:tc>
      </w:tr>
    </w:tbl>
    <w:p>
      <w:pPr>
        <w:spacing w:line="480" w:lineRule="exact"/>
        <w:ind w:firstLine="480" w:firstLineChars="200"/>
        <w:rPr>
          <w:color w:val="auto"/>
          <w:sz w:val="24"/>
          <w:highlight w:val="none"/>
        </w:rPr>
      </w:pPr>
      <w:r>
        <w:rPr>
          <w:color w:val="auto"/>
          <w:sz w:val="24"/>
          <w:highlight w:val="none"/>
        </w:rPr>
        <w:t>（4）声环境</w:t>
      </w:r>
    </w:p>
    <w:p>
      <w:pPr>
        <w:spacing w:line="460" w:lineRule="exact"/>
        <w:ind w:firstLine="480" w:firstLineChars="200"/>
        <w:rPr>
          <w:color w:val="auto"/>
          <w:sz w:val="24"/>
          <w:highlight w:val="none"/>
        </w:rPr>
      </w:pPr>
      <w:r>
        <w:rPr>
          <w:rFonts w:hint="eastAsia"/>
          <w:color w:val="auto"/>
          <w:sz w:val="24"/>
          <w:highlight w:val="none"/>
        </w:rPr>
        <w:t>水电站</w:t>
      </w:r>
      <w:r>
        <w:rPr>
          <w:color w:val="auto"/>
          <w:sz w:val="24"/>
          <w:highlight w:val="none"/>
        </w:rPr>
        <w:t>执行《声环境质量标准》（GB3096-2008）中2类区标准，见</w:t>
      </w:r>
      <w:r>
        <w:rPr>
          <w:rFonts w:hint="eastAsia"/>
          <w:color w:val="auto"/>
          <w:sz w:val="24"/>
          <w:highlight w:val="none"/>
        </w:rPr>
        <w:t>下</w:t>
      </w:r>
      <w:r>
        <w:rPr>
          <w:color w:val="auto"/>
          <w:sz w:val="24"/>
          <w:highlight w:val="none"/>
        </w:rPr>
        <w:t>表。</w:t>
      </w:r>
    </w:p>
    <w:p>
      <w:pPr>
        <w:spacing w:line="480" w:lineRule="exact"/>
        <w:jc w:val="center"/>
        <w:rPr>
          <w:b/>
          <w:bCs/>
          <w:color w:val="auto"/>
          <w:sz w:val="24"/>
          <w:highlight w:val="none"/>
        </w:rPr>
      </w:pPr>
      <w:r>
        <w:rPr>
          <w:b/>
          <w:bCs/>
          <w:color w:val="auto"/>
          <w:sz w:val="24"/>
          <w:highlight w:val="none"/>
        </w:rPr>
        <w:t>表</w:t>
      </w:r>
      <w:r>
        <w:rPr>
          <w:rFonts w:hint="eastAsia"/>
          <w:b/>
          <w:bCs/>
          <w:color w:val="auto"/>
          <w:sz w:val="24"/>
          <w:highlight w:val="none"/>
        </w:rPr>
        <w:t>1.</w:t>
      </w:r>
      <w:r>
        <w:rPr>
          <w:rFonts w:hint="eastAsia"/>
          <w:b/>
          <w:bCs/>
          <w:color w:val="auto"/>
          <w:sz w:val="24"/>
          <w:highlight w:val="none"/>
          <w:lang w:val="en-US" w:eastAsia="zh-CN"/>
        </w:rPr>
        <w:t>4</w:t>
      </w:r>
      <w:r>
        <w:rPr>
          <w:rFonts w:hint="eastAsia"/>
          <w:b/>
          <w:bCs/>
          <w:color w:val="auto"/>
          <w:sz w:val="24"/>
          <w:highlight w:val="none"/>
        </w:rPr>
        <w:t>-4</w:t>
      </w:r>
      <w:r>
        <w:rPr>
          <w:b/>
          <w:bCs/>
          <w:color w:val="auto"/>
          <w:sz w:val="24"/>
          <w:highlight w:val="none"/>
        </w:rPr>
        <w:t xml:space="preserve">  声环境质量标准   单位dB(A)</w:t>
      </w:r>
    </w:p>
    <w:tbl>
      <w:tblPr>
        <w:tblStyle w:val="51"/>
        <w:tblW w:w="85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6"/>
        <w:gridCol w:w="2139"/>
        <w:gridCol w:w="893"/>
        <w:gridCol w:w="954"/>
        <w:gridCol w:w="1030"/>
        <w:gridCol w:w="909"/>
        <w:gridCol w:w="9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1" w:hRule="atLeast"/>
          <w:jc w:val="center"/>
        </w:trPr>
        <w:tc>
          <w:tcPr>
            <w:tcW w:w="1736" w:type="dxa"/>
            <w:vMerge w:val="restart"/>
            <w:vAlign w:val="center"/>
          </w:tcPr>
          <w:p>
            <w:pPr>
              <w:spacing w:line="320" w:lineRule="exact"/>
              <w:jc w:val="center"/>
              <w:rPr>
                <w:color w:val="auto"/>
                <w:szCs w:val="21"/>
                <w:highlight w:val="none"/>
              </w:rPr>
            </w:pPr>
            <w:r>
              <w:rPr>
                <w:color w:val="auto"/>
                <w:szCs w:val="21"/>
                <w:highlight w:val="none"/>
              </w:rPr>
              <w:t>厂界</w:t>
            </w:r>
          </w:p>
        </w:tc>
        <w:tc>
          <w:tcPr>
            <w:tcW w:w="2139" w:type="dxa"/>
            <w:vMerge w:val="restart"/>
            <w:vAlign w:val="center"/>
          </w:tcPr>
          <w:p>
            <w:pPr>
              <w:spacing w:line="320" w:lineRule="exact"/>
              <w:jc w:val="center"/>
              <w:rPr>
                <w:color w:val="auto"/>
                <w:szCs w:val="21"/>
                <w:highlight w:val="none"/>
              </w:rPr>
            </w:pPr>
            <w:r>
              <w:rPr>
                <w:color w:val="auto"/>
                <w:szCs w:val="21"/>
                <w:highlight w:val="none"/>
              </w:rPr>
              <w:t>标 准 名 称</w:t>
            </w:r>
          </w:p>
        </w:tc>
        <w:tc>
          <w:tcPr>
            <w:tcW w:w="893" w:type="dxa"/>
            <w:vMerge w:val="restart"/>
            <w:vAlign w:val="center"/>
          </w:tcPr>
          <w:p>
            <w:pPr>
              <w:spacing w:line="320" w:lineRule="exact"/>
              <w:jc w:val="center"/>
              <w:rPr>
                <w:color w:val="auto"/>
                <w:szCs w:val="21"/>
                <w:highlight w:val="none"/>
              </w:rPr>
            </w:pPr>
            <w:r>
              <w:rPr>
                <w:color w:val="auto"/>
                <w:szCs w:val="21"/>
                <w:highlight w:val="none"/>
              </w:rPr>
              <w:t>级 别</w:t>
            </w:r>
          </w:p>
        </w:tc>
        <w:tc>
          <w:tcPr>
            <w:tcW w:w="1984" w:type="dxa"/>
            <w:gridSpan w:val="2"/>
            <w:vMerge w:val="restart"/>
            <w:vAlign w:val="center"/>
          </w:tcPr>
          <w:p>
            <w:pPr>
              <w:spacing w:line="320" w:lineRule="exact"/>
              <w:jc w:val="center"/>
              <w:rPr>
                <w:color w:val="auto"/>
                <w:szCs w:val="21"/>
                <w:highlight w:val="none"/>
              </w:rPr>
            </w:pPr>
            <w:r>
              <w:rPr>
                <w:color w:val="auto"/>
                <w:szCs w:val="21"/>
                <w:highlight w:val="none"/>
              </w:rPr>
              <w:t>因子</w:t>
            </w:r>
          </w:p>
        </w:tc>
        <w:tc>
          <w:tcPr>
            <w:tcW w:w="1825" w:type="dxa"/>
            <w:gridSpan w:val="2"/>
            <w:vAlign w:val="center"/>
          </w:tcPr>
          <w:p>
            <w:pPr>
              <w:spacing w:line="240" w:lineRule="exact"/>
              <w:jc w:val="center"/>
              <w:rPr>
                <w:color w:val="auto"/>
                <w:szCs w:val="21"/>
                <w:highlight w:val="none"/>
              </w:rPr>
            </w:pPr>
            <w:r>
              <w:rPr>
                <w:color w:val="auto"/>
                <w:szCs w:val="21"/>
                <w:highlight w:val="none"/>
              </w:rPr>
              <w:t>标 准 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1" w:hRule="atLeast"/>
          <w:jc w:val="center"/>
        </w:trPr>
        <w:tc>
          <w:tcPr>
            <w:tcW w:w="1736" w:type="dxa"/>
            <w:vMerge w:val="continue"/>
            <w:vAlign w:val="center"/>
          </w:tcPr>
          <w:p>
            <w:pPr>
              <w:widowControl/>
              <w:spacing w:line="320" w:lineRule="exact"/>
              <w:jc w:val="center"/>
              <w:rPr>
                <w:color w:val="auto"/>
                <w:szCs w:val="21"/>
                <w:highlight w:val="none"/>
              </w:rPr>
            </w:pPr>
          </w:p>
        </w:tc>
        <w:tc>
          <w:tcPr>
            <w:tcW w:w="2139" w:type="dxa"/>
            <w:vMerge w:val="continue"/>
            <w:vAlign w:val="center"/>
          </w:tcPr>
          <w:p>
            <w:pPr>
              <w:widowControl/>
              <w:spacing w:line="320" w:lineRule="exact"/>
              <w:jc w:val="center"/>
              <w:rPr>
                <w:color w:val="auto"/>
                <w:szCs w:val="21"/>
                <w:highlight w:val="none"/>
              </w:rPr>
            </w:pPr>
          </w:p>
        </w:tc>
        <w:tc>
          <w:tcPr>
            <w:tcW w:w="893" w:type="dxa"/>
            <w:vMerge w:val="continue"/>
            <w:vAlign w:val="center"/>
          </w:tcPr>
          <w:p>
            <w:pPr>
              <w:widowControl/>
              <w:spacing w:line="320" w:lineRule="exact"/>
              <w:jc w:val="center"/>
              <w:rPr>
                <w:color w:val="auto"/>
                <w:szCs w:val="21"/>
                <w:highlight w:val="none"/>
              </w:rPr>
            </w:pPr>
          </w:p>
        </w:tc>
        <w:tc>
          <w:tcPr>
            <w:tcW w:w="1984" w:type="dxa"/>
            <w:gridSpan w:val="2"/>
            <w:vMerge w:val="continue"/>
            <w:vAlign w:val="center"/>
          </w:tcPr>
          <w:p>
            <w:pPr>
              <w:widowControl/>
              <w:spacing w:line="320" w:lineRule="exact"/>
              <w:jc w:val="center"/>
              <w:rPr>
                <w:color w:val="auto"/>
                <w:szCs w:val="21"/>
                <w:highlight w:val="none"/>
              </w:rPr>
            </w:pPr>
          </w:p>
        </w:tc>
        <w:tc>
          <w:tcPr>
            <w:tcW w:w="909" w:type="dxa"/>
            <w:vAlign w:val="center"/>
          </w:tcPr>
          <w:p>
            <w:pPr>
              <w:spacing w:line="240" w:lineRule="exact"/>
              <w:jc w:val="center"/>
              <w:rPr>
                <w:color w:val="auto"/>
                <w:szCs w:val="21"/>
                <w:highlight w:val="none"/>
              </w:rPr>
            </w:pPr>
            <w:r>
              <w:rPr>
                <w:color w:val="auto"/>
                <w:szCs w:val="21"/>
                <w:highlight w:val="none"/>
              </w:rPr>
              <w:t>单 位</w:t>
            </w:r>
          </w:p>
        </w:tc>
        <w:tc>
          <w:tcPr>
            <w:tcW w:w="916" w:type="dxa"/>
            <w:vAlign w:val="center"/>
          </w:tcPr>
          <w:p>
            <w:pPr>
              <w:spacing w:line="240" w:lineRule="exact"/>
              <w:jc w:val="center"/>
              <w:rPr>
                <w:color w:val="auto"/>
                <w:szCs w:val="21"/>
                <w:highlight w:val="none"/>
              </w:rPr>
            </w:pPr>
            <w:r>
              <w:rPr>
                <w:color w:val="auto"/>
                <w:szCs w:val="21"/>
                <w:highlight w:val="none"/>
              </w:rPr>
              <w:t>数 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9" w:hRule="atLeast"/>
          <w:jc w:val="center"/>
        </w:trPr>
        <w:tc>
          <w:tcPr>
            <w:tcW w:w="1736" w:type="dxa"/>
            <w:vMerge w:val="restart"/>
            <w:vAlign w:val="center"/>
          </w:tcPr>
          <w:p>
            <w:pPr>
              <w:spacing w:line="240" w:lineRule="exact"/>
              <w:jc w:val="center"/>
              <w:rPr>
                <w:color w:val="auto"/>
                <w:szCs w:val="21"/>
                <w:highlight w:val="none"/>
              </w:rPr>
            </w:pPr>
            <w:r>
              <w:rPr>
                <w:rFonts w:hint="eastAsia"/>
                <w:color w:val="auto"/>
                <w:szCs w:val="21"/>
                <w:highlight w:val="none"/>
              </w:rPr>
              <w:t>水电站</w:t>
            </w:r>
            <w:r>
              <w:rPr>
                <w:color w:val="auto"/>
                <w:szCs w:val="21"/>
                <w:highlight w:val="none"/>
              </w:rPr>
              <w:t>厂界</w:t>
            </w:r>
          </w:p>
        </w:tc>
        <w:tc>
          <w:tcPr>
            <w:tcW w:w="2139" w:type="dxa"/>
            <w:vMerge w:val="restart"/>
            <w:vAlign w:val="center"/>
          </w:tcPr>
          <w:p>
            <w:pPr>
              <w:spacing w:line="240" w:lineRule="exact"/>
              <w:jc w:val="center"/>
              <w:rPr>
                <w:color w:val="auto"/>
                <w:szCs w:val="21"/>
                <w:highlight w:val="none"/>
              </w:rPr>
            </w:pPr>
            <w:r>
              <w:rPr>
                <w:color w:val="auto"/>
                <w:szCs w:val="21"/>
                <w:highlight w:val="none"/>
              </w:rPr>
              <w:t>《声环境质量标准》</w:t>
            </w:r>
          </w:p>
          <w:p>
            <w:pPr>
              <w:spacing w:line="240" w:lineRule="exact"/>
              <w:jc w:val="center"/>
              <w:rPr>
                <w:color w:val="auto"/>
                <w:szCs w:val="21"/>
                <w:highlight w:val="none"/>
              </w:rPr>
            </w:pPr>
            <w:r>
              <w:rPr>
                <w:color w:val="auto"/>
                <w:szCs w:val="21"/>
                <w:highlight w:val="none"/>
              </w:rPr>
              <w:t>（GB3096－2008）</w:t>
            </w:r>
          </w:p>
        </w:tc>
        <w:tc>
          <w:tcPr>
            <w:tcW w:w="893" w:type="dxa"/>
            <w:vMerge w:val="restart"/>
            <w:vAlign w:val="center"/>
          </w:tcPr>
          <w:p>
            <w:pPr>
              <w:spacing w:line="320" w:lineRule="exact"/>
              <w:jc w:val="center"/>
              <w:rPr>
                <w:color w:val="auto"/>
                <w:szCs w:val="21"/>
                <w:highlight w:val="none"/>
              </w:rPr>
            </w:pPr>
            <w:r>
              <w:rPr>
                <w:color w:val="auto"/>
                <w:szCs w:val="21"/>
                <w:highlight w:val="none"/>
              </w:rPr>
              <w:t>2类</w:t>
            </w:r>
          </w:p>
        </w:tc>
        <w:tc>
          <w:tcPr>
            <w:tcW w:w="954" w:type="dxa"/>
            <w:vAlign w:val="center"/>
          </w:tcPr>
          <w:p>
            <w:pPr>
              <w:spacing w:line="320" w:lineRule="exact"/>
              <w:jc w:val="center"/>
              <w:rPr>
                <w:color w:val="auto"/>
                <w:szCs w:val="21"/>
                <w:highlight w:val="none"/>
              </w:rPr>
            </w:pPr>
            <w:r>
              <w:rPr>
                <w:color w:val="auto"/>
                <w:szCs w:val="21"/>
                <w:highlight w:val="none"/>
              </w:rPr>
              <w:t>Leq</w:t>
            </w:r>
          </w:p>
        </w:tc>
        <w:tc>
          <w:tcPr>
            <w:tcW w:w="1030" w:type="dxa"/>
            <w:vAlign w:val="center"/>
          </w:tcPr>
          <w:p>
            <w:pPr>
              <w:spacing w:line="320" w:lineRule="exact"/>
              <w:jc w:val="center"/>
              <w:rPr>
                <w:color w:val="auto"/>
                <w:szCs w:val="21"/>
                <w:highlight w:val="none"/>
              </w:rPr>
            </w:pPr>
            <w:r>
              <w:rPr>
                <w:color w:val="auto"/>
                <w:szCs w:val="21"/>
                <w:highlight w:val="none"/>
              </w:rPr>
              <w:t>昼间</w:t>
            </w:r>
          </w:p>
        </w:tc>
        <w:tc>
          <w:tcPr>
            <w:tcW w:w="909" w:type="dxa"/>
            <w:vAlign w:val="center"/>
          </w:tcPr>
          <w:p>
            <w:pPr>
              <w:spacing w:line="320" w:lineRule="exact"/>
              <w:jc w:val="center"/>
              <w:rPr>
                <w:color w:val="auto"/>
                <w:szCs w:val="21"/>
                <w:highlight w:val="none"/>
              </w:rPr>
            </w:pPr>
            <w:r>
              <w:rPr>
                <w:color w:val="auto"/>
                <w:szCs w:val="21"/>
                <w:highlight w:val="none"/>
              </w:rPr>
              <w:t>dB（A）</w:t>
            </w:r>
          </w:p>
        </w:tc>
        <w:tc>
          <w:tcPr>
            <w:tcW w:w="916" w:type="dxa"/>
            <w:vAlign w:val="center"/>
          </w:tcPr>
          <w:p>
            <w:pPr>
              <w:spacing w:line="320" w:lineRule="exact"/>
              <w:jc w:val="center"/>
              <w:rPr>
                <w:color w:val="auto"/>
                <w:szCs w:val="21"/>
                <w:highlight w:val="none"/>
              </w:rPr>
            </w:pPr>
            <w:r>
              <w:rPr>
                <w:color w:val="auto"/>
                <w:szCs w:val="21"/>
                <w:highlight w:val="none"/>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0" w:hRule="atLeast"/>
          <w:jc w:val="center"/>
        </w:trPr>
        <w:tc>
          <w:tcPr>
            <w:tcW w:w="1736" w:type="dxa"/>
            <w:vMerge w:val="continue"/>
            <w:vAlign w:val="center"/>
          </w:tcPr>
          <w:p>
            <w:pPr>
              <w:spacing w:line="240" w:lineRule="exact"/>
              <w:jc w:val="center"/>
              <w:rPr>
                <w:color w:val="auto"/>
                <w:szCs w:val="21"/>
                <w:highlight w:val="none"/>
              </w:rPr>
            </w:pPr>
          </w:p>
        </w:tc>
        <w:tc>
          <w:tcPr>
            <w:tcW w:w="2139" w:type="dxa"/>
            <w:vMerge w:val="continue"/>
            <w:vAlign w:val="center"/>
          </w:tcPr>
          <w:p>
            <w:pPr>
              <w:spacing w:line="240" w:lineRule="exact"/>
              <w:jc w:val="center"/>
              <w:rPr>
                <w:color w:val="auto"/>
                <w:szCs w:val="21"/>
                <w:highlight w:val="none"/>
              </w:rPr>
            </w:pPr>
          </w:p>
        </w:tc>
        <w:tc>
          <w:tcPr>
            <w:tcW w:w="893" w:type="dxa"/>
            <w:vMerge w:val="continue"/>
            <w:vAlign w:val="center"/>
          </w:tcPr>
          <w:p>
            <w:pPr>
              <w:spacing w:line="320" w:lineRule="exact"/>
              <w:jc w:val="center"/>
              <w:rPr>
                <w:color w:val="auto"/>
                <w:szCs w:val="21"/>
                <w:highlight w:val="none"/>
              </w:rPr>
            </w:pPr>
          </w:p>
        </w:tc>
        <w:tc>
          <w:tcPr>
            <w:tcW w:w="954" w:type="dxa"/>
            <w:vAlign w:val="center"/>
          </w:tcPr>
          <w:p>
            <w:pPr>
              <w:spacing w:line="320" w:lineRule="exact"/>
              <w:jc w:val="center"/>
              <w:rPr>
                <w:color w:val="auto"/>
                <w:szCs w:val="21"/>
                <w:highlight w:val="none"/>
              </w:rPr>
            </w:pPr>
            <w:r>
              <w:rPr>
                <w:color w:val="auto"/>
                <w:szCs w:val="21"/>
                <w:highlight w:val="none"/>
              </w:rPr>
              <w:t>Leq</w:t>
            </w:r>
          </w:p>
        </w:tc>
        <w:tc>
          <w:tcPr>
            <w:tcW w:w="1030" w:type="dxa"/>
            <w:vAlign w:val="center"/>
          </w:tcPr>
          <w:p>
            <w:pPr>
              <w:spacing w:line="320" w:lineRule="exact"/>
              <w:jc w:val="center"/>
              <w:rPr>
                <w:color w:val="auto"/>
                <w:szCs w:val="21"/>
                <w:highlight w:val="none"/>
              </w:rPr>
            </w:pPr>
            <w:r>
              <w:rPr>
                <w:color w:val="auto"/>
                <w:szCs w:val="21"/>
                <w:highlight w:val="none"/>
              </w:rPr>
              <w:t>夜间</w:t>
            </w:r>
          </w:p>
        </w:tc>
        <w:tc>
          <w:tcPr>
            <w:tcW w:w="909" w:type="dxa"/>
            <w:vAlign w:val="center"/>
          </w:tcPr>
          <w:p>
            <w:pPr>
              <w:spacing w:line="320" w:lineRule="exact"/>
              <w:jc w:val="center"/>
              <w:rPr>
                <w:color w:val="auto"/>
                <w:szCs w:val="21"/>
                <w:highlight w:val="none"/>
              </w:rPr>
            </w:pPr>
            <w:r>
              <w:rPr>
                <w:color w:val="auto"/>
                <w:szCs w:val="21"/>
                <w:highlight w:val="none"/>
              </w:rPr>
              <w:t>dB（A）</w:t>
            </w:r>
          </w:p>
        </w:tc>
        <w:tc>
          <w:tcPr>
            <w:tcW w:w="916" w:type="dxa"/>
            <w:vAlign w:val="center"/>
          </w:tcPr>
          <w:p>
            <w:pPr>
              <w:spacing w:line="320" w:lineRule="exact"/>
              <w:jc w:val="center"/>
              <w:rPr>
                <w:color w:val="auto"/>
                <w:szCs w:val="21"/>
                <w:highlight w:val="none"/>
              </w:rPr>
            </w:pPr>
            <w:r>
              <w:rPr>
                <w:color w:val="auto"/>
                <w:szCs w:val="21"/>
                <w:highlight w:val="none"/>
              </w:rPr>
              <w:t>50</w:t>
            </w:r>
          </w:p>
        </w:tc>
      </w:tr>
    </w:tbl>
    <w:p>
      <w:pPr>
        <w:spacing w:line="480" w:lineRule="exact"/>
        <w:ind w:firstLine="480" w:firstLineChars="200"/>
        <w:rPr>
          <w:color w:val="auto"/>
          <w:sz w:val="24"/>
          <w:highlight w:val="none"/>
        </w:rPr>
      </w:pPr>
      <w:r>
        <w:rPr>
          <w:color w:val="auto"/>
          <w:sz w:val="24"/>
          <w:highlight w:val="none"/>
        </w:rPr>
        <w:t>（5）土壤环境</w:t>
      </w:r>
    </w:p>
    <w:p>
      <w:pPr>
        <w:spacing w:line="480" w:lineRule="exact"/>
        <w:ind w:firstLine="480" w:firstLineChars="200"/>
        <w:rPr>
          <w:color w:val="000000"/>
          <w:sz w:val="24"/>
          <w:highlight w:val="none"/>
        </w:rPr>
      </w:pPr>
      <w:r>
        <w:rPr>
          <w:rFonts w:hint="eastAsia"/>
          <w:color w:val="auto"/>
          <w:sz w:val="24"/>
          <w:highlight w:val="none"/>
        </w:rPr>
        <w:t>电站占地范围内</w:t>
      </w:r>
      <w:r>
        <w:rPr>
          <w:color w:val="auto"/>
          <w:sz w:val="24"/>
          <w:highlight w:val="none"/>
        </w:rPr>
        <w:t>执行《土壤环境质量-建设用地土壤污染风险管控标准（试行）》（GB 36600</w:t>
      </w:r>
      <w:r>
        <w:rPr>
          <w:rFonts w:hint="eastAsia"/>
          <w:color w:val="auto"/>
          <w:sz w:val="24"/>
          <w:highlight w:val="none"/>
        </w:rPr>
        <w:t xml:space="preserve"> </w:t>
      </w:r>
      <w:r>
        <w:rPr>
          <w:color w:val="auto"/>
          <w:sz w:val="24"/>
          <w:highlight w:val="none"/>
        </w:rPr>
        <w:t>-20</w:t>
      </w:r>
      <w:r>
        <w:rPr>
          <w:color w:val="000000"/>
          <w:sz w:val="24"/>
          <w:highlight w:val="none"/>
        </w:rPr>
        <w:t>18）中第二类用地筛选值标准要求。见</w:t>
      </w:r>
      <w:r>
        <w:rPr>
          <w:rFonts w:hint="eastAsia"/>
          <w:color w:val="000000"/>
          <w:sz w:val="24"/>
          <w:highlight w:val="none"/>
        </w:rPr>
        <w:t>下</w:t>
      </w:r>
      <w:r>
        <w:rPr>
          <w:color w:val="000000"/>
          <w:sz w:val="24"/>
          <w:highlight w:val="none"/>
        </w:rPr>
        <w:t>表。</w:t>
      </w:r>
    </w:p>
    <w:p>
      <w:pPr>
        <w:spacing w:line="480" w:lineRule="exact"/>
        <w:ind w:firstLine="482" w:firstLineChars="200"/>
        <w:jc w:val="center"/>
        <w:rPr>
          <w:b/>
          <w:color w:val="000000"/>
          <w:sz w:val="24"/>
          <w:highlight w:val="none"/>
        </w:rPr>
      </w:pPr>
      <w:r>
        <w:rPr>
          <w:b/>
          <w:color w:val="000000"/>
          <w:sz w:val="24"/>
          <w:highlight w:val="none"/>
        </w:rPr>
        <w:t>表</w:t>
      </w:r>
      <w:r>
        <w:rPr>
          <w:rFonts w:hint="eastAsia"/>
          <w:b/>
          <w:color w:val="000000"/>
          <w:sz w:val="24"/>
          <w:highlight w:val="none"/>
        </w:rPr>
        <w:t>1.</w:t>
      </w:r>
      <w:r>
        <w:rPr>
          <w:rFonts w:hint="eastAsia"/>
          <w:b/>
          <w:color w:val="000000"/>
          <w:sz w:val="24"/>
          <w:highlight w:val="none"/>
          <w:lang w:val="en-US" w:eastAsia="zh-CN"/>
        </w:rPr>
        <w:t>4</w:t>
      </w:r>
      <w:r>
        <w:rPr>
          <w:rFonts w:hint="eastAsia"/>
          <w:b/>
          <w:color w:val="000000"/>
          <w:sz w:val="24"/>
          <w:highlight w:val="none"/>
        </w:rPr>
        <w:t>-5</w:t>
      </w:r>
      <w:r>
        <w:rPr>
          <w:b/>
          <w:color w:val="000000"/>
          <w:sz w:val="24"/>
          <w:highlight w:val="none"/>
        </w:rPr>
        <w:t xml:space="preserve">  建设用地土壤污染风险筛选值一览表  单位mg/kg</w:t>
      </w:r>
    </w:p>
    <w:tbl>
      <w:tblPr>
        <w:tblStyle w:val="51"/>
        <w:tblW w:w="5032"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2155"/>
        <w:gridCol w:w="2130"/>
        <w:gridCol w:w="2145"/>
        <w:gridCol w:w="2147"/>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3" w:hRule="atLeast"/>
        </w:trPr>
        <w:tc>
          <w:tcPr>
            <w:tcW w:w="1256" w:type="pct"/>
            <w:vMerge w:val="restart"/>
            <w:vAlign w:val="center"/>
          </w:tcPr>
          <w:p>
            <w:pPr>
              <w:pStyle w:val="247"/>
              <w:spacing w:line="300" w:lineRule="exact"/>
              <w:ind w:firstLine="0" w:firstLineChars="0"/>
              <w:jc w:val="center"/>
              <w:rPr>
                <w:rFonts w:ascii="Times New Roman" w:hAnsi="Times New Roman"/>
                <w:color w:val="000000"/>
                <w:sz w:val="21"/>
                <w:szCs w:val="21"/>
                <w:highlight w:val="none"/>
              </w:rPr>
            </w:pPr>
            <w:r>
              <w:rPr>
                <w:rFonts w:ascii="Times New Roman" w:hAnsi="Times New Roman"/>
                <w:color w:val="000000"/>
                <w:sz w:val="21"/>
                <w:szCs w:val="21"/>
                <w:highlight w:val="none"/>
              </w:rPr>
              <w:t>评价因子</w:t>
            </w:r>
          </w:p>
        </w:tc>
        <w:tc>
          <w:tcPr>
            <w:tcW w:w="1241" w:type="pct"/>
            <w:tcBorders>
              <w:right w:val="single" w:color="auto" w:sz="4" w:space="0"/>
            </w:tcBorders>
            <w:vAlign w:val="center"/>
          </w:tcPr>
          <w:p>
            <w:pPr>
              <w:pStyle w:val="417"/>
              <w:spacing w:line="300" w:lineRule="exact"/>
              <w:jc w:val="center"/>
              <w:rPr>
                <w:color w:val="000000"/>
                <w:sz w:val="21"/>
                <w:szCs w:val="21"/>
                <w:highlight w:val="none"/>
              </w:rPr>
            </w:pPr>
            <w:r>
              <w:rPr>
                <w:color w:val="000000"/>
                <w:sz w:val="21"/>
                <w:szCs w:val="21"/>
                <w:highlight w:val="none"/>
              </w:rPr>
              <w:t>筛选值</w:t>
            </w:r>
          </w:p>
        </w:tc>
        <w:tc>
          <w:tcPr>
            <w:tcW w:w="1250" w:type="pct"/>
            <w:vMerge w:val="restart"/>
            <w:tcBorders>
              <w:left w:val="single" w:color="auto" w:sz="4" w:space="0"/>
              <w:right w:val="single" w:color="auto" w:sz="4" w:space="0"/>
            </w:tcBorders>
            <w:vAlign w:val="center"/>
          </w:tcPr>
          <w:p>
            <w:pPr>
              <w:pStyle w:val="247"/>
              <w:spacing w:line="300" w:lineRule="exact"/>
              <w:ind w:firstLine="0" w:firstLineChars="0"/>
              <w:jc w:val="center"/>
              <w:rPr>
                <w:rFonts w:ascii="Times New Roman" w:hAnsi="Times New Roman"/>
                <w:color w:val="000000"/>
                <w:sz w:val="21"/>
                <w:szCs w:val="21"/>
                <w:highlight w:val="none"/>
              </w:rPr>
            </w:pPr>
            <w:r>
              <w:rPr>
                <w:rFonts w:ascii="Times New Roman" w:hAnsi="Times New Roman"/>
                <w:color w:val="000000"/>
                <w:sz w:val="21"/>
                <w:szCs w:val="21"/>
                <w:highlight w:val="none"/>
              </w:rPr>
              <w:t>评价因子</w:t>
            </w:r>
          </w:p>
        </w:tc>
        <w:tc>
          <w:tcPr>
            <w:tcW w:w="1251" w:type="pct"/>
            <w:tcBorders>
              <w:left w:val="single" w:color="auto" w:sz="4" w:space="0"/>
            </w:tcBorders>
            <w:vAlign w:val="center"/>
          </w:tcPr>
          <w:p>
            <w:pPr>
              <w:pStyle w:val="417"/>
              <w:spacing w:line="300" w:lineRule="exact"/>
              <w:jc w:val="center"/>
              <w:rPr>
                <w:color w:val="000000"/>
                <w:sz w:val="21"/>
                <w:szCs w:val="21"/>
                <w:highlight w:val="none"/>
              </w:rPr>
            </w:pPr>
            <w:r>
              <w:rPr>
                <w:color w:val="000000"/>
                <w:sz w:val="21"/>
                <w:szCs w:val="21"/>
                <w:highlight w:val="none"/>
              </w:rPr>
              <w:t>筛选值</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7" w:hRule="atLeast"/>
        </w:trPr>
        <w:tc>
          <w:tcPr>
            <w:tcW w:w="1256" w:type="pct"/>
            <w:vMerge w:val="continue"/>
            <w:vAlign w:val="center"/>
          </w:tcPr>
          <w:p>
            <w:pPr>
              <w:pStyle w:val="247"/>
              <w:spacing w:line="300" w:lineRule="exact"/>
              <w:ind w:firstLine="174" w:firstLineChars="83"/>
              <w:rPr>
                <w:rFonts w:ascii="Times New Roman" w:hAnsi="Times New Roman"/>
                <w:color w:val="000000"/>
                <w:sz w:val="21"/>
                <w:szCs w:val="21"/>
                <w:highlight w:val="none"/>
              </w:rPr>
            </w:pPr>
          </w:p>
        </w:tc>
        <w:tc>
          <w:tcPr>
            <w:tcW w:w="1241" w:type="pct"/>
            <w:tcBorders>
              <w:right w:val="single" w:color="auto" w:sz="4" w:space="0"/>
            </w:tcBorders>
            <w:vAlign w:val="center"/>
          </w:tcPr>
          <w:p>
            <w:pPr>
              <w:pStyle w:val="417"/>
              <w:spacing w:line="300" w:lineRule="exact"/>
              <w:jc w:val="center"/>
              <w:rPr>
                <w:color w:val="000000"/>
                <w:sz w:val="21"/>
                <w:szCs w:val="21"/>
                <w:highlight w:val="none"/>
              </w:rPr>
            </w:pPr>
            <w:r>
              <w:rPr>
                <w:color w:val="000000"/>
                <w:sz w:val="21"/>
                <w:szCs w:val="21"/>
                <w:highlight w:val="none"/>
              </w:rPr>
              <w:t>第二类用地</w:t>
            </w:r>
          </w:p>
        </w:tc>
        <w:tc>
          <w:tcPr>
            <w:tcW w:w="1250" w:type="pct"/>
            <w:vMerge w:val="continue"/>
            <w:tcBorders>
              <w:left w:val="single" w:color="auto" w:sz="4" w:space="0"/>
              <w:right w:val="single" w:color="auto" w:sz="4" w:space="0"/>
            </w:tcBorders>
            <w:vAlign w:val="center"/>
          </w:tcPr>
          <w:p>
            <w:pPr>
              <w:pStyle w:val="247"/>
              <w:spacing w:line="300" w:lineRule="exact"/>
              <w:ind w:firstLine="174" w:firstLineChars="83"/>
              <w:rPr>
                <w:rFonts w:ascii="Times New Roman" w:hAnsi="Times New Roman"/>
                <w:color w:val="000000"/>
                <w:sz w:val="21"/>
                <w:szCs w:val="21"/>
                <w:highlight w:val="none"/>
              </w:rPr>
            </w:pPr>
          </w:p>
        </w:tc>
        <w:tc>
          <w:tcPr>
            <w:tcW w:w="1251" w:type="pct"/>
            <w:tcBorders>
              <w:left w:val="single" w:color="auto" w:sz="4" w:space="0"/>
            </w:tcBorders>
            <w:vAlign w:val="center"/>
          </w:tcPr>
          <w:p>
            <w:pPr>
              <w:pStyle w:val="417"/>
              <w:spacing w:line="300" w:lineRule="exact"/>
              <w:jc w:val="center"/>
              <w:rPr>
                <w:color w:val="000000"/>
                <w:sz w:val="21"/>
                <w:szCs w:val="21"/>
                <w:highlight w:val="none"/>
              </w:rPr>
            </w:pPr>
            <w:r>
              <w:rPr>
                <w:color w:val="000000"/>
                <w:sz w:val="21"/>
                <w:szCs w:val="21"/>
                <w:highlight w:val="none"/>
              </w:rPr>
              <w:t>第二类用地</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7" w:hRule="atLeast"/>
        </w:trPr>
        <w:tc>
          <w:tcPr>
            <w:tcW w:w="1256" w:type="pct"/>
            <w:vAlign w:val="center"/>
          </w:tcPr>
          <w:p>
            <w:pPr>
              <w:pStyle w:val="247"/>
              <w:spacing w:line="300" w:lineRule="exact"/>
              <w:ind w:firstLine="0" w:firstLineChars="0"/>
              <w:jc w:val="center"/>
              <w:rPr>
                <w:rFonts w:ascii="Times New Roman" w:hAnsi="Times New Roman"/>
                <w:color w:val="000000"/>
                <w:sz w:val="21"/>
                <w:szCs w:val="21"/>
                <w:highlight w:val="none"/>
              </w:rPr>
            </w:pPr>
            <w:r>
              <w:rPr>
                <w:rFonts w:ascii="Times New Roman" w:hAnsi="Times New Roman"/>
                <w:color w:val="000000"/>
                <w:sz w:val="21"/>
                <w:szCs w:val="21"/>
                <w:highlight w:val="none"/>
              </w:rPr>
              <w:t>砷</w:t>
            </w:r>
          </w:p>
        </w:tc>
        <w:tc>
          <w:tcPr>
            <w:tcW w:w="1241" w:type="pct"/>
            <w:vAlign w:val="center"/>
          </w:tcPr>
          <w:p>
            <w:pPr>
              <w:pStyle w:val="417"/>
              <w:spacing w:line="300" w:lineRule="exact"/>
              <w:jc w:val="center"/>
              <w:rPr>
                <w:color w:val="000000"/>
                <w:sz w:val="21"/>
                <w:szCs w:val="21"/>
                <w:highlight w:val="none"/>
              </w:rPr>
            </w:pPr>
            <w:r>
              <w:rPr>
                <w:color w:val="000000"/>
                <w:sz w:val="21"/>
                <w:szCs w:val="21"/>
                <w:highlight w:val="none"/>
              </w:rPr>
              <w:t>60</w:t>
            </w:r>
          </w:p>
        </w:tc>
        <w:tc>
          <w:tcPr>
            <w:tcW w:w="1250" w:type="pct"/>
            <w:vAlign w:val="center"/>
          </w:tcPr>
          <w:p>
            <w:pPr>
              <w:spacing w:line="300" w:lineRule="exact"/>
              <w:jc w:val="center"/>
              <w:rPr>
                <w:color w:val="000000"/>
                <w:szCs w:val="21"/>
                <w:highlight w:val="none"/>
              </w:rPr>
            </w:pPr>
            <w:r>
              <w:rPr>
                <w:color w:val="000000"/>
                <w:szCs w:val="21"/>
                <w:highlight w:val="none"/>
              </w:rPr>
              <w:t>1,2,3-三氯丙烷</w:t>
            </w:r>
          </w:p>
        </w:tc>
        <w:tc>
          <w:tcPr>
            <w:tcW w:w="1251" w:type="pct"/>
            <w:vAlign w:val="center"/>
          </w:tcPr>
          <w:p>
            <w:pPr>
              <w:pStyle w:val="417"/>
              <w:spacing w:line="300" w:lineRule="exact"/>
              <w:jc w:val="center"/>
              <w:rPr>
                <w:color w:val="000000"/>
                <w:sz w:val="21"/>
                <w:szCs w:val="21"/>
                <w:highlight w:val="none"/>
              </w:rPr>
            </w:pPr>
            <w:r>
              <w:rPr>
                <w:color w:val="000000"/>
                <w:sz w:val="21"/>
                <w:szCs w:val="21"/>
                <w:highlight w:val="none"/>
              </w:rPr>
              <w:t>0.5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7" w:hRule="atLeast"/>
        </w:trPr>
        <w:tc>
          <w:tcPr>
            <w:tcW w:w="1256" w:type="pct"/>
            <w:vAlign w:val="center"/>
          </w:tcPr>
          <w:p>
            <w:pPr>
              <w:pStyle w:val="247"/>
              <w:spacing w:line="300" w:lineRule="exact"/>
              <w:ind w:firstLine="0" w:firstLineChars="0"/>
              <w:jc w:val="center"/>
              <w:rPr>
                <w:rFonts w:ascii="Times New Roman" w:hAnsi="Times New Roman"/>
                <w:color w:val="000000"/>
                <w:sz w:val="21"/>
                <w:szCs w:val="21"/>
                <w:highlight w:val="none"/>
              </w:rPr>
            </w:pPr>
            <w:r>
              <w:rPr>
                <w:rFonts w:ascii="Times New Roman" w:hAnsi="Times New Roman"/>
                <w:color w:val="000000"/>
                <w:sz w:val="21"/>
                <w:szCs w:val="21"/>
                <w:highlight w:val="none"/>
              </w:rPr>
              <w:t>镉</w:t>
            </w:r>
          </w:p>
        </w:tc>
        <w:tc>
          <w:tcPr>
            <w:tcW w:w="1241" w:type="pct"/>
            <w:vAlign w:val="center"/>
          </w:tcPr>
          <w:p>
            <w:pPr>
              <w:pStyle w:val="417"/>
              <w:spacing w:line="300" w:lineRule="exact"/>
              <w:jc w:val="center"/>
              <w:rPr>
                <w:color w:val="000000"/>
                <w:sz w:val="21"/>
                <w:szCs w:val="21"/>
                <w:highlight w:val="none"/>
              </w:rPr>
            </w:pPr>
            <w:r>
              <w:rPr>
                <w:color w:val="000000"/>
                <w:sz w:val="21"/>
                <w:szCs w:val="21"/>
                <w:highlight w:val="none"/>
              </w:rPr>
              <w:t>65</w:t>
            </w:r>
          </w:p>
        </w:tc>
        <w:tc>
          <w:tcPr>
            <w:tcW w:w="1250" w:type="pct"/>
            <w:vAlign w:val="center"/>
          </w:tcPr>
          <w:p>
            <w:pPr>
              <w:spacing w:line="300" w:lineRule="exact"/>
              <w:jc w:val="center"/>
              <w:rPr>
                <w:color w:val="000000"/>
                <w:szCs w:val="21"/>
                <w:highlight w:val="none"/>
              </w:rPr>
            </w:pPr>
            <w:r>
              <w:rPr>
                <w:color w:val="000000"/>
                <w:szCs w:val="21"/>
                <w:highlight w:val="none"/>
              </w:rPr>
              <w:t>氯乙烯</w:t>
            </w:r>
          </w:p>
        </w:tc>
        <w:tc>
          <w:tcPr>
            <w:tcW w:w="1251" w:type="pct"/>
            <w:vAlign w:val="center"/>
          </w:tcPr>
          <w:p>
            <w:pPr>
              <w:pStyle w:val="417"/>
              <w:spacing w:line="300" w:lineRule="exact"/>
              <w:jc w:val="center"/>
              <w:rPr>
                <w:color w:val="000000"/>
                <w:sz w:val="21"/>
                <w:szCs w:val="21"/>
                <w:highlight w:val="none"/>
              </w:rPr>
            </w:pPr>
            <w:r>
              <w:rPr>
                <w:color w:val="000000"/>
                <w:sz w:val="21"/>
                <w:szCs w:val="21"/>
                <w:highlight w:val="none"/>
              </w:rPr>
              <w:t>0.43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7" w:hRule="atLeast"/>
        </w:trPr>
        <w:tc>
          <w:tcPr>
            <w:tcW w:w="1256" w:type="pct"/>
            <w:vAlign w:val="center"/>
          </w:tcPr>
          <w:p>
            <w:pPr>
              <w:spacing w:line="300" w:lineRule="exact"/>
              <w:jc w:val="center"/>
              <w:rPr>
                <w:color w:val="000000"/>
                <w:szCs w:val="21"/>
                <w:highlight w:val="none"/>
              </w:rPr>
            </w:pPr>
            <w:r>
              <w:rPr>
                <w:color w:val="000000"/>
                <w:szCs w:val="21"/>
                <w:highlight w:val="none"/>
              </w:rPr>
              <w:t>铬(六价)</w:t>
            </w:r>
          </w:p>
        </w:tc>
        <w:tc>
          <w:tcPr>
            <w:tcW w:w="1241" w:type="pct"/>
            <w:vAlign w:val="center"/>
          </w:tcPr>
          <w:p>
            <w:pPr>
              <w:pStyle w:val="417"/>
              <w:spacing w:line="300" w:lineRule="exact"/>
              <w:jc w:val="center"/>
              <w:rPr>
                <w:color w:val="000000"/>
                <w:sz w:val="21"/>
                <w:szCs w:val="21"/>
                <w:highlight w:val="none"/>
              </w:rPr>
            </w:pPr>
            <w:r>
              <w:rPr>
                <w:color w:val="000000"/>
                <w:sz w:val="21"/>
                <w:szCs w:val="21"/>
                <w:highlight w:val="none"/>
              </w:rPr>
              <w:t>5.7</w:t>
            </w:r>
          </w:p>
        </w:tc>
        <w:tc>
          <w:tcPr>
            <w:tcW w:w="1250" w:type="pct"/>
            <w:vAlign w:val="center"/>
          </w:tcPr>
          <w:p>
            <w:pPr>
              <w:spacing w:line="300" w:lineRule="exact"/>
              <w:jc w:val="center"/>
              <w:rPr>
                <w:color w:val="000000"/>
                <w:szCs w:val="21"/>
                <w:highlight w:val="none"/>
              </w:rPr>
            </w:pPr>
            <w:r>
              <w:rPr>
                <w:color w:val="000000"/>
                <w:szCs w:val="21"/>
                <w:highlight w:val="none"/>
              </w:rPr>
              <w:t>苯</w:t>
            </w:r>
          </w:p>
        </w:tc>
        <w:tc>
          <w:tcPr>
            <w:tcW w:w="1251" w:type="pct"/>
            <w:vAlign w:val="center"/>
          </w:tcPr>
          <w:p>
            <w:pPr>
              <w:pStyle w:val="417"/>
              <w:spacing w:line="300" w:lineRule="exact"/>
              <w:jc w:val="center"/>
              <w:rPr>
                <w:color w:val="000000"/>
                <w:sz w:val="21"/>
                <w:szCs w:val="21"/>
                <w:highlight w:val="none"/>
              </w:rPr>
            </w:pPr>
            <w:r>
              <w:rPr>
                <w:color w:val="000000"/>
                <w:sz w:val="21"/>
                <w:szCs w:val="21"/>
                <w:highlight w:val="none"/>
              </w:rPr>
              <w:t>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7" w:hRule="atLeast"/>
        </w:trPr>
        <w:tc>
          <w:tcPr>
            <w:tcW w:w="1256" w:type="pct"/>
            <w:vAlign w:val="center"/>
          </w:tcPr>
          <w:p>
            <w:pPr>
              <w:spacing w:line="300" w:lineRule="exact"/>
              <w:jc w:val="center"/>
              <w:rPr>
                <w:color w:val="000000"/>
                <w:szCs w:val="21"/>
                <w:highlight w:val="none"/>
              </w:rPr>
            </w:pPr>
            <w:r>
              <w:rPr>
                <w:color w:val="000000"/>
                <w:szCs w:val="21"/>
                <w:highlight w:val="none"/>
              </w:rPr>
              <w:t>铜</w:t>
            </w:r>
          </w:p>
        </w:tc>
        <w:tc>
          <w:tcPr>
            <w:tcW w:w="1241" w:type="pct"/>
            <w:vAlign w:val="center"/>
          </w:tcPr>
          <w:p>
            <w:pPr>
              <w:pStyle w:val="417"/>
              <w:spacing w:line="300" w:lineRule="exact"/>
              <w:jc w:val="center"/>
              <w:rPr>
                <w:color w:val="000000"/>
                <w:sz w:val="21"/>
                <w:szCs w:val="21"/>
                <w:highlight w:val="none"/>
              </w:rPr>
            </w:pPr>
            <w:r>
              <w:rPr>
                <w:color w:val="000000"/>
                <w:sz w:val="21"/>
                <w:szCs w:val="21"/>
                <w:highlight w:val="none"/>
              </w:rPr>
              <w:t>18000</w:t>
            </w:r>
          </w:p>
        </w:tc>
        <w:tc>
          <w:tcPr>
            <w:tcW w:w="1250" w:type="pct"/>
            <w:vAlign w:val="center"/>
          </w:tcPr>
          <w:p>
            <w:pPr>
              <w:spacing w:line="300" w:lineRule="exact"/>
              <w:jc w:val="center"/>
              <w:rPr>
                <w:color w:val="000000"/>
                <w:szCs w:val="21"/>
                <w:highlight w:val="none"/>
              </w:rPr>
            </w:pPr>
            <w:r>
              <w:rPr>
                <w:color w:val="000000"/>
                <w:szCs w:val="21"/>
                <w:highlight w:val="none"/>
              </w:rPr>
              <w:t>氯苯</w:t>
            </w:r>
          </w:p>
        </w:tc>
        <w:tc>
          <w:tcPr>
            <w:tcW w:w="1251" w:type="pct"/>
            <w:vAlign w:val="center"/>
          </w:tcPr>
          <w:p>
            <w:pPr>
              <w:pStyle w:val="417"/>
              <w:spacing w:line="300" w:lineRule="exact"/>
              <w:jc w:val="center"/>
              <w:rPr>
                <w:color w:val="000000"/>
                <w:sz w:val="21"/>
                <w:szCs w:val="21"/>
                <w:highlight w:val="none"/>
              </w:rPr>
            </w:pPr>
            <w:r>
              <w:rPr>
                <w:color w:val="000000"/>
                <w:sz w:val="21"/>
                <w:szCs w:val="21"/>
                <w:highlight w:val="none"/>
              </w:rPr>
              <w:t>270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7" w:hRule="atLeast"/>
        </w:trPr>
        <w:tc>
          <w:tcPr>
            <w:tcW w:w="1256" w:type="pct"/>
            <w:vAlign w:val="center"/>
          </w:tcPr>
          <w:p>
            <w:pPr>
              <w:spacing w:line="300" w:lineRule="exact"/>
              <w:jc w:val="center"/>
              <w:rPr>
                <w:color w:val="000000"/>
                <w:szCs w:val="21"/>
                <w:highlight w:val="none"/>
              </w:rPr>
            </w:pPr>
            <w:r>
              <w:rPr>
                <w:color w:val="000000"/>
                <w:szCs w:val="21"/>
                <w:highlight w:val="none"/>
              </w:rPr>
              <w:t>铅</w:t>
            </w:r>
          </w:p>
        </w:tc>
        <w:tc>
          <w:tcPr>
            <w:tcW w:w="1241" w:type="pct"/>
            <w:vAlign w:val="center"/>
          </w:tcPr>
          <w:p>
            <w:pPr>
              <w:pStyle w:val="417"/>
              <w:spacing w:line="300" w:lineRule="exact"/>
              <w:jc w:val="center"/>
              <w:rPr>
                <w:color w:val="000000"/>
                <w:sz w:val="21"/>
                <w:szCs w:val="21"/>
                <w:highlight w:val="none"/>
              </w:rPr>
            </w:pPr>
            <w:r>
              <w:rPr>
                <w:color w:val="000000"/>
                <w:sz w:val="21"/>
                <w:szCs w:val="21"/>
                <w:highlight w:val="none"/>
              </w:rPr>
              <w:t>800</w:t>
            </w:r>
          </w:p>
        </w:tc>
        <w:tc>
          <w:tcPr>
            <w:tcW w:w="1250" w:type="pct"/>
            <w:vAlign w:val="center"/>
          </w:tcPr>
          <w:p>
            <w:pPr>
              <w:spacing w:line="300" w:lineRule="exact"/>
              <w:jc w:val="center"/>
              <w:rPr>
                <w:color w:val="000000"/>
                <w:szCs w:val="21"/>
                <w:highlight w:val="none"/>
              </w:rPr>
            </w:pPr>
            <w:r>
              <w:rPr>
                <w:color w:val="000000"/>
                <w:szCs w:val="21"/>
                <w:highlight w:val="none"/>
              </w:rPr>
              <w:t>1,2-二氯苯</w:t>
            </w:r>
          </w:p>
        </w:tc>
        <w:tc>
          <w:tcPr>
            <w:tcW w:w="1251" w:type="pct"/>
            <w:vAlign w:val="center"/>
          </w:tcPr>
          <w:p>
            <w:pPr>
              <w:pStyle w:val="417"/>
              <w:spacing w:line="300" w:lineRule="exact"/>
              <w:jc w:val="center"/>
              <w:rPr>
                <w:color w:val="000000"/>
                <w:sz w:val="21"/>
                <w:szCs w:val="21"/>
                <w:highlight w:val="none"/>
              </w:rPr>
            </w:pPr>
            <w:r>
              <w:rPr>
                <w:color w:val="000000"/>
                <w:sz w:val="21"/>
                <w:szCs w:val="21"/>
                <w:highlight w:val="none"/>
              </w:rPr>
              <w:t>560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7" w:hRule="atLeast"/>
        </w:trPr>
        <w:tc>
          <w:tcPr>
            <w:tcW w:w="1256" w:type="pct"/>
            <w:vAlign w:val="center"/>
          </w:tcPr>
          <w:p>
            <w:pPr>
              <w:spacing w:line="300" w:lineRule="exact"/>
              <w:jc w:val="center"/>
              <w:rPr>
                <w:color w:val="000000"/>
                <w:szCs w:val="21"/>
                <w:highlight w:val="none"/>
                <w:vertAlign w:val="subscript"/>
              </w:rPr>
            </w:pPr>
            <w:r>
              <w:rPr>
                <w:color w:val="000000"/>
                <w:szCs w:val="21"/>
                <w:highlight w:val="none"/>
              </w:rPr>
              <w:t>汞</w:t>
            </w:r>
          </w:p>
        </w:tc>
        <w:tc>
          <w:tcPr>
            <w:tcW w:w="1241" w:type="pct"/>
            <w:vAlign w:val="center"/>
          </w:tcPr>
          <w:p>
            <w:pPr>
              <w:pStyle w:val="417"/>
              <w:spacing w:line="300" w:lineRule="exact"/>
              <w:jc w:val="center"/>
              <w:rPr>
                <w:color w:val="000000"/>
                <w:sz w:val="21"/>
                <w:szCs w:val="21"/>
                <w:highlight w:val="none"/>
              </w:rPr>
            </w:pPr>
            <w:r>
              <w:rPr>
                <w:color w:val="000000"/>
                <w:sz w:val="21"/>
                <w:szCs w:val="21"/>
                <w:highlight w:val="none"/>
              </w:rPr>
              <w:t>38</w:t>
            </w:r>
          </w:p>
        </w:tc>
        <w:tc>
          <w:tcPr>
            <w:tcW w:w="1250" w:type="pct"/>
            <w:vAlign w:val="center"/>
          </w:tcPr>
          <w:p>
            <w:pPr>
              <w:spacing w:line="300" w:lineRule="exact"/>
              <w:jc w:val="center"/>
              <w:rPr>
                <w:color w:val="000000"/>
                <w:szCs w:val="21"/>
                <w:highlight w:val="none"/>
              </w:rPr>
            </w:pPr>
            <w:r>
              <w:rPr>
                <w:color w:val="000000"/>
                <w:szCs w:val="21"/>
                <w:highlight w:val="none"/>
              </w:rPr>
              <w:t>1,4-二氯苯</w:t>
            </w:r>
          </w:p>
        </w:tc>
        <w:tc>
          <w:tcPr>
            <w:tcW w:w="1251" w:type="pct"/>
            <w:vAlign w:val="center"/>
          </w:tcPr>
          <w:p>
            <w:pPr>
              <w:pStyle w:val="417"/>
              <w:spacing w:line="300" w:lineRule="exact"/>
              <w:jc w:val="center"/>
              <w:rPr>
                <w:color w:val="000000"/>
                <w:sz w:val="21"/>
                <w:szCs w:val="21"/>
                <w:highlight w:val="none"/>
              </w:rPr>
            </w:pPr>
            <w:r>
              <w:rPr>
                <w:color w:val="000000"/>
                <w:sz w:val="21"/>
                <w:szCs w:val="21"/>
                <w:highlight w:val="none"/>
              </w:rPr>
              <w:t>20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76" w:hRule="atLeast"/>
        </w:trPr>
        <w:tc>
          <w:tcPr>
            <w:tcW w:w="1256" w:type="pct"/>
            <w:vAlign w:val="center"/>
          </w:tcPr>
          <w:p>
            <w:pPr>
              <w:spacing w:line="300" w:lineRule="exact"/>
              <w:jc w:val="center"/>
              <w:rPr>
                <w:color w:val="000000"/>
                <w:szCs w:val="21"/>
                <w:highlight w:val="none"/>
              </w:rPr>
            </w:pPr>
            <w:r>
              <w:rPr>
                <w:color w:val="000000"/>
                <w:szCs w:val="21"/>
                <w:highlight w:val="none"/>
              </w:rPr>
              <w:t>镍</w:t>
            </w:r>
          </w:p>
        </w:tc>
        <w:tc>
          <w:tcPr>
            <w:tcW w:w="1241" w:type="pct"/>
            <w:vAlign w:val="center"/>
          </w:tcPr>
          <w:p>
            <w:pPr>
              <w:pStyle w:val="417"/>
              <w:spacing w:line="300" w:lineRule="exact"/>
              <w:jc w:val="center"/>
              <w:rPr>
                <w:color w:val="000000"/>
                <w:sz w:val="21"/>
                <w:szCs w:val="21"/>
                <w:highlight w:val="none"/>
              </w:rPr>
            </w:pPr>
            <w:r>
              <w:rPr>
                <w:color w:val="000000"/>
                <w:sz w:val="21"/>
                <w:szCs w:val="21"/>
                <w:highlight w:val="none"/>
              </w:rPr>
              <w:t>900</w:t>
            </w:r>
          </w:p>
        </w:tc>
        <w:tc>
          <w:tcPr>
            <w:tcW w:w="1250" w:type="pct"/>
            <w:vAlign w:val="center"/>
          </w:tcPr>
          <w:p>
            <w:pPr>
              <w:spacing w:line="300" w:lineRule="exact"/>
              <w:jc w:val="center"/>
              <w:rPr>
                <w:color w:val="000000"/>
                <w:szCs w:val="21"/>
                <w:highlight w:val="none"/>
              </w:rPr>
            </w:pPr>
            <w:r>
              <w:rPr>
                <w:color w:val="000000"/>
                <w:szCs w:val="21"/>
                <w:highlight w:val="none"/>
              </w:rPr>
              <w:t>乙苯</w:t>
            </w:r>
          </w:p>
        </w:tc>
        <w:tc>
          <w:tcPr>
            <w:tcW w:w="1251" w:type="pct"/>
            <w:vAlign w:val="center"/>
          </w:tcPr>
          <w:p>
            <w:pPr>
              <w:pStyle w:val="417"/>
              <w:spacing w:line="300" w:lineRule="exact"/>
              <w:jc w:val="center"/>
              <w:rPr>
                <w:color w:val="000000"/>
                <w:sz w:val="21"/>
                <w:szCs w:val="21"/>
                <w:highlight w:val="none"/>
              </w:rPr>
            </w:pPr>
            <w:r>
              <w:rPr>
                <w:color w:val="000000"/>
                <w:sz w:val="21"/>
                <w:szCs w:val="21"/>
                <w:highlight w:val="none"/>
              </w:rPr>
              <w:t>28</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3" w:hRule="atLeast"/>
        </w:trPr>
        <w:tc>
          <w:tcPr>
            <w:tcW w:w="1256" w:type="pct"/>
            <w:vAlign w:val="center"/>
          </w:tcPr>
          <w:p>
            <w:pPr>
              <w:spacing w:line="300" w:lineRule="exact"/>
              <w:jc w:val="center"/>
              <w:rPr>
                <w:color w:val="000000"/>
                <w:szCs w:val="21"/>
                <w:highlight w:val="none"/>
              </w:rPr>
            </w:pPr>
            <w:bookmarkStart w:id="69" w:name="_Ref6926279"/>
            <w:r>
              <w:rPr>
                <w:color w:val="000000"/>
                <w:szCs w:val="21"/>
                <w:highlight w:val="none"/>
              </w:rPr>
              <w:t>四氯化碳</w:t>
            </w:r>
          </w:p>
        </w:tc>
        <w:tc>
          <w:tcPr>
            <w:tcW w:w="1241" w:type="pct"/>
            <w:vAlign w:val="center"/>
          </w:tcPr>
          <w:p>
            <w:pPr>
              <w:pStyle w:val="417"/>
              <w:spacing w:line="300" w:lineRule="exact"/>
              <w:jc w:val="center"/>
              <w:rPr>
                <w:color w:val="000000"/>
                <w:sz w:val="21"/>
                <w:szCs w:val="21"/>
                <w:highlight w:val="none"/>
              </w:rPr>
            </w:pPr>
            <w:r>
              <w:rPr>
                <w:color w:val="000000"/>
                <w:sz w:val="21"/>
                <w:szCs w:val="21"/>
                <w:highlight w:val="none"/>
              </w:rPr>
              <w:t>2.8</w:t>
            </w:r>
          </w:p>
        </w:tc>
        <w:tc>
          <w:tcPr>
            <w:tcW w:w="1250" w:type="pct"/>
            <w:vAlign w:val="center"/>
          </w:tcPr>
          <w:p>
            <w:pPr>
              <w:spacing w:line="300" w:lineRule="exact"/>
              <w:jc w:val="center"/>
              <w:rPr>
                <w:color w:val="000000"/>
                <w:szCs w:val="21"/>
                <w:highlight w:val="none"/>
              </w:rPr>
            </w:pPr>
            <w:r>
              <w:rPr>
                <w:color w:val="000000"/>
                <w:szCs w:val="21"/>
                <w:highlight w:val="none"/>
              </w:rPr>
              <w:t>苯乙烯</w:t>
            </w:r>
          </w:p>
        </w:tc>
        <w:tc>
          <w:tcPr>
            <w:tcW w:w="1251" w:type="pct"/>
            <w:vAlign w:val="center"/>
          </w:tcPr>
          <w:p>
            <w:pPr>
              <w:pStyle w:val="417"/>
              <w:spacing w:line="300" w:lineRule="exact"/>
              <w:jc w:val="center"/>
              <w:rPr>
                <w:color w:val="000000"/>
                <w:sz w:val="21"/>
                <w:szCs w:val="21"/>
                <w:highlight w:val="none"/>
              </w:rPr>
            </w:pPr>
            <w:r>
              <w:rPr>
                <w:color w:val="000000"/>
                <w:sz w:val="21"/>
                <w:szCs w:val="21"/>
                <w:highlight w:val="none"/>
              </w:rPr>
              <w:t>1290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3" w:hRule="atLeast"/>
        </w:trPr>
        <w:tc>
          <w:tcPr>
            <w:tcW w:w="1256" w:type="pct"/>
            <w:vAlign w:val="center"/>
          </w:tcPr>
          <w:p>
            <w:pPr>
              <w:spacing w:line="300" w:lineRule="exact"/>
              <w:jc w:val="center"/>
              <w:rPr>
                <w:color w:val="000000"/>
                <w:szCs w:val="21"/>
                <w:highlight w:val="none"/>
              </w:rPr>
            </w:pPr>
            <w:r>
              <w:rPr>
                <w:color w:val="000000"/>
                <w:szCs w:val="21"/>
                <w:highlight w:val="none"/>
              </w:rPr>
              <w:t>氯仿</w:t>
            </w:r>
          </w:p>
        </w:tc>
        <w:tc>
          <w:tcPr>
            <w:tcW w:w="1241" w:type="pct"/>
            <w:vAlign w:val="center"/>
          </w:tcPr>
          <w:p>
            <w:pPr>
              <w:pStyle w:val="417"/>
              <w:spacing w:line="300" w:lineRule="exact"/>
              <w:jc w:val="center"/>
              <w:rPr>
                <w:color w:val="000000"/>
                <w:sz w:val="21"/>
                <w:szCs w:val="21"/>
                <w:highlight w:val="none"/>
              </w:rPr>
            </w:pPr>
            <w:r>
              <w:rPr>
                <w:color w:val="000000"/>
                <w:sz w:val="21"/>
                <w:szCs w:val="21"/>
                <w:highlight w:val="none"/>
              </w:rPr>
              <w:t>0.9</w:t>
            </w:r>
          </w:p>
        </w:tc>
        <w:tc>
          <w:tcPr>
            <w:tcW w:w="1250" w:type="pct"/>
            <w:vAlign w:val="center"/>
          </w:tcPr>
          <w:p>
            <w:pPr>
              <w:spacing w:line="300" w:lineRule="exact"/>
              <w:jc w:val="center"/>
              <w:rPr>
                <w:color w:val="000000"/>
                <w:szCs w:val="21"/>
                <w:highlight w:val="none"/>
              </w:rPr>
            </w:pPr>
            <w:r>
              <w:rPr>
                <w:color w:val="000000"/>
                <w:szCs w:val="21"/>
                <w:highlight w:val="none"/>
              </w:rPr>
              <w:t>甲苯</w:t>
            </w:r>
          </w:p>
        </w:tc>
        <w:tc>
          <w:tcPr>
            <w:tcW w:w="1251" w:type="pct"/>
            <w:vAlign w:val="center"/>
          </w:tcPr>
          <w:p>
            <w:pPr>
              <w:pStyle w:val="417"/>
              <w:spacing w:line="300" w:lineRule="exact"/>
              <w:jc w:val="center"/>
              <w:rPr>
                <w:color w:val="000000"/>
                <w:sz w:val="21"/>
                <w:szCs w:val="21"/>
                <w:highlight w:val="none"/>
              </w:rPr>
            </w:pPr>
            <w:r>
              <w:rPr>
                <w:color w:val="000000"/>
                <w:sz w:val="21"/>
                <w:szCs w:val="21"/>
                <w:highlight w:val="none"/>
              </w:rPr>
              <w:t>1200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3" w:hRule="atLeast"/>
        </w:trPr>
        <w:tc>
          <w:tcPr>
            <w:tcW w:w="1256" w:type="pct"/>
            <w:vAlign w:val="center"/>
          </w:tcPr>
          <w:p>
            <w:pPr>
              <w:spacing w:line="300" w:lineRule="exact"/>
              <w:jc w:val="center"/>
              <w:rPr>
                <w:color w:val="000000"/>
                <w:szCs w:val="21"/>
                <w:highlight w:val="none"/>
              </w:rPr>
            </w:pPr>
            <w:r>
              <w:rPr>
                <w:color w:val="000000"/>
                <w:szCs w:val="21"/>
                <w:highlight w:val="none"/>
              </w:rPr>
              <w:t>氯甲烷</w:t>
            </w:r>
          </w:p>
        </w:tc>
        <w:tc>
          <w:tcPr>
            <w:tcW w:w="1241" w:type="pct"/>
            <w:vAlign w:val="center"/>
          </w:tcPr>
          <w:p>
            <w:pPr>
              <w:pStyle w:val="417"/>
              <w:spacing w:line="300" w:lineRule="exact"/>
              <w:jc w:val="center"/>
              <w:rPr>
                <w:color w:val="000000"/>
                <w:sz w:val="21"/>
                <w:szCs w:val="21"/>
                <w:highlight w:val="none"/>
              </w:rPr>
            </w:pPr>
            <w:r>
              <w:rPr>
                <w:color w:val="000000"/>
                <w:sz w:val="21"/>
                <w:szCs w:val="21"/>
                <w:highlight w:val="none"/>
              </w:rPr>
              <w:t>37</w:t>
            </w:r>
          </w:p>
        </w:tc>
        <w:tc>
          <w:tcPr>
            <w:tcW w:w="1250" w:type="pct"/>
            <w:vAlign w:val="center"/>
          </w:tcPr>
          <w:p>
            <w:pPr>
              <w:spacing w:line="300" w:lineRule="exact"/>
              <w:jc w:val="center"/>
              <w:rPr>
                <w:color w:val="000000"/>
                <w:szCs w:val="21"/>
                <w:highlight w:val="none"/>
              </w:rPr>
            </w:pPr>
            <w:r>
              <w:rPr>
                <w:color w:val="000000"/>
                <w:szCs w:val="21"/>
                <w:highlight w:val="none"/>
              </w:rPr>
              <w:t>间二甲苯+对二甲苯</w:t>
            </w:r>
          </w:p>
        </w:tc>
        <w:tc>
          <w:tcPr>
            <w:tcW w:w="1251" w:type="pct"/>
            <w:vAlign w:val="center"/>
          </w:tcPr>
          <w:p>
            <w:pPr>
              <w:pStyle w:val="417"/>
              <w:spacing w:line="300" w:lineRule="exact"/>
              <w:jc w:val="center"/>
              <w:rPr>
                <w:color w:val="000000"/>
                <w:sz w:val="21"/>
                <w:szCs w:val="21"/>
                <w:highlight w:val="none"/>
              </w:rPr>
            </w:pPr>
            <w:r>
              <w:rPr>
                <w:color w:val="000000"/>
                <w:sz w:val="21"/>
                <w:szCs w:val="21"/>
                <w:highlight w:val="none"/>
              </w:rPr>
              <w:t>570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3" w:hRule="atLeast"/>
        </w:trPr>
        <w:tc>
          <w:tcPr>
            <w:tcW w:w="1256" w:type="pct"/>
            <w:vAlign w:val="center"/>
          </w:tcPr>
          <w:p>
            <w:pPr>
              <w:spacing w:line="300" w:lineRule="exact"/>
              <w:jc w:val="center"/>
              <w:rPr>
                <w:color w:val="000000"/>
                <w:szCs w:val="21"/>
                <w:highlight w:val="none"/>
              </w:rPr>
            </w:pPr>
            <w:r>
              <w:rPr>
                <w:color w:val="000000"/>
                <w:szCs w:val="21"/>
                <w:highlight w:val="none"/>
              </w:rPr>
              <w:t>1,1-二氯乙烷</w:t>
            </w:r>
          </w:p>
        </w:tc>
        <w:tc>
          <w:tcPr>
            <w:tcW w:w="1241" w:type="pct"/>
            <w:vAlign w:val="center"/>
          </w:tcPr>
          <w:p>
            <w:pPr>
              <w:pStyle w:val="417"/>
              <w:spacing w:line="300" w:lineRule="exact"/>
              <w:jc w:val="center"/>
              <w:rPr>
                <w:color w:val="000000"/>
                <w:sz w:val="21"/>
                <w:szCs w:val="21"/>
                <w:highlight w:val="none"/>
              </w:rPr>
            </w:pPr>
            <w:r>
              <w:rPr>
                <w:color w:val="000000"/>
                <w:sz w:val="21"/>
                <w:szCs w:val="21"/>
                <w:highlight w:val="none"/>
              </w:rPr>
              <w:t>9</w:t>
            </w:r>
          </w:p>
        </w:tc>
        <w:tc>
          <w:tcPr>
            <w:tcW w:w="1250" w:type="pct"/>
            <w:vAlign w:val="center"/>
          </w:tcPr>
          <w:p>
            <w:pPr>
              <w:spacing w:line="300" w:lineRule="exact"/>
              <w:jc w:val="center"/>
              <w:rPr>
                <w:color w:val="000000"/>
                <w:szCs w:val="21"/>
                <w:highlight w:val="none"/>
              </w:rPr>
            </w:pPr>
            <w:r>
              <w:rPr>
                <w:color w:val="000000"/>
                <w:szCs w:val="21"/>
                <w:highlight w:val="none"/>
              </w:rPr>
              <w:t>邻二甲苯</w:t>
            </w:r>
          </w:p>
        </w:tc>
        <w:tc>
          <w:tcPr>
            <w:tcW w:w="1251" w:type="pct"/>
            <w:vAlign w:val="center"/>
          </w:tcPr>
          <w:p>
            <w:pPr>
              <w:pStyle w:val="417"/>
              <w:spacing w:line="300" w:lineRule="exact"/>
              <w:jc w:val="center"/>
              <w:rPr>
                <w:color w:val="000000"/>
                <w:sz w:val="21"/>
                <w:szCs w:val="21"/>
                <w:highlight w:val="none"/>
              </w:rPr>
            </w:pPr>
            <w:r>
              <w:rPr>
                <w:color w:val="000000"/>
                <w:sz w:val="21"/>
                <w:szCs w:val="21"/>
                <w:highlight w:val="none"/>
              </w:rPr>
              <w:t>640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3" w:hRule="atLeast"/>
        </w:trPr>
        <w:tc>
          <w:tcPr>
            <w:tcW w:w="1256" w:type="pct"/>
            <w:vAlign w:val="center"/>
          </w:tcPr>
          <w:p>
            <w:pPr>
              <w:spacing w:line="300" w:lineRule="exact"/>
              <w:jc w:val="center"/>
              <w:rPr>
                <w:color w:val="000000"/>
                <w:szCs w:val="21"/>
                <w:highlight w:val="none"/>
              </w:rPr>
            </w:pPr>
            <w:r>
              <w:rPr>
                <w:color w:val="000000"/>
                <w:szCs w:val="21"/>
                <w:highlight w:val="none"/>
              </w:rPr>
              <w:t>1,2-二氯乙烷</w:t>
            </w:r>
          </w:p>
        </w:tc>
        <w:tc>
          <w:tcPr>
            <w:tcW w:w="1241" w:type="pct"/>
            <w:vAlign w:val="center"/>
          </w:tcPr>
          <w:p>
            <w:pPr>
              <w:pStyle w:val="417"/>
              <w:spacing w:line="300" w:lineRule="exact"/>
              <w:jc w:val="center"/>
              <w:rPr>
                <w:color w:val="000000"/>
                <w:sz w:val="21"/>
                <w:szCs w:val="21"/>
                <w:highlight w:val="none"/>
              </w:rPr>
            </w:pPr>
            <w:r>
              <w:rPr>
                <w:color w:val="000000"/>
                <w:sz w:val="21"/>
                <w:szCs w:val="21"/>
                <w:highlight w:val="none"/>
              </w:rPr>
              <w:t>5</w:t>
            </w:r>
          </w:p>
        </w:tc>
        <w:tc>
          <w:tcPr>
            <w:tcW w:w="1250" w:type="pct"/>
          </w:tcPr>
          <w:p>
            <w:pPr>
              <w:pStyle w:val="417"/>
              <w:spacing w:line="300" w:lineRule="exact"/>
              <w:jc w:val="center"/>
              <w:rPr>
                <w:color w:val="000000"/>
                <w:sz w:val="21"/>
                <w:szCs w:val="21"/>
                <w:highlight w:val="none"/>
              </w:rPr>
            </w:pPr>
            <w:r>
              <w:rPr>
                <w:color w:val="000000"/>
                <w:sz w:val="21"/>
                <w:szCs w:val="21"/>
                <w:highlight w:val="none"/>
              </w:rPr>
              <w:t>硝基苯</w:t>
            </w:r>
          </w:p>
        </w:tc>
        <w:tc>
          <w:tcPr>
            <w:tcW w:w="1251" w:type="pct"/>
            <w:vAlign w:val="center"/>
          </w:tcPr>
          <w:p>
            <w:pPr>
              <w:widowControl/>
              <w:jc w:val="center"/>
              <w:rPr>
                <w:bCs/>
                <w:color w:val="000000"/>
                <w:kern w:val="0"/>
                <w:highlight w:val="none"/>
              </w:rPr>
            </w:pPr>
            <w:r>
              <w:rPr>
                <w:color w:val="000000"/>
                <w:kern w:val="0"/>
                <w:highlight w:val="none"/>
              </w:rPr>
              <w:t>76</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3" w:hRule="atLeast"/>
        </w:trPr>
        <w:tc>
          <w:tcPr>
            <w:tcW w:w="1256" w:type="pct"/>
            <w:vAlign w:val="center"/>
          </w:tcPr>
          <w:p>
            <w:pPr>
              <w:spacing w:line="300" w:lineRule="exact"/>
              <w:jc w:val="center"/>
              <w:rPr>
                <w:color w:val="000000"/>
                <w:szCs w:val="21"/>
                <w:highlight w:val="none"/>
              </w:rPr>
            </w:pPr>
            <w:r>
              <w:rPr>
                <w:color w:val="000000"/>
                <w:szCs w:val="21"/>
                <w:highlight w:val="none"/>
              </w:rPr>
              <w:t>1,1-二氯乙烯</w:t>
            </w:r>
          </w:p>
        </w:tc>
        <w:tc>
          <w:tcPr>
            <w:tcW w:w="1241" w:type="pct"/>
            <w:vAlign w:val="center"/>
          </w:tcPr>
          <w:p>
            <w:pPr>
              <w:pStyle w:val="417"/>
              <w:spacing w:line="300" w:lineRule="exact"/>
              <w:jc w:val="center"/>
              <w:rPr>
                <w:color w:val="000000"/>
                <w:sz w:val="21"/>
                <w:szCs w:val="21"/>
                <w:highlight w:val="none"/>
              </w:rPr>
            </w:pPr>
            <w:r>
              <w:rPr>
                <w:color w:val="000000"/>
                <w:sz w:val="21"/>
                <w:szCs w:val="21"/>
                <w:highlight w:val="none"/>
              </w:rPr>
              <w:t>66</w:t>
            </w:r>
          </w:p>
        </w:tc>
        <w:tc>
          <w:tcPr>
            <w:tcW w:w="1250" w:type="pct"/>
          </w:tcPr>
          <w:p>
            <w:pPr>
              <w:pStyle w:val="417"/>
              <w:spacing w:line="300" w:lineRule="exact"/>
              <w:jc w:val="center"/>
              <w:rPr>
                <w:color w:val="000000"/>
                <w:sz w:val="21"/>
                <w:szCs w:val="21"/>
                <w:highlight w:val="none"/>
              </w:rPr>
            </w:pPr>
            <w:r>
              <w:rPr>
                <w:color w:val="000000"/>
                <w:sz w:val="21"/>
                <w:szCs w:val="21"/>
                <w:highlight w:val="none"/>
              </w:rPr>
              <w:t>苯胺</w:t>
            </w:r>
          </w:p>
        </w:tc>
        <w:tc>
          <w:tcPr>
            <w:tcW w:w="1251" w:type="pct"/>
            <w:vAlign w:val="center"/>
          </w:tcPr>
          <w:p>
            <w:pPr>
              <w:widowControl/>
              <w:jc w:val="center"/>
              <w:rPr>
                <w:bCs/>
                <w:color w:val="000000"/>
                <w:kern w:val="0"/>
                <w:highlight w:val="none"/>
              </w:rPr>
            </w:pPr>
            <w:r>
              <w:rPr>
                <w:color w:val="000000"/>
                <w:kern w:val="0"/>
                <w:highlight w:val="none"/>
              </w:rPr>
              <w:t>260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3" w:hRule="atLeast"/>
        </w:trPr>
        <w:tc>
          <w:tcPr>
            <w:tcW w:w="1256" w:type="pct"/>
            <w:vAlign w:val="center"/>
          </w:tcPr>
          <w:p>
            <w:pPr>
              <w:spacing w:line="300" w:lineRule="exact"/>
              <w:jc w:val="center"/>
              <w:rPr>
                <w:color w:val="000000"/>
                <w:szCs w:val="21"/>
                <w:highlight w:val="none"/>
              </w:rPr>
            </w:pPr>
            <w:r>
              <w:rPr>
                <w:color w:val="000000"/>
                <w:szCs w:val="21"/>
                <w:highlight w:val="none"/>
              </w:rPr>
              <w:t>顺-1,2二氯乙烯</w:t>
            </w:r>
          </w:p>
        </w:tc>
        <w:tc>
          <w:tcPr>
            <w:tcW w:w="1241" w:type="pct"/>
            <w:vAlign w:val="center"/>
          </w:tcPr>
          <w:p>
            <w:pPr>
              <w:pStyle w:val="417"/>
              <w:spacing w:line="300" w:lineRule="exact"/>
              <w:jc w:val="center"/>
              <w:rPr>
                <w:color w:val="000000"/>
                <w:sz w:val="21"/>
                <w:szCs w:val="21"/>
                <w:highlight w:val="none"/>
              </w:rPr>
            </w:pPr>
            <w:r>
              <w:rPr>
                <w:color w:val="000000"/>
                <w:sz w:val="21"/>
                <w:szCs w:val="21"/>
                <w:highlight w:val="none"/>
              </w:rPr>
              <w:t>596</w:t>
            </w:r>
          </w:p>
        </w:tc>
        <w:tc>
          <w:tcPr>
            <w:tcW w:w="1250" w:type="pct"/>
            <w:vAlign w:val="center"/>
          </w:tcPr>
          <w:p>
            <w:pPr>
              <w:widowControl/>
              <w:jc w:val="center"/>
              <w:rPr>
                <w:bCs/>
                <w:color w:val="000000"/>
                <w:kern w:val="0"/>
                <w:highlight w:val="none"/>
              </w:rPr>
            </w:pPr>
            <w:r>
              <w:rPr>
                <w:bCs/>
                <w:color w:val="000000"/>
                <w:kern w:val="0"/>
                <w:highlight w:val="none"/>
              </w:rPr>
              <w:t>2-氯酚</w:t>
            </w:r>
          </w:p>
        </w:tc>
        <w:tc>
          <w:tcPr>
            <w:tcW w:w="1251" w:type="pct"/>
            <w:vAlign w:val="center"/>
          </w:tcPr>
          <w:p>
            <w:pPr>
              <w:widowControl/>
              <w:jc w:val="center"/>
              <w:rPr>
                <w:bCs/>
                <w:color w:val="000000"/>
                <w:kern w:val="0"/>
                <w:highlight w:val="none"/>
              </w:rPr>
            </w:pPr>
            <w:r>
              <w:rPr>
                <w:color w:val="000000"/>
                <w:kern w:val="0"/>
                <w:highlight w:val="none"/>
              </w:rPr>
              <w:t>2256</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3" w:hRule="atLeast"/>
        </w:trPr>
        <w:tc>
          <w:tcPr>
            <w:tcW w:w="1256" w:type="pct"/>
            <w:vAlign w:val="center"/>
          </w:tcPr>
          <w:p>
            <w:pPr>
              <w:spacing w:line="300" w:lineRule="exact"/>
              <w:jc w:val="center"/>
              <w:rPr>
                <w:color w:val="000000"/>
                <w:szCs w:val="21"/>
                <w:highlight w:val="none"/>
              </w:rPr>
            </w:pPr>
            <w:r>
              <w:rPr>
                <w:color w:val="000000"/>
                <w:szCs w:val="21"/>
                <w:highlight w:val="none"/>
              </w:rPr>
              <w:t>反-1,2二氯乙烯</w:t>
            </w:r>
          </w:p>
        </w:tc>
        <w:tc>
          <w:tcPr>
            <w:tcW w:w="1241" w:type="pct"/>
            <w:vAlign w:val="center"/>
          </w:tcPr>
          <w:p>
            <w:pPr>
              <w:pStyle w:val="417"/>
              <w:spacing w:line="300" w:lineRule="exact"/>
              <w:jc w:val="center"/>
              <w:rPr>
                <w:color w:val="000000"/>
                <w:sz w:val="21"/>
                <w:szCs w:val="21"/>
                <w:highlight w:val="none"/>
              </w:rPr>
            </w:pPr>
            <w:r>
              <w:rPr>
                <w:color w:val="000000"/>
                <w:sz w:val="21"/>
                <w:szCs w:val="21"/>
                <w:highlight w:val="none"/>
              </w:rPr>
              <w:t>54</w:t>
            </w:r>
          </w:p>
        </w:tc>
        <w:tc>
          <w:tcPr>
            <w:tcW w:w="1250" w:type="pct"/>
            <w:vAlign w:val="center"/>
          </w:tcPr>
          <w:p>
            <w:pPr>
              <w:widowControl/>
              <w:jc w:val="center"/>
              <w:rPr>
                <w:bCs/>
                <w:color w:val="000000"/>
                <w:kern w:val="0"/>
                <w:highlight w:val="none"/>
              </w:rPr>
            </w:pPr>
            <w:r>
              <w:rPr>
                <w:bCs/>
                <w:color w:val="000000"/>
                <w:kern w:val="0"/>
                <w:highlight w:val="none"/>
              </w:rPr>
              <w:t>苯并[a]蒽</w:t>
            </w:r>
          </w:p>
        </w:tc>
        <w:tc>
          <w:tcPr>
            <w:tcW w:w="1251" w:type="pct"/>
            <w:vAlign w:val="center"/>
          </w:tcPr>
          <w:p>
            <w:pPr>
              <w:widowControl/>
              <w:jc w:val="center"/>
              <w:rPr>
                <w:bCs/>
                <w:color w:val="000000"/>
                <w:kern w:val="0"/>
                <w:highlight w:val="none"/>
              </w:rPr>
            </w:pPr>
            <w:r>
              <w:rPr>
                <w:color w:val="000000"/>
                <w:kern w:val="0"/>
                <w:highlight w:val="none"/>
              </w:rPr>
              <w:t>15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3" w:hRule="atLeast"/>
        </w:trPr>
        <w:tc>
          <w:tcPr>
            <w:tcW w:w="1256" w:type="pct"/>
            <w:vAlign w:val="center"/>
          </w:tcPr>
          <w:p>
            <w:pPr>
              <w:spacing w:line="300" w:lineRule="exact"/>
              <w:jc w:val="center"/>
              <w:rPr>
                <w:color w:val="000000"/>
                <w:szCs w:val="21"/>
                <w:highlight w:val="none"/>
              </w:rPr>
            </w:pPr>
            <w:r>
              <w:rPr>
                <w:color w:val="000000"/>
                <w:szCs w:val="21"/>
                <w:highlight w:val="none"/>
              </w:rPr>
              <w:t>二氯甲烷</w:t>
            </w:r>
          </w:p>
        </w:tc>
        <w:tc>
          <w:tcPr>
            <w:tcW w:w="1241" w:type="pct"/>
            <w:vAlign w:val="center"/>
          </w:tcPr>
          <w:p>
            <w:pPr>
              <w:pStyle w:val="417"/>
              <w:spacing w:line="300" w:lineRule="exact"/>
              <w:jc w:val="center"/>
              <w:rPr>
                <w:color w:val="000000"/>
                <w:sz w:val="21"/>
                <w:szCs w:val="21"/>
                <w:highlight w:val="none"/>
              </w:rPr>
            </w:pPr>
            <w:r>
              <w:rPr>
                <w:color w:val="000000"/>
                <w:sz w:val="21"/>
                <w:szCs w:val="21"/>
                <w:highlight w:val="none"/>
              </w:rPr>
              <w:t>616</w:t>
            </w:r>
          </w:p>
        </w:tc>
        <w:tc>
          <w:tcPr>
            <w:tcW w:w="1250" w:type="pct"/>
            <w:vAlign w:val="center"/>
          </w:tcPr>
          <w:p>
            <w:pPr>
              <w:widowControl/>
              <w:jc w:val="center"/>
              <w:rPr>
                <w:bCs/>
                <w:color w:val="000000"/>
                <w:kern w:val="0"/>
                <w:highlight w:val="none"/>
              </w:rPr>
            </w:pPr>
            <w:r>
              <w:rPr>
                <w:bCs/>
                <w:color w:val="000000"/>
                <w:kern w:val="0"/>
                <w:highlight w:val="none"/>
              </w:rPr>
              <w:t>苯并[a]芘</w:t>
            </w:r>
          </w:p>
        </w:tc>
        <w:tc>
          <w:tcPr>
            <w:tcW w:w="1251" w:type="pct"/>
            <w:vAlign w:val="center"/>
          </w:tcPr>
          <w:p>
            <w:pPr>
              <w:widowControl/>
              <w:jc w:val="center"/>
              <w:rPr>
                <w:bCs/>
                <w:color w:val="000000"/>
                <w:kern w:val="0"/>
                <w:highlight w:val="none"/>
              </w:rPr>
            </w:pPr>
            <w:r>
              <w:rPr>
                <w:color w:val="000000"/>
                <w:kern w:val="0"/>
                <w:highlight w:val="none"/>
              </w:rPr>
              <w:t>1.5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3" w:hRule="atLeast"/>
        </w:trPr>
        <w:tc>
          <w:tcPr>
            <w:tcW w:w="1256" w:type="pct"/>
            <w:vAlign w:val="center"/>
          </w:tcPr>
          <w:p>
            <w:pPr>
              <w:spacing w:line="300" w:lineRule="exact"/>
              <w:jc w:val="center"/>
              <w:rPr>
                <w:color w:val="000000"/>
                <w:szCs w:val="21"/>
                <w:highlight w:val="none"/>
              </w:rPr>
            </w:pPr>
            <w:r>
              <w:rPr>
                <w:color w:val="000000"/>
                <w:szCs w:val="21"/>
                <w:highlight w:val="none"/>
              </w:rPr>
              <w:t>1,2-二氯丙烷</w:t>
            </w:r>
          </w:p>
        </w:tc>
        <w:tc>
          <w:tcPr>
            <w:tcW w:w="1241" w:type="pct"/>
            <w:vAlign w:val="center"/>
          </w:tcPr>
          <w:p>
            <w:pPr>
              <w:pStyle w:val="417"/>
              <w:spacing w:line="300" w:lineRule="exact"/>
              <w:jc w:val="center"/>
              <w:rPr>
                <w:color w:val="000000"/>
                <w:sz w:val="21"/>
                <w:szCs w:val="21"/>
                <w:highlight w:val="none"/>
              </w:rPr>
            </w:pPr>
            <w:r>
              <w:rPr>
                <w:color w:val="000000"/>
                <w:sz w:val="21"/>
                <w:szCs w:val="21"/>
                <w:highlight w:val="none"/>
              </w:rPr>
              <w:t>5</w:t>
            </w:r>
          </w:p>
        </w:tc>
        <w:tc>
          <w:tcPr>
            <w:tcW w:w="1250" w:type="pct"/>
            <w:vAlign w:val="center"/>
          </w:tcPr>
          <w:p>
            <w:pPr>
              <w:widowControl/>
              <w:jc w:val="center"/>
              <w:rPr>
                <w:bCs/>
                <w:color w:val="000000"/>
                <w:kern w:val="0"/>
                <w:highlight w:val="none"/>
              </w:rPr>
            </w:pPr>
            <w:r>
              <w:rPr>
                <w:bCs/>
                <w:color w:val="000000"/>
                <w:kern w:val="0"/>
                <w:highlight w:val="none"/>
              </w:rPr>
              <w:t>苯并[b]荧蒽</w:t>
            </w:r>
          </w:p>
        </w:tc>
        <w:tc>
          <w:tcPr>
            <w:tcW w:w="1251" w:type="pct"/>
            <w:vAlign w:val="center"/>
          </w:tcPr>
          <w:p>
            <w:pPr>
              <w:widowControl/>
              <w:jc w:val="center"/>
              <w:rPr>
                <w:bCs/>
                <w:color w:val="000000"/>
                <w:kern w:val="0"/>
                <w:highlight w:val="none"/>
              </w:rPr>
            </w:pPr>
            <w:r>
              <w:rPr>
                <w:color w:val="000000"/>
                <w:kern w:val="0"/>
                <w:highlight w:val="none"/>
              </w:rPr>
              <w:t>15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3" w:hRule="atLeast"/>
        </w:trPr>
        <w:tc>
          <w:tcPr>
            <w:tcW w:w="1256" w:type="pct"/>
            <w:vAlign w:val="center"/>
          </w:tcPr>
          <w:p>
            <w:pPr>
              <w:spacing w:line="300" w:lineRule="exact"/>
              <w:jc w:val="center"/>
              <w:rPr>
                <w:color w:val="000000"/>
                <w:szCs w:val="21"/>
                <w:highlight w:val="none"/>
              </w:rPr>
            </w:pPr>
            <w:r>
              <w:rPr>
                <w:color w:val="000000"/>
                <w:szCs w:val="21"/>
                <w:highlight w:val="none"/>
              </w:rPr>
              <w:t>1,1,1,2-四氯乙烷</w:t>
            </w:r>
          </w:p>
        </w:tc>
        <w:tc>
          <w:tcPr>
            <w:tcW w:w="1241" w:type="pct"/>
            <w:vAlign w:val="center"/>
          </w:tcPr>
          <w:p>
            <w:pPr>
              <w:pStyle w:val="417"/>
              <w:spacing w:line="300" w:lineRule="exact"/>
              <w:jc w:val="center"/>
              <w:rPr>
                <w:color w:val="000000"/>
                <w:sz w:val="21"/>
                <w:szCs w:val="21"/>
                <w:highlight w:val="none"/>
              </w:rPr>
            </w:pPr>
            <w:r>
              <w:rPr>
                <w:color w:val="000000"/>
                <w:sz w:val="21"/>
                <w:szCs w:val="21"/>
                <w:highlight w:val="none"/>
              </w:rPr>
              <w:t>10</w:t>
            </w:r>
          </w:p>
        </w:tc>
        <w:tc>
          <w:tcPr>
            <w:tcW w:w="1250" w:type="pct"/>
            <w:vAlign w:val="center"/>
          </w:tcPr>
          <w:p>
            <w:pPr>
              <w:widowControl/>
              <w:jc w:val="center"/>
              <w:rPr>
                <w:bCs/>
                <w:color w:val="000000"/>
                <w:kern w:val="0"/>
                <w:highlight w:val="none"/>
              </w:rPr>
            </w:pPr>
            <w:r>
              <w:rPr>
                <w:bCs/>
                <w:color w:val="000000"/>
                <w:kern w:val="0"/>
                <w:highlight w:val="none"/>
              </w:rPr>
              <w:t>苯并[k]荧蒽</w:t>
            </w:r>
          </w:p>
        </w:tc>
        <w:tc>
          <w:tcPr>
            <w:tcW w:w="1251" w:type="pct"/>
            <w:vAlign w:val="center"/>
          </w:tcPr>
          <w:p>
            <w:pPr>
              <w:widowControl/>
              <w:jc w:val="center"/>
              <w:rPr>
                <w:bCs/>
                <w:color w:val="000000"/>
                <w:kern w:val="0"/>
                <w:highlight w:val="none"/>
              </w:rPr>
            </w:pPr>
            <w:r>
              <w:rPr>
                <w:color w:val="000000"/>
                <w:kern w:val="0"/>
                <w:highlight w:val="none"/>
              </w:rPr>
              <w:t>151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3" w:hRule="atLeast"/>
        </w:trPr>
        <w:tc>
          <w:tcPr>
            <w:tcW w:w="1256" w:type="pct"/>
            <w:vAlign w:val="center"/>
          </w:tcPr>
          <w:p>
            <w:pPr>
              <w:spacing w:line="300" w:lineRule="exact"/>
              <w:jc w:val="center"/>
              <w:rPr>
                <w:color w:val="000000"/>
                <w:szCs w:val="21"/>
                <w:highlight w:val="none"/>
              </w:rPr>
            </w:pPr>
            <w:r>
              <w:rPr>
                <w:color w:val="000000"/>
                <w:szCs w:val="21"/>
                <w:highlight w:val="none"/>
              </w:rPr>
              <w:t>1,1,2,2-四氯乙烷</w:t>
            </w:r>
          </w:p>
        </w:tc>
        <w:tc>
          <w:tcPr>
            <w:tcW w:w="1241" w:type="pct"/>
            <w:vAlign w:val="center"/>
          </w:tcPr>
          <w:p>
            <w:pPr>
              <w:pStyle w:val="417"/>
              <w:spacing w:line="300" w:lineRule="exact"/>
              <w:jc w:val="center"/>
              <w:rPr>
                <w:color w:val="000000"/>
                <w:sz w:val="21"/>
                <w:szCs w:val="21"/>
                <w:highlight w:val="none"/>
              </w:rPr>
            </w:pPr>
            <w:r>
              <w:rPr>
                <w:color w:val="000000"/>
                <w:sz w:val="21"/>
                <w:szCs w:val="21"/>
                <w:highlight w:val="none"/>
              </w:rPr>
              <w:t>6.8</w:t>
            </w:r>
          </w:p>
        </w:tc>
        <w:tc>
          <w:tcPr>
            <w:tcW w:w="1250" w:type="pct"/>
            <w:vAlign w:val="center"/>
          </w:tcPr>
          <w:p>
            <w:pPr>
              <w:widowControl/>
              <w:jc w:val="center"/>
              <w:rPr>
                <w:color w:val="000000"/>
                <w:highlight w:val="none"/>
              </w:rPr>
            </w:pPr>
            <w:r>
              <w:rPr>
                <w:bCs/>
                <w:color w:val="000000"/>
                <w:kern w:val="0"/>
                <w:highlight w:val="none"/>
              </w:rPr>
              <w:t>䓛</w:t>
            </w:r>
          </w:p>
        </w:tc>
        <w:tc>
          <w:tcPr>
            <w:tcW w:w="1251" w:type="pct"/>
            <w:vAlign w:val="center"/>
          </w:tcPr>
          <w:p>
            <w:pPr>
              <w:widowControl/>
              <w:jc w:val="center"/>
              <w:rPr>
                <w:bCs/>
                <w:color w:val="000000"/>
                <w:kern w:val="0"/>
                <w:highlight w:val="none"/>
              </w:rPr>
            </w:pPr>
            <w:r>
              <w:rPr>
                <w:color w:val="000000"/>
                <w:kern w:val="0"/>
                <w:highlight w:val="none"/>
              </w:rPr>
              <w:t>1293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3" w:hRule="atLeast"/>
        </w:trPr>
        <w:tc>
          <w:tcPr>
            <w:tcW w:w="1256" w:type="pct"/>
            <w:vAlign w:val="center"/>
          </w:tcPr>
          <w:p>
            <w:pPr>
              <w:spacing w:line="300" w:lineRule="exact"/>
              <w:jc w:val="center"/>
              <w:rPr>
                <w:color w:val="000000"/>
                <w:szCs w:val="21"/>
                <w:highlight w:val="none"/>
              </w:rPr>
            </w:pPr>
            <w:r>
              <w:rPr>
                <w:color w:val="000000"/>
                <w:szCs w:val="21"/>
                <w:highlight w:val="none"/>
              </w:rPr>
              <w:t>四氯乙烯</w:t>
            </w:r>
          </w:p>
        </w:tc>
        <w:tc>
          <w:tcPr>
            <w:tcW w:w="1241" w:type="pct"/>
            <w:vAlign w:val="center"/>
          </w:tcPr>
          <w:p>
            <w:pPr>
              <w:pStyle w:val="417"/>
              <w:spacing w:line="300" w:lineRule="exact"/>
              <w:jc w:val="center"/>
              <w:rPr>
                <w:color w:val="000000"/>
                <w:sz w:val="21"/>
                <w:szCs w:val="21"/>
                <w:highlight w:val="none"/>
              </w:rPr>
            </w:pPr>
            <w:r>
              <w:rPr>
                <w:color w:val="000000"/>
                <w:sz w:val="21"/>
                <w:szCs w:val="21"/>
                <w:highlight w:val="none"/>
              </w:rPr>
              <w:t>53</w:t>
            </w:r>
          </w:p>
        </w:tc>
        <w:tc>
          <w:tcPr>
            <w:tcW w:w="1250" w:type="pct"/>
            <w:vAlign w:val="center"/>
          </w:tcPr>
          <w:p>
            <w:pPr>
              <w:widowControl/>
              <w:jc w:val="center"/>
              <w:rPr>
                <w:color w:val="000000"/>
                <w:highlight w:val="none"/>
              </w:rPr>
            </w:pPr>
            <w:r>
              <w:rPr>
                <w:bCs/>
                <w:color w:val="000000"/>
                <w:kern w:val="0"/>
                <w:highlight w:val="none"/>
              </w:rPr>
              <w:t>二苯并[a,h]蒽</w:t>
            </w:r>
          </w:p>
        </w:tc>
        <w:tc>
          <w:tcPr>
            <w:tcW w:w="1251" w:type="pct"/>
            <w:vAlign w:val="center"/>
          </w:tcPr>
          <w:p>
            <w:pPr>
              <w:widowControl/>
              <w:jc w:val="center"/>
              <w:rPr>
                <w:bCs/>
                <w:color w:val="000000"/>
                <w:kern w:val="0"/>
                <w:highlight w:val="none"/>
              </w:rPr>
            </w:pPr>
            <w:r>
              <w:rPr>
                <w:color w:val="000000"/>
                <w:kern w:val="0"/>
                <w:highlight w:val="none"/>
              </w:rPr>
              <w:t>1.5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3" w:hRule="atLeast"/>
        </w:trPr>
        <w:tc>
          <w:tcPr>
            <w:tcW w:w="1256" w:type="pct"/>
            <w:vAlign w:val="center"/>
          </w:tcPr>
          <w:p>
            <w:pPr>
              <w:spacing w:line="300" w:lineRule="exact"/>
              <w:jc w:val="center"/>
              <w:rPr>
                <w:color w:val="000000"/>
                <w:szCs w:val="21"/>
                <w:highlight w:val="none"/>
              </w:rPr>
            </w:pPr>
            <w:r>
              <w:rPr>
                <w:color w:val="000000"/>
                <w:szCs w:val="21"/>
                <w:highlight w:val="none"/>
              </w:rPr>
              <w:t>1,1,1-三氯乙烷</w:t>
            </w:r>
          </w:p>
        </w:tc>
        <w:tc>
          <w:tcPr>
            <w:tcW w:w="1241" w:type="pct"/>
            <w:vAlign w:val="center"/>
          </w:tcPr>
          <w:p>
            <w:pPr>
              <w:pStyle w:val="417"/>
              <w:spacing w:line="300" w:lineRule="exact"/>
              <w:jc w:val="center"/>
              <w:rPr>
                <w:color w:val="000000"/>
                <w:sz w:val="21"/>
                <w:szCs w:val="21"/>
                <w:highlight w:val="none"/>
              </w:rPr>
            </w:pPr>
            <w:r>
              <w:rPr>
                <w:color w:val="000000"/>
                <w:sz w:val="21"/>
                <w:szCs w:val="21"/>
                <w:highlight w:val="none"/>
              </w:rPr>
              <w:t>840</w:t>
            </w:r>
          </w:p>
        </w:tc>
        <w:tc>
          <w:tcPr>
            <w:tcW w:w="1250" w:type="pct"/>
            <w:vAlign w:val="center"/>
          </w:tcPr>
          <w:p>
            <w:pPr>
              <w:widowControl/>
              <w:jc w:val="center"/>
              <w:rPr>
                <w:color w:val="000000"/>
                <w:highlight w:val="none"/>
              </w:rPr>
            </w:pPr>
            <w:r>
              <w:rPr>
                <w:bCs/>
                <w:color w:val="000000"/>
                <w:kern w:val="0"/>
                <w:highlight w:val="none"/>
              </w:rPr>
              <w:t>茚并[1,2,3-cd]芘</w:t>
            </w:r>
          </w:p>
        </w:tc>
        <w:tc>
          <w:tcPr>
            <w:tcW w:w="1251" w:type="pct"/>
            <w:vAlign w:val="center"/>
          </w:tcPr>
          <w:p>
            <w:pPr>
              <w:widowControl/>
              <w:jc w:val="center"/>
              <w:rPr>
                <w:bCs/>
                <w:color w:val="000000"/>
                <w:kern w:val="0"/>
                <w:highlight w:val="none"/>
              </w:rPr>
            </w:pPr>
            <w:r>
              <w:rPr>
                <w:color w:val="000000"/>
                <w:kern w:val="0"/>
                <w:highlight w:val="none"/>
              </w:rPr>
              <w:t>15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3" w:hRule="atLeast"/>
        </w:trPr>
        <w:tc>
          <w:tcPr>
            <w:tcW w:w="1256" w:type="pct"/>
            <w:vAlign w:val="center"/>
          </w:tcPr>
          <w:p>
            <w:pPr>
              <w:spacing w:line="300" w:lineRule="exact"/>
              <w:jc w:val="center"/>
              <w:rPr>
                <w:color w:val="000000"/>
                <w:szCs w:val="21"/>
                <w:highlight w:val="none"/>
              </w:rPr>
            </w:pPr>
            <w:r>
              <w:rPr>
                <w:color w:val="000000"/>
                <w:szCs w:val="21"/>
                <w:highlight w:val="none"/>
              </w:rPr>
              <w:t>1,1,2-三氯乙烷</w:t>
            </w:r>
          </w:p>
        </w:tc>
        <w:tc>
          <w:tcPr>
            <w:tcW w:w="1241" w:type="pct"/>
            <w:vAlign w:val="center"/>
          </w:tcPr>
          <w:p>
            <w:pPr>
              <w:pStyle w:val="417"/>
              <w:spacing w:line="300" w:lineRule="exact"/>
              <w:jc w:val="center"/>
              <w:rPr>
                <w:color w:val="000000"/>
                <w:sz w:val="21"/>
                <w:szCs w:val="21"/>
                <w:highlight w:val="none"/>
              </w:rPr>
            </w:pPr>
            <w:r>
              <w:rPr>
                <w:color w:val="000000"/>
                <w:sz w:val="21"/>
                <w:szCs w:val="21"/>
                <w:highlight w:val="none"/>
              </w:rPr>
              <w:t>2.8</w:t>
            </w:r>
          </w:p>
        </w:tc>
        <w:tc>
          <w:tcPr>
            <w:tcW w:w="1250" w:type="pct"/>
            <w:vAlign w:val="center"/>
          </w:tcPr>
          <w:p>
            <w:pPr>
              <w:widowControl/>
              <w:jc w:val="center"/>
              <w:rPr>
                <w:color w:val="000000"/>
                <w:highlight w:val="none"/>
              </w:rPr>
            </w:pPr>
            <w:r>
              <w:rPr>
                <w:bCs/>
                <w:color w:val="000000"/>
                <w:kern w:val="0"/>
                <w:highlight w:val="none"/>
              </w:rPr>
              <w:t>萘</w:t>
            </w:r>
          </w:p>
        </w:tc>
        <w:tc>
          <w:tcPr>
            <w:tcW w:w="1251" w:type="pct"/>
            <w:vAlign w:val="center"/>
          </w:tcPr>
          <w:p>
            <w:pPr>
              <w:widowControl/>
              <w:jc w:val="center"/>
              <w:rPr>
                <w:bCs/>
                <w:color w:val="000000"/>
                <w:kern w:val="0"/>
                <w:highlight w:val="none"/>
              </w:rPr>
            </w:pPr>
            <w:r>
              <w:rPr>
                <w:color w:val="000000"/>
                <w:kern w:val="0"/>
                <w:highlight w:val="none"/>
              </w:rPr>
              <w:t>70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63" w:hRule="atLeast"/>
        </w:trPr>
        <w:tc>
          <w:tcPr>
            <w:tcW w:w="1256" w:type="pct"/>
            <w:vAlign w:val="center"/>
          </w:tcPr>
          <w:p>
            <w:pPr>
              <w:spacing w:line="300" w:lineRule="exact"/>
              <w:jc w:val="center"/>
              <w:rPr>
                <w:color w:val="000000"/>
                <w:szCs w:val="21"/>
                <w:highlight w:val="none"/>
              </w:rPr>
            </w:pPr>
            <w:r>
              <w:rPr>
                <w:color w:val="000000"/>
                <w:szCs w:val="21"/>
                <w:highlight w:val="none"/>
              </w:rPr>
              <w:t>三氯乙烯</w:t>
            </w:r>
          </w:p>
        </w:tc>
        <w:tc>
          <w:tcPr>
            <w:tcW w:w="1241" w:type="pct"/>
            <w:vAlign w:val="center"/>
          </w:tcPr>
          <w:p>
            <w:pPr>
              <w:pStyle w:val="417"/>
              <w:spacing w:line="300" w:lineRule="exact"/>
              <w:jc w:val="center"/>
              <w:rPr>
                <w:color w:val="000000"/>
                <w:sz w:val="21"/>
                <w:szCs w:val="21"/>
                <w:highlight w:val="none"/>
              </w:rPr>
            </w:pPr>
            <w:r>
              <w:rPr>
                <w:color w:val="000000"/>
                <w:sz w:val="21"/>
                <w:szCs w:val="21"/>
                <w:highlight w:val="none"/>
              </w:rPr>
              <w:t>2.8</w:t>
            </w:r>
          </w:p>
        </w:tc>
        <w:tc>
          <w:tcPr>
            <w:tcW w:w="1250" w:type="pct"/>
            <w:vAlign w:val="center"/>
          </w:tcPr>
          <w:p>
            <w:pPr>
              <w:widowControl/>
              <w:jc w:val="center"/>
              <w:rPr>
                <w:color w:val="000000"/>
                <w:highlight w:val="none"/>
              </w:rPr>
            </w:pPr>
            <w:r>
              <w:rPr>
                <w:color w:val="000000"/>
                <w:highlight w:val="none"/>
              </w:rPr>
              <w:t>石油烃</w:t>
            </w:r>
          </w:p>
        </w:tc>
        <w:tc>
          <w:tcPr>
            <w:tcW w:w="1251" w:type="pct"/>
            <w:vAlign w:val="center"/>
          </w:tcPr>
          <w:p>
            <w:pPr>
              <w:widowControl/>
              <w:jc w:val="center"/>
              <w:rPr>
                <w:bCs/>
                <w:color w:val="000000"/>
                <w:kern w:val="0"/>
                <w:highlight w:val="none"/>
              </w:rPr>
            </w:pPr>
            <w:r>
              <w:rPr>
                <w:color w:val="000000"/>
                <w:kern w:val="0"/>
                <w:highlight w:val="none"/>
              </w:rPr>
              <w:t>4500</w:t>
            </w:r>
          </w:p>
        </w:tc>
      </w:tr>
    </w:tbl>
    <w:p>
      <w:pPr>
        <w:pStyle w:val="98"/>
        <w:keepNext w:val="0"/>
        <w:keepLines w:val="0"/>
        <w:pageBreakBefore w:val="0"/>
        <w:widowControl w:val="0"/>
        <w:kinsoku/>
        <w:wordWrap/>
        <w:overflowPunct/>
        <w:topLinePunct w:val="0"/>
        <w:autoSpaceDE/>
        <w:autoSpaceDN/>
        <w:bidi w:val="0"/>
        <w:adjustRightInd/>
        <w:snapToGrid/>
        <w:spacing w:after="0"/>
        <w:ind w:left="0" w:leftChars="0" w:right="0" w:rightChars="0" w:firstLine="0" w:firstLineChars="0"/>
        <w:jc w:val="center"/>
        <w:textAlignment w:val="auto"/>
        <w:rPr>
          <w:rFonts w:hint="eastAsia" w:ascii="Times New Roman" w:hAnsi="Times New Roman" w:eastAsia="宋体" w:cs="Times New Roman"/>
          <w:b/>
          <w:snapToGrid w:val="0"/>
          <w:color w:val="auto"/>
          <w:kern w:val="2"/>
          <w:sz w:val="24"/>
          <w:szCs w:val="22"/>
          <w:highlight w:val="none"/>
          <w:lang w:val="en-US" w:eastAsia="zh-CN" w:bidi="ar-SA"/>
        </w:rPr>
      </w:pPr>
    </w:p>
    <w:p>
      <w:pPr>
        <w:pStyle w:val="98"/>
        <w:keepNext w:val="0"/>
        <w:keepLines w:val="0"/>
        <w:pageBreakBefore w:val="0"/>
        <w:widowControl w:val="0"/>
        <w:kinsoku/>
        <w:wordWrap/>
        <w:overflowPunct/>
        <w:topLinePunct w:val="0"/>
        <w:autoSpaceDE/>
        <w:autoSpaceDN/>
        <w:bidi w:val="0"/>
        <w:adjustRightInd/>
        <w:snapToGrid/>
        <w:spacing w:after="0"/>
        <w:ind w:left="0" w:leftChars="0" w:right="0" w:rightChars="0" w:firstLine="0" w:firstLineChars="0"/>
        <w:jc w:val="center"/>
        <w:textAlignment w:val="auto"/>
        <w:rPr>
          <w:rFonts w:hint="default" w:ascii="Times New Roman" w:hAnsi="Times New Roman" w:eastAsia="宋体" w:cs="Times New Roman"/>
          <w:b/>
          <w:snapToGrid w:val="0"/>
          <w:color w:val="auto"/>
          <w:kern w:val="2"/>
          <w:sz w:val="24"/>
          <w:szCs w:val="22"/>
          <w:highlight w:val="none"/>
          <w:lang w:val="en-US" w:eastAsia="zh-CN" w:bidi="ar-SA"/>
        </w:rPr>
      </w:pPr>
      <w:r>
        <w:rPr>
          <w:rFonts w:hint="eastAsia" w:ascii="Times New Roman" w:hAnsi="Times New Roman" w:eastAsia="宋体" w:cs="Times New Roman"/>
          <w:b/>
          <w:snapToGrid w:val="0"/>
          <w:color w:val="auto"/>
          <w:kern w:val="2"/>
          <w:sz w:val="24"/>
          <w:szCs w:val="22"/>
          <w:highlight w:val="none"/>
          <w:lang w:val="en-US" w:eastAsia="zh-CN" w:bidi="ar-SA"/>
        </w:rPr>
        <w:t>表</w:t>
      </w:r>
      <w:bookmarkEnd w:id="69"/>
      <w:r>
        <w:rPr>
          <w:rFonts w:hint="eastAsia" w:ascii="Times New Roman" w:hAnsi="Times New Roman" w:eastAsia="宋体" w:cs="Times New Roman"/>
          <w:b/>
          <w:snapToGrid w:val="0"/>
          <w:color w:val="auto"/>
          <w:kern w:val="2"/>
          <w:sz w:val="24"/>
          <w:szCs w:val="22"/>
          <w:highlight w:val="none"/>
          <w:lang w:val="en-US" w:eastAsia="zh-CN" w:bidi="ar-SA"/>
        </w:rPr>
        <w:t>1.4-6  农用地土壤污染风险筛选值  单位：mg/kg</w:t>
      </w:r>
    </w:p>
    <w:tbl>
      <w:tblPr>
        <w:tblStyle w:val="51"/>
        <w:tblW w:w="5000" w:type="pct"/>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autofit"/>
        <w:tblCellMar>
          <w:top w:w="0" w:type="dxa"/>
          <w:left w:w="57" w:type="dxa"/>
          <w:bottom w:w="0" w:type="dxa"/>
          <w:right w:w="57" w:type="dxa"/>
        </w:tblCellMar>
      </w:tblPr>
      <w:tblGrid>
        <w:gridCol w:w="678"/>
        <w:gridCol w:w="632"/>
        <w:gridCol w:w="1898"/>
        <w:gridCol w:w="1388"/>
        <w:gridCol w:w="1641"/>
        <w:gridCol w:w="1334"/>
        <w:gridCol w:w="849"/>
      </w:tblGrid>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57" w:type="dxa"/>
            <w:bottom w:w="0" w:type="dxa"/>
            <w:right w:w="57" w:type="dxa"/>
          </w:tblCellMar>
        </w:tblPrEx>
        <w:trPr>
          <w:cantSplit/>
          <w:tblHeader/>
          <w:jc w:val="center"/>
        </w:trPr>
        <w:tc>
          <w:tcPr>
            <w:tcW w:w="403" w:type="pct"/>
            <w:vMerge w:val="restar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序号</w:t>
            </w:r>
          </w:p>
        </w:tc>
        <w:tc>
          <w:tcPr>
            <w:tcW w:w="1502" w:type="pct"/>
            <w:gridSpan w:val="2"/>
            <w:vMerge w:val="restar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污染物项目</w:t>
            </w:r>
          </w:p>
        </w:tc>
        <w:tc>
          <w:tcPr>
            <w:tcW w:w="3094" w:type="pct"/>
            <w:gridSpan w:val="4"/>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风险筛选值</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57" w:type="dxa"/>
            <w:bottom w:w="0" w:type="dxa"/>
            <w:right w:w="57" w:type="dxa"/>
          </w:tblCellMar>
        </w:tblPrEx>
        <w:trPr>
          <w:cantSplit/>
          <w:tblHeader/>
          <w:jc w:val="center"/>
        </w:trPr>
        <w:tc>
          <w:tcPr>
            <w:tcW w:w="403" w:type="pct"/>
            <w:vMerge w:val="continue"/>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p>
        </w:tc>
        <w:tc>
          <w:tcPr>
            <w:tcW w:w="1502" w:type="pct"/>
            <w:gridSpan w:val="2"/>
            <w:vMerge w:val="continue"/>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p>
        </w:tc>
        <w:tc>
          <w:tcPr>
            <w:tcW w:w="82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pH</w:t>
            </w:r>
            <w:r>
              <w:rPr>
                <w:rFonts w:hint="eastAsia"/>
                <w:color w:val="auto"/>
                <w:highlight w:val="none"/>
              </w:rPr>
              <w:t>≤</w:t>
            </w:r>
            <w:r>
              <w:rPr>
                <w:color w:val="auto"/>
                <w:highlight w:val="none"/>
              </w:rPr>
              <w:t>5.5</w:t>
            </w:r>
          </w:p>
        </w:tc>
        <w:tc>
          <w:tcPr>
            <w:tcW w:w="97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5.5</w:t>
            </w:r>
            <w:r>
              <w:rPr>
                <w:rFonts w:hint="eastAsia"/>
                <w:color w:val="auto"/>
                <w:highlight w:val="none"/>
              </w:rPr>
              <w:t>＜</w:t>
            </w:r>
            <w:r>
              <w:rPr>
                <w:color w:val="auto"/>
                <w:highlight w:val="none"/>
              </w:rPr>
              <w:t>pH</w:t>
            </w:r>
            <w:r>
              <w:rPr>
                <w:rFonts w:hint="eastAsia"/>
                <w:color w:val="auto"/>
                <w:highlight w:val="none"/>
              </w:rPr>
              <w:t>≤</w:t>
            </w:r>
            <w:r>
              <w:rPr>
                <w:color w:val="auto"/>
                <w:highlight w:val="none"/>
              </w:rPr>
              <w:t>6.5</w:t>
            </w:r>
          </w:p>
        </w:tc>
        <w:tc>
          <w:tcPr>
            <w:tcW w:w="79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6.5</w:t>
            </w:r>
            <w:r>
              <w:rPr>
                <w:rFonts w:hint="eastAsia"/>
                <w:color w:val="auto"/>
                <w:highlight w:val="none"/>
              </w:rPr>
              <w:t>＜</w:t>
            </w:r>
            <w:r>
              <w:rPr>
                <w:color w:val="auto"/>
                <w:highlight w:val="none"/>
              </w:rPr>
              <w:t>pH</w:t>
            </w:r>
            <w:r>
              <w:rPr>
                <w:rFonts w:hint="eastAsia"/>
                <w:color w:val="auto"/>
                <w:highlight w:val="none"/>
              </w:rPr>
              <w:t>≤</w:t>
            </w:r>
            <w:r>
              <w:rPr>
                <w:color w:val="auto"/>
                <w:highlight w:val="none"/>
              </w:rPr>
              <w:t>7.5</w:t>
            </w:r>
          </w:p>
        </w:tc>
        <w:tc>
          <w:tcPr>
            <w:tcW w:w="50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pH</w:t>
            </w:r>
            <w:r>
              <w:rPr>
                <w:rFonts w:hint="eastAsia"/>
                <w:color w:val="auto"/>
                <w:highlight w:val="none"/>
              </w:rPr>
              <w:t>＞</w:t>
            </w:r>
            <w:r>
              <w:rPr>
                <w:color w:val="auto"/>
                <w:highlight w:val="none"/>
              </w:rPr>
              <w:t>7.5</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57" w:type="dxa"/>
            <w:bottom w:w="0" w:type="dxa"/>
            <w:right w:w="57" w:type="dxa"/>
          </w:tblCellMar>
        </w:tblPrEx>
        <w:trPr>
          <w:cantSplit/>
          <w:jc w:val="center"/>
        </w:trPr>
        <w:tc>
          <w:tcPr>
            <w:tcW w:w="403" w:type="pct"/>
            <w:vMerge w:val="restar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1</w:t>
            </w:r>
          </w:p>
        </w:tc>
        <w:tc>
          <w:tcPr>
            <w:tcW w:w="375" w:type="pct"/>
            <w:vMerge w:val="restar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Cr</w:t>
            </w:r>
          </w:p>
        </w:tc>
        <w:tc>
          <w:tcPr>
            <w:tcW w:w="1126"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水田</w:t>
            </w:r>
          </w:p>
        </w:tc>
        <w:tc>
          <w:tcPr>
            <w:tcW w:w="82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250</w:t>
            </w:r>
          </w:p>
        </w:tc>
        <w:tc>
          <w:tcPr>
            <w:tcW w:w="97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250</w:t>
            </w:r>
          </w:p>
        </w:tc>
        <w:tc>
          <w:tcPr>
            <w:tcW w:w="79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300</w:t>
            </w:r>
          </w:p>
        </w:tc>
        <w:tc>
          <w:tcPr>
            <w:tcW w:w="50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350</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57" w:type="dxa"/>
            <w:bottom w:w="0" w:type="dxa"/>
            <w:right w:w="57" w:type="dxa"/>
          </w:tblCellMar>
        </w:tblPrEx>
        <w:trPr>
          <w:cantSplit/>
          <w:jc w:val="center"/>
        </w:trPr>
        <w:tc>
          <w:tcPr>
            <w:tcW w:w="403" w:type="pct"/>
            <w:vMerge w:val="continue"/>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p>
        </w:tc>
        <w:tc>
          <w:tcPr>
            <w:tcW w:w="375" w:type="pct"/>
            <w:vMerge w:val="continue"/>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p>
        </w:tc>
        <w:tc>
          <w:tcPr>
            <w:tcW w:w="1126"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其他</w:t>
            </w:r>
          </w:p>
        </w:tc>
        <w:tc>
          <w:tcPr>
            <w:tcW w:w="82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150</w:t>
            </w:r>
          </w:p>
        </w:tc>
        <w:tc>
          <w:tcPr>
            <w:tcW w:w="97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150</w:t>
            </w:r>
          </w:p>
        </w:tc>
        <w:tc>
          <w:tcPr>
            <w:tcW w:w="79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200</w:t>
            </w:r>
          </w:p>
        </w:tc>
        <w:tc>
          <w:tcPr>
            <w:tcW w:w="50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250</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57" w:type="dxa"/>
            <w:bottom w:w="0" w:type="dxa"/>
            <w:right w:w="57" w:type="dxa"/>
          </w:tblCellMar>
        </w:tblPrEx>
        <w:trPr>
          <w:cantSplit/>
          <w:jc w:val="center"/>
        </w:trPr>
        <w:tc>
          <w:tcPr>
            <w:tcW w:w="403" w:type="pct"/>
            <w:vMerge w:val="restar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2</w:t>
            </w:r>
          </w:p>
        </w:tc>
        <w:tc>
          <w:tcPr>
            <w:tcW w:w="375" w:type="pct"/>
            <w:vMerge w:val="restar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Hg</w:t>
            </w:r>
          </w:p>
        </w:tc>
        <w:tc>
          <w:tcPr>
            <w:tcW w:w="1126"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水田</w:t>
            </w:r>
          </w:p>
        </w:tc>
        <w:tc>
          <w:tcPr>
            <w:tcW w:w="82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0.5</w:t>
            </w:r>
          </w:p>
        </w:tc>
        <w:tc>
          <w:tcPr>
            <w:tcW w:w="97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0.5</w:t>
            </w:r>
          </w:p>
        </w:tc>
        <w:tc>
          <w:tcPr>
            <w:tcW w:w="79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0.6</w:t>
            </w:r>
          </w:p>
        </w:tc>
        <w:tc>
          <w:tcPr>
            <w:tcW w:w="50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1.0</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57" w:type="dxa"/>
            <w:bottom w:w="0" w:type="dxa"/>
            <w:right w:w="57" w:type="dxa"/>
          </w:tblCellMar>
        </w:tblPrEx>
        <w:trPr>
          <w:cantSplit/>
          <w:jc w:val="center"/>
        </w:trPr>
        <w:tc>
          <w:tcPr>
            <w:tcW w:w="403" w:type="pct"/>
            <w:vMerge w:val="continue"/>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p>
        </w:tc>
        <w:tc>
          <w:tcPr>
            <w:tcW w:w="375" w:type="pct"/>
            <w:vMerge w:val="continue"/>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p>
        </w:tc>
        <w:tc>
          <w:tcPr>
            <w:tcW w:w="1126"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其他</w:t>
            </w:r>
          </w:p>
        </w:tc>
        <w:tc>
          <w:tcPr>
            <w:tcW w:w="82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1.3</w:t>
            </w:r>
          </w:p>
        </w:tc>
        <w:tc>
          <w:tcPr>
            <w:tcW w:w="97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1.8</w:t>
            </w:r>
          </w:p>
        </w:tc>
        <w:tc>
          <w:tcPr>
            <w:tcW w:w="79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2.4</w:t>
            </w:r>
          </w:p>
        </w:tc>
        <w:tc>
          <w:tcPr>
            <w:tcW w:w="50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3.4</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57" w:type="dxa"/>
            <w:bottom w:w="0" w:type="dxa"/>
            <w:right w:w="57" w:type="dxa"/>
          </w:tblCellMar>
        </w:tblPrEx>
        <w:trPr>
          <w:cantSplit/>
          <w:jc w:val="center"/>
        </w:trPr>
        <w:tc>
          <w:tcPr>
            <w:tcW w:w="403" w:type="pct"/>
            <w:vMerge w:val="restar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3</w:t>
            </w:r>
          </w:p>
        </w:tc>
        <w:tc>
          <w:tcPr>
            <w:tcW w:w="375" w:type="pct"/>
            <w:vMerge w:val="restar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Cu</w:t>
            </w:r>
          </w:p>
        </w:tc>
        <w:tc>
          <w:tcPr>
            <w:tcW w:w="1126"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果园</w:t>
            </w:r>
          </w:p>
        </w:tc>
        <w:tc>
          <w:tcPr>
            <w:tcW w:w="82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150</w:t>
            </w:r>
          </w:p>
        </w:tc>
        <w:tc>
          <w:tcPr>
            <w:tcW w:w="97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150</w:t>
            </w:r>
          </w:p>
        </w:tc>
        <w:tc>
          <w:tcPr>
            <w:tcW w:w="79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200</w:t>
            </w:r>
          </w:p>
        </w:tc>
        <w:tc>
          <w:tcPr>
            <w:tcW w:w="50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200</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57" w:type="dxa"/>
            <w:bottom w:w="0" w:type="dxa"/>
            <w:right w:w="57" w:type="dxa"/>
          </w:tblCellMar>
        </w:tblPrEx>
        <w:trPr>
          <w:cantSplit/>
          <w:jc w:val="center"/>
        </w:trPr>
        <w:tc>
          <w:tcPr>
            <w:tcW w:w="403" w:type="pct"/>
            <w:vMerge w:val="continue"/>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p>
        </w:tc>
        <w:tc>
          <w:tcPr>
            <w:tcW w:w="375" w:type="pct"/>
            <w:vMerge w:val="continue"/>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p>
        </w:tc>
        <w:tc>
          <w:tcPr>
            <w:tcW w:w="1126"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其他</w:t>
            </w:r>
          </w:p>
        </w:tc>
        <w:tc>
          <w:tcPr>
            <w:tcW w:w="82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50</w:t>
            </w:r>
          </w:p>
        </w:tc>
        <w:tc>
          <w:tcPr>
            <w:tcW w:w="97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50</w:t>
            </w:r>
          </w:p>
        </w:tc>
        <w:tc>
          <w:tcPr>
            <w:tcW w:w="79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100</w:t>
            </w:r>
          </w:p>
        </w:tc>
        <w:tc>
          <w:tcPr>
            <w:tcW w:w="50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100</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57" w:type="dxa"/>
            <w:bottom w:w="0" w:type="dxa"/>
            <w:right w:w="57" w:type="dxa"/>
          </w:tblCellMar>
        </w:tblPrEx>
        <w:trPr>
          <w:cantSplit/>
          <w:jc w:val="center"/>
        </w:trPr>
        <w:tc>
          <w:tcPr>
            <w:tcW w:w="403" w:type="pct"/>
            <w:vMerge w:val="restar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4</w:t>
            </w:r>
          </w:p>
        </w:tc>
        <w:tc>
          <w:tcPr>
            <w:tcW w:w="375" w:type="pct"/>
            <w:vMerge w:val="restar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As</w:t>
            </w:r>
          </w:p>
        </w:tc>
        <w:tc>
          <w:tcPr>
            <w:tcW w:w="1126"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水田</w:t>
            </w:r>
          </w:p>
        </w:tc>
        <w:tc>
          <w:tcPr>
            <w:tcW w:w="82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30</w:t>
            </w:r>
          </w:p>
        </w:tc>
        <w:tc>
          <w:tcPr>
            <w:tcW w:w="97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30</w:t>
            </w:r>
          </w:p>
        </w:tc>
        <w:tc>
          <w:tcPr>
            <w:tcW w:w="79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25</w:t>
            </w:r>
          </w:p>
        </w:tc>
        <w:tc>
          <w:tcPr>
            <w:tcW w:w="50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20</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57" w:type="dxa"/>
            <w:bottom w:w="0" w:type="dxa"/>
            <w:right w:w="57" w:type="dxa"/>
          </w:tblCellMar>
        </w:tblPrEx>
        <w:trPr>
          <w:cantSplit/>
          <w:jc w:val="center"/>
        </w:trPr>
        <w:tc>
          <w:tcPr>
            <w:tcW w:w="403" w:type="pct"/>
            <w:vMerge w:val="continue"/>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p>
        </w:tc>
        <w:tc>
          <w:tcPr>
            <w:tcW w:w="375" w:type="pct"/>
            <w:vMerge w:val="continue"/>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p>
        </w:tc>
        <w:tc>
          <w:tcPr>
            <w:tcW w:w="1126"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其他</w:t>
            </w:r>
          </w:p>
        </w:tc>
        <w:tc>
          <w:tcPr>
            <w:tcW w:w="82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40</w:t>
            </w:r>
          </w:p>
        </w:tc>
        <w:tc>
          <w:tcPr>
            <w:tcW w:w="97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40</w:t>
            </w:r>
          </w:p>
        </w:tc>
        <w:tc>
          <w:tcPr>
            <w:tcW w:w="79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30</w:t>
            </w:r>
          </w:p>
        </w:tc>
        <w:tc>
          <w:tcPr>
            <w:tcW w:w="50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25</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57" w:type="dxa"/>
            <w:bottom w:w="0" w:type="dxa"/>
            <w:right w:w="57" w:type="dxa"/>
          </w:tblCellMar>
        </w:tblPrEx>
        <w:trPr>
          <w:cantSplit/>
          <w:jc w:val="center"/>
        </w:trPr>
        <w:tc>
          <w:tcPr>
            <w:tcW w:w="403" w:type="pct"/>
            <w:vMerge w:val="restar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5</w:t>
            </w:r>
          </w:p>
        </w:tc>
        <w:tc>
          <w:tcPr>
            <w:tcW w:w="375" w:type="pct"/>
            <w:vMerge w:val="restar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Pb</w:t>
            </w:r>
          </w:p>
        </w:tc>
        <w:tc>
          <w:tcPr>
            <w:tcW w:w="1126"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水田</w:t>
            </w:r>
          </w:p>
        </w:tc>
        <w:tc>
          <w:tcPr>
            <w:tcW w:w="82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80</w:t>
            </w:r>
          </w:p>
        </w:tc>
        <w:tc>
          <w:tcPr>
            <w:tcW w:w="97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100</w:t>
            </w:r>
          </w:p>
        </w:tc>
        <w:tc>
          <w:tcPr>
            <w:tcW w:w="79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140</w:t>
            </w:r>
          </w:p>
        </w:tc>
        <w:tc>
          <w:tcPr>
            <w:tcW w:w="50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240</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57" w:type="dxa"/>
            <w:bottom w:w="0" w:type="dxa"/>
            <w:right w:w="57" w:type="dxa"/>
          </w:tblCellMar>
        </w:tblPrEx>
        <w:trPr>
          <w:cantSplit/>
          <w:jc w:val="center"/>
        </w:trPr>
        <w:tc>
          <w:tcPr>
            <w:tcW w:w="403" w:type="pct"/>
            <w:vMerge w:val="continue"/>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p>
        </w:tc>
        <w:tc>
          <w:tcPr>
            <w:tcW w:w="375" w:type="pct"/>
            <w:vMerge w:val="continue"/>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p>
        </w:tc>
        <w:tc>
          <w:tcPr>
            <w:tcW w:w="1126"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其他</w:t>
            </w:r>
          </w:p>
        </w:tc>
        <w:tc>
          <w:tcPr>
            <w:tcW w:w="82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70</w:t>
            </w:r>
          </w:p>
        </w:tc>
        <w:tc>
          <w:tcPr>
            <w:tcW w:w="97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90</w:t>
            </w:r>
          </w:p>
        </w:tc>
        <w:tc>
          <w:tcPr>
            <w:tcW w:w="79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120</w:t>
            </w:r>
          </w:p>
        </w:tc>
        <w:tc>
          <w:tcPr>
            <w:tcW w:w="50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170</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57" w:type="dxa"/>
            <w:bottom w:w="0" w:type="dxa"/>
            <w:right w:w="57" w:type="dxa"/>
          </w:tblCellMar>
        </w:tblPrEx>
        <w:trPr>
          <w:cantSplit/>
          <w:jc w:val="center"/>
        </w:trPr>
        <w:tc>
          <w:tcPr>
            <w:tcW w:w="403" w:type="pct"/>
            <w:vMerge w:val="restar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6</w:t>
            </w:r>
          </w:p>
        </w:tc>
        <w:tc>
          <w:tcPr>
            <w:tcW w:w="375" w:type="pct"/>
            <w:vMerge w:val="restar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Cd</w:t>
            </w:r>
          </w:p>
        </w:tc>
        <w:tc>
          <w:tcPr>
            <w:tcW w:w="1126"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水田</w:t>
            </w:r>
          </w:p>
        </w:tc>
        <w:tc>
          <w:tcPr>
            <w:tcW w:w="82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0.30</w:t>
            </w:r>
          </w:p>
        </w:tc>
        <w:tc>
          <w:tcPr>
            <w:tcW w:w="97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0.40</w:t>
            </w:r>
          </w:p>
        </w:tc>
        <w:tc>
          <w:tcPr>
            <w:tcW w:w="79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0.6</w:t>
            </w:r>
          </w:p>
        </w:tc>
        <w:tc>
          <w:tcPr>
            <w:tcW w:w="50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0.8</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57" w:type="dxa"/>
            <w:bottom w:w="0" w:type="dxa"/>
            <w:right w:w="57" w:type="dxa"/>
          </w:tblCellMar>
        </w:tblPrEx>
        <w:trPr>
          <w:cantSplit/>
          <w:jc w:val="center"/>
        </w:trPr>
        <w:tc>
          <w:tcPr>
            <w:tcW w:w="403" w:type="pct"/>
            <w:vMerge w:val="continue"/>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p>
        </w:tc>
        <w:tc>
          <w:tcPr>
            <w:tcW w:w="375" w:type="pct"/>
            <w:vMerge w:val="continue"/>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p>
        </w:tc>
        <w:tc>
          <w:tcPr>
            <w:tcW w:w="1126"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其他</w:t>
            </w:r>
          </w:p>
        </w:tc>
        <w:tc>
          <w:tcPr>
            <w:tcW w:w="82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0.30</w:t>
            </w:r>
          </w:p>
        </w:tc>
        <w:tc>
          <w:tcPr>
            <w:tcW w:w="97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0.30</w:t>
            </w:r>
          </w:p>
        </w:tc>
        <w:tc>
          <w:tcPr>
            <w:tcW w:w="79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0.3</w:t>
            </w:r>
          </w:p>
        </w:tc>
        <w:tc>
          <w:tcPr>
            <w:tcW w:w="50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0.6</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57" w:type="dxa"/>
            <w:bottom w:w="0" w:type="dxa"/>
            <w:right w:w="57" w:type="dxa"/>
          </w:tblCellMar>
        </w:tblPrEx>
        <w:trPr>
          <w:cantSplit/>
          <w:jc w:val="center"/>
        </w:trPr>
        <w:tc>
          <w:tcPr>
            <w:tcW w:w="403"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7</w:t>
            </w:r>
          </w:p>
        </w:tc>
        <w:tc>
          <w:tcPr>
            <w:tcW w:w="1502" w:type="pct"/>
            <w:gridSpan w:val="2"/>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Ni</w:t>
            </w:r>
          </w:p>
        </w:tc>
        <w:tc>
          <w:tcPr>
            <w:tcW w:w="82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60</w:t>
            </w:r>
          </w:p>
        </w:tc>
        <w:tc>
          <w:tcPr>
            <w:tcW w:w="97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70</w:t>
            </w:r>
          </w:p>
        </w:tc>
        <w:tc>
          <w:tcPr>
            <w:tcW w:w="79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100</w:t>
            </w:r>
          </w:p>
        </w:tc>
        <w:tc>
          <w:tcPr>
            <w:tcW w:w="50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190</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57" w:type="dxa"/>
            <w:bottom w:w="0" w:type="dxa"/>
            <w:right w:w="57" w:type="dxa"/>
          </w:tblCellMar>
        </w:tblPrEx>
        <w:trPr>
          <w:cantSplit/>
          <w:jc w:val="center"/>
        </w:trPr>
        <w:tc>
          <w:tcPr>
            <w:tcW w:w="403"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8</w:t>
            </w:r>
          </w:p>
        </w:tc>
        <w:tc>
          <w:tcPr>
            <w:tcW w:w="1502" w:type="pct"/>
            <w:gridSpan w:val="2"/>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rFonts w:hint="eastAsia"/>
                <w:color w:val="auto"/>
                <w:highlight w:val="none"/>
              </w:rPr>
              <w:t>Zn</w:t>
            </w:r>
          </w:p>
        </w:tc>
        <w:tc>
          <w:tcPr>
            <w:tcW w:w="82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200</w:t>
            </w:r>
          </w:p>
        </w:tc>
        <w:tc>
          <w:tcPr>
            <w:tcW w:w="974"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200</w:t>
            </w:r>
          </w:p>
        </w:tc>
        <w:tc>
          <w:tcPr>
            <w:tcW w:w="79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250</w:t>
            </w:r>
          </w:p>
        </w:tc>
        <w:tc>
          <w:tcPr>
            <w:tcW w:w="502" w:type="pct"/>
            <w:tcBorders>
              <w:tl2br w:val="nil"/>
              <w:tr2bl w:val="nil"/>
            </w:tcBorders>
            <w:shd w:val="clear" w:color="auto" w:fill="FFFFFF"/>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color w:val="auto"/>
                <w:highlight w:val="none"/>
              </w:rPr>
            </w:pPr>
            <w:r>
              <w:rPr>
                <w:color w:val="auto"/>
                <w:highlight w:val="none"/>
              </w:rPr>
              <w:t>300</w:t>
            </w:r>
          </w:p>
        </w:tc>
      </w:tr>
    </w:tbl>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b/>
          <w:bCs/>
          <w:sz w:val="24"/>
          <w:highlight w:val="none"/>
        </w:rPr>
      </w:pPr>
      <w:r>
        <w:rPr>
          <w:rFonts w:hint="eastAsia"/>
          <w:b/>
          <w:bCs/>
          <w:sz w:val="24"/>
          <w:highlight w:val="none"/>
        </w:rPr>
        <w:t>1.</w:t>
      </w:r>
      <w:r>
        <w:rPr>
          <w:rFonts w:hint="eastAsia"/>
          <w:b/>
          <w:bCs/>
          <w:sz w:val="24"/>
          <w:highlight w:val="none"/>
          <w:lang w:val="en-US" w:eastAsia="zh-CN"/>
        </w:rPr>
        <w:t>4</w:t>
      </w:r>
      <w:r>
        <w:rPr>
          <w:rFonts w:hint="eastAsia"/>
          <w:b/>
          <w:bCs/>
          <w:sz w:val="24"/>
          <w:highlight w:val="none"/>
        </w:rPr>
        <w:t>.2污染物排放标准</w:t>
      </w:r>
    </w:p>
    <w:p>
      <w:pPr>
        <w:keepNext w:val="0"/>
        <w:keepLines w:val="0"/>
        <w:pageBreakBefore w:val="0"/>
        <w:widowControl w:val="0"/>
        <w:kinsoku/>
        <w:wordWrap/>
        <w:overflowPunct/>
        <w:topLinePunct w:val="0"/>
        <w:autoSpaceDE/>
        <w:autoSpaceDN/>
        <w:bidi w:val="0"/>
        <w:adjustRightInd/>
        <w:snapToGrid/>
        <w:spacing w:line="440" w:lineRule="exact"/>
        <w:textAlignment w:val="auto"/>
        <w:rPr>
          <w:b/>
          <w:bCs/>
          <w:sz w:val="24"/>
          <w:highlight w:val="none"/>
        </w:rPr>
      </w:pPr>
      <w:r>
        <w:rPr>
          <w:rFonts w:hint="eastAsia"/>
          <w:b/>
          <w:bCs/>
          <w:sz w:val="24"/>
          <w:highlight w:val="none"/>
        </w:rPr>
        <w:t>1.</w:t>
      </w:r>
      <w:r>
        <w:rPr>
          <w:rFonts w:hint="eastAsia"/>
          <w:b/>
          <w:bCs/>
          <w:sz w:val="24"/>
          <w:highlight w:val="none"/>
          <w:lang w:val="en-US" w:eastAsia="zh-CN"/>
        </w:rPr>
        <w:t>4</w:t>
      </w:r>
      <w:r>
        <w:rPr>
          <w:rFonts w:hint="eastAsia"/>
          <w:b/>
          <w:bCs/>
          <w:sz w:val="24"/>
          <w:highlight w:val="none"/>
        </w:rPr>
        <w:t>.2.1施工期</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sz w:val="24"/>
          <w:highlight w:val="none"/>
          <w:lang w:val="zh-CN"/>
        </w:rPr>
      </w:pPr>
      <w:r>
        <w:rPr>
          <w:rFonts w:hint="eastAsia"/>
          <w:sz w:val="24"/>
          <w:highlight w:val="none"/>
          <w:lang w:val="zh-CN"/>
        </w:rPr>
        <w:t>本项目于</w:t>
      </w:r>
      <w:r>
        <w:rPr>
          <w:rFonts w:hint="eastAsia"/>
          <w:snapToGrid w:val="0"/>
          <w:color w:val="auto"/>
          <w:kern w:val="0"/>
          <w:sz w:val="24"/>
          <w:highlight w:val="none"/>
          <w:lang w:eastAsia="zh-CN"/>
        </w:rPr>
        <w:t>本项目始筹建于</w:t>
      </w:r>
      <w:r>
        <w:rPr>
          <w:rFonts w:hint="eastAsia"/>
          <w:snapToGrid w:val="0"/>
          <w:color w:val="auto"/>
          <w:kern w:val="0"/>
          <w:sz w:val="24"/>
          <w:highlight w:val="none"/>
          <w:lang w:val="en-US" w:eastAsia="zh-CN"/>
        </w:rPr>
        <w:t>2005</w:t>
      </w:r>
      <w:r>
        <w:rPr>
          <w:snapToGrid w:val="0"/>
          <w:color w:val="auto"/>
          <w:kern w:val="0"/>
          <w:sz w:val="24"/>
          <w:highlight w:val="none"/>
        </w:rPr>
        <w:t>年，</w:t>
      </w:r>
      <w:r>
        <w:rPr>
          <w:rFonts w:hint="eastAsia"/>
          <w:snapToGrid w:val="0"/>
          <w:color w:val="auto"/>
          <w:kern w:val="0"/>
          <w:sz w:val="24"/>
          <w:highlight w:val="none"/>
          <w:lang w:val="en-US" w:eastAsia="zh-CN"/>
        </w:rPr>
        <w:t>2006年10月投产。2012年8月通过河北省水利厅遵化市黎河二级水电站工程竣工验收</w:t>
      </w:r>
      <w:r>
        <w:rPr>
          <w:rFonts w:hint="eastAsia"/>
          <w:sz w:val="24"/>
          <w:highlight w:val="none"/>
          <w:lang w:val="zh-CN"/>
        </w:rPr>
        <w:t>，且稳定运营多年，不再评价施工期环境影响。</w:t>
      </w:r>
    </w:p>
    <w:p>
      <w:pPr>
        <w:spacing w:line="480" w:lineRule="exact"/>
        <w:rPr>
          <w:b/>
          <w:bCs/>
          <w:sz w:val="24"/>
          <w:highlight w:val="none"/>
        </w:rPr>
      </w:pPr>
      <w:r>
        <w:rPr>
          <w:rFonts w:hint="eastAsia"/>
          <w:b/>
          <w:bCs/>
          <w:sz w:val="24"/>
          <w:highlight w:val="none"/>
        </w:rPr>
        <w:t>1.</w:t>
      </w:r>
      <w:r>
        <w:rPr>
          <w:rFonts w:hint="eastAsia"/>
          <w:b/>
          <w:bCs/>
          <w:sz w:val="24"/>
          <w:highlight w:val="none"/>
          <w:lang w:val="en-US" w:eastAsia="zh-CN"/>
        </w:rPr>
        <w:t>4</w:t>
      </w:r>
      <w:r>
        <w:rPr>
          <w:rFonts w:hint="eastAsia"/>
          <w:b/>
          <w:bCs/>
          <w:sz w:val="24"/>
          <w:highlight w:val="none"/>
        </w:rPr>
        <w:t>.2.2 运营期</w:t>
      </w:r>
    </w:p>
    <w:p>
      <w:pPr>
        <w:spacing w:line="480" w:lineRule="exact"/>
        <w:ind w:firstLine="480" w:firstLineChars="200"/>
        <w:rPr>
          <w:sz w:val="24"/>
          <w:highlight w:val="none"/>
          <w:lang w:val="zh-CN"/>
        </w:rPr>
      </w:pPr>
      <w:r>
        <w:rPr>
          <w:sz w:val="24"/>
          <w:highlight w:val="none"/>
          <w:lang w:val="zh-CN"/>
        </w:rPr>
        <w:t>（1）废水</w:t>
      </w:r>
    </w:p>
    <w:p>
      <w:pPr>
        <w:spacing w:line="480" w:lineRule="exact"/>
        <w:ind w:firstLine="480" w:firstLineChars="200"/>
        <w:rPr>
          <w:sz w:val="24"/>
          <w:highlight w:val="none"/>
        </w:rPr>
      </w:pPr>
      <w:r>
        <w:rPr>
          <w:sz w:val="24"/>
          <w:highlight w:val="none"/>
          <w:lang w:val="zh-CN"/>
        </w:rPr>
        <w:t>本项目运营期无生产废水产生，少量</w:t>
      </w:r>
      <w:r>
        <w:rPr>
          <w:rFonts w:hint="eastAsia"/>
          <w:sz w:val="24"/>
          <w:highlight w:val="none"/>
          <w:lang w:val="zh-CN"/>
        </w:rPr>
        <w:t>生活污水经化粪池处理，由环卫部门定期清掏</w:t>
      </w:r>
      <w:r>
        <w:rPr>
          <w:sz w:val="24"/>
          <w:highlight w:val="none"/>
          <w:lang w:val="zh-CN"/>
        </w:rPr>
        <w:t>。</w:t>
      </w:r>
    </w:p>
    <w:p>
      <w:pPr>
        <w:spacing w:line="480" w:lineRule="exact"/>
        <w:ind w:firstLine="480" w:firstLineChars="200"/>
        <w:rPr>
          <w:sz w:val="24"/>
          <w:highlight w:val="none"/>
        </w:rPr>
      </w:pPr>
      <w:r>
        <w:rPr>
          <w:sz w:val="24"/>
          <w:highlight w:val="none"/>
        </w:rPr>
        <w:t>（2）噪声</w:t>
      </w:r>
    </w:p>
    <w:p>
      <w:pPr>
        <w:spacing w:line="480" w:lineRule="exact"/>
        <w:ind w:firstLine="456" w:firstLineChars="200"/>
        <w:rPr>
          <w:spacing w:val="-6"/>
          <w:sz w:val="24"/>
          <w:highlight w:val="none"/>
        </w:rPr>
      </w:pPr>
      <w:r>
        <w:rPr>
          <w:rFonts w:hint="eastAsia"/>
          <w:spacing w:val="-6"/>
          <w:sz w:val="24"/>
          <w:highlight w:val="none"/>
        </w:rPr>
        <w:t>水电站</w:t>
      </w:r>
      <w:r>
        <w:rPr>
          <w:spacing w:val="-6"/>
          <w:sz w:val="24"/>
          <w:highlight w:val="none"/>
        </w:rPr>
        <w:t>厂界</w:t>
      </w:r>
      <w:r>
        <w:rPr>
          <w:sz w:val="24"/>
          <w:highlight w:val="none"/>
        </w:rPr>
        <w:t>噪声</w:t>
      </w:r>
      <w:r>
        <w:rPr>
          <w:spacing w:val="-6"/>
          <w:sz w:val="24"/>
          <w:highlight w:val="none"/>
        </w:rPr>
        <w:t>执行《工业企业厂界环境噪声排放标准》（GB12348-2008）的2类标准值见表</w:t>
      </w:r>
      <w:r>
        <w:rPr>
          <w:rFonts w:hint="eastAsia"/>
          <w:spacing w:val="-6"/>
          <w:sz w:val="24"/>
          <w:highlight w:val="none"/>
        </w:rPr>
        <w:t>1.</w:t>
      </w:r>
      <w:r>
        <w:rPr>
          <w:rFonts w:hint="eastAsia"/>
          <w:spacing w:val="-6"/>
          <w:sz w:val="24"/>
          <w:highlight w:val="none"/>
          <w:lang w:val="en-US" w:eastAsia="zh-CN"/>
        </w:rPr>
        <w:t>4</w:t>
      </w:r>
      <w:r>
        <w:rPr>
          <w:rFonts w:hint="eastAsia"/>
          <w:spacing w:val="-6"/>
          <w:sz w:val="24"/>
          <w:highlight w:val="none"/>
        </w:rPr>
        <w:t>-</w:t>
      </w:r>
      <w:r>
        <w:rPr>
          <w:rFonts w:hint="eastAsia"/>
          <w:spacing w:val="-6"/>
          <w:sz w:val="24"/>
          <w:highlight w:val="none"/>
          <w:lang w:val="en-US" w:eastAsia="zh-CN"/>
        </w:rPr>
        <w:t>7</w:t>
      </w:r>
      <w:r>
        <w:rPr>
          <w:spacing w:val="-6"/>
          <w:sz w:val="24"/>
          <w:highlight w:val="none"/>
        </w:rPr>
        <w:t>。</w:t>
      </w:r>
    </w:p>
    <w:p>
      <w:pPr>
        <w:spacing w:line="480" w:lineRule="exact"/>
        <w:jc w:val="center"/>
        <w:rPr>
          <w:bCs/>
          <w:sz w:val="24"/>
          <w:highlight w:val="none"/>
        </w:rPr>
      </w:pPr>
      <w:r>
        <w:rPr>
          <w:b/>
          <w:bCs/>
          <w:color w:val="auto"/>
          <w:sz w:val="24"/>
          <w:highlight w:val="none"/>
        </w:rPr>
        <w:t>表</w:t>
      </w:r>
      <w:r>
        <w:rPr>
          <w:rFonts w:hint="eastAsia"/>
          <w:b/>
          <w:bCs/>
          <w:color w:val="auto"/>
          <w:sz w:val="24"/>
          <w:highlight w:val="none"/>
        </w:rPr>
        <w:t>1.</w:t>
      </w:r>
      <w:r>
        <w:rPr>
          <w:rFonts w:hint="eastAsia"/>
          <w:b/>
          <w:bCs/>
          <w:color w:val="auto"/>
          <w:sz w:val="24"/>
          <w:highlight w:val="none"/>
          <w:lang w:val="en-US" w:eastAsia="zh-CN"/>
        </w:rPr>
        <w:t>4</w:t>
      </w:r>
      <w:r>
        <w:rPr>
          <w:rFonts w:hint="eastAsia"/>
          <w:b/>
          <w:bCs/>
          <w:color w:val="auto"/>
          <w:sz w:val="24"/>
          <w:highlight w:val="none"/>
        </w:rPr>
        <w:t>-</w:t>
      </w:r>
      <w:r>
        <w:rPr>
          <w:rFonts w:hint="eastAsia"/>
          <w:b/>
          <w:bCs/>
          <w:color w:val="auto"/>
          <w:sz w:val="24"/>
          <w:highlight w:val="none"/>
          <w:lang w:val="en-US" w:eastAsia="zh-CN"/>
        </w:rPr>
        <w:t>7</w:t>
      </w:r>
      <w:r>
        <w:rPr>
          <w:b/>
          <w:bCs/>
          <w:color w:val="auto"/>
          <w:sz w:val="24"/>
          <w:highlight w:val="none"/>
        </w:rPr>
        <w:t xml:space="preserve"> </w:t>
      </w:r>
      <w:r>
        <w:rPr>
          <w:b/>
          <w:bCs/>
          <w:sz w:val="24"/>
          <w:highlight w:val="none"/>
        </w:rPr>
        <w:t xml:space="preserve"> </w:t>
      </w:r>
      <w:r>
        <w:rPr>
          <w:rFonts w:hint="eastAsia"/>
          <w:b/>
          <w:bCs/>
          <w:sz w:val="24"/>
          <w:highlight w:val="none"/>
        </w:rPr>
        <w:t>本项目</w:t>
      </w:r>
      <w:r>
        <w:rPr>
          <w:b/>
          <w:bCs/>
          <w:sz w:val="24"/>
          <w:highlight w:val="none"/>
        </w:rPr>
        <w:t xml:space="preserve">厂界环境噪声排放标准  </w:t>
      </w:r>
      <w:r>
        <w:rPr>
          <w:bCs/>
          <w:sz w:val="24"/>
          <w:highlight w:val="none"/>
        </w:rPr>
        <w:t>Leq[dB(A)]</w:t>
      </w:r>
    </w:p>
    <w:tbl>
      <w:tblPr>
        <w:tblStyle w:val="51"/>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67"/>
        <w:gridCol w:w="2684"/>
        <w:gridCol w:w="24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367" w:type="dxa"/>
            <w:tcBorders>
              <w:top w:val="single" w:color="auto" w:sz="4" w:space="0"/>
              <w:left w:val="single" w:color="auto" w:sz="4" w:space="0"/>
              <w:bottom w:val="single" w:color="auto" w:sz="4" w:space="0"/>
              <w:right w:val="single" w:color="auto" w:sz="4" w:space="0"/>
            </w:tcBorders>
            <w:vAlign w:val="center"/>
          </w:tcPr>
          <w:p>
            <w:pPr>
              <w:pStyle w:val="29"/>
              <w:spacing w:line="320" w:lineRule="exact"/>
              <w:jc w:val="center"/>
              <w:rPr>
                <w:rFonts w:ascii="Times New Roman" w:hAnsi="Times New Roman"/>
                <w:szCs w:val="21"/>
                <w:highlight w:val="none"/>
              </w:rPr>
            </w:pPr>
            <w:r>
              <w:rPr>
                <w:rFonts w:ascii="Times New Roman" w:hAnsi="Times New Roman"/>
                <w:szCs w:val="21"/>
                <w:highlight w:val="none"/>
              </w:rPr>
              <w:t>类别</w:t>
            </w:r>
          </w:p>
        </w:tc>
        <w:tc>
          <w:tcPr>
            <w:tcW w:w="2684" w:type="dxa"/>
            <w:tcBorders>
              <w:top w:val="single" w:color="auto" w:sz="4" w:space="0"/>
              <w:left w:val="single" w:color="auto" w:sz="4" w:space="0"/>
              <w:bottom w:val="single" w:color="auto" w:sz="4" w:space="0"/>
              <w:right w:val="single" w:color="auto" w:sz="4" w:space="0"/>
            </w:tcBorders>
            <w:vAlign w:val="center"/>
          </w:tcPr>
          <w:p>
            <w:pPr>
              <w:pStyle w:val="29"/>
              <w:spacing w:line="320" w:lineRule="exact"/>
              <w:jc w:val="center"/>
              <w:rPr>
                <w:rFonts w:ascii="Times New Roman" w:hAnsi="Times New Roman"/>
                <w:szCs w:val="21"/>
                <w:highlight w:val="none"/>
              </w:rPr>
            </w:pPr>
            <w:r>
              <w:rPr>
                <w:rFonts w:ascii="Times New Roman" w:hAnsi="Times New Roman"/>
                <w:szCs w:val="21"/>
                <w:highlight w:val="none"/>
              </w:rPr>
              <w:t>昼  间</w:t>
            </w:r>
          </w:p>
        </w:tc>
        <w:tc>
          <w:tcPr>
            <w:tcW w:w="2471" w:type="dxa"/>
            <w:tcBorders>
              <w:top w:val="single" w:color="auto" w:sz="4" w:space="0"/>
              <w:left w:val="single" w:color="auto" w:sz="4" w:space="0"/>
              <w:bottom w:val="single" w:color="auto" w:sz="4" w:space="0"/>
              <w:right w:val="single" w:color="auto" w:sz="4" w:space="0"/>
            </w:tcBorders>
            <w:vAlign w:val="center"/>
          </w:tcPr>
          <w:p>
            <w:pPr>
              <w:pStyle w:val="29"/>
              <w:spacing w:line="320" w:lineRule="exact"/>
              <w:jc w:val="center"/>
              <w:rPr>
                <w:rFonts w:ascii="Times New Roman" w:hAnsi="Times New Roman"/>
                <w:szCs w:val="21"/>
                <w:highlight w:val="none"/>
              </w:rPr>
            </w:pPr>
            <w:r>
              <w:rPr>
                <w:rFonts w:ascii="Times New Roman" w:hAnsi="Times New Roman"/>
                <w:szCs w:val="21"/>
                <w:highlight w:val="none"/>
              </w:rPr>
              <w:t>夜  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367" w:type="dxa"/>
            <w:tcBorders>
              <w:top w:val="single" w:color="auto" w:sz="4" w:space="0"/>
              <w:left w:val="single" w:color="auto" w:sz="4" w:space="0"/>
              <w:bottom w:val="single" w:color="auto" w:sz="4" w:space="0"/>
              <w:right w:val="single" w:color="auto" w:sz="4" w:space="0"/>
            </w:tcBorders>
            <w:vAlign w:val="center"/>
          </w:tcPr>
          <w:p>
            <w:pPr>
              <w:pStyle w:val="29"/>
              <w:spacing w:line="320" w:lineRule="exact"/>
              <w:jc w:val="center"/>
              <w:rPr>
                <w:rFonts w:ascii="Times New Roman" w:hAnsi="Times New Roman"/>
                <w:szCs w:val="21"/>
                <w:highlight w:val="none"/>
              </w:rPr>
            </w:pPr>
            <w:r>
              <w:rPr>
                <w:rFonts w:ascii="Times New Roman" w:hAnsi="Times New Roman"/>
                <w:szCs w:val="21"/>
                <w:highlight w:val="none"/>
              </w:rPr>
              <w:t>2类，东、西、南、北厂界</w:t>
            </w:r>
          </w:p>
        </w:tc>
        <w:tc>
          <w:tcPr>
            <w:tcW w:w="2684" w:type="dxa"/>
            <w:tcBorders>
              <w:top w:val="single" w:color="auto" w:sz="4" w:space="0"/>
              <w:left w:val="single" w:color="auto" w:sz="4" w:space="0"/>
              <w:bottom w:val="single" w:color="auto" w:sz="4" w:space="0"/>
              <w:right w:val="single" w:color="auto" w:sz="4" w:space="0"/>
            </w:tcBorders>
            <w:vAlign w:val="center"/>
          </w:tcPr>
          <w:p>
            <w:pPr>
              <w:pStyle w:val="29"/>
              <w:spacing w:line="320" w:lineRule="exact"/>
              <w:jc w:val="center"/>
              <w:rPr>
                <w:rFonts w:ascii="Times New Roman" w:hAnsi="Times New Roman"/>
                <w:szCs w:val="21"/>
                <w:highlight w:val="none"/>
              </w:rPr>
            </w:pPr>
            <w:r>
              <w:rPr>
                <w:rFonts w:ascii="Times New Roman" w:hAnsi="Times New Roman"/>
                <w:szCs w:val="21"/>
                <w:highlight w:val="none"/>
              </w:rPr>
              <w:t>60</w:t>
            </w:r>
          </w:p>
        </w:tc>
        <w:tc>
          <w:tcPr>
            <w:tcW w:w="2471" w:type="dxa"/>
            <w:tcBorders>
              <w:top w:val="single" w:color="auto" w:sz="4" w:space="0"/>
              <w:left w:val="single" w:color="auto" w:sz="4" w:space="0"/>
              <w:bottom w:val="single" w:color="auto" w:sz="4" w:space="0"/>
              <w:right w:val="single" w:color="auto" w:sz="4" w:space="0"/>
            </w:tcBorders>
            <w:vAlign w:val="center"/>
          </w:tcPr>
          <w:p>
            <w:pPr>
              <w:pStyle w:val="29"/>
              <w:spacing w:line="320" w:lineRule="exact"/>
              <w:jc w:val="center"/>
              <w:rPr>
                <w:rFonts w:ascii="Times New Roman" w:hAnsi="Times New Roman"/>
                <w:szCs w:val="21"/>
                <w:highlight w:val="none"/>
              </w:rPr>
            </w:pPr>
            <w:r>
              <w:rPr>
                <w:rFonts w:ascii="Times New Roman" w:hAnsi="Times New Roman"/>
                <w:szCs w:val="21"/>
                <w:highlight w:val="none"/>
              </w:rPr>
              <w:t>50</w:t>
            </w:r>
          </w:p>
        </w:tc>
      </w:tr>
    </w:tbl>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sz w:val="24"/>
          <w:highlight w:val="none"/>
        </w:rPr>
      </w:pPr>
      <w:r>
        <w:rPr>
          <w:sz w:val="24"/>
          <w:highlight w:val="none"/>
        </w:rPr>
        <w:t>（3）固体废物排放标准</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color w:val="auto"/>
          <w:sz w:val="24"/>
          <w:highlight w:val="none"/>
        </w:rPr>
      </w:pPr>
      <w:r>
        <w:rPr>
          <w:color w:val="auto"/>
          <w:sz w:val="24"/>
          <w:highlight w:val="none"/>
        </w:rPr>
        <w:t>一般固体废弃物参照执行</w:t>
      </w:r>
      <w:r>
        <w:rPr>
          <w:rFonts w:hint="eastAsia"/>
          <w:color w:val="auto"/>
          <w:sz w:val="24"/>
          <w:highlight w:val="none"/>
          <w:lang w:val="zh-CN"/>
        </w:rPr>
        <w:t>《排污许可证申请与核发技术规范 工业固体废物（试行）》（HJ1200-2021）中的相关</w:t>
      </w:r>
      <w:r>
        <w:rPr>
          <w:color w:val="auto"/>
          <w:sz w:val="24"/>
          <w:highlight w:val="none"/>
        </w:rPr>
        <w:t>要求；</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eastAsia"/>
          <w:snapToGrid w:val="0"/>
          <w:color w:val="auto"/>
          <w:kern w:val="0"/>
          <w:sz w:val="24"/>
          <w:highlight w:val="none"/>
          <w:lang w:eastAsia="zh-CN"/>
        </w:rPr>
      </w:pPr>
      <w:r>
        <w:rPr>
          <w:color w:val="auto"/>
          <w:sz w:val="24"/>
          <w:highlight w:val="none"/>
        </w:rPr>
        <w:t>危险废物执行《危险废物贮存污染控制标准》（GB18597-20</w:t>
      </w:r>
      <w:r>
        <w:rPr>
          <w:rFonts w:hint="eastAsia"/>
          <w:color w:val="auto"/>
          <w:sz w:val="24"/>
          <w:highlight w:val="none"/>
          <w:lang w:val="en-US" w:eastAsia="zh-CN"/>
        </w:rPr>
        <w:t>23</w:t>
      </w:r>
      <w:r>
        <w:rPr>
          <w:color w:val="auto"/>
          <w:sz w:val="24"/>
          <w:highlight w:val="none"/>
        </w:rPr>
        <w:t>）。收集、贮存、运输执行《危险废物收集 贮存 运输技术规范》（HJ2025-2012）中的标准要求</w:t>
      </w:r>
    </w:p>
    <w:p>
      <w:pPr>
        <w:spacing w:line="480" w:lineRule="exact"/>
        <w:outlineLvl w:val="1"/>
        <w:rPr>
          <w:b/>
          <w:color w:val="auto"/>
          <w:sz w:val="24"/>
          <w:highlight w:val="none"/>
        </w:rPr>
      </w:pPr>
      <w:bookmarkStart w:id="70" w:name="_Toc25454"/>
      <w:bookmarkStart w:id="71" w:name="_Toc1600"/>
      <w:bookmarkStart w:id="72" w:name="_Toc9947"/>
      <w:r>
        <w:rPr>
          <w:rFonts w:hint="eastAsia"/>
          <w:b/>
          <w:color w:val="auto"/>
          <w:sz w:val="24"/>
          <w:highlight w:val="none"/>
        </w:rPr>
        <w:t>1.</w:t>
      </w:r>
      <w:r>
        <w:rPr>
          <w:rFonts w:hint="eastAsia"/>
          <w:b/>
          <w:color w:val="auto"/>
          <w:sz w:val="24"/>
          <w:highlight w:val="none"/>
          <w:lang w:val="en-US" w:eastAsia="zh-CN"/>
        </w:rPr>
        <w:t>5</w:t>
      </w:r>
      <w:r>
        <w:rPr>
          <w:b/>
          <w:color w:val="auto"/>
          <w:sz w:val="24"/>
          <w:highlight w:val="none"/>
        </w:rPr>
        <w:t>评价等级</w:t>
      </w:r>
      <w:bookmarkEnd w:id="70"/>
      <w:bookmarkEnd w:id="71"/>
      <w:r>
        <w:rPr>
          <w:rFonts w:hint="eastAsia"/>
          <w:b/>
          <w:color w:val="auto"/>
          <w:sz w:val="24"/>
          <w:highlight w:val="none"/>
        </w:rPr>
        <w:t>、评价范围、评价时段</w:t>
      </w:r>
      <w:bookmarkEnd w:id="72"/>
    </w:p>
    <w:p>
      <w:pPr>
        <w:tabs>
          <w:tab w:val="left" w:pos="1170"/>
        </w:tabs>
        <w:spacing w:line="480" w:lineRule="exact"/>
        <w:outlineLvl w:val="2"/>
        <w:rPr>
          <w:b/>
          <w:color w:val="auto"/>
          <w:sz w:val="24"/>
          <w:highlight w:val="none"/>
        </w:rPr>
      </w:pPr>
      <w:r>
        <w:rPr>
          <w:rFonts w:hint="eastAsia"/>
          <w:b/>
          <w:color w:val="auto"/>
          <w:sz w:val="24"/>
          <w:highlight w:val="none"/>
        </w:rPr>
        <w:t>1.</w:t>
      </w:r>
      <w:r>
        <w:rPr>
          <w:rFonts w:hint="eastAsia"/>
          <w:b/>
          <w:color w:val="auto"/>
          <w:sz w:val="24"/>
          <w:highlight w:val="none"/>
          <w:lang w:val="en-US" w:eastAsia="zh-CN"/>
        </w:rPr>
        <w:t>5</w:t>
      </w:r>
      <w:r>
        <w:rPr>
          <w:b/>
          <w:color w:val="auto"/>
          <w:sz w:val="24"/>
          <w:highlight w:val="none"/>
        </w:rPr>
        <w:t>.1大气环境</w:t>
      </w:r>
    </w:p>
    <w:p>
      <w:pPr>
        <w:tabs>
          <w:tab w:val="left" w:pos="1170"/>
        </w:tabs>
        <w:spacing w:line="480" w:lineRule="exact"/>
        <w:ind w:firstLine="480"/>
        <w:rPr>
          <w:color w:val="auto"/>
          <w:sz w:val="24"/>
          <w:highlight w:val="none"/>
        </w:rPr>
      </w:pPr>
      <w:r>
        <w:rPr>
          <w:rFonts w:hint="eastAsia"/>
          <w:color w:val="auto"/>
          <w:sz w:val="24"/>
          <w:highlight w:val="none"/>
        </w:rPr>
        <w:t>本项目的水电站属非污染型生态项目，运行期并无生产性废气影响，根据《环境影响评价技术导则大气环境》（HJ2.2-2018）评价工作分级原则，大气环境影响评价等级确定为三级，不需设置大气环境影响评价范围，不需进行进一步预测和评价。</w:t>
      </w:r>
    </w:p>
    <w:p>
      <w:pPr>
        <w:tabs>
          <w:tab w:val="left" w:pos="1170"/>
        </w:tabs>
        <w:spacing w:line="480" w:lineRule="exact"/>
        <w:outlineLvl w:val="2"/>
        <w:rPr>
          <w:b/>
          <w:color w:val="auto"/>
          <w:sz w:val="24"/>
          <w:highlight w:val="none"/>
        </w:rPr>
      </w:pPr>
      <w:r>
        <w:rPr>
          <w:rFonts w:hint="eastAsia"/>
          <w:b/>
          <w:color w:val="auto"/>
          <w:sz w:val="24"/>
          <w:highlight w:val="none"/>
        </w:rPr>
        <w:t>1.</w:t>
      </w:r>
      <w:r>
        <w:rPr>
          <w:rFonts w:hint="eastAsia"/>
          <w:b/>
          <w:color w:val="auto"/>
          <w:sz w:val="24"/>
          <w:highlight w:val="none"/>
          <w:lang w:val="en-US" w:eastAsia="zh-CN"/>
        </w:rPr>
        <w:t>5</w:t>
      </w:r>
      <w:r>
        <w:rPr>
          <w:b/>
          <w:color w:val="auto"/>
          <w:sz w:val="24"/>
          <w:highlight w:val="none"/>
        </w:rPr>
        <w:t>.2 地表水</w:t>
      </w:r>
    </w:p>
    <w:p>
      <w:pPr>
        <w:spacing w:line="480" w:lineRule="exact"/>
        <w:ind w:firstLine="422" w:firstLineChars="176"/>
        <w:jc w:val="left"/>
        <w:rPr>
          <w:color w:val="auto"/>
          <w:sz w:val="24"/>
          <w:highlight w:val="none"/>
        </w:rPr>
      </w:pPr>
      <w:r>
        <w:rPr>
          <w:rFonts w:hint="eastAsia"/>
          <w:color w:val="auto"/>
          <w:sz w:val="24"/>
          <w:highlight w:val="none"/>
        </w:rPr>
        <w:t>（1）评价等级判定</w:t>
      </w:r>
    </w:p>
    <w:p>
      <w:pPr>
        <w:spacing w:line="480" w:lineRule="exact"/>
        <w:ind w:firstLine="422" w:firstLineChars="176"/>
        <w:jc w:val="left"/>
        <w:rPr>
          <w:color w:val="auto"/>
          <w:sz w:val="24"/>
          <w:highlight w:val="none"/>
        </w:rPr>
      </w:pPr>
      <w:r>
        <w:rPr>
          <w:rFonts w:hint="eastAsia"/>
          <w:color w:val="auto"/>
          <w:sz w:val="24"/>
          <w:highlight w:val="none"/>
        </w:rPr>
        <w:t>本项目</w:t>
      </w:r>
      <w:r>
        <w:rPr>
          <w:color w:val="auto"/>
          <w:sz w:val="24"/>
          <w:highlight w:val="none"/>
        </w:rPr>
        <w:t>影响河段地面水域规模属小型河流，水质污染因子较少，程度为简单</w:t>
      </w:r>
      <w:r>
        <w:rPr>
          <w:rFonts w:hint="eastAsia"/>
          <w:color w:val="auto"/>
          <w:sz w:val="24"/>
          <w:highlight w:val="none"/>
        </w:rPr>
        <w:t>。本项目</w:t>
      </w:r>
      <w:r>
        <w:rPr>
          <w:color w:val="auto"/>
          <w:sz w:val="24"/>
          <w:highlight w:val="none"/>
        </w:rPr>
        <w:t>废水主要为职工生活污水，工作人员生活污水产生量为0.</w:t>
      </w:r>
      <w:r>
        <w:rPr>
          <w:rFonts w:hint="eastAsia"/>
          <w:color w:val="auto"/>
          <w:sz w:val="24"/>
          <w:highlight w:val="none"/>
          <w:lang w:val="en-US" w:eastAsia="zh-CN"/>
        </w:rPr>
        <w:t>1</w:t>
      </w:r>
      <w:r>
        <w:rPr>
          <w:color w:val="auto"/>
          <w:sz w:val="24"/>
          <w:highlight w:val="none"/>
        </w:rPr>
        <w:t>6m</w:t>
      </w:r>
      <w:r>
        <w:rPr>
          <w:color w:val="auto"/>
          <w:sz w:val="24"/>
          <w:highlight w:val="none"/>
          <w:vertAlign w:val="superscript"/>
        </w:rPr>
        <w:t>3</w:t>
      </w:r>
      <w:r>
        <w:rPr>
          <w:color w:val="auto"/>
          <w:sz w:val="24"/>
          <w:highlight w:val="none"/>
        </w:rPr>
        <w:t>/d，主要污染物为COD、NH</w:t>
      </w:r>
      <w:r>
        <w:rPr>
          <w:color w:val="auto"/>
          <w:sz w:val="14"/>
          <w:szCs w:val="14"/>
          <w:highlight w:val="none"/>
        </w:rPr>
        <w:t>3</w:t>
      </w:r>
      <w:r>
        <w:rPr>
          <w:color w:val="auto"/>
          <w:sz w:val="24"/>
          <w:highlight w:val="none"/>
        </w:rPr>
        <w:t>-N、BOD</w:t>
      </w:r>
      <w:r>
        <w:rPr>
          <w:color w:val="auto"/>
          <w:sz w:val="14"/>
          <w:szCs w:val="14"/>
          <w:highlight w:val="none"/>
        </w:rPr>
        <w:t>5</w:t>
      </w:r>
      <w:r>
        <w:rPr>
          <w:color w:val="auto"/>
          <w:sz w:val="24"/>
          <w:highlight w:val="none"/>
        </w:rPr>
        <w:t>和SS，水质复杂程度为简单，</w:t>
      </w:r>
      <w:r>
        <w:rPr>
          <w:rFonts w:hint="eastAsia"/>
          <w:color w:val="auto"/>
          <w:sz w:val="24"/>
          <w:highlight w:val="none"/>
        </w:rPr>
        <w:t>生活污水经化粪池处理，由环卫部门定期清掏</w:t>
      </w:r>
      <w:r>
        <w:rPr>
          <w:color w:val="auto"/>
          <w:sz w:val="24"/>
          <w:highlight w:val="none"/>
        </w:rPr>
        <w:t>。</w:t>
      </w:r>
    </w:p>
    <w:p>
      <w:pPr>
        <w:spacing w:line="480" w:lineRule="exact"/>
        <w:ind w:firstLine="422" w:firstLineChars="176"/>
        <w:jc w:val="left"/>
        <w:rPr>
          <w:sz w:val="24"/>
          <w:highlight w:val="none"/>
        </w:rPr>
      </w:pPr>
      <w:r>
        <w:rPr>
          <w:rFonts w:hint="eastAsia"/>
          <w:color w:val="auto"/>
          <w:sz w:val="24"/>
          <w:highlight w:val="none"/>
        </w:rPr>
        <w:t>本项目为引水式水电站建设项目，属于水文要素影响型建设项目。根据水利部海河志编纂委员会编《滦河志》（河北人民出版社）资料，上游水库（大黑汀水库）总库容4.73亿m</w:t>
      </w:r>
      <w:r>
        <w:rPr>
          <w:rFonts w:hint="eastAsia"/>
          <w:color w:val="auto"/>
          <w:sz w:val="24"/>
          <w:highlight w:val="none"/>
          <w:vertAlign w:val="superscript"/>
        </w:rPr>
        <w:t>3</w:t>
      </w:r>
      <w:r>
        <w:rPr>
          <w:rFonts w:hint="eastAsia"/>
          <w:color w:val="auto"/>
          <w:sz w:val="24"/>
          <w:highlight w:val="none"/>
        </w:rPr>
        <w:t>，兴利库容2.07亿m</w:t>
      </w:r>
      <w:r>
        <w:rPr>
          <w:rFonts w:hint="eastAsia"/>
          <w:color w:val="auto"/>
          <w:sz w:val="24"/>
          <w:highlight w:val="none"/>
          <w:vertAlign w:val="superscript"/>
        </w:rPr>
        <w:t>3</w:t>
      </w:r>
      <w:r>
        <w:rPr>
          <w:rFonts w:hint="eastAsia"/>
          <w:color w:val="auto"/>
          <w:sz w:val="24"/>
          <w:highlight w:val="none"/>
        </w:rPr>
        <w:t>；黎河最多引水</w:t>
      </w:r>
      <w:r>
        <w:rPr>
          <w:rFonts w:hint="eastAsia"/>
          <w:color w:val="auto"/>
          <w:sz w:val="24"/>
          <w:highlight w:val="none"/>
          <w:lang w:val="en-US" w:eastAsia="zh-CN"/>
        </w:rPr>
        <w:t>13</w:t>
      </w:r>
      <w:r>
        <w:rPr>
          <w:rFonts w:hint="eastAsia"/>
          <w:color w:val="auto"/>
          <w:sz w:val="24"/>
          <w:highlight w:val="none"/>
        </w:rPr>
        <w:t>0天，年平均径流量为1.12亿m</w:t>
      </w:r>
      <w:r>
        <w:rPr>
          <w:rFonts w:hint="eastAsia"/>
          <w:color w:val="auto"/>
          <w:sz w:val="24"/>
          <w:highlight w:val="none"/>
          <w:vertAlign w:val="superscript"/>
        </w:rPr>
        <w:t>3</w:t>
      </w:r>
      <w:r>
        <w:rPr>
          <w:rFonts w:hint="eastAsia"/>
          <w:color w:val="auto"/>
          <w:sz w:val="24"/>
          <w:highlight w:val="none"/>
        </w:rPr>
        <w:t>。</w:t>
      </w:r>
      <w:r>
        <w:rPr>
          <w:rFonts w:hint="eastAsia"/>
          <w:sz w:val="24"/>
          <w:highlight w:val="none"/>
        </w:rPr>
        <w:t>评价等级划分根据水温、径流与受影响地表水域等三类水文要素的影响程度进行判定。等级判定表见表 1.</w:t>
      </w:r>
      <w:r>
        <w:rPr>
          <w:rFonts w:hint="eastAsia"/>
          <w:sz w:val="24"/>
          <w:highlight w:val="none"/>
          <w:lang w:val="en-US" w:eastAsia="zh-CN"/>
        </w:rPr>
        <w:t>5</w:t>
      </w:r>
      <w:r>
        <w:rPr>
          <w:rFonts w:hint="eastAsia"/>
          <w:sz w:val="24"/>
          <w:highlight w:val="none"/>
        </w:rPr>
        <w:t>-1。</w:t>
      </w:r>
    </w:p>
    <w:p>
      <w:pPr>
        <w:spacing w:line="480" w:lineRule="exact"/>
        <w:jc w:val="center"/>
        <w:rPr>
          <w:b/>
          <w:bCs/>
          <w:sz w:val="24"/>
          <w:highlight w:val="none"/>
        </w:rPr>
      </w:pPr>
      <w:r>
        <w:rPr>
          <w:rFonts w:hint="eastAsia"/>
          <w:b/>
          <w:bCs/>
          <w:sz w:val="24"/>
          <w:highlight w:val="none"/>
        </w:rPr>
        <w:t>表1.</w:t>
      </w:r>
      <w:r>
        <w:rPr>
          <w:rFonts w:hint="eastAsia"/>
          <w:b/>
          <w:bCs/>
          <w:sz w:val="24"/>
          <w:highlight w:val="none"/>
          <w:lang w:val="en-US" w:eastAsia="zh-CN"/>
        </w:rPr>
        <w:t>5</w:t>
      </w:r>
      <w:r>
        <w:rPr>
          <w:rFonts w:hint="eastAsia"/>
          <w:b/>
          <w:bCs/>
          <w:sz w:val="24"/>
          <w:highlight w:val="none"/>
        </w:rPr>
        <w:t>-1 水文要素影响型建设项目评价等级判定表</w:t>
      </w:r>
    </w:p>
    <w:tbl>
      <w:tblPr>
        <w:tblStyle w:val="5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900"/>
        <w:gridCol w:w="1125"/>
        <w:gridCol w:w="1125"/>
        <w:gridCol w:w="1275"/>
        <w:gridCol w:w="1275"/>
        <w:gridCol w:w="20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restart"/>
            <w:vAlign w:val="center"/>
          </w:tcPr>
          <w:p>
            <w:pPr>
              <w:spacing w:line="300" w:lineRule="exact"/>
              <w:jc w:val="center"/>
              <w:rPr>
                <w:szCs w:val="21"/>
                <w:highlight w:val="none"/>
              </w:rPr>
            </w:pPr>
            <w:r>
              <w:rPr>
                <w:szCs w:val="21"/>
                <w:highlight w:val="none"/>
              </w:rPr>
              <w:t>评价</w:t>
            </w:r>
          </w:p>
          <w:p>
            <w:pPr>
              <w:spacing w:line="300" w:lineRule="exact"/>
              <w:jc w:val="center"/>
              <w:rPr>
                <w:szCs w:val="21"/>
                <w:highlight w:val="none"/>
              </w:rPr>
            </w:pPr>
            <w:r>
              <w:rPr>
                <w:szCs w:val="21"/>
                <w:highlight w:val="none"/>
              </w:rPr>
              <w:t>等级</w:t>
            </w:r>
          </w:p>
        </w:tc>
        <w:tc>
          <w:tcPr>
            <w:tcW w:w="900" w:type="dxa"/>
            <w:vAlign w:val="center"/>
          </w:tcPr>
          <w:p>
            <w:pPr>
              <w:spacing w:line="300" w:lineRule="exact"/>
              <w:jc w:val="center"/>
              <w:rPr>
                <w:szCs w:val="21"/>
                <w:highlight w:val="none"/>
              </w:rPr>
            </w:pPr>
            <w:r>
              <w:rPr>
                <w:szCs w:val="21"/>
                <w:highlight w:val="none"/>
              </w:rPr>
              <w:t>水温</w:t>
            </w:r>
          </w:p>
        </w:tc>
        <w:tc>
          <w:tcPr>
            <w:tcW w:w="2250" w:type="dxa"/>
            <w:gridSpan w:val="2"/>
            <w:vAlign w:val="center"/>
          </w:tcPr>
          <w:p>
            <w:pPr>
              <w:spacing w:line="300" w:lineRule="exact"/>
              <w:jc w:val="center"/>
              <w:rPr>
                <w:szCs w:val="21"/>
                <w:highlight w:val="none"/>
              </w:rPr>
            </w:pPr>
            <w:r>
              <w:rPr>
                <w:szCs w:val="21"/>
                <w:highlight w:val="none"/>
              </w:rPr>
              <w:t>径流</w:t>
            </w:r>
          </w:p>
        </w:tc>
        <w:tc>
          <w:tcPr>
            <w:tcW w:w="4636" w:type="dxa"/>
            <w:gridSpan w:val="3"/>
            <w:vAlign w:val="center"/>
          </w:tcPr>
          <w:p>
            <w:pPr>
              <w:spacing w:line="300" w:lineRule="exact"/>
              <w:jc w:val="center"/>
              <w:rPr>
                <w:szCs w:val="21"/>
                <w:highlight w:val="none"/>
              </w:rPr>
            </w:pPr>
            <w:r>
              <w:rPr>
                <w:szCs w:val="21"/>
                <w:highlight w:val="none"/>
              </w:rPr>
              <w:t>受影响地表水域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continue"/>
            <w:vAlign w:val="center"/>
          </w:tcPr>
          <w:p>
            <w:pPr>
              <w:spacing w:line="300" w:lineRule="exact"/>
              <w:jc w:val="center"/>
              <w:rPr>
                <w:szCs w:val="21"/>
                <w:highlight w:val="none"/>
              </w:rPr>
            </w:pPr>
          </w:p>
        </w:tc>
        <w:tc>
          <w:tcPr>
            <w:tcW w:w="900" w:type="dxa"/>
            <w:vMerge w:val="restart"/>
            <w:vAlign w:val="center"/>
          </w:tcPr>
          <w:p>
            <w:pPr>
              <w:spacing w:line="300" w:lineRule="exact"/>
              <w:jc w:val="center"/>
              <w:rPr>
                <w:szCs w:val="21"/>
                <w:highlight w:val="none"/>
              </w:rPr>
            </w:pPr>
            <w:r>
              <w:rPr>
                <w:szCs w:val="21"/>
                <w:highlight w:val="none"/>
              </w:rPr>
              <w:t>年径流量与总库容之比 α</w:t>
            </w:r>
          </w:p>
        </w:tc>
        <w:tc>
          <w:tcPr>
            <w:tcW w:w="1125" w:type="dxa"/>
            <w:vMerge w:val="restart"/>
            <w:vAlign w:val="center"/>
          </w:tcPr>
          <w:p>
            <w:pPr>
              <w:spacing w:line="300" w:lineRule="exact"/>
              <w:jc w:val="center"/>
              <w:rPr>
                <w:szCs w:val="21"/>
                <w:highlight w:val="none"/>
              </w:rPr>
            </w:pPr>
            <w:r>
              <w:rPr>
                <w:szCs w:val="21"/>
                <w:highlight w:val="none"/>
              </w:rPr>
              <w:t>兴利库容占年径流量百分比</w:t>
            </w:r>
          </w:p>
          <w:p>
            <w:pPr>
              <w:spacing w:line="300" w:lineRule="exact"/>
              <w:jc w:val="center"/>
              <w:rPr>
                <w:szCs w:val="21"/>
                <w:highlight w:val="none"/>
              </w:rPr>
            </w:pPr>
            <w:r>
              <w:rPr>
                <w:szCs w:val="21"/>
                <w:highlight w:val="none"/>
              </w:rPr>
              <w:t xml:space="preserve"> β/%</w:t>
            </w:r>
          </w:p>
        </w:tc>
        <w:tc>
          <w:tcPr>
            <w:tcW w:w="1125" w:type="dxa"/>
            <w:vMerge w:val="restart"/>
            <w:vAlign w:val="center"/>
          </w:tcPr>
          <w:p>
            <w:pPr>
              <w:spacing w:line="300" w:lineRule="exact"/>
              <w:jc w:val="center"/>
              <w:rPr>
                <w:szCs w:val="21"/>
                <w:highlight w:val="none"/>
              </w:rPr>
            </w:pPr>
            <w:r>
              <w:rPr>
                <w:szCs w:val="21"/>
                <w:highlight w:val="none"/>
              </w:rPr>
              <w:t>取水量占多年平均径流量百分比 γ/%</w:t>
            </w:r>
          </w:p>
        </w:tc>
        <w:tc>
          <w:tcPr>
            <w:tcW w:w="2550" w:type="dxa"/>
            <w:gridSpan w:val="2"/>
            <w:vAlign w:val="center"/>
          </w:tcPr>
          <w:p>
            <w:pPr>
              <w:spacing w:line="300" w:lineRule="exact"/>
              <w:jc w:val="left"/>
              <w:rPr>
                <w:szCs w:val="21"/>
                <w:highlight w:val="none"/>
              </w:rPr>
            </w:pPr>
            <w:r>
              <w:rPr>
                <w:szCs w:val="21"/>
                <w:highlight w:val="none"/>
              </w:rPr>
              <w:t>工程垂直投影面积及外扩范围 A</w:t>
            </w:r>
            <w:r>
              <w:rPr>
                <w:szCs w:val="21"/>
                <w:highlight w:val="none"/>
                <w:vertAlign w:val="subscript"/>
              </w:rPr>
              <w:t>1</w:t>
            </w:r>
            <w:r>
              <w:rPr>
                <w:szCs w:val="21"/>
                <w:highlight w:val="none"/>
              </w:rPr>
              <w:t>/km</w:t>
            </w:r>
            <w:r>
              <w:rPr>
                <w:szCs w:val="21"/>
                <w:highlight w:val="none"/>
                <w:vertAlign w:val="superscript"/>
              </w:rPr>
              <w:t>2</w:t>
            </w:r>
            <w:r>
              <w:rPr>
                <w:szCs w:val="21"/>
                <w:highlight w:val="none"/>
              </w:rPr>
              <w:t>；工程扰动水底面积A</w:t>
            </w:r>
            <w:r>
              <w:rPr>
                <w:szCs w:val="21"/>
                <w:highlight w:val="none"/>
                <w:vertAlign w:val="subscript"/>
              </w:rPr>
              <w:t>2</w:t>
            </w:r>
            <w:r>
              <w:rPr>
                <w:szCs w:val="21"/>
                <w:highlight w:val="none"/>
              </w:rPr>
              <w:t xml:space="preserve"> /km</w:t>
            </w:r>
            <w:r>
              <w:rPr>
                <w:szCs w:val="21"/>
                <w:highlight w:val="none"/>
                <w:vertAlign w:val="superscript"/>
              </w:rPr>
              <w:t>2</w:t>
            </w:r>
            <w:r>
              <w:rPr>
                <w:szCs w:val="21"/>
                <w:highlight w:val="none"/>
              </w:rPr>
              <w:t xml:space="preserve"> ；过水断面宽度占用比例或占用水域面积比例 R/%</w:t>
            </w:r>
          </w:p>
        </w:tc>
        <w:tc>
          <w:tcPr>
            <w:tcW w:w="2086" w:type="dxa"/>
            <w:vAlign w:val="center"/>
          </w:tcPr>
          <w:p>
            <w:pPr>
              <w:spacing w:line="300" w:lineRule="exact"/>
              <w:jc w:val="left"/>
              <w:rPr>
                <w:szCs w:val="21"/>
                <w:highlight w:val="none"/>
              </w:rPr>
            </w:pPr>
            <w:r>
              <w:rPr>
                <w:szCs w:val="21"/>
                <w:highlight w:val="none"/>
              </w:rPr>
              <w:t>工程垂直投影面积及外扩范围A</w:t>
            </w:r>
            <w:r>
              <w:rPr>
                <w:szCs w:val="21"/>
                <w:highlight w:val="none"/>
                <w:vertAlign w:val="subscript"/>
              </w:rPr>
              <w:t>1</w:t>
            </w:r>
            <w:r>
              <w:rPr>
                <w:szCs w:val="21"/>
                <w:highlight w:val="none"/>
              </w:rPr>
              <w:t>/km</w:t>
            </w:r>
            <w:r>
              <w:rPr>
                <w:szCs w:val="21"/>
                <w:highlight w:val="none"/>
                <w:vertAlign w:val="superscript"/>
              </w:rPr>
              <w:t>2</w:t>
            </w:r>
            <w:r>
              <w:rPr>
                <w:szCs w:val="21"/>
                <w:highlight w:val="none"/>
              </w:rPr>
              <w:t xml:space="preserve"> ；工程扰动水底面积A</w:t>
            </w:r>
            <w:r>
              <w:rPr>
                <w:szCs w:val="21"/>
                <w:highlight w:val="none"/>
                <w:vertAlign w:val="superscript"/>
              </w:rPr>
              <w:t>2</w:t>
            </w:r>
            <w:r>
              <w:rPr>
                <w:szCs w:val="21"/>
                <w:highlight w:val="none"/>
              </w:rPr>
              <w:t xml:space="preserve"> /km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continue"/>
            <w:vAlign w:val="center"/>
          </w:tcPr>
          <w:p>
            <w:pPr>
              <w:spacing w:line="300" w:lineRule="exact"/>
              <w:jc w:val="center"/>
              <w:rPr>
                <w:szCs w:val="21"/>
                <w:highlight w:val="none"/>
              </w:rPr>
            </w:pPr>
          </w:p>
        </w:tc>
        <w:tc>
          <w:tcPr>
            <w:tcW w:w="900" w:type="dxa"/>
            <w:vMerge w:val="continue"/>
            <w:vAlign w:val="center"/>
          </w:tcPr>
          <w:p>
            <w:pPr>
              <w:spacing w:line="300" w:lineRule="exact"/>
              <w:jc w:val="center"/>
              <w:rPr>
                <w:szCs w:val="21"/>
                <w:highlight w:val="none"/>
              </w:rPr>
            </w:pPr>
          </w:p>
        </w:tc>
        <w:tc>
          <w:tcPr>
            <w:tcW w:w="1125" w:type="dxa"/>
            <w:vMerge w:val="continue"/>
            <w:vAlign w:val="center"/>
          </w:tcPr>
          <w:p>
            <w:pPr>
              <w:spacing w:line="300" w:lineRule="exact"/>
              <w:jc w:val="center"/>
              <w:rPr>
                <w:szCs w:val="21"/>
                <w:highlight w:val="none"/>
              </w:rPr>
            </w:pPr>
          </w:p>
        </w:tc>
        <w:tc>
          <w:tcPr>
            <w:tcW w:w="1125" w:type="dxa"/>
            <w:vMerge w:val="continue"/>
            <w:vAlign w:val="center"/>
          </w:tcPr>
          <w:p>
            <w:pPr>
              <w:spacing w:line="300" w:lineRule="exact"/>
              <w:jc w:val="center"/>
              <w:rPr>
                <w:szCs w:val="21"/>
                <w:highlight w:val="none"/>
              </w:rPr>
            </w:pPr>
          </w:p>
        </w:tc>
        <w:tc>
          <w:tcPr>
            <w:tcW w:w="1275" w:type="dxa"/>
            <w:vAlign w:val="center"/>
          </w:tcPr>
          <w:p>
            <w:pPr>
              <w:spacing w:line="300" w:lineRule="exact"/>
              <w:jc w:val="center"/>
              <w:rPr>
                <w:szCs w:val="21"/>
                <w:highlight w:val="none"/>
              </w:rPr>
            </w:pPr>
            <w:r>
              <w:rPr>
                <w:szCs w:val="21"/>
                <w:highlight w:val="none"/>
              </w:rPr>
              <w:t>河流</w:t>
            </w:r>
          </w:p>
        </w:tc>
        <w:tc>
          <w:tcPr>
            <w:tcW w:w="1275" w:type="dxa"/>
            <w:vAlign w:val="center"/>
          </w:tcPr>
          <w:p>
            <w:pPr>
              <w:spacing w:line="300" w:lineRule="exact"/>
              <w:jc w:val="center"/>
              <w:rPr>
                <w:szCs w:val="21"/>
                <w:highlight w:val="none"/>
              </w:rPr>
            </w:pPr>
            <w:r>
              <w:rPr>
                <w:szCs w:val="21"/>
                <w:highlight w:val="none"/>
              </w:rPr>
              <w:t>湖库</w:t>
            </w:r>
          </w:p>
        </w:tc>
        <w:tc>
          <w:tcPr>
            <w:tcW w:w="2086" w:type="dxa"/>
            <w:vAlign w:val="center"/>
          </w:tcPr>
          <w:p>
            <w:pPr>
              <w:spacing w:line="300" w:lineRule="exact"/>
              <w:jc w:val="center"/>
              <w:rPr>
                <w:szCs w:val="21"/>
                <w:highlight w:val="none"/>
              </w:rPr>
            </w:pPr>
            <w:r>
              <w:rPr>
                <w:szCs w:val="21"/>
                <w:highlight w:val="none"/>
              </w:rPr>
              <w:t>入海河口、近岸海域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pPr>
              <w:spacing w:line="300" w:lineRule="exact"/>
              <w:jc w:val="center"/>
              <w:rPr>
                <w:szCs w:val="21"/>
                <w:highlight w:val="none"/>
              </w:rPr>
            </w:pPr>
            <w:r>
              <w:rPr>
                <w:szCs w:val="21"/>
                <w:highlight w:val="none"/>
              </w:rPr>
              <w:t>一级</w:t>
            </w:r>
          </w:p>
        </w:tc>
        <w:tc>
          <w:tcPr>
            <w:tcW w:w="900" w:type="dxa"/>
            <w:vAlign w:val="center"/>
          </w:tcPr>
          <w:p>
            <w:pPr>
              <w:spacing w:line="300" w:lineRule="exact"/>
              <w:jc w:val="center"/>
              <w:rPr>
                <w:szCs w:val="21"/>
                <w:highlight w:val="none"/>
              </w:rPr>
            </w:pPr>
            <w:r>
              <w:rPr>
                <w:szCs w:val="21"/>
                <w:highlight w:val="none"/>
              </w:rPr>
              <w:t>α≤10；或稳定分层</w:t>
            </w:r>
          </w:p>
        </w:tc>
        <w:tc>
          <w:tcPr>
            <w:tcW w:w="1125" w:type="dxa"/>
            <w:vAlign w:val="center"/>
          </w:tcPr>
          <w:p>
            <w:pPr>
              <w:spacing w:line="300" w:lineRule="exact"/>
              <w:jc w:val="center"/>
              <w:rPr>
                <w:szCs w:val="21"/>
                <w:highlight w:val="none"/>
              </w:rPr>
            </w:pPr>
            <w:r>
              <w:rPr>
                <w:szCs w:val="21"/>
                <w:highlight w:val="none"/>
              </w:rPr>
              <w:t>β≥20；或完全年调节与多年调节</w:t>
            </w:r>
          </w:p>
        </w:tc>
        <w:tc>
          <w:tcPr>
            <w:tcW w:w="1125" w:type="dxa"/>
            <w:vAlign w:val="center"/>
          </w:tcPr>
          <w:p>
            <w:pPr>
              <w:spacing w:line="300" w:lineRule="exact"/>
              <w:jc w:val="center"/>
              <w:rPr>
                <w:szCs w:val="21"/>
                <w:highlight w:val="none"/>
              </w:rPr>
            </w:pPr>
            <w:r>
              <w:rPr>
                <w:szCs w:val="21"/>
                <w:highlight w:val="none"/>
              </w:rPr>
              <w:t>γ≥30</w:t>
            </w:r>
          </w:p>
        </w:tc>
        <w:tc>
          <w:tcPr>
            <w:tcW w:w="1275" w:type="dxa"/>
            <w:vAlign w:val="center"/>
          </w:tcPr>
          <w:p>
            <w:pPr>
              <w:spacing w:line="300" w:lineRule="exact"/>
              <w:jc w:val="center"/>
              <w:rPr>
                <w:szCs w:val="21"/>
                <w:highlight w:val="none"/>
              </w:rPr>
            </w:pPr>
            <w:r>
              <w:rPr>
                <w:szCs w:val="21"/>
                <w:highlight w:val="none"/>
              </w:rPr>
              <w:t>A</w:t>
            </w:r>
            <w:r>
              <w:rPr>
                <w:szCs w:val="21"/>
                <w:highlight w:val="none"/>
                <w:vertAlign w:val="subscript"/>
              </w:rPr>
              <w:t xml:space="preserve"> 1</w:t>
            </w:r>
            <w:r>
              <w:rPr>
                <w:szCs w:val="21"/>
                <w:highlight w:val="none"/>
              </w:rPr>
              <w:t xml:space="preserve"> ≥0.3；</w:t>
            </w:r>
          </w:p>
          <w:p>
            <w:pPr>
              <w:spacing w:line="300" w:lineRule="exact"/>
              <w:jc w:val="center"/>
              <w:rPr>
                <w:szCs w:val="21"/>
                <w:highlight w:val="none"/>
              </w:rPr>
            </w:pPr>
            <w:r>
              <w:rPr>
                <w:szCs w:val="21"/>
                <w:highlight w:val="none"/>
              </w:rPr>
              <w:t>或A</w:t>
            </w:r>
            <w:r>
              <w:rPr>
                <w:szCs w:val="21"/>
                <w:highlight w:val="none"/>
                <w:vertAlign w:val="subscript"/>
              </w:rPr>
              <w:t>2</w:t>
            </w:r>
            <w:r>
              <w:rPr>
                <w:szCs w:val="21"/>
                <w:highlight w:val="none"/>
              </w:rPr>
              <w:t xml:space="preserve"> ≥1.5；</w:t>
            </w:r>
          </w:p>
          <w:p>
            <w:pPr>
              <w:spacing w:line="300" w:lineRule="exact"/>
              <w:jc w:val="center"/>
              <w:rPr>
                <w:szCs w:val="21"/>
                <w:highlight w:val="none"/>
              </w:rPr>
            </w:pPr>
            <w:r>
              <w:rPr>
                <w:szCs w:val="21"/>
                <w:highlight w:val="none"/>
              </w:rPr>
              <w:t>或 R≥10</w:t>
            </w:r>
          </w:p>
        </w:tc>
        <w:tc>
          <w:tcPr>
            <w:tcW w:w="1275" w:type="dxa"/>
            <w:vAlign w:val="center"/>
          </w:tcPr>
          <w:p>
            <w:pPr>
              <w:spacing w:line="300" w:lineRule="exact"/>
              <w:jc w:val="center"/>
              <w:rPr>
                <w:szCs w:val="21"/>
                <w:highlight w:val="none"/>
              </w:rPr>
            </w:pPr>
            <w:r>
              <w:rPr>
                <w:szCs w:val="21"/>
                <w:highlight w:val="none"/>
              </w:rPr>
              <w:t xml:space="preserve">A </w:t>
            </w:r>
            <w:r>
              <w:rPr>
                <w:szCs w:val="21"/>
                <w:highlight w:val="none"/>
                <w:vertAlign w:val="subscript"/>
              </w:rPr>
              <w:t>1</w:t>
            </w:r>
            <w:r>
              <w:rPr>
                <w:szCs w:val="21"/>
                <w:highlight w:val="none"/>
              </w:rPr>
              <w:t xml:space="preserve"> ≥0.3；或A</w:t>
            </w:r>
            <w:r>
              <w:rPr>
                <w:szCs w:val="21"/>
                <w:highlight w:val="none"/>
                <w:vertAlign w:val="subscript"/>
              </w:rPr>
              <w:t xml:space="preserve"> 2</w:t>
            </w:r>
            <w:r>
              <w:rPr>
                <w:szCs w:val="21"/>
                <w:highlight w:val="none"/>
              </w:rPr>
              <w:t xml:space="preserve"> ≥1.5；</w:t>
            </w:r>
          </w:p>
          <w:p>
            <w:pPr>
              <w:spacing w:line="300" w:lineRule="exact"/>
              <w:jc w:val="center"/>
              <w:rPr>
                <w:szCs w:val="21"/>
                <w:highlight w:val="none"/>
              </w:rPr>
            </w:pPr>
            <w:r>
              <w:rPr>
                <w:szCs w:val="21"/>
                <w:highlight w:val="none"/>
              </w:rPr>
              <w:t>或 R≥20</w:t>
            </w:r>
          </w:p>
        </w:tc>
        <w:tc>
          <w:tcPr>
            <w:tcW w:w="2086" w:type="dxa"/>
            <w:vAlign w:val="center"/>
          </w:tcPr>
          <w:p>
            <w:pPr>
              <w:spacing w:line="300" w:lineRule="exact"/>
              <w:jc w:val="center"/>
              <w:rPr>
                <w:szCs w:val="21"/>
                <w:highlight w:val="none"/>
              </w:rPr>
            </w:pPr>
            <w:r>
              <w:rPr>
                <w:szCs w:val="21"/>
                <w:highlight w:val="none"/>
              </w:rPr>
              <w:t>A</w:t>
            </w:r>
            <w:r>
              <w:rPr>
                <w:szCs w:val="21"/>
                <w:highlight w:val="none"/>
                <w:vertAlign w:val="subscript"/>
              </w:rPr>
              <w:t xml:space="preserve"> 1</w:t>
            </w:r>
            <w:r>
              <w:rPr>
                <w:szCs w:val="21"/>
                <w:highlight w:val="none"/>
              </w:rPr>
              <w:t xml:space="preserve"> ≥0.5；</w:t>
            </w:r>
          </w:p>
          <w:p>
            <w:pPr>
              <w:spacing w:line="300" w:lineRule="exact"/>
              <w:jc w:val="center"/>
              <w:rPr>
                <w:szCs w:val="21"/>
                <w:highlight w:val="none"/>
              </w:rPr>
            </w:pPr>
            <w:r>
              <w:rPr>
                <w:szCs w:val="21"/>
                <w:highlight w:val="none"/>
              </w:rPr>
              <w:t xml:space="preserve">或 A </w:t>
            </w:r>
            <w:r>
              <w:rPr>
                <w:szCs w:val="21"/>
                <w:highlight w:val="none"/>
                <w:vertAlign w:val="subscript"/>
              </w:rPr>
              <w:t>2</w:t>
            </w:r>
            <w:r>
              <w:rPr>
                <w:szCs w:val="21"/>
                <w:highlight w:val="none"/>
              </w:rPr>
              <w:t xml:space="preserve"> ≥3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pPr>
              <w:spacing w:line="300" w:lineRule="exact"/>
              <w:jc w:val="center"/>
              <w:rPr>
                <w:szCs w:val="21"/>
                <w:highlight w:val="none"/>
              </w:rPr>
            </w:pPr>
            <w:r>
              <w:rPr>
                <w:szCs w:val="21"/>
                <w:highlight w:val="none"/>
              </w:rPr>
              <w:t>二级</w:t>
            </w:r>
          </w:p>
        </w:tc>
        <w:tc>
          <w:tcPr>
            <w:tcW w:w="900" w:type="dxa"/>
            <w:vAlign w:val="center"/>
          </w:tcPr>
          <w:p>
            <w:pPr>
              <w:spacing w:line="300" w:lineRule="exact"/>
              <w:jc w:val="center"/>
              <w:rPr>
                <w:szCs w:val="21"/>
                <w:highlight w:val="none"/>
              </w:rPr>
            </w:pPr>
            <w:r>
              <w:rPr>
                <w:szCs w:val="21"/>
                <w:highlight w:val="none"/>
              </w:rPr>
              <w:t>20＞α＞10；或不稳定分层</w:t>
            </w:r>
          </w:p>
        </w:tc>
        <w:tc>
          <w:tcPr>
            <w:tcW w:w="1125" w:type="dxa"/>
            <w:vAlign w:val="center"/>
          </w:tcPr>
          <w:p>
            <w:pPr>
              <w:spacing w:line="300" w:lineRule="exact"/>
              <w:jc w:val="center"/>
              <w:rPr>
                <w:szCs w:val="21"/>
                <w:highlight w:val="none"/>
              </w:rPr>
            </w:pPr>
            <w:r>
              <w:rPr>
                <w:szCs w:val="21"/>
                <w:highlight w:val="none"/>
              </w:rPr>
              <w:t>稳定分层20＞β＞2；或季调节与不完全年调节</w:t>
            </w:r>
          </w:p>
        </w:tc>
        <w:tc>
          <w:tcPr>
            <w:tcW w:w="1125" w:type="dxa"/>
            <w:vAlign w:val="center"/>
          </w:tcPr>
          <w:p>
            <w:pPr>
              <w:spacing w:line="300" w:lineRule="exact"/>
              <w:jc w:val="center"/>
              <w:rPr>
                <w:szCs w:val="21"/>
                <w:highlight w:val="none"/>
              </w:rPr>
            </w:pPr>
            <w:r>
              <w:rPr>
                <w:szCs w:val="21"/>
                <w:highlight w:val="none"/>
              </w:rPr>
              <w:t>30＞γ＞10</w:t>
            </w:r>
          </w:p>
        </w:tc>
        <w:tc>
          <w:tcPr>
            <w:tcW w:w="1275" w:type="dxa"/>
            <w:vAlign w:val="center"/>
          </w:tcPr>
          <w:p>
            <w:pPr>
              <w:spacing w:line="300" w:lineRule="exact"/>
              <w:jc w:val="center"/>
              <w:rPr>
                <w:szCs w:val="21"/>
                <w:highlight w:val="none"/>
              </w:rPr>
            </w:pPr>
            <w:r>
              <w:rPr>
                <w:szCs w:val="21"/>
                <w:highlight w:val="none"/>
              </w:rPr>
              <w:t>0.3＞A</w:t>
            </w:r>
            <w:r>
              <w:rPr>
                <w:szCs w:val="21"/>
                <w:highlight w:val="none"/>
                <w:vertAlign w:val="subscript"/>
              </w:rPr>
              <w:t>1</w:t>
            </w:r>
            <w:r>
              <w:rPr>
                <w:szCs w:val="21"/>
                <w:highlight w:val="none"/>
              </w:rPr>
              <w:t>＞0.05；或 1.5＞A</w:t>
            </w:r>
            <w:r>
              <w:rPr>
                <w:szCs w:val="21"/>
                <w:highlight w:val="none"/>
                <w:vertAlign w:val="subscript"/>
              </w:rPr>
              <w:t xml:space="preserve"> 2</w:t>
            </w:r>
            <w:r>
              <w:rPr>
                <w:szCs w:val="21"/>
                <w:highlight w:val="none"/>
              </w:rPr>
              <w:t xml:space="preserve"> ＞0.2；或 10＞R＞5</w:t>
            </w:r>
          </w:p>
        </w:tc>
        <w:tc>
          <w:tcPr>
            <w:tcW w:w="1275" w:type="dxa"/>
            <w:vAlign w:val="center"/>
          </w:tcPr>
          <w:p>
            <w:pPr>
              <w:spacing w:line="300" w:lineRule="exact"/>
              <w:jc w:val="center"/>
              <w:rPr>
                <w:szCs w:val="21"/>
                <w:highlight w:val="none"/>
              </w:rPr>
            </w:pPr>
            <w:r>
              <w:rPr>
                <w:szCs w:val="21"/>
                <w:highlight w:val="none"/>
              </w:rPr>
              <w:t>0.3＞A</w:t>
            </w:r>
            <w:r>
              <w:rPr>
                <w:szCs w:val="21"/>
                <w:highlight w:val="none"/>
                <w:vertAlign w:val="subscript"/>
              </w:rPr>
              <w:t>1</w:t>
            </w:r>
            <w:r>
              <w:rPr>
                <w:szCs w:val="21"/>
                <w:highlight w:val="none"/>
              </w:rPr>
              <w:t>＞0.05；</w:t>
            </w:r>
          </w:p>
          <w:p>
            <w:pPr>
              <w:spacing w:line="300" w:lineRule="exact"/>
              <w:jc w:val="center"/>
              <w:rPr>
                <w:szCs w:val="21"/>
                <w:highlight w:val="none"/>
              </w:rPr>
            </w:pPr>
            <w:r>
              <w:rPr>
                <w:szCs w:val="21"/>
                <w:highlight w:val="none"/>
              </w:rPr>
              <w:t>或 1.5＞A</w:t>
            </w:r>
            <w:r>
              <w:rPr>
                <w:szCs w:val="21"/>
                <w:highlight w:val="none"/>
                <w:vertAlign w:val="subscript"/>
              </w:rPr>
              <w:t xml:space="preserve"> 2</w:t>
            </w:r>
            <w:r>
              <w:rPr>
                <w:szCs w:val="21"/>
                <w:highlight w:val="none"/>
              </w:rPr>
              <w:t>＞0.2；或20＞R＞5</w:t>
            </w:r>
          </w:p>
        </w:tc>
        <w:tc>
          <w:tcPr>
            <w:tcW w:w="2086" w:type="dxa"/>
            <w:vAlign w:val="center"/>
          </w:tcPr>
          <w:p>
            <w:pPr>
              <w:spacing w:line="300" w:lineRule="exact"/>
              <w:jc w:val="center"/>
              <w:rPr>
                <w:szCs w:val="21"/>
                <w:highlight w:val="none"/>
              </w:rPr>
            </w:pPr>
            <w:r>
              <w:rPr>
                <w:szCs w:val="21"/>
                <w:highlight w:val="none"/>
              </w:rPr>
              <w:t xml:space="preserve">0.5＞A </w:t>
            </w:r>
            <w:r>
              <w:rPr>
                <w:szCs w:val="21"/>
                <w:highlight w:val="none"/>
                <w:vertAlign w:val="subscript"/>
              </w:rPr>
              <w:t>1</w:t>
            </w:r>
            <w:r>
              <w:rPr>
                <w:szCs w:val="21"/>
                <w:highlight w:val="none"/>
              </w:rPr>
              <w:t xml:space="preserve"> ＞0.15；</w:t>
            </w:r>
          </w:p>
          <w:p>
            <w:pPr>
              <w:spacing w:line="300" w:lineRule="exact"/>
              <w:jc w:val="center"/>
              <w:rPr>
                <w:szCs w:val="21"/>
                <w:highlight w:val="none"/>
              </w:rPr>
            </w:pPr>
            <w:r>
              <w:rPr>
                <w:szCs w:val="21"/>
                <w:highlight w:val="none"/>
              </w:rPr>
              <w:t>或 3＞A</w:t>
            </w:r>
            <w:r>
              <w:rPr>
                <w:szCs w:val="21"/>
                <w:highlight w:val="none"/>
                <w:vertAlign w:val="subscript"/>
              </w:rPr>
              <w:t xml:space="preserve"> 2</w:t>
            </w:r>
            <w:r>
              <w:rPr>
                <w:szCs w:val="21"/>
                <w:highlight w:val="none"/>
              </w:rPr>
              <w:t xml:space="preserve"> ＞0.5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Align w:val="center"/>
          </w:tcPr>
          <w:p>
            <w:pPr>
              <w:spacing w:line="300" w:lineRule="exact"/>
              <w:jc w:val="center"/>
              <w:rPr>
                <w:szCs w:val="21"/>
                <w:highlight w:val="none"/>
              </w:rPr>
            </w:pPr>
            <w:r>
              <w:rPr>
                <w:szCs w:val="21"/>
                <w:highlight w:val="none"/>
              </w:rPr>
              <w:t>三级</w:t>
            </w:r>
          </w:p>
        </w:tc>
        <w:tc>
          <w:tcPr>
            <w:tcW w:w="900" w:type="dxa"/>
            <w:vAlign w:val="center"/>
          </w:tcPr>
          <w:p>
            <w:pPr>
              <w:spacing w:line="300" w:lineRule="exact"/>
              <w:jc w:val="center"/>
              <w:rPr>
                <w:szCs w:val="21"/>
                <w:highlight w:val="none"/>
              </w:rPr>
            </w:pPr>
            <w:r>
              <w:rPr>
                <w:szCs w:val="21"/>
                <w:highlight w:val="none"/>
              </w:rPr>
              <w:t>α≥20；或混合</w:t>
            </w:r>
          </w:p>
          <w:p>
            <w:pPr>
              <w:spacing w:line="300" w:lineRule="exact"/>
              <w:jc w:val="center"/>
              <w:rPr>
                <w:szCs w:val="21"/>
                <w:highlight w:val="none"/>
              </w:rPr>
            </w:pPr>
            <w:r>
              <w:rPr>
                <w:szCs w:val="21"/>
                <w:highlight w:val="none"/>
              </w:rPr>
              <w:t>型</w:t>
            </w:r>
          </w:p>
        </w:tc>
        <w:tc>
          <w:tcPr>
            <w:tcW w:w="1125" w:type="dxa"/>
            <w:vAlign w:val="center"/>
          </w:tcPr>
          <w:p>
            <w:pPr>
              <w:spacing w:line="300" w:lineRule="exact"/>
              <w:jc w:val="center"/>
              <w:rPr>
                <w:szCs w:val="21"/>
                <w:highlight w:val="none"/>
              </w:rPr>
            </w:pPr>
            <w:r>
              <w:rPr>
                <w:szCs w:val="21"/>
                <w:highlight w:val="none"/>
              </w:rPr>
              <w:t>β≤2；或无调节</w:t>
            </w:r>
          </w:p>
        </w:tc>
        <w:tc>
          <w:tcPr>
            <w:tcW w:w="1125" w:type="dxa"/>
            <w:vAlign w:val="center"/>
          </w:tcPr>
          <w:p>
            <w:pPr>
              <w:spacing w:line="300" w:lineRule="exact"/>
              <w:jc w:val="center"/>
              <w:rPr>
                <w:szCs w:val="21"/>
                <w:highlight w:val="none"/>
              </w:rPr>
            </w:pPr>
            <w:r>
              <w:rPr>
                <w:szCs w:val="21"/>
                <w:highlight w:val="none"/>
              </w:rPr>
              <w:t>γ≤10</w:t>
            </w:r>
          </w:p>
        </w:tc>
        <w:tc>
          <w:tcPr>
            <w:tcW w:w="1275" w:type="dxa"/>
            <w:vAlign w:val="center"/>
          </w:tcPr>
          <w:p>
            <w:pPr>
              <w:spacing w:line="300" w:lineRule="exact"/>
              <w:jc w:val="center"/>
              <w:rPr>
                <w:szCs w:val="21"/>
                <w:highlight w:val="none"/>
              </w:rPr>
            </w:pPr>
            <w:r>
              <w:rPr>
                <w:szCs w:val="21"/>
                <w:highlight w:val="none"/>
              </w:rPr>
              <w:t xml:space="preserve">A </w:t>
            </w:r>
            <w:r>
              <w:rPr>
                <w:szCs w:val="21"/>
                <w:highlight w:val="none"/>
                <w:vertAlign w:val="subscript"/>
              </w:rPr>
              <w:t xml:space="preserve">1 </w:t>
            </w:r>
            <w:r>
              <w:rPr>
                <w:szCs w:val="21"/>
                <w:highlight w:val="none"/>
              </w:rPr>
              <w:t>≤0.05；</w:t>
            </w:r>
          </w:p>
          <w:p>
            <w:pPr>
              <w:spacing w:line="300" w:lineRule="exact"/>
              <w:jc w:val="center"/>
              <w:rPr>
                <w:szCs w:val="21"/>
                <w:highlight w:val="none"/>
              </w:rPr>
            </w:pPr>
            <w:r>
              <w:rPr>
                <w:szCs w:val="21"/>
                <w:highlight w:val="none"/>
              </w:rPr>
              <w:t>或A</w:t>
            </w:r>
            <w:r>
              <w:rPr>
                <w:szCs w:val="21"/>
                <w:highlight w:val="none"/>
                <w:vertAlign w:val="subscript"/>
              </w:rPr>
              <w:t xml:space="preserve"> 2</w:t>
            </w:r>
            <w:r>
              <w:rPr>
                <w:szCs w:val="21"/>
                <w:highlight w:val="none"/>
              </w:rPr>
              <w:t xml:space="preserve"> ≤0.2；</w:t>
            </w:r>
          </w:p>
          <w:p>
            <w:pPr>
              <w:spacing w:line="300" w:lineRule="exact"/>
              <w:jc w:val="center"/>
              <w:rPr>
                <w:szCs w:val="21"/>
                <w:highlight w:val="none"/>
              </w:rPr>
            </w:pPr>
            <w:r>
              <w:rPr>
                <w:szCs w:val="21"/>
                <w:highlight w:val="none"/>
              </w:rPr>
              <w:t>或 R≤5</w:t>
            </w:r>
          </w:p>
        </w:tc>
        <w:tc>
          <w:tcPr>
            <w:tcW w:w="1275" w:type="dxa"/>
            <w:vAlign w:val="center"/>
          </w:tcPr>
          <w:p>
            <w:pPr>
              <w:spacing w:line="300" w:lineRule="exact"/>
              <w:jc w:val="center"/>
              <w:rPr>
                <w:szCs w:val="21"/>
                <w:highlight w:val="none"/>
              </w:rPr>
            </w:pPr>
            <w:r>
              <w:rPr>
                <w:szCs w:val="21"/>
                <w:highlight w:val="none"/>
              </w:rPr>
              <w:t>A</w:t>
            </w:r>
            <w:r>
              <w:rPr>
                <w:szCs w:val="21"/>
                <w:highlight w:val="none"/>
                <w:vertAlign w:val="subscript"/>
              </w:rPr>
              <w:t xml:space="preserve"> 1</w:t>
            </w:r>
            <w:r>
              <w:rPr>
                <w:szCs w:val="21"/>
                <w:highlight w:val="none"/>
              </w:rPr>
              <w:t xml:space="preserve"> ≤0.05；</w:t>
            </w:r>
          </w:p>
          <w:p>
            <w:pPr>
              <w:spacing w:line="300" w:lineRule="exact"/>
              <w:jc w:val="center"/>
              <w:rPr>
                <w:szCs w:val="21"/>
                <w:highlight w:val="none"/>
              </w:rPr>
            </w:pPr>
            <w:r>
              <w:rPr>
                <w:szCs w:val="21"/>
                <w:highlight w:val="none"/>
              </w:rPr>
              <w:t>或A</w:t>
            </w:r>
            <w:r>
              <w:rPr>
                <w:szCs w:val="21"/>
                <w:highlight w:val="none"/>
                <w:vertAlign w:val="subscript"/>
              </w:rPr>
              <w:t>2</w:t>
            </w:r>
            <w:r>
              <w:rPr>
                <w:szCs w:val="21"/>
                <w:highlight w:val="none"/>
              </w:rPr>
              <w:t xml:space="preserve"> ≤0.2；</w:t>
            </w:r>
          </w:p>
          <w:p>
            <w:pPr>
              <w:spacing w:line="300" w:lineRule="exact"/>
              <w:jc w:val="center"/>
              <w:rPr>
                <w:szCs w:val="21"/>
                <w:highlight w:val="none"/>
              </w:rPr>
            </w:pPr>
            <w:r>
              <w:rPr>
                <w:szCs w:val="21"/>
                <w:highlight w:val="none"/>
              </w:rPr>
              <w:t>或 R≤5</w:t>
            </w:r>
          </w:p>
        </w:tc>
        <w:tc>
          <w:tcPr>
            <w:tcW w:w="2086" w:type="dxa"/>
            <w:vAlign w:val="center"/>
          </w:tcPr>
          <w:p>
            <w:pPr>
              <w:spacing w:line="300" w:lineRule="exact"/>
              <w:jc w:val="center"/>
              <w:rPr>
                <w:szCs w:val="21"/>
                <w:highlight w:val="none"/>
              </w:rPr>
            </w:pPr>
            <w:r>
              <w:rPr>
                <w:szCs w:val="21"/>
                <w:highlight w:val="none"/>
              </w:rPr>
              <w:t>A</w:t>
            </w:r>
            <w:r>
              <w:rPr>
                <w:szCs w:val="21"/>
                <w:highlight w:val="none"/>
                <w:vertAlign w:val="subscript"/>
              </w:rPr>
              <w:t xml:space="preserve"> 1 </w:t>
            </w:r>
            <w:r>
              <w:rPr>
                <w:szCs w:val="21"/>
                <w:highlight w:val="none"/>
              </w:rPr>
              <w:t>≤0.15；</w:t>
            </w:r>
          </w:p>
          <w:p>
            <w:pPr>
              <w:spacing w:line="300" w:lineRule="exact"/>
              <w:jc w:val="center"/>
              <w:rPr>
                <w:szCs w:val="21"/>
                <w:highlight w:val="none"/>
              </w:rPr>
            </w:pPr>
            <w:r>
              <w:rPr>
                <w:szCs w:val="21"/>
                <w:highlight w:val="none"/>
              </w:rPr>
              <w:t>或 A</w:t>
            </w:r>
            <w:r>
              <w:rPr>
                <w:szCs w:val="21"/>
                <w:highlight w:val="none"/>
                <w:vertAlign w:val="subscript"/>
              </w:rPr>
              <w:t xml:space="preserve"> 2</w:t>
            </w:r>
            <w:r>
              <w:rPr>
                <w:szCs w:val="21"/>
                <w:highlight w:val="none"/>
              </w:rPr>
              <w:t xml:space="preserve"> ≤0.5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96" w:type="dxa"/>
            <w:gridSpan w:val="7"/>
            <w:vAlign w:val="center"/>
          </w:tcPr>
          <w:p>
            <w:pPr>
              <w:spacing w:line="420" w:lineRule="exact"/>
              <w:jc w:val="left"/>
              <w:rPr>
                <w:szCs w:val="21"/>
                <w:highlight w:val="none"/>
              </w:rPr>
            </w:pPr>
            <w:r>
              <w:rPr>
                <w:rFonts w:hint="eastAsia"/>
                <w:szCs w:val="21"/>
                <w:highlight w:val="none"/>
              </w:rPr>
              <w:t>注 1：影响范围涉及饮用水水源保护区、重点保护与珍惜水生生物的栖息地、重要水生生物的自然产卵场、自然保护区等保护目标，评价等级不应低于二级。</w:t>
            </w:r>
          </w:p>
          <w:p>
            <w:pPr>
              <w:spacing w:line="420" w:lineRule="exact"/>
              <w:jc w:val="left"/>
              <w:rPr>
                <w:szCs w:val="21"/>
                <w:highlight w:val="none"/>
              </w:rPr>
            </w:pPr>
            <w:r>
              <w:rPr>
                <w:rFonts w:hint="eastAsia"/>
                <w:szCs w:val="21"/>
                <w:highlight w:val="none"/>
              </w:rPr>
              <w:t>注 2：</w:t>
            </w:r>
            <w:r>
              <w:rPr>
                <w:rFonts w:hint="eastAsia"/>
                <w:b/>
                <w:bCs/>
                <w:szCs w:val="21"/>
                <w:highlight w:val="none"/>
              </w:rPr>
              <w:t>跨流域调水、引水式电站、可能受到大型河流感潮河段咸潮影响的建设项目，评价等级不低于二级</w:t>
            </w:r>
            <w:r>
              <w:rPr>
                <w:rFonts w:hint="eastAsia"/>
                <w:szCs w:val="21"/>
                <w:highlight w:val="none"/>
              </w:rPr>
              <w:t>。</w:t>
            </w:r>
          </w:p>
          <w:p>
            <w:pPr>
              <w:spacing w:line="420" w:lineRule="exact"/>
              <w:jc w:val="left"/>
              <w:rPr>
                <w:szCs w:val="21"/>
                <w:highlight w:val="none"/>
              </w:rPr>
            </w:pPr>
            <w:r>
              <w:rPr>
                <w:rFonts w:hint="eastAsia"/>
                <w:szCs w:val="21"/>
                <w:highlight w:val="none"/>
              </w:rPr>
              <w:t>注 3：造成入海河口（湾口）宽度束窄（束窄尺度达到原宽度的 5%以上），评价等级不得低于二级。</w:t>
            </w:r>
          </w:p>
          <w:p>
            <w:pPr>
              <w:spacing w:line="420" w:lineRule="exact"/>
              <w:jc w:val="left"/>
              <w:rPr>
                <w:rFonts w:hint="eastAsia"/>
                <w:szCs w:val="21"/>
                <w:highlight w:val="none"/>
              </w:rPr>
            </w:pPr>
            <w:r>
              <w:rPr>
                <w:rFonts w:hint="eastAsia"/>
                <w:szCs w:val="21"/>
                <w:highlight w:val="none"/>
              </w:rPr>
              <w:t>注 4：对不透水的单方向建筑尺度较长的水工建筑物（如防波堤、导流堤等），其与潮流或水流主流向切线垂直方向投影长度大于 2km 时，评价等级应不低于二级。</w:t>
            </w:r>
          </w:p>
          <w:p>
            <w:pPr>
              <w:spacing w:line="420" w:lineRule="exact"/>
              <w:jc w:val="left"/>
              <w:rPr>
                <w:rFonts w:hint="eastAsia"/>
                <w:szCs w:val="21"/>
                <w:highlight w:val="none"/>
              </w:rPr>
            </w:pPr>
            <w:r>
              <w:rPr>
                <w:rFonts w:hint="eastAsia"/>
                <w:szCs w:val="21"/>
                <w:highlight w:val="none"/>
              </w:rPr>
              <w:t>注 5：允许在一类海域建设的项目，评价等级为一级。</w:t>
            </w:r>
          </w:p>
          <w:p>
            <w:pPr>
              <w:spacing w:line="420" w:lineRule="exact"/>
              <w:jc w:val="left"/>
              <w:rPr>
                <w:rFonts w:hint="eastAsia" w:eastAsia="宋体"/>
                <w:szCs w:val="21"/>
                <w:highlight w:val="none"/>
                <w:lang w:eastAsia="zh-CN"/>
              </w:rPr>
            </w:pPr>
            <w:r>
              <w:rPr>
                <w:rFonts w:hint="eastAsia"/>
                <w:szCs w:val="21"/>
                <w:highlight w:val="none"/>
              </w:rPr>
              <w:t>注 6：同时存在多个水文要素影响的建设项目，分别判定各水文要素影响评价等级，并取其中最高等级作为水文要素影响型建设项目评价等级</w:t>
            </w:r>
            <w:r>
              <w:rPr>
                <w:rFonts w:hint="eastAsia"/>
                <w:szCs w:val="21"/>
                <w:highlight w:val="none"/>
                <w:lang w:eastAsia="zh-CN"/>
              </w:rPr>
              <w:t>。</w:t>
            </w:r>
          </w:p>
        </w:tc>
      </w:tr>
    </w:tbl>
    <w:p>
      <w:pPr>
        <w:keepNext w:val="0"/>
        <w:keepLines w:val="0"/>
        <w:pageBreakBefore w:val="0"/>
        <w:widowControl w:val="0"/>
        <w:kinsoku/>
        <w:wordWrap/>
        <w:overflowPunct/>
        <w:topLinePunct w:val="0"/>
        <w:autoSpaceDE/>
        <w:autoSpaceDN/>
        <w:bidi w:val="0"/>
        <w:adjustRightInd/>
        <w:snapToGrid/>
        <w:spacing w:line="380" w:lineRule="exact"/>
        <w:ind w:firstLine="422" w:firstLineChars="176"/>
        <w:jc w:val="left"/>
        <w:textAlignment w:val="auto"/>
        <w:rPr>
          <w:sz w:val="24"/>
          <w:highlight w:val="none"/>
        </w:rPr>
      </w:pPr>
      <w:r>
        <w:rPr>
          <w:rFonts w:hint="eastAsia"/>
          <w:sz w:val="24"/>
          <w:highlight w:val="none"/>
        </w:rPr>
        <w:t>根据《环境影响评价技术导则 地表水环境》（HJ 2.3-2018）上表“注2：跨流域调水、引水式电站、可能受到河流感潮河段影响，评价等级应不低于二级”。本项目属于引水式水电站，故本项目地表水评价等级为二级。</w:t>
      </w:r>
    </w:p>
    <w:p>
      <w:pPr>
        <w:keepNext w:val="0"/>
        <w:keepLines w:val="0"/>
        <w:pageBreakBefore w:val="0"/>
        <w:widowControl w:val="0"/>
        <w:kinsoku/>
        <w:wordWrap/>
        <w:overflowPunct/>
        <w:topLinePunct w:val="0"/>
        <w:autoSpaceDE/>
        <w:autoSpaceDN/>
        <w:bidi w:val="0"/>
        <w:adjustRightInd/>
        <w:snapToGrid/>
        <w:spacing w:line="380" w:lineRule="exact"/>
        <w:ind w:firstLine="422" w:firstLineChars="176"/>
        <w:jc w:val="left"/>
        <w:textAlignment w:val="auto"/>
        <w:rPr>
          <w:sz w:val="24"/>
          <w:highlight w:val="none"/>
        </w:rPr>
      </w:pPr>
      <w:r>
        <w:rPr>
          <w:rFonts w:hint="eastAsia"/>
          <w:sz w:val="24"/>
          <w:highlight w:val="none"/>
        </w:rPr>
        <w:t>（2）</w:t>
      </w:r>
      <w:r>
        <w:rPr>
          <w:sz w:val="24"/>
          <w:highlight w:val="none"/>
        </w:rPr>
        <w:t>评价范围</w:t>
      </w:r>
    </w:p>
    <w:p>
      <w:pPr>
        <w:keepNext w:val="0"/>
        <w:keepLines w:val="0"/>
        <w:pageBreakBefore w:val="0"/>
        <w:widowControl w:val="0"/>
        <w:kinsoku/>
        <w:wordWrap/>
        <w:overflowPunct/>
        <w:topLinePunct w:val="0"/>
        <w:autoSpaceDE/>
        <w:autoSpaceDN/>
        <w:bidi w:val="0"/>
        <w:adjustRightInd/>
        <w:snapToGrid/>
        <w:spacing w:line="380" w:lineRule="exact"/>
        <w:ind w:firstLine="422" w:firstLineChars="176"/>
        <w:jc w:val="left"/>
        <w:textAlignment w:val="auto"/>
        <w:rPr>
          <w:sz w:val="24"/>
          <w:highlight w:val="none"/>
        </w:rPr>
      </w:pPr>
      <w:r>
        <w:rPr>
          <w:sz w:val="24"/>
          <w:highlight w:val="none"/>
        </w:rPr>
        <w:t>《环境影响评价技术导则·地表水环境》(HJ2.3-2018)</w:t>
      </w:r>
      <w:r>
        <w:rPr>
          <w:rFonts w:hint="eastAsia"/>
          <w:sz w:val="24"/>
          <w:highlight w:val="none"/>
        </w:rPr>
        <w:t>，二级</w:t>
      </w:r>
      <w:r>
        <w:rPr>
          <w:sz w:val="24"/>
          <w:highlight w:val="none"/>
        </w:rPr>
        <w:t>评价范围应符合以下要求：</w:t>
      </w:r>
      <w:r>
        <w:rPr>
          <w:rFonts w:hint="eastAsia"/>
          <w:sz w:val="24"/>
          <w:highlight w:val="none"/>
        </w:rPr>
        <w:t>受纳水体为河流时，应满足覆盖对照断面、减水断面与消减断面等关心断面的要求。</w:t>
      </w:r>
      <w:r>
        <w:rPr>
          <w:sz w:val="24"/>
          <w:highlight w:val="none"/>
        </w:rPr>
        <w:t>橡胶坝上游</w:t>
      </w:r>
      <w:r>
        <w:rPr>
          <w:rFonts w:hint="eastAsia"/>
          <w:sz w:val="24"/>
          <w:highlight w:val="none"/>
          <w:lang w:val="en-US" w:eastAsia="zh-CN"/>
        </w:rPr>
        <w:t>50</w:t>
      </w:r>
      <w:r>
        <w:rPr>
          <w:rFonts w:hint="eastAsia"/>
          <w:sz w:val="24"/>
          <w:highlight w:val="none"/>
        </w:rPr>
        <w:t>0</w:t>
      </w:r>
      <w:r>
        <w:rPr>
          <w:sz w:val="24"/>
          <w:highlight w:val="none"/>
        </w:rPr>
        <w:t>m</w:t>
      </w:r>
      <w:r>
        <w:rPr>
          <w:rFonts w:hint="eastAsia"/>
          <w:sz w:val="24"/>
          <w:highlight w:val="none"/>
        </w:rPr>
        <w:t>（对照断面），橡胶坝下</w:t>
      </w:r>
      <w:r>
        <w:rPr>
          <w:rFonts w:hint="eastAsia"/>
          <w:sz w:val="24"/>
          <w:highlight w:val="none"/>
          <w:lang w:val="en-US" w:eastAsia="zh-CN"/>
        </w:rPr>
        <w:t>1</w:t>
      </w:r>
      <w:r>
        <w:rPr>
          <w:rFonts w:hint="eastAsia"/>
          <w:sz w:val="24"/>
          <w:highlight w:val="none"/>
        </w:rPr>
        <w:t>100m（减水断面），水</w:t>
      </w:r>
      <w:r>
        <w:rPr>
          <w:sz w:val="24"/>
          <w:highlight w:val="none"/>
        </w:rPr>
        <w:t>电厂房尾水口下游</w:t>
      </w:r>
      <w:r>
        <w:rPr>
          <w:rFonts w:hint="eastAsia"/>
          <w:sz w:val="24"/>
          <w:highlight w:val="none"/>
        </w:rPr>
        <w:t>1000m（控制断面），总长约2600m。</w:t>
      </w:r>
    </w:p>
    <w:p>
      <w:pPr>
        <w:keepNext w:val="0"/>
        <w:keepLines w:val="0"/>
        <w:pageBreakBefore w:val="0"/>
        <w:widowControl w:val="0"/>
        <w:kinsoku/>
        <w:wordWrap/>
        <w:overflowPunct/>
        <w:topLinePunct w:val="0"/>
        <w:autoSpaceDE/>
        <w:autoSpaceDN/>
        <w:bidi w:val="0"/>
        <w:adjustRightInd/>
        <w:snapToGrid/>
        <w:spacing w:line="380" w:lineRule="exact"/>
        <w:ind w:firstLine="422" w:firstLineChars="176"/>
        <w:jc w:val="left"/>
        <w:textAlignment w:val="auto"/>
        <w:rPr>
          <w:sz w:val="24"/>
          <w:highlight w:val="none"/>
        </w:rPr>
      </w:pPr>
      <w:r>
        <w:rPr>
          <w:rFonts w:hint="eastAsia"/>
          <w:sz w:val="24"/>
          <w:highlight w:val="none"/>
        </w:rPr>
        <w:t>地表水评价范围见附图5。</w:t>
      </w:r>
    </w:p>
    <w:p>
      <w:pPr>
        <w:keepNext w:val="0"/>
        <w:keepLines w:val="0"/>
        <w:pageBreakBefore w:val="0"/>
        <w:widowControl w:val="0"/>
        <w:kinsoku/>
        <w:wordWrap/>
        <w:overflowPunct/>
        <w:topLinePunct w:val="0"/>
        <w:autoSpaceDE/>
        <w:autoSpaceDN/>
        <w:bidi w:val="0"/>
        <w:adjustRightInd/>
        <w:snapToGrid/>
        <w:spacing w:line="380" w:lineRule="exact"/>
        <w:ind w:firstLine="422" w:firstLineChars="176"/>
        <w:jc w:val="left"/>
        <w:textAlignment w:val="auto"/>
        <w:rPr>
          <w:sz w:val="24"/>
          <w:highlight w:val="none"/>
        </w:rPr>
      </w:pPr>
      <w:r>
        <w:rPr>
          <w:rFonts w:hint="eastAsia"/>
          <w:sz w:val="24"/>
          <w:highlight w:val="none"/>
        </w:rPr>
        <w:t>（3）评价时段</w:t>
      </w:r>
    </w:p>
    <w:p>
      <w:pPr>
        <w:keepNext w:val="0"/>
        <w:keepLines w:val="0"/>
        <w:pageBreakBefore w:val="0"/>
        <w:widowControl w:val="0"/>
        <w:kinsoku/>
        <w:wordWrap/>
        <w:overflowPunct/>
        <w:topLinePunct w:val="0"/>
        <w:autoSpaceDE/>
        <w:autoSpaceDN/>
        <w:bidi w:val="0"/>
        <w:adjustRightInd/>
        <w:snapToGrid/>
        <w:spacing w:line="380" w:lineRule="exact"/>
        <w:ind w:firstLine="422" w:firstLineChars="176"/>
        <w:jc w:val="left"/>
        <w:textAlignment w:val="auto"/>
        <w:rPr>
          <w:sz w:val="24"/>
          <w:highlight w:val="none"/>
        </w:rPr>
      </w:pPr>
      <w:r>
        <w:rPr>
          <w:rFonts w:hint="eastAsia"/>
          <w:sz w:val="24"/>
          <w:highlight w:val="none"/>
        </w:rPr>
        <w:t>二级</w:t>
      </w:r>
      <w:r>
        <w:rPr>
          <w:sz w:val="24"/>
          <w:highlight w:val="none"/>
        </w:rPr>
        <w:t>评价</w:t>
      </w:r>
      <w:r>
        <w:rPr>
          <w:rFonts w:hint="eastAsia"/>
          <w:sz w:val="24"/>
          <w:highlight w:val="none"/>
        </w:rPr>
        <w:t>：枯水期。</w:t>
      </w:r>
    </w:p>
    <w:p>
      <w:pPr>
        <w:keepNext w:val="0"/>
        <w:keepLines w:val="0"/>
        <w:pageBreakBefore w:val="0"/>
        <w:widowControl w:val="0"/>
        <w:tabs>
          <w:tab w:val="left" w:pos="1170"/>
        </w:tabs>
        <w:kinsoku/>
        <w:wordWrap/>
        <w:overflowPunct/>
        <w:topLinePunct w:val="0"/>
        <w:autoSpaceDE/>
        <w:autoSpaceDN/>
        <w:bidi w:val="0"/>
        <w:adjustRightInd/>
        <w:snapToGrid/>
        <w:spacing w:line="380" w:lineRule="exact"/>
        <w:textAlignment w:val="auto"/>
        <w:outlineLvl w:val="2"/>
        <w:rPr>
          <w:b/>
          <w:sz w:val="24"/>
          <w:highlight w:val="none"/>
        </w:rPr>
      </w:pPr>
      <w:r>
        <w:rPr>
          <w:rFonts w:hint="eastAsia"/>
          <w:b/>
          <w:sz w:val="24"/>
          <w:highlight w:val="none"/>
        </w:rPr>
        <w:t>1.</w:t>
      </w:r>
      <w:r>
        <w:rPr>
          <w:rFonts w:hint="eastAsia"/>
          <w:b/>
          <w:sz w:val="24"/>
          <w:highlight w:val="none"/>
          <w:lang w:val="en-US" w:eastAsia="zh-CN"/>
        </w:rPr>
        <w:t>5</w:t>
      </w:r>
      <w:r>
        <w:rPr>
          <w:b/>
          <w:sz w:val="24"/>
          <w:highlight w:val="none"/>
        </w:rPr>
        <w:t>.3 地下水</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sz w:val="24"/>
          <w:highlight w:val="none"/>
        </w:rPr>
      </w:pPr>
      <w:r>
        <w:rPr>
          <w:rFonts w:hint="eastAsia" w:ascii="宋体" w:hAnsi="宋体" w:cs="宋体"/>
          <w:sz w:val="24"/>
          <w:highlight w:val="none"/>
        </w:rPr>
        <w:t>（1）</w:t>
      </w:r>
      <w:r>
        <w:rPr>
          <w:sz w:val="24"/>
          <w:highlight w:val="none"/>
        </w:rPr>
        <w:t>项目类别</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sz w:val="24"/>
          <w:highlight w:val="none"/>
        </w:rPr>
      </w:pPr>
      <w:r>
        <w:rPr>
          <w:sz w:val="24"/>
          <w:highlight w:val="none"/>
        </w:rPr>
        <w:t>根据《环境影响评价技术导则-地下水环境》（HJ610-2016）附录A（规范性附录）地下水环境影响评价行业分类表，相关内容见表</w:t>
      </w:r>
      <w:r>
        <w:rPr>
          <w:rFonts w:hint="eastAsia"/>
          <w:sz w:val="24"/>
          <w:highlight w:val="none"/>
        </w:rPr>
        <w:t>1.</w:t>
      </w:r>
      <w:r>
        <w:rPr>
          <w:rFonts w:hint="eastAsia"/>
          <w:sz w:val="24"/>
          <w:highlight w:val="none"/>
          <w:lang w:val="en-US" w:eastAsia="zh-CN"/>
        </w:rPr>
        <w:t>5</w:t>
      </w:r>
      <w:r>
        <w:rPr>
          <w:sz w:val="24"/>
          <w:highlight w:val="none"/>
        </w:rPr>
        <w:t>-</w:t>
      </w:r>
      <w:r>
        <w:rPr>
          <w:rFonts w:hint="eastAsia"/>
          <w:sz w:val="24"/>
          <w:highlight w:val="none"/>
        </w:rPr>
        <w:t>2</w:t>
      </w:r>
      <w:r>
        <w:rPr>
          <w:sz w:val="24"/>
          <w:highlight w:val="none"/>
        </w:rPr>
        <w:t>。</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sz w:val="24"/>
          <w:highlight w:val="none"/>
        </w:rPr>
      </w:pPr>
      <w:r>
        <w:rPr>
          <w:sz w:val="24"/>
          <w:highlight w:val="none"/>
        </w:rPr>
        <w:t>由上表可知，本项目总装机为</w:t>
      </w:r>
      <w:r>
        <w:rPr>
          <w:rFonts w:hint="eastAsia"/>
          <w:sz w:val="24"/>
          <w:highlight w:val="none"/>
          <w:lang w:val="en-US" w:eastAsia="zh-CN"/>
        </w:rPr>
        <w:t>5000</w:t>
      </w:r>
      <w:r>
        <w:rPr>
          <w:sz w:val="24"/>
          <w:highlight w:val="none"/>
        </w:rPr>
        <w:t>kW，属于</w:t>
      </w:r>
      <w:r>
        <w:rPr>
          <w:sz w:val="24"/>
          <w:highlight w:val="none"/>
        </w:rPr>
        <w:fldChar w:fldCharType="begin"/>
      </w:r>
      <w:r>
        <w:rPr>
          <w:sz w:val="24"/>
          <w:highlight w:val="none"/>
        </w:rPr>
        <w:instrText xml:space="preserve"> = 3 \* ROMAN </w:instrText>
      </w:r>
      <w:r>
        <w:rPr>
          <w:sz w:val="24"/>
          <w:highlight w:val="none"/>
        </w:rPr>
        <w:fldChar w:fldCharType="separate"/>
      </w:r>
      <w:r>
        <w:rPr>
          <w:sz w:val="24"/>
          <w:highlight w:val="none"/>
        </w:rPr>
        <w:t>III</w:t>
      </w:r>
      <w:r>
        <w:rPr>
          <w:sz w:val="24"/>
          <w:highlight w:val="none"/>
        </w:rPr>
        <w:fldChar w:fldCharType="end"/>
      </w:r>
      <w:r>
        <w:rPr>
          <w:sz w:val="24"/>
          <w:highlight w:val="none"/>
        </w:rPr>
        <w:t>类建设项目。</w:t>
      </w:r>
    </w:p>
    <w:p>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b/>
          <w:sz w:val="24"/>
          <w:highlight w:val="none"/>
        </w:rPr>
      </w:pPr>
    </w:p>
    <w:p>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b/>
          <w:sz w:val="24"/>
          <w:highlight w:val="none"/>
        </w:rPr>
      </w:pPr>
    </w:p>
    <w:p>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b/>
          <w:sz w:val="24"/>
          <w:highlight w:val="none"/>
        </w:rPr>
      </w:pPr>
      <w:r>
        <w:rPr>
          <w:b/>
          <w:sz w:val="24"/>
          <w:highlight w:val="none"/>
        </w:rPr>
        <w:t>表</w:t>
      </w:r>
      <w:r>
        <w:rPr>
          <w:rFonts w:hint="eastAsia"/>
          <w:b/>
          <w:sz w:val="24"/>
          <w:highlight w:val="none"/>
        </w:rPr>
        <w:t>1.</w:t>
      </w:r>
      <w:r>
        <w:rPr>
          <w:rFonts w:hint="eastAsia"/>
          <w:b/>
          <w:sz w:val="24"/>
          <w:highlight w:val="none"/>
          <w:lang w:val="en-US" w:eastAsia="zh-CN"/>
        </w:rPr>
        <w:t>5</w:t>
      </w:r>
      <w:r>
        <w:rPr>
          <w:b/>
          <w:sz w:val="24"/>
          <w:highlight w:val="none"/>
        </w:rPr>
        <w:t>-</w:t>
      </w:r>
      <w:r>
        <w:rPr>
          <w:rFonts w:hint="eastAsia"/>
          <w:b/>
          <w:sz w:val="24"/>
          <w:highlight w:val="none"/>
        </w:rPr>
        <w:t>2</w:t>
      </w:r>
      <w:r>
        <w:rPr>
          <w:b/>
          <w:sz w:val="24"/>
          <w:highlight w:val="none"/>
        </w:rPr>
        <w:t xml:space="preserve">   地下水环境影响评价行业分类表</w:t>
      </w:r>
    </w:p>
    <w:tbl>
      <w:tblPr>
        <w:tblStyle w:val="51"/>
        <w:tblW w:w="8280" w:type="dxa"/>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2047"/>
        <w:gridCol w:w="1543"/>
        <w:gridCol w:w="1446"/>
        <w:gridCol w:w="1623"/>
        <w:gridCol w:w="1621"/>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2047" w:type="dxa"/>
            <w:vMerge w:val="restart"/>
            <w:tcBorders>
              <w:tl2br w:val="single" w:color="auto" w:sz="4" w:space="0"/>
            </w:tcBorders>
            <w:vAlign w:val="center"/>
          </w:tcPr>
          <w:p>
            <w:pPr>
              <w:keepNext w:val="0"/>
              <w:keepLines w:val="0"/>
              <w:pageBreakBefore w:val="0"/>
              <w:tabs>
                <w:tab w:val="left" w:pos="600"/>
              </w:tabs>
              <w:kinsoku/>
              <w:wordWrap/>
              <w:overflowPunct/>
              <w:topLinePunct w:val="0"/>
              <w:autoSpaceDE/>
              <w:autoSpaceDN/>
              <w:bidi w:val="0"/>
              <w:adjustRightInd/>
              <w:snapToGrid/>
              <w:spacing w:line="440" w:lineRule="exact"/>
              <w:ind w:firstLine="617" w:firstLineChars="294"/>
              <w:jc w:val="center"/>
              <w:textAlignment w:val="auto"/>
              <w:rPr>
                <w:highlight w:val="none"/>
              </w:rPr>
            </w:pPr>
            <w:r>
              <w:rPr>
                <w:highlight w:val="none"/>
              </w:rPr>
              <w:t>环评类别</w:t>
            </w:r>
          </w:p>
          <w:p>
            <w:pPr>
              <w:keepNext w:val="0"/>
              <w:keepLines w:val="0"/>
              <w:pageBreakBefore w:val="0"/>
              <w:tabs>
                <w:tab w:val="left" w:pos="600"/>
              </w:tabs>
              <w:kinsoku/>
              <w:wordWrap/>
              <w:overflowPunct/>
              <w:topLinePunct w:val="0"/>
              <w:autoSpaceDE/>
              <w:autoSpaceDN/>
              <w:bidi w:val="0"/>
              <w:adjustRightInd/>
              <w:snapToGrid/>
              <w:spacing w:line="440" w:lineRule="exact"/>
              <w:textAlignment w:val="auto"/>
              <w:rPr>
                <w:highlight w:val="none"/>
              </w:rPr>
            </w:pPr>
            <w:r>
              <w:rPr>
                <w:highlight w:val="none"/>
              </w:rPr>
              <w:t>行业类别</w:t>
            </w:r>
          </w:p>
        </w:tc>
        <w:tc>
          <w:tcPr>
            <w:tcW w:w="1543" w:type="dxa"/>
            <w:vMerge w:val="restart"/>
            <w:vAlign w:val="center"/>
          </w:tcPr>
          <w:p>
            <w:pPr>
              <w:keepNext w:val="0"/>
              <w:keepLines w:val="0"/>
              <w:pageBreakBefore w:val="0"/>
              <w:tabs>
                <w:tab w:val="left" w:pos="600"/>
              </w:tabs>
              <w:kinsoku/>
              <w:wordWrap/>
              <w:overflowPunct/>
              <w:topLinePunct w:val="0"/>
              <w:autoSpaceDE/>
              <w:autoSpaceDN/>
              <w:bidi w:val="0"/>
              <w:adjustRightInd/>
              <w:snapToGrid/>
              <w:spacing w:line="440" w:lineRule="exact"/>
              <w:jc w:val="center"/>
              <w:textAlignment w:val="auto"/>
              <w:rPr>
                <w:highlight w:val="none"/>
              </w:rPr>
            </w:pPr>
            <w:r>
              <w:rPr>
                <w:highlight w:val="none"/>
              </w:rPr>
              <w:t>报告书</w:t>
            </w:r>
          </w:p>
        </w:tc>
        <w:tc>
          <w:tcPr>
            <w:tcW w:w="1446" w:type="dxa"/>
            <w:vMerge w:val="restart"/>
            <w:vAlign w:val="center"/>
          </w:tcPr>
          <w:p>
            <w:pPr>
              <w:keepNext w:val="0"/>
              <w:keepLines w:val="0"/>
              <w:pageBreakBefore w:val="0"/>
              <w:tabs>
                <w:tab w:val="left" w:pos="600"/>
              </w:tabs>
              <w:kinsoku/>
              <w:wordWrap/>
              <w:overflowPunct/>
              <w:topLinePunct w:val="0"/>
              <w:autoSpaceDE/>
              <w:autoSpaceDN/>
              <w:bidi w:val="0"/>
              <w:adjustRightInd/>
              <w:snapToGrid/>
              <w:spacing w:line="440" w:lineRule="exact"/>
              <w:jc w:val="center"/>
              <w:textAlignment w:val="auto"/>
              <w:rPr>
                <w:highlight w:val="none"/>
              </w:rPr>
            </w:pPr>
            <w:r>
              <w:rPr>
                <w:highlight w:val="none"/>
              </w:rPr>
              <w:t>报告表</w:t>
            </w:r>
          </w:p>
        </w:tc>
        <w:tc>
          <w:tcPr>
            <w:tcW w:w="3244" w:type="dxa"/>
            <w:gridSpan w:val="2"/>
            <w:vAlign w:val="center"/>
          </w:tcPr>
          <w:p>
            <w:pPr>
              <w:keepNext w:val="0"/>
              <w:keepLines w:val="0"/>
              <w:pageBreakBefore w:val="0"/>
              <w:widowControl/>
              <w:kinsoku/>
              <w:wordWrap/>
              <w:overflowPunct/>
              <w:topLinePunct w:val="0"/>
              <w:autoSpaceDE/>
              <w:autoSpaceDN/>
              <w:bidi w:val="0"/>
              <w:adjustRightInd/>
              <w:snapToGrid/>
              <w:spacing w:line="440" w:lineRule="exact"/>
              <w:jc w:val="center"/>
              <w:textAlignment w:val="auto"/>
              <w:rPr>
                <w:highlight w:val="none"/>
              </w:rPr>
            </w:pPr>
            <w:r>
              <w:rPr>
                <w:highlight w:val="none"/>
              </w:rPr>
              <w:t>地下水环境影响评价项目类别</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2047" w:type="dxa"/>
            <w:vMerge w:val="continue"/>
            <w:vAlign w:val="center"/>
          </w:tcPr>
          <w:p>
            <w:pPr>
              <w:keepNext w:val="0"/>
              <w:keepLines w:val="0"/>
              <w:pageBreakBefore w:val="0"/>
              <w:tabs>
                <w:tab w:val="left" w:pos="600"/>
              </w:tabs>
              <w:kinsoku/>
              <w:wordWrap/>
              <w:overflowPunct/>
              <w:topLinePunct w:val="0"/>
              <w:autoSpaceDE/>
              <w:autoSpaceDN/>
              <w:bidi w:val="0"/>
              <w:adjustRightInd/>
              <w:snapToGrid/>
              <w:spacing w:line="440" w:lineRule="exact"/>
              <w:jc w:val="center"/>
              <w:textAlignment w:val="auto"/>
              <w:rPr>
                <w:highlight w:val="none"/>
              </w:rPr>
            </w:pPr>
          </w:p>
        </w:tc>
        <w:tc>
          <w:tcPr>
            <w:tcW w:w="1543" w:type="dxa"/>
            <w:vMerge w:val="continue"/>
            <w:vAlign w:val="center"/>
          </w:tcPr>
          <w:p>
            <w:pPr>
              <w:keepNext w:val="0"/>
              <w:keepLines w:val="0"/>
              <w:pageBreakBefore w:val="0"/>
              <w:tabs>
                <w:tab w:val="left" w:pos="600"/>
              </w:tabs>
              <w:kinsoku/>
              <w:wordWrap/>
              <w:overflowPunct/>
              <w:topLinePunct w:val="0"/>
              <w:autoSpaceDE/>
              <w:autoSpaceDN/>
              <w:bidi w:val="0"/>
              <w:adjustRightInd/>
              <w:snapToGrid/>
              <w:spacing w:line="440" w:lineRule="exact"/>
              <w:jc w:val="center"/>
              <w:textAlignment w:val="auto"/>
              <w:rPr>
                <w:highlight w:val="none"/>
              </w:rPr>
            </w:pPr>
          </w:p>
        </w:tc>
        <w:tc>
          <w:tcPr>
            <w:tcW w:w="1446" w:type="dxa"/>
            <w:vMerge w:val="continue"/>
            <w:vAlign w:val="center"/>
          </w:tcPr>
          <w:p>
            <w:pPr>
              <w:keepNext w:val="0"/>
              <w:keepLines w:val="0"/>
              <w:pageBreakBefore w:val="0"/>
              <w:tabs>
                <w:tab w:val="left" w:pos="600"/>
              </w:tabs>
              <w:kinsoku/>
              <w:wordWrap/>
              <w:overflowPunct/>
              <w:topLinePunct w:val="0"/>
              <w:autoSpaceDE/>
              <w:autoSpaceDN/>
              <w:bidi w:val="0"/>
              <w:adjustRightInd/>
              <w:snapToGrid/>
              <w:spacing w:line="440" w:lineRule="exact"/>
              <w:jc w:val="center"/>
              <w:textAlignment w:val="auto"/>
              <w:rPr>
                <w:highlight w:val="none"/>
              </w:rPr>
            </w:pPr>
          </w:p>
        </w:tc>
        <w:tc>
          <w:tcPr>
            <w:tcW w:w="1623" w:type="dxa"/>
            <w:vAlign w:val="center"/>
          </w:tcPr>
          <w:p>
            <w:pPr>
              <w:keepNext w:val="0"/>
              <w:keepLines w:val="0"/>
              <w:pageBreakBefore w:val="0"/>
              <w:tabs>
                <w:tab w:val="left" w:pos="600"/>
              </w:tabs>
              <w:kinsoku/>
              <w:wordWrap/>
              <w:overflowPunct/>
              <w:topLinePunct w:val="0"/>
              <w:autoSpaceDE/>
              <w:autoSpaceDN/>
              <w:bidi w:val="0"/>
              <w:adjustRightInd/>
              <w:snapToGrid/>
              <w:spacing w:line="440" w:lineRule="exact"/>
              <w:jc w:val="center"/>
              <w:textAlignment w:val="auto"/>
              <w:rPr>
                <w:highlight w:val="none"/>
              </w:rPr>
            </w:pPr>
            <w:r>
              <w:rPr>
                <w:highlight w:val="none"/>
              </w:rPr>
              <w:t>报告书</w:t>
            </w:r>
          </w:p>
        </w:tc>
        <w:tc>
          <w:tcPr>
            <w:tcW w:w="1621" w:type="dxa"/>
            <w:vAlign w:val="center"/>
          </w:tcPr>
          <w:p>
            <w:pPr>
              <w:keepNext w:val="0"/>
              <w:keepLines w:val="0"/>
              <w:pageBreakBefore w:val="0"/>
              <w:tabs>
                <w:tab w:val="left" w:pos="600"/>
              </w:tabs>
              <w:kinsoku/>
              <w:wordWrap/>
              <w:overflowPunct/>
              <w:topLinePunct w:val="0"/>
              <w:autoSpaceDE/>
              <w:autoSpaceDN/>
              <w:bidi w:val="0"/>
              <w:adjustRightInd/>
              <w:snapToGrid/>
              <w:spacing w:line="440" w:lineRule="exact"/>
              <w:jc w:val="center"/>
              <w:textAlignment w:val="auto"/>
              <w:rPr>
                <w:highlight w:val="none"/>
              </w:rPr>
            </w:pPr>
            <w:r>
              <w:rPr>
                <w:highlight w:val="none"/>
              </w:rPr>
              <w:t>报告表</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2047" w:type="dxa"/>
            <w:vAlign w:val="center"/>
          </w:tcPr>
          <w:p>
            <w:pPr>
              <w:keepNext w:val="0"/>
              <w:keepLines w:val="0"/>
              <w:pageBreakBefore w:val="0"/>
              <w:tabs>
                <w:tab w:val="left" w:pos="600"/>
              </w:tabs>
              <w:kinsoku/>
              <w:wordWrap/>
              <w:overflowPunct/>
              <w:topLinePunct w:val="0"/>
              <w:autoSpaceDE/>
              <w:autoSpaceDN/>
              <w:bidi w:val="0"/>
              <w:adjustRightInd/>
              <w:snapToGrid/>
              <w:spacing w:line="440" w:lineRule="exact"/>
              <w:jc w:val="center"/>
              <w:textAlignment w:val="auto"/>
              <w:rPr>
                <w:highlight w:val="none"/>
              </w:rPr>
            </w:pPr>
            <w:r>
              <w:rPr>
                <w:highlight w:val="none"/>
              </w:rPr>
              <w:t>E 电力</w:t>
            </w:r>
          </w:p>
          <w:p>
            <w:pPr>
              <w:keepNext w:val="0"/>
              <w:keepLines w:val="0"/>
              <w:pageBreakBefore w:val="0"/>
              <w:tabs>
                <w:tab w:val="left" w:pos="600"/>
              </w:tabs>
              <w:kinsoku/>
              <w:wordWrap/>
              <w:overflowPunct/>
              <w:topLinePunct w:val="0"/>
              <w:autoSpaceDE/>
              <w:autoSpaceDN/>
              <w:bidi w:val="0"/>
              <w:adjustRightInd/>
              <w:snapToGrid/>
              <w:spacing w:line="440" w:lineRule="exact"/>
              <w:jc w:val="center"/>
              <w:textAlignment w:val="auto"/>
              <w:rPr>
                <w:highlight w:val="none"/>
              </w:rPr>
            </w:pPr>
            <w:r>
              <w:rPr>
                <w:highlight w:val="none"/>
              </w:rPr>
              <w:t>31、水力发电</w:t>
            </w:r>
          </w:p>
        </w:tc>
        <w:tc>
          <w:tcPr>
            <w:tcW w:w="1543" w:type="dxa"/>
            <w:vAlign w:val="center"/>
          </w:tcPr>
          <w:p>
            <w:pPr>
              <w:keepNext w:val="0"/>
              <w:keepLines w:val="0"/>
              <w:pageBreakBefore w:val="0"/>
              <w:tabs>
                <w:tab w:val="left" w:pos="600"/>
              </w:tabs>
              <w:kinsoku/>
              <w:wordWrap/>
              <w:overflowPunct/>
              <w:topLinePunct w:val="0"/>
              <w:autoSpaceDE/>
              <w:autoSpaceDN/>
              <w:bidi w:val="0"/>
              <w:adjustRightInd/>
              <w:snapToGrid/>
              <w:spacing w:line="440" w:lineRule="exact"/>
              <w:jc w:val="center"/>
              <w:textAlignment w:val="auto"/>
              <w:rPr>
                <w:highlight w:val="none"/>
              </w:rPr>
            </w:pPr>
            <w:r>
              <w:rPr>
                <w:highlight w:val="none"/>
              </w:rPr>
              <w:t>总装机1000千瓦及以上；</w:t>
            </w:r>
          </w:p>
        </w:tc>
        <w:tc>
          <w:tcPr>
            <w:tcW w:w="1446" w:type="dxa"/>
            <w:vAlign w:val="center"/>
          </w:tcPr>
          <w:p>
            <w:pPr>
              <w:keepNext w:val="0"/>
              <w:keepLines w:val="0"/>
              <w:pageBreakBefore w:val="0"/>
              <w:tabs>
                <w:tab w:val="left" w:pos="600"/>
              </w:tabs>
              <w:kinsoku/>
              <w:wordWrap/>
              <w:overflowPunct/>
              <w:topLinePunct w:val="0"/>
              <w:autoSpaceDE/>
              <w:autoSpaceDN/>
              <w:bidi w:val="0"/>
              <w:adjustRightInd/>
              <w:snapToGrid/>
              <w:spacing w:line="440" w:lineRule="exact"/>
              <w:jc w:val="center"/>
              <w:textAlignment w:val="auto"/>
              <w:rPr>
                <w:highlight w:val="none"/>
              </w:rPr>
            </w:pPr>
            <w:r>
              <w:rPr>
                <w:highlight w:val="none"/>
              </w:rPr>
              <w:t>其它</w:t>
            </w:r>
          </w:p>
        </w:tc>
        <w:tc>
          <w:tcPr>
            <w:tcW w:w="1623" w:type="dxa"/>
            <w:vAlign w:val="center"/>
          </w:tcPr>
          <w:p>
            <w:pPr>
              <w:keepNext w:val="0"/>
              <w:keepLines w:val="0"/>
              <w:pageBreakBefore w:val="0"/>
              <w:widowControl/>
              <w:kinsoku/>
              <w:wordWrap/>
              <w:overflowPunct/>
              <w:topLinePunct w:val="0"/>
              <w:autoSpaceDE/>
              <w:autoSpaceDN/>
              <w:bidi w:val="0"/>
              <w:adjustRightInd/>
              <w:snapToGrid/>
              <w:spacing w:line="440" w:lineRule="exact"/>
              <w:jc w:val="center"/>
              <w:textAlignment w:val="auto"/>
              <w:rPr>
                <w:highlight w:val="none"/>
              </w:rPr>
            </w:pPr>
            <w:r>
              <w:rPr>
                <w:sz w:val="24"/>
                <w:highlight w:val="none"/>
              </w:rPr>
              <w:fldChar w:fldCharType="begin"/>
            </w:r>
            <w:r>
              <w:rPr>
                <w:sz w:val="24"/>
                <w:highlight w:val="none"/>
              </w:rPr>
              <w:instrText xml:space="preserve"> = 3 \* ROMAN </w:instrText>
            </w:r>
            <w:r>
              <w:rPr>
                <w:sz w:val="24"/>
                <w:highlight w:val="none"/>
              </w:rPr>
              <w:fldChar w:fldCharType="separate"/>
            </w:r>
            <w:r>
              <w:rPr>
                <w:sz w:val="24"/>
                <w:highlight w:val="none"/>
              </w:rPr>
              <w:t>III</w:t>
            </w:r>
            <w:r>
              <w:rPr>
                <w:sz w:val="24"/>
                <w:highlight w:val="none"/>
              </w:rPr>
              <w:fldChar w:fldCharType="end"/>
            </w:r>
            <w:r>
              <w:rPr>
                <w:highlight w:val="none"/>
              </w:rPr>
              <w:t>类</w:t>
            </w:r>
          </w:p>
        </w:tc>
        <w:tc>
          <w:tcPr>
            <w:tcW w:w="1621" w:type="dxa"/>
            <w:vAlign w:val="center"/>
          </w:tcPr>
          <w:p>
            <w:pPr>
              <w:keepNext w:val="0"/>
              <w:keepLines w:val="0"/>
              <w:pageBreakBefore w:val="0"/>
              <w:widowControl/>
              <w:kinsoku/>
              <w:wordWrap/>
              <w:overflowPunct/>
              <w:topLinePunct w:val="0"/>
              <w:autoSpaceDE/>
              <w:autoSpaceDN/>
              <w:bidi w:val="0"/>
              <w:adjustRightInd/>
              <w:snapToGrid/>
              <w:spacing w:line="440" w:lineRule="exact"/>
              <w:jc w:val="center"/>
              <w:textAlignment w:val="auto"/>
              <w:rPr>
                <w:highlight w:val="none"/>
              </w:rPr>
            </w:pPr>
            <w:r>
              <w:rPr>
                <w:rFonts w:hint="eastAsia" w:ascii="宋体" w:hAnsi="宋体" w:cs="宋体"/>
                <w:highlight w:val="none"/>
              </w:rPr>
              <w:t>Ⅳ</w:t>
            </w:r>
            <w:r>
              <w:rPr>
                <w:highlight w:val="none"/>
              </w:rPr>
              <w:t>类</w:t>
            </w:r>
          </w:p>
        </w:tc>
      </w:tr>
    </w:tbl>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sz w:val="24"/>
          <w:highlight w:val="none"/>
        </w:rPr>
      </w:pPr>
      <w:r>
        <w:rPr>
          <w:rFonts w:hint="eastAsia" w:ascii="宋体" w:hAnsi="宋体" w:cs="宋体"/>
          <w:sz w:val="24"/>
          <w:highlight w:val="none"/>
        </w:rPr>
        <w:t>（2）</w:t>
      </w:r>
      <w:r>
        <w:rPr>
          <w:sz w:val="24"/>
          <w:highlight w:val="none"/>
        </w:rPr>
        <w:t>项目所在地敏感程度</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sz w:val="24"/>
          <w:highlight w:val="none"/>
        </w:rPr>
      </w:pPr>
      <w:r>
        <w:rPr>
          <w:sz w:val="24"/>
          <w:highlight w:val="none"/>
        </w:rPr>
        <w:t>《环境影响评价技术导则-地下水环境》（HJ610-2016）地下水环境敏感程度分级表见表</w:t>
      </w:r>
      <w:r>
        <w:rPr>
          <w:rFonts w:hint="eastAsia"/>
          <w:sz w:val="24"/>
          <w:highlight w:val="none"/>
          <w:lang w:val="en-US" w:eastAsia="zh-CN"/>
        </w:rPr>
        <w:t>1</w:t>
      </w:r>
      <w:r>
        <w:rPr>
          <w:sz w:val="24"/>
          <w:highlight w:val="none"/>
        </w:rPr>
        <w:t>.</w:t>
      </w:r>
      <w:r>
        <w:rPr>
          <w:rFonts w:hint="eastAsia"/>
          <w:sz w:val="24"/>
          <w:highlight w:val="none"/>
          <w:lang w:val="en-US" w:eastAsia="zh-CN"/>
        </w:rPr>
        <w:t>5</w:t>
      </w:r>
      <w:r>
        <w:rPr>
          <w:sz w:val="24"/>
          <w:highlight w:val="none"/>
        </w:rPr>
        <w:t>-</w:t>
      </w:r>
      <w:r>
        <w:rPr>
          <w:rFonts w:hint="eastAsia"/>
          <w:sz w:val="24"/>
          <w:highlight w:val="none"/>
        </w:rPr>
        <w:t>3</w:t>
      </w:r>
      <w:r>
        <w:rPr>
          <w:sz w:val="24"/>
          <w:highlight w:val="none"/>
        </w:rPr>
        <w:t>。</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b/>
          <w:sz w:val="24"/>
          <w:highlight w:val="none"/>
        </w:rPr>
      </w:pPr>
      <w:r>
        <w:rPr>
          <w:b/>
          <w:sz w:val="24"/>
          <w:highlight w:val="none"/>
        </w:rPr>
        <w:t>表</w:t>
      </w:r>
      <w:r>
        <w:rPr>
          <w:rFonts w:hint="eastAsia"/>
          <w:b/>
          <w:sz w:val="24"/>
          <w:highlight w:val="none"/>
        </w:rPr>
        <w:t>1.</w:t>
      </w:r>
      <w:r>
        <w:rPr>
          <w:rFonts w:hint="eastAsia"/>
          <w:b/>
          <w:sz w:val="24"/>
          <w:highlight w:val="none"/>
          <w:lang w:val="en-US" w:eastAsia="zh-CN"/>
        </w:rPr>
        <w:t>5</w:t>
      </w:r>
      <w:r>
        <w:rPr>
          <w:b/>
          <w:sz w:val="24"/>
          <w:highlight w:val="none"/>
        </w:rPr>
        <w:t>-</w:t>
      </w:r>
      <w:r>
        <w:rPr>
          <w:rFonts w:hint="eastAsia"/>
          <w:b/>
          <w:sz w:val="24"/>
          <w:highlight w:val="none"/>
        </w:rPr>
        <w:t>3</w:t>
      </w:r>
      <w:r>
        <w:rPr>
          <w:b/>
          <w:sz w:val="24"/>
          <w:highlight w:val="none"/>
        </w:rPr>
        <w:t xml:space="preserve">  地下水环境敏感程度分级表</w:t>
      </w:r>
    </w:p>
    <w:tbl>
      <w:tblPr>
        <w:tblStyle w:val="51"/>
        <w:tblW w:w="8403" w:type="dxa"/>
        <w:tblInd w:w="0" w:type="dxa"/>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Layout w:type="fixed"/>
        <w:tblCellMar>
          <w:top w:w="0" w:type="dxa"/>
          <w:left w:w="108" w:type="dxa"/>
          <w:bottom w:w="0" w:type="dxa"/>
          <w:right w:w="108" w:type="dxa"/>
        </w:tblCellMar>
      </w:tblPr>
      <w:tblGrid>
        <w:gridCol w:w="1070"/>
        <w:gridCol w:w="7333"/>
      </w:tblGrid>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09" w:hRule="atLeast"/>
        </w:trPr>
        <w:tc>
          <w:tcPr>
            <w:tcW w:w="1070"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aps/>
                <w:szCs w:val="21"/>
                <w:highlight w:val="none"/>
              </w:rPr>
            </w:pPr>
            <w:r>
              <w:rPr>
                <w:caps/>
                <w:szCs w:val="21"/>
                <w:highlight w:val="none"/>
              </w:rPr>
              <w:t>敏感程度</w:t>
            </w:r>
          </w:p>
        </w:tc>
        <w:tc>
          <w:tcPr>
            <w:tcW w:w="7333"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aps/>
                <w:szCs w:val="21"/>
                <w:highlight w:val="none"/>
              </w:rPr>
            </w:pPr>
            <w:r>
              <w:rPr>
                <w:caps/>
                <w:szCs w:val="21"/>
                <w:highlight w:val="none"/>
              </w:rPr>
              <w:t>地下水环境敏感特征</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70"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szCs w:val="21"/>
                <w:highlight w:val="none"/>
              </w:rPr>
            </w:pPr>
            <w:r>
              <w:rPr>
                <w:szCs w:val="21"/>
                <w:highlight w:val="none"/>
              </w:rPr>
              <w:t>敏感</w:t>
            </w:r>
          </w:p>
        </w:tc>
        <w:tc>
          <w:tcPr>
            <w:tcW w:w="7333" w:type="dxa"/>
            <w:vAlign w:val="center"/>
          </w:tcPr>
          <w:p>
            <w:pPr>
              <w:keepNext w:val="0"/>
              <w:keepLines w:val="0"/>
              <w:pageBreakBefore w:val="0"/>
              <w:widowControl w:val="0"/>
              <w:kinsoku/>
              <w:wordWrap/>
              <w:overflowPunct/>
              <w:topLinePunct w:val="0"/>
              <w:autoSpaceDE/>
              <w:autoSpaceDN/>
              <w:bidi w:val="0"/>
              <w:adjustRightInd/>
              <w:snapToGrid/>
              <w:spacing w:line="320" w:lineRule="exact"/>
              <w:textAlignment w:val="auto"/>
              <w:rPr>
                <w:szCs w:val="21"/>
                <w:highlight w:val="none"/>
              </w:rPr>
            </w:pPr>
            <w:r>
              <w:rPr>
                <w:szCs w:val="21"/>
                <w:highlight w:val="none"/>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70"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szCs w:val="21"/>
                <w:highlight w:val="none"/>
              </w:rPr>
            </w:pPr>
            <w:r>
              <w:rPr>
                <w:szCs w:val="21"/>
                <w:highlight w:val="none"/>
              </w:rPr>
              <w:t>较敏感</w:t>
            </w:r>
          </w:p>
        </w:tc>
        <w:tc>
          <w:tcPr>
            <w:tcW w:w="7333" w:type="dxa"/>
            <w:vAlign w:val="center"/>
          </w:tcPr>
          <w:p>
            <w:pPr>
              <w:keepNext w:val="0"/>
              <w:keepLines w:val="0"/>
              <w:pageBreakBefore w:val="0"/>
              <w:widowControl w:val="0"/>
              <w:kinsoku/>
              <w:wordWrap/>
              <w:overflowPunct/>
              <w:topLinePunct w:val="0"/>
              <w:autoSpaceDE/>
              <w:autoSpaceDN/>
              <w:bidi w:val="0"/>
              <w:adjustRightInd/>
              <w:snapToGrid/>
              <w:spacing w:line="320" w:lineRule="exact"/>
              <w:textAlignment w:val="auto"/>
              <w:rPr>
                <w:szCs w:val="21"/>
                <w:highlight w:val="none"/>
              </w:rPr>
            </w:pPr>
            <w:r>
              <w:rPr>
                <w:szCs w:val="21"/>
                <w:highlight w:val="none"/>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w:t>
            </w:r>
            <w:r>
              <w:rPr>
                <w:szCs w:val="21"/>
                <w:highlight w:val="none"/>
                <w:vertAlign w:val="superscript"/>
              </w:rPr>
              <w:t>a</w:t>
            </w:r>
            <w:r>
              <w:rPr>
                <w:szCs w:val="21"/>
                <w:highlight w:val="none"/>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70" w:type="dxa"/>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szCs w:val="21"/>
                <w:highlight w:val="none"/>
              </w:rPr>
            </w:pPr>
            <w:r>
              <w:rPr>
                <w:szCs w:val="21"/>
                <w:highlight w:val="none"/>
              </w:rPr>
              <w:t>不敏感</w:t>
            </w:r>
          </w:p>
        </w:tc>
        <w:tc>
          <w:tcPr>
            <w:tcW w:w="7333" w:type="dxa"/>
            <w:vAlign w:val="center"/>
          </w:tcPr>
          <w:p>
            <w:pPr>
              <w:keepNext w:val="0"/>
              <w:keepLines w:val="0"/>
              <w:pageBreakBefore w:val="0"/>
              <w:widowControl w:val="0"/>
              <w:kinsoku/>
              <w:wordWrap/>
              <w:overflowPunct/>
              <w:topLinePunct w:val="0"/>
              <w:autoSpaceDE/>
              <w:autoSpaceDN/>
              <w:bidi w:val="0"/>
              <w:adjustRightInd/>
              <w:snapToGrid/>
              <w:spacing w:line="320" w:lineRule="exact"/>
              <w:textAlignment w:val="auto"/>
              <w:rPr>
                <w:szCs w:val="21"/>
                <w:highlight w:val="none"/>
              </w:rPr>
            </w:pPr>
            <w:r>
              <w:rPr>
                <w:szCs w:val="21"/>
                <w:highlight w:val="none"/>
              </w:rPr>
              <w:t>上述地区之外的其他地区</w:t>
            </w:r>
          </w:p>
        </w:tc>
      </w:tr>
    </w:tbl>
    <w:p>
      <w:pPr>
        <w:spacing w:line="480" w:lineRule="exact"/>
        <w:ind w:firstLine="420" w:firstLineChars="200"/>
        <w:rPr>
          <w:sz w:val="24"/>
          <w:highlight w:val="none"/>
        </w:rPr>
      </w:pPr>
      <w:r>
        <w:rPr>
          <w:szCs w:val="21"/>
          <w:highlight w:val="none"/>
        </w:rPr>
        <w:t>注：a“环境敏感区”是指《建设项目环境影响评价分类管理名录》中所界定的涉及地下水的环境敏感区</w:t>
      </w:r>
      <w:r>
        <w:rPr>
          <w:rFonts w:hint="eastAsia"/>
          <w:szCs w:val="21"/>
          <w:highlight w:val="none"/>
        </w:rPr>
        <w:t>。</w:t>
      </w:r>
    </w:p>
    <w:p>
      <w:pPr>
        <w:spacing w:line="480" w:lineRule="exact"/>
        <w:ind w:firstLine="480" w:firstLineChars="200"/>
        <w:rPr>
          <w:sz w:val="24"/>
          <w:highlight w:val="none"/>
        </w:rPr>
      </w:pPr>
      <w:r>
        <w:rPr>
          <w:sz w:val="24"/>
          <w:highlight w:val="none"/>
        </w:rPr>
        <w:t>本项目所在地：项目附近分布有分散式或集中式饮用水水源井</w:t>
      </w:r>
      <w:r>
        <w:rPr>
          <w:rFonts w:hint="eastAsia"/>
          <w:sz w:val="24"/>
          <w:highlight w:val="none"/>
        </w:rPr>
        <w:t>，</w:t>
      </w:r>
      <w:r>
        <w:rPr>
          <w:sz w:val="24"/>
          <w:highlight w:val="none"/>
        </w:rPr>
        <w:t>地下水环境敏感特征为</w:t>
      </w:r>
      <w:r>
        <w:rPr>
          <w:rFonts w:hint="eastAsia"/>
          <w:sz w:val="24"/>
          <w:highlight w:val="none"/>
        </w:rPr>
        <w:t>较</w:t>
      </w:r>
      <w:r>
        <w:rPr>
          <w:sz w:val="24"/>
          <w:highlight w:val="none"/>
        </w:rPr>
        <w:t>敏感。</w:t>
      </w:r>
    </w:p>
    <w:p>
      <w:pPr>
        <w:spacing w:line="480" w:lineRule="exact"/>
        <w:ind w:firstLine="480" w:firstLineChars="200"/>
        <w:rPr>
          <w:sz w:val="24"/>
          <w:highlight w:val="none"/>
        </w:rPr>
      </w:pPr>
      <w:r>
        <w:rPr>
          <w:rFonts w:hint="eastAsia" w:ascii="宋体" w:hAnsi="宋体" w:cs="宋体"/>
          <w:sz w:val="24"/>
          <w:highlight w:val="none"/>
        </w:rPr>
        <w:t>（3）</w:t>
      </w:r>
      <w:r>
        <w:rPr>
          <w:sz w:val="24"/>
          <w:highlight w:val="none"/>
        </w:rPr>
        <w:t>建设项目评价工作等级</w:t>
      </w:r>
    </w:p>
    <w:p>
      <w:pPr>
        <w:spacing w:line="480" w:lineRule="exact"/>
        <w:ind w:firstLine="480" w:firstLineChars="200"/>
        <w:rPr>
          <w:sz w:val="24"/>
          <w:highlight w:val="none"/>
        </w:rPr>
      </w:pPr>
      <w:r>
        <w:rPr>
          <w:sz w:val="24"/>
          <w:highlight w:val="none"/>
        </w:rPr>
        <w:t>《环境影响评价技术导则-地下水环境》（HJ610-2016）评价工作等级分级表见表</w:t>
      </w:r>
      <w:r>
        <w:rPr>
          <w:rFonts w:hint="eastAsia"/>
          <w:sz w:val="24"/>
          <w:highlight w:val="none"/>
        </w:rPr>
        <w:t>1.</w:t>
      </w:r>
      <w:r>
        <w:rPr>
          <w:rFonts w:hint="eastAsia"/>
          <w:sz w:val="24"/>
          <w:highlight w:val="none"/>
          <w:lang w:val="en-US" w:eastAsia="zh-CN"/>
        </w:rPr>
        <w:t>5</w:t>
      </w:r>
      <w:r>
        <w:rPr>
          <w:rFonts w:hint="eastAsia"/>
          <w:sz w:val="24"/>
          <w:highlight w:val="none"/>
        </w:rPr>
        <w:t>-4</w:t>
      </w:r>
      <w:r>
        <w:rPr>
          <w:sz w:val="24"/>
          <w:highlight w:val="none"/>
        </w:rPr>
        <w:t>。</w:t>
      </w:r>
    </w:p>
    <w:p>
      <w:pPr>
        <w:spacing w:line="480" w:lineRule="exact"/>
        <w:jc w:val="center"/>
        <w:rPr>
          <w:b/>
          <w:sz w:val="24"/>
          <w:highlight w:val="none"/>
        </w:rPr>
      </w:pPr>
      <w:r>
        <w:rPr>
          <w:b/>
          <w:sz w:val="24"/>
          <w:highlight w:val="none"/>
        </w:rPr>
        <w:t>表</w:t>
      </w:r>
      <w:r>
        <w:rPr>
          <w:rFonts w:hint="eastAsia"/>
          <w:b/>
          <w:sz w:val="24"/>
          <w:highlight w:val="none"/>
        </w:rPr>
        <w:t>1.</w:t>
      </w:r>
      <w:r>
        <w:rPr>
          <w:rFonts w:hint="eastAsia"/>
          <w:b/>
          <w:sz w:val="24"/>
          <w:highlight w:val="none"/>
          <w:lang w:val="en-US" w:eastAsia="zh-CN"/>
        </w:rPr>
        <w:t>5</w:t>
      </w:r>
      <w:r>
        <w:rPr>
          <w:rFonts w:hint="eastAsia"/>
          <w:b/>
          <w:sz w:val="24"/>
          <w:highlight w:val="none"/>
        </w:rPr>
        <w:t>-4</w:t>
      </w:r>
      <w:r>
        <w:rPr>
          <w:b/>
          <w:sz w:val="24"/>
          <w:highlight w:val="none"/>
        </w:rPr>
        <w:t xml:space="preserve">   评价工作等级分级表</w:t>
      </w:r>
    </w:p>
    <w:tbl>
      <w:tblPr>
        <w:tblStyle w:val="51"/>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3578"/>
        <w:gridCol w:w="1771"/>
        <w:gridCol w:w="1587"/>
        <w:gridCol w:w="1586"/>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83" w:hRule="atLeast"/>
          <w:jc w:val="center"/>
        </w:trPr>
        <w:tc>
          <w:tcPr>
            <w:tcW w:w="2099" w:type="pct"/>
            <w:tcBorders>
              <w:bottom w:val="single" w:color="000000" w:sz="8" w:space="0"/>
              <w:tl2br w:val="single" w:color="000000" w:sz="8" w:space="0"/>
            </w:tcBorders>
            <w:vAlign w:val="center"/>
          </w:tcPr>
          <w:p>
            <w:pPr>
              <w:tabs>
                <w:tab w:val="left" w:pos="600"/>
              </w:tabs>
              <w:spacing w:line="300" w:lineRule="exact"/>
              <w:ind w:firstLine="617" w:firstLineChars="294"/>
              <w:jc w:val="center"/>
              <w:rPr>
                <w:highlight w:val="none"/>
              </w:rPr>
            </w:pPr>
            <w:r>
              <w:rPr>
                <w:highlight w:val="none"/>
              </w:rPr>
              <w:t xml:space="preserve">      项目类别</w:t>
            </w:r>
          </w:p>
          <w:p>
            <w:pPr>
              <w:tabs>
                <w:tab w:val="left" w:pos="600"/>
              </w:tabs>
              <w:spacing w:line="300" w:lineRule="exact"/>
              <w:rPr>
                <w:highlight w:val="none"/>
              </w:rPr>
            </w:pPr>
            <w:r>
              <w:rPr>
                <w:highlight w:val="none"/>
              </w:rPr>
              <w:t>环境敏感程度</w:t>
            </w:r>
          </w:p>
        </w:tc>
        <w:tc>
          <w:tcPr>
            <w:tcW w:w="1039" w:type="pct"/>
            <w:vAlign w:val="center"/>
          </w:tcPr>
          <w:p>
            <w:pPr>
              <w:tabs>
                <w:tab w:val="left" w:pos="600"/>
              </w:tabs>
              <w:spacing w:line="300" w:lineRule="exact"/>
              <w:jc w:val="center"/>
              <w:rPr>
                <w:highlight w:val="none"/>
              </w:rPr>
            </w:pPr>
            <w:r>
              <w:rPr>
                <w:rFonts w:hint="eastAsia" w:ascii="宋体" w:hAnsi="宋体" w:cs="宋体"/>
                <w:highlight w:val="none"/>
              </w:rPr>
              <w:t>Ⅰ</w:t>
            </w:r>
            <w:r>
              <w:rPr>
                <w:highlight w:val="none"/>
              </w:rPr>
              <w:t>类项目</w:t>
            </w:r>
          </w:p>
        </w:tc>
        <w:tc>
          <w:tcPr>
            <w:tcW w:w="931" w:type="pct"/>
            <w:vAlign w:val="center"/>
          </w:tcPr>
          <w:p>
            <w:pPr>
              <w:tabs>
                <w:tab w:val="left" w:pos="600"/>
              </w:tabs>
              <w:spacing w:line="300" w:lineRule="exact"/>
              <w:jc w:val="center"/>
              <w:rPr>
                <w:highlight w:val="none"/>
              </w:rPr>
            </w:pPr>
            <w:r>
              <w:rPr>
                <w:rFonts w:hint="eastAsia" w:ascii="宋体" w:hAnsi="宋体" w:cs="宋体"/>
                <w:highlight w:val="none"/>
              </w:rPr>
              <w:t>Ⅱ</w:t>
            </w:r>
            <w:r>
              <w:rPr>
                <w:highlight w:val="none"/>
              </w:rPr>
              <w:t>类项目</w:t>
            </w:r>
          </w:p>
        </w:tc>
        <w:tc>
          <w:tcPr>
            <w:tcW w:w="930" w:type="pct"/>
            <w:vAlign w:val="center"/>
          </w:tcPr>
          <w:p>
            <w:pPr>
              <w:tabs>
                <w:tab w:val="left" w:pos="600"/>
              </w:tabs>
              <w:spacing w:line="300" w:lineRule="exact"/>
              <w:jc w:val="center"/>
              <w:rPr>
                <w:highlight w:val="none"/>
              </w:rPr>
            </w:pPr>
            <w:r>
              <w:rPr>
                <w:rFonts w:hint="eastAsia" w:ascii="宋体" w:hAnsi="宋体" w:cs="宋体"/>
                <w:highlight w:val="none"/>
              </w:rPr>
              <w:t>Ⅲ</w:t>
            </w:r>
            <w:r>
              <w:rPr>
                <w:highlight w:val="none"/>
              </w:rPr>
              <w:t>类项目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9" w:hRule="atLeast"/>
          <w:jc w:val="center"/>
        </w:trPr>
        <w:tc>
          <w:tcPr>
            <w:tcW w:w="2099" w:type="pct"/>
            <w:tcBorders>
              <w:top w:val="single" w:color="000000" w:sz="8" w:space="0"/>
              <w:bottom w:val="single" w:color="000000" w:sz="8" w:space="0"/>
            </w:tcBorders>
            <w:vAlign w:val="center"/>
          </w:tcPr>
          <w:p>
            <w:pPr>
              <w:tabs>
                <w:tab w:val="left" w:pos="600"/>
              </w:tabs>
              <w:spacing w:line="300" w:lineRule="exact"/>
              <w:jc w:val="center"/>
              <w:rPr>
                <w:highlight w:val="none"/>
              </w:rPr>
            </w:pPr>
            <w:r>
              <w:rPr>
                <w:highlight w:val="none"/>
              </w:rPr>
              <w:t>敏感</w:t>
            </w:r>
          </w:p>
        </w:tc>
        <w:tc>
          <w:tcPr>
            <w:tcW w:w="1039" w:type="pct"/>
            <w:vAlign w:val="center"/>
          </w:tcPr>
          <w:p>
            <w:pPr>
              <w:tabs>
                <w:tab w:val="left" w:pos="600"/>
              </w:tabs>
              <w:spacing w:line="300" w:lineRule="exact"/>
              <w:jc w:val="center"/>
              <w:rPr>
                <w:highlight w:val="none"/>
              </w:rPr>
            </w:pPr>
            <w:r>
              <w:rPr>
                <w:highlight w:val="none"/>
              </w:rPr>
              <w:t>一</w:t>
            </w:r>
          </w:p>
        </w:tc>
        <w:tc>
          <w:tcPr>
            <w:tcW w:w="931" w:type="pct"/>
            <w:vAlign w:val="center"/>
          </w:tcPr>
          <w:p>
            <w:pPr>
              <w:tabs>
                <w:tab w:val="left" w:pos="600"/>
              </w:tabs>
              <w:spacing w:line="300" w:lineRule="exact"/>
              <w:jc w:val="center"/>
              <w:rPr>
                <w:highlight w:val="none"/>
              </w:rPr>
            </w:pPr>
            <w:r>
              <w:rPr>
                <w:highlight w:val="none"/>
              </w:rPr>
              <w:t>一</w:t>
            </w:r>
          </w:p>
        </w:tc>
        <w:tc>
          <w:tcPr>
            <w:tcW w:w="930" w:type="pct"/>
            <w:vAlign w:val="center"/>
          </w:tcPr>
          <w:p>
            <w:pPr>
              <w:tabs>
                <w:tab w:val="left" w:pos="600"/>
              </w:tabs>
              <w:spacing w:line="300" w:lineRule="exact"/>
              <w:jc w:val="center"/>
              <w:rPr>
                <w:b/>
                <w:highlight w:val="none"/>
              </w:rPr>
            </w:pPr>
            <w:r>
              <w:rPr>
                <w:b/>
                <w:highlight w:val="none"/>
              </w:rPr>
              <w:t>二</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36" w:hRule="atLeast"/>
          <w:jc w:val="center"/>
        </w:trPr>
        <w:tc>
          <w:tcPr>
            <w:tcW w:w="2099" w:type="pct"/>
            <w:tcBorders>
              <w:top w:val="single" w:color="000000" w:sz="8" w:space="0"/>
            </w:tcBorders>
            <w:vAlign w:val="center"/>
          </w:tcPr>
          <w:p>
            <w:pPr>
              <w:tabs>
                <w:tab w:val="left" w:pos="600"/>
              </w:tabs>
              <w:spacing w:line="300" w:lineRule="exact"/>
              <w:jc w:val="center"/>
              <w:rPr>
                <w:highlight w:val="none"/>
              </w:rPr>
            </w:pPr>
            <w:r>
              <w:rPr>
                <w:highlight w:val="none"/>
              </w:rPr>
              <w:t>较敏感</w:t>
            </w:r>
          </w:p>
        </w:tc>
        <w:tc>
          <w:tcPr>
            <w:tcW w:w="1039" w:type="pct"/>
            <w:vAlign w:val="center"/>
          </w:tcPr>
          <w:p>
            <w:pPr>
              <w:tabs>
                <w:tab w:val="left" w:pos="600"/>
              </w:tabs>
              <w:spacing w:line="300" w:lineRule="exact"/>
              <w:jc w:val="center"/>
              <w:rPr>
                <w:highlight w:val="none"/>
              </w:rPr>
            </w:pPr>
            <w:r>
              <w:rPr>
                <w:highlight w:val="none"/>
              </w:rPr>
              <w:t>一</w:t>
            </w:r>
          </w:p>
        </w:tc>
        <w:tc>
          <w:tcPr>
            <w:tcW w:w="931" w:type="pct"/>
            <w:vAlign w:val="center"/>
          </w:tcPr>
          <w:p>
            <w:pPr>
              <w:tabs>
                <w:tab w:val="left" w:pos="600"/>
              </w:tabs>
              <w:spacing w:line="300" w:lineRule="exact"/>
              <w:jc w:val="center"/>
              <w:rPr>
                <w:highlight w:val="none"/>
              </w:rPr>
            </w:pPr>
            <w:r>
              <w:rPr>
                <w:highlight w:val="none"/>
              </w:rPr>
              <w:t>二</w:t>
            </w:r>
          </w:p>
        </w:tc>
        <w:tc>
          <w:tcPr>
            <w:tcW w:w="930" w:type="pct"/>
            <w:vAlign w:val="center"/>
          </w:tcPr>
          <w:p>
            <w:pPr>
              <w:tabs>
                <w:tab w:val="left" w:pos="600"/>
              </w:tabs>
              <w:spacing w:line="300" w:lineRule="exact"/>
              <w:jc w:val="center"/>
              <w:rPr>
                <w:highlight w:val="none"/>
              </w:rPr>
            </w:pPr>
            <w:r>
              <w:rPr>
                <w:highlight w:val="none"/>
              </w:rPr>
              <w:t>三</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92" w:hRule="atLeast"/>
          <w:jc w:val="center"/>
        </w:trPr>
        <w:tc>
          <w:tcPr>
            <w:tcW w:w="2099" w:type="pct"/>
            <w:vAlign w:val="center"/>
          </w:tcPr>
          <w:p>
            <w:pPr>
              <w:tabs>
                <w:tab w:val="left" w:pos="600"/>
              </w:tabs>
              <w:spacing w:line="300" w:lineRule="exact"/>
              <w:jc w:val="center"/>
              <w:rPr>
                <w:highlight w:val="none"/>
              </w:rPr>
            </w:pPr>
            <w:r>
              <w:rPr>
                <w:highlight w:val="none"/>
              </w:rPr>
              <w:t>不敏感</w:t>
            </w:r>
          </w:p>
        </w:tc>
        <w:tc>
          <w:tcPr>
            <w:tcW w:w="1039" w:type="pct"/>
            <w:vAlign w:val="center"/>
          </w:tcPr>
          <w:p>
            <w:pPr>
              <w:tabs>
                <w:tab w:val="left" w:pos="600"/>
              </w:tabs>
              <w:spacing w:line="300" w:lineRule="exact"/>
              <w:jc w:val="center"/>
              <w:rPr>
                <w:b/>
                <w:highlight w:val="none"/>
              </w:rPr>
            </w:pPr>
            <w:r>
              <w:rPr>
                <w:b/>
                <w:highlight w:val="none"/>
              </w:rPr>
              <w:t>二</w:t>
            </w:r>
          </w:p>
        </w:tc>
        <w:tc>
          <w:tcPr>
            <w:tcW w:w="931" w:type="pct"/>
            <w:vAlign w:val="center"/>
          </w:tcPr>
          <w:p>
            <w:pPr>
              <w:tabs>
                <w:tab w:val="left" w:pos="600"/>
              </w:tabs>
              <w:spacing w:line="300" w:lineRule="exact"/>
              <w:jc w:val="center"/>
              <w:rPr>
                <w:highlight w:val="none"/>
              </w:rPr>
            </w:pPr>
            <w:r>
              <w:rPr>
                <w:highlight w:val="none"/>
              </w:rPr>
              <w:t>三</w:t>
            </w:r>
          </w:p>
        </w:tc>
        <w:tc>
          <w:tcPr>
            <w:tcW w:w="930" w:type="pct"/>
            <w:vAlign w:val="center"/>
          </w:tcPr>
          <w:p>
            <w:pPr>
              <w:tabs>
                <w:tab w:val="left" w:pos="600"/>
              </w:tabs>
              <w:spacing w:line="300" w:lineRule="exact"/>
              <w:jc w:val="center"/>
              <w:rPr>
                <w:b/>
                <w:highlight w:val="none"/>
              </w:rPr>
            </w:pPr>
            <w:r>
              <w:rPr>
                <w:b/>
                <w:highlight w:val="none"/>
              </w:rPr>
              <w:t>三</w:t>
            </w:r>
          </w:p>
        </w:tc>
      </w:tr>
    </w:tbl>
    <w:p>
      <w:pPr>
        <w:tabs>
          <w:tab w:val="left" w:pos="1170"/>
        </w:tabs>
        <w:spacing w:line="480" w:lineRule="exact"/>
        <w:ind w:firstLine="482"/>
        <w:rPr>
          <w:color w:val="auto"/>
          <w:sz w:val="24"/>
          <w:highlight w:val="none"/>
        </w:rPr>
      </w:pPr>
      <w:r>
        <w:rPr>
          <w:sz w:val="24"/>
          <w:highlight w:val="none"/>
        </w:rPr>
        <w:t>根据上述分析，按照《环境影响评价技术导则-地下水环境》（HJ</w:t>
      </w:r>
      <w:r>
        <w:rPr>
          <w:sz w:val="24"/>
          <w:highlight w:val="none"/>
        </w:rPr>
        <w:softHyphen/>
      </w:r>
      <w:r>
        <w:rPr>
          <w:sz w:val="24"/>
          <w:highlight w:val="none"/>
        </w:rPr>
        <w:t>610-2016）中的评价工作等级划分</w:t>
      </w:r>
      <w:r>
        <w:rPr>
          <w:color w:val="auto"/>
          <w:sz w:val="24"/>
          <w:highlight w:val="none"/>
        </w:rPr>
        <w:t>办法，确定本项目地下水环境影响评价工作等级为</w:t>
      </w:r>
      <w:r>
        <w:rPr>
          <w:rFonts w:hint="eastAsia"/>
          <w:color w:val="auto"/>
          <w:sz w:val="24"/>
          <w:highlight w:val="none"/>
        </w:rPr>
        <w:t>三</w:t>
      </w:r>
      <w:r>
        <w:rPr>
          <w:color w:val="auto"/>
          <w:sz w:val="24"/>
          <w:highlight w:val="none"/>
        </w:rPr>
        <w:t>级。</w:t>
      </w:r>
    </w:p>
    <w:p>
      <w:pPr>
        <w:tabs>
          <w:tab w:val="left" w:pos="1170"/>
        </w:tabs>
        <w:spacing w:line="480" w:lineRule="exact"/>
        <w:ind w:firstLine="482"/>
        <w:rPr>
          <w:color w:val="auto"/>
          <w:sz w:val="24"/>
          <w:highlight w:val="none"/>
        </w:rPr>
      </w:pPr>
      <w:r>
        <w:rPr>
          <w:rFonts w:hint="eastAsia"/>
          <w:color w:val="auto"/>
          <w:sz w:val="24"/>
          <w:highlight w:val="none"/>
        </w:rPr>
        <w:t>（4）评价范围</w:t>
      </w:r>
    </w:p>
    <w:p>
      <w:pPr>
        <w:tabs>
          <w:tab w:val="left" w:pos="1170"/>
        </w:tabs>
        <w:spacing w:line="480" w:lineRule="exact"/>
        <w:ind w:firstLine="482"/>
        <w:rPr>
          <w:color w:val="auto"/>
          <w:sz w:val="24"/>
          <w:highlight w:val="none"/>
        </w:rPr>
      </w:pPr>
      <w:r>
        <w:rPr>
          <w:rFonts w:hint="eastAsia"/>
          <w:color w:val="auto"/>
          <w:sz w:val="24"/>
          <w:highlight w:val="none"/>
        </w:rPr>
        <w:t>本项目对地下水环境的影响主要是体现在运营期橡胶坝前蓄水对河道及周边地下水环境的影响，以及橡胶坝对坝址上下游地下水连通性的影响。本项目不适用地下水导则提供的公式计算法和查表法确定评价范围，可采用自定义方式来确定地下水评价范围。</w:t>
      </w:r>
    </w:p>
    <w:p>
      <w:pPr>
        <w:tabs>
          <w:tab w:val="left" w:pos="1170"/>
        </w:tabs>
        <w:spacing w:line="480" w:lineRule="exact"/>
        <w:ind w:firstLine="482"/>
        <w:rPr>
          <w:sz w:val="24"/>
          <w:highlight w:val="none"/>
        </w:rPr>
      </w:pPr>
      <w:r>
        <w:rPr>
          <w:rFonts w:hint="eastAsia"/>
          <w:sz w:val="24"/>
          <w:highlight w:val="none"/>
        </w:rPr>
        <w:t>由于区域地下水实质是跟地表水有连通的，再考虑到橡胶坝坝址本身的影响，本报告在参考地表水评价范围的基础上，确定地下水评价为项目坝址及地表水评价范围周边的地下水水文地质单元，包括了坝址周边、地表水评价范围以及地表水评价范围两侧陆域分水岭的向河流一侧区域，呈不规则形。即：</w:t>
      </w:r>
      <w:r>
        <w:rPr>
          <w:sz w:val="24"/>
          <w:highlight w:val="none"/>
        </w:rPr>
        <w:t>橡胶坝上游</w:t>
      </w:r>
      <w:r>
        <w:rPr>
          <w:rFonts w:hint="eastAsia"/>
          <w:sz w:val="24"/>
          <w:highlight w:val="none"/>
          <w:lang w:val="en-US" w:eastAsia="zh-CN"/>
        </w:rPr>
        <w:t>75</w:t>
      </w:r>
      <w:r>
        <w:rPr>
          <w:rFonts w:hint="eastAsia"/>
          <w:sz w:val="24"/>
          <w:highlight w:val="none"/>
        </w:rPr>
        <w:t>0</w:t>
      </w:r>
      <w:r>
        <w:rPr>
          <w:sz w:val="24"/>
          <w:highlight w:val="none"/>
        </w:rPr>
        <w:t>m</w:t>
      </w:r>
      <w:r>
        <w:rPr>
          <w:rFonts w:hint="eastAsia"/>
          <w:sz w:val="24"/>
          <w:highlight w:val="none"/>
        </w:rPr>
        <w:t>至水</w:t>
      </w:r>
      <w:r>
        <w:rPr>
          <w:sz w:val="24"/>
          <w:highlight w:val="none"/>
        </w:rPr>
        <w:t>电厂房尾水口下游</w:t>
      </w:r>
      <w:r>
        <w:rPr>
          <w:rFonts w:hint="eastAsia"/>
          <w:sz w:val="24"/>
          <w:highlight w:val="none"/>
        </w:rPr>
        <w:t>1</w:t>
      </w:r>
      <w:r>
        <w:rPr>
          <w:rFonts w:hint="eastAsia"/>
          <w:sz w:val="24"/>
          <w:highlight w:val="none"/>
          <w:lang w:val="en-US" w:eastAsia="zh-CN"/>
        </w:rPr>
        <w:t>38</w:t>
      </w:r>
      <w:r>
        <w:rPr>
          <w:rFonts w:hint="eastAsia"/>
          <w:sz w:val="24"/>
          <w:highlight w:val="none"/>
        </w:rPr>
        <w:t>0m，河道总长约3</w:t>
      </w:r>
      <w:r>
        <w:rPr>
          <w:rFonts w:hint="eastAsia"/>
          <w:sz w:val="24"/>
          <w:highlight w:val="none"/>
          <w:lang w:val="en-US" w:eastAsia="zh-CN"/>
        </w:rPr>
        <w:t>23</w:t>
      </w:r>
      <w:r>
        <w:rPr>
          <w:rFonts w:hint="eastAsia"/>
          <w:sz w:val="24"/>
          <w:highlight w:val="none"/>
        </w:rPr>
        <w:t>0m；河道南侧</w:t>
      </w:r>
      <w:r>
        <w:rPr>
          <w:rFonts w:hint="eastAsia"/>
          <w:sz w:val="24"/>
          <w:highlight w:val="none"/>
          <w:lang w:eastAsia="zh-CN"/>
        </w:rPr>
        <w:t>约</w:t>
      </w:r>
      <w:r>
        <w:rPr>
          <w:rFonts w:hint="eastAsia"/>
          <w:sz w:val="24"/>
          <w:highlight w:val="none"/>
          <w:lang w:val="en-US" w:eastAsia="zh-CN"/>
        </w:rPr>
        <w:t>1120m</w:t>
      </w:r>
      <w:r>
        <w:rPr>
          <w:rFonts w:hint="eastAsia"/>
          <w:sz w:val="24"/>
          <w:highlight w:val="none"/>
        </w:rPr>
        <w:t>，西部距离</w:t>
      </w:r>
      <w:r>
        <w:rPr>
          <w:rFonts w:hint="eastAsia"/>
          <w:sz w:val="24"/>
          <w:highlight w:val="none"/>
          <w:lang w:eastAsia="zh-CN"/>
        </w:rPr>
        <w:t>电站</w:t>
      </w:r>
      <w:r>
        <w:rPr>
          <w:rFonts w:hint="eastAsia"/>
          <w:sz w:val="24"/>
          <w:highlight w:val="none"/>
        </w:rPr>
        <w:t>1</w:t>
      </w:r>
      <w:r>
        <w:rPr>
          <w:rFonts w:hint="eastAsia"/>
          <w:sz w:val="24"/>
          <w:highlight w:val="none"/>
          <w:lang w:val="en-US" w:eastAsia="zh-CN"/>
        </w:rPr>
        <w:t>45</w:t>
      </w:r>
      <w:r>
        <w:rPr>
          <w:rFonts w:hint="eastAsia"/>
          <w:sz w:val="24"/>
          <w:highlight w:val="none"/>
        </w:rPr>
        <w:t>0m，东部距离</w:t>
      </w:r>
      <w:r>
        <w:rPr>
          <w:rFonts w:hint="eastAsia"/>
          <w:sz w:val="24"/>
          <w:highlight w:val="none"/>
          <w:lang w:eastAsia="zh-CN"/>
        </w:rPr>
        <w:t>电站</w:t>
      </w:r>
      <w:r>
        <w:rPr>
          <w:rFonts w:hint="eastAsia"/>
          <w:sz w:val="24"/>
          <w:highlight w:val="none"/>
          <w:lang w:val="en-US" w:eastAsia="zh-CN"/>
        </w:rPr>
        <w:t>1670</w:t>
      </w:r>
      <w:r>
        <w:rPr>
          <w:rFonts w:hint="eastAsia"/>
          <w:sz w:val="24"/>
          <w:highlight w:val="none"/>
        </w:rPr>
        <w:t>m；河道北侧约</w:t>
      </w:r>
      <w:r>
        <w:rPr>
          <w:rFonts w:hint="eastAsia"/>
          <w:sz w:val="24"/>
          <w:highlight w:val="none"/>
          <w:lang w:val="en-US" w:eastAsia="zh-CN"/>
        </w:rPr>
        <w:t>650</w:t>
      </w:r>
      <w:r>
        <w:rPr>
          <w:rFonts w:hint="eastAsia"/>
          <w:sz w:val="24"/>
          <w:highlight w:val="none"/>
        </w:rPr>
        <w:t>m，总面积6</w:t>
      </w:r>
      <w:r>
        <w:rPr>
          <w:rFonts w:hint="eastAsia"/>
          <w:sz w:val="24"/>
          <w:highlight w:val="none"/>
          <w:lang w:val="en-US" w:eastAsia="zh-CN"/>
        </w:rPr>
        <w:t>.01</w:t>
      </w:r>
      <w:r>
        <w:rPr>
          <w:rFonts w:hint="eastAsia"/>
          <w:sz w:val="24"/>
          <w:highlight w:val="none"/>
        </w:rPr>
        <w:t>km</w:t>
      </w:r>
      <w:r>
        <w:rPr>
          <w:rFonts w:hint="eastAsia"/>
          <w:sz w:val="24"/>
          <w:highlight w:val="none"/>
          <w:vertAlign w:val="superscript"/>
        </w:rPr>
        <w:t>2</w:t>
      </w:r>
      <w:r>
        <w:rPr>
          <w:rFonts w:hint="eastAsia"/>
          <w:sz w:val="24"/>
          <w:highlight w:val="none"/>
        </w:rPr>
        <w:t>。评价范围见附图。</w:t>
      </w:r>
    </w:p>
    <w:p>
      <w:pPr>
        <w:tabs>
          <w:tab w:val="left" w:pos="1170"/>
        </w:tabs>
        <w:spacing w:line="480" w:lineRule="exact"/>
        <w:outlineLvl w:val="2"/>
        <w:rPr>
          <w:b/>
          <w:sz w:val="24"/>
          <w:highlight w:val="none"/>
        </w:rPr>
      </w:pPr>
      <w:r>
        <w:rPr>
          <w:rFonts w:hint="eastAsia"/>
          <w:b/>
          <w:sz w:val="24"/>
          <w:highlight w:val="none"/>
        </w:rPr>
        <w:t>1.</w:t>
      </w:r>
      <w:r>
        <w:rPr>
          <w:rFonts w:hint="eastAsia"/>
          <w:b/>
          <w:sz w:val="24"/>
          <w:highlight w:val="none"/>
          <w:lang w:val="en-US" w:eastAsia="zh-CN"/>
        </w:rPr>
        <w:t>5</w:t>
      </w:r>
      <w:r>
        <w:rPr>
          <w:b/>
          <w:sz w:val="24"/>
          <w:highlight w:val="none"/>
        </w:rPr>
        <w:t>.4 噪声</w:t>
      </w:r>
    </w:p>
    <w:p>
      <w:pPr>
        <w:spacing w:line="480" w:lineRule="exact"/>
        <w:ind w:firstLine="480" w:firstLineChars="200"/>
        <w:rPr>
          <w:sz w:val="24"/>
          <w:highlight w:val="none"/>
        </w:rPr>
      </w:pPr>
      <w:r>
        <w:rPr>
          <w:sz w:val="24"/>
          <w:highlight w:val="none"/>
        </w:rPr>
        <w:t>(1) 环境特征</w:t>
      </w:r>
    </w:p>
    <w:p>
      <w:pPr>
        <w:spacing w:line="480" w:lineRule="exact"/>
        <w:ind w:firstLine="480" w:firstLineChars="200"/>
        <w:rPr>
          <w:sz w:val="24"/>
          <w:highlight w:val="none"/>
        </w:rPr>
      </w:pPr>
      <w:r>
        <w:rPr>
          <w:sz w:val="24"/>
          <w:highlight w:val="none"/>
        </w:rPr>
        <w:t>本项目位于声环境功能区属于2类区。</w:t>
      </w:r>
    </w:p>
    <w:p>
      <w:pPr>
        <w:spacing w:line="480" w:lineRule="exact"/>
        <w:ind w:firstLine="480" w:firstLineChars="200"/>
        <w:rPr>
          <w:sz w:val="24"/>
          <w:highlight w:val="none"/>
        </w:rPr>
      </w:pPr>
      <w:r>
        <w:rPr>
          <w:sz w:val="24"/>
          <w:highlight w:val="none"/>
        </w:rPr>
        <w:t>(2)对周围声环境影响</w:t>
      </w:r>
    </w:p>
    <w:p>
      <w:pPr>
        <w:spacing w:line="480" w:lineRule="exact"/>
        <w:ind w:firstLine="480" w:firstLineChars="200"/>
        <w:rPr>
          <w:sz w:val="24"/>
          <w:highlight w:val="none"/>
        </w:rPr>
      </w:pPr>
      <w:r>
        <w:rPr>
          <w:sz w:val="24"/>
          <w:highlight w:val="none"/>
        </w:rPr>
        <w:t>距离项目最近的敏感点为</w:t>
      </w:r>
      <w:r>
        <w:rPr>
          <w:rFonts w:hint="eastAsia"/>
          <w:sz w:val="24"/>
          <w:highlight w:val="none"/>
        </w:rPr>
        <w:t>该电站东南方向180m的庄户沟村</w:t>
      </w:r>
      <w:r>
        <w:rPr>
          <w:sz w:val="24"/>
          <w:highlight w:val="none"/>
        </w:rPr>
        <w:t>居民，项目噪声对其影响较小</w:t>
      </w:r>
      <w:r>
        <w:rPr>
          <w:kern w:val="0"/>
          <w:sz w:val="24"/>
          <w:highlight w:val="none"/>
          <w:lang w:val="zh-CN"/>
        </w:rPr>
        <w:t>。</w:t>
      </w:r>
    </w:p>
    <w:p>
      <w:pPr>
        <w:spacing w:line="480" w:lineRule="exact"/>
        <w:ind w:firstLine="480" w:firstLineChars="200"/>
        <w:rPr>
          <w:sz w:val="24"/>
          <w:highlight w:val="none"/>
        </w:rPr>
      </w:pPr>
      <w:r>
        <w:rPr>
          <w:sz w:val="24"/>
          <w:highlight w:val="none"/>
        </w:rPr>
        <w:t>⑶评价工作级别确定</w:t>
      </w:r>
    </w:p>
    <w:p>
      <w:pPr>
        <w:spacing w:line="480" w:lineRule="exact"/>
        <w:ind w:firstLine="480" w:firstLineChars="200"/>
        <w:rPr>
          <w:sz w:val="24"/>
          <w:highlight w:val="none"/>
        </w:rPr>
      </w:pPr>
      <w:r>
        <w:rPr>
          <w:sz w:val="24"/>
          <w:highlight w:val="none"/>
        </w:rPr>
        <w:t>综合以上分析，按照《环境影响评价技术导则·声环境》（HJ2.4-20</w:t>
      </w:r>
      <w:r>
        <w:rPr>
          <w:rFonts w:hint="eastAsia"/>
          <w:sz w:val="24"/>
          <w:highlight w:val="none"/>
          <w:lang w:val="en-US" w:eastAsia="zh-CN"/>
        </w:rPr>
        <w:t>21</w:t>
      </w:r>
      <w:r>
        <w:rPr>
          <w:sz w:val="24"/>
          <w:highlight w:val="none"/>
        </w:rPr>
        <w:t>）中噪声环境影响评价等级划分办法，本项目所处的声环境功能区为《声环境质量标准》（GB3096-2008）中的2类区，敏感目标噪声级增高量未达到3-5dB（A）以及受影响人口数量为增加，确定本项目声环境影响评价工作等级为二级。</w:t>
      </w:r>
    </w:p>
    <w:p>
      <w:pPr>
        <w:spacing w:line="480" w:lineRule="exact"/>
        <w:ind w:firstLine="480" w:firstLineChars="200"/>
        <w:rPr>
          <w:sz w:val="24"/>
          <w:highlight w:val="none"/>
        </w:rPr>
      </w:pPr>
      <w:r>
        <w:rPr>
          <w:rFonts w:hint="eastAsia"/>
          <w:sz w:val="24"/>
          <w:highlight w:val="none"/>
        </w:rPr>
        <w:t>（4）评价范围</w:t>
      </w:r>
    </w:p>
    <w:p>
      <w:pPr>
        <w:spacing w:line="480" w:lineRule="exact"/>
        <w:ind w:firstLine="480" w:firstLineChars="200"/>
        <w:rPr>
          <w:color w:val="0000FF"/>
          <w:sz w:val="24"/>
          <w:highlight w:val="none"/>
        </w:rPr>
      </w:pPr>
      <w:r>
        <w:rPr>
          <w:rFonts w:hint="eastAsia"/>
          <w:sz w:val="24"/>
          <w:highlight w:val="none"/>
        </w:rPr>
        <w:t>本项目水电站运行噪声会对周边声环境造成影响，根据《环境影响评价技术导则 声环境》（HJ/T2.4-20</w:t>
      </w:r>
      <w:r>
        <w:rPr>
          <w:rFonts w:hint="eastAsia"/>
          <w:sz w:val="24"/>
          <w:highlight w:val="none"/>
          <w:lang w:val="en-US" w:eastAsia="zh-CN"/>
        </w:rPr>
        <w:t>21</w:t>
      </w:r>
      <w:r>
        <w:rPr>
          <w:rFonts w:hint="eastAsia"/>
          <w:sz w:val="24"/>
          <w:highlight w:val="none"/>
        </w:rPr>
        <w:t>），本项目声环境评价范围为水电站以外的 200m 范围内。</w:t>
      </w:r>
    </w:p>
    <w:p>
      <w:pPr>
        <w:pStyle w:val="4"/>
        <w:spacing w:before="0" w:after="0" w:line="480" w:lineRule="exact"/>
        <w:rPr>
          <w:rFonts w:ascii="Times New Roman" w:hAnsi="Times New Roman" w:cs="Times New Roman"/>
          <w:color w:val="000000"/>
          <w:sz w:val="24"/>
          <w:szCs w:val="24"/>
          <w:highlight w:val="none"/>
        </w:rPr>
      </w:pPr>
      <w:bookmarkStart w:id="73" w:name="_Toc40196588"/>
      <w:bookmarkStart w:id="74" w:name="_Toc31015089"/>
      <w:r>
        <w:rPr>
          <w:rFonts w:hint="eastAsia" w:ascii="Times New Roman" w:hAnsi="Times New Roman" w:cs="Times New Roman"/>
          <w:color w:val="000000"/>
          <w:sz w:val="24"/>
          <w:szCs w:val="24"/>
          <w:highlight w:val="none"/>
        </w:rPr>
        <w:t>1.</w:t>
      </w:r>
      <w:r>
        <w:rPr>
          <w:rFonts w:hint="eastAsia" w:ascii="Times New Roman" w:hAnsi="Times New Roman" w:cs="Times New Roman"/>
          <w:color w:val="000000"/>
          <w:sz w:val="24"/>
          <w:szCs w:val="24"/>
          <w:highlight w:val="none"/>
          <w:lang w:val="en-US" w:eastAsia="zh-CN"/>
        </w:rPr>
        <w:t>5</w:t>
      </w:r>
      <w:r>
        <w:rPr>
          <w:rFonts w:ascii="Times New Roman" w:hAnsi="Times New Roman" w:cs="Times New Roman"/>
          <w:color w:val="000000"/>
          <w:sz w:val="24"/>
          <w:szCs w:val="24"/>
          <w:highlight w:val="none"/>
        </w:rPr>
        <w:t>.5土壤</w:t>
      </w:r>
      <w:bookmarkEnd w:id="73"/>
      <w:bookmarkEnd w:id="74"/>
    </w:p>
    <w:p>
      <w:pPr>
        <w:spacing w:line="480" w:lineRule="exact"/>
        <w:ind w:firstLine="480" w:firstLineChars="200"/>
        <w:rPr>
          <w:color w:val="000000"/>
          <w:sz w:val="24"/>
          <w:highlight w:val="none"/>
        </w:rPr>
      </w:pPr>
      <w:r>
        <w:rPr>
          <w:rFonts w:hint="eastAsia"/>
          <w:color w:val="000000"/>
          <w:sz w:val="24"/>
          <w:highlight w:val="none"/>
        </w:rPr>
        <w:t>（1）行业类别</w:t>
      </w:r>
    </w:p>
    <w:p>
      <w:pPr>
        <w:spacing w:line="480" w:lineRule="exact"/>
        <w:ind w:firstLine="480" w:firstLineChars="200"/>
        <w:rPr>
          <w:color w:val="000000"/>
          <w:sz w:val="24"/>
          <w:highlight w:val="none"/>
        </w:rPr>
      </w:pPr>
      <w:r>
        <w:rPr>
          <w:color w:val="000000"/>
          <w:sz w:val="24"/>
          <w:highlight w:val="none"/>
        </w:rPr>
        <w:t>根据《环境影响评价技术导则-土壤环境》（HJ964-2018）规定，项目为水利发电项目，属于生态影响性兼污染影响型建设项目，根据生态影响性与污染影响型建设项目类别判定评价等级。建设项目环境影响评价</w:t>
      </w:r>
      <w:r>
        <w:rPr>
          <w:rFonts w:hint="eastAsia"/>
          <w:color w:val="000000"/>
          <w:sz w:val="24"/>
          <w:highlight w:val="none"/>
        </w:rPr>
        <w:t>行业分类</w:t>
      </w:r>
      <w:r>
        <w:rPr>
          <w:color w:val="000000"/>
          <w:sz w:val="24"/>
          <w:highlight w:val="none"/>
        </w:rPr>
        <w:t>见表</w:t>
      </w:r>
      <w:r>
        <w:rPr>
          <w:rFonts w:hint="eastAsia"/>
          <w:color w:val="000000"/>
          <w:sz w:val="24"/>
          <w:highlight w:val="none"/>
        </w:rPr>
        <w:t>1.</w:t>
      </w:r>
      <w:r>
        <w:rPr>
          <w:rFonts w:hint="eastAsia"/>
          <w:color w:val="000000"/>
          <w:sz w:val="24"/>
          <w:highlight w:val="none"/>
          <w:lang w:val="en-US" w:eastAsia="zh-CN"/>
        </w:rPr>
        <w:t>4</w:t>
      </w:r>
      <w:r>
        <w:rPr>
          <w:rFonts w:hint="eastAsia"/>
          <w:color w:val="000000"/>
          <w:sz w:val="24"/>
          <w:highlight w:val="none"/>
        </w:rPr>
        <w:t>-5</w:t>
      </w:r>
      <w:r>
        <w:rPr>
          <w:color w:val="000000"/>
          <w:sz w:val="24"/>
          <w:highlight w:val="none"/>
        </w:rPr>
        <w:t>。</w:t>
      </w:r>
    </w:p>
    <w:p>
      <w:pPr>
        <w:spacing w:line="480" w:lineRule="exact"/>
        <w:jc w:val="center"/>
        <w:rPr>
          <w:b/>
          <w:color w:val="000000"/>
          <w:sz w:val="24"/>
          <w:highlight w:val="none"/>
        </w:rPr>
      </w:pPr>
      <w:r>
        <w:rPr>
          <w:b/>
          <w:color w:val="000000"/>
          <w:sz w:val="24"/>
          <w:highlight w:val="none"/>
        </w:rPr>
        <w:t>表</w:t>
      </w:r>
      <w:r>
        <w:rPr>
          <w:rFonts w:hint="eastAsia"/>
          <w:b/>
          <w:color w:val="000000"/>
          <w:sz w:val="24"/>
          <w:highlight w:val="none"/>
        </w:rPr>
        <w:t>1.</w:t>
      </w:r>
      <w:r>
        <w:rPr>
          <w:rFonts w:hint="eastAsia"/>
          <w:b/>
          <w:color w:val="000000"/>
          <w:sz w:val="24"/>
          <w:highlight w:val="none"/>
          <w:lang w:val="en-US" w:eastAsia="zh-CN"/>
        </w:rPr>
        <w:t>5</w:t>
      </w:r>
      <w:r>
        <w:rPr>
          <w:rFonts w:hint="eastAsia"/>
          <w:b/>
          <w:color w:val="000000"/>
          <w:sz w:val="24"/>
          <w:highlight w:val="none"/>
        </w:rPr>
        <w:t>-5</w:t>
      </w:r>
      <w:r>
        <w:rPr>
          <w:b/>
          <w:color w:val="000000"/>
          <w:sz w:val="24"/>
          <w:highlight w:val="none"/>
        </w:rPr>
        <w:t xml:space="preserve">  土壤环境影响评价行业分类表</w:t>
      </w:r>
    </w:p>
    <w:tbl>
      <w:tblPr>
        <w:tblStyle w:val="51"/>
        <w:tblW w:w="8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9"/>
        <w:gridCol w:w="950"/>
        <w:gridCol w:w="2268"/>
        <w:gridCol w:w="2694"/>
        <w:gridCol w:w="7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tcBorders>
              <w:tl2br w:val="single" w:color="auto" w:sz="2" w:space="0"/>
            </w:tcBorders>
            <w:vAlign w:val="center"/>
          </w:tcPr>
          <w:p>
            <w:pPr>
              <w:spacing w:line="300" w:lineRule="exact"/>
              <w:jc w:val="center"/>
              <w:rPr>
                <w:color w:val="000000"/>
                <w:szCs w:val="21"/>
                <w:highlight w:val="none"/>
              </w:rPr>
            </w:pPr>
            <w:r>
              <w:rPr>
                <w:color w:val="000000"/>
                <w:szCs w:val="21"/>
                <w:highlight w:val="none"/>
              </w:rPr>
              <w:t xml:space="preserve">    项目类别</w:t>
            </w:r>
          </w:p>
          <w:p>
            <w:pPr>
              <w:pStyle w:val="137"/>
              <w:rPr>
                <w:rFonts w:ascii="Times New Roman" w:cs="Times New Roman"/>
                <w:sz w:val="21"/>
                <w:szCs w:val="21"/>
                <w:highlight w:val="none"/>
              </w:rPr>
            </w:pPr>
            <w:r>
              <w:rPr>
                <w:rFonts w:ascii="Times New Roman" w:cs="Times New Roman"/>
                <w:kern w:val="2"/>
                <w:sz w:val="21"/>
                <w:szCs w:val="21"/>
                <w:highlight w:val="none"/>
              </w:rPr>
              <w:t>行业类别</w:t>
            </w:r>
          </w:p>
        </w:tc>
        <w:tc>
          <w:tcPr>
            <w:tcW w:w="950" w:type="dxa"/>
            <w:vAlign w:val="center"/>
          </w:tcPr>
          <w:p>
            <w:pPr>
              <w:spacing w:line="300" w:lineRule="exact"/>
              <w:jc w:val="center"/>
              <w:rPr>
                <w:color w:val="000000"/>
                <w:szCs w:val="21"/>
                <w:highlight w:val="none"/>
              </w:rPr>
            </w:pPr>
            <w:r>
              <w:rPr>
                <w:rFonts w:hint="eastAsia" w:ascii="宋体" w:hAnsi="宋体" w:cs="宋体"/>
                <w:color w:val="000000"/>
                <w:szCs w:val="21"/>
                <w:highlight w:val="none"/>
              </w:rPr>
              <w:t>Ⅰ</w:t>
            </w:r>
          </w:p>
        </w:tc>
        <w:tc>
          <w:tcPr>
            <w:tcW w:w="2268" w:type="dxa"/>
            <w:vAlign w:val="center"/>
          </w:tcPr>
          <w:p>
            <w:pPr>
              <w:spacing w:line="300" w:lineRule="exact"/>
              <w:jc w:val="center"/>
              <w:rPr>
                <w:color w:val="000000"/>
                <w:szCs w:val="21"/>
                <w:highlight w:val="none"/>
              </w:rPr>
            </w:pPr>
            <w:r>
              <w:rPr>
                <w:rFonts w:hint="eastAsia" w:ascii="宋体" w:hAnsi="宋体" w:cs="宋体"/>
                <w:color w:val="000000"/>
                <w:szCs w:val="21"/>
                <w:highlight w:val="none"/>
              </w:rPr>
              <w:t>Ⅱ</w:t>
            </w:r>
          </w:p>
        </w:tc>
        <w:tc>
          <w:tcPr>
            <w:tcW w:w="2694" w:type="dxa"/>
            <w:vAlign w:val="center"/>
          </w:tcPr>
          <w:p>
            <w:pPr>
              <w:spacing w:line="300" w:lineRule="exact"/>
              <w:jc w:val="center"/>
              <w:rPr>
                <w:color w:val="000000"/>
                <w:szCs w:val="21"/>
                <w:highlight w:val="none"/>
              </w:rPr>
            </w:pPr>
            <w:r>
              <w:rPr>
                <w:rFonts w:hint="eastAsia" w:ascii="宋体" w:hAnsi="宋体" w:cs="宋体"/>
                <w:color w:val="000000"/>
                <w:szCs w:val="21"/>
                <w:highlight w:val="none"/>
              </w:rPr>
              <w:t>Ⅲ</w:t>
            </w:r>
          </w:p>
        </w:tc>
        <w:tc>
          <w:tcPr>
            <w:tcW w:w="751" w:type="dxa"/>
            <w:vAlign w:val="center"/>
          </w:tcPr>
          <w:p>
            <w:pPr>
              <w:pStyle w:val="137"/>
              <w:jc w:val="center"/>
              <w:rPr>
                <w:rFonts w:ascii="Times New Roman" w:cs="Times New Roman"/>
                <w:sz w:val="21"/>
                <w:szCs w:val="21"/>
                <w:highlight w:val="none"/>
              </w:rPr>
            </w:pPr>
            <w:r>
              <w:rPr>
                <w:rFonts w:hint="eastAsia" w:hAnsi="宋体"/>
                <w:kern w:val="2"/>
                <w:sz w:val="21"/>
                <w:szCs w:val="21"/>
                <w:highlight w:val="none"/>
              </w:rPr>
              <w:t>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pPr>
              <w:spacing w:line="300" w:lineRule="exact"/>
              <w:jc w:val="left"/>
              <w:rPr>
                <w:color w:val="000000"/>
                <w:szCs w:val="21"/>
                <w:highlight w:val="none"/>
              </w:rPr>
            </w:pPr>
            <w:r>
              <w:rPr>
                <w:color w:val="000000"/>
                <w:szCs w:val="21"/>
                <w:highlight w:val="none"/>
              </w:rPr>
              <w:t>电力热力燃气及水生产和供应业</w:t>
            </w:r>
          </w:p>
        </w:tc>
        <w:tc>
          <w:tcPr>
            <w:tcW w:w="950" w:type="dxa"/>
            <w:vAlign w:val="center"/>
          </w:tcPr>
          <w:p>
            <w:pPr>
              <w:spacing w:line="300" w:lineRule="exact"/>
              <w:jc w:val="center"/>
              <w:rPr>
                <w:color w:val="000000"/>
                <w:szCs w:val="21"/>
                <w:highlight w:val="none"/>
              </w:rPr>
            </w:pPr>
            <w:r>
              <w:rPr>
                <w:color w:val="000000"/>
                <w:szCs w:val="21"/>
                <w:highlight w:val="none"/>
              </w:rPr>
              <w:t>生活垃圾及污泥发电</w:t>
            </w:r>
          </w:p>
        </w:tc>
        <w:tc>
          <w:tcPr>
            <w:tcW w:w="2268" w:type="dxa"/>
            <w:vAlign w:val="center"/>
          </w:tcPr>
          <w:p>
            <w:pPr>
              <w:spacing w:line="300" w:lineRule="exact"/>
              <w:jc w:val="left"/>
              <w:rPr>
                <w:color w:val="000000"/>
                <w:szCs w:val="21"/>
                <w:highlight w:val="none"/>
              </w:rPr>
            </w:pPr>
            <w:r>
              <w:rPr>
                <w:b/>
                <w:color w:val="000000"/>
                <w:szCs w:val="21"/>
                <w:highlight w:val="none"/>
              </w:rPr>
              <w:t>水利发电</w:t>
            </w:r>
            <w:r>
              <w:rPr>
                <w:color w:val="000000"/>
                <w:szCs w:val="21"/>
                <w:highlight w:val="none"/>
              </w:rPr>
              <w:t>；火力发电（燃气发电除外）；矸石、油页岩、石油焦等综合利用发电；工业废水处理；燃气生产</w:t>
            </w:r>
          </w:p>
        </w:tc>
        <w:tc>
          <w:tcPr>
            <w:tcW w:w="2694" w:type="dxa"/>
            <w:vAlign w:val="center"/>
          </w:tcPr>
          <w:p>
            <w:pPr>
              <w:spacing w:line="300" w:lineRule="exact"/>
              <w:jc w:val="left"/>
              <w:rPr>
                <w:color w:val="000000"/>
                <w:szCs w:val="21"/>
                <w:highlight w:val="none"/>
              </w:rPr>
            </w:pPr>
            <w:r>
              <w:rPr>
                <w:color w:val="000000"/>
                <w:szCs w:val="21"/>
                <w:highlight w:val="none"/>
              </w:rPr>
              <w:t>生活污水处理；燃煤锅炉总容量65t/h（不含）以上的热力生产工程；燃油锅炉总容量65t/h（不含）以上的热力生产工程</w:t>
            </w:r>
          </w:p>
        </w:tc>
        <w:tc>
          <w:tcPr>
            <w:tcW w:w="751" w:type="dxa"/>
            <w:vAlign w:val="center"/>
          </w:tcPr>
          <w:p>
            <w:pPr>
              <w:spacing w:line="300" w:lineRule="exact"/>
              <w:jc w:val="center"/>
              <w:rPr>
                <w:color w:val="000000"/>
                <w:szCs w:val="21"/>
                <w:highlight w:val="none"/>
              </w:rPr>
            </w:pPr>
            <w:r>
              <w:rPr>
                <w:color w:val="000000"/>
                <w:szCs w:val="21"/>
                <w:highlight w:val="none"/>
              </w:rPr>
              <w:t>其他</w:t>
            </w:r>
          </w:p>
        </w:tc>
      </w:tr>
    </w:tbl>
    <w:p>
      <w:pPr>
        <w:spacing w:line="480" w:lineRule="exact"/>
        <w:ind w:firstLine="480" w:firstLineChars="200"/>
        <w:rPr>
          <w:color w:val="auto"/>
          <w:sz w:val="24"/>
          <w:highlight w:val="none"/>
        </w:rPr>
      </w:pPr>
      <w:r>
        <w:rPr>
          <w:color w:val="000000"/>
          <w:sz w:val="24"/>
          <w:highlight w:val="none"/>
        </w:rPr>
        <w:t>根据《环境影响评价技术导则-土壤环境》（HJ964-2018）规定，项目属生态影响型建设项目，行业类别属于“电力热力燃气及水生产和供应业”中“水利发电”，项目</w:t>
      </w:r>
      <w:r>
        <w:rPr>
          <w:color w:val="auto"/>
          <w:sz w:val="24"/>
          <w:highlight w:val="none"/>
        </w:rPr>
        <w:t>类别属于“</w:t>
      </w:r>
      <w:r>
        <w:rPr>
          <w:color w:val="auto"/>
          <w:sz w:val="24"/>
          <w:highlight w:val="none"/>
        </w:rPr>
        <w:fldChar w:fldCharType="begin"/>
      </w:r>
      <w:r>
        <w:rPr>
          <w:color w:val="auto"/>
          <w:sz w:val="24"/>
          <w:highlight w:val="none"/>
        </w:rPr>
        <w:instrText xml:space="preserve"> = 2 \* ROMAN </w:instrText>
      </w:r>
      <w:r>
        <w:rPr>
          <w:color w:val="auto"/>
          <w:sz w:val="24"/>
          <w:highlight w:val="none"/>
        </w:rPr>
        <w:fldChar w:fldCharType="separate"/>
      </w:r>
      <w:r>
        <w:rPr>
          <w:color w:val="auto"/>
          <w:sz w:val="24"/>
          <w:highlight w:val="none"/>
        </w:rPr>
        <w:t>II</w:t>
      </w:r>
      <w:r>
        <w:rPr>
          <w:color w:val="auto"/>
          <w:sz w:val="24"/>
          <w:highlight w:val="none"/>
        </w:rPr>
        <w:fldChar w:fldCharType="end"/>
      </w:r>
      <w:r>
        <w:rPr>
          <w:color w:val="auto"/>
          <w:sz w:val="24"/>
          <w:highlight w:val="none"/>
        </w:rPr>
        <w:t>类项目”。</w:t>
      </w:r>
    </w:p>
    <w:p>
      <w:pPr>
        <w:spacing w:line="480" w:lineRule="exact"/>
        <w:ind w:firstLine="480" w:firstLineChars="200"/>
        <w:rPr>
          <w:color w:val="auto"/>
          <w:sz w:val="24"/>
          <w:highlight w:val="none"/>
        </w:rPr>
      </w:pPr>
      <w:r>
        <w:rPr>
          <w:color w:val="auto"/>
          <w:sz w:val="24"/>
          <w:highlight w:val="none"/>
        </w:rPr>
        <w:t>（2）环境敏感程度</w:t>
      </w:r>
    </w:p>
    <w:p>
      <w:pPr>
        <w:spacing w:line="480" w:lineRule="exact"/>
        <w:ind w:firstLine="480" w:firstLineChars="200"/>
        <w:rPr>
          <w:b/>
          <w:color w:val="auto"/>
          <w:sz w:val="24"/>
          <w:highlight w:val="none"/>
        </w:rPr>
      </w:pPr>
      <w:r>
        <w:rPr>
          <w:color w:val="auto"/>
          <w:sz w:val="24"/>
          <w:highlight w:val="none"/>
        </w:rPr>
        <w:t>建设项目的土壤环境敏感程度分为敏感、较敏感、不敏感三级，判别依据见表</w:t>
      </w:r>
      <w:r>
        <w:rPr>
          <w:rFonts w:hint="eastAsia"/>
          <w:color w:val="auto"/>
          <w:sz w:val="24"/>
          <w:highlight w:val="none"/>
        </w:rPr>
        <w:t>1.</w:t>
      </w:r>
      <w:r>
        <w:rPr>
          <w:rFonts w:hint="eastAsia"/>
          <w:color w:val="auto"/>
          <w:sz w:val="24"/>
          <w:highlight w:val="none"/>
          <w:lang w:val="en-US" w:eastAsia="zh-CN"/>
        </w:rPr>
        <w:t>5</w:t>
      </w:r>
      <w:r>
        <w:rPr>
          <w:rFonts w:hint="eastAsia"/>
          <w:color w:val="auto"/>
          <w:sz w:val="24"/>
          <w:highlight w:val="none"/>
        </w:rPr>
        <w:t>-6</w:t>
      </w:r>
      <w:r>
        <w:rPr>
          <w:color w:val="auto"/>
          <w:sz w:val="24"/>
          <w:highlight w:val="none"/>
        </w:rPr>
        <w:t>。</w:t>
      </w:r>
    </w:p>
    <w:p>
      <w:pPr>
        <w:spacing w:line="480" w:lineRule="exact"/>
        <w:jc w:val="center"/>
        <w:rPr>
          <w:b/>
          <w:color w:val="000000"/>
          <w:sz w:val="24"/>
          <w:highlight w:val="none"/>
        </w:rPr>
      </w:pPr>
      <w:r>
        <w:rPr>
          <w:b/>
          <w:color w:val="auto"/>
          <w:sz w:val="24"/>
          <w:highlight w:val="none"/>
        </w:rPr>
        <w:t>表</w:t>
      </w:r>
      <w:r>
        <w:rPr>
          <w:rFonts w:hint="eastAsia"/>
          <w:b/>
          <w:color w:val="auto"/>
          <w:sz w:val="24"/>
          <w:highlight w:val="none"/>
        </w:rPr>
        <w:t>1.</w:t>
      </w:r>
      <w:r>
        <w:rPr>
          <w:rFonts w:hint="eastAsia"/>
          <w:b/>
          <w:color w:val="auto"/>
          <w:sz w:val="24"/>
          <w:highlight w:val="none"/>
          <w:lang w:val="en-US" w:eastAsia="zh-CN"/>
        </w:rPr>
        <w:t>5</w:t>
      </w:r>
      <w:r>
        <w:rPr>
          <w:rFonts w:hint="eastAsia"/>
          <w:b/>
          <w:color w:val="auto"/>
          <w:sz w:val="24"/>
          <w:highlight w:val="none"/>
        </w:rPr>
        <w:t>-6</w:t>
      </w:r>
      <w:r>
        <w:rPr>
          <w:b/>
          <w:color w:val="auto"/>
          <w:sz w:val="24"/>
          <w:highlight w:val="none"/>
        </w:rPr>
        <w:t xml:space="preserve">  </w:t>
      </w:r>
      <w:r>
        <w:rPr>
          <w:b/>
          <w:bCs/>
          <w:color w:val="000000"/>
          <w:sz w:val="24"/>
          <w:highlight w:val="none"/>
        </w:rPr>
        <w:t>土壤环境</w:t>
      </w:r>
      <w:r>
        <w:rPr>
          <w:b/>
          <w:color w:val="000000"/>
          <w:sz w:val="24"/>
          <w:highlight w:val="none"/>
        </w:rPr>
        <w:t>敏感程度分级表</w:t>
      </w:r>
    </w:p>
    <w:tbl>
      <w:tblPr>
        <w:tblStyle w:val="5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4536"/>
        <w:gridCol w:w="1559"/>
        <w:gridCol w:w="14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restart"/>
            <w:vAlign w:val="center"/>
          </w:tcPr>
          <w:p>
            <w:pPr>
              <w:spacing w:line="320" w:lineRule="exact"/>
              <w:jc w:val="center"/>
              <w:rPr>
                <w:color w:val="000000"/>
                <w:szCs w:val="21"/>
                <w:highlight w:val="none"/>
              </w:rPr>
            </w:pPr>
            <w:r>
              <w:rPr>
                <w:color w:val="000000"/>
                <w:szCs w:val="21"/>
                <w:highlight w:val="none"/>
              </w:rPr>
              <w:t>敏感</w:t>
            </w:r>
          </w:p>
          <w:p>
            <w:pPr>
              <w:spacing w:line="320" w:lineRule="exact"/>
              <w:jc w:val="center"/>
              <w:rPr>
                <w:color w:val="000000"/>
                <w:szCs w:val="21"/>
                <w:highlight w:val="none"/>
              </w:rPr>
            </w:pPr>
            <w:r>
              <w:rPr>
                <w:color w:val="000000"/>
                <w:szCs w:val="21"/>
                <w:highlight w:val="none"/>
              </w:rPr>
              <w:t>程度</w:t>
            </w:r>
          </w:p>
        </w:tc>
        <w:tc>
          <w:tcPr>
            <w:tcW w:w="7537" w:type="dxa"/>
            <w:gridSpan w:val="3"/>
            <w:vAlign w:val="center"/>
          </w:tcPr>
          <w:p>
            <w:pPr>
              <w:spacing w:line="320" w:lineRule="exact"/>
              <w:jc w:val="center"/>
              <w:rPr>
                <w:color w:val="000000"/>
                <w:szCs w:val="21"/>
                <w:highlight w:val="none"/>
              </w:rPr>
            </w:pPr>
            <w:r>
              <w:rPr>
                <w:color w:val="000000"/>
                <w:szCs w:val="21"/>
                <w:highlight w:val="none"/>
              </w:rPr>
              <w:t>判别依据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continue"/>
            <w:vAlign w:val="center"/>
          </w:tcPr>
          <w:p>
            <w:pPr>
              <w:spacing w:line="320" w:lineRule="exact"/>
              <w:jc w:val="center"/>
              <w:rPr>
                <w:color w:val="000000"/>
                <w:szCs w:val="21"/>
                <w:highlight w:val="none"/>
              </w:rPr>
            </w:pPr>
          </w:p>
        </w:tc>
        <w:tc>
          <w:tcPr>
            <w:tcW w:w="4536" w:type="dxa"/>
            <w:vAlign w:val="center"/>
          </w:tcPr>
          <w:p>
            <w:pPr>
              <w:spacing w:line="320" w:lineRule="exact"/>
              <w:jc w:val="center"/>
              <w:rPr>
                <w:color w:val="000000"/>
                <w:szCs w:val="21"/>
                <w:highlight w:val="none"/>
              </w:rPr>
            </w:pPr>
            <w:r>
              <w:rPr>
                <w:color w:val="000000"/>
                <w:szCs w:val="21"/>
                <w:highlight w:val="none"/>
              </w:rPr>
              <w:t>盐化</w:t>
            </w:r>
          </w:p>
        </w:tc>
        <w:tc>
          <w:tcPr>
            <w:tcW w:w="1559" w:type="dxa"/>
            <w:vAlign w:val="center"/>
          </w:tcPr>
          <w:p>
            <w:pPr>
              <w:spacing w:line="320" w:lineRule="exact"/>
              <w:jc w:val="center"/>
              <w:rPr>
                <w:color w:val="000000"/>
                <w:szCs w:val="21"/>
                <w:highlight w:val="none"/>
              </w:rPr>
            </w:pPr>
            <w:r>
              <w:rPr>
                <w:color w:val="000000"/>
                <w:szCs w:val="21"/>
                <w:highlight w:val="none"/>
              </w:rPr>
              <w:t>酸化</w:t>
            </w:r>
          </w:p>
        </w:tc>
        <w:tc>
          <w:tcPr>
            <w:tcW w:w="1442" w:type="dxa"/>
            <w:vAlign w:val="center"/>
          </w:tcPr>
          <w:p>
            <w:pPr>
              <w:spacing w:line="320" w:lineRule="exact"/>
              <w:jc w:val="center"/>
              <w:rPr>
                <w:color w:val="000000"/>
                <w:szCs w:val="21"/>
                <w:highlight w:val="none"/>
              </w:rPr>
            </w:pPr>
            <w:r>
              <w:rPr>
                <w:color w:val="000000"/>
                <w:szCs w:val="21"/>
                <w:highlight w:val="none"/>
              </w:rPr>
              <w:t>碱化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320" w:lineRule="exact"/>
              <w:jc w:val="center"/>
              <w:rPr>
                <w:color w:val="000000"/>
                <w:szCs w:val="21"/>
                <w:highlight w:val="none"/>
              </w:rPr>
            </w:pPr>
            <w:r>
              <w:rPr>
                <w:color w:val="000000"/>
                <w:szCs w:val="21"/>
                <w:highlight w:val="none"/>
              </w:rPr>
              <w:t>敏感</w:t>
            </w:r>
          </w:p>
        </w:tc>
        <w:tc>
          <w:tcPr>
            <w:tcW w:w="4536" w:type="dxa"/>
            <w:vAlign w:val="center"/>
          </w:tcPr>
          <w:p>
            <w:pPr>
              <w:spacing w:line="320" w:lineRule="exact"/>
              <w:jc w:val="left"/>
              <w:rPr>
                <w:color w:val="000000"/>
                <w:szCs w:val="21"/>
                <w:highlight w:val="none"/>
              </w:rPr>
            </w:pPr>
            <w:r>
              <w:rPr>
                <w:color w:val="000000"/>
                <w:szCs w:val="21"/>
                <w:highlight w:val="none"/>
              </w:rPr>
              <w:t>建设项目所在地干燥度</w:t>
            </w:r>
            <w:r>
              <w:rPr>
                <w:color w:val="000000"/>
                <w:szCs w:val="21"/>
                <w:highlight w:val="none"/>
                <w:vertAlign w:val="superscript"/>
              </w:rPr>
              <w:t>a</w:t>
            </w:r>
            <w:r>
              <w:rPr>
                <w:color w:val="000000"/>
                <w:szCs w:val="21"/>
                <w:highlight w:val="none"/>
              </w:rPr>
              <w:t>＞2.5且常年地下水位平均埋深＜1.5m的地势平坦区域；或土壤含盐量＞4g/kg的区域</w:t>
            </w:r>
          </w:p>
        </w:tc>
        <w:tc>
          <w:tcPr>
            <w:tcW w:w="1559" w:type="dxa"/>
            <w:vAlign w:val="center"/>
          </w:tcPr>
          <w:p>
            <w:pPr>
              <w:spacing w:line="320" w:lineRule="exact"/>
              <w:jc w:val="center"/>
              <w:rPr>
                <w:color w:val="000000"/>
                <w:szCs w:val="21"/>
                <w:highlight w:val="none"/>
              </w:rPr>
            </w:pPr>
            <w:r>
              <w:rPr>
                <w:color w:val="000000"/>
                <w:szCs w:val="21"/>
                <w:highlight w:val="none"/>
              </w:rPr>
              <w:t>pH≤4.5</w:t>
            </w:r>
          </w:p>
        </w:tc>
        <w:tc>
          <w:tcPr>
            <w:tcW w:w="1442" w:type="dxa"/>
            <w:vAlign w:val="center"/>
          </w:tcPr>
          <w:p>
            <w:pPr>
              <w:spacing w:line="320" w:lineRule="exact"/>
              <w:jc w:val="center"/>
              <w:rPr>
                <w:color w:val="000000"/>
                <w:szCs w:val="21"/>
                <w:highlight w:val="none"/>
              </w:rPr>
            </w:pPr>
            <w:r>
              <w:rPr>
                <w:color w:val="000000"/>
                <w:szCs w:val="21"/>
                <w:highlight w:val="none"/>
              </w:rPr>
              <w:t>pH≥9.0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320" w:lineRule="exact"/>
              <w:jc w:val="center"/>
              <w:rPr>
                <w:color w:val="000000"/>
                <w:szCs w:val="21"/>
                <w:highlight w:val="none"/>
              </w:rPr>
            </w:pPr>
            <w:r>
              <w:rPr>
                <w:color w:val="000000"/>
                <w:szCs w:val="21"/>
                <w:highlight w:val="none"/>
              </w:rPr>
              <w:t>较敏感</w:t>
            </w:r>
          </w:p>
        </w:tc>
        <w:tc>
          <w:tcPr>
            <w:tcW w:w="4536" w:type="dxa"/>
            <w:vAlign w:val="center"/>
          </w:tcPr>
          <w:p>
            <w:pPr>
              <w:spacing w:line="320" w:lineRule="exact"/>
              <w:jc w:val="left"/>
              <w:rPr>
                <w:color w:val="000000"/>
                <w:szCs w:val="21"/>
                <w:highlight w:val="none"/>
              </w:rPr>
            </w:pPr>
            <w:r>
              <w:rPr>
                <w:color w:val="000000"/>
                <w:szCs w:val="21"/>
                <w:highlight w:val="none"/>
              </w:rPr>
              <w:t>建设项目所在地干燥度＞2.5且常年地下水位平均埋深≥1.5m的，或1.8＜干燥度≤2.5且常年地下水位平均埋深＜1.8m的地势平坦区域；建设项目所在地干燥度＞2.5且常年地下水位平均埋深＜1.5m的平原区；或2g/kg＜土壤含盐量≤4g/kg的区域</w:t>
            </w:r>
          </w:p>
        </w:tc>
        <w:tc>
          <w:tcPr>
            <w:tcW w:w="1559" w:type="dxa"/>
            <w:vAlign w:val="center"/>
          </w:tcPr>
          <w:p>
            <w:pPr>
              <w:spacing w:line="320" w:lineRule="exact"/>
              <w:jc w:val="center"/>
              <w:rPr>
                <w:color w:val="000000"/>
                <w:szCs w:val="21"/>
                <w:highlight w:val="none"/>
              </w:rPr>
            </w:pPr>
            <w:r>
              <w:rPr>
                <w:color w:val="000000"/>
                <w:szCs w:val="21"/>
                <w:highlight w:val="none"/>
              </w:rPr>
              <w:t>4.5＜pH≤5.5</w:t>
            </w:r>
          </w:p>
        </w:tc>
        <w:tc>
          <w:tcPr>
            <w:tcW w:w="1442" w:type="dxa"/>
            <w:vAlign w:val="center"/>
          </w:tcPr>
          <w:p>
            <w:pPr>
              <w:spacing w:line="320" w:lineRule="exact"/>
              <w:jc w:val="center"/>
              <w:rPr>
                <w:color w:val="000000"/>
                <w:szCs w:val="21"/>
                <w:highlight w:val="none"/>
              </w:rPr>
            </w:pPr>
            <w:r>
              <w:rPr>
                <w:color w:val="000000"/>
                <w:szCs w:val="21"/>
                <w:highlight w:val="none"/>
              </w:rPr>
              <w:t>8.5≤pH＜9.0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320" w:lineRule="exact"/>
              <w:jc w:val="center"/>
              <w:rPr>
                <w:color w:val="000000"/>
                <w:szCs w:val="21"/>
                <w:highlight w:val="none"/>
              </w:rPr>
            </w:pPr>
            <w:r>
              <w:rPr>
                <w:color w:val="000000"/>
                <w:szCs w:val="21"/>
                <w:highlight w:val="none"/>
              </w:rPr>
              <w:t>不敏感</w:t>
            </w:r>
          </w:p>
        </w:tc>
        <w:tc>
          <w:tcPr>
            <w:tcW w:w="4536" w:type="dxa"/>
            <w:vAlign w:val="center"/>
          </w:tcPr>
          <w:p>
            <w:pPr>
              <w:spacing w:line="320" w:lineRule="exact"/>
              <w:jc w:val="center"/>
              <w:rPr>
                <w:color w:val="000000"/>
                <w:szCs w:val="21"/>
                <w:highlight w:val="none"/>
              </w:rPr>
            </w:pPr>
            <w:r>
              <w:rPr>
                <w:color w:val="000000"/>
                <w:szCs w:val="21"/>
                <w:highlight w:val="none"/>
              </w:rPr>
              <w:t>其他</w:t>
            </w:r>
          </w:p>
        </w:tc>
        <w:tc>
          <w:tcPr>
            <w:tcW w:w="3001" w:type="dxa"/>
            <w:gridSpan w:val="2"/>
            <w:vAlign w:val="center"/>
          </w:tcPr>
          <w:p>
            <w:pPr>
              <w:spacing w:line="320" w:lineRule="exact"/>
              <w:jc w:val="center"/>
              <w:rPr>
                <w:color w:val="000000"/>
                <w:szCs w:val="21"/>
                <w:highlight w:val="none"/>
              </w:rPr>
            </w:pPr>
            <w:r>
              <w:rPr>
                <w:color w:val="000000"/>
                <w:szCs w:val="21"/>
                <w:highlight w:val="none"/>
              </w:rPr>
              <w:t>5.5＜pH＜8.5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96" w:type="dxa"/>
            <w:gridSpan w:val="4"/>
            <w:vAlign w:val="center"/>
          </w:tcPr>
          <w:p>
            <w:pPr>
              <w:spacing w:line="320" w:lineRule="exact"/>
              <w:jc w:val="left"/>
              <w:rPr>
                <w:color w:val="000000"/>
                <w:szCs w:val="21"/>
                <w:highlight w:val="none"/>
              </w:rPr>
            </w:pPr>
            <w:r>
              <w:rPr>
                <w:color w:val="000000"/>
                <w:szCs w:val="21"/>
                <w:highlight w:val="none"/>
              </w:rPr>
              <w:t>a是指采用E601观测的多年平均水面蒸发量与降水量的比值，既蒸降比值</w:t>
            </w:r>
          </w:p>
        </w:tc>
      </w:tr>
    </w:tbl>
    <w:p>
      <w:pPr>
        <w:spacing w:line="480" w:lineRule="exact"/>
        <w:ind w:firstLine="480" w:firstLineChars="200"/>
        <w:rPr>
          <w:color w:val="auto"/>
          <w:sz w:val="24"/>
          <w:highlight w:val="none"/>
        </w:rPr>
      </w:pPr>
      <w:r>
        <w:rPr>
          <w:rFonts w:hint="eastAsia"/>
          <w:sz w:val="24"/>
          <w:highlight w:val="none"/>
        </w:rPr>
        <w:t>黎河流</w:t>
      </w:r>
      <w:r>
        <w:rPr>
          <w:rFonts w:hint="eastAsia"/>
          <w:color w:val="auto"/>
          <w:sz w:val="24"/>
          <w:highlight w:val="none"/>
        </w:rPr>
        <w:t>域多年平均降水量800mm，多年平均水面蒸发量为1212.5mm，干燥度=1212.5/800=1.52；</w:t>
      </w:r>
      <w:r>
        <w:rPr>
          <w:color w:val="auto"/>
          <w:sz w:val="24"/>
          <w:highlight w:val="none"/>
        </w:rPr>
        <w:t>地下水位埋深</w:t>
      </w:r>
      <w:r>
        <w:rPr>
          <w:rFonts w:hint="eastAsia"/>
          <w:color w:val="auto"/>
          <w:sz w:val="24"/>
          <w:highlight w:val="none"/>
          <w:lang w:val="en-US" w:eastAsia="zh-CN"/>
        </w:rPr>
        <w:t>3-7</w:t>
      </w:r>
      <w:r>
        <w:rPr>
          <w:color w:val="auto"/>
          <w:sz w:val="24"/>
          <w:highlight w:val="none"/>
        </w:rPr>
        <w:t>m，项目所在地</w:t>
      </w:r>
      <w:r>
        <w:rPr>
          <w:rFonts w:hint="eastAsia"/>
          <w:color w:val="auto"/>
          <w:sz w:val="24"/>
          <w:highlight w:val="none"/>
          <w:lang w:eastAsia="zh-CN"/>
        </w:rPr>
        <w:t>生态影响型</w:t>
      </w:r>
      <w:r>
        <w:rPr>
          <w:color w:val="auto"/>
          <w:sz w:val="24"/>
          <w:highlight w:val="none"/>
        </w:rPr>
        <w:t>土壤环境敏感程度为</w:t>
      </w:r>
      <w:r>
        <w:rPr>
          <w:rFonts w:hint="eastAsia"/>
          <w:color w:val="auto"/>
          <w:sz w:val="24"/>
          <w:highlight w:val="none"/>
          <w:lang w:eastAsia="zh-CN"/>
        </w:rPr>
        <w:t>较</w:t>
      </w:r>
      <w:r>
        <w:rPr>
          <w:color w:val="auto"/>
          <w:sz w:val="24"/>
          <w:highlight w:val="none"/>
        </w:rPr>
        <w:t>敏感。</w:t>
      </w:r>
    </w:p>
    <w:p>
      <w:pPr>
        <w:spacing w:line="480" w:lineRule="exact"/>
        <w:ind w:firstLine="480" w:firstLineChars="200"/>
        <w:rPr>
          <w:color w:val="auto"/>
          <w:sz w:val="24"/>
          <w:highlight w:val="none"/>
        </w:rPr>
      </w:pPr>
      <w:r>
        <w:rPr>
          <w:rFonts w:hint="eastAsia"/>
          <w:color w:val="auto"/>
          <w:sz w:val="24"/>
          <w:highlight w:val="none"/>
        </w:rPr>
        <w:t>（3）</w:t>
      </w:r>
      <w:r>
        <w:rPr>
          <w:color w:val="auto"/>
          <w:sz w:val="24"/>
          <w:highlight w:val="none"/>
        </w:rPr>
        <w:t>土壤环境评价等级划分依据</w:t>
      </w:r>
    </w:p>
    <w:p>
      <w:pPr>
        <w:spacing w:line="480" w:lineRule="exact"/>
        <w:ind w:firstLine="480" w:firstLineChars="200"/>
        <w:rPr>
          <w:color w:val="auto"/>
          <w:sz w:val="24"/>
          <w:highlight w:val="none"/>
        </w:rPr>
      </w:pPr>
      <w:r>
        <w:rPr>
          <w:color w:val="auto"/>
          <w:sz w:val="24"/>
          <w:highlight w:val="none"/>
        </w:rPr>
        <w:t>根据《环境影响评价技术导则-土壤环境》（HJ964-2018）规定，项目生态影响型土壤环境影响评价等级划分见表</w:t>
      </w:r>
      <w:r>
        <w:rPr>
          <w:rFonts w:hint="eastAsia"/>
          <w:color w:val="auto"/>
          <w:sz w:val="24"/>
          <w:highlight w:val="none"/>
        </w:rPr>
        <w:t>1.</w:t>
      </w:r>
      <w:r>
        <w:rPr>
          <w:rFonts w:hint="eastAsia"/>
          <w:color w:val="auto"/>
          <w:sz w:val="24"/>
          <w:highlight w:val="none"/>
          <w:lang w:val="en-US" w:eastAsia="zh-CN"/>
        </w:rPr>
        <w:t>5</w:t>
      </w:r>
      <w:r>
        <w:rPr>
          <w:rFonts w:hint="eastAsia"/>
          <w:color w:val="auto"/>
          <w:sz w:val="24"/>
          <w:highlight w:val="none"/>
        </w:rPr>
        <w:t>-7</w:t>
      </w:r>
      <w:r>
        <w:rPr>
          <w:color w:val="auto"/>
          <w:sz w:val="24"/>
          <w:highlight w:val="none"/>
        </w:rPr>
        <w:t>。</w:t>
      </w:r>
    </w:p>
    <w:p>
      <w:pPr>
        <w:spacing w:line="480" w:lineRule="exact"/>
        <w:jc w:val="center"/>
        <w:rPr>
          <w:color w:val="auto"/>
          <w:sz w:val="24"/>
          <w:highlight w:val="none"/>
        </w:rPr>
      </w:pPr>
      <w:r>
        <w:rPr>
          <w:b/>
          <w:color w:val="auto"/>
          <w:sz w:val="24"/>
          <w:highlight w:val="none"/>
        </w:rPr>
        <w:t>表</w:t>
      </w:r>
      <w:r>
        <w:rPr>
          <w:rFonts w:hint="eastAsia"/>
          <w:b/>
          <w:color w:val="auto"/>
          <w:sz w:val="24"/>
          <w:highlight w:val="none"/>
        </w:rPr>
        <w:t>1.</w:t>
      </w:r>
      <w:r>
        <w:rPr>
          <w:rFonts w:hint="eastAsia"/>
          <w:b/>
          <w:color w:val="auto"/>
          <w:sz w:val="24"/>
          <w:highlight w:val="none"/>
          <w:lang w:val="en-US" w:eastAsia="zh-CN"/>
        </w:rPr>
        <w:t>5</w:t>
      </w:r>
      <w:r>
        <w:rPr>
          <w:rFonts w:hint="eastAsia"/>
          <w:b/>
          <w:color w:val="auto"/>
          <w:sz w:val="24"/>
          <w:highlight w:val="none"/>
        </w:rPr>
        <w:t>-7</w:t>
      </w:r>
      <w:r>
        <w:rPr>
          <w:b/>
          <w:color w:val="auto"/>
          <w:sz w:val="24"/>
          <w:highlight w:val="none"/>
        </w:rPr>
        <w:t xml:space="preserve">  生态影响型评价工作等级划分</w:t>
      </w:r>
    </w:p>
    <w:tbl>
      <w:tblPr>
        <w:tblStyle w:val="5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4"/>
        <w:gridCol w:w="2124"/>
        <w:gridCol w:w="2124"/>
        <w:gridCol w:w="21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4" w:type="dxa"/>
            <w:tcBorders>
              <w:tl2br w:val="single" w:color="auto" w:sz="4" w:space="0"/>
            </w:tcBorders>
          </w:tcPr>
          <w:p>
            <w:pPr>
              <w:spacing w:line="320" w:lineRule="exact"/>
              <w:ind w:firstLine="945" w:firstLineChars="450"/>
              <w:rPr>
                <w:color w:val="auto"/>
                <w:szCs w:val="21"/>
                <w:highlight w:val="none"/>
              </w:rPr>
            </w:pPr>
            <w:r>
              <w:rPr>
                <w:color w:val="auto"/>
                <w:szCs w:val="21"/>
                <w:highlight w:val="none"/>
              </w:rPr>
              <w:t>项目类别</w:t>
            </w:r>
          </w:p>
          <w:p>
            <w:pPr>
              <w:spacing w:line="320" w:lineRule="exact"/>
              <w:rPr>
                <w:color w:val="auto"/>
                <w:szCs w:val="21"/>
                <w:highlight w:val="none"/>
              </w:rPr>
            </w:pPr>
            <w:r>
              <w:rPr>
                <w:color w:val="auto"/>
                <w:szCs w:val="21"/>
                <w:highlight w:val="none"/>
              </w:rPr>
              <w:t>敏感程度</w:t>
            </w:r>
          </w:p>
        </w:tc>
        <w:tc>
          <w:tcPr>
            <w:tcW w:w="2124" w:type="dxa"/>
            <w:vAlign w:val="center"/>
          </w:tcPr>
          <w:p>
            <w:pPr>
              <w:spacing w:line="320" w:lineRule="exact"/>
              <w:jc w:val="center"/>
              <w:rPr>
                <w:color w:val="auto"/>
                <w:szCs w:val="21"/>
                <w:highlight w:val="none"/>
              </w:rPr>
            </w:pPr>
            <w:r>
              <w:rPr>
                <w:color w:val="auto"/>
                <w:szCs w:val="21"/>
                <w:highlight w:val="none"/>
              </w:rPr>
              <w:t>I类</w:t>
            </w:r>
          </w:p>
        </w:tc>
        <w:tc>
          <w:tcPr>
            <w:tcW w:w="2124" w:type="dxa"/>
            <w:vAlign w:val="center"/>
          </w:tcPr>
          <w:p>
            <w:pPr>
              <w:spacing w:line="320" w:lineRule="exact"/>
              <w:jc w:val="center"/>
              <w:rPr>
                <w:color w:val="auto"/>
                <w:szCs w:val="21"/>
                <w:highlight w:val="none"/>
              </w:rPr>
            </w:pPr>
            <w:r>
              <w:rPr>
                <w:color w:val="auto"/>
                <w:szCs w:val="21"/>
                <w:highlight w:val="none"/>
              </w:rPr>
              <w:t>II类</w:t>
            </w:r>
          </w:p>
        </w:tc>
        <w:tc>
          <w:tcPr>
            <w:tcW w:w="2124" w:type="dxa"/>
            <w:vAlign w:val="center"/>
          </w:tcPr>
          <w:p>
            <w:pPr>
              <w:spacing w:line="320" w:lineRule="exact"/>
              <w:jc w:val="center"/>
              <w:rPr>
                <w:color w:val="auto"/>
                <w:szCs w:val="21"/>
                <w:highlight w:val="none"/>
              </w:rPr>
            </w:pPr>
            <w:r>
              <w:rPr>
                <w:color w:val="auto"/>
                <w:szCs w:val="21"/>
                <w:highlight w:val="none"/>
              </w:rPr>
              <w:t>III类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4" w:type="dxa"/>
            <w:vAlign w:val="center"/>
          </w:tcPr>
          <w:p>
            <w:pPr>
              <w:spacing w:line="320" w:lineRule="exact"/>
              <w:jc w:val="center"/>
              <w:rPr>
                <w:color w:val="auto"/>
                <w:szCs w:val="21"/>
                <w:highlight w:val="none"/>
              </w:rPr>
            </w:pPr>
            <w:r>
              <w:rPr>
                <w:color w:val="auto"/>
                <w:szCs w:val="21"/>
                <w:highlight w:val="none"/>
              </w:rPr>
              <w:t>敏感</w:t>
            </w:r>
          </w:p>
        </w:tc>
        <w:tc>
          <w:tcPr>
            <w:tcW w:w="2124" w:type="dxa"/>
          </w:tcPr>
          <w:p>
            <w:pPr>
              <w:spacing w:line="320" w:lineRule="exact"/>
              <w:jc w:val="center"/>
              <w:rPr>
                <w:color w:val="auto"/>
                <w:szCs w:val="21"/>
                <w:highlight w:val="none"/>
              </w:rPr>
            </w:pPr>
            <w:r>
              <w:rPr>
                <w:color w:val="auto"/>
                <w:szCs w:val="21"/>
                <w:highlight w:val="none"/>
              </w:rPr>
              <w:t>一级</w:t>
            </w:r>
          </w:p>
        </w:tc>
        <w:tc>
          <w:tcPr>
            <w:tcW w:w="2124" w:type="dxa"/>
          </w:tcPr>
          <w:p>
            <w:pPr>
              <w:spacing w:line="320" w:lineRule="exact"/>
              <w:jc w:val="center"/>
              <w:rPr>
                <w:color w:val="auto"/>
                <w:szCs w:val="21"/>
                <w:highlight w:val="none"/>
              </w:rPr>
            </w:pPr>
            <w:r>
              <w:rPr>
                <w:color w:val="auto"/>
                <w:szCs w:val="21"/>
                <w:highlight w:val="none"/>
              </w:rPr>
              <w:t>二级</w:t>
            </w:r>
          </w:p>
        </w:tc>
        <w:tc>
          <w:tcPr>
            <w:tcW w:w="2124" w:type="dxa"/>
          </w:tcPr>
          <w:p>
            <w:pPr>
              <w:spacing w:line="320" w:lineRule="exact"/>
              <w:jc w:val="center"/>
              <w:rPr>
                <w:color w:val="auto"/>
                <w:szCs w:val="21"/>
                <w:highlight w:val="none"/>
              </w:rPr>
            </w:pPr>
            <w:r>
              <w:rPr>
                <w:color w:val="auto"/>
                <w:szCs w:val="21"/>
                <w:highlight w:val="non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4" w:type="dxa"/>
            <w:vAlign w:val="center"/>
          </w:tcPr>
          <w:p>
            <w:pPr>
              <w:spacing w:line="320" w:lineRule="exact"/>
              <w:jc w:val="center"/>
              <w:rPr>
                <w:color w:val="auto"/>
                <w:szCs w:val="21"/>
                <w:highlight w:val="none"/>
              </w:rPr>
            </w:pPr>
            <w:r>
              <w:rPr>
                <w:color w:val="auto"/>
                <w:szCs w:val="21"/>
                <w:highlight w:val="none"/>
              </w:rPr>
              <w:t>较敏感</w:t>
            </w:r>
          </w:p>
        </w:tc>
        <w:tc>
          <w:tcPr>
            <w:tcW w:w="2124" w:type="dxa"/>
          </w:tcPr>
          <w:p>
            <w:pPr>
              <w:spacing w:line="320" w:lineRule="exact"/>
              <w:jc w:val="center"/>
              <w:rPr>
                <w:color w:val="auto"/>
                <w:szCs w:val="21"/>
                <w:highlight w:val="none"/>
              </w:rPr>
            </w:pPr>
            <w:r>
              <w:rPr>
                <w:color w:val="auto"/>
                <w:szCs w:val="21"/>
                <w:highlight w:val="none"/>
              </w:rPr>
              <w:t>二级</w:t>
            </w:r>
          </w:p>
        </w:tc>
        <w:tc>
          <w:tcPr>
            <w:tcW w:w="2124" w:type="dxa"/>
          </w:tcPr>
          <w:p>
            <w:pPr>
              <w:spacing w:line="320" w:lineRule="exact"/>
              <w:jc w:val="center"/>
              <w:rPr>
                <w:color w:val="auto"/>
                <w:szCs w:val="21"/>
                <w:highlight w:val="none"/>
              </w:rPr>
            </w:pPr>
            <w:r>
              <w:rPr>
                <w:b/>
                <w:bCs/>
                <w:color w:val="auto"/>
                <w:szCs w:val="21"/>
                <w:highlight w:val="none"/>
              </w:rPr>
              <w:t>二级</w:t>
            </w:r>
          </w:p>
        </w:tc>
        <w:tc>
          <w:tcPr>
            <w:tcW w:w="2124" w:type="dxa"/>
          </w:tcPr>
          <w:p>
            <w:pPr>
              <w:spacing w:line="320" w:lineRule="exact"/>
              <w:jc w:val="center"/>
              <w:rPr>
                <w:color w:val="auto"/>
                <w:szCs w:val="21"/>
                <w:highlight w:val="none"/>
              </w:rPr>
            </w:pPr>
            <w:r>
              <w:rPr>
                <w:color w:val="auto"/>
                <w:szCs w:val="21"/>
                <w:highlight w:val="non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4" w:type="dxa"/>
            <w:vAlign w:val="center"/>
          </w:tcPr>
          <w:p>
            <w:pPr>
              <w:spacing w:line="320" w:lineRule="exact"/>
              <w:jc w:val="center"/>
              <w:rPr>
                <w:color w:val="auto"/>
                <w:szCs w:val="21"/>
                <w:highlight w:val="none"/>
              </w:rPr>
            </w:pPr>
            <w:r>
              <w:rPr>
                <w:color w:val="auto"/>
                <w:szCs w:val="21"/>
                <w:highlight w:val="none"/>
              </w:rPr>
              <w:t>不敏感</w:t>
            </w:r>
          </w:p>
        </w:tc>
        <w:tc>
          <w:tcPr>
            <w:tcW w:w="2124" w:type="dxa"/>
          </w:tcPr>
          <w:p>
            <w:pPr>
              <w:spacing w:line="320" w:lineRule="exact"/>
              <w:jc w:val="center"/>
              <w:rPr>
                <w:color w:val="auto"/>
                <w:szCs w:val="21"/>
                <w:highlight w:val="none"/>
              </w:rPr>
            </w:pPr>
            <w:r>
              <w:rPr>
                <w:color w:val="auto"/>
                <w:szCs w:val="21"/>
                <w:highlight w:val="none"/>
              </w:rPr>
              <w:t>二级</w:t>
            </w:r>
          </w:p>
        </w:tc>
        <w:tc>
          <w:tcPr>
            <w:tcW w:w="2124" w:type="dxa"/>
          </w:tcPr>
          <w:p>
            <w:pPr>
              <w:spacing w:line="320" w:lineRule="exact"/>
              <w:jc w:val="center"/>
              <w:rPr>
                <w:b/>
                <w:color w:val="auto"/>
                <w:szCs w:val="21"/>
                <w:highlight w:val="none"/>
              </w:rPr>
            </w:pPr>
            <w:r>
              <w:rPr>
                <w:b w:val="0"/>
                <w:bCs/>
                <w:color w:val="auto"/>
                <w:szCs w:val="21"/>
                <w:highlight w:val="none"/>
              </w:rPr>
              <w:t>三级</w:t>
            </w:r>
          </w:p>
        </w:tc>
        <w:tc>
          <w:tcPr>
            <w:tcW w:w="2124" w:type="dxa"/>
          </w:tcPr>
          <w:p>
            <w:pPr>
              <w:spacing w:line="320" w:lineRule="exact"/>
              <w:jc w:val="center"/>
              <w:rPr>
                <w:color w:val="auto"/>
                <w:szCs w:val="21"/>
                <w:highlight w:val="none"/>
              </w:rPr>
            </w:pPr>
            <w:r>
              <w:rPr>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96" w:type="dxa"/>
            <w:gridSpan w:val="4"/>
          </w:tcPr>
          <w:p>
            <w:pPr>
              <w:spacing w:line="320" w:lineRule="exact"/>
              <w:rPr>
                <w:color w:val="auto"/>
                <w:szCs w:val="21"/>
                <w:highlight w:val="none"/>
              </w:rPr>
            </w:pPr>
            <w:r>
              <w:rPr>
                <w:color w:val="auto"/>
                <w:szCs w:val="21"/>
                <w:highlight w:val="none"/>
              </w:rPr>
              <w:t>注：“-” 表示可不开展土壤环境影响评价工作</w:t>
            </w:r>
          </w:p>
        </w:tc>
      </w:tr>
    </w:tbl>
    <w:p>
      <w:pPr>
        <w:pStyle w:val="26"/>
        <w:spacing w:line="460" w:lineRule="exact"/>
        <w:ind w:left="0" w:leftChars="0" w:right="80" w:rightChars="38"/>
        <w:rPr>
          <w:color w:val="auto"/>
          <w:sz w:val="24"/>
          <w:highlight w:val="none"/>
        </w:rPr>
      </w:pPr>
      <w:r>
        <w:rPr>
          <w:rFonts w:hint="eastAsia"/>
          <w:color w:val="auto"/>
          <w:sz w:val="28"/>
          <w:szCs w:val="28"/>
          <w:highlight w:val="none"/>
        </w:rPr>
        <w:t xml:space="preserve">   </w:t>
      </w:r>
      <w:r>
        <w:rPr>
          <w:rFonts w:hint="eastAsia"/>
          <w:color w:val="auto"/>
          <w:sz w:val="24"/>
          <w:highlight w:val="none"/>
        </w:rPr>
        <w:t>根据生态影响和污染影响评价等级，本项目土壤评价等级为三级。</w:t>
      </w:r>
    </w:p>
    <w:p>
      <w:pPr>
        <w:pStyle w:val="26"/>
        <w:spacing w:line="460" w:lineRule="exact"/>
        <w:ind w:left="0" w:leftChars="0" w:right="1470"/>
        <w:rPr>
          <w:bCs/>
          <w:color w:val="auto"/>
          <w:sz w:val="24"/>
          <w:highlight w:val="none"/>
        </w:rPr>
      </w:pPr>
      <w:r>
        <w:rPr>
          <w:rFonts w:hint="eastAsia" w:ascii="宋体" w:hAnsi="宋体" w:cs="宋体"/>
          <w:color w:val="auto"/>
          <w:szCs w:val="21"/>
          <w:highlight w:val="none"/>
        </w:rPr>
        <w:t xml:space="preserve">    </w:t>
      </w:r>
      <w:r>
        <w:rPr>
          <w:bCs/>
          <w:color w:val="auto"/>
          <w:sz w:val="24"/>
          <w:highlight w:val="none"/>
        </w:rPr>
        <w:t>（</w:t>
      </w:r>
      <w:r>
        <w:rPr>
          <w:rFonts w:hint="eastAsia"/>
          <w:bCs/>
          <w:color w:val="auto"/>
          <w:sz w:val="24"/>
          <w:highlight w:val="none"/>
          <w:lang w:val="en-US" w:eastAsia="zh-CN"/>
        </w:rPr>
        <w:t>4</w:t>
      </w:r>
      <w:r>
        <w:rPr>
          <w:bCs/>
          <w:color w:val="auto"/>
          <w:sz w:val="24"/>
          <w:highlight w:val="none"/>
        </w:rPr>
        <w:t>）调查评价范围</w:t>
      </w:r>
    </w:p>
    <w:p>
      <w:pPr>
        <w:spacing w:line="480" w:lineRule="exact"/>
        <w:ind w:firstLine="480" w:firstLineChars="200"/>
        <w:rPr>
          <w:color w:val="auto"/>
          <w:sz w:val="24"/>
          <w:highlight w:val="none"/>
        </w:rPr>
      </w:pPr>
      <w:r>
        <w:rPr>
          <w:color w:val="auto"/>
          <w:sz w:val="24"/>
          <w:highlight w:val="none"/>
        </w:rPr>
        <w:t>根据《环境影响评价技术导则土壤环境》（HJ964-2018），土壤环境调查评价范围判定依据见表</w:t>
      </w:r>
      <w:r>
        <w:rPr>
          <w:rFonts w:hint="eastAsia"/>
          <w:color w:val="auto"/>
          <w:sz w:val="24"/>
          <w:highlight w:val="none"/>
        </w:rPr>
        <w:t>1.</w:t>
      </w:r>
      <w:r>
        <w:rPr>
          <w:rFonts w:hint="eastAsia"/>
          <w:color w:val="auto"/>
          <w:sz w:val="24"/>
          <w:highlight w:val="none"/>
          <w:lang w:val="en-US" w:eastAsia="zh-CN"/>
        </w:rPr>
        <w:t>5</w:t>
      </w:r>
      <w:r>
        <w:rPr>
          <w:rFonts w:hint="eastAsia"/>
          <w:color w:val="auto"/>
          <w:sz w:val="24"/>
          <w:highlight w:val="none"/>
        </w:rPr>
        <w:t>-8</w:t>
      </w:r>
      <w:r>
        <w:rPr>
          <w:color w:val="auto"/>
          <w:sz w:val="24"/>
          <w:highlight w:val="none"/>
        </w:rPr>
        <w:t>。</w:t>
      </w:r>
    </w:p>
    <w:p>
      <w:pPr>
        <w:spacing w:line="480" w:lineRule="exact"/>
        <w:jc w:val="center"/>
        <w:rPr>
          <w:b/>
          <w:color w:val="auto"/>
          <w:sz w:val="24"/>
          <w:highlight w:val="none"/>
        </w:rPr>
      </w:pPr>
      <w:r>
        <w:rPr>
          <w:b/>
          <w:color w:val="auto"/>
          <w:sz w:val="24"/>
          <w:highlight w:val="none"/>
        </w:rPr>
        <w:t>表</w:t>
      </w:r>
      <w:r>
        <w:rPr>
          <w:rFonts w:hint="eastAsia"/>
          <w:b/>
          <w:color w:val="auto"/>
          <w:sz w:val="24"/>
          <w:highlight w:val="none"/>
        </w:rPr>
        <w:t>1.</w:t>
      </w:r>
      <w:r>
        <w:rPr>
          <w:rFonts w:hint="eastAsia"/>
          <w:b/>
          <w:color w:val="auto"/>
          <w:sz w:val="24"/>
          <w:highlight w:val="none"/>
          <w:lang w:val="en-US" w:eastAsia="zh-CN"/>
        </w:rPr>
        <w:t>5</w:t>
      </w:r>
      <w:r>
        <w:rPr>
          <w:rFonts w:hint="eastAsia"/>
          <w:b/>
          <w:color w:val="auto"/>
          <w:sz w:val="24"/>
          <w:highlight w:val="none"/>
        </w:rPr>
        <w:t>-</w:t>
      </w:r>
      <w:r>
        <w:rPr>
          <w:rFonts w:hint="eastAsia"/>
          <w:b/>
          <w:color w:val="auto"/>
          <w:sz w:val="24"/>
          <w:highlight w:val="none"/>
          <w:lang w:val="en-US" w:eastAsia="zh-CN"/>
        </w:rPr>
        <w:t>8</w:t>
      </w:r>
      <w:r>
        <w:rPr>
          <w:b/>
          <w:color w:val="auto"/>
          <w:sz w:val="24"/>
          <w:highlight w:val="none"/>
        </w:rPr>
        <w:t xml:space="preserve"> 现状调查范围</w:t>
      </w:r>
    </w:p>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4"/>
        <w:gridCol w:w="2124"/>
        <w:gridCol w:w="2124"/>
        <w:gridCol w:w="21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4" w:type="dxa"/>
            <w:vMerge w:val="restart"/>
            <w:vAlign w:val="center"/>
          </w:tcPr>
          <w:p>
            <w:pPr>
              <w:pStyle w:val="137"/>
              <w:spacing w:line="300" w:lineRule="exact"/>
              <w:jc w:val="center"/>
              <w:rPr>
                <w:rFonts w:ascii="Times New Roman" w:cs="Times New Roman"/>
                <w:sz w:val="21"/>
                <w:szCs w:val="21"/>
                <w:highlight w:val="none"/>
              </w:rPr>
            </w:pPr>
            <w:r>
              <w:rPr>
                <w:rFonts w:ascii="Times New Roman" w:cs="Times New Roman"/>
                <w:sz w:val="21"/>
                <w:szCs w:val="21"/>
                <w:highlight w:val="none"/>
              </w:rPr>
              <w:t>评价工作等级</w:t>
            </w:r>
          </w:p>
        </w:tc>
        <w:tc>
          <w:tcPr>
            <w:tcW w:w="2124" w:type="dxa"/>
            <w:vMerge w:val="restart"/>
            <w:vAlign w:val="center"/>
          </w:tcPr>
          <w:p>
            <w:pPr>
              <w:pStyle w:val="137"/>
              <w:spacing w:line="300" w:lineRule="exact"/>
              <w:jc w:val="center"/>
              <w:rPr>
                <w:rFonts w:ascii="Times New Roman" w:cs="Times New Roman"/>
                <w:sz w:val="21"/>
                <w:szCs w:val="21"/>
                <w:highlight w:val="none"/>
              </w:rPr>
            </w:pPr>
            <w:r>
              <w:rPr>
                <w:rFonts w:ascii="Times New Roman" w:cs="Times New Roman"/>
                <w:sz w:val="21"/>
                <w:szCs w:val="21"/>
                <w:highlight w:val="none"/>
              </w:rPr>
              <w:t>影响类型</w:t>
            </w:r>
          </w:p>
        </w:tc>
        <w:tc>
          <w:tcPr>
            <w:tcW w:w="4248" w:type="dxa"/>
            <w:gridSpan w:val="2"/>
            <w:vAlign w:val="center"/>
          </w:tcPr>
          <w:p>
            <w:pPr>
              <w:pStyle w:val="137"/>
              <w:spacing w:line="300" w:lineRule="exact"/>
              <w:jc w:val="center"/>
              <w:rPr>
                <w:rFonts w:ascii="Times New Roman" w:cs="Times New Roman"/>
                <w:sz w:val="21"/>
                <w:szCs w:val="21"/>
                <w:highlight w:val="none"/>
              </w:rPr>
            </w:pPr>
            <w:r>
              <w:rPr>
                <w:rFonts w:ascii="Times New Roman" w:cs="Times New Roman"/>
                <w:sz w:val="21"/>
                <w:szCs w:val="21"/>
                <w:highlight w:val="none"/>
              </w:rPr>
              <w:t>调查范围</w:t>
            </w:r>
            <w:r>
              <w:rPr>
                <w:rFonts w:ascii="Times New Roman" w:cs="Times New Roman"/>
                <w:sz w:val="21"/>
                <w:szCs w:val="21"/>
                <w:highlight w:val="none"/>
                <w:vertAlign w:val="superscript"/>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4" w:type="dxa"/>
            <w:vMerge w:val="continue"/>
            <w:vAlign w:val="center"/>
          </w:tcPr>
          <w:p>
            <w:pPr>
              <w:pStyle w:val="137"/>
              <w:spacing w:line="300" w:lineRule="exact"/>
              <w:jc w:val="center"/>
              <w:rPr>
                <w:rFonts w:ascii="Times New Roman" w:cs="Times New Roman"/>
                <w:sz w:val="21"/>
                <w:szCs w:val="21"/>
                <w:highlight w:val="none"/>
              </w:rPr>
            </w:pPr>
          </w:p>
        </w:tc>
        <w:tc>
          <w:tcPr>
            <w:tcW w:w="2124" w:type="dxa"/>
            <w:vMerge w:val="continue"/>
            <w:vAlign w:val="center"/>
          </w:tcPr>
          <w:p>
            <w:pPr>
              <w:pStyle w:val="137"/>
              <w:spacing w:line="300" w:lineRule="exact"/>
              <w:jc w:val="center"/>
              <w:rPr>
                <w:rFonts w:ascii="Times New Roman" w:cs="Times New Roman"/>
                <w:sz w:val="21"/>
                <w:szCs w:val="21"/>
                <w:highlight w:val="none"/>
              </w:rPr>
            </w:pPr>
          </w:p>
        </w:tc>
        <w:tc>
          <w:tcPr>
            <w:tcW w:w="2124" w:type="dxa"/>
            <w:vAlign w:val="center"/>
          </w:tcPr>
          <w:p>
            <w:pPr>
              <w:pStyle w:val="137"/>
              <w:spacing w:line="300" w:lineRule="exact"/>
              <w:jc w:val="center"/>
              <w:rPr>
                <w:rFonts w:ascii="Times New Roman" w:cs="Times New Roman"/>
                <w:sz w:val="21"/>
                <w:szCs w:val="21"/>
                <w:highlight w:val="none"/>
              </w:rPr>
            </w:pPr>
            <w:r>
              <w:rPr>
                <w:rFonts w:ascii="Times New Roman" w:cs="Times New Roman"/>
                <w:sz w:val="21"/>
                <w:szCs w:val="21"/>
                <w:highlight w:val="none"/>
              </w:rPr>
              <w:t>占地</w:t>
            </w:r>
            <w:r>
              <w:rPr>
                <w:rFonts w:ascii="Times New Roman" w:cs="Times New Roman"/>
                <w:sz w:val="21"/>
                <w:szCs w:val="21"/>
                <w:highlight w:val="none"/>
                <w:vertAlign w:val="superscript"/>
              </w:rPr>
              <w:t>b</w:t>
            </w:r>
            <w:r>
              <w:rPr>
                <w:rFonts w:ascii="Times New Roman" w:cs="Times New Roman"/>
                <w:sz w:val="21"/>
                <w:szCs w:val="21"/>
                <w:highlight w:val="none"/>
              </w:rPr>
              <w:t>范围内</w:t>
            </w:r>
          </w:p>
        </w:tc>
        <w:tc>
          <w:tcPr>
            <w:tcW w:w="2124" w:type="dxa"/>
            <w:vAlign w:val="center"/>
          </w:tcPr>
          <w:p>
            <w:pPr>
              <w:pStyle w:val="137"/>
              <w:spacing w:line="300" w:lineRule="exact"/>
              <w:jc w:val="center"/>
              <w:rPr>
                <w:rFonts w:ascii="Times New Roman" w:cs="Times New Roman"/>
                <w:sz w:val="21"/>
                <w:szCs w:val="21"/>
                <w:highlight w:val="none"/>
              </w:rPr>
            </w:pPr>
            <w:r>
              <w:rPr>
                <w:rFonts w:ascii="Times New Roman" w:cs="Times New Roman"/>
                <w:sz w:val="21"/>
                <w:szCs w:val="21"/>
                <w:highlight w:val="none"/>
              </w:rPr>
              <w:t>占地范围外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4" w:type="dxa"/>
            <w:vMerge w:val="restart"/>
            <w:vAlign w:val="center"/>
          </w:tcPr>
          <w:p>
            <w:pPr>
              <w:pStyle w:val="137"/>
              <w:spacing w:line="300" w:lineRule="exact"/>
              <w:jc w:val="center"/>
              <w:rPr>
                <w:rFonts w:ascii="Times New Roman" w:cs="Times New Roman"/>
                <w:sz w:val="21"/>
                <w:szCs w:val="21"/>
                <w:highlight w:val="none"/>
              </w:rPr>
            </w:pPr>
            <w:r>
              <w:rPr>
                <w:rFonts w:ascii="Times New Roman" w:cs="Times New Roman"/>
                <w:sz w:val="21"/>
                <w:szCs w:val="21"/>
                <w:highlight w:val="none"/>
              </w:rPr>
              <w:t>一级</w:t>
            </w:r>
          </w:p>
        </w:tc>
        <w:tc>
          <w:tcPr>
            <w:tcW w:w="2124" w:type="dxa"/>
            <w:vAlign w:val="center"/>
          </w:tcPr>
          <w:p>
            <w:pPr>
              <w:pStyle w:val="137"/>
              <w:spacing w:line="300" w:lineRule="exact"/>
              <w:jc w:val="center"/>
              <w:rPr>
                <w:rFonts w:ascii="Times New Roman" w:cs="Times New Roman"/>
                <w:sz w:val="21"/>
                <w:szCs w:val="21"/>
                <w:highlight w:val="none"/>
              </w:rPr>
            </w:pPr>
            <w:r>
              <w:rPr>
                <w:rFonts w:ascii="Times New Roman" w:cs="Times New Roman"/>
                <w:sz w:val="21"/>
                <w:szCs w:val="21"/>
                <w:highlight w:val="none"/>
              </w:rPr>
              <w:t>生态影响型</w:t>
            </w:r>
          </w:p>
        </w:tc>
        <w:tc>
          <w:tcPr>
            <w:tcW w:w="2124" w:type="dxa"/>
            <w:vMerge w:val="restart"/>
            <w:vAlign w:val="center"/>
          </w:tcPr>
          <w:p>
            <w:pPr>
              <w:pStyle w:val="137"/>
              <w:spacing w:line="300" w:lineRule="exact"/>
              <w:jc w:val="center"/>
              <w:rPr>
                <w:rFonts w:ascii="Times New Roman" w:cs="Times New Roman"/>
                <w:sz w:val="21"/>
                <w:szCs w:val="21"/>
                <w:highlight w:val="none"/>
              </w:rPr>
            </w:pPr>
            <w:r>
              <w:rPr>
                <w:rFonts w:ascii="Times New Roman" w:cs="Times New Roman"/>
                <w:sz w:val="21"/>
                <w:szCs w:val="21"/>
                <w:highlight w:val="none"/>
              </w:rPr>
              <w:t>全部</w:t>
            </w:r>
          </w:p>
        </w:tc>
        <w:tc>
          <w:tcPr>
            <w:tcW w:w="2124" w:type="dxa"/>
            <w:vAlign w:val="center"/>
          </w:tcPr>
          <w:p>
            <w:pPr>
              <w:pStyle w:val="137"/>
              <w:spacing w:line="300" w:lineRule="exact"/>
              <w:jc w:val="center"/>
              <w:rPr>
                <w:rFonts w:ascii="Times New Roman" w:cs="Times New Roman"/>
                <w:sz w:val="21"/>
                <w:szCs w:val="21"/>
                <w:highlight w:val="none"/>
              </w:rPr>
            </w:pPr>
            <w:r>
              <w:rPr>
                <w:rFonts w:ascii="Times New Roman" w:cs="Times New Roman"/>
                <w:sz w:val="21"/>
                <w:szCs w:val="21"/>
                <w:highlight w:val="none"/>
              </w:rPr>
              <w:t>5km范围内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4" w:type="dxa"/>
            <w:vMerge w:val="continue"/>
            <w:vAlign w:val="center"/>
          </w:tcPr>
          <w:p>
            <w:pPr>
              <w:pStyle w:val="137"/>
              <w:spacing w:line="300" w:lineRule="exact"/>
              <w:jc w:val="center"/>
              <w:rPr>
                <w:rFonts w:ascii="Times New Roman" w:cs="Times New Roman"/>
                <w:sz w:val="21"/>
                <w:szCs w:val="21"/>
                <w:highlight w:val="none"/>
              </w:rPr>
            </w:pPr>
          </w:p>
        </w:tc>
        <w:tc>
          <w:tcPr>
            <w:tcW w:w="2124" w:type="dxa"/>
            <w:vAlign w:val="center"/>
          </w:tcPr>
          <w:p>
            <w:pPr>
              <w:pStyle w:val="137"/>
              <w:spacing w:line="300" w:lineRule="exact"/>
              <w:jc w:val="center"/>
              <w:rPr>
                <w:rFonts w:ascii="Times New Roman" w:cs="Times New Roman"/>
                <w:sz w:val="21"/>
                <w:szCs w:val="21"/>
                <w:highlight w:val="none"/>
              </w:rPr>
            </w:pPr>
            <w:r>
              <w:rPr>
                <w:rFonts w:ascii="Times New Roman" w:cs="Times New Roman"/>
                <w:sz w:val="21"/>
                <w:szCs w:val="21"/>
                <w:highlight w:val="none"/>
              </w:rPr>
              <w:t>污染影响型</w:t>
            </w:r>
          </w:p>
        </w:tc>
        <w:tc>
          <w:tcPr>
            <w:tcW w:w="2124" w:type="dxa"/>
            <w:vMerge w:val="continue"/>
            <w:vAlign w:val="center"/>
          </w:tcPr>
          <w:p>
            <w:pPr>
              <w:pStyle w:val="137"/>
              <w:spacing w:line="300" w:lineRule="exact"/>
              <w:jc w:val="center"/>
              <w:rPr>
                <w:rFonts w:ascii="Times New Roman" w:cs="Times New Roman"/>
                <w:sz w:val="21"/>
                <w:szCs w:val="21"/>
                <w:highlight w:val="none"/>
              </w:rPr>
            </w:pPr>
          </w:p>
        </w:tc>
        <w:tc>
          <w:tcPr>
            <w:tcW w:w="2124" w:type="dxa"/>
            <w:vAlign w:val="center"/>
          </w:tcPr>
          <w:p>
            <w:pPr>
              <w:pStyle w:val="137"/>
              <w:spacing w:line="300" w:lineRule="exact"/>
              <w:jc w:val="center"/>
              <w:rPr>
                <w:rFonts w:ascii="Times New Roman" w:cs="Times New Roman"/>
                <w:sz w:val="21"/>
                <w:szCs w:val="21"/>
                <w:highlight w:val="none"/>
              </w:rPr>
            </w:pPr>
            <w:r>
              <w:rPr>
                <w:rFonts w:ascii="Times New Roman" w:cs="Times New Roman"/>
                <w:sz w:val="21"/>
                <w:szCs w:val="21"/>
                <w:highlight w:val="none"/>
              </w:rPr>
              <w:t>1km范围内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4" w:type="dxa"/>
            <w:vMerge w:val="restart"/>
            <w:vAlign w:val="center"/>
          </w:tcPr>
          <w:p>
            <w:pPr>
              <w:pStyle w:val="137"/>
              <w:spacing w:line="300" w:lineRule="exact"/>
              <w:jc w:val="center"/>
              <w:rPr>
                <w:rFonts w:ascii="Times New Roman" w:cs="Times New Roman"/>
                <w:sz w:val="21"/>
                <w:szCs w:val="21"/>
                <w:highlight w:val="none"/>
              </w:rPr>
            </w:pPr>
            <w:r>
              <w:rPr>
                <w:rFonts w:ascii="Times New Roman" w:cs="Times New Roman"/>
                <w:sz w:val="21"/>
                <w:szCs w:val="21"/>
                <w:highlight w:val="none"/>
              </w:rPr>
              <w:t>二级</w:t>
            </w:r>
          </w:p>
        </w:tc>
        <w:tc>
          <w:tcPr>
            <w:tcW w:w="2124" w:type="dxa"/>
            <w:vAlign w:val="center"/>
          </w:tcPr>
          <w:p>
            <w:pPr>
              <w:pStyle w:val="137"/>
              <w:spacing w:line="300" w:lineRule="exact"/>
              <w:jc w:val="center"/>
              <w:rPr>
                <w:rFonts w:ascii="Times New Roman" w:cs="Times New Roman"/>
                <w:sz w:val="21"/>
                <w:szCs w:val="21"/>
                <w:highlight w:val="none"/>
              </w:rPr>
            </w:pPr>
            <w:r>
              <w:rPr>
                <w:rFonts w:ascii="Times New Roman" w:cs="Times New Roman"/>
                <w:sz w:val="21"/>
                <w:szCs w:val="21"/>
                <w:highlight w:val="none"/>
              </w:rPr>
              <w:t>生态影响型</w:t>
            </w:r>
          </w:p>
        </w:tc>
        <w:tc>
          <w:tcPr>
            <w:tcW w:w="2124" w:type="dxa"/>
            <w:vMerge w:val="continue"/>
            <w:vAlign w:val="center"/>
          </w:tcPr>
          <w:p>
            <w:pPr>
              <w:pStyle w:val="137"/>
              <w:spacing w:line="300" w:lineRule="exact"/>
              <w:jc w:val="center"/>
              <w:rPr>
                <w:rFonts w:ascii="Times New Roman" w:cs="Times New Roman"/>
                <w:sz w:val="21"/>
                <w:szCs w:val="21"/>
                <w:highlight w:val="none"/>
              </w:rPr>
            </w:pPr>
          </w:p>
        </w:tc>
        <w:tc>
          <w:tcPr>
            <w:tcW w:w="2124" w:type="dxa"/>
            <w:vAlign w:val="center"/>
          </w:tcPr>
          <w:p>
            <w:pPr>
              <w:pStyle w:val="137"/>
              <w:spacing w:line="300" w:lineRule="exact"/>
              <w:jc w:val="center"/>
              <w:rPr>
                <w:rFonts w:ascii="Times New Roman" w:cs="Times New Roman"/>
                <w:sz w:val="21"/>
                <w:szCs w:val="21"/>
                <w:highlight w:val="none"/>
              </w:rPr>
            </w:pPr>
            <w:r>
              <w:rPr>
                <w:rFonts w:ascii="Times New Roman" w:cs="Times New Roman"/>
                <w:sz w:val="21"/>
                <w:szCs w:val="21"/>
                <w:highlight w:val="none"/>
              </w:rPr>
              <w:t>2km范围内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4" w:type="dxa"/>
            <w:vMerge w:val="continue"/>
            <w:vAlign w:val="center"/>
          </w:tcPr>
          <w:p>
            <w:pPr>
              <w:pStyle w:val="137"/>
              <w:spacing w:line="300" w:lineRule="exact"/>
              <w:jc w:val="center"/>
              <w:rPr>
                <w:rFonts w:ascii="Times New Roman" w:cs="Times New Roman"/>
                <w:sz w:val="21"/>
                <w:szCs w:val="21"/>
                <w:highlight w:val="none"/>
              </w:rPr>
            </w:pPr>
          </w:p>
        </w:tc>
        <w:tc>
          <w:tcPr>
            <w:tcW w:w="2124" w:type="dxa"/>
            <w:vAlign w:val="center"/>
          </w:tcPr>
          <w:p>
            <w:pPr>
              <w:pStyle w:val="137"/>
              <w:spacing w:line="300" w:lineRule="exact"/>
              <w:jc w:val="center"/>
              <w:rPr>
                <w:rFonts w:ascii="Times New Roman" w:cs="Times New Roman"/>
                <w:color w:val="auto"/>
                <w:sz w:val="21"/>
                <w:szCs w:val="21"/>
                <w:highlight w:val="none"/>
              </w:rPr>
            </w:pPr>
            <w:r>
              <w:rPr>
                <w:rFonts w:ascii="Times New Roman" w:cs="Times New Roman"/>
                <w:color w:val="auto"/>
                <w:sz w:val="21"/>
                <w:szCs w:val="21"/>
                <w:highlight w:val="none"/>
              </w:rPr>
              <w:t>污染影响型</w:t>
            </w:r>
          </w:p>
        </w:tc>
        <w:tc>
          <w:tcPr>
            <w:tcW w:w="2124" w:type="dxa"/>
            <w:vMerge w:val="continue"/>
            <w:vAlign w:val="center"/>
          </w:tcPr>
          <w:p>
            <w:pPr>
              <w:pStyle w:val="137"/>
              <w:spacing w:line="300" w:lineRule="exact"/>
              <w:jc w:val="center"/>
              <w:rPr>
                <w:rFonts w:ascii="Times New Roman" w:cs="Times New Roman"/>
                <w:sz w:val="21"/>
                <w:szCs w:val="21"/>
                <w:highlight w:val="none"/>
              </w:rPr>
            </w:pPr>
          </w:p>
        </w:tc>
        <w:tc>
          <w:tcPr>
            <w:tcW w:w="2124" w:type="dxa"/>
            <w:vAlign w:val="center"/>
          </w:tcPr>
          <w:p>
            <w:pPr>
              <w:pStyle w:val="137"/>
              <w:spacing w:line="300" w:lineRule="exact"/>
              <w:jc w:val="center"/>
              <w:rPr>
                <w:rFonts w:ascii="Times New Roman" w:cs="Times New Roman"/>
                <w:sz w:val="21"/>
                <w:szCs w:val="21"/>
                <w:highlight w:val="none"/>
              </w:rPr>
            </w:pPr>
            <w:r>
              <w:rPr>
                <w:rFonts w:ascii="Times New Roman" w:cs="Times New Roman"/>
                <w:sz w:val="21"/>
                <w:szCs w:val="21"/>
                <w:highlight w:val="none"/>
              </w:rPr>
              <w:t>0.2km范围内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4" w:type="dxa"/>
            <w:vMerge w:val="restart"/>
            <w:vAlign w:val="center"/>
          </w:tcPr>
          <w:p>
            <w:pPr>
              <w:pStyle w:val="137"/>
              <w:spacing w:line="300" w:lineRule="exact"/>
              <w:jc w:val="center"/>
              <w:rPr>
                <w:rFonts w:ascii="Times New Roman" w:cs="Times New Roman"/>
                <w:sz w:val="21"/>
                <w:szCs w:val="21"/>
                <w:highlight w:val="none"/>
              </w:rPr>
            </w:pPr>
            <w:r>
              <w:rPr>
                <w:rFonts w:ascii="Times New Roman" w:cs="Times New Roman"/>
                <w:sz w:val="21"/>
                <w:szCs w:val="21"/>
                <w:highlight w:val="none"/>
              </w:rPr>
              <w:t>三级</w:t>
            </w:r>
          </w:p>
        </w:tc>
        <w:tc>
          <w:tcPr>
            <w:tcW w:w="2124" w:type="dxa"/>
            <w:vAlign w:val="center"/>
          </w:tcPr>
          <w:p>
            <w:pPr>
              <w:pStyle w:val="137"/>
              <w:spacing w:line="300" w:lineRule="exact"/>
              <w:jc w:val="center"/>
              <w:rPr>
                <w:rFonts w:ascii="Times New Roman" w:cs="Times New Roman"/>
                <w:b/>
                <w:color w:val="auto"/>
                <w:sz w:val="21"/>
                <w:szCs w:val="21"/>
                <w:highlight w:val="none"/>
              </w:rPr>
            </w:pPr>
            <w:r>
              <w:rPr>
                <w:rFonts w:ascii="Times New Roman" w:cs="Times New Roman"/>
                <w:b/>
                <w:color w:val="auto"/>
                <w:sz w:val="21"/>
                <w:szCs w:val="21"/>
                <w:highlight w:val="none"/>
              </w:rPr>
              <w:t>生态影响型</w:t>
            </w:r>
          </w:p>
        </w:tc>
        <w:tc>
          <w:tcPr>
            <w:tcW w:w="2124" w:type="dxa"/>
            <w:vMerge w:val="continue"/>
            <w:vAlign w:val="center"/>
          </w:tcPr>
          <w:p>
            <w:pPr>
              <w:pStyle w:val="137"/>
              <w:spacing w:line="300" w:lineRule="exact"/>
              <w:jc w:val="center"/>
              <w:rPr>
                <w:rFonts w:ascii="Times New Roman" w:cs="Times New Roman"/>
                <w:sz w:val="21"/>
                <w:szCs w:val="21"/>
                <w:highlight w:val="none"/>
              </w:rPr>
            </w:pPr>
          </w:p>
        </w:tc>
        <w:tc>
          <w:tcPr>
            <w:tcW w:w="2124" w:type="dxa"/>
            <w:vAlign w:val="center"/>
          </w:tcPr>
          <w:p>
            <w:pPr>
              <w:pStyle w:val="137"/>
              <w:spacing w:line="300" w:lineRule="exact"/>
              <w:jc w:val="center"/>
              <w:rPr>
                <w:rFonts w:ascii="Times New Roman" w:cs="Times New Roman"/>
                <w:b/>
                <w:sz w:val="21"/>
                <w:szCs w:val="21"/>
                <w:highlight w:val="none"/>
              </w:rPr>
            </w:pPr>
            <w:r>
              <w:rPr>
                <w:rFonts w:ascii="Times New Roman" w:cs="Times New Roman"/>
                <w:b/>
                <w:sz w:val="21"/>
                <w:szCs w:val="21"/>
                <w:highlight w:val="none"/>
              </w:rPr>
              <w:t>1km范围内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4" w:type="dxa"/>
            <w:vMerge w:val="continue"/>
            <w:vAlign w:val="center"/>
          </w:tcPr>
          <w:p>
            <w:pPr>
              <w:pStyle w:val="137"/>
              <w:spacing w:line="300" w:lineRule="exact"/>
              <w:jc w:val="center"/>
              <w:rPr>
                <w:rFonts w:ascii="Times New Roman" w:cs="Times New Roman"/>
                <w:sz w:val="21"/>
                <w:szCs w:val="21"/>
                <w:highlight w:val="none"/>
              </w:rPr>
            </w:pPr>
          </w:p>
        </w:tc>
        <w:tc>
          <w:tcPr>
            <w:tcW w:w="2124" w:type="dxa"/>
            <w:vAlign w:val="center"/>
          </w:tcPr>
          <w:p>
            <w:pPr>
              <w:pStyle w:val="137"/>
              <w:spacing w:line="300" w:lineRule="exact"/>
              <w:jc w:val="center"/>
              <w:rPr>
                <w:rFonts w:ascii="Times New Roman" w:cs="Times New Roman"/>
                <w:b/>
                <w:sz w:val="21"/>
                <w:szCs w:val="21"/>
                <w:highlight w:val="none"/>
              </w:rPr>
            </w:pPr>
            <w:r>
              <w:rPr>
                <w:rFonts w:ascii="Times New Roman" w:cs="Times New Roman"/>
                <w:b/>
                <w:sz w:val="21"/>
                <w:szCs w:val="21"/>
                <w:highlight w:val="none"/>
              </w:rPr>
              <w:t>污染影响型</w:t>
            </w:r>
          </w:p>
        </w:tc>
        <w:tc>
          <w:tcPr>
            <w:tcW w:w="2124" w:type="dxa"/>
            <w:vMerge w:val="continue"/>
            <w:vAlign w:val="center"/>
          </w:tcPr>
          <w:p>
            <w:pPr>
              <w:pStyle w:val="137"/>
              <w:spacing w:line="300" w:lineRule="exact"/>
              <w:jc w:val="center"/>
              <w:rPr>
                <w:rFonts w:ascii="Times New Roman" w:cs="Times New Roman"/>
                <w:b/>
                <w:sz w:val="21"/>
                <w:szCs w:val="21"/>
                <w:highlight w:val="none"/>
              </w:rPr>
            </w:pPr>
          </w:p>
        </w:tc>
        <w:tc>
          <w:tcPr>
            <w:tcW w:w="2124" w:type="dxa"/>
            <w:vAlign w:val="center"/>
          </w:tcPr>
          <w:p>
            <w:pPr>
              <w:pStyle w:val="137"/>
              <w:spacing w:line="300" w:lineRule="exact"/>
              <w:jc w:val="center"/>
              <w:rPr>
                <w:rFonts w:ascii="Times New Roman" w:cs="Times New Roman"/>
                <w:b/>
                <w:sz w:val="21"/>
                <w:szCs w:val="21"/>
                <w:highlight w:val="none"/>
              </w:rPr>
            </w:pPr>
            <w:r>
              <w:rPr>
                <w:rFonts w:ascii="Times New Roman" w:cs="Times New Roman"/>
                <w:b/>
                <w:sz w:val="21"/>
                <w:szCs w:val="21"/>
                <w:highlight w:val="none"/>
              </w:rPr>
              <w:t>0.05km范围内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96" w:type="dxa"/>
            <w:gridSpan w:val="4"/>
            <w:vAlign w:val="center"/>
          </w:tcPr>
          <w:p>
            <w:pPr>
              <w:pStyle w:val="137"/>
              <w:spacing w:line="300" w:lineRule="exact"/>
              <w:rPr>
                <w:rFonts w:ascii="Times New Roman" w:cs="Times New Roman"/>
                <w:sz w:val="21"/>
                <w:szCs w:val="21"/>
                <w:highlight w:val="none"/>
              </w:rPr>
            </w:pPr>
            <w:r>
              <w:rPr>
                <w:rFonts w:ascii="Times New Roman" w:cs="Times New Roman"/>
                <w:sz w:val="21"/>
                <w:szCs w:val="21"/>
                <w:highlight w:val="none"/>
              </w:rPr>
              <w:t>a、涉及大气沉降途径影响的，可根据主导风向的最大落地浓度点适当调整。</w:t>
            </w:r>
          </w:p>
          <w:p>
            <w:pPr>
              <w:pStyle w:val="137"/>
              <w:spacing w:line="300" w:lineRule="exact"/>
              <w:rPr>
                <w:rFonts w:ascii="Times New Roman" w:cs="Times New Roman"/>
                <w:sz w:val="21"/>
                <w:szCs w:val="21"/>
                <w:highlight w:val="none"/>
              </w:rPr>
            </w:pPr>
            <w:r>
              <w:rPr>
                <w:rFonts w:ascii="Times New Roman" w:cs="Times New Roman"/>
                <w:sz w:val="21"/>
                <w:szCs w:val="21"/>
                <w:highlight w:val="none"/>
              </w:rPr>
              <w:t>b、矿山类项目指开采与各场地的占地；改、扩建类的指现有工程与拟建过程的占地。</w:t>
            </w:r>
          </w:p>
        </w:tc>
      </w:tr>
    </w:tbl>
    <w:p>
      <w:pPr>
        <w:pStyle w:val="137"/>
        <w:spacing w:line="480" w:lineRule="exact"/>
        <w:ind w:firstLine="480" w:firstLineChars="200"/>
        <w:rPr>
          <w:rFonts w:ascii="Times New Roman" w:cs="Times New Roman"/>
          <w:color w:val="auto"/>
          <w:highlight w:val="none"/>
        </w:rPr>
      </w:pPr>
      <w:r>
        <w:rPr>
          <w:rFonts w:ascii="Times New Roman" w:cs="Times New Roman"/>
          <w:highlight w:val="none"/>
        </w:rPr>
        <w:t>参照“导则8.2预测评价范围一般与现状调查范围一致”的原则，项目生态影响型</w:t>
      </w:r>
      <w:r>
        <w:rPr>
          <w:rFonts w:hint="eastAsia" w:ascii="Times New Roman" w:cs="Times New Roman"/>
          <w:color w:val="auto"/>
          <w:highlight w:val="none"/>
        </w:rPr>
        <w:t>与污染影响</w:t>
      </w:r>
      <w:r>
        <w:rPr>
          <w:rFonts w:ascii="Times New Roman" w:cs="Times New Roman"/>
          <w:color w:val="auto"/>
          <w:highlight w:val="none"/>
        </w:rPr>
        <w:t>评价等级为三级</w:t>
      </w:r>
      <w:r>
        <w:rPr>
          <w:rFonts w:hint="eastAsia" w:ascii="Times New Roman" w:cs="Times New Roman"/>
          <w:color w:val="auto"/>
          <w:highlight w:val="none"/>
        </w:rPr>
        <w:t>。</w:t>
      </w:r>
    </w:p>
    <w:p>
      <w:pPr>
        <w:pStyle w:val="137"/>
        <w:spacing w:line="480" w:lineRule="exact"/>
        <w:ind w:firstLine="480" w:firstLineChars="200"/>
        <w:rPr>
          <w:rFonts w:ascii="Times New Roman" w:cs="Times New Roman"/>
          <w:color w:val="auto"/>
          <w:highlight w:val="none"/>
        </w:rPr>
      </w:pPr>
      <w:r>
        <w:rPr>
          <w:rFonts w:hint="eastAsia" w:ascii="Times New Roman" w:cs="Times New Roman"/>
          <w:color w:val="auto"/>
          <w:highlight w:val="none"/>
        </w:rPr>
        <w:t>（7）调查与</w:t>
      </w:r>
      <w:r>
        <w:rPr>
          <w:rFonts w:ascii="Times New Roman" w:cs="Times New Roman"/>
          <w:color w:val="auto"/>
          <w:highlight w:val="none"/>
        </w:rPr>
        <w:t>评价范围</w:t>
      </w:r>
    </w:p>
    <w:p>
      <w:pPr>
        <w:pStyle w:val="137"/>
        <w:spacing w:line="480" w:lineRule="exact"/>
        <w:ind w:firstLine="480" w:firstLineChars="200"/>
        <w:rPr>
          <w:rFonts w:ascii="Times New Roman" w:cs="Times New Roman"/>
          <w:color w:val="auto"/>
          <w:highlight w:val="none"/>
        </w:rPr>
      </w:pPr>
      <w:r>
        <w:rPr>
          <w:rFonts w:hint="eastAsia" w:ascii="Times New Roman" w:cs="Times New Roman"/>
          <w:color w:val="auto"/>
          <w:highlight w:val="none"/>
        </w:rPr>
        <w:t>生态影响评价范围为</w:t>
      </w:r>
      <w:r>
        <w:rPr>
          <w:rFonts w:ascii="Times New Roman" w:cs="Times New Roman"/>
          <w:color w:val="auto"/>
          <w:highlight w:val="none"/>
        </w:rPr>
        <w:t>占地范围及周边1km范围内</w:t>
      </w:r>
      <w:r>
        <w:rPr>
          <w:rFonts w:hint="eastAsia" w:ascii="Times New Roman" w:cs="Times New Roman"/>
          <w:color w:val="auto"/>
          <w:highlight w:val="none"/>
        </w:rPr>
        <w:t>；污染影响评价范围为</w:t>
      </w:r>
      <w:r>
        <w:rPr>
          <w:rFonts w:ascii="Times New Roman" w:cs="Times New Roman"/>
          <w:color w:val="auto"/>
          <w:highlight w:val="none"/>
        </w:rPr>
        <w:t>占地范围及周边</w:t>
      </w:r>
      <w:r>
        <w:rPr>
          <w:rFonts w:hint="eastAsia" w:ascii="Times New Roman" w:cs="Times New Roman"/>
          <w:color w:val="auto"/>
          <w:highlight w:val="none"/>
        </w:rPr>
        <w:t>0.05</w:t>
      </w:r>
      <w:r>
        <w:rPr>
          <w:rFonts w:ascii="Times New Roman" w:cs="Times New Roman"/>
          <w:color w:val="auto"/>
          <w:highlight w:val="none"/>
        </w:rPr>
        <w:t>km范围内。</w:t>
      </w:r>
    </w:p>
    <w:p>
      <w:pPr>
        <w:tabs>
          <w:tab w:val="left" w:pos="1170"/>
        </w:tabs>
        <w:spacing w:line="480" w:lineRule="exact"/>
        <w:outlineLvl w:val="2"/>
        <w:rPr>
          <w:b/>
          <w:color w:val="auto"/>
          <w:sz w:val="24"/>
          <w:highlight w:val="none"/>
        </w:rPr>
      </w:pPr>
      <w:r>
        <w:rPr>
          <w:rFonts w:hint="eastAsia"/>
          <w:b/>
          <w:color w:val="auto"/>
          <w:sz w:val="24"/>
          <w:highlight w:val="none"/>
        </w:rPr>
        <w:t>1.</w:t>
      </w:r>
      <w:r>
        <w:rPr>
          <w:rFonts w:hint="eastAsia"/>
          <w:b/>
          <w:color w:val="auto"/>
          <w:sz w:val="24"/>
          <w:highlight w:val="none"/>
          <w:lang w:val="en-US" w:eastAsia="zh-CN"/>
        </w:rPr>
        <w:t>5</w:t>
      </w:r>
      <w:r>
        <w:rPr>
          <w:b/>
          <w:color w:val="auto"/>
          <w:sz w:val="24"/>
          <w:highlight w:val="none"/>
        </w:rPr>
        <w:t>.6生态影响</w:t>
      </w:r>
    </w:p>
    <w:p>
      <w:pPr>
        <w:spacing w:line="480" w:lineRule="exact"/>
        <w:ind w:firstLine="480" w:firstLineChars="200"/>
        <w:rPr>
          <w:color w:val="auto"/>
          <w:sz w:val="24"/>
          <w:highlight w:val="none"/>
        </w:rPr>
      </w:pPr>
      <w:r>
        <w:rPr>
          <w:color w:val="auto"/>
          <w:sz w:val="24"/>
          <w:highlight w:val="none"/>
        </w:rPr>
        <w:t>项目</w:t>
      </w:r>
      <w:r>
        <w:rPr>
          <w:snapToGrid w:val="0"/>
          <w:color w:val="auto"/>
          <w:kern w:val="0"/>
          <w:sz w:val="24"/>
          <w:highlight w:val="none"/>
        </w:rPr>
        <w:t>位于</w:t>
      </w:r>
      <w:r>
        <w:rPr>
          <w:rFonts w:hint="eastAsia"/>
          <w:snapToGrid w:val="0"/>
          <w:color w:val="auto"/>
          <w:kern w:val="0"/>
          <w:sz w:val="24"/>
          <w:highlight w:val="none"/>
        </w:rPr>
        <w:t>遵化市建明镇西铺村西南1200m，</w:t>
      </w:r>
      <w:r>
        <w:rPr>
          <w:rFonts w:hint="eastAsia"/>
          <w:snapToGrid w:val="0"/>
          <w:color w:val="auto"/>
          <w:kern w:val="0"/>
          <w:sz w:val="24"/>
          <w:highlight w:val="none"/>
          <w:lang w:eastAsia="zh-CN"/>
        </w:rPr>
        <w:t>电站</w:t>
      </w:r>
      <w:r>
        <w:rPr>
          <w:color w:val="auto"/>
          <w:sz w:val="24"/>
          <w:highlight w:val="none"/>
        </w:rPr>
        <w:t>占地</w:t>
      </w:r>
      <w:r>
        <w:rPr>
          <w:rFonts w:hint="eastAsia"/>
          <w:color w:val="auto"/>
          <w:sz w:val="24"/>
          <w:highlight w:val="none"/>
        </w:rPr>
        <w:t>22786</w:t>
      </w:r>
      <w:r>
        <w:rPr>
          <w:color w:val="auto"/>
          <w:sz w:val="24"/>
          <w:highlight w:val="none"/>
        </w:rPr>
        <w:t>m</w:t>
      </w:r>
      <w:r>
        <w:rPr>
          <w:color w:val="auto"/>
          <w:sz w:val="24"/>
          <w:highlight w:val="none"/>
          <w:vertAlign w:val="superscript"/>
        </w:rPr>
        <w:t>2</w:t>
      </w:r>
      <w:r>
        <w:rPr>
          <w:rFonts w:hint="eastAsia"/>
          <w:color w:val="auto"/>
          <w:sz w:val="24"/>
          <w:highlight w:val="none"/>
          <w:lang w:eastAsia="zh-CN"/>
        </w:rPr>
        <w:t>，其中电站</w:t>
      </w:r>
      <w:r>
        <w:rPr>
          <w:rFonts w:hint="eastAsia"/>
          <w:color w:val="auto"/>
          <w:sz w:val="24"/>
          <w:highlight w:val="none"/>
        </w:rPr>
        <w:t>拦水橡胶坝位于黎河河道内，根据</w:t>
      </w:r>
      <w:r>
        <w:rPr>
          <w:color w:val="auto"/>
          <w:sz w:val="24"/>
          <w:highlight w:val="none"/>
        </w:rPr>
        <w:t>《环境影响评价技术导则－生态影响》（HJ19-2022）中</w:t>
      </w:r>
      <w:r>
        <w:rPr>
          <w:rFonts w:hint="eastAsia"/>
          <w:color w:val="auto"/>
          <w:sz w:val="24"/>
          <w:highlight w:val="none"/>
        </w:rPr>
        <w:t>6</w:t>
      </w:r>
      <w:r>
        <w:rPr>
          <w:color w:val="auto"/>
          <w:sz w:val="24"/>
          <w:highlight w:val="none"/>
        </w:rPr>
        <w:t>.1.2中c）涉及生态红线时，评级等级不低于二级；</w:t>
      </w:r>
    </w:p>
    <w:p>
      <w:pPr>
        <w:spacing w:line="480" w:lineRule="exact"/>
        <w:ind w:firstLine="480" w:firstLineChars="200"/>
        <w:rPr>
          <w:color w:val="auto"/>
          <w:sz w:val="24"/>
          <w:highlight w:val="none"/>
        </w:rPr>
      </w:pPr>
      <w:r>
        <w:rPr>
          <w:rFonts w:hint="eastAsia"/>
          <w:color w:val="auto"/>
          <w:sz w:val="24"/>
          <w:highlight w:val="none"/>
        </w:rPr>
        <w:t>同时，根据导则中 4.2.3 在矿山开采可能导致矿区土地利用类型明显改变，或拦河闸坝建设可能明显改变水文情势等情况下，评价工作等级应上调一级，但是本项目</w:t>
      </w:r>
      <w:r>
        <w:rPr>
          <w:color w:val="auto"/>
          <w:sz w:val="24"/>
          <w:highlight w:val="none"/>
        </w:rPr>
        <w:t>橡胶坝</w:t>
      </w:r>
      <w:r>
        <w:rPr>
          <w:rFonts w:hint="eastAsia"/>
          <w:color w:val="auto"/>
          <w:sz w:val="24"/>
          <w:highlight w:val="none"/>
          <w:lang w:eastAsia="zh-CN"/>
        </w:rPr>
        <w:t>仅仅在“引滦入津工程”输水期使用，且</w:t>
      </w:r>
      <w:r>
        <w:rPr>
          <w:color w:val="auto"/>
          <w:sz w:val="24"/>
          <w:highlight w:val="none"/>
        </w:rPr>
        <w:t>设有下泄流量，</w:t>
      </w:r>
      <w:r>
        <w:rPr>
          <w:rFonts w:hint="eastAsia"/>
          <w:color w:val="auto"/>
          <w:sz w:val="24"/>
          <w:highlight w:val="none"/>
          <w:lang w:eastAsia="zh-CN"/>
        </w:rPr>
        <w:t>对黎河</w:t>
      </w:r>
      <w:r>
        <w:rPr>
          <w:rFonts w:hint="eastAsia"/>
          <w:color w:val="auto"/>
          <w:sz w:val="24"/>
          <w:highlight w:val="none"/>
        </w:rPr>
        <w:t>水文情势改变不明显，因此评价等级不上调，确定为</w:t>
      </w:r>
      <w:r>
        <w:rPr>
          <w:rFonts w:hint="eastAsia"/>
          <w:color w:val="auto"/>
          <w:sz w:val="24"/>
          <w:highlight w:val="none"/>
          <w:lang w:eastAsia="zh-CN"/>
        </w:rPr>
        <w:t>二</w:t>
      </w:r>
      <w:r>
        <w:rPr>
          <w:rFonts w:hint="eastAsia"/>
          <w:color w:val="auto"/>
          <w:sz w:val="24"/>
          <w:highlight w:val="none"/>
        </w:rPr>
        <w:t>级</w:t>
      </w:r>
      <w:r>
        <w:rPr>
          <w:rFonts w:hint="eastAsia"/>
          <w:color w:val="auto"/>
          <w:sz w:val="24"/>
          <w:highlight w:val="none"/>
          <w:lang w:eastAsia="zh-CN"/>
        </w:rPr>
        <w:t>。</w:t>
      </w:r>
    </w:p>
    <w:p>
      <w:pPr>
        <w:spacing w:line="480" w:lineRule="exact"/>
        <w:ind w:firstLine="480" w:firstLineChars="200"/>
        <w:rPr>
          <w:color w:val="auto"/>
          <w:sz w:val="24"/>
          <w:highlight w:val="none"/>
        </w:rPr>
      </w:pPr>
      <w:r>
        <w:rPr>
          <w:color w:val="auto"/>
          <w:sz w:val="24"/>
          <w:highlight w:val="none"/>
        </w:rPr>
        <w:t>（2）评价范围</w:t>
      </w:r>
    </w:p>
    <w:p>
      <w:pPr>
        <w:pStyle w:val="130"/>
        <w:spacing w:line="480" w:lineRule="exact"/>
        <w:rPr>
          <w:color w:val="auto"/>
          <w:kern w:val="2"/>
          <w:szCs w:val="24"/>
          <w:highlight w:val="none"/>
        </w:rPr>
      </w:pPr>
      <w:r>
        <w:rPr>
          <w:color w:val="auto"/>
          <w:kern w:val="2"/>
          <w:szCs w:val="24"/>
          <w:highlight w:val="none"/>
        </w:rPr>
        <w:t>根据导则</w:t>
      </w:r>
      <w:r>
        <w:rPr>
          <w:rFonts w:hint="eastAsia"/>
          <w:color w:val="auto"/>
          <w:kern w:val="2"/>
          <w:szCs w:val="24"/>
          <w:highlight w:val="none"/>
        </w:rPr>
        <w:t>6</w:t>
      </w:r>
      <w:r>
        <w:rPr>
          <w:color w:val="auto"/>
          <w:kern w:val="2"/>
          <w:szCs w:val="24"/>
          <w:highlight w:val="none"/>
        </w:rPr>
        <w:t>.2.4，</w:t>
      </w:r>
      <w:r>
        <w:rPr>
          <w:rFonts w:hint="eastAsia"/>
          <w:color w:val="auto"/>
          <w:kern w:val="2"/>
          <w:szCs w:val="24"/>
          <w:highlight w:val="none"/>
        </w:rPr>
        <w:t>水利水电项目评价范围应涵盖枢纽工程建筑物、水库淹没、移民安置等永久占地、施工临时占地以及库区坝上、坝下地表地下、水文水质影响河段及区域、受水区、退水影响区、输水沿线影响区等。本项目</w:t>
      </w:r>
      <w:r>
        <w:rPr>
          <w:color w:val="auto"/>
          <w:kern w:val="2"/>
          <w:szCs w:val="24"/>
          <w:highlight w:val="none"/>
        </w:rPr>
        <w:t>不涉及水库和移民安置，施工期已结束，因此，综合考虑以上因素，项目生态影响评价范围</w:t>
      </w:r>
      <w:r>
        <w:rPr>
          <w:rFonts w:hint="eastAsia"/>
          <w:color w:val="auto"/>
          <w:kern w:val="2"/>
          <w:szCs w:val="24"/>
          <w:highlight w:val="none"/>
        </w:rPr>
        <w:t>如下：</w:t>
      </w:r>
    </w:p>
    <w:p>
      <w:pPr>
        <w:pStyle w:val="130"/>
        <w:spacing w:line="480" w:lineRule="exact"/>
        <w:rPr>
          <w:color w:val="auto"/>
          <w:kern w:val="2"/>
          <w:szCs w:val="24"/>
          <w:highlight w:val="none"/>
        </w:rPr>
      </w:pPr>
      <w:r>
        <w:rPr>
          <w:rFonts w:hint="eastAsia"/>
          <w:color w:val="auto"/>
          <w:kern w:val="2"/>
          <w:szCs w:val="24"/>
          <w:highlight w:val="none"/>
        </w:rPr>
        <w:t>水生生态</w:t>
      </w:r>
      <w:r>
        <w:rPr>
          <w:color w:val="auto"/>
          <w:highlight w:val="none"/>
        </w:rPr>
        <w:t>评价范围</w:t>
      </w:r>
      <w:r>
        <w:rPr>
          <w:rFonts w:hint="eastAsia"/>
          <w:color w:val="auto"/>
          <w:kern w:val="2"/>
          <w:szCs w:val="24"/>
          <w:highlight w:val="none"/>
        </w:rPr>
        <w:t>：与地面水评价范围相同，即：</w:t>
      </w:r>
      <w:r>
        <w:rPr>
          <w:color w:val="auto"/>
          <w:kern w:val="2"/>
          <w:szCs w:val="24"/>
          <w:highlight w:val="none"/>
        </w:rPr>
        <w:t>橡胶坝上游</w:t>
      </w:r>
      <w:r>
        <w:rPr>
          <w:rFonts w:hint="eastAsia"/>
          <w:color w:val="auto"/>
          <w:kern w:val="2"/>
          <w:szCs w:val="24"/>
          <w:highlight w:val="none"/>
          <w:lang w:val="en-US" w:eastAsia="zh-CN"/>
        </w:rPr>
        <w:t>50</w:t>
      </w:r>
      <w:r>
        <w:rPr>
          <w:rFonts w:hint="eastAsia"/>
          <w:color w:val="auto"/>
          <w:kern w:val="2"/>
          <w:szCs w:val="24"/>
          <w:highlight w:val="none"/>
        </w:rPr>
        <w:t>0</w:t>
      </w:r>
      <w:r>
        <w:rPr>
          <w:color w:val="auto"/>
          <w:kern w:val="2"/>
          <w:szCs w:val="24"/>
          <w:highlight w:val="none"/>
        </w:rPr>
        <w:t>m</w:t>
      </w:r>
      <w:r>
        <w:rPr>
          <w:rFonts w:hint="eastAsia"/>
          <w:color w:val="auto"/>
          <w:kern w:val="2"/>
          <w:szCs w:val="24"/>
          <w:highlight w:val="none"/>
        </w:rPr>
        <w:t>至水</w:t>
      </w:r>
      <w:r>
        <w:rPr>
          <w:color w:val="auto"/>
          <w:kern w:val="2"/>
          <w:szCs w:val="24"/>
          <w:highlight w:val="none"/>
        </w:rPr>
        <w:t>电厂房尾水口下游</w:t>
      </w:r>
      <w:r>
        <w:rPr>
          <w:rFonts w:hint="eastAsia"/>
          <w:color w:val="auto"/>
          <w:kern w:val="2"/>
          <w:szCs w:val="24"/>
          <w:highlight w:val="none"/>
        </w:rPr>
        <w:t>1000</w:t>
      </w:r>
      <w:r>
        <w:rPr>
          <w:color w:val="auto"/>
          <w:kern w:val="2"/>
          <w:szCs w:val="24"/>
          <w:highlight w:val="none"/>
        </w:rPr>
        <w:t>m，</w:t>
      </w:r>
      <w:r>
        <w:rPr>
          <w:rFonts w:hint="eastAsia"/>
          <w:color w:val="auto"/>
          <w:kern w:val="2"/>
          <w:szCs w:val="24"/>
          <w:highlight w:val="none"/>
        </w:rPr>
        <w:t>总长约2.6km</w:t>
      </w:r>
      <w:r>
        <w:rPr>
          <w:color w:val="auto"/>
          <w:kern w:val="2"/>
          <w:szCs w:val="24"/>
          <w:highlight w:val="none"/>
        </w:rPr>
        <w:t>的黎河段。</w:t>
      </w:r>
    </w:p>
    <w:p>
      <w:pPr>
        <w:pStyle w:val="130"/>
        <w:spacing w:line="480" w:lineRule="exact"/>
        <w:rPr>
          <w:color w:val="auto"/>
          <w:kern w:val="2"/>
          <w:szCs w:val="24"/>
          <w:highlight w:val="none"/>
        </w:rPr>
      </w:pPr>
      <w:r>
        <w:rPr>
          <w:rFonts w:hint="eastAsia"/>
          <w:color w:val="auto"/>
          <w:kern w:val="2"/>
          <w:szCs w:val="24"/>
          <w:highlight w:val="none"/>
        </w:rPr>
        <w:t>陆生生态</w:t>
      </w:r>
      <w:r>
        <w:rPr>
          <w:color w:val="auto"/>
          <w:highlight w:val="none"/>
        </w:rPr>
        <w:t>评价范围</w:t>
      </w:r>
      <w:r>
        <w:rPr>
          <w:rFonts w:hint="eastAsia"/>
          <w:color w:val="auto"/>
          <w:kern w:val="2"/>
          <w:szCs w:val="24"/>
          <w:highlight w:val="none"/>
        </w:rPr>
        <w:t>：橡胶坝上游</w:t>
      </w:r>
      <w:r>
        <w:rPr>
          <w:rFonts w:hint="eastAsia"/>
          <w:color w:val="auto"/>
          <w:kern w:val="2"/>
          <w:szCs w:val="24"/>
          <w:highlight w:val="none"/>
          <w:lang w:val="en-US" w:eastAsia="zh-CN"/>
        </w:rPr>
        <w:t>50</w:t>
      </w:r>
      <w:r>
        <w:rPr>
          <w:rFonts w:hint="eastAsia"/>
          <w:color w:val="auto"/>
          <w:kern w:val="2"/>
          <w:szCs w:val="24"/>
          <w:highlight w:val="none"/>
        </w:rPr>
        <w:t>0m至厂房下游</w:t>
      </w:r>
      <w:r>
        <w:rPr>
          <w:color w:val="auto"/>
          <w:kern w:val="2"/>
          <w:szCs w:val="24"/>
          <w:highlight w:val="none"/>
        </w:rPr>
        <w:t>1</w:t>
      </w:r>
      <w:r>
        <w:rPr>
          <w:rFonts w:hint="eastAsia"/>
          <w:color w:val="auto"/>
          <w:kern w:val="2"/>
          <w:szCs w:val="24"/>
          <w:highlight w:val="none"/>
        </w:rPr>
        <w:t>000m之间的黎河两侧各外延</w:t>
      </w:r>
      <w:r>
        <w:rPr>
          <w:rFonts w:hint="eastAsia"/>
          <w:color w:val="auto"/>
          <w:kern w:val="2"/>
          <w:szCs w:val="24"/>
          <w:highlight w:val="none"/>
          <w:lang w:val="en-US" w:eastAsia="zh-CN"/>
        </w:rPr>
        <w:t>3</w:t>
      </w:r>
      <w:r>
        <w:rPr>
          <w:rFonts w:hint="eastAsia"/>
          <w:color w:val="auto"/>
          <w:kern w:val="2"/>
          <w:szCs w:val="24"/>
          <w:highlight w:val="none"/>
        </w:rPr>
        <w:t>00m。</w:t>
      </w:r>
    </w:p>
    <w:p>
      <w:pPr>
        <w:tabs>
          <w:tab w:val="left" w:pos="1170"/>
        </w:tabs>
        <w:spacing w:line="480" w:lineRule="exact"/>
        <w:outlineLvl w:val="2"/>
        <w:rPr>
          <w:b/>
          <w:color w:val="auto"/>
          <w:sz w:val="24"/>
          <w:highlight w:val="none"/>
        </w:rPr>
      </w:pPr>
      <w:r>
        <w:rPr>
          <w:rFonts w:hint="eastAsia"/>
          <w:b/>
          <w:color w:val="auto"/>
          <w:sz w:val="24"/>
          <w:highlight w:val="none"/>
        </w:rPr>
        <w:t>1.</w:t>
      </w:r>
      <w:r>
        <w:rPr>
          <w:rFonts w:hint="eastAsia"/>
          <w:b/>
          <w:color w:val="auto"/>
          <w:sz w:val="24"/>
          <w:highlight w:val="none"/>
          <w:lang w:val="en-US" w:eastAsia="zh-CN"/>
        </w:rPr>
        <w:t>5</w:t>
      </w:r>
      <w:r>
        <w:rPr>
          <w:b/>
          <w:color w:val="auto"/>
          <w:sz w:val="24"/>
          <w:highlight w:val="none"/>
        </w:rPr>
        <w:t>.7环境风险影响</w:t>
      </w:r>
    </w:p>
    <w:p>
      <w:pPr>
        <w:pStyle w:val="21"/>
        <w:spacing w:after="0" w:line="480" w:lineRule="exact"/>
        <w:ind w:firstLine="480" w:firstLineChars="200"/>
        <w:rPr>
          <w:rFonts w:hint="default" w:ascii="Times New Roman" w:hAnsi="Times New Roman"/>
          <w:color w:val="auto"/>
          <w:sz w:val="24"/>
          <w:highlight w:val="none"/>
        </w:rPr>
      </w:pPr>
      <w:bookmarkStart w:id="75" w:name="_Toc6468"/>
      <w:bookmarkStart w:id="76" w:name="_Toc330891185"/>
      <w:bookmarkStart w:id="77" w:name="_Toc167162011"/>
      <w:bookmarkStart w:id="78" w:name="_Toc406516560"/>
      <w:bookmarkStart w:id="79" w:name="_Toc261259379"/>
      <w:bookmarkStart w:id="80" w:name="_Toc201646999"/>
      <w:bookmarkStart w:id="81" w:name="_Toc429390586"/>
      <w:bookmarkStart w:id="82" w:name="_Toc221594117"/>
      <w:bookmarkStart w:id="83" w:name="_Toc203973320"/>
      <w:bookmarkStart w:id="84" w:name="_Toc203964585"/>
      <w:bookmarkStart w:id="85" w:name="_Toc21332"/>
      <w:bookmarkStart w:id="86" w:name="_Toc158435281"/>
      <w:bookmarkStart w:id="87" w:name="_Toc243556760"/>
      <w:bookmarkStart w:id="88" w:name="_Toc158529236"/>
      <w:bookmarkStart w:id="89" w:name="_Toc158435523"/>
      <w:bookmarkStart w:id="90" w:name="_Toc24055"/>
      <w:bookmarkStart w:id="91" w:name="_Toc158435442"/>
      <w:bookmarkStart w:id="92" w:name="_Toc259524360"/>
      <w:bookmarkStart w:id="93" w:name="_Toc249441600"/>
      <w:bookmarkStart w:id="94" w:name="_Toc143066319"/>
      <w:bookmarkStart w:id="95" w:name="_Toc221434851"/>
      <w:bookmarkStart w:id="96" w:name="_Toc258943959"/>
      <w:bookmarkStart w:id="97" w:name="_Toc158807962"/>
      <w:bookmarkStart w:id="98" w:name="_Toc223121138"/>
      <w:bookmarkStart w:id="99" w:name="_Toc692"/>
      <w:bookmarkStart w:id="100" w:name="_Toc295196533"/>
      <w:bookmarkStart w:id="101" w:name="_Toc201647089"/>
      <w:bookmarkStart w:id="102" w:name="_Toc221415781"/>
      <w:r>
        <w:rPr>
          <w:rFonts w:hint="default" w:ascii="Times New Roman" w:hAnsi="Times New Roman"/>
          <w:color w:val="auto"/>
          <w:sz w:val="24"/>
          <w:highlight w:val="none"/>
        </w:rPr>
        <w:t>（1）建设项目风险源调查</w:t>
      </w:r>
    </w:p>
    <w:p>
      <w:pPr>
        <w:spacing w:line="480" w:lineRule="exact"/>
        <w:ind w:firstLine="480" w:firstLineChars="200"/>
        <w:jc w:val="left"/>
        <w:rPr>
          <w:sz w:val="24"/>
          <w:highlight w:val="none"/>
        </w:rPr>
      </w:pPr>
      <w:r>
        <w:rPr>
          <w:sz w:val="24"/>
          <w:highlight w:val="none"/>
        </w:rPr>
        <w:t>本项目建设期及建成后可能出现生态风险、工程建设引起的地质灾害风险等。项目营运过程用到</w:t>
      </w:r>
      <w:r>
        <w:rPr>
          <w:rFonts w:hint="eastAsia"/>
          <w:sz w:val="24"/>
          <w:highlight w:val="none"/>
          <w:lang w:eastAsia="zh-CN"/>
        </w:rPr>
        <w:t>润滑</w:t>
      </w:r>
      <w:r>
        <w:rPr>
          <w:sz w:val="24"/>
          <w:highlight w:val="none"/>
        </w:rPr>
        <w:t>油、绝缘油，均属于易燃品，有可能发生火灾、泄</w:t>
      </w:r>
      <w:r>
        <w:rPr>
          <w:rFonts w:hint="eastAsia"/>
          <w:sz w:val="24"/>
          <w:highlight w:val="none"/>
        </w:rPr>
        <w:t>漏</w:t>
      </w:r>
      <w:r>
        <w:rPr>
          <w:sz w:val="24"/>
          <w:highlight w:val="none"/>
        </w:rPr>
        <w:t>等风险，根据调查，</w:t>
      </w:r>
      <w:r>
        <w:rPr>
          <w:rFonts w:hint="eastAsia"/>
          <w:sz w:val="24"/>
          <w:highlight w:val="none"/>
          <w:lang w:eastAsia="zh-CN"/>
        </w:rPr>
        <w:t>润滑</w:t>
      </w:r>
      <w:r>
        <w:rPr>
          <w:sz w:val="24"/>
          <w:highlight w:val="none"/>
        </w:rPr>
        <w:t>油在厂区内最大储量为0.35t，其他</w:t>
      </w:r>
      <w:r>
        <w:rPr>
          <w:rFonts w:hint="eastAsia"/>
          <w:sz w:val="24"/>
          <w:highlight w:val="none"/>
        </w:rPr>
        <w:t>机油</w:t>
      </w:r>
      <w:r>
        <w:rPr>
          <w:sz w:val="24"/>
          <w:highlight w:val="none"/>
        </w:rPr>
        <w:t>约0.06t，存量都比较少，未构成重大危险源。</w:t>
      </w:r>
    </w:p>
    <w:p>
      <w:pPr>
        <w:pStyle w:val="21"/>
        <w:spacing w:after="0" w:line="480" w:lineRule="exact"/>
        <w:ind w:firstLine="480" w:firstLineChars="200"/>
        <w:rPr>
          <w:rFonts w:hint="default" w:ascii="Times New Roman" w:hAnsi="Times New Roman"/>
          <w:color w:val="000000"/>
          <w:sz w:val="24"/>
          <w:highlight w:val="none"/>
        </w:rPr>
      </w:pPr>
      <w:r>
        <w:rPr>
          <w:rFonts w:hint="default" w:ascii="Times New Roman" w:hAnsi="Times New Roman"/>
          <w:color w:val="000000"/>
          <w:sz w:val="24"/>
          <w:highlight w:val="none"/>
        </w:rPr>
        <w:t>根据《建设项目环境风险评价技术导则》（</w:t>
      </w:r>
      <w:r>
        <w:rPr>
          <w:rFonts w:hint="default" w:ascii="Times New Roman" w:hAnsi="Times New Roman" w:eastAsia="Times New Roman"/>
          <w:color w:val="000000"/>
          <w:sz w:val="24"/>
          <w:highlight w:val="none"/>
        </w:rPr>
        <w:t>HJ169-2018</w:t>
      </w:r>
      <w:r>
        <w:rPr>
          <w:rFonts w:hint="default" w:ascii="Times New Roman" w:hAnsi="Times New Roman"/>
          <w:color w:val="000000"/>
          <w:sz w:val="24"/>
          <w:highlight w:val="none"/>
        </w:rPr>
        <w:t>）和《危险化学品重大危险源辨识》（</w:t>
      </w:r>
      <w:r>
        <w:rPr>
          <w:rFonts w:hint="default" w:ascii="Times New Roman" w:hAnsi="Times New Roman" w:eastAsia="Times New Roman"/>
          <w:color w:val="000000"/>
          <w:sz w:val="24"/>
          <w:highlight w:val="none"/>
        </w:rPr>
        <w:t>18218-2018</w:t>
      </w:r>
      <w:r>
        <w:rPr>
          <w:rFonts w:hint="default" w:ascii="Times New Roman" w:hAnsi="Times New Roman"/>
          <w:color w:val="000000"/>
          <w:sz w:val="24"/>
          <w:highlight w:val="none"/>
        </w:rPr>
        <w:t>），对本项目涉及的有毒有害、易燃易爆物质进行危险性识别和综合评价，该项目危险物质为废</w:t>
      </w:r>
      <w:r>
        <w:rPr>
          <w:rFonts w:hint="eastAsia" w:ascii="Times New Roman" w:hAnsi="Times New Roman"/>
          <w:color w:val="000000"/>
          <w:sz w:val="24"/>
          <w:highlight w:val="none"/>
          <w:lang w:eastAsia="zh-CN"/>
        </w:rPr>
        <w:t>润滑</w:t>
      </w:r>
      <w:r>
        <w:rPr>
          <w:rFonts w:hint="default" w:ascii="Times New Roman" w:hAnsi="Times New Roman"/>
          <w:color w:val="000000"/>
          <w:sz w:val="24"/>
          <w:highlight w:val="none"/>
        </w:rPr>
        <w:t>油，属于易燃易爆物质。废</w:t>
      </w:r>
      <w:r>
        <w:rPr>
          <w:rFonts w:hint="eastAsia" w:ascii="Times New Roman" w:hAnsi="Times New Roman"/>
          <w:color w:val="000000"/>
          <w:sz w:val="24"/>
          <w:highlight w:val="none"/>
          <w:lang w:eastAsia="zh-CN"/>
        </w:rPr>
        <w:t>润滑</w:t>
      </w:r>
      <w:r>
        <w:rPr>
          <w:rFonts w:hint="default" w:ascii="Times New Roman" w:hAnsi="Times New Roman"/>
          <w:color w:val="000000"/>
          <w:sz w:val="24"/>
          <w:highlight w:val="none"/>
        </w:rPr>
        <w:t>油储存位置为危废间。</w:t>
      </w:r>
    </w:p>
    <w:p>
      <w:pPr>
        <w:pStyle w:val="21"/>
        <w:spacing w:after="0" w:line="480" w:lineRule="exact"/>
        <w:ind w:firstLine="480" w:firstLineChars="200"/>
        <w:rPr>
          <w:rFonts w:hint="default" w:ascii="Times New Roman" w:hAnsi="Times New Roman"/>
          <w:color w:val="000000"/>
          <w:sz w:val="24"/>
          <w:highlight w:val="none"/>
        </w:rPr>
      </w:pPr>
      <w:r>
        <w:rPr>
          <w:rFonts w:ascii="Times New Roman" w:hAnsi="Times New Roman"/>
          <w:color w:val="000000"/>
          <w:sz w:val="24"/>
          <w:highlight w:val="none"/>
        </w:rPr>
        <w:t>本</w:t>
      </w:r>
      <w:r>
        <w:rPr>
          <w:rFonts w:hint="default" w:ascii="Times New Roman" w:hAnsi="Times New Roman"/>
          <w:color w:val="000000"/>
          <w:sz w:val="24"/>
          <w:highlight w:val="none"/>
        </w:rPr>
        <w:t>项目涉及的危险、有害特性见表</w:t>
      </w:r>
      <w:r>
        <w:rPr>
          <w:rFonts w:ascii="Times New Roman" w:hAnsi="Times New Roman"/>
          <w:color w:val="000000"/>
          <w:sz w:val="24"/>
          <w:highlight w:val="none"/>
        </w:rPr>
        <w:t>1.</w:t>
      </w:r>
      <w:r>
        <w:rPr>
          <w:rFonts w:hint="eastAsia" w:ascii="Times New Roman" w:hAnsi="Times New Roman"/>
          <w:color w:val="000000"/>
          <w:sz w:val="24"/>
          <w:highlight w:val="none"/>
          <w:lang w:val="en-US" w:eastAsia="zh-CN"/>
        </w:rPr>
        <w:t>5</w:t>
      </w:r>
      <w:r>
        <w:rPr>
          <w:rFonts w:ascii="Times New Roman" w:hAnsi="Times New Roman"/>
          <w:color w:val="000000"/>
          <w:sz w:val="24"/>
          <w:highlight w:val="none"/>
        </w:rPr>
        <w:t>-</w:t>
      </w:r>
      <w:r>
        <w:rPr>
          <w:rFonts w:hint="eastAsia" w:ascii="Times New Roman" w:hAnsi="Times New Roman"/>
          <w:color w:val="000000"/>
          <w:sz w:val="24"/>
          <w:highlight w:val="none"/>
          <w:lang w:val="en-US" w:eastAsia="zh-CN"/>
        </w:rPr>
        <w:t>9</w:t>
      </w:r>
      <w:r>
        <w:rPr>
          <w:rFonts w:hint="default" w:ascii="Times New Roman" w:hAnsi="Times New Roman"/>
          <w:color w:val="000000"/>
          <w:sz w:val="24"/>
          <w:highlight w:val="none"/>
        </w:rPr>
        <w:t>。</w:t>
      </w:r>
    </w:p>
    <w:p>
      <w:pPr>
        <w:pStyle w:val="21"/>
        <w:spacing w:after="0" w:line="480" w:lineRule="exact"/>
        <w:jc w:val="center"/>
        <w:rPr>
          <w:rFonts w:hint="default" w:ascii="Times New Roman" w:hAnsi="Times New Roman"/>
          <w:b/>
          <w:color w:val="000000"/>
          <w:sz w:val="24"/>
          <w:highlight w:val="none"/>
        </w:rPr>
      </w:pPr>
      <w:r>
        <w:rPr>
          <w:rFonts w:hint="default" w:ascii="Times New Roman" w:hAnsi="Times New Roman"/>
          <w:b/>
          <w:color w:val="000000"/>
          <w:sz w:val="24"/>
          <w:highlight w:val="none"/>
        </w:rPr>
        <w:t>表</w:t>
      </w:r>
      <w:r>
        <w:rPr>
          <w:rFonts w:ascii="Times New Roman" w:hAnsi="Times New Roman"/>
          <w:b/>
          <w:color w:val="000000"/>
          <w:sz w:val="24"/>
          <w:highlight w:val="none"/>
        </w:rPr>
        <w:t>1.</w:t>
      </w:r>
      <w:r>
        <w:rPr>
          <w:rFonts w:hint="eastAsia" w:ascii="Times New Roman" w:hAnsi="Times New Roman"/>
          <w:b/>
          <w:color w:val="000000"/>
          <w:sz w:val="24"/>
          <w:highlight w:val="none"/>
          <w:lang w:val="en-US" w:eastAsia="zh-CN"/>
        </w:rPr>
        <w:t>5</w:t>
      </w:r>
      <w:r>
        <w:rPr>
          <w:rFonts w:ascii="Times New Roman" w:hAnsi="Times New Roman"/>
          <w:b/>
          <w:color w:val="000000"/>
          <w:sz w:val="24"/>
          <w:highlight w:val="none"/>
        </w:rPr>
        <w:t>-</w:t>
      </w:r>
      <w:r>
        <w:rPr>
          <w:rFonts w:hint="eastAsia" w:ascii="Times New Roman" w:hAnsi="Times New Roman"/>
          <w:b/>
          <w:color w:val="000000"/>
          <w:sz w:val="24"/>
          <w:highlight w:val="none"/>
          <w:lang w:val="en-US" w:eastAsia="zh-CN"/>
        </w:rPr>
        <w:t>9</w:t>
      </w:r>
      <w:r>
        <w:rPr>
          <w:rFonts w:hint="default" w:ascii="Times New Roman" w:hAnsi="Times New Roman"/>
          <w:b/>
          <w:color w:val="000000"/>
          <w:sz w:val="24"/>
          <w:highlight w:val="none"/>
        </w:rPr>
        <w:t xml:space="preserve"> </w:t>
      </w:r>
      <w:r>
        <w:rPr>
          <w:rFonts w:ascii="Times New Roman" w:hAnsi="Times New Roman"/>
          <w:b/>
          <w:color w:val="000000"/>
          <w:sz w:val="24"/>
          <w:highlight w:val="none"/>
        </w:rPr>
        <w:t>本</w:t>
      </w:r>
      <w:r>
        <w:rPr>
          <w:rFonts w:hint="default" w:ascii="Times New Roman" w:hAnsi="Times New Roman"/>
          <w:b/>
          <w:color w:val="000000"/>
          <w:sz w:val="24"/>
          <w:highlight w:val="none"/>
        </w:rPr>
        <w:t>项目风险源调查概况一览表</w:t>
      </w:r>
    </w:p>
    <w:tbl>
      <w:tblPr>
        <w:tblStyle w:val="51"/>
        <w:tblW w:w="831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73"/>
        <w:gridCol w:w="1010"/>
        <w:gridCol w:w="1007"/>
        <w:gridCol w:w="686"/>
        <w:gridCol w:w="708"/>
        <w:gridCol w:w="707"/>
        <w:gridCol w:w="815"/>
        <w:gridCol w:w="896"/>
        <w:gridCol w:w="924"/>
        <w:gridCol w:w="109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7" w:hRule="atLeast"/>
          <w:jc w:val="center"/>
        </w:trPr>
        <w:tc>
          <w:tcPr>
            <w:tcW w:w="473" w:type="dxa"/>
            <w:vAlign w:val="center"/>
          </w:tcPr>
          <w:p>
            <w:pPr>
              <w:pStyle w:val="402"/>
              <w:spacing w:line="300" w:lineRule="exact"/>
              <w:ind w:left="16"/>
              <w:jc w:val="center"/>
              <w:rPr>
                <w:rFonts w:ascii="Times New Roman" w:hAnsi="Times New Roman"/>
                <w:color w:val="000000"/>
                <w:sz w:val="21"/>
                <w:highlight w:val="none"/>
              </w:rPr>
            </w:pPr>
            <w:r>
              <w:rPr>
                <w:rFonts w:ascii="Times New Roman" w:hAnsi="Times New Roman"/>
                <w:color w:val="000000"/>
                <w:sz w:val="21"/>
                <w:highlight w:val="none"/>
              </w:rPr>
              <w:t>序号</w:t>
            </w:r>
          </w:p>
        </w:tc>
        <w:tc>
          <w:tcPr>
            <w:tcW w:w="1010" w:type="dxa"/>
            <w:vAlign w:val="center"/>
          </w:tcPr>
          <w:p>
            <w:pPr>
              <w:pStyle w:val="402"/>
              <w:spacing w:line="300" w:lineRule="exact"/>
              <w:ind w:left="21" w:right="10"/>
              <w:jc w:val="center"/>
              <w:rPr>
                <w:rFonts w:ascii="Times New Roman" w:hAnsi="Times New Roman"/>
                <w:color w:val="000000"/>
                <w:sz w:val="21"/>
                <w:highlight w:val="none"/>
              </w:rPr>
            </w:pPr>
            <w:r>
              <w:rPr>
                <w:rFonts w:ascii="Times New Roman" w:hAnsi="Times New Roman"/>
                <w:color w:val="000000"/>
                <w:sz w:val="21"/>
                <w:highlight w:val="none"/>
              </w:rPr>
              <w:t>物质</w:t>
            </w:r>
          </w:p>
          <w:p>
            <w:pPr>
              <w:pStyle w:val="402"/>
              <w:spacing w:line="300" w:lineRule="exact"/>
              <w:ind w:left="21" w:right="10"/>
              <w:jc w:val="center"/>
              <w:rPr>
                <w:rFonts w:ascii="Times New Roman" w:hAnsi="Times New Roman"/>
                <w:color w:val="000000"/>
                <w:sz w:val="21"/>
                <w:highlight w:val="none"/>
              </w:rPr>
            </w:pPr>
            <w:r>
              <w:rPr>
                <w:rFonts w:ascii="Times New Roman" w:hAnsi="Times New Roman"/>
                <w:color w:val="000000"/>
                <w:sz w:val="21"/>
                <w:highlight w:val="none"/>
              </w:rPr>
              <w:t>分类</w:t>
            </w:r>
          </w:p>
        </w:tc>
        <w:tc>
          <w:tcPr>
            <w:tcW w:w="1007" w:type="dxa"/>
            <w:vAlign w:val="center"/>
          </w:tcPr>
          <w:p>
            <w:pPr>
              <w:pStyle w:val="402"/>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名称</w:t>
            </w:r>
          </w:p>
        </w:tc>
        <w:tc>
          <w:tcPr>
            <w:tcW w:w="686" w:type="dxa"/>
            <w:vAlign w:val="center"/>
          </w:tcPr>
          <w:p>
            <w:pPr>
              <w:pStyle w:val="402"/>
              <w:spacing w:line="300" w:lineRule="exact"/>
              <w:ind w:left="11"/>
              <w:jc w:val="center"/>
              <w:rPr>
                <w:rFonts w:ascii="Times New Roman" w:hAnsi="Times New Roman"/>
                <w:color w:val="000000"/>
                <w:sz w:val="21"/>
                <w:highlight w:val="none"/>
              </w:rPr>
            </w:pPr>
            <w:r>
              <w:rPr>
                <w:rFonts w:ascii="Times New Roman" w:hAnsi="Times New Roman"/>
                <w:color w:val="000000"/>
                <w:sz w:val="21"/>
                <w:highlight w:val="none"/>
              </w:rPr>
              <w:t>形态</w:t>
            </w:r>
          </w:p>
        </w:tc>
        <w:tc>
          <w:tcPr>
            <w:tcW w:w="708" w:type="dxa"/>
            <w:vAlign w:val="center"/>
          </w:tcPr>
          <w:p>
            <w:pPr>
              <w:pStyle w:val="402"/>
              <w:spacing w:line="300" w:lineRule="exact"/>
              <w:ind w:left="58" w:right="83"/>
              <w:jc w:val="center"/>
              <w:rPr>
                <w:rFonts w:ascii="Times New Roman" w:hAnsi="Times New Roman"/>
                <w:color w:val="000000"/>
                <w:sz w:val="21"/>
                <w:highlight w:val="none"/>
              </w:rPr>
            </w:pPr>
            <w:r>
              <w:rPr>
                <w:rFonts w:ascii="Times New Roman" w:hAnsi="Times New Roman"/>
                <w:color w:val="000000"/>
                <w:sz w:val="21"/>
                <w:highlight w:val="none"/>
              </w:rPr>
              <w:t>熔点</w:t>
            </w:r>
          </w:p>
          <w:p>
            <w:pPr>
              <w:pStyle w:val="402"/>
              <w:spacing w:line="300" w:lineRule="exact"/>
              <w:ind w:left="58" w:right="83"/>
              <w:jc w:val="center"/>
              <w:rPr>
                <w:rFonts w:ascii="Times New Roman" w:hAnsi="Times New Roman"/>
                <w:color w:val="000000"/>
                <w:sz w:val="21"/>
                <w:highlight w:val="none"/>
              </w:rPr>
            </w:pPr>
            <w:r>
              <w:rPr>
                <w:rFonts w:ascii="Times New Roman" w:hAnsi="Times New Roman"/>
                <w:color w:val="000000"/>
                <w:sz w:val="21"/>
                <w:highlight w:val="none"/>
              </w:rPr>
              <w:t>/</w:t>
            </w:r>
            <w:r>
              <w:rPr>
                <w:rFonts w:hint="eastAsia" w:ascii="宋体" w:hAnsi="宋体" w:cs="宋体"/>
                <w:color w:val="000000"/>
                <w:sz w:val="21"/>
                <w:highlight w:val="none"/>
              </w:rPr>
              <w:t>℃</w:t>
            </w:r>
          </w:p>
        </w:tc>
        <w:tc>
          <w:tcPr>
            <w:tcW w:w="707" w:type="dxa"/>
            <w:vAlign w:val="center"/>
          </w:tcPr>
          <w:p>
            <w:pPr>
              <w:pStyle w:val="402"/>
              <w:spacing w:line="300" w:lineRule="exact"/>
              <w:ind w:left="58" w:right="83"/>
              <w:jc w:val="center"/>
              <w:rPr>
                <w:rFonts w:ascii="Times New Roman" w:hAnsi="Times New Roman"/>
                <w:color w:val="000000"/>
                <w:sz w:val="21"/>
                <w:highlight w:val="none"/>
              </w:rPr>
            </w:pPr>
            <w:r>
              <w:rPr>
                <w:rFonts w:ascii="Times New Roman" w:hAnsi="Times New Roman"/>
                <w:color w:val="000000"/>
                <w:sz w:val="21"/>
                <w:highlight w:val="none"/>
              </w:rPr>
              <w:t>沸点</w:t>
            </w:r>
          </w:p>
          <w:p>
            <w:pPr>
              <w:pStyle w:val="402"/>
              <w:spacing w:line="300" w:lineRule="exact"/>
              <w:ind w:left="58" w:right="83"/>
              <w:jc w:val="center"/>
              <w:rPr>
                <w:rFonts w:ascii="Times New Roman" w:hAnsi="Times New Roman"/>
                <w:color w:val="000000"/>
                <w:sz w:val="21"/>
                <w:highlight w:val="none"/>
              </w:rPr>
            </w:pPr>
            <w:r>
              <w:rPr>
                <w:rFonts w:ascii="Times New Roman" w:hAnsi="Times New Roman"/>
                <w:color w:val="000000"/>
                <w:sz w:val="21"/>
                <w:highlight w:val="none"/>
              </w:rPr>
              <w:t>/</w:t>
            </w:r>
            <w:r>
              <w:rPr>
                <w:rFonts w:hint="eastAsia" w:ascii="宋体" w:hAnsi="宋体" w:cs="宋体"/>
                <w:color w:val="000000"/>
                <w:sz w:val="21"/>
                <w:highlight w:val="none"/>
              </w:rPr>
              <w:t>℃</w:t>
            </w:r>
          </w:p>
        </w:tc>
        <w:tc>
          <w:tcPr>
            <w:tcW w:w="815" w:type="dxa"/>
            <w:vAlign w:val="center"/>
          </w:tcPr>
          <w:p>
            <w:pPr>
              <w:pStyle w:val="402"/>
              <w:spacing w:line="300" w:lineRule="exact"/>
              <w:ind w:left="58" w:right="83"/>
              <w:jc w:val="center"/>
              <w:rPr>
                <w:rFonts w:ascii="Times New Roman" w:hAnsi="Times New Roman"/>
                <w:color w:val="000000"/>
                <w:sz w:val="21"/>
                <w:highlight w:val="none"/>
              </w:rPr>
            </w:pPr>
            <w:r>
              <w:rPr>
                <w:rFonts w:ascii="Times New Roman" w:hAnsi="Times New Roman"/>
                <w:color w:val="000000"/>
                <w:sz w:val="21"/>
                <w:highlight w:val="none"/>
              </w:rPr>
              <w:t>闪点</w:t>
            </w:r>
          </w:p>
          <w:p>
            <w:pPr>
              <w:pStyle w:val="402"/>
              <w:spacing w:line="300" w:lineRule="exact"/>
              <w:ind w:left="202" w:right="187"/>
              <w:jc w:val="center"/>
              <w:rPr>
                <w:rFonts w:ascii="Times New Roman" w:hAnsi="Times New Roman"/>
                <w:color w:val="000000"/>
                <w:sz w:val="21"/>
                <w:highlight w:val="none"/>
              </w:rPr>
            </w:pPr>
            <w:r>
              <w:rPr>
                <w:rFonts w:ascii="Times New Roman" w:hAnsi="Times New Roman"/>
                <w:color w:val="000000"/>
                <w:sz w:val="21"/>
                <w:highlight w:val="none"/>
              </w:rPr>
              <w:t>/</w:t>
            </w:r>
            <w:r>
              <w:rPr>
                <w:rFonts w:hint="eastAsia" w:ascii="宋体" w:hAnsi="宋体" w:cs="宋体"/>
                <w:color w:val="000000"/>
                <w:sz w:val="21"/>
                <w:highlight w:val="none"/>
              </w:rPr>
              <w:t>℃</w:t>
            </w:r>
          </w:p>
        </w:tc>
        <w:tc>
          <w:tcPr>
            <w:tcW w:w="896" w:type="dxa"/>
            <w:vAlign w:val="center"/>
          </w:tcPr>
          <w:p>
            <w:pPr>
              <w:pStyle w:val="402"/>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爆炸</w:t>
            </w:r>
          </w:p>
          <w:p>
            <w:pPr>
              <w:pStyle w:val="402"/>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极限/%</w:t>
            </w:r>
          </w:p>
        </w:tc>
        <w:tc>
          <w:tcPr>
            <w:tcW w:w="924" w:type="dxa"/>
            <w:vAlign w:val="center"/>
          </w:tcPr>
          <w:p>
            <w:pPr>
              <w:pStyle w:val="402"/>
              <w:spacing w:line="300" w:lineRule="exact"/>
              <w:ind w:left="21" w:right="8"/>
              <w:jc w:val="center"/>
              <w:rPr>
                <w:rFonts w:ascii="Times New Roman" w:hAnsi="Times New Roman"/>
                <w:color w:val="000000"/>
                <w:sz w:val="21"/>
                <w:highlight w:val="none"/>
              </w:rPr>
            </w:pPr>
            <w:r>
              <w:rPr>
                <w:rFonts w:ascii="Times New Roman" w:hAnsi="Times New Roman"/>
                <w:color w:val="000000"/>
                <w:sz w:val="21"/>
                <w:highlight w:val="none"/>
              </w:rPr>
              <w:t>危险度</w:t>
            </w:r>
          </w:p>
          <w:p>
            <w:pPr>
              <w:pStyle w:val="402"/>
              <w:spacing w:line="300" w:lineRule="exact"/>
              <w:ind w:left="21" w:right="8"/>
              <w:jc w:val="center"/>
              <w:rPr>
                <w:rFonts w:ascii="Times New Roman" w:hAnsi="Times New Roman"/>
                <w:color w:val="000000"/>
                <w:sz w:val="21"/>
                <w:highlight w:val="none"/>
              </w:rPr>
            </w:pPr>
            <w:r>
              <w:rPr>
                <w:rFonts w:ascii="Times New Roman" w:hAnsi="Times New Roman"/>
                <w:color w:val="000000"/>
                <w:sz w:val="21"/>
                <w:highlight w:val="none"/>
              </w:rPr>
              <w:t>H</w:t>
            </w:r>
          </w:p>
        </w:tc>
        <w:tc>
          <w:tcPr>
            <w:tcW w:w="1092" w:type="dxa"/>
            <w:vAlign w:val="center"/>
          </w:tcPr>
          <w:p>
            <w:pPr>
              <w:pStyle w:val="402"/>
              <w:spacing w:line="300" w:lineRule="exact"/>
              <w:ind w:left="21" w:right="3"/>
              <w:jc w:val="center"/>
              <w:rPr>
                <w:rFonts w:ascii="Times New Roman" w:hAnsi="Times New Roman"/>
                <w:color w:val="000000"/>
                <w:sz w:val="21"/>
                <w:highlight w:val="none"/>
              </w:rPr>
            </w:pPr>
            <w:r>
              <w:rPr>
                <w:rFonts w:ascii="Times New Roman" w:hAnsi="Times New Roman"/>
                <w:color w:val="000000"/>
                <w:sz w:val="21"/>
                <w:highlight w:val="none"/>
              </w:rPr>
              <w:t>分布</w:t>
            </w:r>
          </w:p>
          <w:p>
            <w:pPr>
              <w:pStyle w:val="402"/>
              <w:spacing w:line="300" w:lineRule="exact"/>
              <w:ind w:left="21" w:right="3"/>
              <w:jc w:val="center"/>
              <w:rPr>
                <w:rFonts w:ascii="Times New Roman" w:hAnsi="Times New Roman"/>
                <w:color w:val="000000"/>
                <w:sz w:val="21"/>
                <w:highlight w:val="none"/>
              </w:rPr>
            </w:pPr>
            <w:r>
              <w:rPr>
                <w:rFonts w:ascii="Times New Roman" w:hAnsi="Times New Roman"/>
                <w:color w:val="000000"/>
                <w:sz w:val="21"/>
                <w:highlight w:val="none"/>
              </w:rPr>
              <w:t>场所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8" w:hRule="atLeast"/>
          <w:jc w:val="center"/>
        </w:trPr>
        <w:tc>
          <w:tcPr>
            <w:tcW w:w="473" w:type="dxa"/>
            <w:vAlign w:val="center"/>
          </w:tcPr>
          <w:p>
            <w:pPr>
              <w:pStyle w:val="402"/>
              <w:spacing w:line="300" w:lineRule="exact"/>
              <w:ind w:left="11"/>
              <w:jc w:val="center"/>
              <w:rPr>
                <w:rFonts w:ascii="Times New Roman" w:hAnsi="Times New Roman"/>
                <w:color w:val="000000"/>
                <w:sz w:val="21"/>
                <w:highlight w:val="none"/>
              </w:rPr>
            </w:pPr>
            <w:r>
              <w:rPr>
                <w:rFonts w:ascii="Times New Roman" w:hAnsi="Times New Roman"/>
                <w:color w:val="000000"/>
                <w:sz w:val="21"/>
                <w:highlight w:val="none"/>
              </w:rPr>
              <w:t>1</w:t>
            </w:r>
          </w:p>
        </w:tc>
        <w:tc>
          <w:tcPr>
            <w:tcW w:w="1010" w:type="dxa"/>
            <w:vMerge w:val="restart"/>
            <w:vAlign w:val="center"/>
          </w:tcPr>
          <w:p>
            <w:pPr>
              <w:pStyle w:val="402"/>
              <w:spacing w:line="300" w:lineRule="exact"/>
              <w:ind w:left="21" w:right="10"/>
              <w:jc w:val="center"/>
              <w:rPr>
                <w:rFonts w:ascii="Times New Roman" w:hAnsi="Times New Roman"/>
                <w:color w:val="000000"/>
                <w:sz w:val="21"/>
                <w:highlight w:val="none"/>
              </w:rPr>
            </w:pPr>
            <w:r>
              <w:rPr>
                <w:rFonts w:ascii="Times New Roman" w:hAnsi="Times New Roman"/>
                <w:color w:val="000000"/>
                <w:sz w:val="21"/>
                <w:highlight w:val="none"/>
              </w:rPr>
              <w:t>石油类</w:t>
            </w:r>
          </w:p>
        </w:tc>
        <w:tc>
          <w:tcPr>
            <w:tcW w:w="1007" w:type="dxa"/>
            <w:vAlign w:val="center"/>
          </w:tcPr>
          <w:p>
            <w:pPr>
              <w:pStyle w:val="402"/>
              <w:spacing w:line="300" w:lineRule="exact"/>
              <w:ind w:right="75"/>
              <w:jc w:val="center"/>
              <w:rPr>
                <w:rFonts w:ascii="Times New Roman" w:hAnsi="Times New Roman"/>
                <w:color w:val="000000"/>
                <w:sz w:val="21"/>
                <w:highlight w:val="none"/>
              </w:rPr>
            </w:pPr>
            <w:r>
              <w:rPr>
                <w:rFonts w:hint="eastAsia" w:ascii="Times New Roman" w:hAnsi="Times New Roman"/>
                <w:color w:val="000000"/>
                <w:sz w:val="21"/>
                <w:highlight w:val="none"/>
              </w:rPr>
              <w:t>废</w:t>
            </w:r>
            <w:r>
              <w:rPr>
                <w:rFonts w:hint="eastAsia" w:ascii="Times New Roman" w:hAnsi="Times New Roman"/>
                <w:color w:val="000000"/>
                <w:sz w:val="21"/>
                <w:highlight w:val="none"/>
                <w:lang w:eastAsia="zh-CN"/>
              </w:rPr>
              <w:t>润滑</w:t>
            </w:r>
            <w:r>
              <w:rPr>
                <w:rFonts w:hint="eastAsia" w:ascii="Times New Roman" w:hAnsi="Times New Roman"/>
                <w:color w:val="000000"/>
                <w:sz w:val="21"/>
                <w:highlight w:val="none"/>
              </w:rPr>
              <w:t>油</w:t>
            </w:r>
          </w:p>
        </w:tc>
        <w:tc>
          <w:tcPr>
            <w:tcW w:w="686" w:type="dxa"/>
            <w:vAlign w:val="center"/>
          </w:tcPr>
          <w:p>
            <w:pPr>
              <w:pStyle w:val="402"/>
              <w:spacing w:line="300" w:lineRule="exact"/>
              <w:ind w:left="21"/>
              <w:jc w:val="center"/>
              <w:rPr>
                <w:rFonts w:ascii="Times New Roman" w:hAnsi="Times New Roman"/>
                <w:color w:val="000000"/>
                <w:sz w:val="21"/>
                <w:highlight w:val="none"/>
              </w:rPr>
            </w:pPr>
            <w:r>
              <w:rPr>
                <w:rFonts w:ascii="Times New Roman" w:hAnsi="Times New Roman"/>
                <w:color w:val="000000"/>
                <w:sz w:val="21"/>
                <w:highlight w:val="none"/>
              </w:rPr>
              <w:t>液态</w:t>
            </w:r>
          </w:p>
        </w:tc>
        <w:tc>
          <w:tcPr>
            <w:tcW w:w="708" w:type="dxa"/>
            <w:vAlign w:val="center"/>
          </w:tcPr>
          <w:p>
            <w:pPr>
              <w:pStyle w:val="402"/>
              <w:spacing w:line="300" w:lineRule="exact"/>
              <w:ind w:left="13"/>
              <w:jc w:val="center"/>
              <w:rPr>
                <w:rFonts w:ascii="Times New Roman" w:hAnsi="Times New Roman"/>
                <w:color w:val="000000"/>
                <w:sz w:val="21"/>
                <w:highlight w:val="none"/>
              </w:rPr>
            </w:pPr>
            <w:r>
              <w:rPr>
                <w:rFonts w:ascii="Times New Roman" w:hAnsi="Times New Roman"/>
                <w:color w:val="000000"/>
                <w:sz w:val="21"/>
                <w:highlight w:val="none"/>
              </w:rPr>
              <w:t>—</w:t>
            </w:r>
          </w:p>
        </w:tc>
        <w:tc>
          <w:tcPr>
            <w:tcW w:w="707" w:type="dxa"/>
            <w:vAlign w:val="center"/>
          </w:tcPr>
          <w:p>
            <w:pPr>
              <w:pStyle w:val="402"/>
              <w:spacing w:line="300" w:lineRule="exact"/>
              <w:ind w:left="13"/>
              <w:jc w:val="center"/>
              <w:rPr>
                <w:rFonts w:ascii="Times New Roman" w:hAnsi="Times New Roman"/>
                <w:color w:val="000000"/>
                <w:sz w:val="21"/>
                <w:highlight w:val="none"/>
              </w:rPr>
            </w:pPr>
            <w:r>
              <w:rPr>
                <w:rFonts w:ascii="Times New Roman" w:hAnsi="Times New Roman"/>
                <w:color w:val="000000"/>
                <w:sz w:val="21"/>
                <w:highlight w:val="none"/>
              </w:rPr>
              <w:t>—</w:t>
            </w:r>
          </w:p>
        </w:tc>
        <w:tc>
          <w:tcPr>
            <w:tcW w:w="815" w:type="dxa"/>
            <w:vAlign w:val="center"/>
          </w:tcPr>
          <w:p>
            <w:pPr>
              <w:pStyle w:val="402"/>
              <w:spacing w:line="300" w:lineRule="exact"/>
              <w:ind w:left="202" w:right="187"/>
              <w:jc w:val="center"/>
              <w:rPr>
                <w:rFonts w:ascii="Times New Roman" w:hAnsi="Times New Roman"/>
                <w:color w:val="000000"/>
                <w:sz w:val="21"/>
                <w:highlight w:val="none"/>
              </w:rPr>
            </w:pPr>
            <w:r>
              <w:rPr>
                <w:rFonts w:ascii="Times New Roman" w:hAnsi="Times New Roman"/>
                <w:color w:val="000000"/>
                <w:sz w:val="21"/>
                <w:highlight w:val="none"/>
              </w:rPr>
              <w:t>—</w:t>
            </w:r>
          </w:p>
        </w:tc>
        <w:tc>
          <w:tcPr>
            <w:tcW w:w="896" w:type="dxa"/>
            <w:vMerge w:val="restart"/>
            <w:vAlign w:val="center"/>
          </w:tcPr>
          <w:p>
            <w:pPr>
              <w:pStyle w:val="402"/>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易燃</w:t>
            </w:r>
          </w:p>
          <w:p>
            <w:pPr>
              <w:pStyle w:val="402"/>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易爆</w:t>
            </w:r>
          </w:p>
        </w:tc>
        <w:tc>
          <w:tcPr>
            <w:tcW w:w="924" w:type="dxa"/>
            <w:vAlign w:val="center"/>
          </w:tcPr>
          <w:p>
            <w:pPr>
              <w:pStyle w:val="402"/>
              <w:spacing w:line="300" w:lineRule="exact"/>
              <w:ind w:left="21" w:right="5"/>
              <w:jc w:val="center"/>
              <w:rPr>
                <w:rFonts w:ascii="Times New Roman" w:hAnsi="Times New Roman"/>
                <w:color w:val="000000"/>
                <w:sz w:val="21"/>
                <w:highlight w:val="none"/>
              </w:rPr>
            </w:pPr>
            <w:r>
              <w:rPr>
                <w:rFonts w:ascii="Times New Roman" w:hAnsi="Times New Roman"/>
                <w:color w:val="000000"/>
                <w:sz w:val="21"/>
                <w:highlight w:val="none"/>
              </w:rPr>
              <w:t>-</w:t>
            </w:r>
          </w:p>
        </w:tc>
        <w:tc>
          <w:tcPr>
            <w:tcW w:w="1092" w:type="dxa"/>
            <w:vAlign w:val="center"/>
          </w:tcPr>
          <w:p>
            <w:pPr>
              <w:pStyle w:val="402"/>
              <w:spacing w:line="300" w:lineRule="exact"/>
              <w:ind w:left="21" w:right="6"/>
              <w:jc w:val="center"/>
              <w:rPr>
                <w:rFonts w:ascii="Times New Roman" w:hAnsi="Times New Roman"/>
                <w:color w:val="000000"/>
                <w:sz w:val="21"/>
                <w:highlight w:val="none"/>
              </w:rPr>
            </w:pPr>
            <w:r>
              <w:rPr>
                <w:rFonts w:ascii="Times New Roman" w:hAnsi="Times New Roman"/>
                <w:color w:val="000000"/>
                <w:sz w:val="21"/>
                <w:highlight w:val="none"/>
              </w:rPr>
              <w:t>危废间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3" w:hRule="atLeast"/>
          <w:jc w:val="center"/>
        </w:trPr>
        <w:tc>
          <w:tcPr>
            <w:tcW w:w="473" w:type="dxa"/>
            <w:vAlign w:val="center"/>
          </w:tcPr>
          <w:p>
            <w:pPr>
              <w:pStyle w:val="402"/>
              <w:spacing w:line="300" w:lineRule="exact"/>
              <w:ind w:left="11"/>
              <w:jc w:val="center"/>
              <w:rPr>
                <w:rFonts w:ascii="Times New Roman" w:hAnsi="Times New Roman"/>
                <w:color w:val="000000"/>
                <w:sz w:val="21"/>
                <w:highlight w:val="none"/>
              </w:rPr>
            </w:pPr>
            <w:r>
              <w:rPr>
                <w:rFonts w:ascii="Times New Roman" w:hAnsi="Times New Roman"/>
                <w:color w:val="000000"/>
                <w:sz w:val="21"/>
                <w:highlight w:val="none"/>
              </w:rPr>
              <w:t>2</w:t>
            </w:r>
          </w:p>
        </w:tc>
        <w:tc>
          <w:tcPr>
            <w:tcW w:w="1010" w:type="dxa"/>
            <w:vMerge w:val="continue"/>
            <w:vAlign w:val="center"/>
          </w:tcPr>
          <w:p>
            <w:pPr>
              <w:pStyle w:val="402"/>
              <w:spacing w:line="300" w:lineRule="exact"/>
              <w:ind w:left="21" w:right="10"/>
              <w:jc w:val="center"/>
              <w:rPr>
                <w:rFonts w:ascii="Times New Roman" w:hAnsi="Times New Roman"/>
                <w:color w:val="000000"/>
                <w:sz w:val="21"/>
                <w:highlight w:val="none"/>
              </w:rPr>
            </w:pPr>
          </w:p>
        </w:tc>
        <w:tc>
          <w:tcPr>
            <w:tcW w:w="1007" w:type="dxa"/>
            <w:vAlign w:val="center"/>
          </w:tcPr>
          <w:p>
            <w:pPr>
              <w:pStyle w:val="402"/>
              <w:spacing w:line="300" w:lineRule="exact"/>
              <w:ind w:right="75"/>
              <w:jc w:val="center"/>
              <w:rPr>
                <w:rFonts w:ascii="Times New Roman" w:hAnsi="Times New Roman"/>
                <w:color w:val="000000"/>
                <w:sz w:val="21"/>
                <w:highlight w:val="none"/>
              </w:rPr>
            </w:pPr>
            <w:r>
              <w:rPr>
                <w:rFonts w:hint="eastAsia" w:ascii="Times New Roman" w:hAnsi="Times New Roman"/>
                <w:color w:val="000000"/>
                <w:sz w:val="21"/>
                <w:highlight w:val="none"/>
                <w:lang w:eastAsia="zh-CN"/>
              </w:rPr>
              <w:t>润滑</w:t>
            </w:r>
            <w:r>
              <w:rPr>
                <w:rFonts w:ascii="Times New Roman" w:hAnsi="Times New Roman"/>
                <w:color w:val="000000"/>
                <w:sz w:val="21"/>
                <w:highlight w:val="none"/>
              </w:rPr>
              <w:t>油</w:t>
            </w:r>
          </w:p>
        </w:tc>
        <w:tc>
          <w:tcPr>
            <w:tcW w:w="686" w:type="dxa"/>
            <w:vAlign w:val="center"/>
          </w:tcPr>
          <w:p>
            <w:pPr>
              <w:pStyle w:val="402"/>
              <w:spacing w:line="300" w:lineRule="exact"/>
              <w:ind w:left="21"/>
              <w:jc w:val="center"/>
              <w:rPr>
                <w:rFonts w:ascii="Times New Roman" w:hAnsi="Times New Roman"/>
                <w:color w:val="000000"/>
                <w:sz w:val="21"/>
                <w:highlight w:val="none"/>
              </w:rPr>
            </w:pPr>
            <w:r>
              <w:rPr>
                <w:rFonts w:ascii="Times New Roman" w:hAnsi="Times New Roman"/>
                <w:color w:val="000000"/>
                <w:sz w:val="21"/>
                <w:highlight w:val="none"/>
              </w:rPr>
              <w:t>液态</w:t>
            </w:r>
          </w:p>
        </w:tc>
        <w:tc>
          <w:tcPr>
            <w:tcW w:w="708" w:type="dxa"/>
            <w:vAlign w:val="center"/>
          </w:tcPr>
          <w:p>
            <w:pPr>
              <w:pStyle w:val="402"/>
              <w:spacing w:line="300" w:lineRule="exact"/>
              <w:ind w:left="13"/>
              <w:jc w:val="center"/>
              <w:rPr>
                <w:rFonts w:ascii="Times New Roman" w:hAnsi="Times New Roman"/>
                <w:color w:val="000000"/>
                <w:sz w:val="21"/>
                <w:highlight w:val="none"/>
              </w:rPr>
            </w:pPr>
            <w:r>
              <w:rPr>
                <w:rFonts w:ascii="Times New Roman" w:hAnsi="Times New Roman"/>
                <w:color w:val="000000"/>
                <w:sz w:val="21"/>
                <w:highlight w:val="none"/>
              </w:rPr>
              <w:t>—</w:t>
            </w:r>
          </w:p>
        </w:tc>
        <w:tc>
          <w:tcPr>
            <w:tcW w:w="707" w:type="dxa"/>
            <w:vAlign w:val="center"/>
          </w:tcPr>
          <w:p>
            <w:pPr>
              <w:pStyle w:val="402"/>
              <w:spacing w:line="300" w:lineRule="exact"/>
              <w:ind w:left="13"/>
              <w:jc w:val="center"/>
              <w:rPr>
                <w:rFonts w:ascii="Times New Roman" w:hAnsi="Times New Roman"/>
                <w:color w:val="000000"/>
                <w:sz w:val="21"/>
                <w:highlight w:val="none"/>
              </w:rPr>
            </w:pPr>
            <w:r>
              <w:rPr>
                <w:rFonts w:ascii="Times New Roman" w:hAnsi="Times New Roman"/>
                <w:color w:val="000000"/>
                <w:sz w:val="21"/>
                <w:highlight w:val="none"/>
              </w:rPr>
              <w:t>—</w:t>
            </w:r>
          </w:p>
        </w:tc>
        <w:tc>
          <w:tcPr>
            <w:tcW w:w="815" w:type="dxa"/>
            <w:vAlign w:val="center"/>
          </w:tcPr>
          <w:p>
            <w:pPr>
              <w:pStyle w:val="402"/>
              <w:spacing w:line="300" w:lineRule="exact"/>
              <w:ind w:left="202" w:right="187"/>
              <w:jc w:val="center"/>
              <w:rPr>
                <w:rFonts w:ascii="Times New Roman" w:hAnsi="Times New Roman"/>
                <w:color w:val="000000"/>
                <w:sz w:val="21"/>
                <w:highlight w:val="none"/>
              </w:rPr>
            </w:pPr>
            <w:r>
              <w:rPr>
                <w:rFonts w:ascii="Times New Roman" w:hAnsi="Times New Roman"/>
                <w:color w:val="000000"/>
                <w:sz w:val="21"/>
                <w:highlight w:val="none"/>
              </w:rPr>
              <w:t>—</w:t>
            </w:r>
          </w:p>
        </w:tc>
        <w:tc>
          <w:tcPr>
            <w:tcW w:w="896" w:type="dxa"/>
            <w:vMerge w:val="continue"/>
            <w:vAlign w:val="center"/>
          </w:tcPr>
          <w:p>
            <w:pPr>
              <w:pStyle w:val="402"/>
              <w:spacing w:line="300" w:lineRule="exact"/>
              <w:jc w:val="center"/>
              <w:rPr>
                <w:rFonts w:ascii="Times New Roman" w:hAnsi="Times New Roman"/>
                <w:color w:val="000000"/>
                <w:sz w:val="21"/>
                <w:highlight w:val="none"/>
              </w:rPr>
            </w:pPr>
          </w:p>
        </w:tc>
        <w:tc>
          <w:tcPr>
            <w:tcW w:w="924" w:type="dxa"/>
            <w:vAlign w:val="center"/>
          </w:tcPr>
          <w:p>
            <w:pPr>
              <w:pStyle w:val="402"/>
              <w:spacing w:line="300" w:lineRule="exact"/>
              <w:ind w:left="21" w:right="5"/>
              <w:jc w:val="center"/>
              <w:rPr>
                <w:rFonts w:ascii="Times New Roman" w:hAnsi="Times New Roman"/>
                <w:color w:val="000000"/>
                <w:sz w:val="21"/>
                <w:highlight w:val="none"/>
              </w:rPr>
            </w:pPr>
            <w:r>
              <w:rPr>
                <w:rFonts w:ascii="Times New Roman" w:hAnsi="Times New Roman"/>
                <w:color w:val="000000"/>
                <w:sz w:val="21"/>
                <w:highlight w:val="none"/>
              </w:rPr>
              <w:t>-</w:t>
            </w:r>
          </w:p>
        </w:tc>
        <w:tc>
          <w:tcPr>
            <w:tcW w:w="1092" w:type="dxa"/>
            <w:vAlign w:val="center"/>
          </w:tcPr>
          <w:p>
            <w:pPr>
              <w:pStyle w:val="402"/>
              <w:spacing w:line="300" w:lineRule="exact"/>
              <w:ind w:left="21" w:right="6"/>
              <w:jc w:val="center"/>
              <w:rPr>
                <w:rFonts w:ascii="Times New Roman" w:hAnsi="Times New Roman"/>
                <w:color w:val="000000"/>
                <w:sz w:val="21"/>
                <w:highlight w:val="none"/>
              </w:rPr>
            </w:pPr>
            <w:r>
              <w:rPr>
                <w:rFonts w:ascii="Times New Roman" w:hAnsi="Times New Roman"/>
                <w:color w:val="000000"/>
                <w:sz w:val="21"/>
                <w:highlight w:val="none"/>
              </w:rPr>
              <w:t>水轮机</w:t>
            </w:r>
          </w:p>
        </w:tc>
      </w:tr>
    </w:tbl>
    <w:p>
      <w:pPr>
        <w:spacing w:line="480" w:lineRule="exact"/>
        <w:ind w:firstLine="480" w:firstLineChars="200"/>
        <w:rPr>
          <w:color w:val="000000"/>
          <w:sz w:val="24"/>
          <w:highlight w:val="none"/>
        </w:rPr>
      </w:pPr>
      <w:r>
        <w:rPr>
          <w:color w:val="000000"/>
          <w:sz w:val="24"/>
          <w:highlight w:val="none"/>
        </w:rPr>
        <w:t>（2）环境风险潜势初判</w:t>
      </w:r>
    </w:p>
    <w:p>
      <w:pPr>
        <w:spacing w:line="480" w:lineRule="exact"/>
        <w:ind w:firstLine="480" w:firstLineChars="200"/>
        <w:rPr>
          <w:color w:val="000000"/>
          <w:sz w:val="24"/>
          <w:highlight w:val="none"/>
        </w:rPr>
      </w:pPr>
      <w:r>
        <w:rPr>
          <w:color w:val="000000"/>
          <w:sz w:val="24"/>
          <w:highlight w:val="none"/>
        </w:rPr>
        <w:fldChar w:fldCharType="begin"/>
      </w:r>
      <w:r>
        <w:rPr>
          <w:color w:val="000000"/>
          <w:sz w:val="24"/>
          <w:highlight w:val="none"/>
        </w:rPr>
        <w:instrText xml:space="preserve"> = 1 \* GB3 </w:instrText>
      </w:r>
      <w:r>
        <w:rPr>
          <w:color w:val="000000"/>
          <w:sz w:val="24"/>
          <w:highlight w:val="none"/>
        </w:rPr>
        <w:fldChar w:fldCharType="separate"/>
      </w:r>
      <w:r>
        <w:rPr>
          <w:rFonts w:hint="eastAsia" w:ascii="宋体" w:hAnsi="宋体" w:cs="宋体"/>
          <w:color w:val="000000"/>
          <w:sz w:val="24"/>
          <w:highlight w:val="none"/>
        </w:rPr>
        <w:t>①</w:t>
      </w:r>
      <w:r>
        <w:rPr>
          <w:color w:val="000000"/>
          <w:sz w:val="24"/>
          <w:highlight w:val="none"/>
        </w:rPr>
        <w:fldChar w:fldCharType="end"/>
      </w:r>
      <w:r>
        <w:rPr>
          <w:rFonts w:hint="eastAsia"/>
          <w:color w:val="000000"/>
          <w:sz w:val="24"/>
          <w:highlight w:val="none"/>
        </w:rPr>
        <w:t>危险物质数量与临界量比值（</w:t>
      </w:r>
      <w:r>
        <w:rPr>
          <w:color w:val="000000"/>
          <w:sz w:val="24"/>
          <w:highlight w:val="none"/>
        </w:rPr>
        <w:t>Q值</w:t>
      </w:r>
      <w:r>
        <w:rPr>
          <w:rFonts w:hint="eastAsia"/>
          <w:color w:val="000000"/>
          <w:sz w:val="24"/>
          <w:highlight w:val="none"/>
        </w:rPr>
        <w:t>）</w:t>
      </w:r>
      <w:r>
        <w:rPr>
          <w:color w:val="000000"/>
          <w:sz w:val="24"/>
          <w:highlight w:val="none"/>
        </w:rPr>
        <w:t>确定</w:t>
      </w:r>
      <w:r>
        <w:rPr>
          <w:rFonts w:hint="eastAsia"/>
          <w:color w:val="000000"/>
          <w:sz w:val="24"/>
          <w:highlight w:val="none"/>
        </w:rPr>
        <w:t>：</w:t>
      </w:r>
    </w:p>
    <w:p>
      <w:pPr>
        <w:spacing w:line="480" w:lineRule="exact"/>
        <w:ind w:firstLine="480" w:firstLineChars="200"/>
        <w:rPr>
          <w:color w:val="000000"/>
          <w:sz w:val="24"/>
          <w:highlight w:val="none"/>
        </w:rPr>
      </w:pPr>
      <w:r>
        <w:rPr>
          <w:color w:val="000000"/>
          <w:sz w:val="24"/>
          <w:highlight w:val="none"/>
        </w:rPr>
        <w:t>通过分析建设项目生产、使用、储存过程中涉及的有毒有害、易燃易爆物质，参见《建设项目环境风险评价技术导则》（HJ169-2018）附录B确定危险物质的临界量。定量分析危险物质数量与临界量的比值（Q）和所属行业及生产工艺特点（M），按附录 C对危险物质及工艺系统危险性（P）等级进行判断。</w:t>
      </w:r>
    </w:p>
    <w:p>
      <w:pPr>
        <w:spacing w:line="480" w:lineRule="exact"/>
        <w:ind w:firstLine="480" w:firstLineChars="200"/>
        <w:rPr>
          <w:color w:val="000000"/>
          <w:sz w:val="24"/>
          <w:highlight w:val="none"/>
        </w:rPr>
      </w:pPr>
      <w:r>
        <w:rPr>
          <w:color w:val="000000"/>
          <w:sz w:val="24"/>
          <w:highlight w:val="none"/>
        </w:rPr>
        <w:t>计算所涉及的每种危险物质在厂界内的最大存在总量与其在附录B中对应临界量的比值Q。在不同厂区的同一种物质，按其在厂界内的最大存在总量计算。</w:t>
      </w:r>
    </w:p>
    <w:p>
      <w:pPr>
        <w:spacing w:line="480" w:lineRule="exact"/>
        <w:ind w:firstLine="480" w:firstLineChars="200"/>
        <w:rPr>
          <w:color w:val="000000"/>
          <w:sz w:val="24"/>
          <w:highlight w:val="none"/>
        </w:rPr>
      </w:pPr>
      <w:r>
        <w:rPr>
          <w:color w:val="000000"/>
          <w:sz w:val="24"/>
          <w:highlight w:val="none"/>
        </w:rPr>
        <w:t>当存在多种危险物质时，则按下式计算Q值：</w:t>
      </w:r>
    </w:p>
    <w:p>
      <w:pPr>
        <w:spacing w:line="480" w:lineRule="exact"/>
        <w:ind w:firstLine="480" w:firstLineChars="200"/>
        <w:rPr>
          <w:color w:val="000000"/>
          <w:sz w:val="24"/>
          <w:highlight w:val="none"/>
        </w:rPr>
      </w:pPr>
      <w:r>
        <w:rPr>
          <w:color w:val="000000"/>
          <w:sz w:val="24"/>
          <w:highlight w:val="none"/>
        </w:rPr>
        <w:drawing>
          <wp:anchor distT="0" distB="0" distL="0" distR="0" simplePos="0" relativeHeight="251659264" behindDoc="0" locked="0" layoutInCell="1" allowOverlap="1">
            <wp:simplePos x="0" y="0"/>
            <wp:positionH relativeFrom="column">
              <wp:posOffset>636905</wp:posOffset>
            </wp:positionH>
            <wp:positionV relativeFrom="paragraph">
              <wp:posOffset>124460</wp:posOffset>
            </wp:positionV>
            <wp:extent cx="1807845" cy="427355"/>
            <wp:effectExtent l="0" t="0" r="1905" b="10795"/>
            <wp:wrapNone/>
            <wp:docPr id="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png"/>
                    <pic:cNvPicPr>
                      <a:picLocks noChangeAspect="1" noChangeArrowheads="1"/>
                    </pic:cNvPicPr>
                  </pic:nvPicPr>
                  <pic:blipFill>
                    <a:blip r:embed="rId35" cstate="print"/>
                    <a:srcRect b="11447"/>
                    <a:stretch>
                      <a:fillRect/>
                    </a:stretch>
                  </pic:blipFill>
                  <pic:spPr>
                    <a:xfrm>
                      <a:off x="0" y="0"/>
                      <a:ext cx="1807845" cy="427355"/>
                    </a:xfrm>
                    <a:prstGeom prst="rect">
                      <a:avLst/>
                    </a:prstGeom>
                    <a:noFill/>
                    <a:ln w="9525">
                      <a:noFill/>
                      <a:miter lim="800000"/>
                      <a:headEnd/>
                      <a:tailEnd/>
                    </a:ln>
                  </pic:spPr>
                </pic:pic>
              </a:graphicData>
            </a:graphic>
          </wp:anchor>
        </w:drawing>
      </w:r>
    </w:p>
    <w:p>
      <w:pPr>
        <w:spacing w:line="480" w:lineRule="exact"/>
        <w:ind w:firstLine="480" w:firstLineChars="200"/>
        <w:rPr>
          <w:color w:val="000000"/>
          <w:sz w:val="24"/>
          <w:highlight w:val="none"/>
        </w:rPr>
      </w:pPr>
    </w:p>
    <w:p>
      <w:pPr>
        <w:pStyle w:val="21"/>
        <w:adjustRightInd w:val="0"/>
        <w:snapToGrid w:val="0"/>
        <w:spacing w:after="0" w:line="480" w:lineRule="exact"/>
        <w:ind w:firstLine="480" w:firstLineChars="200"/>
        <w:rPr>
          <w:rFonts w:hint="default" w:ascii="Times New Roman" w:hAnsi="Times New Roman"/>
          <w:color w:val="000000"/>
          <w:sz w:val="24"/>
          <w:highlight w:val="none"/>
        </w:rPr>
      </w:pPr>
      <w:r>
        <w:rPr>
          <w:rFonts w:hint="default" w:ascii="Times New Roman" w:hAnsi="Times New Roman"/>
          <w:color w:val="000000"/>
          <w:position w:val="2"/>
          <w:sz w:val="24"/>
          <w:highlight w:val="none"/>
        </w:rPr>
        <w:t>式中：</w:t>
      </w:r>
      <w:r>
        <w:rPr>
          <w:rFonts w:hint="default" w:ascii="Times New Roman" w:hAnsi="Times New Roman" w:eastAsia="Times New Roman"/>
          <w:color w:val="000000"/>
          <w:position w:val="2"/>
          <w:sz w:val="24"/>
          <w:highlight w:val="none"/>
        </w:rPr>
        <w:t>q</w:t>
      </w:r>
      <w:r>
        <w:rPr>
          <w:rFonts w:hint="default" w:ascii="Times New Roman" w:hAnsi="Times New Roman" w:eastAsia="Times New Roman"/>
          <w:color w:val="000000"/>
          <w:position w:val="2"/>
          <w:sz w:val="24"/>
          <w:highlight w:val="none"/>
          <w:vertAlign w:val="subscript"/>
        </w:rPr>
        <w:t>1</w:t>
      </w:r>
      <w:r>
        <w:rPr>
          <w:rFonts w:hint="default" w:ascii="Times New Roman" w:hAnsi="Times New Roman"/>
          <w:color w:val="000000"/>
          <w:position w:val="2"/>
          <w:sz w:val="24"/>
          <w:highlight w:val="none"/>
        </w:rPr>
        <w:t>，</w:t>
      </w:r>
      <w:r>
        <w:rPr>
          <w:rFonts w:hint="default" w:ascii="Times New Roman" w:hAnsi="Times New Roman" w:eastAsia="Times New Roman"/>
          <w:color w:val="000000"/>
          <w:position w:val="2"/>
          <w:sz w:val="24"/>
          <w:highlight w:val="none"/>
        </w:rPr>
        <w:t>q</w:t>
      </w:r>
      <w:r>
        <w:rPr>
          <w:rFonts w:hint="default" w:ascii="Times New Roman" w:hAnsi="Times New Roman" w:eastAsia="Times New Roman"/>
          <w:color w:val="000000"/>
          <w:position w:val="2"/>
          <w:sz w:val="24"/>
          <w:highlight w:val="none"/>
          <w:vertAlign w:val="subscript"/>
        </w:rPr>
        <w:t>2</w:t>
      </w:r>
      <w:r>
        <w:rPr>
          <w:rFonts w:hint="default" w:ascii="Times New Roman" w:hAnsi="Times New Roman"/>
          <w:color w:val="000000"/>
          <w:position w:val="2"/>
          <w:sz w:val="24"/>
          <w:highlight w:val="none"/>
        </w:rPr>
        <w:t>，</w:t>
      </w:r>
      <w:r>
        <w:rPr>
          <w:rFonts w:hint="default" w:ascii="Times New Roman" w:hAnsi="Times New Roman" w:eastAsia="Times New Roman"/>
          <w:color w:val="000000"/>
          <w:position w:val="2"/>
          <w:sz w:val="24"/>
          <w:highlight w:val="none"/>
        </w:rPr>
        <w:t>...</w:t>
      </w:r>
      <w:r>
        <w:rPr>
          <w:rFonts w:hint="default" w:ascii="Times New Roman" w:hAnsi="Times New Roman"/>
          <w:color w:val="000000"/>
          <w:position w:val="2"/>
          <w:sz w:val="24"/>
          <w:highlight w:val="none"/>
        </w:rPr>
        <w:t>，</w:t>
      </w:r>
      <w:r>
        <w:rPr>
          <w:rFonts w:hint="default" w:ascii="Times New Roman" w:hAnsi="Times New Roman" w:eastAsia="Times New Roman"/>
          <w:color w:val="000000"/>
          <w:position w:val="2"/>
          <w:sz w:val="24"/>
          <w:highlight w:val="none"/>
        </w:rPr>
        <w:t>q</w:t>
      </w:r>
      <w:r>
        <w:rPr>
          <w:rFonts w:hint="default" w:ascii="Times New Roman" w:hAnsi="Times New Roman" w:eastAsia="Times New Roman"/>
          <w:color w:val="000000"/>
          <w:position w:val="2"/>
          <w:sz w:val="24"/>
          <w:highlight w:val="none"/>
          <w:vertAlign w:val="subscript"/>
        </w:rPr>
        <w:t>n</w:t>
      </w:r>
      <w:r>
        <w:rPr>
          <w:rFonts w:hint="default" w:ascii="Times New Roman" w:hAnsi="Times New Roman" w:eastAsia="Times New Roman"/>
          <w:color w:val="000000"/>
          <w:position w:val="2"/>
          <w:sz w:val="24"/>
          <w:highlight w:val="none"/>
        </w:rPr>
        <w:t>—</w:t>
      </w:r>
      <w:r>
        <w:rPr>
          <w:rFonts w:hint="default" w:ascii="Times New Roman" w:hAnsi="Times New Roman"/>
          <w:color w:val="000000"/>
          <w:position w:val="2"/>
          <w:sz w:val="24"/>
          <w:highlight w:val="none"/>
        </w:rPr>
        <w:t>每种危险物质的最大存在总量，</w:t>
      </w:r>
      <w:r>
        <w:rPr>
          <w:rFonts w:hint="default" w:ascii="Times New Roman" w:hAnsi="Times New Roman" w:eastAsia="Times New Roman"/>
          <w:color w:val="000000"/>
          <w:position w:val="2"/>
          <w:sz w:val="24"/>
          <w:highlight w:val="none"/>
        </w:rPr>
        <w:t>t</w:t>
      </w:r>
      <w:r>
        <w:rPr>
          <w:rFonts w:hint="default" w:ascii="Times New Roman" w:hAnsi="Times New Roman"/>
          <w:color w:val="000000"/>
          <w:position w:val="2"/>
          <w:sz w:val="24"/>
          <w:highlight w:val="none"/>
        </w:rPr>
        <w:t>；</w:t>
      </w:r>
    </w:p>
    <w:p>
      <w:pPr>
        <w:pStyle w:val="21"/>
        <w:adjustRightInd w:val="0"/>
        <w:snapToGrid w:val="0"/>
        <w:spacing w:after="0" w:line="480" w:lineRule="exact"/>
        <w:ind w:firstLine="480" w:firstLineChars="200"/>
        <w:rPr>
          <w:rFonts w:hint="default" w:ascii="Times New Roman" w:hAnsi="Times New Roman"/>
          <w:color w:val="000000"/>
          <w:position w:val="2"/>
          <w:sz w:val="24"/>
          <w:highlight w:val="none"/>
        </w:rPr>
      </w:pPr>
      <w:r>
        <w:rPr>
          <w:rFonts w:hint="default" w:ascii="Times New Roman" w:hAnsi="Times New Roman" w:eastAsia="Times New Roman"/>
          <w:color w:val="000000"/>
          <w:position w:val="2"/>
          <w:sz w:val="24"/>
          <w:highlight w:val="none"/>
        </w:rPr>
        <w:t>Q</w:t>
      </w:r>
      <w:r>
        <w:rPr>
          <w:rFonts w:hint="default" w:ascii="Times New Roman" w:hAnsi="Times New Roman" w:eastAsia="Times New Roman"/>
          <w:color w:val="000000"/>
          <w:position w:val="2"/>
          <w:sz w:val="24"/>
          <w:highlight w:val="none"/>
          <w:vertAlign w:val="subscript"/>
        </w:rPr>
        <w:t>1</w:t>
      </w:r>
      <w:r>
        <w:rPr>
          <w:rFonts w:hint="default" w:ascii="Times New Roman" w:hAnsi="Times New Roman"/>
          <w:color w:val="000000"/>
          <w:position w:val="2"/>
          <w:sz w:val="24"/>
          <w:highlight w:val="none"/>
        </w:rPr>
        <w:t>，</w:t>
      </w:r>
      <w:r>
        <w:rPr>
          <w:rFonts w:hint="default" w:ascii="Times New Roman" w:hAnsi="Times New Roman" w:eastAsia="Times New Roman"/>
          <w:color w:val="000000"/>
          <w:position w:val="2"/>
          <w:sz w:val="24"/>
          <w:highlight w:val="none"/>
        </w:rPr>
        <w:t>Q</w:t>
      </w:r>
      <w:r>
        <w:rPr>
          <w:rFonts w:hint="default" w:ascii="Times New Roman" w:hAnsi="Times New Roman" w:eastAsia="Times New Roman"/>
          <w:color w:val="000000"/>
          <w:position w:val="2"/>
          <w:sz w:val="24"/>
          <w:highlight w:val="none"/>
          <w:vertAlign w:val="subscript"/>
        </w:rPr>
        <w:t>2</w:t>
      </w:r>
      <w:r>
        <w:rPr>
          <w:rFonts w:hint="default" w:ascii="Times New Roman" w:hAnsi="Times New Roman"/>
          <w:color w:val="000000"/>
          <w:position w:val="2"/>
          <w:sz w:val="24"/>
          <w:highlight w:val="none"/>
        </w:rPr>
        <w:t>，</w:t>
      </w:r>
      <w:r>
        <w:rPr>
          <w:rFonts w:hint="default" w:ascii="Times New Roman" w:hAnsi="Times New Roman" w:eastAsia="Times New Roman"/>
          <w:color w:val="000000"/>
          <w:position w:val="2"/>
          <w:sz w:val="24"/>
          <w:highlight w:val="none"/>
        </w:rPr>
        <w:t>...</w:t>
      </w:r>
      <w:r>
        <w:rPr>
          <w:rFonts w:hint="default" w:ascii="Times New Roman" w:hAnsi="Times New Roman"/>
          <w:color w:val="000000"/>
          <w:position w:val="2"/>
          <w:sz w:val="24"/>
          <w:highlight w:val="none"/>
        </w:rPr>
        <w:t>，</w:t>
      </w:r>
      <w:r>
        <w:rPr>
          <w:rFonts w:hint="default" w:ascii="Times New Roman" w:hAnsi="Times New Roman" w:eastAsia="Times New Roman"/>
          <w:color w:val="000000"/>
          <w:position w:val="2"/>
          <w:sz w:val="24"/>
          <w:highlight w:val="none"/>
        </w:rPr>
        <w:t>Q</w:t>
      </w:r>
      <w:r>
        <w:rPr>
          <w:rFonts w:hint="default" w:ascii="Times New Roman" w:hAnsi="Times New Roman" w:eastAsia="Times New Roman"/>
          <w:color w:val="000000"/>
          <w:position w:val="2"/>
          <w:sz w:val="24"/>
          <w:highlight w:val="none"/>
          <w:vertAlign w:val="subscript"/>
        </w:rPr>
        <w:t>n</w:t>
      </w:r>
      <w:r>
        <w:rPr>
          <w:rFonts w:hint="default" w:ascii="Times New Roman" w:hAnsi="Times New Roman" w:eastAsia="Times New Roman"/>
          <w:color w:val="000000"/>
          <w:position w:val="2"/>
          <w:sz w:val="24"/>
          <w:highlight w:val="none"/>
        </w:rPr>
        <w:t>—</w:t>
      </w:r>
      <w:r>
        <w:rPr>
          <w:rFonts w:hint="default" w:ascii="Times New Roman" w:hAnsi="Times New Roman"/>
          <w:color w:val="000000"/>
          <w:position w:val="2"/>
          <w:sz w:val="24"/>
          <w:highlight w:val="none"/>
        </w:rPr>
        <w:t>每种危险物质的临界量，t。</w:t>
      </w:r>
    </w:p>
    <w:p>
      <w:pPr>
        <w:pStyle w:val="21"/>
        <w:adjustRightInd w:val="0"/>
        <w:snapToGrid w:val="0"/>
        <w:spacing w:after="0" w:line="480" w:lineRule="exact"/>
        <w:ind w:firstLine="480" w:firstLineChars="200"/>
        <w:rPr>
          <w:rFonts w:hint="default" w:ascii="Times New Roman" w:hAnsi="Times New Roman"/>
          <w:color w:val="000000"/>
          <w:position w:val="2"/>
          <w:sz w:val="24"/>
          <w:highlight w:val="none"/>
        </w:rPr>
      </w:pPr>
      <w:r>
        <w:rPr>
          <w:rFonts w:hint="default" w:ascii="Times New Roman" w:hAnsi="Times New Roman"/>
          <w:color w:val="000000"/>
          <w:position w:val="2"/>
          <w:sz w:val="24"/>
          <w:highlight w:val="none"/>
        </w:rPr>
        <w:t>当 Q＜1 时，该项目环境风险潜势为Ⅰ。</w:t>
      </w:r>
    </w:p>
    <w:p>
      <w:pPr>
        <w:pStyle w:val="21"/>
        <w:adjustRightInd w:val="0"/>
        <w:snapToGrid w:val="0"/>
        <w:spacing w:after="0" w:line="480" w:lineRule="exact"/>
        <w:ind w:firstLine="480" w:firstLineChars="200"/>
        <w:rPr>
          <w:rFonts w:hint="default" w:ascii="Times New Roman" w:hAnsi="Times New Roman"/>
          <w:color w:val="000000"/>
          <w:sz w:val="24"/>
          <w:highlight w:val="none"/>
        </w:rPr>
      </w:pPr>
      <w:r>
        <w:rPr>
          <w:rFonts w:hint="default" w:ascii="Times New Roman" w:hAnsi="Times New Roman"/>
          <w:color w:val="000000"/>
          <w:sz w:val="24"/>
          <w:highlight w:val="none"/>
        </w:rPr>
        <w:t>当</w:t>
      </w:r>
      <w:r>
        <w:rPr>
          <w:rFonts w:hint="default" w:ascii="Times New Roman" w:hAnsi="Times New Roman" w:eastAsia="Times New Roman"/>
          <w:color w:val="000000"/>
          <w:sz w:val="24"/>
          <w:highlight w:val="none"/>
        </w:rPr>
        <w:t>Q≥1</w:t>
      </w:r>
      <w:r>
        <w:rPr>
          <w:rFonts w:hint="default" w:ascii="Times New Roman" w:hAnsi="Times New Roman"/>
          <w:color w:val="000000"/>
          <w:sz w:val="24"/>
          <w:highlight w:val="none"/>
        </w:rPr>
        <w:t>时，将</w:t>
      </w:r>
      <w:r>
        <w:rPr>
          <w:rFonts w:hint="default" w:ascii="Times New Roman" w:hAnsi="Times New Roman" w:eastAsia="Times New Roman"/>
          <w:color w:val="000000"/>
          <w:sz w:val="24"/>
          <w:highlight w:val="none"/>
        </w:rPr>
        <w:t>Q</w:t>
      </w:r>
      <w:r>
        <w:rPr>
          <w:rFonts w:hint="default" w:ascii="Times New Roman" w:hAnsi="Times New Roman"/>
          <w:color w:val="000000"/>
          <w:sz w:val="24"/>
          <w:highlight w:val="none"/>
        </w:rPr>
        <w:t>值划分为：（</w:t>
      </w:r>
      <w:r>
        <w:rPr>
          <w:rFonts w:hint="default" w:ascii="Times New Roman" w:hAnsi="Times New Roman" w:eastAsia="Times New Roman"/>
          <w:color w:val="000000"/>
          <w:sz w:val="24"/>
          <w:highlight w:val="none"/>
        </w:rPr>
        <w:t>1</w:t>
      </w:r>
      <w:r>
        <w:rPr>
          <w:rFonts w:hint="default" w:ascii="Times New Roman" w:hAnsi="Times New Roman"/>
          <w:color w:val="000000"/>
          <w:sz w:val="24"/>
          <w:highlight w:val="none"/>
        </w:rPr>
        <w:t>）</w:t>
      </w:r>
      <w:r>
        <w:rPr>
          <w:rFonts w:hint="default" w:ascii="Times New Roman" w:hAnsi="Times New Roman" w:eastAsia="Times New Roman"/>
          <w:color w:val="000000"/>
          <w:sz w:val="24"/>
          <w:highlight w:val="none"/>
        </w:rPr>
        <w:t>1≤Q</w:t>
      </w:r>
      <w:r>
        <w:rPr>
          <w:rFonts w:hint="default" w:ascii="Times New Roman" w:hAnsi="Times New Roman"/>
          <w:color w:val="000000"/>
          <w:sz w:val="24"/>
          <w:highlight w:val="none"/>
        </w:rPr>
        <w:t>＜</w:t>
      </w:r>
      <w:r>
        <w:rPr>
          <w:rFonts w:hint="default" w:ascii="Times New Roman" w:hAnsi="Times New Roman" w:eastAsia="Times New Roman"/>
          <w:color w:val="000000"/>
          <w:sz w:val="24"/>
          <w:highlight w:val="none"/>
        </w:rPr>
        <w:t>10</w:t>
      </w:r>
      <w:r>
        <w:rPr>
          <w:rFonts w:hint="default" w:ascii="Times New Roman" w:hAnsi="Times New Roman"/>
          <w:color w:val="000000"/>
          <w:sz w:val="24"/>
          <w:highlight w:val="none"/>
        </w:rPr>
        <w:t>；（</w:t>
      </w:r>
      <w:r>
        <w:rPr>
          <w:rFonts w:hint="default" w:ascii="Times New Roman" w:hAnsi="Times New Roman" w:eastAsia="Times New Roman"/>
          <w:color w:val="000000"/>
          <w:sz w:val="24"/>
          <w:highlight w:val="none"/>
        </w:rPr>
        <w:t>2</w:t>
      </w:r>
      <w:r>
        <w:rPr>
          <w:rFonts w:hint="default" w:ascii="Times New Roman" w:hAnsi="Times New Roman"/>
          <w:color w:val="000000"/>
          <w:sz w:val="24"/>
          <w:highlight w:val="none"/>
        </w:rPr>
        <w:t>）</w:t>
      </w:r>
      <w:r>
        <w:rPr>
          <w:rFonts w:hint="default" w:ascii="Times New Roman" w:hAnsi="Times New Roman" w:eastAsia="Times New Roman"/>
          <w:color w:val="000000"/>
          <w:sz w:val="24"/>
          <w:highlight w:val="none"/>
        </w:rPr>
        <w:t>10≤Q</w:t>
      </w:r>
      <w:r>
        <w:rPr>
          <w:rFonts w:hint="default" w:ascii="Times New Roman" w:hAnsi="Times New Roman"/>
          <w:color w:val="000000"/>
          <w:sz w:val="24"/>
          <w:highlight w:val="none"/>
        </w:rPr>
        <w:t>＜</w:t>
      </w:r>
      <w:r>
        <w:rPr>
          <w:rFonts w:hint="default" w:ascii="Times New Roman" w:hAnsi="Times New Roman" w:eastAsia="Times New Roman"/>
          <w:color w:val="000000"/>
          <w:sz w:val="24"/>
          <w:highlight w:val="none"/>
        </w:rPr>
        <w:t>100</w:t>
      </w:r>
      <w:r>
        <w:rPr>
          <w:rFonts w:hint="default" w:ascii="Times New Roman" w:hAnsi="Times New Roman"/>
          <w:color w:val="000000"/>
          <w:sz w:val="24"/>
          <w:highlight w:val="none"/>
        </w:rPr>
        <w:t>；（</w:t>
      </w:r>
      <w:r>
        <w:rPr>
          <w:rFonts w:hint="default" w:ascii="Times New Roman" w:hAnsi="Times New Roman" w:eastAsia="Times New Roman"/>
          <w:color w:val="000000"/>
          <w:sz w:val="24"/>
          <w:highlight w:val="none"/>
        </w:rPr>
        <w:t>3</w:t>
      </w:r>
      <w:r>
        <w:rPr>
          <w:rFonts w:hint="default" w:ascii="Times New Roman" w:hAnsi="Times New Roman"/>
          <w:color w:val="000000"/>
          <w:sz w:val="24"/>
          <w:highlight w:val="none"/>
        </w:rPr>
        <w:t>）</w:t>
      </w:r>
      <w:r>
        <w:rPr>
          <w:rFonts w:hint="default" w:ascii="Times New Roman" w:hAnsi="Times New Roman" w:eastAsia="Times New Roman"/>
          <w:color w:val="000000"/>
          <w:sz w:val="24"/>
          <w:highlight w:val="none"/>
        </w:rPr>
        <w:t>Q≥100</w:t>
      </w:r>
      <w:r>
        <w:rPr>
          <w:rFonts w:hint="default" w:ascii="Times New Roman" w:hAnsi="Times New Roman"/>
          <w:color w:val="000000"/>
          <w:sz w:val="24"/>
          <w:highlight w:val="none"/>
        </w:rPr>
        <w:t>。</w:t>
      </w:r>
    </w:p>
    <w:p>
      <w:pPr>
        <w:spacing w:line="480" w:lineRule="exact"/>
        <w:ind w:firstLine="480" w:firstLineChars="200"/>
        <w:rPr>
          <w:color w:val="auto"/>
          <w:sz w:val="24"/>
          <w:highlight w:val="none"/>
        </w:rPr>
      </w:pPr>
      <w:r>
        <w:rPr>
          <w:rFonts w:hint="eastAsia"/>
          <w:color w:val="000000"/>
          <w:sz w:val="24"/>
          <w:highlight w:val="none"/>
        </w:rPr>
        <w:t>本</w:t>
      </w:r>
      <w:r>
        <w:rPr>
          <w:color w:val="000000"/>
          <w:sz w:val="24"/>
          <w:highlight w:val="none"/>
        </w:rPr>
        <w:t>项目涉及的主要风险物质为</w:t>
      </w:r>
      <w:r>
        <w:rPr>
          <w:rFonts w:hint="eastAsia"/>
          <w:color w:val="000000"/>
          <w:sz w:val="24"/>
          <w:highlight w:val="none"/>
          <w:lang w:eastAsia="zh-CN"/>
        </w:rPr>
        <w:t>润滑油类（</w:t>
      </w:r>
      <w:r>
        <w:rPr>
          <w:color w:val="000000"/>
          <w:sz w:val="24"/>
          <w:highlight w:val="none"/>
        </w:rPr>
        <w:t>0.</w:t>
      </w:r>
      <w:r>
        <w:rPr>
          <w:rFonts w:hint="eastAsia"/>
          <w:color w:val="000000"/>
          <w:sz w:val="24"/>
          <w:highlight w:val="none"/>
          <w:lang w:val="en-US" w:eastAsia="zh-CN"/>
        </w:rPr>
        <w:t>41</w:t>
      </w:r>
      <w:r>
        <w:rPr>
          <w:color w:val="000000"/>
          <w:sz w:val="24"/>
          <w:highlight w:val="none"/>
        </w:rPr>
        <w:t>t/a</w:t>
      </w:r>
      <w:r>
        <w:rPr>
          <w:rFonts w:hint="eastAsia"/>
          <w:color w:val="000000"/>
          <w:sz w:val="24"/>
          <w:highlight w:val="none"/>
          <w:lang w:eastAsia="zh-CN"/>
        </w:rPr>
        <w:t>）和</w:t>
      </w:r>
      <w:r>
        <w:rPr>
          <w:color w:val="000000"/>
          <w:sz w:val="24"/>
          <w:highlight w:val="none"/>
        </w:rPr>
        <w:t>废</w:t>
      </w:r>
      <w:r>
        <w:rPr>
          <w:rFonts w:hint="eastAsia"/>
          <w:color w:val="000000"/>
          <w:sz w:val="24"/>
          <w:highlight w:val="none"/>
          <w:lang w:eastAsia="zh-CN"/>
        </w:rPr>
        <w:t>润滑</w:t>
      </w:r>
      <w:r>
        <w:rPr>
          <w:rFonts w:hint="eastAsia"/>
          <w:color w:val="000000"/>
          <w:sz w:val="24"/>
          <w:highlight w:val="none"/>
        </w:rPr>
        <w:t>油</w:t>
      </w:r>
      <w:r>
        <w:rPr>
          <w:color w:val="000000"/>
          <w:sz w:val="24"/>
          <w:highlight w:val="none"/>
        </w:rPr>
        <w:t>（0.0</w:t>
      </w:r>
      <w:r>
        <w:rPr>
          <w:rFonts w:hint="eastAsia"/>
          <w:color w:val="000000"/>
          <w:sz w:val="24"/>
          <w:highlight w:val="none"/>
        </w:rPr>
        <w:t>9</w:t>
      </w:r>
      <w:r>
        <w:rPr>
          <w:color w:val="000000"/>
          <w:sz w:val="24"/>
          <w:highlight w:val="none"/>
        </w:rPr>
        <w:t>t/a），参照《建设项目环境风险评价技术导则》中附录</w:t>
      </w:r>
      <w:r>
        <w:rPr>
          <w:color w:val="auto"/>
          <w:sz w:val="24"/>
          <w:highlight w:val="none"/>
        </w:rPr>
        <w:t>B中表B.1分析，油类物质储存临界量为</w:t>
      </w:r>
      <w:r>
        <w:rPr>
          <w:rFonts w:hint="eastAsia"/>
          <w:color w:val="auto"/>
          <w:sz w:val="24"/>
          <w:highlight w:val="none"/>
        </w:rPr>
        <w:t>1</w:t>
      </w:r>
      <w:r>
        <w:rPr>
          <w:color w:val="auto"/>
          <w:sz w:val="24"/>
          <w:highlight w:val="none"/>
        </w:rPr>
        <w:t>00t。危险物质Q值确定表见</w:t>
      </w:r>
      <w:r>
        <w:rPr>
          <w:rFonts w:hint="eastAsia"/>
          <w:color w:val="auto"/>
          <w:sz w:val="24"/>
          <w:highlight w:val="none"/>
          <w:lang w:eastAsia="zh-CN"/>
        </w:rPr>
        <w:t>下</w:t>
      </w:r>
      <w:r>
        <w:rPr>
          <w:color w:val="auto"/>
          <w:sz w:val="24"/>
          <w:highlight w:val="none"/>
        </w:rPr>
        <w:t>表。</w:t>
      </w:r>
    </w:p>
    <w:p>
      <w:pPr>
        <w:pStyle w:val="21"/>
        <w:spacing w:after="0" w:line="480" w:lineRule="exact"/>
        <w:jc w:val="center"/>
        <w:rPr>
          <w:rFonts w:hint="default" w:ascii="Times New Roman" w:hAnsi="Times New Roman"/>
          <w:b/>
          <w:color w:val="auto"/>
          <w:sz w:val="24"/>
          <w:highlight w:val="none"/>
        </w:rPr>
      </w:pPr>
      <w:r>
        <w:rPr>
          <w:rFonts w:hint="default" w:ascii="Times New Roman" w:hAnsi="Times New Roman"/>
          <w:b/>
          <w:color w:val="auto"/>
          <w:sz w:val="24"/>
          <w:highlight w:val="none"/>
        </w:rPr>
        <w:t>表</w:t>
      </w:r>
      <w:r>
        <w:rPr>
          <w:rFonts w:ascii="Times New Roman" w:hAnsi="Times New Roman"/>
          <w:b/>
          <w:color w:val="auto"/>
          <w:sz w:val="24"/>
          <w:highlight w:val="none"/>
        </w:rPr>
        <w:t>1.</w:t>
      </w:r>
      <w:r>
        <w:rPr>
          <w:rFonts w:hint="eastAsia" w:ascii="Times New Roman" w:hAnsi="Times New Roman"/>
          <w:b/>
          <w:color w:val="auto"/>
          <w:sz w:val="24"/>
          <w:highlight w:val="none"/>
          <w:lang w:val="en-US" w:eastAsia="zh-CN"/>
        </w:rPr>
        <w:t>5</w:t>
      </w:r>
      <w:r>
        <w:rPr>
          <w:rFonts w:ascii="Times New Roman" w:hAnsi="Times New Roman"/>
          <w:b/>
          <w:color w:val="auto"/>
          <w:sz w:val="24"/>
          <w:highlight w:val="none"/>
        </w:rPr>
        <w:t>-1</w:t>
      </w:r>
      <w:r>
        <w:rPr>
          <w:rFonts w:hint="eastAsia" w:ascii="Times New Roman" w:hAnsi="Times New Roman"/>
          <w:b/>
          <w:color w:val="auto"/>
          <w:sz w:val="24"/>
          <w:highlight w:val="none"/>
          <w:lang w:val="en-US" w:eastAsia="zh-CN"/>
        </w:rPr>
        <w:t>0</w:t>
      </w:r>
      <w:r>
        <w:rPr>
          <w:rFonts w:hint="default" w:ascii="Times New Roman" w:hAnsi="Times New Roman"/>
          <w:b/>
          <w:color w:val="auto"/>
          <w:sz w:val="24"/>
          <w:highlight w:val="none"/>
        </w:rPr>
        <w:t xml:space="preserve">  项目危险物质数量与临界量比值Q值确定</w:t>
      </w:r>
    </w:p>
    <w:tbl>
      <w:tblPr>
        <w:tblStyle w:val="51"/>
        <w:tblW w:w="81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1543"/>
        <w:gridCol w:w="1058"/>
        <w:gridCol w:w="2018"/>
        <w:gridCol w:w="1320"/>
        <w:gridCol w:w="15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pStyle w:val="21"/>
              <w:spacing w:after="0" w:line="300" w:lineRule="exact"/>
              <w:jc w:val="center"/>
              <w:rPr>
                <w:rFonts w:hint="default" w:ascii="Times New Roman" w:hAnsi="Times New Roman"/>
                <w:color w:val="auto"/>
                <w:szCs w:val="21"/>
                <w:highlight w:val="none"/>
              </w:rPr>
            </w:pPr>
            <w:r>
              <w:rPr>
                <w:rFonts w:hint="default" w:ascii="Times New Roman" w:hAnsi="Times New Roman"/>
                <w:color w:val="auto"/>
                <w:szCs w:val="21"/>
                <w:highlight w:val="none"/>
              </w:rPr>
              <w:t>序号</w:t>
            </w:r>
          </w:p>
        </w:tc>
        <w:tc>
          <w:tcPr>
            <w:tcW w:w="1543" w:type="dxa"/>
            <w:vAlign w:val="center"/>
          </w:tcPr>
          <w:p>
            <w:pPr>
              <w:pStyle w:val="21"/>
              <w:spacing w:after="0" w:line="300" w:lineRule="exact"/>
              <w:jc w:val="center"/>
              <w:rPr>
                <w:rFonts w:hint="default" w:ascii="Times New Roman" w:hAnsi="Times New Roman"/>
                <w:color w:val="auto"/>
                <w:szCs w:val="21"/>
                <w:highlight w:val="none"/>
              </w:rPr>
            </w:pPr>
            <w:r>
              <w:rPr>
                <w:rFonts w:hint="default" w:ascii="Times New Roman" w:hAnsi="Times New Roman"/>
                <w:color w:val="auto"/>
                <w:szCs w:val="21"/>
                <w:highlight w:val="none"/>
              </w:rPr>
              <w:t>危险物质名称</w:t>
            </w:r>
          </w:p>
        </w:tc>
        <w:tc>
          <w:tcPr>
            <w:tcW w:w="1058" w:type="dxa"/>
            <w:vAlign w:val="center"/>
          </w:tcPr>
          <w:p>
            <w:pPr>
              <w:pStyle w:val="21"/>
              <w:spacing w:after="0" w:line="300" w:lineRule="exact"/>
              <w:jc w:val="center"/>
              <w:rPr>
                <w:rFonts w:hint="default" w:ascii="Times New Roman" w:hAnsi="Times New Roman"/>
                <w:color w:val="auto"/>
                <w:szCs w:val="21"/>
                <w:highlight w:val="none"/>
              </w:rPr>
            </w:pPr>
            <w:r>
              <w:rPr>
                <w:rFonts w:hint="default" w:ascii="Times New Roman" w:hAnsi="Times New Roman"/>
                <w:color w:val="auto"/>
                <w:szCs w:val="21"/>
                <w:highlight w:val="none"/>
              </w:rPr>
              <w:t>CAS号</w:t>
            </w:r>
          </w:p>
        </w:tc>
        <w:tc>
          <w:tcPr>
            <w:tcW w:w="2018" w:type="dxa"/>
            <w:vAlign w:val="center"/>
          </w:tcPr>
          <w:p>
            <w:pPr>
              <w:pStyle w:val="21"/>
              <w:spacing w:after="0" w:line="300" w:lineRule="exact"/>
              <w:jc w:val="center"/>
              <w:rPr>
                <w:rFonts w:hint="default" w:ascii="Times New Roman" w:hAnsi="Times New Roman"/>
                <w:color w:val="auto"/>
                <w:szCs w:val="21"/>
                <w:highlight w:val="none"/>
              </w:rPr>
            </w:pPr>
            <w:r>
              <w:rPr>
                <w:rFonts w:hint="default" w:ascii="Times New Roman" w:hAnsi="Times New Roman"/>
                <w:color w:val="auto"/>
                <w:szCs w:val="21"/>
                <w:highlight w:val="none"/>
              </w:rPr>
              <w:t>最大存在总量qn/t</w:t>
            </w:r>
          </w:p>
        </w:tc>
        <w:tc>
          <w:tcPr>
            <w:tcW w:w="1320" w:type="dxa"/>
            <w:vAlign w:val="center"/>
          </w:tcPr>
          <w:p>
            <w:pPr>
              <w:pStyle w:val="21"/>
              <w:spacing w:after="0" w:line="300" w:lineRule="exact"/>
              <w:jc w:val="center"/>
              <w:rPr>
                <w:rFonts w:hint="default" w:ascii="Times New Roman" w:hAnsi="Times New Roman"/>
                <w:color w:val="auto"/>
                <w:szCs w:val="21"/>
                <w:highlight w:val="none"/>
              </w:rPr>
            </w:pPr>
            <w:r>
              <w:rPr>
                <w:rFonts w:hint="default" w:ascii="Times New Roman" w:hAnsi="Times New Roman"/>
                <w:color w:val="auto"/>
                <w:szCs w:val="21"/>
                <w:highlight w:val="none"/>
              </w:rPr>
              <w:t>临界量Qn/t</w:t>
            </w:r>
          </w:p>
        </w:tc>
        <w:tc>
          <w:tcPr>
            <w:tcW w:w="1570" w:type="dxa"/>
          </w:tcPr>
          <w:p>
            <w:pPr>
              <w:pStyle w:val="21"/>
              <w:spacing w:after="0" w:line="300" w:lineRule="exact"/>
              <w:jc w:val="center"/>
              <w:rPr>
                <w:rFonts w:hint="default" w:ascii="Times New Roman" w:hAnsi="Times New Roman"/>
                <w:color w:val="auto"/>
                <w:szCs w:val="21"/>
                <w:highlight w:val="none"/>
              </w:rPr>
            </w:pPr>
            <w:r>
              <w:rPr>
                <w:rFonts w:hint="default" w:ascii="Times New Roman" w:hAnsi="Times New Roman"/>
                <w:color w:val="auto"/>
                <w:szCs w:val="21"/>
                <w:highlight w:val="none"/>
              </w:rPr>
              <w:t>危险物质Q值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pStyle w:val="21"/>
              <w:spacing w:after="0" w:line="300" w:lineRule="exact"/>
              <w:jc w:val="center"/>
              <w:rPr>
                <w:rFonts w:hint="default" w:ascii="Times New Roman" w:hAnsi="Times New Roman"/>
                <w:color w:val="auto"/>
                <w:szCs w:val="21"/>
                <w:highlight w:val="none"/>
              </w:rPr>
            </w:pPr>
            <w:r>
              <w:rPr>
                <w:rFonts w:hint="default" w:ascii="Times New Roman" w:hAnsi="Times New Roman"/>
                <w:color w:val="auto"/>
                <w:szCs w:val="21"/>
                <w:highlight w:val="none"/>
              </w:rPr>
              <w:t>1</w:t>
            </w:r>
          </w:p>
        </w:tc>
        <w:tc>
          <w:tcPr>
            <w:tcW w:w="1543" w:type="dxa"/>
            <w:vAlign w:val="center"/>
          </w:tcPr>
          <w:p>
            <w:pPr>
              <w:pStyle w:val="21"/>
              <w:spacing w:after="0" w:line="300" w:lineRule="exact"/>
              <w:jc w:val="center"/>
              <w:rPr>
                <w:rFonts w:hint="default" w:ascii="Times New Roman" w:hAnsi="Times New Roman"/>
                <w:color w:val="auto"/>
                <w:szCs w:val="21"/>
                <w:highlight w:val="none"/>
              </w:rPr>
            </w:pPr>
            <w:r>
              <w:rPr>
                <w:rFonts w:hint="default" w:ascii="Times New Roman" w:hAnsi="Times New Roman"/>
                <w:color w:val="auto"/>
                <w:szCs w:val="21"/>
                <w:highlight w:val="none"/>
              </w:rPr>
              <w:t>废</w:t>
            </w:r>
            <w:r>
              <w:rPr>
                <w:rFonts w:hint="eastAsia" w:ascii="Times New Roman" w:hAnsi="Times New Roman"/>
                <w:color w:val="auto"/>
                <w:szCs w:val="21"/>
                <w:highlight w:val="none"/>
                <w:lang w:eastAsia="zh-CN"/>
              </w:rPr>
              <w:t>润滑油</w:t>
            </w:r>
          </w:p>
        </w:tc>
        <w:tc>
          <w:tcPr>
            <w:tcW w:w="1058" w:type="dxa"/>
            <w:vAlign w:val="center"/>
          </w:tcPr>
          <w:p>
            <w:pPr>
              <w:pStyle w:val="21"/>
              <w:spacing w:after="0" w:line="300" w:lineRule="exact"/>
              <w:jc w:val="center"/>
              <w:rPr>
                <w:rFonts w:hint="default" w:ascii="Times New Roman" w:hAnsi="Times New Roman"/>
                <w:color w:val="auto"/>
                <w:szCs w:val="21"/>
                <w:highlight w:val="none"/>
              </w:rPr>
            </w:pPr>
            <w:r>
              <w:rPr>
                <w:rFonts w:hint="default" w:ascii="Times New Roman" w:hAnsi="Times New Roman"/>
                <w:color w:val="auto"/>
                <w:szCs w:val="21"/>
                <w:highlight w:val="none"/>
              </w:rPr>
              <w:t>-</w:t>
            </w:r>
          </w:p>
        </w:tc>
        <w:tc>
          <w:tcPr>
            <w:tcW w:w="2018" w:type="dxa"/>
            <w:vAlign w:val="center"/>
          </w:tcPr>
          <w:p>
            <w:pPr>
              <w:pStyle w:val="21"/>
              <w:spacing w:after="0" w:line="300" w:lineRule="exact"/>
              <w:jc w:val="center"/>
              <w:rPr>
                <w:rFonts w:hint="default" w:ascii="Times New Roman" w:hAnsi="Times New Roman" w:eastAsia="宋体"/>
                <w:color w:val="auto"/>
                <w:szCs w:val="21"/>
                <w:highlight w:val="none"/>
                <w:lang w:val="en-US" w:eastAsia="zh-CN"/>
              </w:rPr>
            </w:pPr>
            <w:r>
              <w:rPr>
                <w:rFonts w:hint="eastAsia" w:ascii="Times New Roman" w:hAnsi="Times New Roman"/>
                <w:color w:val="auto"/>
                <w:szCs w:val="21"/>
                <w:highlight w:val="none"/>
                <w:lang w:val="en-US" w:eastAsia="zh-CN"/>
              </w:rPr>
              <w:t>0.5</w:t>
            </w:r>
          </w:p>
        </w:tc>
        <w:tc>
          <w:tcPr>
            <w:tcW w:w="1320" w:type="dxa"/>
            <w:vAlign w:val="center"/>
          </w:tcPr>
          <w:p>
            <w:pPr>
              <w:pStyle w:val="21"/>
              <w:spacing w:after="0" w:line="300" w:lineRule="exact"/>
              <w:jc w:val="center"/>
              <w:rPr>
                <w:rFonts w:hint="default" w:ascii="Times New Roman" w:hAnsi="Times New Roman"/>
                <w:color w:val="auto"/>
                <w:szCs w:val="21"/>
                <w:highlight w:val="none"/>
              </w:rPr>
            </w:pPr>
            <w:r>
              <w:rPr>
                <w:rFonts w:ascii="Times New Roman" w:hAnsi="Times New Roman"/>
                <w:color w:val="auto"/>
                <w:szCs w:val="21"/>
                <w:highlight w:val="none"/>
              </w:rPr>
              <w:t>1</w:t>
            </w:r>
            <w:r>
              <w:rPr>
                <w:rFonts w:hint="default" w:ascii="Times New Roman" w:hAnsi="Times New Roman"/>
                <w:color w:val="auto"/>
                <w:szCs w:val="21"/>
                <w:highlight w:val="none"/>
              </w:rPr>
              <w:t>00</w:t>
            </w:r>
          </w:p>
        </w:tc>
        <w:tc>
          <w:tcPr>
            <w:tcW w:w="1570" w:type="dxa"/>
            <w:vAlign w:val="center"/>
          </w:tcPr>
          <w:p>
            <w:pPr>
              <w:pStyle w:val="21"/>
              <w:spacing w:after="0" w:line="300" w:lineRule="exact"/>
              <w:jc w:val="center"/>
              <w:rPr>
                <w:rFonts w:hint="eastAsia" w:ascii="Times New Roman" w:hAnsi="Times New Roman" w:eastAsia="宋体"/>
                <w:color w:val="auto"/>
                <w:szCs w:val="21"/>
                <w:highlight w:val="none"/>
                <w:lang w:eastAsia="zh-CN"/>
              </w:rPr>
            </w:pPr>
            <w:r>
              <w:rPr>
                <w:rFonts w:hint="default" w:ascii="Times New Roman" w:hAnsi="Times New Roman"/>
                <w:color w:val="auto"/>
                <w:szCs w:val="21"/>
                <w:highlight w:val="none"/>
              </w:rPr>
              <w:t>0.00</w:t>
            </w:r>
            <w:r>
              <w:rPr>
                <w:rFonts w:hint="eastAsia" w:ascii="Times New Roman" w:hAnsi="Times New Roman"/>
                <w:color w:val="auto"/>
                <w:szCs w:val="21"/>
                <w:highlight w:val="none"/>
                <w:lang w:val="en-US" w:eastAsia="zh-CN"/>
              </w:rPr>
              <w:t>5</w:t>
            </w:r>
          </w:p>
        </w:tc>
      </w:tr>
    </w:tbl>
    <w:p>
      <w:pPr>
        <w:pStyle w:val="21"/>
        <w:spacing w:after="0" w:line="480" w:lineRule="exact"/>
        <w:ind w:firstLine="480" w:firstLineChars="200"/>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经计算，</w:t>
      </w:r>
      <w:r>
        <w:rPr>
          <w:rFonts w:ascii="Times New Roman" w:hAnsi="Times New Roman"/>
          <w:color w:val="auto"/>
          <w:sz w:val="24"/>
          <w:szCs w:val="24"/>
          <w:highlight w:val="none"/>
        </w:rPr>
        <w:t>本</w:t>
      </w:r>
      <w:r>
        <w:rPr>
          <w:rFonts w:hint="default" w:ascii="Times New Roman" w:hAnsi="Times New Roman"/>
          <w:color w:val="auto"/>
          <w:sz w:val="24"/>
          <w:szCs w:val="24"/>
          <w:highlight w:val="none"/>
        </w:rPr>
        <w:t>项目Q值合计为0.00</w:t>
      </w:r>
      <w:r>
        <w:rPr>
          <w:rFonts w:hint="eastAsia" w:ascii="Times New Roman" w:hAnsi="Times New Roman"/>
          <w:color w:val="auto"/>
          <w:sz w:val="24"/>
          <w:szCs w:val="24"/>
          <w:highlight w:val="none"/>
          <w:lang w:val="en-US" w:eastAsia="zh-CN"/>
        </w:rPr>
        <w:t>5</w:t>
      </w:r>
      <w:r>
        <w:rPr>
          <w:rFonts w:hint="default" w:ascii="Times New Roman" w:hAnsi="Times New Roman"/>
          <w:color w:val="auto"/>
          <w:sz w:val="24"/>
          <w:szCs w:val="24"/>
          <w:highlight w:val="none"/>
        </w:rPr>
        <w:t>，故危险物质与临界值比值为</w:t>
      </w:r>
      <w:r>
        <w:rPr>
          <w:rFonts w:hint="default" w:ascii="Times New Roman" w:hAnsi="Times New Roman" w:eastAsia="Times New Roman"/>
          <w:color w:val="auto"/>
          <w:sz w:val="24"/>
          <w:szCs w:val="24"/>
          <w:highlight w:val="none"/>
        </w:rPr>
        <w:t>Q</w:t>
      </w:r>
      <w:r>
        <w:rPr>
          <w:rFonts w:hint="default" w:ascii="Times New Roman" w:hAnsi="Times New Roman"/>
          <w:color w:val="auto"/>
          <w:sz w:val="24"/>
          <w:szCs w:val="24"/>
          <w:highlight w:val="none"/>
        </w:rPr>
        <w:t>＜1。</w:t>
      </w:r>
    </w:p>
    <w:p>
      <w:pPr>
        <w:spacing w:line="480" w:lineRule="exact"/>
        <w:ind w:firstLine="480" w:firstLineChars="200"/>
        <w:rPr>
          <w:color w:val="auto"/>
          <w:sz w:val="24"/>
          <w:highlight w:val="none"/>
        </w:rPr>
      </w:pP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 2 \* GB3</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②</w:t>
      </w:r>
      <w:r>
        <w:rPr>
          <w:color w:val="auto"/>
          <w:sz w:val="24"/>
          <w:highlight w:val="none"/>
        </w:rPr>
        <w:fldChar w:fldCharType="end"/>
      </w:r>
      <w:r>
        <w:rPr>
          <w:color w:val="auto"/>
          <w:sz w:val="24"/>
          <w:highlight w:val="none"/>
        </w:rPr>
        <w:t>评价工作等级</w:t>
      </w:r>
    </w:p>
    <w:p>
      <w:pPr>
        <w:spacing w:line="480" w:lineRule="exact"/>
        <w:ind w:firstLine="480" w:firstLineChars="200"/>
        <w:rPr>
          <w:color w:val="000000"/>
          <w:sz w:val="24"/>
          <w:highlight w:val="none"/>
        </w:rPr>
      </w:pPr>
      <w:r>
        <w:rPr>
          <w:color w:val="000000"/>
          <w:sz w:val="24"/>
          <w:highlight w:val="none"/>
        </w:rPr>
        <w:t>根据《建设项目环境风险评价技术导则》（HJ169-2018），环境风险评价工作等级划分为一级、二级、三级。环境风险评价工作等级划分依据见</w:t>
      </w:r>
      <w:r>
        <w:rPr>
          <w:rFonts w:hint="eastAsia"/>
          <w:color w:val="000000"/>
          <w:sz w:val="24"/>
          <w:highlight w:val="none"/>
          <w:lang w:eastAsia="zh-CN"/>
        </w:rPr>
        <w:t>下</w:t>
      </w:r>
      <w:r>
        <w:rPr>
          <w:color w:val="000000"/>
          <w:sz w:val="24"/>
          <w:highlight w:val="none"/>
        </w:rPr>
        <w:t>表。</w:t>
      </w:r>
    </w:p>
    <w:p>
      <w:pPr>
        <w:spacing w:line="480" w:lineRule="exact"/>
        <w:jc w:val="center"/>
        <w:rPr>
          <w:b/>
          <w:color w:val="000000"/>
          <w:sz w:val="24"/>
          <w:highlight w:val="none"/>
        </w:rPr>
      </w:pPr>
      <w:r>
        <w:rPr>
          <w:b/>
          <w:color w:val="000000"/>
          <w:sz w:val="24"/>
          <w:highlight w:val="none"/>
        </w:rPr>
        <w:t>表</w:t>
      </w:r>
      <w:r>
        <w:rPr>
          <w:rFonts w:hint="eastAsia"/>
          <w:b/>
          <w:color w:val="000000"/>
          <w:sz w:val="24"/>
          <w:highlight w:val="none"/>
        </w:rPr>
        <w:t>1.</w:t>
      </w:r>
      <w:r>
        <w:rPr>
          <w:rFonts w:hint="eastAsia"/>
          <w:b/>
          <w:color w:val="000000"/>
          <w:sz w:val="24"/>
          <w:highlight w:val="none"/>
          <w:lang w:val="en-US" w:eastAsia="zh-CN"/>
        </w:rPr>
        <w:t>5</w:t>
      </w:r>
      <w:r>
        <w:rPr>
          <w:rFonts w:hint="eastAsia"/>
          <w:b/>
          <w:color w:val="000000"/>
          <w:sz w:val="24"/>
          <w:highlight w:val="none"/>
        </w:rPr>
        <w:t>-1</w:t>
      </w:r>
      <w:r>
        <w:rPr>
          <w:rFonts w:hint="eastAsia"/>
          <w:b/>
          <w:color w:val="000000"/>
          <w:sz w:val="24"/>
          <w:highlight w:val="none"/>
          <w:lang w:val="en-US" w:eastAsia="zh-CN"/>
        </w:rPr>
        <w:t>1</w:t>
      </w:r>
      <w:r>
        <w:rPr>
          <w:b/>
          <w:color w:val="000000"/>
          <w:sz w:val="24"/>
          <w:highlight w:val="none"/>
        </w:rPr>
        <w:t xml:space="preserve">    环境风险评价工作等级划分依据表</w:t>
      </w:r>
    </w:p>
    <w:tbl>
      <w:tblPr>
        <w:tblStyle w:val="5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887"/>
        <w:gridCol w:w="1737"/>
        <w:gridCol w:w="1591"/>
        <w:gridCol w:w="1679"/>
        <w:gridCol w:w="15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887" w:type="dxa"/>
            <w:vAlign w:val="center"/>
          </w:tcPr>
          <w:p>
            <w:pPr>
              <w:spacing w:line="300" w:lineRule="exact"/>
              <w:jc w:val="center"/>
              <w:rPr>
                <w:color w:val="000000"/>
                <w:highlight w:val="none"/>
              </w:rPr>
            </w:pPr>
            <w:r>
              <w:rPr>
                <w:color w:val="000000"/>
                <w:highlight w:val="none"/>
              </w:rPr>
              <w:t>环境风险潜势</w:t>
            </w:r>
          </w:p>
        </w:tc>
        <w:tc>
          <w:tcPr>
            <w:tcW w:w="1737" w:type="dxa"/>
            <w:vAlign w:val="center"/>
          </w:tcPr>
          <w:p>
            <w:pPr>
              <w:spacing w:line="300" w:lineRule="exact"/>
              <w:jc w:val="center"/>
              <w:rPr>
                <w:color w:val="000000"/>
                <w:highlight w:val="none"/>
              </w:rPr>
            </w:pPr>
            <w:r>
              <w:rPr>
                <w:rFonts w:hint="eastAsia" w:ascii="宋体" w:hAnsi="宋体" w:cs="宋体"/>
                <w:color w:val="000000"/>
                <w:highlight w:val="none"/>
              </w:rPr>
              <w:t>Ⅳ</w:t>
            </w:r>
            <w:r>
              <w:rPr>
                <w:color w:val="000000"/>
                <w:highlight w:val="none"/>
              </w:rPr>
              <w:t>、</w:t>
            </w:r>
            <w:r>
              <w:rPr>
                <w:rFonts w:hint="eastAsia" w:ascii="宋体" w:hAnsi="宋体" w:cs="宋体"/>
                <w:color w:val="000000"/>
                <w:highlight w:val="none"/>
              </w:rPr>
              <w:t>Ⅳ</w:t>
            </w:r>
            <w:r>
              <w:rPr>
                <w:color w:val="000000"/>
                <w:highlight w:val="none"/>
                <w:vertAlign w:val="superscript"/>
              </w:rPr>
              <w:t>+</w:t>
            </w:r>
          </w:p>
        </w:tc>
        <w:tc>
          <w:tcPr>
            <w:tcW w:w="1591" w:type="dxa"/>
            <w:vAlign w:val="center"/>
          </w:tcPr>
          <w:p>
            <w:pPr>
              <w:spacing w:line="300" w:lineRule="exact"/>
              <w:jc w:val="center"/>
              <w:rPr>
                <w:color w:val="000000"/>
                <w:spacing w:val="-10"/>
                <w:highlight w:val="none"/>
              </w:rPr>
            </w:pPr>
            <w:r>
              <w:rPr>
                <w:rFonts w:hint="eastAsia" w:ascii="宋体" w:hAnsi="宋体" w:cs="宋体"/>
                <w:color w:val="000000"/>
                <w:spacing w:val="-10"/>
                <w:highlight w:val="none"/>
              </w:rPr>
              <w:t>Ⅲ</w:t>
            </w:r>
          </w:p>
        </w:tc>
        <w:tc>
          <w:tcPr>
            <w:tcW w:w="1679" w:type="dxa"/>
            <w:vAlign w:val="center"/>
          </w:tcPr>
          <w:p>
            <w:pPr>
              <w:spacing w:line="300" w:lineRule="exact"/>
              <w:jc w:val="center"/>
              <w:rPr>
                <w:color w:val="000000"/>
                <w:highlight w:val="none"/>
              </w:rPr>
            </w:pPr>
            <w:r>
              <w:rPr>
                <w:rFonts w:hint="eastAsia" w:ascii="宋体" w:hAnsi="宋体" w:cs="宋体"/>
                <w:color w:val="000000"/>
                <w:highlight w:val="none"/>
              </w:rPr>
              <w:t>Ⅱ</w:t>
            </w:r>
          </w:p>
        </w:tc>
        <w:tc>
          <w:tcPr>
            <w:tcW w:w="1594" w:type="dxa"/>
            <w:vAlign w:val="center"/>
          </w:tcPr>
          <w:p>
            <w:pPr>
              <w:spacing w:line="300" w:lineRule="exact"/>
              <w:jc w:val="center"/>
              <w:rPr>
                <w:color w:val="000000"/>
                <w:highlight w:val="none"/>
              </w:rPr>
            </w:pPr>
            <w:r>
              <w:rPr>
                <w:rFonts w:hint="eastAsia" w:ascii="宋体" w:hAnsi="宋体" w:cs="宋体"/>
                <w:color w:val="000000"/>
                <w:highlight w:val="none"/>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887" w:type="dxa"/>
            <w:vAlign w:val="center"/>
          </w:tcPr>
          <w:p>
            <w:pPr>
              <w:spacing w:line="300" w:lineRule="exact"/>
              <w:jc w:val="center"/>
              <w:rPr>
                <w:color w:val="000000"/>
                <w:highlight w:val="none"/>
                <w:vertAlign w:val="subscript"/>
              </w:rPr>
            </w:pPr>
            <w:r>
              <w:rPr>
                <w:color w:val="000000"/>
                <w:highlight w:val="none"/>
              </w:rPr>
              <w:t>评价工作等级</w:t>
            </w:r>
          </w:p>
        </w:tc>
        <w:tc>
          <w:tcPr>
            <w:tcW w:w="1737" w:type="dxa"/>
            <w:vAlign w:val="center"/>
          </w:tcPr>
          <w:p>
            <w:pPr>
              <w:spacing w:line="300" w:lineRule="exact"/>
              <w:jc w:val="center"/>
              <w:rPr>
                <w:color w:val="000000"/>
                <w:highlight w:val="none"/>
              </w:rPr>
            </w:pPr>
            <w:r>
              <w:rPr>
                <w:color w:val="000000"/>
                <w:highlight w:val="none"/>
              </w:rPr>
              <w:t>一</w:t>
            </w:r>
          </w:p>
        </w:tc>
        <w:tc>
          <w:tcPr>
            <w:tcW w:w="1591" w:type="dxa"/>
            <w:vAlign w:val="center"/>
          </w:tcPr>
          <w:p>
            <w:pPr>
              <w:spacing w:line="300" w:lineRule="exact"/>
              <w:jc w:val="center"/>
              <w:rPr>
                <w:color w:val="000000"/>
                <w:highlight w:val="none"/>
              </w:rPr>
            </w:pPr>
            <w:r>
              <w:rPr>
                <w:color w:val="000000"/>
                <w:highlight w:val="none"/>
              </w:rPr>
              <w:t>二</w:t>
            </w:r>
          </w:p>
        </w:tc>
        <w:tc>
          <w:tcPr>
            <w:tcW w:w="1679" w:type="dxa"/>
            <w:vAlign w:val="center"/>
          </w:tcPr>
          <w:p>
            <w:pPr>
              <w:spacing w:line="300" w:lineRule="exact"/>
              <w:jc w:val="center"/>
              <w:rPr>
                <w:color w:val="000000"/>
                <w:highlight w:val="none"/>
              </w:rPr>
            </w:pPr>
            <w:r>
              <w:rPr>
                <w:color w:val="000000"/>
                <w:highlight w:val="none"/>
              </w:rPr>
              <w:t>三</w:t>
            </w:r>
          </w:p>
        </w:tc>
        <w:tc>
          <w:tcPr>
            <w:tcW w:w="1594" w:type="dxa"/>
            <w:vAlign w:val="center"/>
          </w:tcPr>
          <w:p>
            <w:pPr>
              <w:spacing w:line="300" w:lineRule="exact"/>
              <w:jc w:val="center"/>
              <w:rPr>
                <w:color w:val="000000"/>
                <w:highlight w:val="none"/>
              </w:rPr>
            </w:pPr>
            <w:r>
              <w:rPr>
                <w:color w:val="000000"/>
                <w:highlight w:val="none"/>
              </w:rPr>
              <w:t>简单分析</w:t>
            </w:r>
            <w:r>
              <w:rPr>
                <w:color w:val="000000"/>
                <w:highlight w:val="none"/>
                <w:vertAlign w:val="superscript"/>
              </w:rPr>
              <w:t>a</w:t>
            </w:r>
            <w:r>
              <w:rPr>
                <w:color w:val="000000"/>
                <w:highlight w:val="non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69" w:hRule="atLeast"/>
          <w:jc w:val="center"/>
        </w:trPr>
        <w:tc>
          <w:tcPr>
            <w:tcW w:w="8488" w:type="dxa"/>
            <w:gridSpan w:val="5"/>
            <w:vAlign w:val="center"/>
          </w:tcPr>
          <w:p>
            <w:pPr>
              <w:spacing w:line="300" w:lineRule="exact"/>
              <w:ind w:left="210" w:leftChars="50" w:hanging="105" w:hangingChars="50"/>
              <w:rPr>
                <w:color w:val="000000"/>
                <w:highlight w:val="none"/>
              </w:rPr>
            </w:pPr>
            <w:r>
              <w:rPr>
                <w:color w:val="000000"/>
                <w:highlight w:val="none"/>
                <w:vertAlign w:val="superscript"/>
              </w:rPr>
              <w:t>a</w:t>
            </w:r>
            <w:r>
              <w:rPr>
                <w:color w:val="000000"/>
                <w:highlight w:val="none"/>
              </w:rPr>
              <w:t>是相对于详细评价工作内容而言，在描述危险物质、环境影响途径、环境危害后果、风险防范措施等方面给出定性的说明。见导则附录 A。</w:t>
            </w:r>
          </w:p>
        </w:tc>
      </w:tr>
    </w:tbl>
    <w:p>
      <w:pPr>
        <w:pStyle w:val="21"/>
        <w:adjustRightInd w:val="0"/>
        <w:snapToGrid w:val="0"/>
        <w:spacing w:after="0" w:line="480" w:lineRule="exact"/>
        <w:ind w:firstLine="480" w:firstLineChars="200"/>
        <w:rPr>
          <w:rFonts w:hint="default" w:ascii="Times New Roman" w:hAnsi="Times New Roman"/>
          <w:color w:val="000000"/>
          <w:sz w:val="24"/>
          <w:highlight w:val="none"/>
        </w:rPr>
      </w:pPr>
      <w:r>
        <w:rPr>
          <w:color w:val="000000"/>
          <w:sz w:val="24"/>
          <w:highlight w:val="none"/>
        </w:rPr>
        <w:t>根据上表，本项目</w:t>
      </w:r>
      <w:r>
        <w:rPr>
          <w:rFonts w:hint="default" w:ascii="Times New Roman" w:hAnsi="Times New Roman"/>
          <w:color w:val="000000"/>
          <w:sz w:val="24"/>
          <w:highlight w:val="none"/>
        </w:rPr>
        <w:t xml:space="preserve"> Q＜1 时，该项目环境风险潜势为Ⅰ</w:t>
      </w:r>
      <w:r>
        <w:rPr>
          <w:rFonts w:ascii="Times New Roman" w:hAnsi="Times New Roman"/>
          <w:color w:val="000000"/>
          <w:sz w:val="24"/>
          <w:highlight w:val="none"/>
        </w:rPr>
        <w:t>，</w:t>
      </w:r>
      <w:r>
        <w:rPr>
          <w:rFonts w:hint="default" w:ascii="Times New Roman" w:hAnsi="Times New Roman"/>
          <w:color w:val="000000"/>
          <w:sz w:val="24"/>
          <w:highlight w:val="none"/>
        </w:rPr>
        <w:t>简单分析。</w:t>
      </w:r>
    </w:p>
    <w:p>
      <w:pPr>
        <w:spacing w:line="480" w:lineRule="exact"/>
        <w:ind w:firstLine="480"/>
        <w:rPr>
          <w:color w:val="000000"/>
          <w:sz w:val="24"/>
          <w:highlight w:val="none"/>
        </w:rPr>
      </w:pPr>
      <w:r>
        <w:rPr>
          <w:rFonts w:hint="eastAsia"/>
          <w:color w:val="000000"/>
          <w:sz w:val="24"/>
          <w:highlight w:val="none"/>
        </w:rPr>
        <w:t>（3）评价范围</w:t>
      </w:r>
    </w:p>
    <w:p>
      <w:pPr>
        <w:spacing w:line="480" w:lineRule="exact"/>
        <w:ind w:firstLine="480"/>
        <w:rPr>
          <w:color w:val="000000"/>
          <w:sz w:val="24"/>
          <w:highlight w:val="none"/>
        </w:rPr>
      </w:pPr>
      <w:r>
        <w:rPr>
          <w:rFonts w:hint="eastAsia"/>
          <w:color w:val="000000"/>
          <w:sz w:val="24"/>
          <w:highlight w:val="none"/>
        </w:rPr>
        <w:t>风险评价等级为简单分析，不设置风险评价范围。</w:t>
      </w:r>
    </w:p>
    <w:p>
      <w:pPr>
        <w:spacing w:line="480" w:lineRule="exact"/>
        <w:rPr>
          <w:b/>
          <w:sz w:val="24"/>
          <w:highlight w:val="none"/>
        </w:rPr>
      </w:pPr>
      <w:r>
        <w:rPr>
          <w:rFonts w:hint="eastAsia"/>
          <w:b/>
          <w:sz w:val="24"/>
          <w:highlight w:val="none"/>
        </w:rPr>
        <w:t>1.</w:t>
      </w:r>
      <w:r>
        <w:rPr>
          <w:rFonts w:hint="eastAsia"/>
          <w:b/>
          <w:sz w:val="24"/>
          <w:highlight w:val="none"/>
          <w:lang w:val="en-US" w:eastAsia="zh-CN"/>
        </w:rPr>
        <w:t>5</w:t>
      </w:r>
      <w:r>
        <w:rPr>
          <w:rFonts w:hint="eastAsia"/>
          <w:b/>
          <w:sz w:val="24"/>
          <w:highlight w:val="none"/>
        </w:rPr>
        <w:t>.8</w:t>
      </w:r>
      <w:r>
        <w:rPr>
          <w:b/>
          <w:sz w:val="24"/>
          <w:highlight w:val="none"/>
        </w:rPr>
        <w:t xml:space="preserve"> </w:t>
      </w:r>
      <w:r>
        <w:rPr>
          <w:rFonts w:hint="eastAsia"/>
          <w:b/>
          <w:sz w:val="24"/>
          <w:highlight w:val="none"/>
        </w:rPr>
        <w:t>电磁环境</w:t>
      </w:r>
    </w:p>
    <w:p>
      <w:pPr>
        <w:spacing w:line="480" w:lineRule="exact"/>
        <w:ind w:firstLine="480"/>
        <w:rPr>
          <w:color w:val="000000"/>
          <w:sz w:val="24"/>
          <w:highlight w:val="none"/>
        </w:rPr>
      </w:pPr>
      <w:r>
        <w:rPr>
          <w:rFonts w:hint="eastAsia"/>
          <w:color w:val="000000"/>
          <w:sz w:val="24"/>
          <w:highlight w:val="none"/>
        </w:rPr>
        <w:t>根据《电磁辐射环境保护管理办法》和《建设项目环境影响评价分类管理名录》（2021年版），100kv以下的输变电工程不需进行环评申报。本项目输变电为</w:t>
      </w:r>
      <w:r>
        <w:rPr>
          <w:rFonts w:hint="eastAsia"/>
          <w:color w:val="000000"/>
          <w:sz w:val="24"/>
          <w:highlight w:val="none"/>
          <w:lang w:val="en-US" w:eastAsia="zh-CN"/>
        </w:rPr>
        <w:t>11</w:t>
      </w:r>
      <w:r>
        <w:rPr>
          <w:rFonts w:hint="eastAsia"/>
          <w:color w:val="000000"/>
          <w:sz w:val="24"/>
          <w:highlight w:val="none"/>
        </w:rPr>
        <w:t>kv，小于100kv，不需要进行电磁辐射评价。</w:t>
      </w:r>
    </w:p>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p>
      <w:pPr>
        <w:spacing w:line="480" w:lineRule="exact"/>
        <w:rPr>
          <w:b/>
          <w:sz w:val="24"/>
          <w:highlight w:val="none"/>
        </w:rPr>
      </w:pPr>
      <w:r>
        <w:rPr>
          <w:rFonts w:hint="eastAsia"/>
          <w:b/>
          <w:sz w:val="24"/>
          <w:highlight w:val="none"/>
        </w:rPr>
        <w:t>1.</w:t>
      </w:r>
      <w:r>
        <w:rPr>
          <w:rFonts w:hint="eastAsia"/>
          <w:b/>
          <w:sz w:val="24"/>
          <w:highlight w:val="none"/>
          <w:lang w:val="en-US" w:eastAsia="zh-CN"/>
        </w:rPr>
        <w:t>5</w:t>
      </w:r>
      <w:r>
        <w:rPr>
          <w:rFonts w:hint="eastAsia"/>
          <w:b/>
          <w:sz w:val="24"/>
          <w:highlight w:val="none"/>
        </w:rPr>
        <w:t>.9</w:t>
      </w:r>
      <w:r>
        <w:rPr>
          <w:b/>
          <w:sz w:val="24"/>
          <w:highlight w:val="none"/>
        </w:rPr>
        <w:t xml:space="preserve"> </w:t>
      </w:r>
      <w:r>
        <w:rPr>
          <w:rFonts w:hint="eastAsia"/>
          <w:b/>
          <w:sz w:val="24"/>
          <w:highlight w:val="none"/>
        </w:rPr>
        <w:t>小结</w:t>
      </w:r>
    </w:p>
    <w:p>
      <w:pPr>
        <w:spacing w:line="480" w:lineRule="exact"/>
        <w:ind w:firstLine="360" w:firstLineChars="150"/>
        <w:jc w:val="left"/>
        <w:rPr>
          <w:sz w:val="24"/>
          <w:highlight w:val="none"/>
        </w:rPr>
      </w:pPr>
      <w:r>
        <w:rPr>
          <w:sz w:val="24"/>
          <w:highlight w:val="none"/>
        </w:rPr>
        <w:t>本评价各环境要素评价范围</w:t>
      </w:r>
      <w:r>
        <w:rPr>
          <w:rFonts w:hint="eastAsia"/>
          <w:sz w:val="24"/>
          <w:highlight w:val="none"/>
        </w:rPr>
        <w:t>汇总表</w:t>
      </w:r>
      <w:r>
        <w:rPr>
          <w:sz w:val="24"/>
          <w:highlight w:val="none"/>
        </w:rPr>
        <w:t>见</w:t>
      </w:r>
      <w:r>
        <w:rPr>
          <w:rFonts w:hint="eastAsia"/>
          <w:sz w:val="24"/>
          <w:highlight w:val="none"/>
          <w:lang w:eastAsia="zh-CN"/>
        </w:rPr>
        <w:t>下</w:t>
      </w:r>
      <w:r>
        <w:rPr>
          <w:sz w:val="24"/>
          <w:highlight w:val="none"/>
        </w:rPr>
        <w:t>表。</w:t>
      </w:r>
    </w:p>
    <w:p>
      <w:pPr>
        <w:spacing w:line="460" w:lineRule="exact"/>
        <w:jc w:val="center"/>
        <w:rPr>
          <w:b/>
          <w:color w:val="auto"/>
          <w:sz w:val="24"/>
          <w:highlight w:val="none"/>
        </w:rPr>
      </w:pPr>
      <w:r>
        <w:rPr>
          <w:b/>
          <w:color w:val="auto"/>
          <w:sz w:val="24"/>
          <w:highlight w:val="none"/>
        </w:rPr>
        <w:t>表</w:t>
      </w:r>
      <w:r>
        <w:rPr>
          <w:rFonts w:hint="eastAsia"/>
          <w:b/>
          <w:color w:val="auto"/>
          <w:sz w:val="24"/>
          <w:highlight w:val="none"/>
        </w:rPr>
        <w:t>1.</w:t>
      </w:r>
      <w:r>
        <w:rPr>
          <w:rFonts w:hint="eastAsia"/>
          <w:b/>
          <w:color w:val="auto"/>
          <w:sz w:val="24"/>
          <w:highlight w:val="none"/>
          <w:lang w:val="en-US" w:eastAsia="zh-CN"/>
        </w:rPr>
        <w:t>5</w:t>
      </w:r>
      <w:r>
        <w:rPr>
          <w:rFonts w:hint="eastAsia"/>
          <w:b/>
          <w:color w:val="auto"/>
          <w:sz w:val="24"/>
          <w:highlight w:val="none"/>
        </w:rPr>
        <w:t>-1</w:t>
      </w:r>
      <w:r>
        <w:rPr>
          <w:rFonts w:hint="eastAsia"/>
          <w:b/>
          <w:color w:val="auto"/>
          <w:sz w:val="24"/>
          <w:highlight w:val="none"/>
          <w:lang w:val="en-US" w:eastAsia="zh-CN"/>
        </w:rPr>
        <w:t>2</w:t>
      </w:r>
      <w:r>
        <w:rPr>
          <w:b/>
          <w:color w:val="auto"/>
          <w:sz w:val="24"/>
          <w:highlight w:val="none"/>
        </w:rPr>
        <w:t xml:space="preserve">     各环境要素评价范围一览表</w:t>
      </w:r>
    </w:p>
    <w:tbl>
      <w:tblPr>
        <w:tblStyle w:val="51"/>
        <w:tblW w:w="8288" w:type="dxa"/>
        <w:jc w:val="center"/>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Layout w:type="fixed"/>
        <w:tblCellMar>
          <w:top w:w="0" w:type="dxa"/>
          <w:left w:w="108" w:type="dxa"/>
          <w:bottom w:w="0" w:type="dxa"/>
          <w:right w:w="108" w:type="dxa"/>
        </w:tblCellMar>
      </w:tblPr>
      <w:tblGrid>
        <w:gridCol w:w="681"/>
        <w:gridCol w:w="1140"/>
        <w:gridCol w:w="1701"/>
        <w:gridCol w:w="4766"/>
      </w:tblGrid>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jc w:val="center"/>
        </w:trPr>
        <w:tc>
          <w:tcPr>
            <w:tcW w:w="681" w:type="dxa"/>
            <w:vAlign w:val="center"/>
          </w:tcPr>
          <w:p>
            <w:pPr>
              <w:spacing w:line="240" w:lineRule="atLeast"/>
              <w:jc w:val="center"/>
              <w:rPr>
                <w:caps/>
                <w:color w:val="auto"/>
                <w:szCs w:val="21"/>
                <w:highlight w:val="none"/>
              </w:rPr>
            </w:pPr>
            <w:r>
              <w:rPr>
                <w:caps/>
                <w:color w:val="auto"/>
                <w:szCs w:val="21"/>
                <w:highlight w:val="none"/>
              </w:rPr>
              <w:t>序号</w:t>
            </w:r>
          </w:p>
        </w:tc>
        <w:tc>
          <w:tcPr>
            <w:tcW w:w="1140" w:type="dxa"/>
            <w:vAlign w:val="center"/>
          </w:tcPr>
          <w:p>
            <w:pPr>
              <w:spacing w:line="240" w:lineRule="atLeast"/>
              <w:jc w:val="center"/>
              <w:rPr>
                <w:caps/>
                <w:color w:val="auto"/>
                <w:szCs w:val="21"/>
                <w:highlight w:val="none"/>
              </w:rPr>
            </w:pPr>
            <w:r>
              <w:rPr>
                <w:caps/>
                <w:color w:val="auto"/>
                <w:szCs w:val="21"/>
                <w:highlight w:val="none"/>
              </w:rPr>
              <w:t>环境要素</w:t>
            </w:r>
          </w:p>
        </w:tc>
        <w:tc>
          <w:tcPr>
            <w:tcW w:w="1701" w:type="dxa"/>
            <w:vAlign w:val="center"/>
          </w:tcPr>
          <w:p>
            <w:pPr>
              <w:spacing w:line="240" w:lineRule="atLeast"/>
              <w:jc w:val="center"/>
              <w:rPr>
                <w:caps/>
                <w:color w:val="auto"/>
                <w:szCs w:val="21"/>
                <w:highlight w:val="none"/>
              </w:rPr>
            </w:pPr>
            <w:r>
              <w:rPr>
                <w:caps/>
                <w:color w:val="auto"/>
                <w:szCs w:val="21"/>
                <w:highlight w:val="none"/>
              </w:rPr>
              <w:t>评价等级</w:t>
            </w:r>
          </w:p>
        </w:tc>
        <w:tc>
          <w:tcPr>
            <w:tcW w:w="4766" w:type="dxa"/>
            <w:vAlign w:val="center"/>
          </w:tcPr>
          <w:p>
            <w:pPr>
              <w:spacing w:line="240" w:lineRule="atLeast"/>
              <w:jc w:val="center"/>
              <w:rPr>
                <w:caps/>
                <w:color w:val="auto"/>
                <w:szCs w:val="21"/>
                <w:highlight w:val="none"/>
              </w:rPr>
            </w:pPr>
            <w:r>
              <w:rPr>
                <w:caps/>
                <w:color w:val="auto"/>
                <w:szCs w:val="21"/>
                <w:highlight w:val="none"/>
              </w:rPr>
              <w:t>评价范围</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65" w:hRule="atLeast"/>
          <w:jc w:val="center"/>
        </w:trPr>
        <w:tc>
          <w:tcPr>
            <w:tcW w:w="681" w:type="dxa"/>
            <w:vAlign w:val="center"/>
          </w:tcPr>
          <w:p>
            <w:pPr>
              <w:spacing w:line="240" w:lineRule="atLeast"/>
              <w:jc w:val="center"/>
              <w:rPr>
                <w:bCs/>
                <w:color w:val="auto"/>
                <w:szCs w:val="21"/>
                <w:highlight w:val="none"/>
              </w:rPr>
            </w:pPr>
            <w:r>
              <w:rPr>
                <w:bCs/>
                <w:color w:val="auto"/>
                <w:szCs w:val="21"/>
                <w:highlight w:val="none"/>
              </w:rPr>
              <w:t>1</w:t>
            </w:r>
          </w:p>
        </w:tc>
        <w:tc>
          <w:tcPr>
            <w:tcW w:w="1140" w:type="dxa"/>
            <w:vAlign w:val="center"/>
          </w:tcPr>
          <w:p>
            <w:pPr>
              <w:spacing w:line="240" w:lineRule="atLeast"/>
              <w:jc w:val="center"/>
              <w:rPr>
                <w:color w:val="auto"/>
                <w:szCs w:val="21"/>
                <w:highlight w:val="none"/>
              </w:rPr>
            </w:pPr>
            <w:r>
              <w:rPr>
                <w:color w:val="auto"/>
                <w:szCs w:val="21"/>
                <w:highlight w:val="none"/>
              </w:rPr>
              <w:t>环境空气</w:t>
            </w:r>
          </w:p>
        </w:tc>
        <w:tc>
          <w:tcPr>
            <w:tcW w:w="1701" w:type="dxa"/>
            <w:vAlign w:val="center"/>
          </w:tcPr>
          <w:p>
            <w:pPr>
              <w:spacing w:line="240" w:lineRule="atLeast"/>
              <w:jc w:val="center"/>
              <w:rPr>
                <w:rFonts w:hint="eastAsia" w:eastAsia="宋体"/>
                <w:color w:val="auto"/>
                <w:szCs w:val="21"/>
                <w:highlight w:val="none"/>
                <w:lang w:eastAsia="zh-CN"/>
              </w:rPr>
            </w:pPr>
            <w:r>
              <w:rPr>
                <w:rFonts w:hint="eastAsia"/>
                <w:color w:val="auto"/>
                <w:szCs w:val="21"/>
                <w:highlight w:val="none"/>
                <w:lang w:eastAsia="zh-CN"/>
              </w:rPr>
              <w:t>三级</w:t>
            </w:r>
          </w:p>
        </w:tc>
        <w:tc>
          <w:tcPr>
            <w:tcW w:w="4766" w:type="dxa"/>
            <w:vAlign w:val="center"/>
          </w:tcPr>
          <w:p>
            <w:pPr>
              <w:spacing w:line="240" w:lineRule="atLeast"/>
              <w:jc w:val="center"/>
              <w:rPr>
                <w:color w:val="auto"/>
                <w:szCs w:val="21"/>
                <w:highlight w:val="none"/>
              </w:rPr>
            </w:pPr>
            <w:r>
              <w:rPr>
                <w:rFonts w:hint="eastAsia"/>
                <w:color w:val="auto"/>
                <w:szCs w:val="21"/>
                <w:highlight w:val="none"/>
              </w:rPr>
              <w:t>不设评价范围</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65" w:hRule="atLeast"/>
          <w:jc w:val="center"/>
        </w:trPr>
        <w:tc>
          <w:tcPr>
            <w:tcW w:w="681" w:type="dxa"/>
            <w:vAlign w:val="center"/>
          </w:tcPr>
          <w:p>
            <w:pPr>
              <w:spacing w:line="240" w:lineRule="atLeast"/>
              <w:jc w:val="center"/>
              <w:rPr>
                <w:bCs/>
                <w:color w:val="auto"/>
                <w:szCs w:val="21"/>
                <w:highlight w:val="none"/>
              </w:rPr>
            </w:pPr>
            <w:r>
              <w:rPr>
                <w:bCs/>
                <w:color w:val="auto"/>
                <w:szCs w:val="21"/>
                <w:highlight w:val="none"/>
              </w:rPr>
              <w:t>2</w:t>
            </w:r>
          </w:p>
        </w:tc>
        <w:tc>
          <w:tcPr>
            <w:tcW w:w="1140" w:type="dxa"/>
            <w:vAlign w:val="center"/>
          </w:tcPr>
          <w:p>
            <w:pPr>
              <w:spacing w:line="240" w:lineRule="atLeast"/>
              <w:jc w:val="center"/>
              <w:rPr>
                <w:color w:val="auto"/>
                <w:szCs w:val="21"/>
                <w:highlight w:val="none"/>
              </w:rPr>
            </w:pPr>
            <w:r>
              <w:rPr>
                <w:color w:val="auto"/>
                <w:szCs w:val="21"/>
                <w:highlight w:val="none"/>
              </w:rPr>
              <w:t>地表水</w:t>
            </w:r>
          </w:p>
        </w:tc>
        <w:tc>
          <w:tcPr>
            <w:tcW w:w="1701" w:type="dxa"/>
            <w:vAlign w:val="center"/>
          </w:tcPr>
          <w:p>
            <w:pPr>
              <w:spacing w:line="240" w:lineRule="atLeast"/>
              <w:jc w:val="center"/>
              <w:rPr>
                <w:color w:val="auto"/>
                <w:szCs w:val="21"/>
                <w:highlight w:val="none"/>
              </w:rPr>
            </w:pPr>
            <w:r>
              <w:rPr>
                <w:rFonts w:hint="eastAsia"/>
                <w:color w:val="auto"/>
                <w:szCs w:val="21"/>
                <w:highlight w:val="none"/>
              </w:rPr>
              <w:t>二</w:t>
            </w:r>
            <w:r>
              <w:rPr>
                <w:color w:val="auto"/>
                <w:szCs w:val="21"/>
                <w:highlight w:val="none"/>
              </w:rPr>
              <w:t>级</w:t>
            </w:r>
          </w:p>
        </w:tc>
        <w:tc>
          <w:tcPr>
            <w:tcW w:w="4766" w:type="dxa"/>
            <w:vAlign w:val="center"/>
          </w:tcPr>
          <w:p>
            <w:pPr>
              <w:spacing w:line="240" w:lineRule="atLeast"/>
              <w:jc w:val="left"/>
              <w:rPr>
                <w:color w:val="auto"/>
                <w:szCs w:val="21"/>
                <w:highlight w:val="none"/>
              </w:rPr>
            </w:pPr>
            <w:r>
              <w:rPr>
                <w:color w:val="auto"/>
                <w:szCs w:val="21"/>
                <w:highlight w:val="none"/>
              </w:rPr>
              <w:t>橡胶坝上游</w:t>
            </w:r>
            <w:r>
              <w:rPr>
                <w:rFonts w:hint="eastAsia"/>
                <w:color w:val="auto"/>
                <w:szCs w:val="21"/>
                <w:highlight w:val="none"/>
                <w:lang w:val="en-US" w:eastAsia="zh-CN"/>
              </w:rPr>
              <w:t>50</w:t>
            </w:r>
            <w:r>
              <w:rPr>
                <w:rFonts w:hint="eastAsia"/>
                <w:color w:val="auto"/>
                <w:szCs w:val="21"/>
                <w:highlight w:val="none"/>
              </w:rPr>
              <w:t>0</w:t>
            </w:r>
            <w:r>
              <w:rPr>
                <w:color w:val="auto"/>
                <w:szCs w:val="21"/>
                <w:highlight w:val="none"/>
              </w:rPr>
              <w:t>m</w:t>
            </w:r>
            <w:r>
              <w:rPr>
                <w:rFonts w:hint="eastAsia"/>
                <w:color w:val="auto"/>
                <w:szCs w:val="21"/>
                <w:highlight w:val="none"/>
              </w:rPr>
              <w:t>（控制断面），橡胶坝下</w:t>
            </w:r>
            <w:r>
              <w:rPr>
                <w:rFonts w:hint="eastAsia"/>
                <w:color w:val="auto"/>
                <w:szCs w:val="21"/>
                <w:highlight w:val="none"/>
                <w:lang w:val="en-US" w:eastAsia="zh-CN"/>
              </w:rPr>
              <w:t>1</w:t>
            </w:r>
            <w:r>
              <w:rPr>
                <w:rFonts w:hint="eastAsia"/>
                <w:color w:val="auto"/>
                <w:szCs w:val="21"/>
                <w:highlight w:val="none"/>
              </w:rPr>
              <w:t>100m（减水断面），水</w:t>
            </w:r>
            <w:r>
              <w:rPr>
                <w:color w:val="auto"/>
                <w:szCs w:val="21"/>
                <w:highlight w:val="none"/>
              </w:rPr>
              <w:t>电厂房尾水口下游</w:t>
            </w:r>
            <w:r>
              <w:rPr>
                <w:rFonts w:hint="eastAsia"/>
                <w:color w:val="auto"/>
                <w:szCs w:val="21"/>
                <w:highlight w:val="none"/>
              </w:rPr>
              <w:t>1000</w:t>
            </w:r>
            <w:r>
              <w:rPr>
                <w:color w:val="auto"/>
                <w:szCs w:val="21"/>
                <w:highlight w:val="none"/>
              </w:rPr>
              <w:t>m，</w:t>
            </w:r>
            <w:r>
              <w:rPr>
                <w:rFonts w:hint="eastAsia"/>
                <w:color w:val="auto"/>
                <w:szCs w:val="21"/>
                <w:highlight w:val="none"/>
              </w:rPr>
              <w:t>总长约2.6km</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jc w:val="center"/>
        </w:trPr>
        <w:tc>
          <w:tcPr>
            <w:tcW w:w="681" w:type="dxa"/>
            <w:vAlign w:val="center"/>
          </w:tcPr>
          <w:p>
            <w:pPr>
              <w:spacing w:line="240" w:lineRule="atLeast"/>
              <w:jc w:val="center"/>
              <w:rPr>
                <w:bCs/>
                <w:color w:val="auto"/>
                <w:szCs w:val="21"/>
                <w:highlight w:val="none"/>
              </w:rPr>
            </w:pPr>
            <w:r>
              <w:rPr>
                <w:bCs/>
                <w:color w:val="auto"/>
                <w:szCs w:val="21"/>
                <w:highlight w:val="none"/>
              </w:rPr>
              <w:t>3</w:t>
            </w:r>
          </w:p>
        </w:tc>
        <w:tc>
          <w:tcPr>
            <w:tcW w:w="1140" w:type="dxa"/>
            <w:vAlign w:val="center"/>
          </w:tcPr>
          <w:p>
            <w:pPr>
              <w:spacing w:line="240" w:lineRule="atLeast"/>
              <w:jc w:val="center"/>
              <w:rPr>
                <w:color w:val="auto"/>
                <w:szCs w:val="21"/>
                <w:highlight w:val="none"/>
              </w:rPr>
            </w:pPr>
            <w:r>
              <w:rPr>
                <w:color w:val="auto"/>
                <w:szCs w:val="21"/>
                <w:highlight w:val="none"/>
              </w:rPr>
              <w:t>地下水</w:t>
            </w:r>
          </w:p>
        </w:tc>
        <w:tc>
          <w:tcPr>
            <w:tcW w:w="1701" w:type="dxa"/>
            <w:vAlign w:val="center"/>
          </w:tcPr>
          <w:p>
            <w:pPr>
              <w:spacing w:line="240" w:lineRule="atLeast"/>
              <w:jc w:val="center"/>
              <w:rPr>
                <w:color w:val="auto"/>
                <w:szCs w:val="21"/>
                <w:highlight w:val="none"/>
              </w:rPr>
            </w:pPr>
            <w:r>
              <w:rPr>
                <w:rFonts w:hint="eastAsia"/>
                <w:color w:val="auto"/>
                <w:szCs w:val="21"/>
                <w:highlight w:val="none"/>
              </w:rPr>
              <w:t>三</w:t>
            </w:r>
            <w:r>
              <w:rPr>
                <w:color w:val="auto"/>
                <w:szCs w:val="21"/>
                <w:highlight w:val="none"/>
              </w:rPr>
              <w:t>级</w:t>
            </w:r>
          </w:p>
        </w:tc>
        <w:tc>
          <w:tcPr>
            <w:tcW w:w="4766" w:type="dxa"/>
            <w:vAlign w:val="center"/>
          </w:tcPr>
          <w:p>
            <w:pPr>
              <w:spacing w:line="240" w:lineRule="atLeast"/>
              <w:jc w:val="left"/>
              <w:rPr>
                <w:color w:val="auto"/>
                <w:szCs w:val="21"/>
                <w:highlight w:val="none"/>
              </w:rPr>
            </w:pPr>
            <w:r>
              <w:rPr>
                <w:sz w:val="21"/>
                <w:szCs w:val="21"/>
                <w:highlight w:val="none"/>
              </w:rPr>
              <w:t>橡胶坝上游</w:t>
            </w:r>
            <w:r>
              <w:rPr>
                <w:rFonts w:hint="eastAsia"/>
                <w:sz w:val="21"/>
                <w:szCs w:val="21"/>
                <w:highlight w:val="none"/>
                <w:lang w:val="en-US" w:eastAsia="zh-CN"/>
              </w:rPr>
              <w:t>75</w:t>
            </w:r>
            <w:r>
              <w:rPr>
                <w:rFonts w:hint="eastAsia"/>
                <w:sz w:val="21"/>
                <w:szCs w:val="21"/>
                <w:highlight w:val="none"/>
              </w:rPr>
              <w:t>0</w:t>
            </w:r>
            <w:r>
              <w:rPr>
                <w:sz w:val="21"/>
                <w:szCs w:val="21"/>
                <w:highlight w:val="none"/>
              </w:rPr>
              <w:t>m</w:t>
            </w:r>
            <w:r>
              <w:rPr>
                <w:rFonts w:hint="eastAsia"/>
                <w:sz w:val="21"/>
                <w:szCs w:val="21"/>
                <w:highlight w:val="none"/>
              </w:rPr>
              <w:t>至水</w:t>
            </w:r>
            <w:r>
              <w:rPr>
                <w:sz w:val="21"/>
                <w:szCs w:val="21"/>
                <w:highlight w:val="none"/>
              </w:rPr>
              <w:t>电厂房尾水口下游</w:t>
            </w:r>
            <w:r>
              <w:rPr>
                <w:rFonts w:hint="eastAsia"/>
                <w:sz w:val="21"/>
                <w:szCs w:val="21"/>
                <w:highlight w:val="none"/>
              </w:rPr>
              <w:t>1</w:t>
            </w:r>
            <w:r>
              <w:rPr>
                <w:rFonts w:hint="eastAsia"/>
                <w:sz w:val="21"/>
                <w:szCs w:val="21"/>
                <w:highlight w:val="none"/>
                <w:lang w:val="en-US" w:eastAsia="zh-CN"/>
              </w:rPr>
              <w:t>38</w:t>
            </w:r>
            <w:r>
              <w:rPr>
                <w:rFonts w:hint="eastAsia"/>
                <w:sz w:val="21"/>
                <w:szCs w:val="21"/>
                <w:highlight w:val="none"/>
              </w:rPr>
              <w:t>0m，河道总长约3</w:t>
            </w:r>
            <w:r>
              <w:rPr>
                <w:rFonts w:hint="eastAsia"/>
                <w:sz w:val="21"/>
                <w:szCs w:val="21"/>
                <w:highlight w:val="none"/>
                <w:lang w:val="en-US" w:eastAsia="zh-CN"/>
              </w:rPr>
              <w:t>23</w:t>
            </w:r>
            <w:r>
              <w:rPr>
                <w:rFonts w:hint="eastAsia"/>
                <w:sz w:val="21"/>
                <w:szCs w:val="21"/>
                <w:highlight w:val="none"/>
              </w:rPr>
              <w:t>0m；河道南侧</w:t>
            </w:r>
            <w:r>
              <w:rPr>
                <w:rFonts w:hint="eastAsia"/>
                <w:sz w:val="21"/>
                <w:szCs w:val="21"/>
                <w:highlight w:val="none"/>
                <w:lang w:eastAsia="zh-CN"/>
              </w:rPr>
              <w:t>约</w:t>
            </w:r>
            <w:r>
              <w:rPr>
                <w:rFonts w:hint="eastAsia"/>
                <w:sz w:val="21"/>
                <w:szCs w:val="21"/>
                <w:highlight w:val="none"/>
                <w:lang w:val="en-US" w:eastAsia="zh-CN"/>
              </w:rPr>
              <w:t>1120m</w:t>
            </w:r>
            <w:r>
              <w:rPr>
                <w:rFonts w:hint="eastAsia"/>
                <w:sz w:val="21"/>
                <w:szCs w:val="21"/>
                <w:highlight w:val="none"/>
              </w:rPr>
              <w:t>，西部距离</w:t>
            </w:r>
            <w:r>
              <w:rPr>
                <w:rFonts w:hint="eastAsia"/>
                <w:sz w:val="21"/>
                <w:szCs w:val="21"/>
                <w:highlight w:val="none"/>
                <w:lang w:eastAsia="zh-CN"/>
              </w:rPr>
              <w:t>电站</w:t>
            </w:r>
            <w:r>
              <w:rPr>
                <w:rFonts w:hint="eastAsia"/>
                <w:sz w:val="21"/>
                <w:szCs w:val="21"/>
                <w:highlight w:val="none"/>
              </w:rPr>
              <w:t>1</w:t>
            </w:r>
            <w:r>
              <w:rPr>
                <w:rFonts w:hint="eastAsia"/>
                <w:sz w:val="21"/>
                <w:szCs w:val="21"/>
                <w:highlight w:val="none"/>
                <w:lang w:val="en-US" w:eastAsia="zh-CN"/>
              </w:rPr>
              <w:t>45</w:t>
            </w:r>
            <w:r>
              <w:rPr>
                <w:rFonts w:hint="eastAsia"/>
                <w:sz w:val="21"/>
                <w:szCs w:val="21"/>
                <w:highlight w:val="none"/>
              </w:rPr>
              <w:t>0m，东部距离</w:t>
            </w:r>
            <w:r>
              <w:rPr>
                <w:rFonts w:hint="eastAsia"/>
                <w:sz w:val="21"/>
                <w:szCs w:val="21"/>
                <w:highlight w:val="none"/>
                <w:lang w:eastAsia="zh-CN"/>
              </w:rPr>
              <w:t>电站</w:t>
            </w:r>
            <w:r>
              <w:rPr>
                <w:rFonts w:hint="eastAsia"/>
                <w:sz w:val="21"/>
                <w:szCs w:val="21"/>
                <w:highlight w:val="none"/>
                <w:lang w:val="en-US" w:eastAsia="zh-CN"/>
              </w:rPr>
              <w:t>1670</w:t>
            </w:r>
            <w:r>
              <w:rPr>
                <w:rFonts w:hint="eastAsia"/>
                <w:sz w:val="21"/>
                <w:szCs w:val="21"/>
                <w:highlight w:val="none"/>
              </w:rPr>
              <w:t>m；河道北侧约</w:t>
            </w:r>
            <w:r>
              <w:rPr>
                <w:rFonts w:hint="eastAsia"/>
                <w:sz w:val="21"/>
                <w:szCs w:val="21"/>
                <w:highlight w:val="none"/>
                <w:lang w:val="en-US" w:eastAsia="zh-CN"/>
              </w:rPr>
              <w:t>650</w:t>
            </w:r>
            <w:r>
              <w:rPr>
                <w:rFonts w:hint="eastAsia"/>
                <w:sz w:val="21"/>
                <w:szCs w:val="21"/>
                <w:highlight w:val="none"/>
              </w:rPr>
              <w:t>m，总面积6</w:t>
            </w:r>
            <w:r>
              <w:rPr>
                <w:rFonts w:hint="eastAsia"/>
                <w:sz w:val="21"/>
                <w:szCs w:val="21"/>
                <w:highlight w:val="none"/>
                <w:lang w:val="en-US" w:eastAsia="zh-CN"/>
              </w:rPr>
              <w:t>.01</w:t>
            </w:r>
            <w:r>
              <w:rPr>
                <w:rFonts w:hint="eastAsia"/>
                <w:sz w:val="21"/>
                <w:szCs w:val="21"/>
                <w:highlight w:val="none"/>
              </w:rPr>
              <w:t>km</w:t>
            </w:r>
            <w:r>
              <w:rPr>
                <w:rFonts w:hint="eastAsia"/>
                <w:sz w:val="21"/>
                <w:szCs w:val="21"/>
                <w:highlight w:val="none"/>
                <w:vertAlign w:val="superscript"/>
              </w:rPr>
              <w:t>2</w:t>
            </w:r>
            <w:r>
              <w:rPr>
                <w:rFonts w:hint="eastAsia"/>
                <w:color w:val="auto"/>
                <w:sz w:val="21"/>
                <w:szCs w:val="21"/>
                <w:highlight w:val="none"/>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jc w:val="center"/>
        </w:trPr>
        <w:tc>
          <w:tcPr>
            <w:tcW w:w="681" w:type="dxa"/>
            <w:vAlign w:val="center"/>
          </w:tcPr>
          <w:p>
            <w:pPr>
              <w:spacing w:line="240" w:lineRule="atLeast"/>
              <w:jc w:val="center"/>
              <w:rPr>
                <w:bCs/>
                <w:color w:val="auto"/>
                <w:szCs w:val="21"/>
                <w:highlight w:val="none"/>
              </w:rPr>
            </w:pPr>
            <w:r>
              <w:rPr>
                <w:bCs/>
                <w:color w:val="auto"/>
                <w:szCs w:val="21"/>
                <w:highlight w:val="none"/>
              </w:rPr>
              <w:t>4</w:t>
            </w:r>
          </w:p>
        </w:tc>
        <w:tc>
          <w:tcPr>
            <w:tcW w:w="1140" w:type="dxa"/>
            <w:vAlign w:val="center"/>
          </w:tcPr>
          <w:p>
            <w:pPr>
              <w:spacing w:line="240" w:lineRule="atLeast"/>
              <w:jc w:val="center"/>
              <w:rPr>
                <w:color w:val="auto"/>
                <w:szCs w:val="21"/>
                <w:highlight w:val="none"/>
              </w:rPr>
            </w:pPr>
            <w:r>
              <w:rPr>
                <w:color w:val="auto"/>
                <w:szCs w:val="21"/>
                <w:highlight w:val="none"/>
              </w:rPr>
              <w:t>声环境</w:t>
            </w:r>
          </w:p>
        </w:tc>
        <w:tc>
          <w:tcPr>
            <w:tcW w:w="1701" w:type="dxa"/>
            <w:vAlign w:val="center"/>
          </w:tcPr>
          <w:p>
            <w:pPr>
              <w:spacing w:line="240" w:lineRule="atLeast"/>
              <w:jc w:val="center"/>
              <w:rPr>
                <w:color w:val="auto"/>
                <w:szCs w:val="21"/>
                <w:highlight w:val="none"/>
              </w:rPr>
            </w:pPr>
            <w:r>
              <w:rPr>
                <w:color w:val="auto"/>
                <w:szCs w:val="21"/>
                <w:highlight w:val="none"/>
              </w:rPr>
              <w:t>二级</w:t>
            </w:r>
          </w:p>
        </w:tc>
        <w:tc>
          <w:tcPr>
            <w:tcW w:w="4766" w:type="dxa"/>
            <w:vAlign w:val="center"/>
          </w:tcPr>
          <w:p>
            <w:pPr>
              <w:spacing w:line="240" w:lineRule="atLeast"/>
              <w:jc w:val="center"/>
              <w:rPr>
                <w:color w:val="auto"/>
                <w:szCs w:val="21"/>
                <w:highlight w:val="none"/>
              </w:rPr>
            </w:pPr>
            <w:r>
              <w:rPr>
                <w:color w:val="auto"/>
                <w:szCs w:val="21"/>
                <w:highlight w:val="none"/>
              </w:rPr>
              <w:t>厂界外</w:t>
            </w:r>
            <w:r>
              <w:rPr>
                <w:rFonts w:hint="eastAsia"/>
                <w:color w:val="auto"/>
                <w:szCs w:val="21"/>
                <w:highlight w:val="none"/>
              </w:rPr>
              <w:t>200</w:t>
            </w:r>
            <w:r>
              <w:rPr>
                <w:color w:val="auto"/>
                <w:szCs w:val="21"/>
                <w:highlight w:val="none"/>
              </w:rPr>
              <w:t>m范围内</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jc w:val="center"/>
        </w:trPr>
        <w:tc>
          <w:tcPr>
            <w:tcW w:w="681" w:type="dxa"/>
            <w:vMerge w:val="restart"/>
            <w:vAlign w:val="center"/>
          </w:tcPr>
          <w:p>
            <w:pPr>
              <w:spacing w:line="240" w:lineRule="atLeast"/>
              <w:jc w:val="center"/>
              <w:rPr>
                <w:bCs/>
                <w:color w:val="auto"/>
                <w:szCs w:val="21"/>
                <w:highlight w:val="none"/>
              </w:rPr>
            </w:pPr>
            <w:r>
              <w:rPr>
                <w:bCs/>
                <w:color w:val="auto"/>
                <w:szCs w:val="21"/>
                <w:highlight w:val="none"/>
              </w:rPr>
              <w:t>5</w:t>
            </w:r>
          </w:p>
        </w:tc>
        <w:tc>
          <w:tcPr>
            <w:tcW w:w="1140" w:type="dxa"/>
            <w:vMerge w:val="restart"/>
            <w:vAlign w:val="center"/>
          </w:tcPr>
          <w:p>
            <w:pPr>
              <w:spacing w:line="240" w:lineRule="atLeast"/>
              <w:jc w:val="center"/>
              <w:rPr>
                <w:color w:val="auto"/>
                <w:szCs w:val="21"/>
                <w:highlight w:val="none"/>
              </w:rPr>
            </w:pPr>
            <w:r>
              <w:rPr>
                <w:rFonts w:hint="eastAsia"/>
                <w:bCs/>
                <w:color w:val="auto"/>
                <w:szCs w:val="21"/>
                <w:highlight w:val="none"/>
              </w:rPr>
              <w:t>土壤</w:t>
            </w:r>
          </w:p>
        </w:tc>
        <w:tc>
          <w:tcPr>
            <w:tcW w:w="1701" w:type="dxa"/>
            <w:vAlign w:val="center"/>
          </w:tcPr>
          <w:p>
            <w:pPr>
              <w:spacing w:line="240" w:lineRule="atLeast"/>
              <w:jc w:val="center"/>
              <w:rPr>
                <w:color w:val="auto"/>
                <w:szCs w:val="21"/>
                <w:highlight w:val="none"/>
              </w:rPr>
            </w:pPr>
            <w:r>
              <w:rPr>
                <w:rFonts w:hint="eastAsia"/>
                <w:color w:val="auto"/>
                <w:szCs w:val="21"/>
                <w:highlight w:val="none"/>
              </w:rPr>
              <w:t>生态影响型三级</w:t>
            </w:r>
          </w:p>
        </w:tc>
        <w:tc>
          <w:tcPr>
            <w:tcW w:w="4766" w:type="dxa"/>
            <w:vAlign w:val="center"/>
          </w:tcPr>
          <w:p>
            <w:pPr>
              <w:spacing w:line="240" w:lineRule="atLeast"/>
              <w:jc w:val="center"/>
              <w:rPr>
                <w:color w:val="auto"/>
                <w:szCs w:val="21"/>
                <w:highlight w:val="none"/>
              </w:rPr>
            </w:pPr>
            <w:r>
              <w:rPr>
                <w:color w:val="auto"/>
                <w:szCs w:val="21"/>
                <w:highlight w:val="none"/>
              </w:rPr>
              <w:t>项目占地范围及周边1km范围内</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jc w:val="center"/>
        </w:trPr>
        <w:tc>
          <w:tcPr>
            <w:tcW w:w="681" w:type="dxa"/>
            <w:vMerge w:val="continue"/>
            <w:vAlign w:val="center"/>
          </w:tcPr>
          <w:p>
            <w:pPr>
              <w:spacing w:line="240" w:lineRule="atLeast"/>
              <w:jc w:val="center"/>
              <w:rPr>
                <w:bCs/>
                <w:color w:val="auto"/>
                <w:szCs w:val="21"/>
                <w:highlight w:val="none"/>
              </w:rPr>
            </w:pPr>
          </w:p>
        </w:tc>
        <w:tc>
          <w:tcPr>
            <w:tcW w:w="1140" w:type="dxa"/>
            <w:vMerge w:val="continue"/>
            <w:vAlign w:val="center"/>
          </w:tcPr>
          <w:p>
            <w:pPr>
              <w:spacing w:line="240" w:lineRule="atLeast"/>
              <w:jc w:val="center"/>
              <w:rPr>
                <w:bCs/>
                <w:color w:val="auto"/>
                <w:szCs w:val="21"/>
                <w:highlight w:val="none"/>
              </w:rPr>
            </w:pPr>
          </w:p>
        </w:tc>
        <w:tc>
          <w:tcPr>
            <w:tcW w:w="1701" w:type="dxa"/>
            <w:vAlign w:val="center"/>
          </w:tcPr>
          <w:p>
            <w:pPr>
              <w:spacing w:line="240" w:lineRule="atLeast"/>
              <w:jc w:val="center"/>
              <w:rPr>
                <w:color w:val="auto"/>
                <w:szCs w:val="21"/>
                <w:highlight w:val="none"/>
              </w:rPr>
            </w:pPr>
            <w:r>
              <w:rPr>
                <w:rFonts w:hint="eastAsia"/>
                <w:color w:val="auto"/>
                <w:szCs w:val="21"/>
                <w:highlight w:val="none"/>
              </w:rPr>
              <w:t>污染影响型三级</w:t>
            </w:r>
          </w:p>
        </w:tc>
        <w:tc>
          <w:tcPr>
            <w:tcW w:w="4766" w:type="dxa"/>
            <w:vAlign w:val="center"/>
          </w:tcPr>
          <w:p>
            <w:pPr>
              <w:spacing w:line="240" w:lineRule="atLeast"/>
              <w:jc w:val="center"/>
              <w:rPr>
                <w:color w:val="auto"/>
                <w:szCs w:val="21"/>
                <w:highlight w:val="none"/>
              </w:rPr>
            </w:pPr>
            <w:r>
              <w:rPr>
                <w:color w:val="auto"/>
                <w:szCs w:val="21"/>
                <w:highlight w:val="none"/>
              </w:rPr>
              <w:t>项目占地范围及周边</w:t>
            </w:r>
            <w:r>
              <w:rPr>
                <w:rFonts w:hint="eastAsia"/>
                <w:color w:val="auto"/>
                <w:szCs w:val="21"/>
                <w:highlight w:val="none"/>
              </w:rPr>
              <w:t>0.05</w:t>
            </w:r>
            <w:r>
              <w:rPr>
                <w:color w:val="auto"/>
                <w:szCs w:val="21"/>
                <w:highlight w:val="none"/>
              </w:rPr>
              <w:t>km范围内</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jc w:val="center"/>
        </w:trPr>
        <w:tc>
          <w:tcPr>
            <w:tcW w:w="681" w:type="dxa"/>
            <w:vMerge w:val="restart"/>
            <w:vAlign w:val="center"/>
          </w:tcPr>
          <w:p>
            <w:pPr>
              <w:spacing w:line="240" w:lineRule="atLeast"/>
              <w:jc w:val="center"/>
              <w:rPr>
                <w:bCs/>
                <w:color w:val="auto"/>
                <w:szCs w:val="21"/>
                <w:highlight w:val="none"/>
              </w:rPr>
            </w:pPr>
            <w:r>
              <w:rPr>
                <w:bCs/>
                <w:color w:val="auto"/>
                <w:szCs w:val="21"/>
                <w:highlight w:val="none"/>
              </w:rPr>
              <w:t>6</w:t>
            </w:r>
          </w:p>
        </w:tc>
        <w:tc>
          <w:tcPr>
            <w:tcW w:w="1140" w:type="dxa"/>
            <w:vMerge w:val="restart"/>
            <w:vAlign w:val="center"/>
          </w:tcPr>
          <w:p>
            <w:pPr>
              <w:spacing w:line="240" w:lineRule="atLeast"/>
              <w:jc w:val="center"/>
              <w:rPr>
                <w:color w:val="auto"/>
                <w:szCs w:val="21"/>
                <w:highlight w:val="none"/>
              </w:rPr>
            </w:pPr>
            <w:r>
              <w:rPr>
                <w:color w:val="auto"/>
                <w:szCs w:val="21"/>
                <w:highlight w:val="none"/>
              </w:rPr>
              <w:t>生态</w:t>
            </w:r>
          </w:p>
        </w:tc>
        <w:tc>
          <w:tcPr>
            <w:tcW w:w="1701" w:type="dxa"/>
            <w:vAlign w:val="center"/>
          </w:tcPr>
          <w:p>
            <w:pPr>
              <w:spacing w:line="240" w:lineRule="atLeast"/>
              <w:jc w:val="center"/>
              <w:rPr>
                <w:color w:val="auto"/>
                <w:szCs w:val="21"/>
                <w:highlight w:val="none"/>
              </w:rPr>
            </w:pPr>
            <w:r>
              <w:rPr>
                <w:rFonts w:hint="eastAsia"/>
                <w:color w:val="auto"/>
                <w:szCs w:val="21"/>
                <w:highlight w:val="none"/>
              </w:rPr>
              <w:t>陆生生态二</w:t>
            </w:r>
            <w:r>
              <w:rPr>
                <w:color w:val="auto"/>
                <w:szCs w:val="21"/>
                <w:highlight w:val="none"/>
              </w:rPr>
              <w:t>级</w:t>
            </w:r>
          </w:p>
        </w:tc>
        <w:tc>
          <w:tcPr>
            <w:tcW w:w="4766" w:type="dxa"/>
            <w:vAlign w:val="center"/>
          </w:tcPr>
          <w:p>
            <w:pPr>
              <w:spacing w:line="240" w:lineRule="atLeast"/>
              <w:jc w:val="left"/>
              <w:rPr>
                <w:color w:val="auto"/>
                <w:szCs w:val="21"/>
                <w:highlight w:val="none"/>
              </w:rPr>
            </w:pPr>
            <w:r>
              <w:rPr>
                <w:rFonts w:hint="eastAsia"/>
                <w:color w:val="auto"/>
                <w:szCs w:val="21"/>
                <w:highlight w:val="none"/>
              </w:rPr>
              <w:t>橡胶坝</w:t>
            </w:r>
            <w:r>
              <w:rPr>
                <w:color w:val="auto"/>
                <w:szCs w:val="21"/>
                <w:highlight w:val="none"/>
              </w:rPr>
              <w:t>上游</w:t>
            </w:r>
            <w:r>
              <w:rPr>
                <w:rFonts w:hint="eastAsia"/>
                <w:color w:val="auto"/>
                <w:szCs w:val="21"/>
                <w:highlight w:val="none"/>
                <w:lang w:val="en-US" w:eastAsia="zh-CN"/>
              </w:rPr>
              <w:t>50</w:t>
            </w:r>
            <w:r>
              <w:rPr>
                <w:rFonts w:hint="eastAsia"/>
                <w:color w:val="auto"/>
                <w:szCs w:val="21"/>
                <w:highlight w:val="none"/>
              </w:rPr>
              <w:t>0</w:t>
            </w:r>
            <w:r>
              <w:rPr>
                <w:color w:val="auto"/>
                <w:szCs w:val="21"/>
                <w:highlight w:val="none"/>
              </w:rPr>
              <w:t>m至尾水渠下游1</w:t>
            </w:r>
            <w:r>
              <w:rPr>
                <w:rFonts w:hint="eastAsia"/>
                <w:color w:val="auto"/>
                <w:szCs w:val="21"/>
                <w:highlight w:val="none"/>
              </w:rPr>
              <w:t>000</w:t>
            </w:r>
            <w:r>
              <w:rPr>
                <w:color w:val="auto"/>
                <w:szCs w:val="21"/>
                <w:highlight w:val="none"/>
              </w:rPr>
              <w:t>m</w:t>
            </w:r>
            <w:r>
              <w:rPr>
                <w:rFonts w:hint="eastAsia"/>
                <w:color w:val="auto"/>
                <w:szCs w:val="21"/>
                <w:highlight w:val="none"/>
              </w:rPr>
              <w:t>的两侧各外延</w:t>
            </w:r>
            <w:r>
              <w:rPr>
                <w:rFonts w:hint="eastAsia"/>
                <w:color w:val="auto"/>
                <w:szCs w:val="21"/>
                <w:highlight w:val="none"/>
                <w:lang w:val="en-US" w:eastAsia="zh-CN"/>
              </w:rPr>
              <w:t>3</w:t>
            </w:r>
            <w:r>
              <w:rPr>
                <w:rFonts w:hint="eastAsia"/>
                <w:color w:val="auto"/>
                <w:szCs w:val="21"/>
                <w:highlight w:val="none"/>
              </w:rPr>
              <w:t>00m。</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jc w:val="center"/>
        </w:trPr>
        <w:tc>
          <w:tcPr>
            <w:tcW w:w="681" w:type="dxa"/>
            <w:vMerge w:val="continue"/>
            <w:vAlign w:val="center"/>
          </w:tcPr>
          <w:p>
            <w:pPr>
              <w:spacing w:line="240" w:lineRule="atLeast"/>
              <w:jc w:val="center"/>
              <w:rPr>
                <w:bCs/>
                <w:color w:val="auto"/>
                <w:szCs w:val="21"/>
                <w:highlight w:val="none"/>
              </w:rPr>
            </w:pPr>
          </w:p>
        </w:tc>
        <w:tc>
          <w:tcPr>
            <w:tcW w:w="1140" w:type="dxa"/>
            <w:vMerge w:val="continue"/>
            <w:vAlign w:val="center"/>
          </w:tcPr>
          <w:p>
            <w:pPr>
              <w:spacing w:line="240" w:lineRule="atLeast"/>
              <w:jc w:val="center"/>
              <w:rPr>
                <w:color w:val="auto"/>
                <w:szCs w:val="21"/>
                <w:highlight w:val="none"/>
              </w:rPr>
            </w:pPr>
          </w:p>
        </w:tc>
        <w:tc>
          <w:tcPr>
            <w:tcW w:w="1701" w:type="dxa"/>
            <w:vAlign w:val="center"/>
          </w:tcPr>
          <w:p>
            <w:pPr>
              <w:spacing w:line="240" w:lineRule="atLeast"/>
              <w:jc w:val="left"/>
              <w:rPr>
                <w:color w:val="auto"/>
                <w:szCs w:val="21"/>
                <w:highlight w:val="none"/>
              </w:rPr>
            </w:pPr>
            <w:r>
              <w:rPr>
                <w:rFonts w:hint="eastAsia"/>
                <w:color w:val="auto"/>
                <w:szCs w:val="21"/>
                <w:highlight w:val="none"/>
              </w:rPr>
              <w:t>水生生态二级</w:t>
            </w:r>
          </w:p>
        </w:tc>
        <w:tc>
          <w:tcPr>
            <w:tcW w:w="4766" w:type="dxa"/>
            <w:vAlign w:val="center"/>
          </w:tcPr>
          <w:p>
            <w:pPr>
              <w:spacing w:line="240" w:lineRule="atLeast"/>
              <w:jc w:val="left"/>
              <w:rPr>
                <w:color w:val="auto"/>
                <w:szCs w:val="21"/>
                <w:highlight w:val="none"/>
              </w:rPr>
            </w:pPr>
            <w:r>
              <w:rPr>
                <w:color w:val="auto"/>
                <w:szCs w:val="21"/>
                <w:highlight w:val="none"/>
              </w:rPr>
              <w:t>橡胶坝上游</w:t>
            </w:r>
            <w:r>
              <w:rPr>
                <w:rFonts w:hint="eastAsia"/>
                <w:color w:val="auto"/>
                <w:szCs w:val="21"/>
                <w:highlight w:val="none"/>
                <w:lang w:val="en-US" w:eastAsia="zh-CN"/>
              </w:rPr>
              <w:t>50</w:t>
            </w:r>
            <w:r>
              <w:rPr>
                <w:rFonts w:hint="eastAsia"/>
                <w:color w:val="auto"/>
                <w:szCs w:val="21"/>
                <w:highlight w:val="none"/>
              </w:rPr>
              <w:t>0</w:t>
            </w:r>
            <w:r>
              <w:rPr>
                <w:color w:val="auto"/>
                <w:szCs w:val="21"/>
                <w:highlight w:val="none"/>
              </w:rPr>
              <w:t>m</w:t>
            </w:r>
            <w:r>
              <w:rPr>
                <w:rFonts w:hint="eastAsia"/>
                <w:color w:val="auto"/>
                <w:szCs w:val="21"/>
                <w:highlight w:val="none"/>
              </w:rPr>
              <w:t>至水</w:t>
            </w:r>
            <w:r>
              <w:rPr>
                <w:color w:val="auto"/>
                <w:szCs w:val="21"/>
                <w:highlight w:val="none"/>
              </w:rPr>
              <w:t>电厂房尾水口下游</w:t>
            </w:r>
            <w:r>
              <w:rPr>
                <w:rFonts w:hint="eastAsia"/>
                <w:color w:val="auto"/>
                <w:szCs w:val="21"/>
                <w:highlight w:val="none"/>
              </w:rPr>
              <w:t>1000</w:t>
            </w:r>
            <w:r>
              <w:rPr>
                <w:color w:val="auto"/>
                <w:szCs w:val="21"/>
                <w:highlight w:val="none"/>
              </w:rPr>
              <w:t>m，</w:t>
            </w:r>
            <w:r>
              <w:rPr>
                <w:rFonts w:hint="eastAsia"/>
                <w:color w:val="auto"/>
                <w:szCs w:val="21"/>
                <w:highlight w:val="none"/>
              </w:rPr>
              <w:t>总长2.6km</w:t>
            </w:r>
            <w:r>
              <w:rPr>
                <w:color w:val="auto"/>
                <w:szCs w:val="21"/>
                <w:highlight w:val="none"/>
              </w:rPr>
              <w:t>的黎河段。</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jc w:val="center"/>
        </w:trPr>
        <w:tc>
          <w:tcPr>
            <w:tcW w:w="681" w:type="dxa"/>
            <w:vAlign w:val="center"/>
          </w:tcPr>
          <w:p>
            <w:pPr>
              <w:spacing w:line="240" w:lineRule="atLeast"/>
              <w:jc w:val="center"/>
              <w:rPr>
                <w:bCs/>
                <w:color w:val="auto"/>
                <w:szCs w:val="21"/>
                <w:highlight w:val="none"/>
              </w:rPr>
            </w:pPr>
            <w:r>
              <w:rPr>
                <w:rFonts w:hint="eastAsia"/>
                <w:bCs/>
                <w:color w:val="auto"/>
                <w:szCs w:val="21"/>
                <w:highlight w:val="none"/>
              </w:rPr>
              <w:t>7</w:t>
            </w:r>
          </w:p>
        </w:tc>
        <w:tc>
          <w:tcPr>
            <w:tcW w:w="1140" w:type="dxa"/>
            <w:vAlign w:val="center"/>
          </w:tcPr>
          <w:p>
            <w:pPr>
              <w:spacing w:line="240" w:lineRule="atLeast"/>
              <w:jc w:val="center"/>
              <w:rPr>
                <w:color w:val="auto"/>
                <w:szCs w:val="21"/>
                <w:highlight w:val="none"/>
              </w:rPr>
            </w:pPr>
            <w:r>
              <w:rPr>
                <w:color w:val="auto"/>
                <w:szCs w:val="21"/>
                <w:highlight w:val="none"/>
              </w:rPr>
              <w:t>环境风险</w:t>
            </w:r>
          </w:p>
        </w:tc>
        <w:tc>
          <w:tcPr>
            <w:tcW w:w="1701" w:type="dxa"/>
            <w:vAlign w:val="center"/>
          </w:tcPr>
          <w:p>
            <w:pPr>
              <w:spacing w:line="240" w:lineRule="atLeast"/>
              <w:jc w:val="left"/>
              <w:rPr>
                <w:color w:val="auto"/>
                <w:szCs w:val="21"/>
                <w:highlight w:val="none"/>
              </w:rPr>
            </w:pPr>
            <w:r>
              <w:rPr>
                <w:rFonts w:hint="eastAsia"/>
                <w:color w:val="auto"/>
                <w:szCs w:val="21"/>
                <w:highlight w:val="none"/>
              </w:rPr>
              <w:t>简要分析</w:t>
            </w:r>
          </w:p>
        </w:tc>
        <w:tc>
          <w:tcPr>
            <w:tcW w:w="4766" w:type="dxa"/>
            <w:vAlign w:val="center"/>
          </w:tcPr>
          <w:p>
            <w:pPr>
              <w:spacing w:line="240" w:lineRule="atLeast"/>
              <w:jc w:val="center"/>
              <w:rPr>
                <w:color w:val="auto"/>
                <w:szCs w:val="21"/>
                <w:highlight w:val="none"/>
              </w:rPr>
            </w:pPr>
            <w:r>
              <w:rPr>
                <w:rFonts w:hint="eastAsia"/>
                <w:color w:val="auto"/>
                <w:szCs w:val="21"/>
                <w:highlight w:val="none"/>
              </w:rPr>
              <w:t>不设风险评价范围。</w:t>
            </w:r>
          </w:p>
        </w:tc>
      </w:tr>
    </w:tbl>
    <w:p>
      <w:pPr>
        <w:pStyle w:val="3"/>
        <w:spacing w:beforeLines="0" w:line="480" w:lineRule="exact"/>
        <w:rPr>
          <w:rFonts w:eastAsia="宋体"/>
          <w:b/>
          <w:color w:val="auto"/>
          <w:highlight w:val="none"/>
        </w:rPr>
      </w:pPr>
      <w:bookmarkStart w:id="103" w:name="_Toc10072"/>
      <w:bookmarkStart w:id="104" w:name="_Toc31544"/>
      <w:bookmarkStart w:id="105" w:name="_Toc16519"/>
      <w:bookmarkStart w:id="106" w:name="_Toc482193208"/>
      <w:bookmarkStart w:id="107" w:name="_Toc22359"/>
      <w:bookmarkStart w:id="108" w:name="_Toc150246997"/>
      <w:bookmarkStart w:id="109" w:name="_Toc156613288"/>
      <w:r>
        <w:rPr>
          <w:rFonts w:hint="eastAsia" w:eastAsia="宋体"/>
          <w:b/>
          <w:color w:val="auto"/>
          <w:highlight w:val="none"/>
        </w:rPr>
        <w:t>1.</w:t>
      </w:r>
      <w:r>
        <w:rPr>
          <w:rFonts w:hint="eastAsia" w:eastAsia="宋体"/>
          <w:b/>
          <w:color w:val="auto"/>
          <w:highlight w:val="none"/>
          <w:lang w:val="en-US" w:eastAsia="zh-CN"/>
        </w:rPr>
        <w:t>6</w:t>
      </w:r>
      <w:r>
        <w:rPr>
          <w:rFonts w:hint="eastAsia" w:eastAsia="宋体"/>
          <w:b/>
          <w:color w:val="auto"/>
          <w:highlight w:val="none"/>
        </w:rPr>
        <w:t>环境敏感区域环境</w:t>
      </w:r>
      <w:r>
        <w:rPr>
          <w:rFonts w:eastAsia="宋体"/>
          <w:b/>
          <w:color w:val="auto"/>
          <w:highlight w:val="none"/>
        </w:rPr>
        <w:t>保护目标</w:t>
      </w:r>
      <w:bookmarkEnd w:id="103"/>
      <w:bookmarkEnd w:id="104"/>
      <w:bookmarkEnd w:id="105"/>
      <w:bookmarkEnd w:id="106"/>
      <w:bookmarkEnd w:id="107"/>
    </w:p>
    <w:p>
      <w:pPr>
        <w:spacing w:line="480" w:lineRule="exact"/>
        <w:rPr>
          <w:b/>
          <w:snapToGrid w:val="0"/>
          <w:color w:val="auto"/>
          <w:kern w:val="0"/>
          <w:sz w:val="24"/>
          <w:highlight w:val="none"/>
          <w:lang w:val="zh-CN"/>
        </w:rPr>
      </w:pPr>
      <w:r>
        <w:rPr>
          <w:rFonts w:hint="eastAsia"/>
          <w:b/>
          <w:snapToGrid w:val="0"/>
          <w:color w:val="auto"/>
          <w:kern w:val="0"/>
          <w:sz w:val="24"/>
          <w:highlight w:val="none"/>
        </w:rPr>
        <w:t>1.</w:t>
      </w:r>
      <w:r>
        <w:rPr>
          <w:rFonts w:hint="eastAsia"/>
          <w:b/>
          <w:snapToGrid w:val="0"/>
          <w:color w:val="auto"/>
          <w:kern w:val="0"/>
          <w:sz w:val="24"/>
          <w:highlight w:val="none"/>
          <w:lang w:val="en-US" w:eastAsia="zh-CN"/>
        </w:rPr>
        <w:t>6</w:t>
      </w:r>
      <w:r>
        <w:rPr>
          <w:b/>
          <w:snapToGrid w:val="0"/>
          <w:color w:val="auto"/>
          <w:kern w:val="0"/>
          <w:sz w:val="24"/>
          <w:highlight w:val="none"/>
          <w:lang w:val="zh-CN"/>
        </w:rPr>
        <w:t>.1</w:t>
      </w:r>
      <w:r>
        <w:rPr>
          <w:rFonts w:hint="eastAsia"/>
          <w:b/>
          <w:snapToGrid w:val="0"/>
          <w:color w:val="auto"/>
          <w:kern w:val="0"/>
          <w:sz w:val="24"/>
          <w:highlight w:val="none"/>
          <w:lang w:val="zh-CN"/>
        </w:rPr>
        <w:t>环境敏感区</w:t>
      </w:r>
    </w:p>
    <w:p>
      <w:pPr>
        <w:spacing w:line="480" w:lineRule="exact"/>
        <w:ind w:firstLine="480" w:firstLineChars="200"/>
        <w:rPr>
          <w:snapToGrid w:val="0"/>
          <w:color w:val="auto"/>
          <w:kern w:val="0"/>
          <w:sz w:val="24"/>
          <w:highlight w:val="none"/>
        </w:rPr>
      </w:pPr>
      <w:r>
        <w:rPr>
          <w:rFonts w:hint="eastAsia"/>
          <w:snapToGrid w:val="0"/>
          <w:color w:val="auto"/>
          <w:kern w:val="0"/>
          <w:sz w:val="24"/>
          <w:highlight w:val="none"/>
        </w:rPr>
        <w:t>根据相关资料及调查，本项目评价范围内没有自然保护区、世界文化和自然遗产地等特殊生态敏感区，不涉及风景名胜区、森林公园、地质公园、重要湿地、基本农田、生态公益林等重要生态敏感区。项目评价河段不涉及县级、乡镇级及农村集中式饮用水源保护区。但橡胶坝位于黎河生态红线内。</w:t>
      </w:r>
    </w:p>
    <w:p>
      <w:pPr>
        <w:spacing w:line="480" w:lineRule="exact"/>
        <w:rPr>
          <w:b/>
          <w:snapToGrid w:val="0"/>
          <w:color w:val="auto"/>
          <w:kern w:val="0"/>
          <w:sz w:val="24"/>
          <w:highlight w:val="none"/>
          <w:lang w:val="zh-CN"/>
        </w:rPr>
      </w:pPr>
      <w:r>
        <w:rPr>
          <w:rFonts w:hint="eastAsia"/>
          <w:b/>
          <w:snapToGrid w:val="0"/>
          <w:color w:val="auto"/>
          <w:kern w:val="0"/>
          <w:sz w:val="24"/>
          <w:highlight w:val="none"/>
        </w:rPr>
        <w:t>1.</w:t>
      </w:r>
      <w:r>
        <w:rPr>
          <w:rFonts w:hint="eastAsia"/>
          <w:b/>
          <w:snapToGrid w:val="0"/>
          <w:color w:val="auto"/>
          <w:kern w:val="0"/>
          <w:sz w:val="24"/>
          <w:highlight w:val="none"/>
          <w:lang w:val="en-US" w:eastAsia="zh-CN"/>
        </w:rPr>
        <w:t>6</w:t>
      </w:r>
      <w:r>
        <w:rPr>
          <w:b/>
          <w:snapToGrid w:val="0"/>
          <w:color w:val="auto"/>
          <w:kern w:val="0"/>
          <w:sz w:val="24"/>
          <w:highlight w:val="none"/>
          <w:lang w:val="zh-CN"/>
        </w:rPr>
        <w:t>.</w:t>
      </w:r>
      <w:r>
        <w:rPr>
          <w:rFonts w:hint="eastAsia"/>
          <w:b/>
          <w:snapToGrid w:val="0"/>
          <w:color w:val="auto"/>
          <w:kern w:val="0"/>
          <w:sz w:val="24"/>
          <w:highlight w:val="none"/>
        </w:rPr>
        <w:t>2</w:t>
      </w:r>
      <w:r>
        <w:rPr>
          <w:rFonts w:hint="eastAsia"/>
          <w:b/>
          <w:snapToGrid w:val="0"/>
          <w:color w:val="auto"/>
          <w:kern w:val="0"/>
          <w:sz w:val="24"/>
          <w:highlight w:val="none"/>
          <w:lang w:val="zh-CN"/>
        </w:rPr>
        <w:t>环境保护目标</w:t>
      </w:r>
    </w:p>
    <w:p>
      <w:pPr>
        <w:spacing w:line="480" w:lineRule="exact"/>
        <w:ind w:firstLine="480" w:firstLineChars="200"/>
        <w:rPr>
          <w:snapToGrid w:val="0"/>
          <w:kern w:val="0"/>
          <w:sz w:val="24"/>
          <w:highlight w:val="none"/>
        </w:rPr>
      </w:pPr>
      <w:r>
        <w:rPr>
          <w:rFonts w:hint="eastAsia"/>
          <w:snapToGrid w:val="0"/>
          <w:kern w:val="0"/>
          <w:sz w:val="24"/>
          <w:highlight w:val="none"/>
        </w:rPr>
        <w:t>（1）地表水</w:t>
      </w:r>
    </w:p>
    <w:p>
      <w:pPr>
        <w:spacing w:line="480" w:lineRule="exact"/>
        <w:ind w:firstLine="480" w:firstLineChars="200"/>
        <w:rPr>
          <w:snapToGrid w:val="0"/>
          <w:color w:val="auto"/>
          <w:kern w:val="0"/>
          <w:sz w:val="24"/>
          <w:highlight w:val="none"/>
        </w:rPr>
      </w:pPr>
      <w:r>
        <w:rPr>
          <w:rFonts w:hint="eastAsia"/>
          <w:snapToGrid w:val="0"/>
          <w:kern w:val="0"/>
          <w:sz w:val="24"/>
          <w:highlight w:val="none"/>
        </w:rPr>
        <w:t>橡</w:t>
      </w:r>
      <w:r>
        <w:rPr>
          <w:rFonts w:hint="eastAsia"/>
          <w:snapToGrid w:val="0"/>
          <w:color w:val="auto"/>
          <w:kern w:val="0"/>
          <w:sz w:val="24"/>
          <w:highlight w:val="none"/>
        </w:rPr>
        <w:t>胶坝上游至电站尾水排放点的黎河，需满足《地表水环境质量标准》（GB 3838-2002）中</w:t>
      </w:r>
      <w:r>
        <w:rPr>
          <w:color w:val="auto"/>
          <w:sz w:val="24"/>
          <w:highlight w:val="none"/>
        </w:rPr>
        <w:fldChar w:fldCharType="begin"/>
      </w:r>
      <w:r>
        <w:rPr>
          <w:color w:val="auto"/>
          <w:sz w:val="24"/>
          <w:highlight w:val="none"/>
        </w:rPr>
        <w:instrText xml:space="preserve"> = 3 \* ROMAN \* MERGEFORMAT </w:instrText>
      </w:r>
      <w:r>
        <w:rPr>
          <w:color w:val="auto"/>
          <w:sz w:val="24"/>
          <w:highlight w:val="none"/>
        </w:rPr>
        <w:fldChar w:fldCharType="separate"/>
      </w:r>
      <w:r>
        <w:rPr>
          <w:color w:val="auto"/>
          <w:sz w:val="24"/>
          <w:highlight w:val="none"/>
        </w:rPr>
        <w:t>III</w:t>
      </w:r>
      <w:r>
        <w:rPr>
          <w:color w:val="auto"/>
          <w:sz w:val="24"/>
          <w:highlight w:val="none"/>
        </w:rPr>
        <w:fldChar w:fldCharType="end"/>
      </w:r>
      <w:r>
        <w:rPr>
          <w:color w:val="auto"/>
          <w:sz w:val="24"/>
          <w:highlight w:val="none"/>
        </w:rPr>
        <w:t>类</w:t>
      </w:r>
      <w:r>
        <w:rPr>
          <w:rFonts w:hint="eastAsia"/>
          <w:snapToGrid w:val="0"/>
          <w:color w:val="auto"/>
          <w:kern w:val="0"/>
          <w:sz w:val="24"/>
          <w:highlight w:val="none"/>
        </w:rPr>
        <w:t>标准，水环境保护目标见下表：</w:t>
      </w:r>
    </w:p>
    <w:p>
      <w:pPr>
        <w:spacing w:line="480" w:lineRule="exact"/>
        <w:jc w:val="center"/>
        <w:rPr>
          <w:b/>
          <w:bCs/>
          <w:snapToGrid w:val="0"/>
          <w:color w:val="auto"/>
          <w:kern w:val="0"/>
          <w:sz w:val="24"/>
          <w:highlight w:val="none"/>
        </w:rPr>
      </w:pPr>
      <w:r>
        <w:rPr>
          <w:rFonts w:hint="eastAsia"/>
          <w:b/>
          <w:bCs/>
          <w:snapToGrid w:val="0"/>
          <w:color w:val="auto"/>
          <w:kern w:val="0"/>
          <w:sz w:val="24"/>
          <w:highlight w:val="none"/>
        </w:rPr>
        <w:t>表1.</w:t>
      </w:r>
      <w:r>
        <w:rPr>
          <w:rFonts w:hint="eastAsia"/>
          <w:b/>
          <w:bCs/>
          <w:snapToGrid w:val="0"/>
          <w:color w:val="auto"/>
          <w:kern w:val="0"/>
          <w:sz w:val="24"/>
          <w:highlight w:val="none"/>
          <w:lang w:val="en-US" w:eastAsia="zh-CN"/>
        </w:rPr>
        <w:t>6</w:t>
      </w:r>
      <w:r>
        <w:rPr>
          <w:rFonts w:hint="eastAsia"/>
          <w:b/>
          <w:bCs/>
          <w:snapToGrid w:val="0"/>
          <w:color w:val="auto"/>
          <w:kern w:val="0"/>
          <w:sz w:val="24"/>
          <w:highlight w:val="none"/>
        </w:rPr>
        <w:t>-1 地表水环境保护目标</w:t>
      </w:r>
    </w:p>
    <w:tbl>
      <w:tblPr>
        <w:tblStyle w:val="5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975"/>
        <w:gridCol w:w="1785"/>
        <w:gridCol w:w="2040"/>
        <w:gridCol w:w="2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tcPr>
          <w:p>
            <w:pPr>
              <w:spacing w:line="300" w:lineRule="exact"/>
              <w:jc w:val="center"/>
              <w:rPr>
                <w:snapToGrid w:val="0"/>
                <w:color w:val="auto"/>
                <w:kern w:val="0"/>
                <w:szCs w:val="21"/>
                <w:highlight w:val="none"/>
              </w:rPr>
            </w:pPr>
            <w:r>
              <w:rPr>
                <w:rFonts w:hint="eastAsia"/>
                <w:snapToGrid w:val="0"/>
                <w:color w:val="auto"/>
                <w:kern w:val="0"/>
                <w:szCs w:val="21"/>
                <w:highlight w:val="none"/>
              </w:rPr>
              <w:t>序号</w:t>
            </w:r>
          </w:p>
        </w:tc>
        <w:tc>
          <w:tcPr>
            <w:tcW w:w="975" w:type="dxa"/>
          </w:tcPr>
          <w:p>
            <w:pPr>
              <w:spacing w:line="300" w:lineRule="exact"/>
              <w:jc w:val="center"/>
              <w:rPr>
                <w:snapToGrid w:val="0"/>
                <w:color w:val="auto"/>
                <w:kern w:val="0"/>
                <w:szCs w:val="21"/>
                <w:highlight w:val="none"/>
              </w:rPr>
            </w:pPr>
            <w:r>
              <w:rPr>
                <w:rFonts w:hint="eastAsia"/>
                <w:snapToGrid w:val="0"/>
                <w:color w:val="auto"/>
                <w:kern w:val="0"/>
                <w:szCs w:val="21"/>
                <w:highlight w:val="none"/>
              </w:rPr>
              <w:t>敏感点</w:t>
            </w:r>
          </w:p>
        </w:tc>
        <w:tc>
          <w:tcPr>
            <w:tcW w:w="1785" w:type="dxa"/>
          </w:tcPr>
          <w:p>
            <w:pPr>
              <w:spacing w:line="300" w:lineRule="exact"/>
              <w:jc w:val="center"/>
              <w:rPr>
                <w:snapToGrid w:val="0"/>
                <w:color w:val="auto"/>
                <w:kern w:val="0"/>
                <w:szCs w:val="21"/>
                <w:highlight w:val="none"/>
              </w:rPr>
            </w:pPr>
            <w:r>
              <w:rPr>
                <w:rFonts w:hint="eastAsia"/>
                <w:snapToGrid w:val="0"/>
                <w:color w:val="auto"/>
                <w:kern w:val="0"/>
                <w:szCs w:val="21"/>
                <w:highlight w:val="none"/>
              </w:rPr>
              <w:t>位置</w:t>
            </w:r>
          </w:p>
        </w:tc>
        <w:tc>
          <w:tcPr>
            <w:tcW w:w="2040" w:type="dxa"/>
          </w:tcPr>
          <w:p>
            <w:pPr>
              <w:spacing w:line="300" w:lineRule="exact"/>
              <w:jc w:val="center"/>
              <w:rPr>
                <w:snapToGrid w:val="0"/>
                <w:color w:val="auto"/>
                <w:kern w:val="0"/>
                <w:szCs w:val="21"/>
                <w:highlight w:val="none"/>
              </w:rPr>
            </w:pPr>
            <w:r>
              <w:rPr>
                <w:rFonts w:hint="eastAsia"/>
                <w:snapToGrid w:val="0"/>
                <w:color w:val="auto"/>
                <w:kern w:val="0"/>
                <w:szCs w:val="21"/>
                <w:highlight w:val="none"/>
              </w:rPr>
              <w:t>评价范围内规模</w:t>
            </w:r>
          </w:p>
        </w:tc>
        <w:tc>
          <w:tcPr>
            <w:tcW w:w="2835" w:type="dxa"/>
          </w:tcPr>
          <w:p>
            <w:pPr>
              <w:spacing w:line="300" w:lineRule="exact"/>
              <w:jc w:val="center"/>
              <w:rPr>
                <w:snapToGrid w:val="0"/>
                <w:color w:val="auto"/>
                <w:kern w:val="0"/>
                <w:szCs w:val="21"/>
                <w:highlight w:val="none"/>
              </w:rPr>
            </w:pPr>
            <w:r>
              <w:rPr>
                <w:rFonts w:hint="eastAsia"/>
                <w:snapToGrid w:val="0"/>
                <w:color w:val="auto"/>
                <w:kern w:val="0"/>
                <w:szCs w:val="21"/>
                <w:highlight w:val="none"/>
              </w:rPr>
              <w:t>保护等级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spacing w:line="300" w:lineRule="exact"/>
              <w:jc w:val="center"/>
              <w:rPr>
                <w:snapToGrid w:val="0"/>
                <w:color w:val="auto"/>
                <w:kern w:val="0"/>
                <w:szCs w:val="21"/>
                <w:highlight w:val="none"/>
              </w:rPr>
            </w:pPr>
            <w:r>
              <w:rPr>
                <w:rFonts w:hint="eastAsia"/>
                <w:snapToGrid w:val="0"/>
                <w:color w:val="auto"/>
                <w:kern w:val="0"/>
                <w:szCs w:val="21"/>
                <w:highlight w:val="none"/>
              </w:rPr>
              <w:t>1</w:t>
            </w:r>
          </w:p>
        </w:tc>
        <w:tc>
          <w:tcPr>
            <w:tcW w:w="975" w:type="dxa"/>
            <w:vAlign w:val="center"/>
          </w:tcPr>
          <w:p>
            <w:pPr>
              <w:spacing w:line="300" w:lineRule="exact"/>
              <w:jc w:val="center"/>
              <w:rPr>
                <w:snapToGrid w:val="0"/>
                <w:color w:val="auto"/>
                <w:kern w:val="0"/>
                <w:szCs w:val="21"/>
                <w:highlight w:val="none"/>
              </w:rPr>
            </w:pPr>
            <w:r>
              <w:rPr>
                <w:rFonts w:hint="eastAsia"/>
                <w:snapToGrid w:val="0"/>
                <w:color w:val="auto"/>
                <w:kern w:val="0"/>
                <w:szCs w:val="21"/>
                <w:highlight w:val="none"/>
              </w:rPr>
              <w:t>黎河</w:t>
            </w:r>
          </w:p>
        </w:tc>
        <w:tc>
          <w:tcPr>
            <w:tcW w:w="1785" w:type="dxa"/>
            <w:vAlign w:val="center"/>
          </w:tcPr>
          <w:p>
            <w:pPr>
              <w:spacing w:line="300" w:lineRule="exact"/>
              <w:jc w:val="center"/>
              <w:rPr>
                <w:snapToGrid w:val="0"/>
                <w:color w:val="auto"/>
                <w:kern w:val="0"/>
                <w:szCs w:val="21"/>
                <w:highlight w:val="none"/>
              </w:rPr>
            </w:pPr>
            <w:r>
              <w:rPr>
                <w:rFonts w:hint="eastAsia"/>
                <w:snapToGrid w:val="0"/>
                <w:color w:val="auto"/>
                <w:kern w:val="0"/>
                <w:szCs w:val="21"/>
                <w:highlight w:val="none"/>
              </w:rPr>
              <w:t>橡胶坝上游</w:t>
            </w:r>
            <w:r>
              <w:rPr>
                <w:rFonts w:hint="eastAsia"/>
                <w:snapToGrid w:val="0"/>
                <w:color w:val="auto"/>
                <w:kern w:val="0"/>
                <w:szCs w:val="21"/>
                <w:highlight w:val="none"/>
                <w:lang w:val="en-US" w:eastAsia="zh-CN"/>
              </w:rPr>
              <w:t>50</w:t>
            </w:r>
            <w:r>
              <w:rPr>
                <w:rFonts w:hint="eastAsia"/>
                <w:snapToGrid w:val="0"/>
                <w:color w:val="auto"/>
                <w:kern w:val="0"/>
                <w:szCs w:val="21"/>
                <w:highlight w:val="none"/>
              </w:rPr>
              <w:t>0m至</w:t>
            </w:r>
            <w:r>
              <w:rPr>
                <w:rFonts w:hint="eastAsia"/>
                <w:color w:val="auto"/>
                <w:szCs w:val="21"/>
                <w:highlight w:val="none"/>
              </w:rPr>
              <w:t>水</w:t>
            </w:r>
            <w:r>
              <w:rPr>
                <w:color w:val="auto"/>
                <w:szCs w:val="21"/>
                <w:highlight w:val="none"/>
              </w:rPr>
              <w:t>电厂房尾水口下游</w:t>
            </w:r>
            <w:r>
              <w:rPr>
                <w:rFonts w:hint="eastAsia"/>
                <w:color w:val="auto"/>
                <w:szCs w:val="21"/>
                <w:highlight w:val="none"/>
              </w:rPr>
              <w:t>1000</w:t>
            </w:r>
            <w:r>
              <w:rPr>
                <w:color w:val="auto"/>
                <w:szCs w:val="21"/>
                <w:highlight w:val="none"/>
              </w:rPr>
              <w:t>m</w:t>
            </w:r>
          </w:p>
        </w:tc>
        <w:tc>
          <w:tcPr>
            <w:tcW w:w="2040" w:type="dxa"/>
            <w:vAlign w:val="center"/>
          </w:tcPr>
          <w:p>
            <w:pPr>
              <w:spacing w:line="300" w:lineRule="exact"/>
              <w:jc w:val="center"/>
              <w:rPr>
                <w:snapToGrid w:val="0"/>
                <w:color w:val="auto"/>
                <w:kern w:val="0"/>
                <w:szCs w:val="21"/>
                <w:highlight w:val="none"/>
              </w:rPr>
            </w:pPr>
            <w:r>
              <w:rPr>
                <w:rFonts w:hint="eastAsia"/>
                <w:color w:val="auto"/>
                <w:szCs w:val="21"/>
                <w:highlight w:val="none"/>
              </w:rPr>
              <w:t>长约2600m</w:t>
            </w:r>
          </w:p>
        </w:tc>
        <w:tc>
          <w:tcPr>
            <w:tcW w:w="2835" w:type="dxa"/>
          </w:tcPr>
          <w:p>
            <w:pPr>
              <w:spacing w:line="300" w:lineRule="exact"/>
              <w:rPr>
                <w:snapToGrid w:val="0"/>
                <w:color w:val="auto"/>
                <w:kern w:val="0"/>
                <w:szCs w:val="21"/>
                <w:highlight w:val="none"/>
              </w:rPr>
            </w:pPr>
            <w:r>
              <w:rPr>
                <w:rFonts w:hint="eastAsia"/>
                <w:snapToGrid w:val="0"/>
                <w:color w:val="auto"/>
                <w:kern w:val="0"/>
                <w:szCs w:val="21"/>
                <w:highlight w:val="none"/>
              </w:rPr>
              <w:t>《地表水环境质量标准》（GB 3838-2002）</w:t>
            </w:r>
            <w:r>
              <w:rPr>
                <w:snapToGrid w:val="0"/>
                <w:color w:val="auto"/>
                <w:kern w:val="0"/>
                <w:szCs w:val="21"/>
                <w:highlight w:val="none"/>
              </w:rPr>
              <w:t>中</w:t>
            </w:r>
            <w:r>
              <w:rPr>
                <w:color w:val="auto"/>
                <w:sz w:val="24"/>
                <w:highlight w:val="none"/>
              </w:rPr>
              <w:fldChar w:fldCharType="begin"/>
            </w:r>
            <w:r>
              <w:rPr>
                <w:color w:val="auto"/>
                <w:sz w:val="24"/>
                <w:highlight w:val="none"/>
              </w:rPr>
              <w:instrText xml:space="preserve"> = 3 \* ROMAN \* MERGEFORMAT </w:instrText>
            </w:r>
            <w:r>
              <w:rPr>
                <w:color w:val="auto"/>
                <w:sz w:val="24"/>
                <w:highlight w:val="none"/>
              </w:rPr>
              <w:fldChar w:fldCharType="separate"/>
            </w:r>
            <w:r>
              <w:rPr>
                <w:color w:val="auto"/>
                <w:sz w:val="24"/>
                <w:highlight w:val="none"/>
              </w:rPr>
              <w:t>III</w:t>
            </w:r>
            <w:r>
              <w:rPr>
                <w:color w:val="auto"/>
                <w:sz w:val="24"/>
                <w:highlight w:val="none"/>
              </w:rPr>
              <w:fldChar w:fldCharType="end"/>
            </w:r>
            <w:r>
              <w:rPr>
                <w:color w:val="auto"/>
                <w:sz w:val="24"/>
                <w:highlight w:val="none"/>
              </w:rPr>
              <w:t>类</w:t>
            </w:r>
            <w:r>
              <w:rPr>
                <w:rFonts w:hint="eastAsia"/>
                <w:snapToGrid w:val="0"/>
                <w:color w:val="auto"/>
                <w:kern w:val="0"/>
                <w:szCs w:val="21"/>
                <w:highlight w:val="none"/>
              </w:rPr>
              <w:t>标准</w:t>
            </w:r>
          </w:p>
        </w:tc>
      </w:tr>
    </w:tbl>
    <w:p>
      <w:pPr>
        <w:spacing w:line="480" w:lineRule="exact"/>
        <w:ind w:firstLine="480" w:firstLineChars="200"/>
        <w:rPr>
          <w:snapToGrid w:val="0"/>
          <w:color w:val="auto"/>
          <w:kern w:val="0"/>
          <w:sz w:val="24"/>
          <w:highlight w:val="none"/>
        </w:rPr>
      </w:pPr>
      <w:r>
        <w:rPr>
          <w:rFonts w:hint="eastAsia"/>
          <w:snapToGrid w:val="0"/>
          <w:color w:val="auto"/>
          <w:kern w:val="0"/>
          <w:sz w:val="24"/>
          <w:highlight w:val="none"/>
        </w:rPr>
        <w:t>（2）</w:t>
      </w:r>
      <w:bookmarkStart w:id="110" w:name="_Toc40196599"/>
      <w:r>
        <w:rPr>
          <w:snapToGrid w:val="0"/>
          <w:color w:val="auto"/>
          <w:kern w:val="0"/>
          <w:sz w:val="24"/>
          <w:highlight w:val="none"/>
        </w:rPr>
        <w:t>地下水</w:t>
      </w:r>
      <w:bookmarkEnd w:id="110"/>
    </w:p>
    <w:p>
      <w:pPr>
        <w:spacing w:line="480" w:lineRule="exact"/>
        <w:ind w:firstLine="480" w:firstLineChars="200"/>
        <w:rPr>
          <w:color w:val="auto"/>
          <w:sz w:val="24"/>
          <w:highlight w:val="none"/>
        </w:rPr>
      </w:pPr>
      <w:r>
        <w:rPr>
          <w:rFonts w:hint="eastAsia"/>
          <w:color w:val="auto"/>
          <w:sz w:val="24"/>
          <w:highlight w:val="none"/>
          <w:lang w:eastAsia="zh-CN"/>
        </w:rPr>
        <w:t>本项目</w:t>
      </w:r>
      <w:r>
        <w:rPr>
          <w:color w:val="auto"/>
          <w:sz w:val="24"/>
          <w:highlight w:val="none"/>
        </w:rPr>
        <w:t>地下水环境保护目标见表</w:t>
      </w:r>
      <w:r>
        <w:rPr>
          <w:rFonts w:hint="eastAsia"/>
          <w:color w:val="auto"/>
          <w:sz w:val="24"/>
          <w:highlight w:val="none"/>
        </w:rPr>
        <w:t>1.</w:t>
      </w:r>
      <w:r>
        <w:rPr>
          <w:rFonts w:hint="eastAsia"/>
          <w:color w:val="auto"/>
          <w:sz w:val="24"/>
          <w:highlight w:val="none"/>
          <w:lang w:val="en-US" w:eastAsia="zh-CN"/>
        </w:rPr>
        <w:t>6</w:t>
      </w:r>
      <w:r>
        <w:rPr>
          <w:color w:val="auto"/>
          <w:sz w:val="24"/>
          <w:highlight w:val="none"/>
        </w:rPr>
        <w:t>-2。</w:t>
      </w:r>
    </w:p>
    <w:p>
      <w:pPr>
        <w:spacing w:line="480" w:lineRule="exact"/>
        <w:ind w:firstLine="482" w:firstLineChars="200"/>
        <w:jc w:val="center"/>
        <w:rPr>
          <w:b/>
          <w:color w:val="auto"/>
          <w:kern w:val="24"/>
          <w:sz w:val="24"/>
          <w:highlight w:val="none"/>
        </w:rPr>
      </w:pPr>
      <w:r>
        <w:rPr>
          <w:b/>
          <w:color w:val="auto"/>
          <w:kern w:val="24"/>
          <w:sz w:val="24"/>
          <w:highlight w:val="none"/>
        </w:rPr>
        <w:t>表</w:t>
      </w:r>
      <w:r>
        <w:rPr>
          <w:rFonts w:hint="eastAsia"/>
          <w:b/>
          <w:color w:val="auto"/>
          <w:kern w:val="24"/>
          <w:sz w:val="24"/>
          <w:highlight w:val="none"/>
        </w:rPr>
        <w:t>1.</w:t>
      </w:r>
      <w:r>
        <w:rPr>
          <w:rFonts w:hint="eastAsia"/>
          <w:b/>
          <w:color w:val="auto"/>
          <w:kern w:val="24"/>
          <w:sz w:val="24"/>
          <w:highlight w:val="none"/>
          <w:lang w:val="en-US" w:eastAsia="zh-CN"/>
        </w:rPr>
        <w:t>6</w:t>
      </w:r>
      <w:r>
        <w:rPr>
          <w:rFonts w:hint="eastAsia"/>
          <w:b/>
          <w:color w:val="auto"/>
          <w:kern w:val="24"/>
          <w:sz w:val="24"/>
          <w:highlight w:val="none"/>
        </w:rPr>
        <w:t>-2</w:t>
      </w:r>
      <w:r>
        <w:rPr>
          <w:b/>
          <w:color w:val="auto"/>
          <w:kern w:val="24"/>
          <w:sz w:val="24"/>
          <w:highlight w:val="none"/>
        </w:rPr>
        <w:t xml:space="preserve">  地下水评价环境保护目标表</w:t>
      </w:r>
    </w:p>
    <w:tbl>
      <w:tblPr>
        <w:tblStyle w:val="51"/>
        <w:tblW w:w="8580"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562"/>
        <w:gridCol w:w="8"/>
        <w:gridCol w:w="1552"/>
        <w:gridCol w:w="601"/>
        <w:gridCol w:w="1299"/>
        <w:gridCol w:w="929"/>
        <w:gridCol w:w="885"/>
        <w:gridCol w:w="1275"/>
        <w:gridCol w:w="146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01" w:hRule="atLeast"/>
          <w:jc w:val="center"/>
        </w:trPr>
        <w:tc>
          <w:tcPr>
            <w:tcW w:w="570" w:type="dxa"/>
            <w:gridSpan w:val="2"/>
            <w:vAlign w:val="center"/>
          </w:tcPr>
          <w:p>
            <w:pPr>
              <w:pStyle w:val="402"/>
              <w:spacing w:line="32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rPr>
              <w:t>序号</w:t>
            </w:r>
          </w:p>
        </w:tc>
        <w:tc>
          <w:tcPr>
            <w:tcW w:w="1552" w:type="dxa"/>
            <w:vAlign w:val="center"/>
          </w:tcPr>
          <w:p>
            <w:pPr>
              <w:pStyle w:val="402"/>
              <w:spacing w:line="32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rPr>
              <w:t>保护对象（水井）</w:t>
            </w:r>
          </w:p>
        </w:tc>
        <w:tc>
          <w:tcPr>
            <w:tcW w:w="601" w:type="dxa"/>
            <w:vAlign w:val="center"/>
          </w:tcPr>
          <w:p>
            <w:pPr>
              <w:pStyle w:val="402"/>
              <w:spacing w:line="32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rPr>
              <w:t>方位</w:t>
            </w:r>
          </w:p>
        </w:tc>
        <w:tc>
          <w:tcPr>
            <w:tcW w:w="1299" w:type="dxa"/>
            <w:vAlign w:val="center"/>
          </w:tcPr>
          <w:p>
            <w:pPr>
              <w:pStyle w:val="402"/>
              <w:spacing w:line="32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rPr>
              <w:t>相对</w:t>
            </w:r>
            <w:r>
              <w:rPr>
                <w:rFonts w:hint="eastAsia" w:ascii="Times New Roman" w:hAnsi="Times New Roman"/>
                <w:color w:val="auto"/>
                <w:sz w:val="21"/>
                <w:szCs w:val="21"/>
                <w:highlight w:val="none"/>
              </w:rPr>
              <w:t>水电站</w:t>
            </w:r>
            <w:r>
              <w:rPr>
                <w:rFonts w:ascii="Times New Roman" w:hAnsi="Times New Roman"/>
                <w:color w:val="auto"/>
                <w:sz w:val="21"/>
                <w:szCs w:val="21"/>
                <w:highlight w:val="none"/>
              </w:rPr>
              <w:t>厂界距离（</w:t>
            </w:r>
            <w:r>
              <w:rPr>
                <w:rFonts w:ascii="Times New Roman" w:hAnsi="Times New Roman" w:eastAsia="Times New Roman"/>
                <w:color w:val="auto"/>
                <w:sz w:val="21"/>
                <w:szCs w:val="21"/>
                <w:highlight w:val="none"/>
              </w:rPr>
              <w:t>m</w:t>
            </w:r>
            <w:r>
              <w:rPr>
                <w:rFonts w:ascii="Times New Roman" w:hAnsi="Times New Roman"/>
                <w:color w:val="auto"/>
                <w:sz w:val="21"/>
                <w:szCs w:val="21"/>
                <w:highlight w:val="none"/>
              </w:rPr>
              <w:t>）</w:t>
            </w:r>
          </w:p>
        </w:tc>
        <w:tc>
          <w:tcPr>
            <w:tcW w:w="929" w:type="dxa"/>
            <w:vAlign w:val="center"/>
          </w:tcPr>
          <w:p>
            <w:pPr>
              <w:pStyle w:val="402"/>
              <w:spacing w:line="32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rPr>
              <w:t>供应人口</w:t>
            </w:r>
          </w:p>
          <w:p>
            <w:pPr>
              <w:pStyle w:val="402"/>
              <w:spacing w:line="32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rPr>
              <w:t>（人）</w:t>
            </w:r>
          </w:p>
        </w:tc>
        <w:tc>
          <w:tcPr>
            <w:tcW w:w="885" w:type="dxa"/>
            <w:vAlign w:val="center"/>
          </w:tcPr>
          <w:p>
            <w:pPr>
              <w:pStyle w:val="402"/>
              <w:spacing w:line="320" w:lineRule="exact"/>
              <w:jc w:val="center"/>
              <w:rPr>
                <w:rFonts w:ascii="Times New Roman" w:hAnsi="Times New Roman"/>
                <w:color w:val="auto"/>
                <w:spacing w:val="-1"/>
                <w:sz w:val="21"/>
                <w:szCs w:val="21"/>
                <w:highlight w:val="none"/>
              </w:rPr>
            </w:pPr>
            <w:r>
              <w:rPr>
                <w:rFonts w:ascii="Times New Roman" w:hAnsi="Times New Roman"/>
                <w:color w:val="auto"/>
                <w:spacing w:val="-1"/>
                <w:sz w:val="21"/>
                <w:szCs w:val="21"/>
                <w:highlight w:val="none"/>
              </w:rPr>
              <w:t>水井</w:t>
            </w:r>
          </w:p>
          <w:p>
            <w:pPr>
              <w:pStyle w:val="402"/>
              <w:spacing w:line="320" w:lineRule="exact"/>
              <w:jc w:val="center"/>
              <w:rPr>
                <w:rFonts w:ascii="Times New Roman" w:hAnsi="Times New Roman"/>
                <w:color w:val="auto"/>
                <w:sz w:val="21"/>
                <w:szCs w:val="21"/>
                <w:highlight w:val="none"/>
              </w:rPr>
            </w:pPr>
            <w:r>
              <w:rPr>
                <w:rFonts w:ascii="Times New Roman" w:hAnsi="Times New Roman"/>
                <w:color w:val="auto"/>
                <w:spacing w:val="-3"/>
                <w:sz w:val="21"/>
                <w:szCs w:val="21"/>
                <w:highlight w:val="none"/>
              </w:rPr>
              <w:t>（</w:t>
            </w:r>
            <w:r>
              <w:rPr>
                <w:rFonts w:ascii="Times New Roman" w:hAnsi="Times New Roman"/>
                <w:color w:val="auto"/>
                <w:sz w:val="21"/>
                <w:szCs w:val="21"/>
                <w:highlight w:val="none"/>
              </w:rPr>
              <w:t>口）</w:t>
            </w:r>
          </w:p>
        </w:tc>
        <w:tc>
          <w:tcPr>
            <w:tcW w:w="1275" w:type="dxa"/>
            <w:vAlign w:val="center"/>
          </w:tcPr>
          <w:p>
            <w:pPr>
              <w:pStyle w:val="402"/>
              <w:spacing w:line="320" w:lineRule="exact"/>
              <w:jc w:val="center"/>
              <w:rPr>
                <w:rFonts w:ascii="Times New Roman" w:hAnsi="Times New Roman" w:eastAsia="Times New Roman"/>
                <w:color w:val="auto"/>
                <w:sz w:val="21"/>
                <w:szCs w:val="21"/>
                <w:highlight w:val="none"/>
              </w:rPr>
            </w:pPr>
            <w:r>
              <w:rPr>
                <w:rFonts w:ascii="Times New Roman" w:hAnsi="Times New Roman"/>
                <w:color w:val="auto"/>
                <w:sz w:val="21"/>
                <w:szCs w:val="21"/>
                <w:highlight w:val="none"/>
              </w:rPr>
              <w:t xml:space="preserve">井深 </w:t>
            </w:r>
            <w:r>
              <w:rPr>
                <w:rFonts w:ascii="Times New Roman" w:hAnsi="Times New Roman" w:eastAsia="Times New Roman"/>
                <w:color w:val="auto"/>
                <w:sz w:val="21"/>
                <w:szCs w:val="21"/>
                <w:highlight w:val="none"/>
              </w:rPr>
              <w:t>m</w:t>
            </w:r>
          </w:p>
        </w:tc>
        <w:tc>
          <w:tcPr>
            <w:tcW w:w="1469" w:type="dxa"/>
            <w:vAlign w:val="center"/>
          </w:tcPr>
          <w:p>
            <w:pPr>
              <w:pStyle w:val="402"/>
              <w:spacing w:line="32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rPr>
              <w:t>功能要求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4" w:hRule="atLeast"/>
          <w:jc w:val="center"/>
        </w:trPr>
        <w:tc>
          <w:tcPr>
            <w:tcW w:w="562" w:type="dxa"/>
            <w:vAlign w:val="center"/>
          </w:tcPr>
          <w:p>
            <w:pPr>
              <w:pStyle w:val="402"/>
              <w:spacing w:line="32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rPr>
              <w:t>1</w:t>
            </w:r>
          </w:p>
        </w:tc>
        <w:tc>
          <w:tcPr>
            <w:tcW w:w="1560" w:type="dxa"/>
            <w:gridSpan w:val="2"/>
            <w:vAlign w:val="center"/>
          </w:tcPr>
          <w:p>
            <w:pPr>
              <w:jc w:val="center"/>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东埔村</w:t>
            </w:r>
          </w:p>
        </w:tc>
        <w:tc>
          <w:tcPr>
            <w:tcW w:w="601" w:type="dxa"/>
            <w:vAlign w:val="center"/>
          </w:tcPr>
          <w:p>
            <w:pPr>
              <w:adjustRightInd w:val="0"/>
              <w:snapToGrid w:val="0"/>
              <w:spacing w:line="320" w:lineRule="exact"/>
              <w:jc w:val="center"/>
              <w:rPr>
                <w:rFonts w:hint="eastAsia" w:eastAsia="宋体"/>
                <w:color w:val="auto"/>
                <w:kern w:val="0"/>
                <w:highlight w:val="none"/>
                <w:lang w:eastAsia="zh-CN"/>
              </w:rPr>
            </w:pPr>
            <w:r>
              <w:rPr>
                <w:rFonts w:hint="eastAsia"/>
                <w:color w:val="auto"/>
                <w:kern w:val="0"/>
                <w:highlight w:val="none"/>
                <w:lang w:eastAsia="zh-CN"/>
              </w:rPr>
              <w:t>东</w:t>
            </w:r>
          </w:p>
        </w:tc>
        <w:tc>
          <w:tcPr>
            <w:tcW w:w="1299" w:type="dxa"/>
            <w:vAlign w:val="center"/>
          </w:tcPr>
          <w:p>
            <w:pPr>
              <w:adjustRightInd w:val="0"/>
              <w:snapToGrid w:val="0"/>
              <w:spacing w:line="320" w:lineRule="exact"/>
              <w:jc w:val="center"/>
              <w:rPr>
                <w:rFonts w:hint="default" w:eastAsia="宋体"/>
                <w:color w:val="auto"/>
                <w:kern w:val="0"/>
                <w:highlight w:val="none"/>
                <w:lang w:val="en-US" w:eastAsia="zh-CN"/>
              </w:rPr>
            </w:pPr>
            <w:r>
              <w:rPr>
                <w:rFonts w:hint="eastAsia"/>
                <w:color w:val="auto"/>
                <w:kern w:val="0"/>
                <w:highlight w:val="none"/>
                <w:lang w:val="en-US" w:eastAsia="zh-CN"/>
              </w:rPr>
              <w:t>1510</w:t>
            </w:r>
          </w:p>
        </w:tc>
        <w:tc>
          <w:tcPr>
            <w:tcW w:w="929" w:type="dxa"/>
            <w:vAlign w:val="center"/>
          </w:tcPr>
          <w:p>
            <w:pPr>
              <w:adjustRightInd w:val="0"/>
              <w:snapToGrid w:val="0"/>
              <w:spacing w:line="320" w:lineRule="exact"/>
              <w:jc w:val="center"/>
              <w:rPr>
                <w:color w:val="auto"/>
                <w:kern w:val="0"/>
                <w:highlight w:val="none"/>
              </w:rPr>
            </w:pPr>
            <w:r>
              <w:rPr>
                <w:color w:val="auto"/>
                <w:kern w:val="0"/>
                <w:highlight w:val="none"/>
              </w:rPr>
              <w:t>1600</w:t>
            </w:r>
          </w:p>
        </w:tc>
        <w:tc>
          <w:tcPr>
            <w:tcW w:w="885" w:type="dxa"/>
            <w:vAlign w:val="center"/>
          </w:tcPr>
          <w:p>
            <w:pPr>
              <w:adjustRightInd w:val="0"/>
              <w:snapToGrid w:val="0"/>
              <w:spacing w:line="320" w:lineRule="exact"/>
              <w:jc w:val="center"/>
              <w:rPr>
                <w:color w:val="auto"/>
                <w:kern w:val="0"/>
                <w:highlight w:val="none"/>
              </w:rPr>
            </w:pPr>
            <w:r>
              <w:rPr>
                <w:color w:val="auto"/>
                <w:kern w:val="0"/>
                <w:highlight w:val="none"/>
              </w:rPr>
              <w:t>1</w:t>
            </w:r>
          </w:p>
        </w:tc>
        <w:tc>
          <w:tcPr>
            <w:tcW w:w="1275" w:type="dxa"/>
            <w:vAlign w:val="center"/>
          </w:tcPr>
          <w:p>
            <w:pPr>
              <w:adjustRightInd w:val="0"/>
              <w:snapToGrid w:val="0"/>
              <w:spacing w:line="320" w:lineRule="exact"/>
              <w:jc w:val="center"/>
              <w:rPr>
                <w:color w:val="auto"/>
                <w:kern w:val="0"/>
                <w:highlight w:val="none"/>
              </w:rPr>
            </w:pPr>
            <w:r>
              <w:rPr>
                <w:color w:val="auto"/>
                <w:kern w:val="0"/>
                <w:highlight w:val="none"/>
              </w:rPr>
              <w:t>58</w:t>
            </w:r>
          </w:p>
        </w:tc>
        <w:tc>
          <w:tcPr>
            <w:tcW w:w="1469" w:type="dxa"/>
            <w:vMerge w:val="restart"/>
            <w:vAlign w:val="center"/>
          </w:tcPr>
          <w:p>
            <w:pPr>
              <w:pStyle w:val="402"/>
              <w:spacing w:line="320" w:lineRule="exact"/>
              <w:jc w:val="center"/>
              <w:rPr>
                <w:rFonts w:ascii="Times New Roman" w:hAnsi="Times New Roman"/>
                <w:color w:val="auto"/>
                <w:sz w:val="21"/>
                <w:szCs w:val="21"/>
                <w:highlight w:val="none"/>
              </w:rPr>
            </w:pPr>
            <w:r>
              <w:rPr>
                <w:rFonts w:ascii="Times New Roman" w:hAnsi="Times New Roman"/>
                <w:color w:val="auto"/>
                <w:kern w:val="24"/>
                <w:sz w:val="21"/>
                <w:szCs w:val="21"/>
                <w:highlight w:val="none"/>
              </w:rPr>
              <w:t>满足《地下水质量标准》（GB/T</w:t>
            </w:r>
            <w:r>
              <w:rPr>
                <w:rFonts w:hint="eastAsia" w:ascii="Times New Roman" w:hAnsi="Times New Roman"/>
                <w:color w:val="auto"/>
                <w:kern w:val="24"/>
                <w:sz w:val="21"/>
                <w:szCs w:val="21"/>
                <w:highlight w:val="none"/>
              </w:rPr>
              <w:t xml:space="preserve"> </w:t>
            </w:r>
            <w:r>
              <w:rPr>
                <w:rFonts w:ascii="Times New Roman" w:hAnsi="Times New Roman"/>
                <w:color w:val="auto"/>
                <w:kern w:val="24"/>
                <w:sz w:val="21"/>
                <w:szCs w:val="21"/>
                <w:highlight w:val="none"/>
              </w:rPr>
              <w:t>14848-2017）III类标准；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6" w:hRule="atLeast"/>
          <w:jc w:val="center"/>
        </w:trPr>
        <w:tc>
          <w:tcPr>
            <w:tcW w:w="562" w:type="dxa"/>
            <w:vAlign w:val="center"/>
          </w:tcPr>
          <w:p>
            <w:pPr>
              <w:spacing w:line="320" w:lineRule="exact"/>
              <w:jc w:val="center"/>
              <w:rPr>
                <w:color w:val="auto"/>
                <w:szCs w:val="21"/>
                <w:highlight w:val="none"/>
              </w:rPr>
            </w:pPr>
            <w:r>
              <w:rPr>
                <w:color w:val="auto"/>
                <w:szCs w:val="21"/>
                <w:highlight w:val="none"/>
              </w:rPr>
              <w:t>2</w:t>
            </w:r>
          </w:p>
        </w:tc>
        <w:tc>
          <w:tcPr>
            <w:tcW w:w="1560" w:type="dxa"/>
            <w:gridSpan w:val="2"/>
            <w:vAlign w:val="center"/>
          </w:tcPr>
          <w:p>
            <w:pPr>
              <w:spacing w:line="3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大安乐庄村</w:t>
            </w:r>
          </w:p>
        </w:tc>
        <w:tc>
          <w:tcPr>
            <w:tcW w:w="601" w:type="dxa"/>
            <w:vAlign w:val="center"/>
          </w:tcPr>
          <w:p>
            <w:pPr>
              <w:adjustRightInd w:val="0"/>
              <w:snapToGrid w:val="0"/>
              <w:spacing w:line="320" w:lineRule="exact"/>
              <w:jc w:val="center"/>
              <w:rPr>
                <w:color w:val="auto"/>
                <w:kern w:val="0"/>
                <w:highlight w:val="none"/>
              </w:rPr>
            </w:pPr>
            <w:r>
              <w:rPr>
                <w:color w:val="auto"/>
                <w:kern w:val="0"/>
                <w:highlight w:val="none"/>
              </w:rPr>
              <w:t>西南</w:t>
            </w:r>
          </w:p>
        </w:tc>
        <w:tc>
          <w:tcPr>
            <w:tcW w:w="1299" w:type="dxa"/>
            <w:vAlign w:val="center"/>
          </w:tcPr>
          <w:p>
            <w:pPr>
              <w:adjustRightInd w:val="0"/>
              <w:snapToGrid w:val="0"/>
              <w:spacing w:line="320" w:lineRule="exact"/>
              <w:jc w:val="center"/>
              <w:rPr>
                <w:rFonts w:hint="default" w:eastAsia="宋体"/>
                <w:color w:val="auto"/>
                <w:kern w:val="0"/>
                <w:highlight w:val="none"/>
                <w:lang w:val="en-US" w:eastAsia="zh-CN"/>
              </w:rPr>
            </w:pPr>
            <w:r>
              <w:rPr>
                <w:rFonts w:hint="eastAsia"/>
                <w:color w:val="auto"/>
                <w:kern w:val="0"/>
                <w:highlight w:val="none"/>
                <w:lang w:val="en-US" w:eastAsia="zh-CN"/>
              </w:rPr>
              <w:t>1080</w:t>
            </w:r>
          </w:p>
        </w:tc>
        <w:tc>
          <w:tcPr>
            <w:tcW w:w="929" w:type="dxa"/>
            <w:vAlign w:val="center"/>
          </w:tcPr>
          <w:p>
            <w:pPr>
              <w:adjustRightInd w:val="0"/>
              <w:snapToGrid w:val="0"/>
              <w:spacing w:line="320" w:lineRule="exact"/>
              <w:jc w:val="center"/>
              <w:rPr>
                <w:rFonts w:hint="default" w:eastAsia="宋体"/>
                <w:color w:val="auto"/>
                <w:kern w:val="0"/>
                <w:highlight w:val="none"/>
                <w:lang w:val="en-US" w:eastAsia="zh-CN"/>
              </w:rPr>
            </w:pPr>
            <w:r>
              <w:rPr>
                <w:rFonts w:hint="eastAsia"/>
                <w:color w:val="auto"/>
                <w:kern w:val="0"/>
                <w:highlight w:val="none"/>
                <w:lang w:val="en-US" w:eastAsia="zh-CN"/>
              </w:rPr>
              <w:t>2300</w:t>
            </w:r>
          </w:p>
        </w:tc>
        <w:tc>
          <w:tcPr>
            <w:tcW w:w="885" w:type="dxa"/>
            <w:vAlign w:val="center"/>
          </w:tcPr>
          <w:p>
            <w:pPr>
              <w:adjustRightInd w:val="0"/>
              <w:snapToGrid w:val="0"/>
              <w:spacing w:line="320" w:lineRule="exact"/>
              <w:jc w:val="center"/>
              <w:rPr>
                <w:color w:val="auto"/>
                <w:kern w:val="0"/>
                <w:highlight w:val="none"/>
              </w:rPr>
            </w:pPr>
            <w:r>
              <w:rPr>
                <w:color w:val="auto"/>
                <w:kern w:val="0"/>
                <w:highlight w:val="none"/>
              </w:rPr>
              <w:t>1</w:t>
            </w:r>
          </w:p>
        </w:tc>
        <w:tc>
          <w:tcPr>
            <w:tcW w:w="1275" w:type="dxa"/>
            <w:vAlign w:val="center"/>
          </w:tcPr>
          <w:p>
            <w:pPr>
              <w:adjustRightInd w:val="0"/>
              <w:snapToGrid w:val="0"/>
              <w:spacing w:line="320" w:lineRule="exact"/>
              <w:jc w:val="center"/>
              <w:rPr>
                <w:color w:val="auto"/>
                <w:kern w:val="0"/>
                <w:highlight w:val="none"/>
              </w:rPr>
            </w:pPr>
            <w:r>
              <w:rPr>
                <w:color w:val="auto"/>
                <w:kern w:val="0"/>
                <w:highlight w:val="none"/>
              </w:rPr>
              <w:t>60</w:t>
            </w:r>
          </w:p>
        </w:tc>
        <w:tc>
          <w:tcPr>
            <w:tcW w:w="1469" w:type="dxa"/>
            <w:vMerge w:val="continue"/>
            <w:vAlign w:val="center"/>
          </w:tcPr>
          <w:p>
            <w:pPr>
              <w:spacing w:line="320" w:lineRule="exact"/>
              <w:jc w:val="center"/>
              <w:rPr>
                <w:color w:val="auto"/>
                <w:szCs w:val="21"/>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6" w:hRule="atLeast"/>
          <w:jc w:val="center"/>
        </w:trPr>
        <w:tc>
          <w:tcPr>
            <w:tcW w:w="562" w:type="dxa"/>
            <w:vAlign w:val="center"/>
          </w:tcPr>
          <w:p>
            <w:pPr>
              <w:spacing w:line="320" w:lineRule="exact"/>
              <w:jc w:val="center"/>
              <w:rPr>
                <w:color w:val="auto"/>
                <w:szCs w:val="21"/>
                <w:highlight w:val="none"/>
              </w:rPr>
            </w:pPr>
            <w:r>
              <w:rPr>
                <w:color w:val="auto"/>
                <w:szCs w:val="21"/>
                <w:highlight w:val="none"/>
              </w:rPr>
              <w:t>3</w:t>
            </w:r>
          </w:p>
        </w:tc>
        <w:tc>
          <w:tcPr>
            <w:tcW w:w="1560" w:type="dxa"/>
            <w:gridSpan w:val="2"/>
            <w:vAlign w:val="center"/>
          </w:tcPr>
          <w:p>
            <w:pPr>
              <w:spacing w:line="3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西埔村</w:t>
            </w:r>
          </w:p>
        </w:tc>
        <w:tc>
          <w:tcPr>
            <w:tcW w:w="601" w:type="dxa"/>
            <w:vAlign w:val="center"/>
          </w:tcPr>
          <w:p>
            <w:pPr>
              <w:adjustRightInd w:val="0"/>
              <w:snapToGrid w:val="0"/>
              <w:spacing w:line="320" w:lineRule="exact"/>
              <w:jc w:val="center"/>
              <w:rPr>
                <w:rFonts w:hint="eastAsia" w:eastAsia="宋体"/>
                <w:color w:val="auto"/>
                <w:kern w:val="0"/>
                <w:highlight w:val="none"/>
                <w:lang w:eastAsia="zh-CN"/>
              </w:rPr>
            </w:pPr>
            <w:r>
              <w:rPr>
                <w:rFonts w:hint="eastAsia"/>
                <w:color w:val="auto"/>
                <w:kern w:val="0"/>
                <w:highlight w:val="none"/>
                <w:lang w:eastAsia="zh-CN"/>
              </w:rPr>
              <w:t>东</w:t>
            </w:r>
          </w:p>
        </w:tc>
        <w:tc>
          <w:tcPr>
            <w:tcW w:w="1299" w:type="dxa"/>
            <w:vAlign w:val="center"/>
          </w:tcPr>
          <w:p>
            <w:pPr>
              <w:adjustRightInd w:val="0"/>
              <w:snapToGrid w:val="0"/>
              <w:spacing w:line="320" w:lineRule="exact"/>
              <w:jc w:val="center"/>
              <w:rPr>
                <w:rFonts w:hint="default" w:eastAsia="宋体"/>
                <w:color w:val="auto"/>
                <w:kern w:val="0"/>
                <w:highlight w:val="none"/>
                <w:lang w:val="en-US" w:eastAsia="zh-CN"/>
              </w:rPr>
            </w:pPr>
            <w:r>
              <w:rPr>
                <w:rFonts w:hint="eastAsia"/>
                <w:color w:val="auto"/>
                <w:kern w:val="0"/>
                <w:highlight w:val="none"/>
                <w:lang w:val="en-US" w:eastAsia="zh-CN"/>
              </w:rPr>
              <w:t>920</w:t>
            </w:r>
          </w:p>
        </w:tc>
        <w:tc>
          <w:tcPr>
            <w:tcW w:w="929" w:type="dxa"/>
            <w:vAlign w:val="center"/>
          </w:tcPr>
          <w:p>
            <w:pPr>
              <w:adjustRightInd w:val="0"/>
              <w:snapToGrid w:val="0"/>
              <w:spacing w:line="320" w:lineRule="exact"/>
              <w:jc w:val="center"/>
              <w:rPr>
                <w:color w:val="auto"/>
                <w:kern w:val="0"/>
                <w:highlight w:val="none"/>
              </w:rPr>
            </w:pPr>
            <w:r>
              <w:rPr>
                <w:color w:val="auto"/>
                <w:kern w:val="0"/>
                <w:highlight w:val="none"/>
              </w:rPr>
              <w:t>1200</w:t>
            </w:r>
          </w:p>
        </w:tc>
        <w:tc>
          <w:tcPr>
            <w:tcW w:w="885" w:type="dxa"/>
            <w:vAlign w:val="center"/>
          </w:tcPr>
          <w:p>
            <w:pPr>
              <w:adjustRightInd w:val="0"/>
              <w:snapToGrid w:val="0"/>
              <w:spacing w:line="320" w:lineRule="exact"/>
              <w:jc w:val="center"/>
              <w:rPr>
                <w:color w:val="auto"/>
                <w:kern w:val="0"/>
                <w:highlight w:val="none"/>
              </w:rPr>
            </w:pPr>
            <w:r>
              <w:rPr>
                <w:color w:val="auto"/>
                <w:kern w:val="0"/>
                <w:highlight w:val="none"/>
              </w:rPr>
              <w:t>1</w:t>
            </w:r>
          </w:p>
        </w:tc>
        <w:tc>
          <w:tcPr>
            <w:tcW w:w="1275" w:type="dxa"/>
            <w:vAlign w:val="center"/>
          </w:tcPr>
          <w:p>
            <w:pPr>
              <w:adjustRightInd w:val="0"/>
              <w:snapToGrid w:val="0"/>
              <w:spacing w:line="320" w:lineRule="exact"/>
              <w:jc w:val="center"/>
              <w:rPr>
                <w:color w:val="auto"/>
                <w:kern w:val="0"/>
                <w:highlight w:val="none"/>
              </w:rPr>
            </w:pPr>
            <w:r>
              <w:rPr>
                <w:color w:val="auto"/>
                <w:kern w:val="0"/>
                <w:highlight w:val="none"/>
              </w:rPr>
              <w:t>48</w:t>
            </w:r>
          </w:p>
        </w:tc>
        <w:tc>
          <w:tcPr>
            <w:tcW w:w="1469" w:type="dxa"/>
            <w:vMerge w:val="continue"/>
            <w:vAlign w:val="center"/>
          </w:tcPr>
          <w:p>
            <w:pPr>
              <w:spacing w:line="320" w:lineRule="exact"/>
              <w:jc w:val="center"/>
              <w:rPr>
                <w:color w:val="auto"/>
                <w:szCs w:val="21"/>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7" w:hRule="atLeast"/>
          <w:jc w:val="center"/>
        </w:trPr>
        <w:tc>
          <w:tcPr>
            <w:tcW w:w="562" w:type="dxa"/>
            <w:vAlign w:val="center"/>
          </w:tcPr>
          <w:p>
            <w:pPr>
              <w:spacing w:line="320" w:lineRule="exact"/>
              <w:jc w:val="center"/>
              <w:rPr>
                <w:color w:val="auto"/>
                <w:szCs w:val="21"/>
                <w:highlight w:val="none"/>
              </w:rPr>
            </w:pPr>
            <w:r>
              <w:rPr>
                <w:color w:val="auto"/>
                <w:szCs w:val="21"/>
                <w:highlight w:val="none"/>
              </w:rPr>
              <w:t>4</w:t>
            </w:r>
          </w:p>
        </w:tc>
        <w:tc>
          <w:tcPr>
            <w:tcW w:w="1560" w:type="dxa"/>
            <w:gridSpan w:val="2"/>
            <w:vAlign w:val="center"/>
          </w:tcPr>
          <w:p>
            <w:pPr>
              <w:spacing w:line="3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小安乐庄村</w:t>
            </w:r>
          </w:p>
        </w:tc>
        <w:tc>
          <w:tcPr>
            <w:tcW w:w="601" w:type="dxa"/>
            <w:vAlign w:val="center"/>
          </w:tcPr>
          <w:p>
            <w:pPr>
              <w:adjustRightInd w:val="0"/>
              <w:snapToGrid w:val="0"/>
              <w:spacing w:line="320" w:lineRule="exact"/>
              <w:jc w:val="center"/>
              <w:rPr>
                <w:rFonts w:hint="eastAsia" w:eastAsia="宋体"/>
                <w:color w:val="auto"/>
                <w:kern w:val="0"/>
                <w:highlight w:val="none"/>
                <w:lang w:eastAsia="zh-CN"/>
              </w:rPr>
            </w:pPr>
            <w:r>
              <w:rPr>
                <w:rFonts w:hint="eastAsia"/>
                <w:color w:val="auto"/>
                <w:kern w:val="0"/>
                <w:highlight w:val="none"/>
                <w:lang w:eastAsia="zh-CN"/>
              </w:rPr>
              <w:t>东南</w:t>
            </w:r>
          </w:p>
        </w:tc>
        <w:tc>
          <w:tcPr>
            <w:tcW w:w="1299" w:type="dxa"/>
            <w:vAlign w:val="center"/>
          </w:tcPr>
          <w:p>
            <w:pPr>
              <w:adjustRightInd w:val="0"/>
              <w:snapToGrid w:val="0"/>
              <w:spacing w:line="320" w:lineRule="exact"/>
              <w:jc w:val="center"/>
              <w:rPr>
                <w:rFonts w:hint="default" w:eastAsia="宋体"/>
                <w:color w:val="auto"/>
                <w:kern w:val="0"/>
                <w:highlight w:val="none"/>
                <w:lang w:val="en-US" w:eastAsia="zh-CN"/>
              </w:rPr>
            </w:pPr>
            <w:r>
              <w:rPr>
                <w:rFonts w:hint="eastAsia"/>
                <w:color w:val="auto"/>
                <w:kern w:val="0"/>
                <w:highlight w:val="none"/>
                <w:lang w:val="en-US" w:eastAsia="zh-CN"/>
              </w:rPr>
              <w:t>1070</w:t>
            </w:r>
          </w:p>
        </w:tc>
        <w:tc>
          <w:tcPr>
            <w:tcW w:w="929" w:type="dxa"/>
            <w:vAlign w:val="center"/>
          </w:tcPr>
          <w:p>
            <w:pPr>
              <w:adjustRightInd w:val="0"/>
              <w:snapToGrid w:val="0"/>
              <w:spacing w:line="320" w:lineRule="exact"/>
              <w:jc w:val="center"/>
              <w:rPr>
                <w:color w:val="auto"/>
                <w:kern w:val="0"/>
                <w:highlight w:val="none"/>
              </w:rPr>
            </w:pPr>
            <w:r>
              <w:rPr>
                <w:rFonts w:hint="eastAsia"/>
                <w:color w:val="auto"/>
                <w:kern w:val="0"/>
                <w:highlight w:val="none"/>
                <w:lang w:val="en-US" w:eastAsia="zh-CN"/>
              </w:rPr>
              <w:t>6</w:t>
            </w:r>
            <w:r>
              <w:rPr>
                <w:color w:val="auto"/>
                <w:kern w:val="0"/>
                <w:highlight w:val="none"/>
              </w:rPr>
              <w:t>50</w:t>
            </w:r>
          </w:p>
        </w:tc>
        <w:tc>
          <w:tcPr>
            <w:tcW w:w="885" w:type="dxa"/>
            <w:vAlign w:val="center"/>
          </w:tcPr>
          <w:p>
            <w:pPr>
              <w:adjustRightInd w:val="0"/>
              <w:snapToGrid w:val="0"/>
              <w:spacing w:line="320" w:lineRule="exact"/>
              <w:jc w:val="center"/>
              <w:rPr>
                <w:color w:val="auto"/>
                <w:kern w:val="0"/>
                <w:highlight w:val="none"/>
              </w:rPr>
            </w:pPr>
            <w:r>
              <w:rPr>
                <w:color w:val="auto"/>
                <w:kern w:val="0"/>
                <w:highlight w:val="none"/>
              </w:rPr>
              <w:t>1</w:t>
            </w:r>
          </w:p>
        </w:tc>
        <w:tc>
          <w:tcPr>
            <w:tcW w:w="1275" w:type="dxa"/>
            <w:vAlign w:val="center"/>
          </w:tcPr>
          <w:p>
            <w:pPr>
              <w:adjustRightInd w:val="0"/>
              <w:snapToGrid w:val="0"/>
              <w:spacing w:line="320" w:lineRule="exact"/>
              <w:jc w:val="center"/>
              <w:rPr>
                <w:color w:val="auto"/>
                <w:kern w:val="0"/>
                <w:highlight w:val="none"/>
              </w:rPr>
            </w:pPr>
            <w:r>
              <w:rPr>
                <w:color w:val="auto"/>
                <w:kern w:val="0"/>
                <w:highlight w:val="none"/>
              </w:rPr>
              <w:t>50</w:t>
            </w:r>
          </w:p>
        </w:tc>
        <w:tc>
          <w:tcPr>
            <w:tcW w:w="1469" w:type="dxa"/>
            <w:vMerge w:val="continue"/>
            <w:vAlign w:val="center"/>
          </w:tcPr>
          <w:p>
            <w:pPr>
              <w:spacing w:line="320" w:lineRule="exact"/>
              <w:jc w:val="center"/>
              <w:rPr>
                <w:color w:val="auto"/>
                <w:szCs w:val="21"/>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6" w:hRule="atLeast"/>
          <w:jc w:val="center"/>
        </w:trPr>
        <w:tc>
          <w:tcPr>
            <w:tcW w:w="562" w:type="dxa"/>
            <w:vAlign w:val="center"/>
          </w:tcPr>
          <w:p>
            <w:pPr>
              <w:spacing w:line="320" w:lineRule="exact"/>
              <w:jc w:val="center"/>
              <w:rPr>
                <w:color w:val="auto"/>
                <w:szCs w:val="21"/>
                <w:highlight w:val="none"/>
              </w:rPr>
            </w:pPr>
            <w:r>
              <w:rPr>
                <w:color w:val="auto"/>
                <w:szCs w:val="21"/>
                <w:highlight w:val="none"/>
              </w:rPr>
              <w:t>5</w:t>
            </w:r>
          </w:p>
        </w:tc>
        <w:tc>
          <w:tcPr>
            <w:tcW w:w="1560" w:type="dxa"/>
            <w:gridSpan w:val="2"/>
            <w:vAlign w:val="center"/>
          </w:tcPr>
          <w:p>
            <w:pPr>
              <w:spacing w:line="3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大于家沟</w:t>
            </w:r>
            <w:r>
              <w:rPr>
                <w:color w:val="auto"/>
                <w:szCs w:val="21"/>
                <w:highlight w:val="none"/>
              </w:rPr>
              <w:t>村</w:t>
            </w:r>
          </w:p>
        </w:tc>
        <w:tc>
          <w:tcPr>
            <w:tcW w:w="601" w:type="dxa"/>
            <w:vAlign w:val="center"/>
          </w:tcPr>
          <w:p>
            <w:pPr>
              <w:adjustRightInd w:val="0"/>
              <w:snapToGrid w:val="0"/>
              <w:spacing w:line="320" w:lineRule="exact"/>
              <w:jc w:val="center"/>
              <w:rPr>
                <w:color w:val="auto"/>
                <w:kern w:val="0"/>
                <w:highlight w:val="none"/>
              </w:rPr>
            </w:pPr>
            <w:r>
              <w:rPr>
                <w:rFonts w:hint="eastAsia"/>
                <w:color w:val="auto"/>
                <w:kern w:val="0"/>
                <w:highlight w:val="none"/>
                <w:lang w:eastAsia="zh-CN"/>
              </w:rPr>
              <w:t>东</w:t>
            </w:r>
            <w:r>
              <w:rPr>
                <w:color w:val="auto"/>
                <w:kern w:val="0"/>
                <w:highlight w:val="none"/>
              </w:rPr>
              <w:t>北</w:t>
            </w:r>
          </w:p>
        </w:tc>
        <w:tc>
          <w:tcPr>
            <w:tcW w:w="1299" w:type="dxa"/>
            <w:vAlign w:val="center"/>
          </w:tcPr>
          <w:p>
            <w:pPr>
              <w:adjustRightInd w:val="0"/>
              <w:snapToGrid w:val="0"/>
              <w:spacing w:line="320" w:lineRule="exact"/>
              <w:jc w:val="center"/>
              <w:rPr>
                <w:color w:val="auto"/>
                <w:kern w:val="0"/>
                <w:highlight w:val="none"/>
              </w:rPr>
            </w:pPr>
            <w:r>
              <w:rPr>
                <w:color w:val="auto"/>
                <w:kern w:val="0"/>
                <w:highlight w:val="none"/>
              </w:rPr>
              <w:t>1410</w:t>
            </w:r>
          </w:p>
        </w:tc>
        <w:tc>
          <w:tcPr>
            <w:tcW w:w="929" w:type="dxa"/>
            <w:vAlign w:val="center"/>
          </w:tcPr>
          <w:p>
            <w:pPr>
              <w:adjustRightInd w:val="0"/>
              <w:snapToGrid w:val="0"/>
              <w:spacing w:line="320" w:lineRule="exact"/>
              <w:jc w:val="center"/>
              <w:rPr>
                <w:color w:val="auto"/>
                <w:kern w:val="0"/>
                <w:highlight w:val="none"/>
              </w:rPr>
            </w:pPr>
            <w:r>
              <w:rPr>
                <w:color w:val="auto"/>
                <w:kern w:val="0"/>
                <w:highlight w:val="none"/>
              </w:rPr>
              <w:t>1</w:t>
            </w:r>
            <w:r>
              <w:rPr>
                <w:rFonts w:hint="eastAsia"/>
                <w:color w:val="auto"/>
                <w:kern w:val="0"/>
                <w:highlight w:val="none"/>
                <w:lang w:val="en-US" w:eastAsia="zh-CN"/>
              </w:rPr>
              <w:t>1</w:t>
            </w:r>
            <w:r>
              <w:rPr>
                <w:color w:val="auto"/>
                <w:kern w:val="0"/>
                <w:highlight w:val="none"/>
              </w:rPr>
              <w:t>20</w:t>
            </w:r>
          </w:p>
        </w:tc>
        <w:tc>
          <w:tcPr>
            <w:tcW w:w="885" w:type="dxa"/>
            <w:vAlign w:val="center"/>
          </w:tcPr>
          <w:p>
            <w:pPr>
              <w:adjustRightInd w:val="0"/>
              <w:snapToGrid w:val="0"/>
              <w:spacing w:line="320" w:lineRule="exact"/>
              <w:jc w:val="center"/>
              <w:rPr>
                <w:color w:val="auto"/>
                <w:kern w:val="0"/>
                <w:highlight w:val="none"/>
              </w:rPr>
            </w:pPr>
            <w:r>
              <w:rPr>
                <w:color w:val="auto"/>
                <w:kern w:val="0"/>
                <w:highlight w:val="none"/>
              </w:rPr>
              <w:t>1</w:t>
            </w:r>
          </w:p>
        </w:tc>
        <w:tc>
          <w:tcPr>
            <w:tcW w:w="1275" w:type="dxa"/>
            <w:vAlign w:val="center"/>
          </w:tcPr>
          <w:p>
            <w:pPr>
              <w:adjustRightInd w:val="0"/>
              <w:snapToGrid w:val="0"/>
              <w:spacing w:line="320" w:lineRule="exact"/>
              <w:jc w:val="center"/>
              <w:rPr>
                <w:color w:val="auto"/>
                <w:kern w:val="0"/>
                <w:highlight w:val="none"/>
              </w:rPr>
            </w:pPr>
            <w:r>
              <w:rPr>
                <w:color w:val="auto"/>
                <w:kern w:val="0"/>
                <w:highlight w:val="none"/>
              </w:rPr>
              <w:t>55</w:t>
            </w:r>
          </w:p>
        </w:tc>
        <w:tc>
          <w:tcPr>
            <w:tcW w:w="1469" w:type="dxa"/>
            <w:vMerge w:val="continue"/>
            <w:vAlign w:val="center"/>
          </w:tcPr>
          <w:p>
            <w:pPr>
              <w:spacing w:line="320" w:lineRule="exact"/>
              <w:jc w:val="center"/>
              <w:rPr>
                <w:color w:val="auto"/>
                <w:szCs w:val="21"/>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4" w:hRule="atLeast"/>
          <w:jc w:val="center"/>
        </w:trPr>
        <w:tc>
          <w:tcPr>
            <w:tcW w:w="562" w:type="dxa"/>
            <w:vAlign w:val="center"/>
          </w:tcPr>
          <w:p>
            <w:pPr>
              <w:spacing w:line="320" w:lineRule="exact"/>
              <w:jc w:val="center"/>
              <w:rPr>
                <w:color w:val="auto"/>
                <w:szCs w:val="21"/>
                <w:highlight w:val="none"/>
              </w:rPr>
            </w:pPr>
            <w:r>
              <w:rPr>
                <w:color w:val="auto"/>
                <w:szCs w:val="21"/>
                <w:highlight w:val="none"/>
              </w:rPr>
              <w:t>6</w:t>
            </w:r>
          </w:p>
        </w:tc>
        <w:tc>
          <w:tcPr>
            <w:tcW w:w="1560" w:type="dxa"/>
            <w:gridSpan w:val="2"/>
            <w:vAlign w:val="center"/>
          </w:tcPr>
          <w:p>
            <w:pPr>
              <w:spacing w:line="3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庄户沟村</w:t>
            </w:r>
          </w:p>
        </w:tc>
        <w:tc>
          <w:tcPr>
            <w:tcW w:w="601" w:type="dxa"/>
            <w:vAlign w:val="center"/>
          </w:tcPr>
          <w:p>
            <w:pPr>
              <w:adjustRightInd w:val="0"/>
              <w:snapToGrid w:val="0"/>
              <w:spacing w:line="320" w:lineRule="exact"/>
              <w:jc w:val="center"/>
              <w:rPr>
                <w:rFonts w:hint="eastAsia" w:eastAsia="宋体"/>
                <w:color w:val="auto"/>
                <w:kern w:val="0"/>
                <w:highlight w:val="none"/>
                <w:lang w:eastAsia="zh-CN"/>
              </w:rPr>
            </w:pPr>
            <w:r>
              <w:rPr>
                <w:rFonts w:hint="eastAsia"/>
                <w:color w:val="auto"/>
                <w:kern w:val="0"/>
                <w:highlight w:val="none"/>
                <w:lang w:eastAsia="zh-CN"/>
              </w:rPr>
              <w:t>南</w:t>
            </w:r>
          </w:p>
        </w:tc>
        <w:tc>
          <w:tcPr>
            <w:tcW w:w="1299" w:type="dxa"/>
            <w:vAlign w:val="center"/>
          </w:tcPr>
          <w:p>
            <w:pPr>
              <w:adjustRightInd w:val="0"/>
              <w:snapToGrid w:val="0"/>
              <w:spacing w:line="320" w:lineRule="exact"/>
              <w:jc w:val="center"/>
              <w:rPr>
                <w:rFonts w:hint="default" w:eastAsia="宋体"/>
                <w:color w:val="auto"/>
                <w:kern w:val="0"/>
                <w:highlight w:val="none"/>
                <w:lang w:val="en-US" w:eastAsia="zh-CN"/>
              </w:rPr>
            </w:pPr>
            <w:r>
              <w:rPr>
                <w:rFonts w:hint="eastAsia"/>
                <w:color w:val="auto"/>
                <w:kern w:val="0"/>
                <w:highlight w:val="none"/>
                <w:lang w:val="en-US" w:eastAsia="zh-CN"/>
              </w:rPr>
              <w:t>180</w:t>
            </w:r>
          </w:p>
        </w:tc>
        <w:tc>
          <w:tcPr>
            <w:tcW w:w="929" w:type="dxa"/>
            <w:vAlign w:val="center"/>
          </w:tcPr>
          <w:p>
            <w:pPr>
              <w:adjustRightInd w:val="0"/>
              <w:snapToGrid w:val="0"/>
              <w:spacing w:line="320" w:lineRule="exact"/>
              <w:jc w:val="center"/>
              <w:rPr>
                <w:color w:val="auto"/>
                <w:kern w:val="0"/>
                <w:highlight w:val="none"/>
              </w:rPr>
            </w:pPr>
            <w:r>
              <w:rPr>
                <w:rFonts w:hint="eastAsia"/>
                <w:color w:val="auto"/>
                <w:kern w:val="0"/>
                <w:highlight w:val="none"/>
                <w:lang w:val="en-US" w:eastAsia="zh-CN"/>
              </w:rPr>
              <w:t>23</w:t>
            </w:r>
            <w:r>
              <w:rPr>
                <w:color w:val="auto"/>
                <w:kern w:val="0"/>
                <w:highlight w:val="none"/>
              </w:rPr>
              <w:t>0</w:t>
            </w:r>
          </w:p>
        </w:tc>
        <w:tc>
          <w:tcPr>
            <w:tcW w:w="885" w:type="dxa"/>
            <w:vAlign w:val="center"/>
          </w:tcPr>
          <w:p>
            <w:pPr>
              <w:adjustRightInd w:val="0"/>
              <w:snapToGrid w:val="0"/>
              <w:spacing w:line="320" w:lineRule="exact"/>
              <w:jc w:val="center"/>
              <w:rPr>
                <w:color w:val="auto"/>
                <w:kern w:val="0"/>
                <w:highlight w:val="none"/>
              </w:rPr>
            </w:pPr>
            <w:r>
              <w:rPr>
                <w:color w:val="auto"/>
                <w:kern w:val="0"/>
                <w:highlight w:val="none"/>
              </w:rPr>
              <w:t>1</w:t>
            </w:r>
          </w:p>
        </w:tc>
        <w:tc>
          <w:tcPr>
            <w:tcW w:w="1275" w:type="dxa"/>
            <w:vAlign w:val="center"/>
          </w:tcPr>
          <w:p>
            <w:pPr>
              <w:adjustRightInd w:val="0"/>
              <w:snapToGrid w:val="0"/>
              <w:spacing w:line="320" w:lineRule="exact"/>
              <w:jc w:val="center"/>
              <w:rPr>
                <w:color w:val="auto"/>
                <w:kern w:val="0"/>
                <w:highlight w:val="none"/>
              </w:rPr>
            </w:pPr>
            <w:r>
              <w:rPr>
                <w:color w:val="auto"/>
                <w:kern w:val="0"/>
                <w:highlight w:val="none"/>
              </w:rPr>
              <w:t>51</w:t>
            </w:r>
          </w:p>
        </w:tc>
        <w:tc>
          <w:tcPr>
            <w:tcW w:w="1469" w:type="dxa"/>
            <w:vMerge w:val="continue"/>
            <w:vAlign w:val="center"/>
          </w:tcPr>
          <w:p>
            <w:pPr>
              <w:spacing w:line="320" w:lineRule="exact"/>
              <w:jc w:val="center"/>
              <w:rPr>
                <w:color w:val="auto"/>
                <w:szCs w:val="21"/>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4" w:hRule="atLeast"/>
          <w:jc w:val="center"/>
        </w:trPr>
        <w:tc>
          <w:tcPr>
            <w:tcW w:w="562" w:type="dxa"/>
            <w:vAlign w:val="center"/>
          </w:tcPr>
          <w:p>
            <w:pPr>
              <w:spacing w:line="320" w:lineRule="exact"/>
              <w:jc w:val="center"/>
              <w:rPr>
                <w:rFonts w:hint="eastAsia" w:eastAsia="宋体"/>
                <w:color w:val="auto"/>
                <w:szCs w:val="21"/>
                <w:highlight w:val="none"/>
                <w:lang w:val="en-US" w:eastAsia="zh-CN"/>
              </w:rPr>
            </w:pPr>
            <w:r>
              <w:rPr>
                <w:rFonts w:hint="eastAsia"/>
                <w:color w:val="auto"/>
                <w:szCs w:val="21"/>
                <w:highlight w:val="none"/>
                <w:lang w:val="en-US" w:eastAsia="zh-CN"/>
              </w:rPr>
              <w:t>7</w:t>
            </w:r>
          </w:p>
        </w:tc>
        <w:tc>
          <w:tcPr>
            <w:tcW w:w="1560" w:type="dxa"/>
            <w:gridSpan w:val="2"/>
            <w:vAlign w:val="center"/>
          </w:tcPr>
          <w:p>
            <w:pPr>
              <w:spacing w:line="3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陈家湾村</w:t>
            </w:r>
          </w:p>
        </w:tc>
        <w:tc>
          <w:tcPr>
            <w:tcW w:w="601" w:type="dxa"/>
            <w:vAlign w:val="center"/>
          </w:tcPr>
          <w:p>
            <w:pPr>
              <w:adjustRightInd w:val="0"/>
              <w:snapToGrid w:val="0"/>
              <w:spacing w:line="320" w:lineRule="exact"/>
              <w:jc w:val="center"/>
              <w:rPr>
                <w:rFonts w:hint="eastAsia" w:eastAsia="宋体"/>
                <w:color w:val="auto"/>
                <w:kern w:val="0"/>
                <w:highlight w:val="none"/>
                <w:lang w:val="en-US" w:eastAsia="zh-CN"/>
              </w:rPr>
            </w:pPr>
            <w:r>
              <w:rPr>
                <w:rFonts w:hint="eastAsia"/>
                <w:color w:val="auto"/>
                <w:kern w:val="0"/>
                <w:highlight w:val="none"/>
                <w:lang w:val="en-US" w:eastAsia="zh-CN"/>
              </w:rPr>
              <w:t>东南</w:t>
            </w:r>
          </w:p>
        </w:tc>
        <w:tc>
          <w:tcPr>
            <w:tcW w:w="1299" w:type="dxa"/>
            <w:vAlign w:val="center"/>
          </w:tcPr>
          <w:p>
            <w:pPr>
              <w:adjustRightInd w:val="0"/>
              <w:snapToGrid w:val="0"/>
              <w:spacing w:line="320" w:lineRule="exact"/>
              <w:jc w:val="center"/>
              <w:rPr>
                <w:rFonts w:hint="default" w:eastAsia="宋体"/>
                <w:color w:val="auto"/>
                <w:kern w:val="0"/>
                <w:highlight w:val="none"/>
                <w:lang w:val="en-US" w:eastAsia="zh-CN"/>
              </w:rPr>
            </w:pPr>
            <w:r>
              <w:rPr>
                <w:rFonts w:hint="eastAsia"/>
                <w:color w:val="auto"/>
                <w:kern w:val="0"/>
                <w:highlight w:val="none"/>
                <w:lang w:val="en-US" w:eastAsia="zh-CN"/>
              </w:rPr>
              <w:t>1190</w:t>
            </w:r>
          </w:p>
        </w:tc>
        <w:tc>
          <w:tcPr>
            <w:tcW w:w="929" w:type="dxa"/>
            <w:vAlign w:val="center"/>
          </w:tcPr>
          <w:p>
            <w:pPr>
              <w:adjustRightInd w:val="0"/>
              <w:snapToGrid w:val="0"/>
              <w:spacing w:line="320" w:lineRule="exact"/>
              <w:jc w:val="center"/>
              <w:rPr>
                <w:rFonts w:hint="default" w:eastAsia="宋体"/>
                <w:color w:val="auto"/>
                <w:kern w:val="0"/>
                <w:highlight w:val="none"/>
                <w:lang w:val="en-US" w:eastAsia="zh-CN"/>
              </w:rPr>
            </w:pPr>
            <w:r>
              <w:rPr>
                <w:rFonts w:hint="eastAsia"/>
                <w:color w:val="auto"/>
                <w:kern w:val="0"/>
                <w:highlight w:val="none"/>
                <w:lang w:val="en-US" w:eastAsia="zh-CN"/>
              </w:rPr>
              <w:t>60</w:t>
            </w:r>
          </w:p>
        </w:tc>
        <w:tc>
          <w:tcPr>
            <w:tcW w:w="885" w:type="dxa"/>
            <w:vAlign w:val="center"/>
          </w:tcPr>
          <w:p>
            <w:pPr>
              <w:adjustRightInd w:val="0"/>
              <w:snapToGrid w:val="0"/>
              <w:spacing w:line="320" w:lineRule="exact"/>
              <w:jc w:val="center"/>
              <w:rPr>
                <w:rFonts w:hint="eastAsia" w:eastAsia="宋体"/>
                <w:color w:val="auto"/>
                <w:kern w:val="0"/>
                <w:highlight w:val="none"/>
                <w:lang w:val="en-US" w:eastAsia="zh-CN"/>
              </w:rPr>
            </w:pPr>
            <w:r>
              <w:rPr>
                <w:rFonts w:hint="eastAsia"/>
                <w:color w:val="auto"/>
                <w:kern w:val="0"/>
                <w:highlight w:val="none"/>
                <w:lang w:val="en-US" w:eastAsia="zh-CN"/>
              </w:rPr>
              <w:t>1</w:t>
            </w:r>
          </w:p>
        </w:tc>
        <w:tc>
          <w:tcPr>
            <w:tcW w:w="1275" w:type="dxa"/>
            <w:vAlign w:val="center"/>
          </w:tcPr>
          <w:p>
            <w:pPr>
              <w:adjustRightInd w:val="0"/>
              <w:snapToGrid w:val="0"/>
              <w:spacing w:line="320" w:lineRule="exact"/>
              <w:jc w:val="center"/>
              <w:rPr>
                <w:rFonts w:hint="default" w:eastAsia="宋体"/>
                <w:color w:val="auto"/>
                <w:kern w:val="0"/>
                <w:highlight w:val="none"/>
                <w:lang w:val="en-US" w:eastAsia="zh-CN"/>
              </w:rPr>
            </w:pPr>
            <w:r>
              <w:rPr>
                <w:rFonts w:hint="eastAsia"/>
                <w:color w:val="auto"/>
                <w:kern w:val="0"/>
                <w:highlight w:val="none"/>
                <w:lang w:val="en-US" w:eastAsia="zh-CN"/>
              </w:rPr>
              <w:t>40</w:t>
            </w:r>
          </w:p>
        </w:tc>
        <w:tc>
          <w:tcPr>
            <w:tcW w:w="1469" w:type="dxa"/>
            <w:vMerge w:val="continue"/>
            <w:vAlign w:val="center"/>
          </w:tcPr>
          <w:p>
            <w:pPr>
              <w:spacing w:line="320" w:lineRule="exact"/>
              <w:jc w:val="center"/>
              <w:rPr>
                <w:color w:val="auto"/>
                <w:szCs w:val="21"/>
                <w:highlight w:val="none"/>
              </w:rPr>
            </w:pPr>
          </w:p>
        </w:tc>
      </w:tr>
    </w:tbl>
    <w:p>
      <w:pPr>
        <w:spacing w:line="480" w:lineRule="exact"/>
        <w:ind w:firstLine="480" w:firstLineChars="200"/>
        <w:rPr>
          <w:snapToGrid w:val="0"/>
          <w:color w:val="auto"/>
          <w:kern w:val="0"/>
          <w:sz w:val="24"/>
          <w:highlight w:val="none"/>
        </w:rPr>
      </w:pPr>
      <w:r>
        <w:rPr>
          <w:rFonts w:hint="eastAsia"/>
          <w:snapToGrid w:val="0"/>
          <w:color w:val="auto"/>
          <w:kern w:val="0"/>
          <w:sz w:val="24"/>
          <w:highlight w:val="none"/>
        </w:rPr>
        <w:t>本项目地下水环境保护目标为评价范围的地下水，满足《地下水质量标准》(GB/T14848-2017)Ⅲ类标准，并确保不明显影响地下水水位和流向。</w:t>
      </w:r>
    </w:p>
    <w:p>
      <w:pPr>
        <w:spacing w:line="480" w:lineRule="exact"/>
        <w:ind w:firstLine="480" w:firstLineChars="200"/>
        <w:rPr>
          <w:snapToGrid w:val="0"/>
          <w:color w:val="auto"/>
          <w:kern w:val="0"/>
          <w:sz w:val="24"/>
          <w:highlight w:val="none"/>
        </w:rPr>
      </w:pPr>
      <w:r>
        <w:rPr>
          <w:rFonts w:hint="eastAsia"/>
          <w:snapToGrid w:val="0"/>
          <w:color w:val="auto"/>
          <w:kern w:val="0"/>
          <w:sz w:val="24"/>
          <w:highlight w:val="none"/>
        </w:rPr>
        <w:t>（3）生态环境</w:t>
      </w:r>
    </w:p>
    <w:p>
      <w:pPr>
        <w:spacing w:line="480" w:lineRule="exact"/>
        <w:ind w:firstLine="480" w:firstLineChars="200"/>
        <w:rPr>
          <w:snapToGrid w:val="0"/>
          <w:color w:val="auto"/>
          <w:kern w:val="0"/>
          <w:sz w:val="24"/>
          <w:highlight w:val="none"/>
        </w:rPr>
      </w:pPr>
      <w:r>
        <w:rPr>
          <w:rFonts w:hint="eastAsia"/>
          <w:snapToGrid w:val="0"/>
          <w:color w:val="auto"/>
          <w:kern w:val="0"/>
          <w:sz w:val="24"/>
          <w:highlight w:val="none"/>
        </w:rPr>
        <w:t>本工程</w:t>
      </w:r>
      <w:r>
        <w:rPr>
          <w:color w:val="auto"/>
          <w:sz w:val="24"/>
          <w:highlight w:val="none"/>
        </w:rPr>
        <w:t>不涉及国家公园</w:t>
      </w:r>
      <w:r>
        <w:rPr>
          <w:rFonts w:hint="eastAsia"/>
          <w:color w:val="auto"/>
          <w:sz w:val="24"/>
          <w:highlight w:val="none"/>
        </w:rPr>
        <w:t>、</w:t>
      </w:r>
      <w:r>
        <w:rPr>
          <w:color w:val="auto"/>
          <w:sz w:val="24"/>
          <w:highlight w:val="none"/>
        </w:rPr>
        <w:t>自然保护区、世界自然遗产、自然生境、自然公园、天然林、公益林、湿地</w:t>
      </w:r>
      <w:r>
        <w:rPr>
          <w:rFonts w:hint="eastAsia"/>
          <w:snapToGrid w:val="0"/>
          <w:color w:val="auto"/>
          <w:kern w:val="0"/>
          <w:sz w:val="24"/>
          <w:highlight w:val="none"/>
        </w:rPr>
        <w:t>和饮用水水源保护区</w:t>
      </w:r>
      <w:r>
        <w:rPr>
          <w:color w:val="auto"/>
          <w:sz w:val="24"/>
          <w:highlight w:val="none"/>
        </w:rPr>
        <w:t>等环境敏感区</w:t>
      </w:r>
      <w:r>
        <w:rPr>
          <w:rFonts w:hint="eastAsia"/>
          <w:snapToGrid w:val="0"/>
          <w:color w:val="auto"/>
          <w:kern w:val="0"/>
          <w:sz w:val="24"/>
          <w:highlight w:val="none"/>
        </w:rPr>
        <w:t>。无重点保护目标和名贵树种、野生动物。</w:t>
      </w:r>
    </w:p>
    <w:p>
      <w:pPr>
        <w:spacing w:line="480" w:lineRule="exact"/>
        <w:ind w:firstLine="480" w:firstLineChars="200"/>
        <w:rPr>
          <w:snapToGrid w:val="0"/>
          <w:color w:val="auto"/>
          <w:kern w:val="0"/>
          <w:sz w:val="24"/>
          <w:highlight w:val="none"/>
        </w:rPr>
      </w:pPr>
      <w:r>
        <w:rPr>
          <w:snapToGrid w:val="0"/>
          <w:color w:val="auto"/>
          <w:kern w:val="0"/>
          <w:sz w:val="24"/>
          <w:highlight w:val="none"/>
        </w:rPr>
        <w:fldChar w:fldCharType="begin"/>
      </w:r>
      <w:r>
        <w:rPr>
          <w:snapToGrid w:val="0"/>
          <w:color w:val="auto"/>
          <w:kern w:val="0"/>
          <w:sz w:val="24"/>
          <w:highlight w:val="none"/>
        </w:rPr>
        <w:instrText xml:space="preserve"> </w:instrText>
      </w:r>
      <w:r>
        <w:rPr>
          <w:rFonts w:hint="eastAsia"/>
          <w:snapToGrid w:val="0"/>
          <w:color w:val="auto"/>
          <w:kern w:val="0"/>
          <w:sz w:val="24"/>
          <w:highlight w:val="none"/>
        </w:rPr>
        <w:instrText xml:space="preserve">= 1 \* GB3</w:instrText>
      </w:r>
      <w:r>
        <w:rPr>
          <w:snapToGrid w:val="0"/>
          <w:color w:val="auto"/>
          <w:kern w:val="0"/>
          <w:sz w:val="24"/>
          <w:highlight w:val="none"/>
        </w:rPr>
        <w:instrText xml:space="preserve"> </w:instrText>
      </w:r>
      <w:r>
        <w:rPr>
          <w:snapToGrid w:val="0"/>
          <w:color w:val="auto"/>
          <w:kern w:val="0"/>
          <w:sz w:val="24"/>
          <w:highlight w:val="none"/>
        </w:rPr>
        <w:fldChar w:fldCharType="separate"/>
      </w:r>
      <w:r>
        <w:rPr>
          <w:rFonts w:hint="eastAsia"/>
          <w:snapToGrid w:val="0"/>
          <w:color w:val="auto"/>
          <w:kern w:val="0"/>
          <w:sz w:val="24"/>
          <w:highlight w:val="none"/>
        </w:rPr>
        <w:t>①</w:t>
      </w:r>
      <w:r>
        <w:rPr>
          <w:snapToGrid w:val="0"/>
          <w:color w:val="auto"/>
          <w:kern w:val="0"/>
          <w:sz w:val="24"/>
          <w:highlight w:val="none"/>
        </w:rPr>
        <w:fldChar w:fldCharType="end"/>
      </w:r>
      <w:r>
        <w:rPr>
          <w:rFonts w:hint="eastAsia"/>
          <w:snapToGrid w:val="0"/>
          <w:color w:val="auto"/>
          <w:kern w:val="0"/>
          <w:sz w:val="24"/>
          <w:highlight w:val="none"/>
        </w:rPr>
        <w:t>黎河在遵化市生态红线划定范围内，属于生态环境保护目标。</w:t>
      </w:r>
    </w:p>
    <w:p>
      <w:pPr>
        <w:spacing w:line="480" w:lineRule="exact"/>
        <w:ind w:firstLine="480" w:firstLineChars="200"/>
        <w:rPr>
          <w:snapToGrid w:val="0"/>
          <w:color w:val="auto"/>
          <w:kern w:val="0"/>
          <w:sz w:val="24"/>
          <w:highlight w:val="none"/>
        </w:rPr>
      </w:pPr>
      <w:r>
        <w:rPr>
          <w:snapToGrid w:val="0"/>
          <w:color w:val="auto"/>
          <w:kern w:val="0"/>
          <w:sz w:val="24"/>
          <w:highlight w:val="none"/>
        </w:rPr>
        <w:fldChar w:fldCharType="begin"/>
      </w:r>
      <w:r>
        <w:rPr>
          <w:snapToGrid w:val="0"/>
          <w:color w:val="auto"/>
          <w:kern w:val="0"/>
          <w:sz w:val="24"/>
          <w:highlight w:val="none"/>
        </w:rPr>
        <w:instrText xml:space="preserve"> </w:instrText>
      </w:r>
      <w:r>
        <w:rPr>
          <w:rFonts w:hint="eastAsia"/>
          <w:snapToGrid w:val="0"/>
          <w:color w:val="auto"/>
          <w:kern w:val="0"/>
          <w:sz w:val="24"/>
          <w:highlight w:val="none"/>
        </w:rPr>
        <w:instrText xml:space="preserve">= 2 \* GB3</w:instrText>
      </w:r>
      <w:r>
        <w:rPr>
          <w:snapToGrid w:val="0"/>
          <w:color w:val="auto"/>
          <w:kern w:val="0"/>
          <w:sz w:val="24"/>
          <w:highlight w:val="none"/>
        </w:rPr>
        <w:instrText xml:space="preserve"> </w:instrText>
      </w:r>
      <w:r>
        <w:rPr>
          <w:snapToGrid w:val="0"/>
          <w:color w:val="auto"/>
          <w:kern w:val="0"/>
          <w:sz w:val="24"/>
          <w:highlight w:val="none"/>
        </w:rPr>
        <w:fldChar w:fldCharType="separate"/>
      </w:r>
      <w:r>
        <w:rPr>
          <w:rFonts w:hint="eastAsia"/>
          <w:snapToGrid w:val="0"/>
          <w:color w:val="auto"/>
          <w:kern w:val="0"/>
          <w:sz w:val="24"/>
          <w:highlight w:val="none"/>
        </w:rPr>
        <w:t>②</w:t>
      </w:r>
      <w:r>
        <w:rPr>
          <w:snapToGrid w:val="0"/>
          <w:color w:val="auto"/>
          <w:kern w:val="0"/>
          <w:sz w:val="24"/>
          <w:highlight w:val="none"/>
        </w:rPr>
        <w:fldChar w:fldCharType="end"/>
      </w:r>
      <w:r>
        <w:rPr>
          <w:rFonts w:hint="eastAsia"/>
          <w:snapToGrid w:val="0"/>
          <w:color w:val="auto"/>
          <w:kern w:val="0"/>
          <w:sz w:val="24"/>
          <w:highlight w:val="none"/>
        </w:rPr>
        <w:t>陆生生态的保护目标是陆生动、植物资源不因项目的建设受到重大影响，保护陆生动物的生境、迁徙活动与繁殖；以及土地资源结构不因项目建设受到重大影响。</w:t>
      </w:r>
    </w:p>
    <w:p>
      <w:pPr>
        <w:spacing w:line="480" w:lineRule="exact"/>
        <w:ind w:firstLine="480" w:firstLineChars="200"/>
        <w:rPr>
          <w:snapToGrid w:val="0"/>
          <w:color w:val="auto"/>
          <w:kern w:val="0"/>
          <w:sz w:val="24"/>
          <w:highlight w:val="none"/>
        </w:rPr>
      </w:pPr>
      <w:r>
        <w:rPr>
          <w:snapToGrid w:val="0"/>
          <w:color w:val="auto"/>
          <w:kern w:val="0"/>
          <w:sz w:val="24"/>
          <w:highlight w:val="none"/>
        </w:rPr>
        <w:fldChar w:fldCharType="begin"/>
      </w:r>
      <w:r>
        <w:rPr>
          <w:snapToGrid w:val="0"/>
          <w:color w:val="auto"/>
          <w:kern w:val="0"/>
          <w:sz w:val="24"/>
          <w:highlight w:val="none"/>
        </w:rPr>
        <w:instrText xml:space="preserve"> </w:instrText>
      </w:r>
      <w:r>
        <w:rPr>
          <w:rFonts w:hint="eastAsia"/>
          <w:snapToGrid w:val="0"/>
          <w:color w:val="auto"/>
          <w:kern w:val="0"/>
          <w:sz w:val="24"/>
          <w:highlight w:val="none"/>
        </w:rPr>
        <w:instrText xml:space="preserve">= 3 \* GB3</w:instrText>
      </w:r>
      <w:r>
        <w:rPr>
          <w:snapToGrid w:val="0"/>
          <w:color w:val="auto"/>
          <w:kern w:val="0"/>
          <w:sz w:val="24"/>
          <w:highlight w:val="none"/>
        </w:rPr>
        <w:instrText xml:space="preserve"> </w:instrText>
      </w:r>
      <w:r>
        <w:rPr>
          <w:snapToGrid w:val="0"/>
          <w:color w:val="auto"/>
          <w:kern w:val="0"/>
          <w:sz w:val="24"/>
          <w:highlight w:val="none"/>
        </w:rPr>
        <w:fldChar w:fldCharType="separate"/>
      </w:r>
      <w:r>
        <w:rPr>
          <w:rFonts w:hint="eastAsia"/>
          <w:snapToGrid w:val="0"/>
          <w:color w:val="auto"/>
          <w:kern w:val="0"/>
          <w:sz w:val="24"/>
          <w:highlight w:val="none"/>
        </w:rPr>
        <w:t>③</w:t>
      </w:r>
      <w:r>
        <w:rPr>
          <w:snapToGrid w:val="0"/>
          <w:color w:val="auto"/>
          <w:kern w:val="0"/>
          <w:sz w:val="24"/>
          <w:highlight w:val="none"/>
        </w:rPr>
        <w:fldChar w:fldCharType="end"/>
      </w:r>
      <w:r>
        <w:rPr>
          <w:rFonts w:hint="eastAsia"/>
          <w:snapToGrid w:val="0"/>
          <w:color w:val="auto"/>
          <w:kern w:val="0"/>
          <w:sz w:val="24"/>
          <w:highlight w:val="none"/>
        </w:rPr>
        <w:t>水生生态的保护目标是保护项目所在水域的水生生物，满足各类生物对栖息环境的要求，生境不受到严重破坏；保护鱼类等水生生物资源的正常繁衍。</w:t>
      </w:r>
    </w:p>
    <w:p>
      <w:pPr>
        <w:spacing w:line="480" w:lineRule="exact"/>
        <w:ind w:firstLine="480" w:firstLineChars="200"/>
        <w:rPr>
          <w:snapToGrid w:val="0"/>
          <w:color w:val="auto"/>
          <w:kern w:val="0"/>
          <w:sz w:val="24"/>
          <w:highlight w:val="none"/>
        </w:rPr>
      </w:pPr>
      <w:r>
        <w:rPr>
          <w:snapToGrid w:val="0"/>
          <w:color w:val="auto"/>
          <w:kern w:val="0"/>
          <w:sz w:val="24"/>
          <w:highlight w:val="none"/>
          <w:lang w:val="zh-CN"/>
        </w:rPr>
        <w:t>本项目</w:t>
      </w:r>
      <w:r>
        <w:rPr>
          <w:rFonts w:hint="eastAsia"/>
          <w:snapToGrid w:val="0"/>
          <w:color w:val="auto"/>
          <w:kern w:val="0"/>
          <w:sz w:val="24"/>
          <w:highlight w:val="none"/>
          <w:lang w:val="zh-CN"/>
        </w:rPr>
        <w:t>生态</w:t>
      </w:r>
      <w:r>
        <w:rPr>
          <w:snapToGrid w:val="0"/>
          <w:color w:val="auto"/>
          <w:kern w:val="0"/>
          <w:sz w:val="24"/>
          <w:highlight w:val="none"/>
          <w:lang w:val="zh-CN"/>
        </w:rPr>
        <w:t>环境保护目标见表</w:t>
      </w:r>
      <w:r>
        <w:rPr>
          <w:rFonts w:hint="eastAsia"/>
          <w:snapToGrid w:val="0"/>
          <w:color w:val="auto"/>
          <w:kern w:val="0"/>
          <w:sz w:val="24"/>
          <w:highlight w:val="none"/>
        </w:rPr>
        <w:t>1.</w:t>
      </w:r>
      <w:r>
        <w:rPr>
          <w:rFonts w:hint="eastAsia"/>
          <w:snapToGrid w:val="0"/>
          <w:color w:val="auto"/>
          <w:kern w:val="0"/>
          <w:sz w:val="24"/>
          <w:highlight w:val="none"/>
          <w:lang w:val="en-US" w:eastAsia="zh-CN"/>
        </w:rPr>
        <w:t>6</w:t>
      </w:r>
      <w:r>
        <w:rPr>
          <w:snapToGrid w:val="0"/>
          <w:color w:val="auto"/>
          <w:kern w:val="0"/>
          <w:sz w:val="24"/>
          <w:highlight w:val="none"/>
        </w:rPr>
        <w:t>-</w:t>
      </w:r>
      <w:r>
        <w:rPr>
          <w:rFonts w:hint="eastAsia"/>
          <w:snapToGrid w:val="0"/>
          <w:color w:val="auto"/>
          <w:kern w:val="0"/>
          <w:sz w:val="24"/>
          <w:highlight w:val="none"/>
        </w:rPr>
        <w:t>3</w:t>
      </w:r>
      <w:r>
        <w:rPr>
          <w:snapToGrid w:val="0"/>
          <w:color w:val="auto"/>
          <w:kern w:val="0"/>
          <w:sz w:val="24"/>
          <w:highlight w:val="none"/>
          <w:lang w:val="zh-CN"/>
        </w:rPr>
        <w:t>。</w:t>
      </w:r>
    </w:p>
    <w:p>
      <w:pPr>
        <w:spacing w:line="480" w:lineRule="exact"/>
        <w:ind w:left="0" w:leftChars="0" w:right="0" w:rightChars="0" w:firstLine="0" w:firstLineChars="0"/>
        <w:jc w:val="center"/>
        <w:rPr>
          <w:b/>
          <w:snapToGrid w:val="0"/>
          <w:color w:val="auto"/>
          <w:kern w:val="0"/>
          <w:sz w:val="24"/>
          <w:highlight w:val="none"/>
          <w:lang w:val="zh-CN"/>
        </w:rPr>
      </w:pPr>
    </w:p>
    <w:p>
      <w:pPr>
        <w:spacing w:line="480" w:lineRule="exact"/>
        <w:ind w:left="0" w:leftChars="0" w:right="0" w:rightChars="0" w:firstLine="0" w:firstLineChars="0"/>
        <w:jc w:val="center"/>
        <w:rPr>
          <w:b/>
          <w:snapToGrid w:val="0"/>
          <w:color w:val="auto"/>
          <w:kern w:val="0"/>
          <w:sz w:val="24"/>
          <w:highlight w:val="none"/>
          <w:lang w:val="zh-CN"/>
        </w:rPr>
      </w:pPr>
    </w:p>
    <w:p>
      <w:pPr>
        <w:spacing w:line="480" w:lineRule="exact"/>
        <w:ind w:left="0" w:leftChars="0" w:right="0" w:rightChars="0" w:firstLine="0" w:firstLineChars="0"/>
        <w:jc w:val="center"/>
        <w:rPr>
          <w:b/>
          <w:snapToGrid w:val="0"/>
          <w:color w:val="auto"/>
          <w:kern w:val="0"/>
          <w:sz w:val="24"/>
          <w:highlight w:val="none"/>
          <w:lang w:val="zh-CN"/>
        </w:rPr>
      </w:pPr>
    </w:p>
    <w:p>
      <w:pPr>
        <w:spacing w:line="480" w:lineRule="exact"/>
        <w:ind w:left="0" w:leftChars="0" w:right="0" w:rightChars="0" w:firstLine="0" w:firstLineChars="0"/>
        <w:jc w:val="center"/>
        <w:rPr>
          <w:rFonts w:hint="eastAsia"/>
          <w:snapToGrid w:val="0"/>
          <w:color w:val="auto"/>
          <w:kern w:val="0"/>
          <w:sz w:val="24"/>
          <w:highlight w:val="none"/>
        </w:rPr>
      </w:pPr>
      <w:r>
        <w:rPr>
          <w:b/>
          <w:snapToGrid w:val="0"/>
          <w:color w:val="auto"/>
          <w:kern w:val="0"/>
          <w:sz w:val="24"/>
          <w:highlight w:val="none"/>
          <w:lang w:val="zh-CN"/>
        </w:rPr>
        <w:t>表</w:t>
      </w:r>
      <w:r>
        <w:rPr>
          <w:rFonts w:hint="eastAsia"/>
          <w:b/>
          <w:snapToGrid w:val="0"/>
          <w:color w:val="auto"/>
          <w:kern w:val="0"/>
          <w:sz w:val="24"/>
          <w:highlight w:val="none"/>
        </w:rPr>
        <w:t>1.</w:t>
      </w:r>
      <w:r>
        <w:rPr>
          <w:rFonts w:hint="eastAsia"/>
          <w:b/>
          <w:snapToGrid w:val="0"/>
          <w:color w:val="auto"/>
          <w:kern w:val="0"/>
          <w:sz w:val="24"/>
          <w:highlight w:val="none"/>
          <w:lang w:val="en-US" w:eastAsia="zh-CN"/>
        </w:rPr>
        <w:t>6</w:t>
      </w:r>
      <w:r>
        <w:rPr>
          <w:b/>
          <w:snapToGrid w:val="0"/>
          <w:color w:val="auto"/>
          <w:kern w:val="0"/>
          <w:sz w:val="24"/>
          <w:highlight w:val="none"/>
        </w:rPr>
        <w:t>-</w:t>
      </w:r>
      <w:r>
        <w:rPr>
          <w:rFonts w:hint="eastAsia"/>
          <w:b/>
          <w:snapToGrid w:val="0"/>
          <w:color w:val="auto"/>
          <w:kern w:val="0"/>
          <w:sz w:val="24"/>
          <w:highlight w:val="none"/>
        </w:rPr>
        <w:t>3</w:t>
      </w:r>
      <w:r>
        <w:rPr>
          <w:rFonts w:hint="eastAsia"/>
          <w:b/>
          <w:snapToGrid w:val="0"/>
          <w:color w:val="auto"/>
          <w:kern w:val="0"/>
          <w:sz w:val="24"/>
          <w:highlight w:val="none"/>
          <w:lang w:val="zh-CN"/>
        </w:rPr>
        <w:t xml:space="preserve">  </w:t>
      </w:r>
      <w:r>
        <w:rPr>
          <w:b/>
          <w:snapToGrid w:val="0"/>
          <w:color w:val="auto"/>
          <w:kern w:val="0"/>
          <w:sz w:val="24"/>
          <w:highlight w:val="none"/>
          <w:lang w:val="zh-CN"/>
        </w:rPr>
        <w:t>本项目</w:t>
      </w:r>
      <w:r>
        <w:rPr>
          <w:rFonts w:hint="eastAsia"/>
          <w:b/>
          <w:snapToGrid w:val="0"/>
          <w:color w:val="auto"/>
          <w:kern w:val="0"/>
          <w:sz w:val="24"/>
          <w:highlight w:val="none"/>
          <w:lang w:val="zh-CN"/>
        </w:rPr>
        <w:t>生态</w:t>
      </w:r>
      <w:r>
        <w:rPr>
          <w:b/>
          <w:snapToGrid w:val="0"/>
          <w:color w:val="auto"/>
          <w:kern w:val="0"/>
          <w:sz w:val="24"/>
          <w:highlight w:val="none"/>
          <w:lang w:val="zh-CN"/>
        </w:rPr>
        <w:t>环境保护目标</w:t>
      </w:r>
    </w:p>
    <w:tbl>
      <w:tblPr>
        <w:tblStyle w:val="51"/>
        <w:tblW w:w="485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426"/>
        <w:gridCol w:w="870"/>
        <w:gridCol w:w="1515"/>
        <w:gridCol w:w="1400"/>
        <w:gridCol w:w="694"/>
        <w:gridCol w:w="337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17" w:hRule="atLeast"/>
          <w:jc w:val="center"/>
        </w:trPr>
        <w:tc>
          <w:tcPr>
            <w:tcW w:w="783" w:type="pct"/>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eastAsia="宋体" w:cs="Times New Roman"/>
                <w:b w:val="0"/>
                <w:bCs w:val="0"/>
                <w:color w:val="auto"/>
                <w:sz w:val="21"/>
                <w:szCs w:val="21"/>
                <w:highlight w:val="none"/>
                <w:u w:val="none" w:color="auto"/>
                <w:lang w:eastAsia="zh-CN" w:bidi="ar"/>
              </w:rPr>
            </w:pPr>
            <w:r>
              <w:rPr>
                <w:rFonts w:hint="eastAsia" w:ascii="Times New Roman" w:hAnsi="Times New Roman" w:cs="Times New Roman"/>
                <w:b w:val="0"/>
                <w:bCs w:val="0"/>
                <w:color w:val="auto"/>
                <w:sz w:val="21"/>
                <w:szCs w:val="21"/>
                <w:highlight w:val="none"/>
                <w:u w:val="none" w:color="auto"/>
                <w:lang w:eastAsia="zh-CN" w:bidi="ar"/>
              </w:rPr>
              <w:t>保护目标</w:t>
            </w:r>
          </w:p>
        </w:tc>
        <w:tc>
          <w:tcPr>
            <w:tcW w:w="915" w:type="pct"/>
            <w:tcBorders>
              <w:tl2br w:val="nil"/>
              <w:tr2bl w:val="nil"/>
            </w:tcBorders>
            <w:noWrap w:val="0"/>
            <w:vAlign w:val="center"/>
          </w:tcPr>
          <w:p>
            <w:pPr>
              <w:pStyle w:val="92"/>
              <w:keepNext w:val="0"/>
              <w:keepLines w:val="0"/>
              <w:pageBreakBefore w:val="0"/>
              <w:kinsoku/>
              <w:wordWrap/>
              <w:overflowPunct/>
              <w:topLinePunct w:val="0"/>
              <w:autoSpaceDE/>
              <w:autoSpaceDN/>
              <w:bidi w:val="0"/>
              <w:adjustRightInd/>
              <w:snapToGrid/>
              <w:spacing w:after="0" w:line="300" w:lineRule="exact"/>
              <w:ind w:firstLine="0" w:firstLineChars="0"/>
              <w:textAlignment w:val="auto"/>
              <w:rPr>
                <w:rFonts w:hint="default" w:ascii="Times New Roman" w:hAnsi="Times New Roman" w:cs="Times New Roman"/>
                <w:b w:val="0"/>
                <w:bCs w:val="0"/>
                <w:color w:val="auto"/>
                <w:szCs w:val="21"/>
                <w:highlight w:val="none"/>
              </w:rPr>
            </w:pPr>
            <w:r>
              <w:rPr>
                <w:b w:val="0"/>
                <w:bCs w:val="0"/>
                <w:color w:val="auto"/>
                <w:sz w:val="21"/>
                <w:szCs w:val="21"/>
                <w:highlight w:val="none"/>
                <w:u w:val="none" w:color="auto"/>
                <w:lang w:bidi="ar"/>
              </w:rPr>
              <w:t>位置或范围</w:t>
            </w:r>
          </w:p>
        </w:tc>
        <w:tc>
          <w:tcPr>
            <w:tcW w:w="84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eastAsia="宋体" w:cs="Times New Roman"/>
                <w:b w:val="0"/>
                <w:bCs w:val="0"/>
                <w:color w:val="auto"/>
                <w:kern w:val="0"/>
                <w:sz w:val="21"/>
                <w:szCs w:val="21"/>
                <w:highlight w:val="none"/>
                <w:u w:val="none" w:color="auto"/>
                <w:lang w:val="en-US" w:eastAsia="zh-CN" w:bidi="ar-SA"/>
              </w:rPr>
            </w:pPr>
            <w:r>
              <w:rPr>
                <w:rFonts w:hint="eastAsia"/>
                <w:b w:val="0"/>
                <w:bCs w:val="0"/>
                <w:color w:val="auto"/>
                <w:sz w:val="21"/>
                <w:szCs w:val="21"/>
                <w:highlight w:val="none"/>
                <w:u w:val="none" w:color="auto"/>
                <w:lang w:eastAsia="zh-CN" w:bidi="ar"/>
              </w:rPr>
              <w:t>功能</w:t>
            </w:r>
            <w:r>
              <w:rPr>
                <w:rFonts w:hint="eastAsia"/>
                <w:b w:val="0"/>
                <w:bCs w:val="0"/>
                <w:color w:val="auto"/>
                <w:sz w:val="21"/>
                <w:szCs w:val="21"/>
                <w:highlight w:val="none"/>
                <w:u w:val="none" w:color="auto"/>
                <w:lang w:val="en-US" w:eastAsia="zh-CN" w:bidi="ar"/>
              </w:rPr>
              <w:t>/规模</w:t>
            </w:r>
          </w:p>
        </w:tc>
        <w:tc>
          <w:tcPr>
            <w:tcW w:w="419"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cs="Times New Roman"/>
                <w:b w:val="0"/>
                <w:bCs w:val="0"/>
                <w:color w:val="auto"/>
                <w:sz w:val="21"/>
                <w:szCs w:val="21"/>
                <w:highlight w:val="none"/>
                <w:u w:val="none" w:color="auto"/>
                <w:lang w:bidi="ar"/>
              </w:rPr>
            </w:pPr>
            <w:r>
              <w:rPr>
                <w:b w:val="0"/>
                <w:bCs w:val="0"/>
                <w:color w:val="auto"/>
                <w:sz w:val="21"/>
                <w:szCs w:val="21"/>
                <w:highlight w:val="none"/>
                <w:u w:val="none" w:color="auto"/>
                <w:lang w:bidi="ar"/>
              </w:rPr>
              <w:t>阻隔情况</w:t>
            </w:r>
          </w:p>
        </w:tc>
        <w:tc>
          <w:tcPr>
            <w:tcW w:w="2035"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eastAsia="宋体" w:cs="Times New Roman"/>
                <w:b w:val="0"/>
                <w:bCs w:val="0"/>
                <w:color w:val="auto"/>
                <w:sz w:val="21"/>
                <w:szCs w:val="21"/>
                <w:highlight w:val="none"/>
                <w:u w:val="none" w:color="auto"/>
                <w:lang w:bidi="ar"/>
              </w:rPr>
            </w:pPr>
            <w:r>
              <w:rPr>
                <w:b w:val="0"/>
                <w:bCs w:val="0"/>
                <w:color w:val="auto"/>
                <w:sz w:val="21"/>
                <w:szCs w:val="21"/>
                <w:highlight w:val="none"/>
                <w:u w:val="none" w:color="auto"/>
                <w:lang w:bidi="ar"/>
              </w:rPr>
              <w:t>保护要求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17" w:hRule="atLeast"/>
          <w:jc w:val="center"/>
        </w:trPr>
        <w:tc>
          <w:tcPr>
            <w:tcW w:w="25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eastAsia="宋体" w:cs="Times New Roman"/>
                <w:color w:val="auto"/>
                <w:sz w:val="21"/>
                <w:szCs w:val="21"/>
                <w:highlight w:val="none"/>
                <w:u w:val="none" w:color="auto"/>
                <w:lang w:eastAsia="zh-CN" w:bidi="ar"/>
              </w:rPr>
            </w:pPr>
            <w:r>
              <w:rPr>
                <w:rFonts w:hint="default" w:ascii="Times New Roman" w:hAnsi="Times New Roman" w:eastAsia="宋体" w:cs="Times New Roman"/>
                <w:color w:val="auto"/>
                <w:sz w:val="21"/>
                <w:szCs w:val="21"/>
                <w:highlight w:val="none"/>
                <w:u w:val="none" w:color="auto"/>
                <w:lang w:eastAsia="zh-CN" w:bidi="ar"/>
              </w:rPr>
              <w:t>水水生态</w:t>
            </w:r>
          </w:p>
        </w:tc>
        <w:tc>
          <w:tcPr>
            <w:tcW w:w="52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eastAsia="宋体" w:cs="Times New Roman"/>
                <w:color w:val="auto"/>
                <w:sz w:val="21"/>
                <w:szCs w:val="21"/>
                <w:highlight w:val="none"/>
                <w:u w:val="none" w:color="auto"/>
                <w:lang w:eastAsia="zh-CN" w:bidi="ar"/>
              </w:rPr>
            </w:pPr>
            <w:r>
              <w:rPr>
                <w:rFonts w:hint="default" w:ascii="Times New Roman" w:hAnsi="Times New Roman" w:eastAsia="宋体" w:cs="Times New Roman"/>
                <w:color w:val="auto"/>
                <w:sz w:val="21"/>
                <w:szCs w:val="21"/>
                <w:highlight w:val="none"/>
                <w:u w:val="none" w:color="auto"/>
                <w:lang w:eastAsia="zh-CN" w:bidi="ar"/>
              </w:rPr>
              <w:t>水生动植物</w:t>
            </w:r>
          </w:p>
        </w:tc>
        <w:tc>
          <w:tcPr>
            <w:tcW w:w="915" w:type="pct"/>
            <w:tcBorders>
              <w:tl2br w:val="nil"/>
              <w:tr2bl w:val="nil"/>
            </w:tcBorders>
            <w:noWrap w:val="0"/>
            <w:vAlign w:val="center"/>
          </w:tcPr>
          <w:p>
            <w:pPr>
              <w:pStyle w:val="92"/>
              <w:keepNext w:val="0"/>
              <w:keepLines w:val="0"/>
              <w:pageBreakBefore w:val="0"/>
              <w:kinsoku/>
              <w:wordWrap/>
              <w:overflowPunct/>
              <w:topLinePunct w:val="0"/>
              <w:autoSpaceDE/>
              <w:autoSpaceDN/>
              <w:bidi w:val="0"/>
              <w:adjustRightInd/>
              <w:snapToGrid/>
              <w:spacing w:after="0" w:line="300" w:lineRule="exact"/>
              <w:ind w:firstLine="0" w:firstLineChars="0"/>
              <w:textAlignment w:val="auto"/>
              <w:rPr>
                <w:rFonts w:hint="default" w:ascii="Times New Roman" w:hAnsi="Times New Roman" w:cs="Times New Roman"/>
                <w:color w:val="auto"/>
                <w:sz w:val="21"/>
                <w:szCs w:val="21"/>
                <w:highlight w:val="none"/>
                <w:u w:val="none" w:color="auto"/>
                <w:lang w:bidi="ar"/>
              </w:rPr>
            </w:pPr>
            <w:r>
              <w:rPr>
                <w:rFonts w:hint="default" w:ascii="Times New Roman" w:hAnsi="Times New Roman" w:cs="Times New Roman"/>
                <w:color w:val="auto"/>
                <w:szCs w:val="21"/>
                <w:highlight w:val="none"/>
              </w:rPr>
              <w:t>橡胶坝上游</w:t>
            </w:r>
            <w:r>
              <w:rPr>
                <w:rFonts w:hint="eastAsia" w:ascii="Times New Roman" w:cs="Times New Roman"/>
                <w:color w:val="auto"/>
                <w:szCs w:val="21"/>
                <w:highlight w:val="none"/>
                <w:lang w:val="en-US" w:eastAsia="zh-CN"/>
              </w:rPr>
              <w:t>50</w:t>
            </w:r>
            <w:r>
              <w:rPr>
                <w:rFonts w:hint="default" w:ascii="Times New Roman" w:hAnsi="Times New Roman" w:cs="Times New Roman"/>
                <w:color w:val="auto"/>
                <w:szCs w:val="21"/>
                <w:highlight w:val="none"/>
              </w:rPr>
              <w:t>0m至水电厂房尾水口下游1000m，总长2.6 km的黎河</w:t>
            </w:r>
            <w:r>
              <w:rPr>
                <w:rFonts w:hint="default" w:ascii="Times New Roman" w:hAnsi="Times New Roman" w:eastAsia="宋体" w:cs="Times New Roman"/>
                <w:color w:val="auto"/>
                <w:sz w:val="21"/>
                <w:szCs w:val="21"/>
                <w:highlight w:val="none"/>
                <w:u w:val="none" w:color="auto"/>
              </w:rPr>
              <w:t>水域范围。</w:t>
            </w:r>
          </w:p>
        </w:tc>
        <w:tc>
          <w:tcPr>
            <w:tcW w:w="84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鲫、泥鳅等</w:t>
            </w:r>
          </w:p>
        </w:tc>
        <w:tc>
          <w:tcPr>
            <w:tcW w:w="419"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cs="Times New Roman"/>
                <w:color w:val="auto"/>
                <w:sz w:val="21"/>
                <w:szCs w:val="21"/>
                <w:highlight w:val="none"/>
                <w:u w:val="none" w:color="auto"/>
                <w:lang w:bidi="ar"/>
              </w:rPr>
            </w:pPr>
            <w:r>
              <w:rPr>
                <w:rFonts w:hint="default" w:ascii="Times New Roman" w:hAnsi="Times New Roman" w:cs="Times New Roman"/>
                <w:color w:val="auto"/>
                <w:sz w:val="21"/>
                <w:szCs w:val="21"/>
                <w:highlight w:val="none"/>
                <w:u w:val="none" w:color="auto"/>
                <w:lang w:bidi="ar"/>
              </w:rPr>
              <w:t>无</w:t>
            </w:r>
          </w:p>
        </w:tc>
        <w:tc>
          <w:tcPr>
            <w:tcW w:w="2035"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00" w:lineRule="exact"/>
              <w:ind w:firstLine="0" w:firstLineChars="0"/>
              <w:jc w:val="left"/>
              <w:textAlignment w:val="auto"/>
              <w:rPr>
                <w:rFonts w:hint="default" w:ascii="Times New Roman" w:hAnsi="Times New Roman" w:eastAsia="宋体" w:cs="Times New Roman"/>
                <w:color w:val="auto"/>
                <w:sz w:val="21"/>
                <w:szCs w:val="21"/>
                <w:highlight w:val="none"/>
                <w:u w:val="none" w:color="auto"/>
                <w:lang w:bidi="ar"/>
              </w:rPr>
            </w:pPr>
            <w:r>
              <w:rPr>
                <w:rFonts w:hint="default" w:ascii="Times New Roman" w:hAnsi="Times New Roman" w:eastAsia="宋体" w:cs="Times New Roman"/>
                <w:color w:val="auto"/>
                <w:sz w:val="21"/>
                <w:szCs w:val="21"/>
                <w:highlight w:val="none"/>
                <w:u w:val="none" w:color="auto"/>
                <w:lang w:bidi="ar"/>
              </w:rPr>
              <w:t>保护水生生态系统完整性，保障区域原有水生生物物种不消失，保证足够的水生生物资源量存在，维持水生生物种群结构的稳定。</w:t>
            </w:r>
            <w:r>
              <w:rPr>
                <w:rFonts w:hint="default" w:ascii="Times New Roman" w:hAnsi="Times New Roman" w:eastAsia="宋体" w:cs="Times New Roman"/>
                <w:color w:val="auto"/>
                <w:sz w:val="21"/>
                <w:szCs w:val="21"/>
                <w:highlight w:val="none"/>
                <w:u w:val="none" w:color="auto"/>
                <w:lang w:eastAsia="zh-CN" w:bidi="ar"/>
              </w:rPr>
              <w:t>保证</w:t>
            </w:r>
            <w:r>
              <w:rPr>
                <w:rFonts w:hint="eastAsia" w:ascii="Times New Roman" w:hAnsi="Times New Roman" w:cs="Times New Roman"/>
                <w:color w:val="auto"/>
                <w:sz w:val="21"/>
                <w:szCs w:val="21"/>
                <w:highlight w:val="none"/>
                <w:u w:val="none" w:color="auto"/>
                <w:lang w:eastAsia="zh-CN" w:bidi="ar"/>
              </w:rPr>
              <w:t>橡胶坝</w:t>
            </w:r>
            <w:r>
              <w:rPr>
                <w:rFonts w:hint="default" w:ascii="Times New Roman" w:hAnsi="Times New Roman" w:eastAsia="宋体" w:cs="Times New Roman"/>
                <w:color w:val="auto"/>
                <w:sz w:val="21"/>
                <w:szCs w:val="21"/>
                <w:highlight w:val="none"/>
                <w:u w:val="none" w:color="auto"/>
                <w:lang w:eastAsia="zh-CN" w:bidi="ar"/>
              </w:rPr>
              <w:t>后河段基本生态流量，坝后不断流，</w:t>
            </w:r>
            <w:r>
              <w:rPr>
                <w:rFonts w:hint="default" w:ascii="Times New Roman" w:hAnsi="Times New Roman" w:eastAsia="宋体" w:cs="Times New Roman"/>
                <w:color w:val="auto"/>
                <w:sz w:val="21"/>
                <w:szCs w:val="21"/>
                <w:highlight w:val="none"/>
                <w:u w:val="none" w:color="auto"/>
                <w:lang w:val="en-US" w:eastAsia="zh-CN" w:bidi="ar"/>
              </w:rPr>
              <w:t>禁止工作人员下河捕鱼、炸鱼；采取鱼类增殖放流、生态流量泄放等工措程施，尽可能降低对水生生态的影响</w:t>
            </w:r>
            <w:r>
              <w:rPr>
                <w:rFonts w:hint="eastAsia" w:ascii="Times New Roman" w:hAnsi="Times New Roman" w:cs="Times New Roman"/>
                <w:color w:val="auto"/>
                <w:sz w:val="21"/>
                <w:szCs w:val="21"/>
                <w:highlight w:val="none"/>
                <w:u w:val="none" w:color="auto"/>
                <w:lang w:val="en-US" w:eastAsia="zh-CN" w:bidi="ar"/>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20" w:hRule="atLeast"/>
          <w:jc w:val="center"/>
        </w:trPr>
        <w:tc>
          <w:tcPr>
            <w:tcW w:w="25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cs="Times New Roman"/>
                <w:color w:val="auto"/>
                <w:sz w:val="21"/>
                <w:szCs w:val="21"/>
                <w:highlight w:val="none"/>
                <w:u w:val="none" w:color="auto"/>
                <w:lang w:bidi="ar"/>
              </w:rPr>
            </w:pPr>
            <w:r>
              <w:rPr>
                <w:rFonts w:hint="default" w:ascii="Times New Roman" w:hAnsi="Times New Roman" w:cs="Times New Roman"/>
                <w:color w:val="auto"/>
                <w:sz w:val="21"/>
                <w:szCs w:val="21"/>
                <w:highlight w:val="none"/>
                <w:u w:val="none" w:color="auto"/>
                <w:lang w:bidi="ar"/>
              </w:rPr>
              <w:t>陆生生态</w:t>
            </w:r>
          </w:p>
        </w:tc>
        <w:tc>
          <w:tcPr>
            <w:tcW w:w="52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cs="Times New Roman"/>
                <w:color w:val="auto"/>
                <w:sz w:val="21"/>
                <w:szCs w:val="21"/>
                <w:highlight w:val="none"/>
                <w:u w:val="none" w:color="auto"/>
                <w:lang w:bidi="ar"/>
              </w:rPr>
            </w:pPr>
            <w:r>
              <w:rPr>
                <w:rFonts w:hint="default" w:ascii="Times New Roman" w:hAnsi="Times New Roman" w:cs="Times New Roman"/>
                <w:color w:val="auto"/>
                <w:sz w:val="21"/>
                <w:szCs w:val="21"/>
                <w:highlight w:val="none"/>
                <w:u w:val="none" w:color="auto"/>
                <w:lang w:bidi="ar"/>
              </w:rPr>
              <w:t>农田、灌木林</w:t>
            </w:r>
          </w:p>
        </w:tc>
        <w:tc>
          <w:tcPr>
            <w:tcW w:w="915" w:type="pct"/>
            <w:tcBorders>
              <w:tl2br w:val="nil"/>
              <w:tr2bl w:val="nil"/>
            </w:tcBorders>
            <w:noWrap w:val="0"/>
            <w:vAlign w:val="center"/>
          </w:tcPr>
          <w:p>
            <w:pPr>
              <w:pStyle w:val="92"/>
              <w:keepNext w:val="0"/>
              <w:keepLines w:val="0"/>
              <w:pageBreakBefore w:val="0"/>
              <w:kinsoku/>
              <w:wordWrap/>
              <w:overflowPunct/>
              <w:topLinePunct w:val="0"/>
              <w:autoSpaceDE/>
              <w:autoSpaceDN/>
              <w:bidi w:val="0"/>
              <w:adjustRightInd/>
              <w:snapToGrid/>
              <w:spacing w:after="0" w:line="300" w:lineRule="exact"/>
              <w:ind w:firstLine="0" w:firstLineChars="0"/>
              <w:textAlignment w:val="auto"/>
              <w:rPr>
                <w:rFonts w:hint="default" w:ascii="Times New Roman" w:hAnsi="Times New Roman" w:cs="Times New Roman"/>
                <w:color w:val="auto"/>
                <w:sz w:val="21"/>
                <w:szCs w:val="21"/>
                <w:highlight w:val="none"/>
                <w:u w:val="none" w:color="auto"/>
                <w:lang w:bidi="ar"/>
              </w:rPr>
            </w:pPr>
            <w:r>
              <w:rPr>
                <w:rFonts w:hint="default" w:ascii="Times New Roman" w:hAnsi="Times New Roman" w:eastAsia="宋体" w:cs="Times New Roman"/>
                <w:color w:val="auto"/>
                <w:sz w:val="21"/>
                <w:szCs w:val="21"/>
                <w:highlight w:val="none"/>
                <w:u w:val="none" w:color="auto"/>
                <w:lang w:val="en-US" w:eastAsia="zh-CN"/>
              </w:rPr>
              <w:t>向河岸外延伸300m。</w:t>
            </w:r>
          </w:p>
        </w:tc>
        <w:tc>
          <w:tcPr>
            <w:tcW w:w="84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陆生动物</w:t>
            </w:r>
            <w:r>
              <w:rPr>
                <w:rFonts w:hint="eastAsia" w:ascii="Times New Roman" w:hAnsi="Times New Roman" w:cs="Times New Roman"/>
                <w:color w:val="auto"/>
                <w:kern w:val="0"/>
                <w:sz w:val="21"/>
                <w:szCs w:val="21"/>
                <w:highlight w:val="none"/>
                <w:u w:val="none" w:color="auto"/>
                <w:lang w:val="en-US" w:eastAsia="zh-CN" w:bidi="ar-SA"/>
              </w:rPr>
              <w:t>主要是</w:t>
            </w:r>
            <w:r>
              <w:rPr>
                <w:rFonts w:hint="default" w:ascii="Times New Roman" w:hAnsi="Times New Roman" w:eastAsia="宋体" w:cs="Times New Roman"/>
                <w:color w:val="auto"/>
                <w:kern w:val="0"/>
                <w:sz w:val="21"/>
                <w:szCs w:val="21"/>
                <w:highlight w:val="none"/>
                <w:u w:val="none" w:color="auto"/>
                <w:lang w:val="en-US" w:eastAsia="zh-CN" w:bidi="ar-SA"/>
              </w:rPr>
              <w:t>田鼠。陆生植物典型</w:t>
            </w:r>
            <w:r>
              <w:rPr>
                <w:rFonts w:hint="eastAsia" w:ascii="Times New Roman" w:hAnsi="Times New Roman" w:cs="Times New Roman"/>
                <w:color w:val="auto"/>
                <w:kern w:val="0"/>
                <w:sz w:val="21"/>
                <w:szCs w:val="21"/>
                <w:highlight w:val="none"/>
                <w:u w:val="none" w:color="auto"/>
                <w:lang w:val="en-US" w:eastAsia="zh-CN" w:bidi="ar-SA"/>
              </w:rPr>
              <w:t>松、槐、柳</w:t>
            </w:r>
            <w:r>
              <w:rPr>
                <w:rFonts w:hint="default" w:ascii="Times New Roman" w:hAnsi="Times New Roman" w:eastAsia="宋体" w:cs="Times New Roman"/>
                <w:color w:val="auto"/>
                <w:kern w:val="0"/>
                <w:sz w:val="21"/>
                <w:szCs w:val="21"/>
                <w:highlight w:val="none"/>
                <w:u w:val="none" w:color="auto"/>
                <w:lang w:val="en-US" w:eastAsia="zh-CN" w:bidi="ar-SA"/>
              </w:rPr>
              <w:t>等。</w:t>
            </w:r>
          </w:p>
        </w:tc>
        <w:tc>
          <w:tcPr>
            <w:tcW w:w="419"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cs="Times New Roman"/>
                <w:color w:val="auto"/>
                <w:sz w:val="21"/>
                <w:szCs w:val="21"/>
                <w:highlight w:val="none"/>
                <w:u w:val="none" w:color="auto"/>
                <w:lang w:bidi="ar"/>
              </w:rPr>
            </w:pPr>
            <w:r>
              <w:rPr>
                <w:rFonts w:hint="default" w:ascii="Times New Roman" w:hAnsi="Times New Roman" w:cs="Times New Roman"/>
                <w:color w:val="auto"/>
                <w:sz w:val="21"/>
                <w:szCs w:val="21"/>
                <w:highlight w:val="none"/>
                <w:u w:val="none" w:color="auto"/>
                <w:lang w:bidi="ar"/>
              </w:rPr>
              <w:t>无</w:t>
            </w:r>
          </w:p>
        </w:tc>
        <w:tc>
          <w:tcPr>
            <w:tcW w:w="2035"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00" w:lineRule="exact"/>
              <w:ind w:firstLine="0" w:firstLineChars="0"/>
              <w:jc w:val="left"/>
              <w:textAlignment w:val="auto"/>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bidi="ar-SA"/>
              </w:rPr>
              <w:t>保护工程区域的陆生生境，保护自然植被，保护区域陆生生态系统完整性</w:t>
            </w:r>
            <w:r>
              <w:rPr>
                <w:rFonts w:hint="eastAsia" w:ascii="Times New Roman" w:hAnsi="Times New Roman" w:cs="Times New Roman"/>
                <w:color w:val="auto"/>
                <w:kern w:val="0"/>
                <w:sz w:val="21"/>
                <w:szCs w:val="21"/>
                <w:highlight w:val="none"/>
                <w:u w:val="none" w:color="auto"/>
                <w:lang w:val="en-US" w:eastAsia="zh-CN" w:bidi="ar-SA"/>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20" w:hRule="atLeast"/>
          <w:jc w:val="center"/>
        </w:trPr>
        <w:tc>
          <w:tcPr>
            <w:tcW w:w="257"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cs="Times New Roman"/>
                <w:color w:val="auto"/>
                <w:sz w:val="21"/>
                <w:szCs w:val="21"/>
                <w:highlight w:val="none"/>
                <w:u w:val="none" w:color="auto"/>
                <w:lang w:bidi="ar"/>
              </w:rPr>
            </w:pPr>
            <w:r>
              <w:rPr>
                <w:rFonts w:hint="default" w:ascii="Times New Roman" w:hAnsi="Times New Roman" w:cs="Times New Roman"/>
                <w:color w:val="auto"/>
                <w:sz w:val="21"/>
                <w:szCs w:val="21"/>
                <w:highlight w:val="none"/>
                <w:u w:val="none" w:color="auto"/>
                <w:lang w:bidi="ar"/>
              </w:rPr>
              <w:t>水土保持</w:t>
            </w:r>
          </w:p>
        </w:tc>
        <w:tc>
          <w:tcPr>
            <w:tcW w:w="52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cs="Times New Roman"/>
                <w:color w:val="auto"/>
                <w:sz w:val="21"/>
                <w:szCs w:val="21"/>
                <w:highlight w:val="none"/>
                <w:u w:val="none" w:color="auto"/>
                <w:lang w:bidi="ar"/>
              </w:rPr>
            </w:pPr>
            <w:r>
              <w:rPr>
                <w:rFonts w:hint="default" w:ascii="Times New Roman" w:hAnsi="Times New Roman" w:cs="Times New Roman"/>
                <w:color w:val="auto"/>
                <w:sz w:val="21"/>
                <w:szCs w:val="21"/>
                <w:highlight w:val="none"/>
                <w:u w:val="none" w:color="auto"/>
                <w:lang w:bidi="ar"/>
              </w:rPr>
              <w:t>厂房占地、引水渠道</w:t>
            </w:r>
          </w:p>
        </w:tc>
        <w:tc>
          <w:tcPr>
            <w:tcW w:w="915"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cs="Times New Roman"/>
                <w:color w:val="auto"/>
                <w:sz w:val="21"/>
                <w:szCs w:val="21"/>
                <w:highlight w:val="none"/>
                <w:u w:val="none" w:color="auto"/>
                <w:lang w:bidi="ar"/>
              </w:rPr>
            </w:pPr>
            <w:r>
              <w:rPr>
                <w:rFonts w:hint="default" w:ascii="Times New Roman" w:hAnsi="Times New Roman" w:cs="Times New Roman"/>
                <w:color w:val="auto"/>
                <w:sz w:val="21"/>
                <w:szCs w:val="21"/>
                <w:highlight w:val="none"/>
                <w:u w:val="none" w:color="auto"/>
                <w:lang w:bidi="ar"/>
              </w:rPr>
              <w:t>厂房占地、引水渠道等永久占地。</w:t>
            </w:r>
          </w:p>
        </w:tc>
        <w:tc>
          <w:tcPr>
            <w:tcW w:w="846"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cs="Times New Roman"/>
                <w:color w:val="auto"/>
                <w:sz w:val="21"/>
                <w:szCs w:val="21"/>
                <w:highlight w:val="none"/>
                <w:u w:val="none" w:color="auto"/>
                <w:lang w:bidi="ar"/>
              </w:rPr>
            </w:pPr>
            <w:r>
              <w:rPr>
                <w:rFonts w:hint="default" w:ascii="Times New Roman" w:hAnsi="Times New Roman" w:cs="Times New Roman"/>
                <w:color w:val="auto"/>
                <w:sz w:val="21"/>
                <w:szCs w:val="21"/>
                <w:highlight w:val="none"/>
                <w:u w:val="none" w:color="auto"/>
                <w:lang w:bidi="ar"/>
              </w:rPr>
              <w:t>/</w:t>
            </w:r>
          </w:p>
        </w:tc>
        <w:tc>
          <w:tcPr>
            <w:tcW w:w="419"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cs="Times New Roman"/>
                <w:color w:val="auto"/>
                <w:sz w:val="21"/>
                <w:szCs w:val="21"/>
                <w:highlight w:val="none"/>
                <w:u w:val="none" w:color="auto"/>
                <w:lang w:bidi="ar"/>
              </w:rPr>
            </w:pPr>
            <w:r>
              <w:rPr>
                <w:rFonts w:hint="default" w:ascii="Times New Roman" w:hAnsi="Times New Roman" w:cs="Times New Roman"/>
                <w:color w:val="auto"/>
                <w:sz w:val="21"/>
                <w:szCs w:val="21"/>
                <w:highlight w:val="none"/>
                <w:u w:val="none" w:color="auto"/>
                <w:lang w:bidi="ar"/>
              </w:rPr>
              <w:t>无</w:t>
            </w:r>
          </w:p>
        </w:tc>
        <w:tc>
          <w:tcPr>
            <w:tcW w:w="2035"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00" w:lineRule="exact"/>
              <w:ind w:firstLine="0" w:firstLineChars="0"/>
              <w:textAlignment w:val="auto"/>
              <w:rPr>
                <w:rFonts w:hint="default" w:ascii="Times New Roman" w:hAnsi="Times New Roman" w:cs="Times New Roman"/>
                <w:color w:val="auto"/>
                <w:sz w:val="21"/>
                <w:szCs w:val="21"/>
                <w:highlight w:val="none"/>
                <w:u w:val="none" w:color="auto"/>
                <w:lang w:bidi="ar"/>
              </w:rPr>
            </w:pPr>
            <w:r>
              <w:rPr>
                <w:rFonts w:hint="default" w:ascii="Times New Roman" w:hAnsi="Times New Roman" w:cs="Times New Roman"/>
                <w:color w:val="auto"/>
                <w:sz w:val="21"/>
                <w:szCs w:val="21"/>
                <w:highlight w:val="none"/>
                <w:u w:val="none" w:color="auto"/>
                <w:lang w:bidi="ar"/>
              </w:rPr>
              <w:t>减少工程建设中水土流失量增加，全面恢复工程区水土保持设施，使土壤侵蚀强度恢复到工程建设前。</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75" w:hRule="atLeast"/>
          <w:jc w:val="center"/>
        </w:trPr>
        <w:tc>
          <w:tcPr>
            <w:tcW w:w="5000" w:type="pct"/>
            <w:gridSpan w:val="6"/>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300" w:lineRule="exact"/>
              <w:ind w:firstLine="0" w:firstLineChars="0"/>
              <w:textAlignment w:val="auto"/>
              <w:rPr>
                <w:rFonts w:hint="default" w:ascii="Times New Roman" w:hAnsi="Times New Roman" w:cs="Times New Roman"/>
                <w:color w:val="auto"/>
                <w:sz w:val="21"/>
                <w:szCs w:val="21"/>
                <w:highlight w:val="none"/>
                <w:u w:val="none" w:color="auto"/>
                <w:lang w:bidi="ar"/>
              </w:rPr>
            </w:pPr>
            <w:r>
              <w:rPr>
                <w:rFonts w:hint="eastAsia"/>
                <w:snapToGrid w:val="0"/>
                <w:color w:val="auto"/>
                <w:kern w:val="0"/>
                <w:szCs w:val="21"/>
                <w:highlight w:val="none"/>
              </w:rPr>
              <w:t>经现场勘查和查阅相关资料，陆域评价范围：不涉及珍稀动植物、特殊或重要生态敏感区；水域评价范围：不涉及珍稀鱼类、鱼类保护区及鱼类“三场”。</w:t>
            </w:r>
          </w:p>
        </w:tc>
      </w:tr>
    </w:tbl>
    <w:p>
      <w:pPr>
        <w:spacing w:line="480" w:lineRule="exact"/>
        <w:ind w:firstLine="480" w:firstLineChars="200"/>
        <w:rPr>
          <w:snapToGrid w:val="0"/>
          <w:color w:val="auto"/>
          <w:kern w:val="0"/>
          <w:sz w:val="24"/>
          <w:highlight w:val="none"/>
        </w:rPr>
      </w:pPr>
      <w:r>
        <w:rPr>
          <w:rFonts w:hint="eastAsia"/>
          <w:snapToGrid w:val="0"/>
          <w:color w:val="auto"/>
          <w:kern w:val="0"/>
          <w:sz w:val="24"/>
          <w:highlight w:val="none"/>
        </w:rPr>
        <w:t>（4）</w:t>
      </w:r>
      <w:r>
        <w:rPr>
          <w:snapToGrid w:val="0"/>
          <w:color w:val="auto"/>
          <w:kern w:val="0"/>
          <w:sz w:val="24"/>
          <w:highlight w:val="none"/>
        </w:rPr>
        <w:t>环境空气</w:t>
      </w:r>
    </w:p>
    <w:p>
      <w:pPr>
        <w:spacing w:line="480" w:lineRule="exact"/>
        <w:ind w:firstLine="480" w:firstLineChars="200"/>
        <w:rPr>
          <w:snapToGrid w:val="0"/>
          <w:color w:val="auto"/>
          <w:kern w:val="0"/>
          <w:sz w:val="24"/>
          <w:highlight w:val="none"/>
        </w:rPr>
      </w:pPr>
      <w:r>
        <w:rPr>
          <w:rFonts w:hint="eastAsia"/>
          <w:snapToGrid w:val="0"/>
          <w:color w:val="auto"/>
          <w:kern w:val="0"/>
          <w:sz w:val="24"/>
          <w:highlight w:val="none"/>
          <w:lang w:val="zh-CN"/>
        </w:rPr>
        <w:t>本项目运营期无大气污染物排放，不需要设置大气环境评价范围，故不考虑环境空气保护目标。</w:t>
      </w:r>
    </w:p>
    <w:p>
      <w:pPr>
        <w:spacing w:line="480" w:lineRule="exact"/>
        <w:ind w:firstLine="480" w:firstLineChars="200"/>
        <w:rPr>
          <w:snapToGrid w:val="0"/>
          <w:color w:val="auto"/>
          <w:kern w:val="0"/>
          <w:sz w:val="24"/>
          <w:highlight w:val="none"/>
        </w:rPr>
      </w:pPr>
      <w:r>
        <w:rPr>
          <w:rFonts w:hint="eastAsia"/>
          <w:snapToGrid w:val="0"/>
          <w:color w:val="auto"/>
          <w:kern w:val="0"/>
          <w:sz w:val="24"/>
          <w:highlight w:val="none"/>
        </w:rPr>
        <w:t>（5）噪声</w:t>
      </w:r>
    </w:p>
    <w:p>
      <w:pPr>
        <w:spacing w:line="480" w:lineRule="exact"/>
        <w:ind w:firstLine="480" w:firstLineChars="200"/>
        <w:rPr>
          <w:snapToGrid w:val="0"/>
          <w:kern w:val="0"/>
          <w:sz w:val="24"/>
          <w:highlight w:val="none"/>
          <w:lang w:val="zh-CN"/>
        </w:rPr>
      </w:pPr>
      <w:r>
        <w:rPr>
          <w:rFonts w:hint="eastAsia"/>
          <w:snapToGrid w:val="0"/>
          <w:kern w:val="0"/>
          <w:sz w:val="24"/>
          <w:highlight w:val="none"/>
          <w:lang w:val="zh-CN"/>
        </w:rPr>
        <w:t>引水式发电站主要考虑电站与升压站运行噪声对周围环境的影响。本项目水电站站址位于遵化市建明镇西铺村西南1200m，距离最近的居民点为庄户沟村，距离约</w:t>
      </w:r>
      <w:r>
        <w:rPr>
          <w:rFonts w:hint="eastAsia"/>
          <w:snapToGrid w:val="0"/>
          <w:kern w:val="0"/>
          <w:sz w:val="24"/>
          <w:highlight w:val="none"/>
          <w:lang w:val="en-US" w:eastAsia="zh-CN"/>
        </w:rPr>
        <w:t>18</w:t>
      </w:r>
      <w:r>
        <w:rPr>
          <w:rFonts w:hint="eastAsia"/>
          <w:snapToGrid w:val="0"/>
          <w:kern w:val="0"/>
          <w:sz w:val="24"/>
          <w:highlight w:val="none"/>
        </w:rPr>
        <w:t>0m。</w:t>
      </w:r>
      <w:r>
        <w:rPr>
          <w:rFonts w:hint="eastAsia"/>
          <w:snapToGrid w:val="0"/>
          <w:kern w:val="0"/>
          <w:sz w:val="24"/>
          <w:highlight w:val="none"/>
          <w:lang w:val="zh-CN"/>
        </w:rPr>
        <w:t>声环境敏感目标的保护级别为《声环境质量标准》（GB3096-2008）中 2 类标准。</w:t>
      </w:r>
    </w:p>
    <w:bookmarkEnd w:id="108"/>
    <w:bookmarkEnd w:id="109"/>
    <w:p>
      <w:pPr>
        <w:spacing w:line="480" w:lineRule="exact"/>
        <w:ind w:firstLine="480" w:firstLineChars="200"/>
        <w:rPr>
          <w:snapToGrid w:val="0"/>
          <w:kern w:val="0"/>
          <w:sz w:val="24"/>
          <w:highlight w:val="none"/>
        </w:rPr>
      </w:pPr>
      <w:bookmarkStart w:id="111" w:name="_Toc40196600"/>
      <w:r>
        <w:rPr>
          <w:rFonts w:hint="eastAsia"/>
          <w:snapToGrid w:val="0"/>
          <w:kern w:val="0"/>
          <w:sz w:val="24"/>
          <w:highlight w:val="none"/>
        </w:rPr>
        <w:t>（6）土壤</w:t>
      </w:r>
    </w:p>
    <w:p>
      <w:pPr>
        <w:spacing w:line="480" w:lineRule="exact"/>
        <w:ind w:firstLine="480" w:firstLineChars="200"/>
        <w:rPr>
          <w:snapToGrid w:val="0"/>
          <w:kern w:val="0"/>
          <w:sz w:val="24"/>
          <w:highlight w:val="none"/>
        </w:rPr>
      </w:pPr>
      <w:r>
        <w:rPr>
          <w:rFonts w:hint="eastAsia"/>
          <w:snapToGrid w:val="0"/>
          <w:kern w:val="0"/>
          <w:sz w:val="24"/>
          <w:highlight w:val="none"/>
        </w:rPr>
        <w:t>水电站占地等受工程影响区域，保证受工程影响区域土壤基本维持现状。</w:t>
      </w:r>
    </w:p>
    <w:p>
      <w:pPr>
        <w:spacing w:line="480" w:lineRule="exact"/>
        <w:ind w:firstLine="480" w:firstLineChars="200"/>
        <w:rPr>
          <w:snapToGrid w:val="0"/>
          <w:kern w:val="0"/>
          <w:sz w:val="24"/>
          <w:highlight w:val="none"/>
        </w:rPr>
      </w:pPr>
      <w:r>
        <w:rPr>
          <w:rFonts w:hint="eastAsia"/>
          <w:snapToGrid w:val="0"/>
          <w:kern w:val="0"/>
          <w:sz w:val="24"/>
          <w:highlight w:val="none"/>
        </w:rPr>
        <w:t>（7）</w:t>
      </w:r>
      <w:r>
        <w:rPr>
          <w:snapToGrid w:val="0"/>
          <w:kern w:val="0"/>
          <w:sz w:val="24"/>
          <w:highlight w:val="none"/>
        </w:rPr>
        <w:t>环境风险</w:t>
      </w:r>
      <w:bookmarkEnd w:id="111"/>
    </w:p>
    <w:p>
      <w:pPr>
        <w:spacing w:line="480" w:lineRule="exact"/>
        <w:ind w:firstLine="480" w:firstLineChars="200"/>
        <w:rPr>
          <w:rFonts w:hint="eastAsia"/>
          <w:snapToGrid w:val="0"/>
          <w:kern w:val="0"/>
          <w:sz w:val="24"/>
          <w:highlight w:val="none"/>
          <w:lang w:val="zh-CN"/>
        </w:rPr>
      </w:pPr>
      <w:r>
        <w:rPr>
          <w:rFonts w:hint="eastAsia"/>
          <w:snapToGrid w:val="0"/>
          <w:kern w:val="0"/>
          <w:sz w:val="24"/>
          <w:highlight w:val="none"/>
          <w:lang w:val="zh-CN"/>
        </w:rPr>
        <w:t>本项目运营期环境风险为简要分析，故不考虑环境保护目标。</w:t>
      </w:r>
    </w:p>
    <w:p>
      <w:pPr>
        <w:spacing w:line="480" w:lineRule="exact"/>
        <w:ind w:firstLine="480" w:firstLineChars="200"/>
        <w:rPr>
          <w:rFonts w:hint="eastAsia"/>
          <w:snapToGrid w:val="0"/>
          <w:kern w:val="0"/>
          <w:sz w:val="24"/>
          <w:highlight w:val="none"/>
          <w:lang w:val="zh-CN"/>
        </w:rPr>
      </w:pPr>
    </w:p>
    <w:p>
      <w:pPr>
        <w:spacing w:line="480" w:lineRule="exact"/>
        <w:outlineLvl w:val="1"/>
        <w:rPr>
          <w:b/>
          <w:sz w:val="24"/>
          <w:highlight w:val="none"/>
        </w:rPr>
      </w:pPr>
      <w:bookmarkStart w:id="112" w:name="_Toc7033"/>
      <w:r>
        <w:rPr>
          <w:rFonts w:hint="eastAsia"/>
          <w:b/>
          <w:sz w:val="24"/>
          <w:highlight w:val="none"/>
        </w:rPr>
        <w:t>1.</w:t>
      </w:r>
      <w:r>
        <w:rPr>
          <w:rFonts w:hint="eastAsia"/>
          <w:b/>
          <w:sz w:val="24"/>
          <w:highlight w:val="none"/>
          <w:lang w:val="en-US" w:eastAsia="zh-CN"/>
        </w:rPr>
        <w:t>7</w:t>
      </w:r>
      <w:r>
        <w:rPr>
          <w:b/>
          <w:sz w:val="24"/>
          <w:highlight w:val="none"/>
        </w:rPr>
        <w:t xml:space="preserve"> 环境</w:t>
      </w:r>
      <w:r>
        <w:rPr>
          <w:rFonts w:hint="eastAsia"/>
          <w:b/>
          <w:sz w:val="24"/>
          <w:highlight w:val="none"/>
        </w:rPr>
        <w:t>功能区划</w:t>
      </w:r>
      <w:bookmarkEnd w:id="112"/>
    </w:p>
    <w:p>
      <w:pPr>
        <w:spacing w:line="480" w:lineRule="exact"/>
        <w:ind w:firstLine="480" w:firstLineChars="200"/>
        <w:rPr>
          <w:sz w:val="24"/>
          <w:highlight w:val="none"/>
        </w:rPr>
      </w:pPr>
      <w:r>
        <w:rPr>
          <w:rFonts w:hint="eastAsia"/>
          <w:sz w:val="24"/>
          <w:highlight w:val="none"/>
        </w:rPr>
        <w:t>（1）环境空气功能区划</w:t>
      </w:r>
    </w:p>
    <w:p>
      <w:pPr>
        <w:spacing w:line="480" w:lineRule="exact"/>
        <w:ind w:firstLine="480" w:firstLineChars="200"/>
        <w:rPr>
          <w:sz w:val="24"/>
          <w:highlight w:val="none"/>
        </w:rPr>
      </w:pPr>
      <w:r>
        <w:rPr>
          <w:rFonts w:hint="eastAsia"/>
          <w:sz w:val="24"/>
          <w:highlight w:val="none"/>
        </w:rPr>
        <w:t>建设项目所在地为</w:t>
      </w:r>
      <w:r>
        <w:rPr>
          <w:snapToGrid w:val="0"/>
          <w:kern w:val="0"/>
          <w:sz w:val="24"/>
          <w:highlight w:val="none"/>
        </w:rPr>
        <w:t>水电站站址</w:t>
      </w:r>
      <w:r>
        <w:rPr>
          <w:rFonts w:hint="eastAsia"/>
          <w:snapToGrid w:val="0"/>
          <w:kern w:val="0"/>
          <w:sz w:val="24"/>
          <w:highlight w:val="none"/>
        </w:rPr>
        <w:t>遵化市建明镇西铺村西南1200m</w:t>
      </w:r>
      <w:r>
        <w:rPr>
          <w:snapToGrid w:val="0"/>
          <w:kern w:val="0"/>
          <w:sz w:val="24"/>
          <w:highlight w:val="none"/>
        </w:rPr>
        <w:t>，</w:t>
      </w:r>
      <w:r>
        <w:rPr>
          <w:rFonts w:hint="eastAsia"/>
          <w:sz w:val="24"/>
          <w:highlight w:val="none"/>
        </w:rPr>
        <w:t>其环境空气质量功能区划为二类，环境空气质量应满足《环境空气质量标准》（GB3095 -2012）二级标准要求。</w:t>
      </w:r>
    </w:p>
    <w:p>
      <w:pPr>
        <w:spacing w:line="480" w:lineRule="exact"/>
        <w:ind w:firstLine="480" w:firstLineChars="200"/>
        <w:rPr>
          <w:sz w:val="24"/>
          <w:highlight w:val="none"/>
        </w:rPr>
      </w:pPr>
      <w:r>
        <w:rPr>
          <w:rFonts w:hint="eastAsia"/>
          <w:sz w:val="24"/>
          <w:highlight w:val="none"/>
        </w:rPr>
        <w:t>（2）地表水</w:t>
      </w:r>
    </w:p>
    <w:p>
      <w:pPr>
        <w:spacing w:line="480" w:lineRule="exact"/>
        <w:ind w:firstLine="480" w:firstLineChars="200"/>
        <w:rPr>
          <w:color w:val="auto"/>
          <w:sz w:val="24"/>
          <w:highlight w:val="none"/>
        </w:rPr>
      </w:pPr>
      <w:r>
        <w:rPr>
          <w:rFonts w:hint="eastAsia"/>
          <w:sz w:val="24"/>
          <w:highlight w:val="none"/>
        </w:rPr>
        <w:t>黎河</w:t>
      </w:r>
      <w:r>
        <w:rPr>
          <w:rFonts w:hint="eastAsia"/>
          <w:color w:val="auto"/>
          <w:sz w:val="24"/>
          <w:highlight w:val="none"/>
        </w:rPr>
        <w:t>属于</w:t>
      </w:r>
      <w:r>
        <w:rPr>
          <w:color w:val="auto"/>
          <w:sz w:val="24"/>
          <w:highlight w:val="none"/>
        </w:rPr>
        <w:fldChar w:fldCharType="begin"/>
      </w:r>
      <w:r>
        <w:rPr>
          <w:color w:val="auto"/>
          <w:sz w:val="24"/>
          <w:highlight w:val="none"/>
        </w:rPr>
        <w:instrText xml:space="preserve"> = 3 \* ROMAN \* MERGEFORMAT </w:instrText>
      </w:r>
      <w:r>
        <w:rPr>
          <w:color w:val="auto"/>
          <w:sz w:val="24"/>
          <w:highlight w:val="none"/>
        </w:rPr>
        <w:fldChar w:fldCharType="separate"/>
      </w:r>
      <w:r>
        <w:rPr>
          <w:color w:val="auto"/>
          <w:sz w:val="24"/>
          <w:highlight w:val="none"/>
        </w:rPr>
        <w:t>III</w:t>
      </w:r>
      <w:r>
        <w:rPr>
          <w:color w:val="auto"/>
          <w:sz w:val="24"/>
          <w:highlight w:val="none"/>
        </w:rPr>
        <w:fldChar w:fldCharType="end"/>
      </w:r>
      <w:r>
        <w:rPr>
          <w:color w:val="auto"/>
          <w:sz w:val="24"/>
          <w:highlight w:val="none"/>
        </w:rPr>
        <w:t>类水体，水质目标为</w:t>
      </w:r>
      <w:r>
        <w:rPr>
          <w:color w:val="auto"/>
          <w:sz w:val="24"/>
          <w:highlight w:val="none"/>
        </w:rPr>
        <w:fldChar w:fldCharType="begin"/>
      </w:r>
      <w:r>
        <w:rPr>
          <w:color w:val="auto"/>
          <w:sz w:val="24"/>
          <w:highlight w:val="none"/>
        </w:rPr>
        <w:instrText xml:space="preserve"> = 3 \* ROMAN \* MERGEFORMAT </w:instrText>
      </w:r>
      <w:r>
        <w:rPr>
          <w:color w:val="auto"/>
          <w:sz w:val="24"/>
          <w:highlight w:val="none"/>
        </w:rPr>
        <w:fldChar w:fldCharType="separate"/>
      </w:r>
      <w:r>
        <w:rPr>
          <w:color w:val="auto"/>
          <w:sz w:val="24"/>
          <w:highlight w:val="none"/>
        </w:rPr>
        <w:t>III</w:t>
      </w:r>
      <w:r>
        <w:rPr>
          <w:color w:val="auto"/>
          <w:sz w:val="24"/>
          <w:highlight w:val="none"/>
        </w:rPr>
        <w:fldChar w:fldCharType="end"/>
      </w:r>
      <w:r>
        <w:rPr>
          <w:color w:val="auto"/>
          <w:sz w:val="24"/>
          <w:highlight w:val="none"/>
        </w:rPr>
        <w:t>类，地表水应满足《地表水环境质量标准》（GB3838-2002）</w:t>
      </w:r>
      <w:r>
        <w:rPr>
          <w:color w:val="auto"/>
          <w:sz w:val="24"/>
          <w:highlight w:val="none"/>
        </w:rPr>
        <w:fldChar w:fldCharType="begin"/>
      </w:r>
      <w:r>
        <w:rPr>
          <w:color w:val="auto"/>
          <w:sz w:val="24"/>
          <w:highlight w:val="none"/>
        </w:rPr>
        <w:instrText xml:space="preserve"> = 3 \* ROMAN \* MERGEFORMAT </w:instrText>
      </w:r>
      <w:r>
        <w:rPr>
          <w:color w:val="auto"/>
          <w:sz w:val="24"/>
          <w:highlight w:val="none"/>
        </w:rPr>
        <w:fldChar w:fldCharType="separate"/>
      </w:r>
      <w:r>
        <w:rPr>
          <w:color w:val="auto"/>
          <w:sz w:val="24"/>
          <w:highlight w:val="none"/>
        </w:rPr>
        <w:t>III</w:t>
      </w:r>
      <w:r>
        <w:rPr>
          <w:color w:val="auto"/>
          <w:sz w:val="24"/>
          <w:highlight w:val="none"/>
        </w:rPr>
        <w:fldChar w:fldCharType="end"/>
      </w:r>
      <w:r>
        <w:rPr>
          <w:color w:val="auto"/>
          <w:sz w:val="24"/>
          <w:highlight w:val="none"/>
        </w:rPr>
        <w:t>类</w:t>
      </w:r>
      <w:r>
        <w:rPr>
          <w:rFonts w:hint="eastAsia"/>
          <w:color w:val="auto"/>
          <w:sz w:val="24"/>
          <w:highlight w:val="none"/>
        </w:rPr>
        <w:t>标准要求。</w:t>
      </w:r>
    </w:p>
    <w:p>
      <w:pPr>
        <w:spacing w:line="480" w:lineRule="exact"/>
        <w:ind w:firstLine="480" w:firstLineChars="200"/>
        <w:rPr>
          <w:color w:val="auto"/>
          <w:sz w:val="24"/>
          <w:highlight w:val="none"/>
        </w:rPr>
      </w:pPr>
      <w:r>
        <w:rPr>
          <w:rFonts w:hint="eastAsia"/>
          <w:color w:val="auto"/>
          <w:sz w:val="24"/>
          <w:highlight w:val="none"/>
        </w:rPr>
        <w:t>（3）生态环境</w:t>
      </w:r>
    </w:p>
    <w:p>
      <w:pPr>
        <w:spacing w:line="480" w:lineRule="exact"/>
        <w:ind w:firstLine="480" w:firstLineChars="200"/>
        <w:rPr>
          <w:sz w:val="24"/>
          <w:highlight w:val="none"/>
        </w:rPr>
      </w:pPr>
      <w:r>
        <w:rPr>
          <w:rFonts w:hint="eastAsia"/>
          <w:sz w:val="24"/>
          <w:highlight w:val="none"/>
        </w:rPr>
        <w:t>参考《遵化市生态市建设规划(报批版)》（2007年4月），项目所在地建明镇为优化开发区。</w:t>
      </w:r>
    </w:p>
    <w:p>
      <w:pPr>
        <w:spacing w:line="480" w:lineRule="exact"/>
        <w:ind w:firstLine="480" w:firstLineChars="200"/>
        <w:rPr>
          <w:sz w:val="24"/>
          <w:highlight w:val="none"/>
        </w:rPr>
      </w:pPr>
      <w:r>
        <w:rPr>
          <w:sz w:val="24"/>
          <w:highlight w:val="none"/>
        </w:rPr>
        <w:t>（4）</w:t>
      </w:r>
      <w:r>
        <w:rPr>
          <w:rFonts w:hint="eastAsia"/>
          <w:sz w:val="24"/>
          <w:highlight w:val="none"/>
        </w:rPr>
        <w:t>土壤</w:t>
      </w:r>
    </w:p>
    <w:p>
      <w:pPr>
        <w:spacing w:line="480" w:lineRule="exact"/>
        <w:ind w:firstLine="480" w:firstLineChars="200"/>
        <w:rPr>
          <w:sz w:val="24"/>
          <w:highlight w:val="none"/>
        </w:rPr>
      </w:pPr>
      <w:r>
        <w:rPr>
          <w:rFonts w:hint="eastAsia"/>
          <w:sz w:val="24"/>
          <w:highlight w:val="none"/>
        </w:rPr>
        <w:t>发电厂房占地范围内为建设用地，周边为林地及农用地。</w:t>
      </w:r>
    </w:p>
    <w:p>
      <w:pPr>
        <w:spacing w:line="480" w:lineRule="exact"/>
        <w:jc w:val="center"/>
        <w:rPr>
          <w:b/>
          <w:bCs/>
          <w:sz w:val="24"/>
          <w:highlight w:val="none"/>
        </w:rPr>
      </w:pPr>
      <w:r>
        <w:rPr>
          <w:rFonts w:hint="eastAsia"/>
          <w:b/>
          <w:bCs/>
          <w:sz w:val="24"/>
          <w:highlight w:val="none"/>
        </w:rPr>
        <w:t>表 1.</w:t>
      </w:r>
      <w:r>
        <w:rPr>
          <w:rFonts w:hint="eastAsia"/>
          <w:b/>
          <w:bCs/>
          <w:sz w:val="24"/>
          <w:highlight w:val="none"/>
          <w:lang w:val="en-US" w:eastAsia="zh-CN"/>
        </w:rPr>
        <w:t>7</w:t>
      </w:r>
      <w:r>
        <w:rPr>
          <w:rFonts w:hint="eastAsia"/>
          <w:b/>
          <w:bCs/>
          <w:sz w:val="24"/>
          <w:highlight w:val="none"/>
        </w:rPr>
        <w:t>-1 评价范围内环境功能要求一览表</w:t>
      </w:r>
    </w:p>
    <w:tbl>
      <w:tblPr>
        <w:tblStyle w:val="5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0"/>
        <w:gridCol w:w="2175"/>
        <w:gridCol w:w="4350"/>
        <w:gridCol w:w="1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napToGrid w:val="0"/>
                <w:kern w:val="0"/>
                <w:szCs w:val="21"/>
                <w:highlight w:val="none"/>
              </w:rPr>
            </w:pPr>
            <w:r>
              <w:rPr>
                <w:rFonts w:hint="eastAsia"/>
                <w:snapToGrid w:val="0"/>
                <w:kern w:val="0"/>
                <w:szCs w:val="21"/>
                <w:highlight w:val="none"/>
              </w:rPr>
              <w:t>序号</w:t>
            </w:r>
          </w:p>
        </w:tc>
        <w:tc>
          <w:tcPr>
            <w:tcW w:w="2175" w:type="dxa"/>
            <w:vAlign w:val="center"/>
          </w:tcPr>
          <w:p>
            <w:pPr>
              <w:keepNext w:val="0"/>
              <w:keepLines w:val="0"/>
              <w:pageBreakBefore w:val="0"/>
              <w:widowControl w:val="0"/>
              <w:kinsoku/>
              <w:wordWrap/>
              <w:overflowPunct/>
              <w:topLinePunct w:val="0"/>
              <w:autoSpaceDE/>
              <w:autoSpaceDN/>
              <w:bidi w:val="0"/>
              <w:adjustRightInd/>
              <w:snapToGrid/>
              <w:spacing w:line="360" w:lineRule="exact"/>
              <w:textAlignment w:val="auto"/>
              <w:rPr>
                <w:snapToGrid w:val="0"/>
                <w:kern w:val="0"/>
                <w:szCs w:val="21"/>
                <w:highlight w:val="none"/>
              </w:rPr>
            </w:pPr>
            <w:r>
              <w:rPr>
                <w:rFonts w:hint="eastAsia"/>
                <w:snapToGrid w:val="0"/>
                <w:kern w:val="0"/>
                <w:szCs w:val="21"/>
                <w:highlight w:val="none"/>
              </w:rPr>
              <w:t>项目</w:t>
            </w:r>
          </w:p>
        </w:tc>
        <w:tc>
          <w:tcPr>
            <w:tcW w:w="5535"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napToGrid w:val="0"/>
                <w:kern w:val="0"/>
                <w:szCs w:val="21"/>
                <w:highlight w:val="none"/>
              </w:rPr>
            </w:pPr>
            <w:r>
              <w:rPr>
                <w:rFonts w:hint="eastAsia"/>
                <w:snapToGrid w:val="0"/>
                <w:kern w:val="0"/>
                <w:szCs w:val="21"/>
                <w:highlight w:val="none"/>
              </w:rPr>
              <w:t>功能区和执行标准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napToGrid w:val="0"/>
                <w:kern w:val="0"/>
                <w:szCs w:val="21"/>
                <w:highlight w:val="none"/>
              </w:rPr>
            </w:pPr>
            <w:r>
              <w:rPr>
                <w:rFonts w:hint="eastAsia"/>
                <w:snapToGrid w:val="0"/>
                <w:kern w:val="0"/>
                <w:szCs w:val="21"/>
                <w:highlight w:val="none"/>
              </w:rPr>
              <w:t>1</w:t>
            </w:r>
          </w:p>
        </w:tc>
        <w:tc>
          <w:tcPr>
            <w:tcW w:w="217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napToGrid w:val="0"/>
                <w:kern w:val="0"/>
                <w:szCs w:val="21"/>
                <w:highlight w:val="none"/>
              </w:rPr>
            </w:pPr>
            <w:r>
              <w:rPr>
                <w:rFonts w:hint="eastAsia"/>
                <w:snapToGrid w:val="0"/>
                <w:kern w:val="0"/>
                <w:szCs w:val="21"/>
                <w:highlight w:val="none"/>
              </w:rPr>
              <w:t>地表水环境</w:t>
            </w:r>
          </w:p>
        </w:tc>
        <w:tc>
          <w:tcPr>
            <w:tcW w:w="5535"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napToGrid w:val="0"/>
                <w:kern w:val="0"/>
                <w:szCs w:val="21"/>
                <w:highlight w:val="none"/>
              </w:rPr>
            </w:pPr>
            <w:r>
              <w:rPr>
                <w:rFonts w:hint="eastAsia"/>
                <w:snapToGrid w:val="0"/>
                <w:kern w:val="0"/>
                <w:szCs w:val="21"/>
                <w:highlight w:val="none"/>
              </w:rPr>
              <w:t>《地表水环境质量标准》（GB3838-2002）中</w:t>
            </w:r>
            <w:r>
              <w:rPr>
                <w:color w:val="auto"/>
                <w:sz w:val="24"/>
                <w:highlight w:val="none"/>
              </w:rPr>
              <w:fldChar w:fldCharType="begin"/>
            </w:r>
            <w:r>
              <w:rPr>
                <w:color w:val="auto"/>
                <w:sz w:val="24"/>
                <w:highlight w:val="none"/>
              </w:rPr>
              <w:instrText xml:space="preserve"> = 3 \* ROMAN \* MERGEFORMAT </w:instrText>
            </w:r>
            <w:r>
              <w:rPr>
                <w:color w:val="auto"/>
                <w:sz w:val="24"/>
                <w:highlight w:val="none"/>
              </w:rPr>
              <w:fldChar w:fldCharType="separate"/>
            </w:r>
            <w:r>
              <w:rPr>
                <w:color w:val="auto"/>
                <w:sz w:val="24"/>
                <w:highlight w:val="none"/>
              </w:rPr>
              <w:t>III</w:t>
            </w:r>
            <w:r>
              <w:rPr>
                <w:color w:val="auto"/>
                <w:sz w:val="24"/>
                <w:highlight w:val="none"/>
              </w:rPr>
              <w:fldChar w:fldCharType="end"/>
            </w:r>
            <w:r>
              <w:rPr>
                <w:rFonts w:hint="eastAsia"/>
                <w:snapToGrid w:val="0"/>
                <w:kern w:val="0"/>
                <w:szCs w:val="21"/>
                <w:highlight w:val="none"/>
              </w:rPr>
              <w:t>类质量标准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napToGrid w:val="0"/>
                <w:kern w:val="0"/>
                <w:szCs w:val="21"/>
                <w:highlight w:val="none"/>
              </w:rPr>
            </w:pPr>
            <w:r>
              <w:rPr>
                <w:rFonts w:hint="eastAsia"/>
                <w:snapToGrid w:val="0"/>
                <w:kern w:val="0"/>
                <w:szCs w:val="21"/>
                <w:highlight w:val="none"/>
              </w:rPr>
              <w:t>2</w:t>
            </w:r>
          </w:p>
        </w:tc>
        <w:tc>
          <w:tcPr>
            <w:tcW w:w="217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napToGrid w:val="0"/>
                <w:kern w:val="0"/>
                <w:szCs w:val="21"/>
                <w:highlight w:val="none"/>
              </w:rPr>
            </w:pPr>
            <w:r>
              <w:rPr>
                <w:rFonts w:hint="eastAsia"/>
                <w:snapToGrid w:val="0"/>
                <w:kern w:val="0"/>
                <w:szCs w:val="21"/>
                <w:highlight w:val="none"/>
              </w:rPr>
              <w:t>大气环境</w:t>
            </w:r>
          </w:p>
        </w:tc>
        <w:tc>
          <w:tcPr>
            <w:tcW w:w="5535"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napToGrid w:val="0"/>
                <w:kern w:val="0"/>
                <w:szCs w:val="21"/>
                <w:highlight w:val="none"/>
              </w:rPr>
            </w:pPr>
            <w:r>
              <w:rPr>
                <w:rFonts w:hint="eastAsia"/>
                <w:snapToGrid w:val="0"/>
                <w:kern w:val="0"/>
                <w:szCs w:val="21"/>
                <w:highlight w:val="none"/>
              </w:rPr>
              <w:t>《环境空气质量标准》（GB3095-2012）中二级标准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napToGrid w:val="0"/>
                <w:kern w:val="0"/>
                <w:szCs w:val="21"/>
                <w:highlight w:val="none"/>
              </w:rPr>
            </w:pPr>
            <w:r>
              <w:rPr>
                <w:rFonts w:hint="eastAsia"/>
                <w:snapToGrid w:val="0"/>
                <w:kern w:val="0"/>
                <w:szCs w:val="21"/>
                <w:highlight w:val="none"/>
              </w:rPr>
              <w:t>3</w:t>
            </w:r>
          </w:p>
        </w:tc>
        <w:tc>
          <w:tcPr>
            <w:tcW w:w="217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napToGrid w:val="0"/>
                <w:kern w:val="0"/>
                <w:szCs w:val="21"/>
                <w:highlight w:val="none"/>
              </w:rPr>
            </w:pPr>
            <w:r>
              <w:rPr>
                <w:rFonts w:hint="eastAsia"/>
                <w:snapToGrid w:val="0"/>
                <w:kern w:val="0"/>
                <w:szCs w:val="21"/>
                <w:highlight w:val="none"/>
              </w:rPr>
              <w:t>声环境</w:t>
            </w:r>
          </w:p>
        </w:tc>
        <w:tc>
          <w:tcPr>
            <w:tcW w:w="5535"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napToGrid w:val="0"/>
                <w:kern w:val="0"/>
                <w:szCs w:val="21"/>
                <w:highlight w:val="none"/>
              </w:rPr>
            </w:pPr>
            <w:r>
              <w:rPr>
                <w:rFonts w:hint="eastAsia"/>
                <w:snapToGrid w:val="0"/>
                <w:kern w:val="0"/>
                <w:szCs w:val="21"/>
                <w:highlight w:val="none"/>
              </w:rPr>
              <w:t>《声环境质量标准》（GB3096-2008）中 2 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napToGrid w:val="0"/>
                <w:kern w:val="0"/>
                <w:szCs w:val="21"/>
                <w:highlight w:val="none"/>
              </w:rPr>
            </w:pPr>
            <w:r>
              <w:rPr>
                <w:rFonts w:hint="eastAsia"/>
                <w:snapToGrid w:val="0"/>
                <w:kern w:val="0"/>
                <w:szCs w:val="21"/>
                <w:highlight w:val="none"/>
              </w:rPr>
              <w:t>4</w:t>
            </w:r>
          </w:p>
        </w:tc>
        <w:tc>
          <w:tcPr>
            <w:tcW w:w="217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napToGrid w:val="0"/>
                <w:kern w:val="0"/>
                <w:szCs w:val="21"/>
                <w:highlight w:val="none"/>
              </w:rPr>
            </w:pPr>
            <w:r>
              <w:rPr>
                <w:rFonts w:hint="eastAsia"/>
                <w:snapToGrid w:val="0"/>
                <w:kern w:val="0"/>
                <w:szCs w:val="21"/>
                <w:highlight w:val="none"/>
              </w:rPr>
              <w:t>地下水</w:t>
            </w:r>
          </w:p>
        </w:tc>
        <w:tc>
          <w:tcPr>
            <w:tcW w:w="5535"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napToGrid w:val="0"/>
                <w:kern w:val="0"/>
                <w:szCs w:val="21"/>
                <w:highlight w:val="none"/>
              </w:rPr>
            </w:pPr>
            <w:r>
              <w:rPr>
                <w:rFonts w:hint="eastAsia"/>
                <w:snapToGrid w:val="0"/>
                <w:kern w:val="0"/>
                <w:szCs w:val="21"/>
                <w:highlight w:val="none"/>
              </w:rPr>
              <w:t>《地下水质量标准》（GB/T14848-2017）中Ⅲ类标准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napToGrid w:val="0"/>
                <w:kern w:val="0"/>
                <w:szCs w:val="21"/>
                <w:highlight w:val="none"/>
              </w:rPr>
            </w:pPr>
            <w:r>
              <w:rPr>
                <w:rFonts w:hint="eastAsia"/>
                <w:snapToGrid w:val="0"/>
                <w:kern w:val="0"/>
                <w:szCs w:val="21"/>
                <w:highlight w:val="none"/>
              </w:rPr>
              <w:t>5</w:t>
            </w:r>
          </w:p>
        </w:tc>
        <w:tc>
          <w:tcPr>
            <w:tcW w:w="217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napToGrid w:val="0"/>
                <w:kern w:val="0"/>
                <w:szCs w:val="21"/>
                <w:highlight w:val="none"/>
              </w:rPr>
            </w:pPr>
            <w:r>
              <w:rPr>
                <w:rFonts w:hint="eastAsia"/>
                <w:snapToGrid w:val="0"/>
                <w:kern w:val="0"/>
                <w:szCs w:val="21"/>
                <w:highlight w:val="none"/>
              </w:rPr>
              <w:t>是否生态红线范围内</w:t>
            </w:r>
          </w:p>
        </w:tc>
        <w:tc>
          <w:tcPr>
            <w:tcW w:w="5535"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napToGrid w:val="0"/>
                <w:kern w:val="0"/>
                <w:szCs w:val="21"/>
                <w:highlight w:val="none"/>
              </w:rPr>
            </w:pPr>
            <w:r>
              <w:rPr>
                <w:rFonts w:hint="eastAsia"/>
                <w:snapToGrid w:val="0"/>
                <w:kern w:val="0"/>
                <w:szCs w:val="21"/>
                <w:highlight w:val="none"/>
              </w:rPr>
              <w:t>水电站不在生态红线范围内；橡胶坝在生态红线范围内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snapToGrid w:val="0"/>
                <w:kern w:val="0"/>
                <w:szCs w:val="21"/>
                <w:highlight w:val="none"/>
              </w:rPr>
            </w:pPr>
            <w:r>
              <w:rPr>
                <w:rFonts w:hint="eastAsia"/>
                <w:snapToGrid w:val="0"/>
                <w:kern w:val="0"/>
                <w:szCs w:val="21"/>
                <w:highlight w:val="none"/>
              </w:rPr>
              <w:t>6</w:t>
            </w:r>
          </w:p>
        </w:tc>
        <w:tc>
          <w:tcPr>
            <w:tcW w:w="6525"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exact"/>
              <w:jc w:val="left"/>
              <w:textAlignment w:val="auto"/>
              <w:rPr>
                <w:snapToGrid w:val="0"/>
                <w:kern w:val="0"/>
                <w:szCs w:val="21"/>
                <w:highlight w:val="none"/>
              </w:rPr>
            </w:pPr>
            <w:r>
              <w:rPr>
                <w:rFonts w:hint="eastAsia"/>
                <w:snapToGrid w:val="0"/>
                <w:kern w:val="0"/>
                <w:szCs w:val="21"/>
                <w:highlight w:val="none"/>
              </w:rPr>
              <w:t>是否饮用水源保护区；是否基本农田保护区；是否风景名胜保护区；是否自然保护区；是否湿地公园</w:t>
            </w:r>
          </w:p>
        </w:tc>
        <w:tc>
          <w:tcPr>
            <w:tcW w:w="1185" w:type="dxa"/>
            <w:vAlign w:val="center"/>
          </w:tcPr>
          <w:p>
            <w:pPr>
              <w:spacing w:line="300" w:lineRule="exact"/>
              <w:jc w:val="center"/>
              <w:rPr>
                <w:snapToGrid w:val="0"/>
                <w:kern w:val="0"/>
                <w:szCs w:val="21"/>
                <w:highlight w:val="none"/>
              </w:rPr>
            </w:pPr>
            <w:r>
              <w:rPr>
                <w:rFonts w:hint="eastAsia"/>
                <w:snapToGrid w:val="0"/>
                <w:kern w:val="0"/>
                <w:szCs w:val="21"/>
                <w:highlight w:val="none"/>
              </w:rPr>
              <w:t>否</w:t>
            </w:r>
          </w:p>
        </w:tc>
      </w:tr>
    </w:tbl>
    <w:p>
      <w:pPr>
        <w:spacing w:line="480" w:lineRule="exact"/>
        <w:jc w:val="center"/>
        <w:rPr>
          <w:rFonts w:hint="eastAsia"/>
          <w:b/>
          <w:bCs/>
          <w:sz w:val="24"/>
          <w:highlight w:val="none"/>
        </w:rPr>
      </w:pPr>
    </w:p>
    <w:p>
      <w:pPr>
        <w:spacing w:line="480" w:lineRule="exact"/>
        <w:jc w:val="center"/>
        <w:rPr>
          <w:rFonts w:hint="eastAsia"/>
          <w:b/>
          <w:bCs/>
          <w:sz w:val="24"/>
          <w:highlight w:val="none"/>
        </w:rPr>
      </w:pPr>
    </w:p>
    <w:p>
      <w:pPr>
        <w:rPr>
          <w:sz w:val="24"/>
          <w:highlight w:val="none"/>
        </w:rPr>
      </w:pPr>
      <w:bookmarkStart w:id="113" w:name="_Toc246763521"/>
      <w:bookmarkStart w:id="114" w:name="_Toc156613291"/>
      <w:r>
        <w:rPr>
          <w:sz w:val="24"/>
          <w:highlight w:val="none"/>
        </w:rPr>
        <w:br w:type="page"/>
      </w:r>
    </w:p>
    <w:p>
      <w:pPr>
        <w:keepNext w:val="0"/>
        <w:keepLines w:val="0"/>
        <w:pageBreakBefore w:val="0"/>
        <w:widowControl w:val="0"/>
        <w:kinsoku/>
        <w:wordWrap/>
        <w:overflowPunct/>
        <w:topLinePunct w:val="0"/>
        <w:autoSpaceDE/>
        <w:autoSpaceDN/>
        <w:bidi w:val="0"/>
        <w:adjustRightInd w:val="0"/>
        <w:snapToGrid w:val="0"/>
        <w:spacing w:before="157" w:beforeLines="50" w:after="157" w:afterLines="50" w:line="480" w:lineRule="exact"/>
        <w:textAlignment w:val="auto"/>
        <w:outlineLvl w:val="0"/>
        <w:rPr>
          <w:b/>
          <w:snapToGrid w:val="0"/>
          <w:kern w:val="0"/>
          <w:sz w:val="28"/>
          <w:szCs w:val="28"/>
          <w:highlight w:val="none"/>
        </w:rPr>
      </w:pPr>
      <w:bookmarkStart w:id="115" w:name="_Toc30686"/>
      <w:bookmarkStart w:id="116" w:name="_Toc23632"/>
      <w:bookmarkStart w:id="117" w:name="_Toc24514"/>
      <w:r>
        <w:rPr>
          <w:rFonts w:hint="eastAsia"/>
          <w:b/>
          <w:sz w:val="28"/>
          <w:szCs w:val="28"/>
          <w:highlight w:val="none"/>
        </w:rPr>
        <w:t xml:space="preserve">2 </w:t>
      </w:r>
      <w:r>
        <w:rPr>
          <w:b/>
          <w:sz w:val="28"/>
          <w:szCs w:val="28"/>
          <w:highlight w:val="none"/>
        </w:rPr>
        <w:t>工程</w:t>
      </w:r>
      <w:bookmarkEnd w:id="115"/>
      <w:bookmarkEnd w:id="116"/>
      <w:bookmarkStart w:id="118" w:name="_Toc156613292"/>
      <w:bookmarkStart w:id="119" w:name="_Toc154715405"/>
      <w:bookmarkStart w:id="120" w:name="_Toc149727663"/>
      <w:bookmarkStart w:id="121" w:name="_Toc150140050"/>
      <w:bookmarkStart w:id="122" w:name="_Toc149727391"/>
      <w:r>
        <w:rPr>
          <w:rFonts w:hint="eastAsia"/>
          <w:b/>
          <w:sz w:val="28"/>
          <w:szCs w:val="28"/>
          <w:highlight w:val="none"/>
        </w:rPr>
        <w:t>概况</w:t>
      </w:r>
      <w:bookmarkEnd w:id="117"/>
    </w:p>
    <w:bookmarkEnd w:id="118"/>
    <w:bookmarkEnd w:id="119"/>
    <w:bookmarkEnd w:id="120"/>
    <w:bookmarkEnd w:id="121"/>
    <w:bookmarkEnd w:id="122"/>
    <w:p>
      <w:pPr>
        <w:tabs>
          <w:tab w:val="left" w:pos="1080"/>
        </w:tabs>
        <w:spacing w:line="480" w:lineRule="exact"/>
        <w:outlineLvl w:val="1"/>
        <w:rPr>
          <w:b/>
          <w:sz w:val="24"/>
          <w:highlight w:val="none"/>
        </w:rPr>
      </w:pPr>
      <w:bookmarkStart w:id="123" w:name="_Toc16514"/>
      <w:bookmarkStart w:id="124" w:name="_Toc7309"/>
      <w:bookmarkStart w:id="125" w:name="_Toc246763528"/>
      <w:bookmarkStart w:id="126" w:name="_Toc27786"/>
      <w:r>
        <w:rPr>
          <w:rFonts w:hint="eastAsia"/>
          <w:b/>
          <w:sz w:val="24"/>
          <w:highlight w:val="none"/>
        </w:rPr>
        <w:t>2</w:t>
      </w:r>
      <w:r>
        <w:rPr>
          <w:b/>
          <w:sz w:val="24"/>
          <w:highlight w:val="none"/>
        </w:rPr>
        <w:t xml:space="preserve">.1 </w:t>
      </w:r>
      <w:bookmarkEnd w:id="123"/>
      <w:bookmarkEnd w:id="124"/>
      <w:bookmarkEnd w:id="125"/>
      <w:r>
        <w:rPr>
          <w:rFonts w:hint="eastAsia"/>
          <w:b/>
          <w:sz w:val="24"/>
          <w:highlight w:val="none"/>
        </w:rPr>
        <w:t>流域及水电规划</w:t>
      </w:r>
      <w:r>
        <w:rPr>
          <w:b/>
          <w:sz w:val="24"/>
          <w:highlight w:val="none"/>
        </w:rPr>
        <w:t>概况</w:t>
      </w:r>
      <w:bookmarkEnd w:id="126"/>
    </w:p>
    <w:p>
      <w:pPr>
        <w:spacing w:line="480" w:lineRule="exact"/>
        <w:ind w:right="28"/>
        <w:rPr>
          <w:b/>
          <w:snapToGrid w:val="0"/>
          <w:kern w:val="0"/>
          <w:sz w:val="24"/>
          <w:highlight w:val="none"/>
        </w:rPr>
      </w:pPr>
      <w:r>
        <w:rPr>
          <w:rFonts w:hint="eastAsia"/>
          <w:b/>
          <w:snapToGrid w:val="0"/>
          <w:kern w:val="0"/>
          <w:sz w:val="24"/>
          <w:highlight w:val="none"/>
        </w:rPr>
        <w:t>2.1.1</w:t>
      </w:r>
      <w:r>
        <w:rPr>
          <w:b/>
          <w:snapToGrid w:val="0"/>
          <w:kern w:val="0"/>
          <w:sz w:val="24"/>
          <w:highlight w:val="none"/>
        </w:rPr>
        <w:t xml:space="preserve"> 引滦入津黎河段概况</w:t>
      </w:r>
    </w:p>
    <w:p>
      <w:pPr>
        <w:spacing w:line="480" w:lineRule="exact"/>
        <w:ind w:right="28" w:firstLine="480" w:firstLineChars="200"/>
        <w:rPr>
          <w:snapToGrid w:val="0"/>
          <w:kern w:val="0"/>
          <w:sz w:val="24"/>
          <w:highlight w:val="none"/>
        </w:rPr>
      </w:pPr>
      <w:r>
        <w:rPr>
          <w:rFonts w:hint="eastAsia"/>
          <w:snapToGrid w:val="0"/>
          <w:kern w:val="0"/>
          <w:sz w:val="24"/>
          <w:highlight w:val="none"/>
        </w:rPr>
        <w:t>滦河流域是海河流域三大水系之一，滦河发源于河北省丰宁县西北大滩界牌梁，始称闪电河，向北流经河北省沽源县和内蒙古自治区的正兰旗，在正兰旗（县）城附近折向东至</w:t>
      </w:r>
      <w:r>
        <w:rPr>
          <w:rFonts w:hint="eastAsia"/>
          <w:snapToGrid w:val="0"/>
          <w:color w:val="auto"/>
          <w:kern w:val="0"/>
          <w:sz w:val="24"/>
          <w:highlight w:val="none"/>
        </w:rPr>
        <w:t>多伦县大河口与吐力根河汇流后称大滦河。后南行于外沟门子又返回丰宁县境内，至隆化县郭家屯以上约 2km 纳入小滦河，始称滦河，此后蜿蜒流经滦平、承德</w:t>
      </w:r>
      <w:r>
        <w:rPr>
          <w:rFonts w:hint="eastAsia"/>
          <w:snapToGrid w:val="0"/>
          <w:kern w:val="0"/>
          <w:sz w:val="24"/>
          <w:highlight w:val="none"/>
        </w:rPr>
        <w:t>、兴隆、宽城、迁西、迁安、卢龙、滦县、昌黎、乐亭等县市，在潘家口穿过长城至滦县进入冀东平原，于乐亭县注入渤海。滦河全长 888km，流域面积</w:t>
      </w:r>
      <w:r>
        <w:rPr>
          <w:snapToGrid w:val="0"/>
          <w:kern w:val="0"/>
          <w:sz w:val="24"/>
          <w:highlight w:val="none"/>
        </w:rPr>
        <w:t>44750km</w:t>
      </w:r>
      <w:r>
        <w:rPr>
          <w:rFonts w:hint="eastAsia"/>
          <w:snapToGrid w:val="0"/>
          <w:kern w:val="0"/>
          <w:sz w:val="24"/>
          <w:highlight w:val="none"/>
          <w:vertAlign w:val="superscript"/>
        </w:rPr>
        <w:t>2</w:t>
      </w:r>
      <w:r>
        <w:rPr>
          <w:rFonts w:hint="eastAsia"/>
          <w:snapToGrid w:val="0"/>
          <w:kern w:val="0"/>
          <w:sz w:val="24"/>
          <w:highlight w:val="none"/>
        </w:rPr>
        <w:t xml:space="preserve"> 。</w:t>
      </w:r>
    </w:p>
    <w:p>
      <w:pPr>
        <w:spacing w:line="480" w:lineRule="exact"/>
        <w:ind w:right="28" w:firstLine="480" w:firstLineChars="200"/>
        <w:rPr>
          <w:snapToGrid w:val="0"/>
          <w:kern w:val="0"/>
          <w:sz w:val="24"/>
          <w:highlight w:val="none"/>
        </w:rPr>
      </w:pPr>
      <w:r>
        <w:rPr>
          <w:rFonts w:hint="eastAsia"/>
          <w:snapToGrid w:val="0"/>
          <w:kern w:val="0"/>
          <w:sz w:val="24"/>
          <w:highlight w:val="none"/>
        </w:rPr>
        <w:t>“</w:t>
      </w:r>
      <w:r>
        <w:rPr>
          <w:snapToGrid w:val="0"/>
          <w:kern w:val="0"/>
          <w:sz w:val="24"/>
          <w:highlight w:val="none"/>
        </w:rPr>
        <w:t>引滦入津工程</w:t>
      </w:r>
      <w:r>
        <w:rPr>
          <w:rFonts w:hint="eastAsia"/>
          <w:snapToGrid w:val="0"/>
          <w:kern w:val="0"/>
          <w:sz w:val="24"/>
          <w:highlight w:val="none"/>
        </w:rPr>
        <w:t>”以上建有大型水库 2 座、中型水库 6 座及多处小型水库和塘坝，对滦河洪水起到了一定的调蓄作用。潘家口和大黑汀水库是滦河流域内的 2 座大型水利枢纽工程，潘家口水库坝址位于迁西县洒河桥镇桃园村北，库区位于宽城、迁西两县，大黑汀水库坝址在迁西县境内大黑汀村，距迁西县城 5.3km，潘家口水库位于大黑汀水库的上游，两库首尾相连，形成滦河梯级开发工程。</w:t>
      </w:r>
    </w:p>
    <w:p>
      <w:pPr>
        <w:spacing w:line="480" w:lineRule="exact"/>
        <w:ind w:right="28" w:firstLine="480" w:firstLineChars="200"/>
        <w:rPr>
          <w:snapToGrid w:val="0"/>
          <w:kern w:val="0"/>
          <w:sz w:val="24"/>
          <w:highlight w:val="none"/>
        </w:rPr>
      </w:pPr>
      <w:r>
        <w:rPr>
          <w:rFonts w:hint="eastAsia"/>
          <w:snapToGrid w:val="0"/>
          <w:kern w:val="0"/>
          <w:sz w:val="24"/>
          <w:highlight w:val="none"/>
        </w:rPr>
        <w:t>潘家口水库位于滦河中游，控制面积 34240km</w:t>
      </w:r>
      <w:r>
        <w:rPr>
          <w:rFonts w:hint="eastAsia"/>
          <w:snapToGrid w:val="0"/>
          <w:kern w:val="0"/>
          <w:sz w:val="24"/>
          <w:highlight w:val="none"/>
          <w:vertAlign w:val="superscript"/>
        </w:rPr>
        <w:t>2</w:t>
      </w:r>
      <w:r>
        <w:rPr>
          <w:rFonts w:hint="eastAsia"/>
          <w:snapToGrid w:val="0"/>
          <w:kern w:val="0"/>
          <w:sz w:val="24"/>
          <w:highlight w:val="none"/>
        </w:rPr>
        <w:t xml:space="preserve"> ，占滦河流域山区面积的 75%，总库容 29.3亿m</w:t>
      </w:r>
      <w:r>
        <w:rPr>
          <w:rFonts w:hint="eastAsia"/>
          <w:snapToGrid w:val="0"/>
          <w:kern w:val="0"/>
          <w:sz w:val="24"/>
          <w:highlight w:val="none"/>
          <w:vertAlign w:val="superscript"/>
        </w:rPr>
        <w:t>3</w:t>
      </w:r>
      <w:r>
        <w:rPr>
          <w:rFonts w:hint="eastAsia"/>
          <w:snapToGrid w:val="0"/>
          <w:kern w:val="0"/>
          <w:sz w:val="24"/>
          <w:highlight w:val="none"/>
        </w:rPr>
        <w:t>，防洪库容7.0亿m</w:t>
      </w:r>
      <w:r>
        <w:rPr>
          <w:rFonts w:hint="eastAsia"/>
          <w:snapToGrid w:val="0"/>
          <w:kern w:val="0"/>
          <w:sz w:val="24"/>
          <w:highlight w:val="none"/>
          <w:vertAlign w:val="superscript"/>
        </w:rPr>
        <w:t>3</w:t>
      </w:r>
      <w:r>
        <w:rPr>
          <w:rFonts w:hint="eastAsia"/>
          <w:snapToGrid w:val="0"/>
          <w:kern w:val="0"/>
          <w:sz w:val="24"/>
          <w:highlight w:val="none"/>
        </w:rPr>
        <w:t>，主坝坝顶高程 230.5m，最大坝高 107.5m，水库设计防洪标准 1000 年一遇，校核标准 5000 年一遇，是一个以供水为主，兼顾防洪、发电等综合利用的大（Ⅰ）型水利枢纽工程。</w:t>
      </w:r>
    </w:p>
    <w:p>
      <w:pPr>
        <w:spacing w:line="480" w:lineRule="exact"/>
        <w:ind w:right="28" w:firstLine="480" w:firstLineChars="200"/>
        <w:rPr>
          <w:snapToGrid w:val="0"/>
          <w:kern w:val="0"/>
          <w:sz w:val="24"/>
          <w:highlight w:val="none"/>
        </w:rPr>
      </w:pPr>
      <w:r>
        <w:rPr>
          <w:rFonts w:hint="eastAsia"/>
          <w:snapToGrid w:val="0"/>
          <w:kern w:val="0"/>
          <w:sz w:val="24"/>
          <w:highlight w:val="none"/>
        </w:rPr>
        <w:t>大黑汀水库位于潘家口水库下游 30km 的滦河干流上，水库以上流域面积 35580km</w:t>
      </w:r>
      <w:r>
        <w:rPr>
          <w:rFonts w:hint="eastAsia"/>
          <w:snapToGrid w:val="0"/>
          <w:kern w:val="0"/>
          <w:sz w:val="24"/>
          <w:highlight w:val="none"/>
          <w:vertAlign w:val="superscript"/>
        </w:rPr>
        <w:t>2</w:t>
      </w:r>
      <w:r>
        <w:rPr>
          <w:rFonts w:hint="eastAsia"/>
          <w:snapToGrid w:val="0"/>
          <w:kern w:val="0"/>
          <w:sz w:val="24"/>
          <w:highlight w:val="none"/>
        </w:rPr>
        <w:t>，占全流域总面积的79%，其中潘大区间面积为1340km</w:t>
      </w:r>
      <w:r>
        <w:rPr>
          <w:rFonts w:hint="eastAsia"/>
          <w:snapToGrid w:val="0"/>
          <w:kern w:val="0"/>
          <w:sz w:val="24"/>
          <w:highlight w:val="none"/>
          <w:vertAlign w:val="superscript"/>
        </w:rPr>
        <w:t>2</w:t>
      </w:r>
      <w:r>
        <w:rPr>
          <w:rFonts w:hint="eastAsia"/>
          <w:snapToGrid w:val="0"/>
          <w:kern w:val="0"/>
          <w:sz w:val="24"/>
          <w:highlight w:val="none"/>
        </w:rPr>
        <w:t>，是一座以蓄水兴利为主的调节水库，不承担下游防洪任务，溢流坝泄洪能力很大，洪水期间不控泄。水库总库容为3.37亿m</w:t>
      </w:r>
      <w:r>
        <w:rPr>
          <w:rFonts w:hint="eastAsia"/>
          <w:snapToGrid w:val="0"/>
          <w:kern w:val="0"/>
          <w:sz w:val="24"/>
          <w:highlight w:val="none"/>
          <w:vertAlign w:val="superscript"/>
        </w:rPr>
        <w:t>3</w:t>
      </w:r>
      <w:r>
        <w:rPr>
          <w:rFonts w:hint="eastAsia"/>
          <w:snapToGrid w:val="0"/>
          <w:kern w:val="0"/>
          <w:sz w:val="24"/>
          <w:highlight w:val="none"/>
        </w:rPr>
        <w:t>，主坝坝顶高程138.8m，最大坝高 52.8m，水库设计防洪标准 100 年一遇，校核标准 1000年一遇。</w:t>
      </w:r>
    </w:p>
    <w:p>
      <w:pPr>
        <w:spacing w:line="480" w:lineRule="exact"/>
        <w:ind w:right="28" w:firstLine="480" w:firstLineChars="200"/>
        <w:rPr>
          <w:snapToGrid w:val="0"/>
          <w:kern w:val="0"/>
          <w:sz w:val="24"/>
          <w:highlight w:val="none"/>
        </w:rPr>
      </w:pPr>
      <w:r>
        <w:rPr>
          <w:snapToGrid w:val="0"/>
          <w:kern w:val="0"/>
          <w:sz w:val="24"/>
          <w:highlight w:val="none"/>
        </w:rPr>
        <w:t>引滦入津工程是中国大型供水工程，是指将</w:t>
      </w:r>
      <w:r>
        <w:rPr>
          <w:highlight w:val="none"/>
        </w:rPr>
        <w:fldChar w:fldCharType="begin"/>
      </w:r>
      <w:r>
        <w:rPr>
          <w:highlight w:val="none"/>
        </w:rPr>
        <w:instrText xml:space="preserve"> HYPERLINK "https://baike.baidu.com/item/%E6%B2%B3%E5%8C%97%E7%9C%81" \t "_blank" </w:instrText>
      </w:r>
      <w:r>
        <w:rPr>
          <w:highlight w:val="none"/>
        </w:rPr>
        <w:fldChar w:fldCharType="separate"/>
      </w:r>
      <w:r>
        <w:rPr>
          <w:snapToGrid w:val="0"/>
          <w:kern w:val="0"/>
          <w:sz w:val="24"/>
          <w:highlight w:val="none"/>
        </w:rPr>
        <w:t>河北省</w:t>
      </w:r>
      <w:r>
        <w:rPr>
          <w:snapToGrid w:val="0"/>
          <w:kern w:val="0"/>
          <w:sz w:val="24"/>
          <w:highlight w:val="none"/>
        </w:rPr>
        <w:fldChar w:fldCharType="end"/>
      </w:r>
      <w:r>
        <w:rPr>
          <w:snapToGrid w:val="0"/>
          <w:kern w:val="0"/>
          <w:sz w:val="24"/>
          <w:highlight w:val="none"/>
        </w:rPr>
        <w:t>境内的</w:t>
      </w:r>
      <w:r>
        <w:rPr>
          <w:highlight w:val="none"/>
        </w:rPr>
        <w:fldChar w:fldCharType="begin"/>
      </w:r>
      <w:r>
        <w:rPr>
          <w:highlight w:val="none"/>
        </w:rPr>
        <w:instrText xml:space="preserve"> HYPERLINK "https://baike.baidu.com/item/%E6%BB%A6%E6%B2%B3" \t "_blank" </w:instrText>
      </w:r>
      <w:r>
        <w:rPr>
          <w:highlight w:val="none"/>
        </w:rPr>
        <w:fldChar w:fldCharType="separate"/>
      </w:r>
      <w:r>
        <w:rPr>
          <w:snapToGrid w:val="0"/>
          <w:kern w:val="0"/>
          <w:sz w:val="24"/>
          <w:highlight w:val="none"/>
        </w:rPr>
        <w:t>滦河</w:t>
      </w:r>
      <w:r>
        <w:rPr>
          <w:snapToGrid w:val="0"/>
          <w:kern w:val="0"/>
          <w:sz w:val="24"/>
          <w:highlight w:val="none"/>
        </w:rPr>
        <w:fldChar w:fldCharType="end"/>
      </w:r>
      <w:r>
        <w:rPr>
          <w:snapToGrid w:val="0"/>
          <w:kern w:val="0"/>
          <w:sz w:val="24"/>
          <w:highlight w:val="none"/>
        </w:rPr>
        <w:t>水跨流域引入天津市的城市供水工程。工程由取水、输水、蓄水、净水、配水等工程组成。工程自大黑汀水库开始，通过输水干渠经</w:t>
      </w:r>
      <w:r>
        <w:rPr>
          <w:highlight w:val="none"/>
        </w:rPr>
        <w:fldChar w:fldCharType="begin"/>
      </w:r>
      <w:r>
        <w:rPr>
          <w:highlight w:val="none"/>
        </w:rPr>
        <w:instrText xml:space="preserve"> HYPERLINK "https://baike.baidu.com/item/%E8%BF%81%E8%A5%BF" \t "_blank" </w:instrText>
      </w:r>
      <w:r>
        <w:rPr>
          <w:highlight w:val="none"/>
        </w:rPr>
        <w:fldChar w:fldCharType="separate"/>
      </w:r>
      <w:r>
        <w:rPr>
          <w:snapToGrid w:val="0"/>
          <w:kern w:val="0"/>
          <w:sz w:val="24"/>
          <w:highlight w:val="none"/>
        </w:rPr>
        <w:t>迁西</w:t>
      </w:r>
      <w:r>
        <w:rPr>
          <w:snapToGrid w:val="0"/>
          <w:kern w:val="0"/>
          <w:sz w:val="24"/>
          <w:highlight w:val="none"/>
        </w:rPr>
        <w:fldChar w:fldCharType="end"/>
      </w:r>
      <w:r>
        <w:rPr>
          <w:snapToGrid w:val="0"/>
          <w:kern w:val="0"/>
          <w:sz w:val="24"/>
          <w:highlight w:val="none"/>
        </w:rPr>
        <w:t>县</w:t>
      </w:r>
      <w:r>
        <w:rPr>
          <w:rFonts w:hint="eastAsia"/>
          <w:snapToGrid w:val="0"/>
          <w:kern w:val="0"/>
          <w:sz w:val="24"/>
          <w:highlight w:val="none"/>
        </w:rPr>
        <w:t>涵洞</w:t>
      </w:r>
      <w:r>
        <w:rPr>
          <w:snapToGrid w:val="0"/>
          <w:kern w:val="0"/>
          <w:sz w:val="24"/>
          <w:highlight w:val="none"/>
        </w:rPr>
        <w:t>、</w:t>
      </w:r>
      <w:r>
        <w:rPr>
          <w:highlight w:val="none"/>
        </w:rPr>
        <w:fldChar w:fldCharType="begin"/>
      </w:r>
      <w:r>
        <w:rPr>
          <w:highlight w:val="none"/>
        </w:rPr>
        <w:instrText xml:space="preserve"> HYPERLINK "https://baike.baidu.com/item/%E9%81%B5%E5%8C%96" \t "_blank" </w:instrText>
      </w:r>
      <w:r>
        <w:rPr>
          <w:highlight w:val="none"/>
        </w:rPr>
        <w:fldChar w:fldCharType="separate"/>
      </w:r>
      <w:r>
        <w:rPr>
          <w:snapToGrid w:val="0"/>
          <w:kern w:val="0"/>
          <w:sz w:val="24"/>
          <w:highlight w:val="none"/>
        </w:rPr>
        <w:t>遵化</w:t>
      </w:r>
      <w:r>
        <w:rPr>
          <w:snapToGrid w:val="0"/>
          <w:kern w:val="0"/>
          <w:sz w:val="24"/>
          <w:highlight w:val="none"/>
        </w:rPr>
        <w:fldChar w:fldCharType="end"/>
      </w:r>
      <w:r>
        <w:rPr>
          <w:snapToGrid w:val="0"/>
          <w:kern w:val="0"/>
          <w:sz w:val="24"/>
          <w:highlight w:val="none"/>
        </w:rPr>
        <w:t>市</w:t>
      </w:r>
      <w:r>
        <w:rPr>
          <w:rFonts w:hint="eastAsia"/>
          <w:snapToGrid w:val="0"/>
          <w:kern w:val="0"/>
          <w:sz w:val="24"/>
          <w:highlight w:val="none"/>
        </w:rPr>
        <w:t>黎河</w:t>
      </w:r>
      <w:r>
        <w:rPr>
          <w:snapToGrid w:val="0"/>
          <w:kern w:val="0"/>
          <w:sz w:val="24"/>
          <w:highlight w:val="none"/>
        </w:rPr>
        <w:t>进入天津市</w:t>
      </w:r>
      <w:r>
        <w:rPr>
          <w:highlight w:val="none"/>
        </w:rPr>
        <w:fldChar w:fldCharType="begin"/>
      </w:r>
      <w:r>
        <w:rPr>
          <w:highlight w:val="none"/>
        </w:rPr>
        <w:instrText xml:space="preserve"> HYPERLINK "https://baike.baidu.com/item/%E8%93%9F%E5%8E%BF" \t "_blank" </w:instrText>
      </w:r>
      <w:r>
        <w:rPr>
          <w:highlight w:val="none"/>
        </w:rPr>
        <w:fldChar w:fldCharType="separate"/>
      </w:r>
      <w:r>
        <w:rPr>
          <w:snapToGrid w:val="0"/>
          <w:kern w:val="0"/>
          <w:sz w:val="24"/>
          <w:highlight w:val="none"/>
        </w:rPr>
        <w:t>蓟县</w:t>
      </w:r>
      <w:r>
        <w:rPr>
          <w:snapToGrid w:val="0"/>
          <w:kern w:val="0"/>
          <w:sz w:val="24"/>
          <w:highlight w:val="none"/>
        </w:rPr>
        <w:fldChar w:fldCharType="end"/>
      </w:r>
      <w:r>
        <w:rPr>
          <w:highlight w:val="none"/>
        </w:rPr>
        <w:fldChar w:fldCharType="begin"/>
      </w:r>
      <w:r>
        <w:rPr>
          <w:highlight w:val="none"/>
        </w:rPr>
        <w:instrText xml:space="preserve"> HYPERLINK "https://baike.baidu.com/item/%E4%BA%8E%E6%A1%A5%E6%B0%B4%E5%BA%93" \t "_blank" </w:instrText>
      </w:r>
      <w:r>
        <w:rPr>
          <w:highlight w:val="none"/>
        </w:rPr>
        <w:fldChar w:fldCharType="separate"/>
      </w:r>
      <w:r>
        <w:rPr>
          <w:snapToGrid w:val="0"/>
          <w:kern w:val="0"/>
          <w:sz w:val="24"/>
          <w:highlight w:val="none"/>
        </w:rPr>
        <w:t>于桥水库</w:t>
      </w:r>
      <w:r>
        <w:rPr>
          <w:snapToGrid w:val="0"/>
          <w:kern w:val="0"/>
          <w:sz w:val="24"/>
          <w:highlight w:val="none"/>
        </w:rPr>
        <w:fldChar w:fldCharType="end"/>
      </w:r>
      <w:r>
        <w:rPr>
          <w:snapToGrid w:val="0"/>
          <w:kern w:val="0"/>
          <w:sz w:val="24"/>
          <w:highlight w:val="none"/>
        </w:rPr>
        <w:t>，再经</w:t>
      </w:r>
      <w:r>
        <w:rPr>
          <w:highlight w:val="none"/>
        </w:rPr>
        <w:fldChar w:fldCharType="begin"/>
      </w:r>
      <w:r>
        <w:rPr>
          <w:highlight w:val="none"/>
        </w:rPr>
        <w:instrText xml:space="preserve"> HYPERLINK "https://baike.baidu.com/item/%E5%AE%9D%E5%9D%BB%E5%8C%BA" \t "_blank" </w:instrText>
      </w:r>
      <w:r>
        <w:rPr>
          <w:highlight w:val="none"/>
        </w:rPr>
        <w:fldChar w:fldCharType="separate"/>
      </w:r>
      <w:r>
        <w:rPr>
          <w:snapToGrid w:val="0"/>
          <w:kern w:val="0"/>
          <w:sz w:val="24"/>
          <w:highlight w:val="none"/>
        </w:rPr>
        <w:t>宝坻区</w:t>
      </w:r>
      <w:r>
        <w:rPr>
          <w:snapToGrid w:val="0"/>
          <w:kern w:val="0"/>
          <w:sz w:val="24"/>
          <w:highlight w:val="none"/>
        </w:rPr>
        <w:fldChar w:fldCharType="end"/>
      </w:r>
      <w:r>
        <w:rPr>
          <w:snapToGrid w:val="0"/>
          <w:kern w:val="0"/>
          <w:sz w:val="24"/>
          <w:highlight w:val="none"/>
        </w:rPr>
        <w:t>至宜兴埠泵站，全长234km。工程于1982年5月11日动工，于1983年9月11日建成。分两路进入天津市：一路由明渠入</w:t>
      </w:r>
      <w:r>
        <w:rPr>
          <w:highlight w:val="none"/>
        </w:rPr>
        <w:fldChar w:fldCharType="begin"/>
      </w:r>
      <w:r>
        <w:rPr>
          <w:highlight w:val="none"/>
        </w:rPr>
        <w:instrText xml:space="preserve"> HYPERLINK "https://baike.baidu.com/item/%E5%8C%97%E8%BF%90%E6%B2%B3" \t "_blank" </w:instrText>
      </w:r>
      <w:r>
        <w:rPr>
          <w:highlight w:val="none"/>
        </w:rPr>
        <w:fldChar w:fldCharType="separate"/>
      </w:r>
      <w:r>
        <w:rPr>
          <w:snapToGrid w:val="0"/>
          <w:kern w:val="0"/>
          <w:sz w:val="24"/>
          <w:highlight w:val="none"/>
        </w:rPr>
        <w:t>北运河</w:t>
      </w:r>
      <w:r>
        <w:rPr>
          <w:snapToGrid w:val="0"/>
          <w:kern w:val="0"/>
          <w:sz w:val="24"/>
          <w:highlight w:val="none"/>
        </w:rPr>
        <w:fldChar w:fldCharType="end"/>
      </w:r>
      <w:r>
        <w:rPr>
          <w:snapToGrid w:val="0"/>
          <w:kern w:val="0"/>
          <w:sz w:val="24"/>
          <w:highlight w:val="none"/>
        </w:rPr>
        <w:t>、</w:t>
      </w:r>
      <w:r>
        <w:rPr>
          <w:highlight w:val="none"/>
        </w:rPr>
        <w:fldChar w:fldCharType="begin"/>
      </w:r>
      <w:r>
        <w:rPr>
          <w:highlight w:val="none"/>
        </w:rPr>
        <w:instrText xml:space="preserve"> HYPERLINK "https://baike.baidu.com/item/%E6%B5%B7%E6%B2%B3" \t "_blank" </w:instrText>
      </w:r>
      <w:r>
        <w:rPr>
          <w:highlight w:val="none"/>
        </w:rPr>
        <w:fldChar w:fldCharType="separate"/>
      </w:r>
      <w:r>
        <w:rPr>
          <w:snapToGrid w:val="0"/>
          <w:kern w:val="0"/>
          <w:sz w:val="24"/>
          <w:highlight w:val="none"/>
        </w:rPr>
        <w:t>海河</w:t>
      </w:r>
      <w:r>
        <w:rPr>
          <w:snapToGrid w:val="0"/>
          <w:kern w:val="0"/>
          <w:sz w:val="24"/>
          <w:highlight w:val="none"/>
        </w:rPr>
        <w:fldChar w:fldCharType="end"/>
      </w:r>
      <w:r>
        <w:rPr>
          <w:snapToGrid w:val="0"/>
          <w:kern w:val="0"/>
          <w:sz w:val="24"/>
          <w:highlight w:val="none"/>
        </w:rPr>
        <w:t>；另一路由暗渠、暗管入水厂。年输水量10亿m</w:t>
      </w:r>
      <w:r>
        <w:rPr>
          <w:snapToGrid w:val="0"/>
          <w:kern w:val="0"/>
          <w:sz w:val="24"/>
          <w:highlight w:val="none"/>
          <w:vertAlign w:val="superscript"/>
        </w:rPr>
        <w:t>3</w:t>
      </w:r>
      <w:r>
        <w:rPr>
          <w:snapToGrid w:val="0"/>
          <w:kern w:val="0"/>
          <w:sz w:val="24"/>
          <w:highlight w:val="none"/>
        </w:rPr>
        <w:t>，最大输水能力60-100m</w:t>
      </w:r>
      <w:r>
        <w:rPr>
          <w:snapToGrid w:val="0"/>
          <w:kern w:val="0"/>
          <w:sz w:val="24"/>
          <w:highlight w:val="none"/>
          <w:vertAlign w:val="superscript"/>
        </w:rPr>
        <w:t>3</w:t>
      </w:r>
      <w:r>
        <w:rPr>
          <w:snapToGrid w:val="0"/>
          <w:kern w:val="0"/>
          <w:sz w:val="24"/>
          <w:highlight w:val="none"/>
        </w:rPr>
        <w:t>/s。</w:t>
      </w:r>
    </w:p>
    <w:p>
      <w:pPr>
        <w:spacing w:line="480" w:lineRule="exact"/>
        <w:ind w:right="28" w:firstLine="480" w:firstLineChars="200"/>
        <w:rPr>
          <w:snapToGrid w:val="0"/>
          <w:kern w:val="0"/>
          <w:sz w:val="24"/>
          <w:highlight w:val="none"/>
        </w:rPr>
      </w:pPr>
      <w:r>
        <w:rPr>
          <w:snapToGrid w:val="0"/>
          <w:kern w:val="0"/>
          <w:sz w:val="24"/>
          <w:highlight w:val="none"/>
        </w:rPr>
        <w:t>滦入津工程在遵化市境内的黎河段输水线路总长5</w:t>
      </w:r>
      <w:r>
        <w:rPr>
          <w:rFonts w:hint="eastAsia"/>
          <w:snapToGrid w:val="0"/>
          <w:kern w:val="0"/>
          <w:sz w:val="24"/>
          <w:highlight w:val="none"/>
          <w:lang w:val="en-US" w:eastAsia="zh-CN"/>
        </w:rPr>
        <w:t>7.6</w:t>
      </w:r>
      <w:r>
        <w:rPr>
          <w:snapToGrid w:val="0"/>
          <w:kern w:val="0"/>
          <w:sz w:val="24"/>
          <w:highlight w:val="none"/>
        </w:rPr>
        <w:t>km。黎河属于山区季节性河流。黎河发源于河北省迁西县燕山山脉丘陵区，自东北向西南流经河北省遵化市建明、黄台口，经遵化市城南、东滩村、前毛庄、王各庄至天津市蓟县西龙虎峪附近与沙河汇流后入于桥水库，沿程接纳了15条支流，流域面积560km</w:t>
      </w:r>
      <w:r>
        <w:rPr>
          <w:snapToGrid w:val="0"/>
          <w:kern w:val="0"/>
          <w:sz w:val="24"/>
          <w:highlight w:val="none"/>
          <w:vertAlign w:val="superscript"/>
        </w:rPr>
        <w:t>2</w:t>
      </w:r>
      <w:r>
        <w:rPr>
          <w:snapToGrid w:val="0"/>
          <w:kern w:val="0"/>
          <w:sz w:val="24"/>
          <w:highlight w:val="none"/>
        </w:rPr>
        <w:t>，河道全长76km。根据前毛庄水文站2015年2月-2015年8月统计资料，黎河流量在0~55.1m</w:t>
      </w:r>
      <w:r>
        <w:rPr>
          <w:snapToGrid w:val="0"/>
          <w:kern w:val="0"/>
          <w:sz w:val="24"/>
          <w:highlight w:val="none"/>
          <w:vertAlign w:val="superscript"/>
        </w:rPr>
        <w:t>3</w:t>
      </w:r>
      <w:r>
        <w:rPr>
          <w:snapToGrid w:val="0"/>
          <w:kern w:val="0"/>
          <w:sz w:val="24"/>
          <w:highlight w:val="none"/>
        </w:rPr>
        <w:t>/s之间。径流过程集中在夏、秋两季，洪水特征为峰大、量小、持续时间短、洪峰陡涨陡落，冬、春季河道基本断流，为典型的山区季节性河流</w:t>
      </w:r>
      <w:r>
        <w:rPr>
          <w:rFonts w:hint="eastAsia"/>
          <w:snapToGrid w:val="0"/>
          <w:kern w:val="0"/>
          <w:sz w:val="24"/>
          <w:highlight w:val="none"/>
        </w:rPr>
        <w:t>。</w:t>
      </w:r>
    </w:p>
    <w:p>
      <w:pPr>
        <w:spacing w:line="480" w:lineRule="exact"/>
        <w:ind w:right="28"/>
        <w:rPr>
          <w:b/>
          <w:bCs/>
          <w:snapToGrid w:val="0"/>
          <w:kern w:val="0"/>
          <w:sz w:val="24"/>
          <w:highlight w:val="none"/>
        </w:rPr>
      </w:pPr>
      <w:r>
        <w:rPr>
          <w:rFonts w:hint="eastAsia"/>
          <w:b/>
          <w:bCs/>
          <w:snapToGrid w:val="0"/>
          <w:kern w:val="0"/>
          <w:sz w:val="24"/>
          <w:highlight w:val="none"/>
        </w:rPr>
        <w:t>2.1.2  黎河输水暗涵改造工程</w:t>
      </w:r>
    </w:p>
    <w:p>
      <w:pPr>
        <w:spacing w:line="480" w:lineRule="exact"/>
        <w:ind w:right="28" w:firstLine="480" w:firstLineChars="200"/>
        <w:rPr>
          <w:snapToGrid w:val="0"/>
          <w:kern w:val="0"/>
          <w:sz w:val="24"/>
          <w:highlight w:val="none"/>
        </w:rPr>
      </w:pPr>
      <w:r>
        <w:rPr>
          <w:rFonts w:hint="eastAsia"/>
          <w:snapToGrid w:val="0"/>
          <w:kern w:val="0"/>
          <w:sz w:val="24"/>
          <w:highlight w:val="none"/>
        </w:rPr>
        <w:t>为防治黎河沿岸对“引滦入津”水质的影响，2019年实施了“黎河输水暗涵改造工程”，该工程自高各庄 1#桥跌水下游取水，在黎河左堤内侧新建引水矩形槽，对新建引水矩形槽、原遵化市黎河八级水电站引水渠和尾水渠进行封闭，并新建电站自流道，暗渠进口位于高各庄 2 号桥下游遵化市黎河八级水电站尾水渠，穿黎河左堤后先向南在高各庄与许家庄之间经过，穿过遵小铁路后向西至东小寨东北侧转向南，在东小寨村东南侧转向西，至西小寨村西南侧转向西北，至二十里铺东南转向西，在后店桥跌水下游穿过黎河左堤回黎河，全长约 6.98km。</w:t>
      </w:r>
    </w:p>
    <w:p>
      <w:pPr>
        <w:spacing w:line="480" w:lineRule="exact"/>
        <w:ind w:right="28" w:firstLine="480" w:firstLineChars="200"/>
        <w:rPr>
          <w:snapToGrid w:val="0"/>
          <w:kern w:val="0"/>
          <w:sz w:val="24"/>
          <w:highlight w:val="none"/>
        </w:rPr>
      </w:pPr>
      <w:r>
        <w:rPr>
          <w:rFonts w:hint="eastAsia"/>
          <w:snapToGrid w:val="0"/>
          <w:kern w:val="0"/>
          <w:sz w:val="24"/>
          <w:highlight w:val="none"/>
        </w:rPr>
        <w:t>黎河输水暗涵改造工程已取得天津市引滦工程黎河管理处同意进行方案设计，已完成《引滦入津河道遵化市城东工业园区段水污染防治暗涵改造工程项目环境影响报告书》的编制，并于 2019 年 2 月 20 日取得唐山市环境保护局遵化市分局批复文件(遵环发[2019]40 号)，并于2021年年底完工。</w:t>
      </w:r>
    </w:p>
    <w:p>
      <w:pPr>
        <w:spacing w:line="480" w:lineRule="exact"/>
        <w:ind w:right="28"/>
        <w:rPr>
          <w:b/>
          <w:snapToGrid w:val="0"/>
          <w:kern w:val="0"/>
          <w:sz w:val="24"/>
          <w:highlight w:val="none"/>
        </w:rPr>
      </w:pPr>
      <w:r>
        <w:rPr>
          <w:rFonts w:hint="eastAsia"/>
          <w:b/>
          <w:snapToGrid w:val="0"/>
          <w:kern w:val="0"/>
          <w:sz w:val="24"/>
          <w:highlight w:val="none"/>
        </w:rPr>
        <w:t>2.1.3 流域内水电站建设情况</w:t>
      </w:r>
    </w:p>
    <w:p>
      <w:pPr>
        <w:spacing w:line="480" w:lineRule="exact"/>
        <w:ind w:right="28" w:firstLine="480" w:firstLineChars="200"/>
        <w:rPr>
          <w:snapToGrid w:val="0"/>
          <w:color w:val="auto"/>
          <w:kern w:val="0"/>
          <w:sz w:val="24"/>
          <w:highlight w:val="none"/>
        </w:rPr>
      </w:pPr>
      <w:r>
        <w:rPr>
          <w:rFonts w:hint="eastAsia"/>
          <w:snapToGrid w:val="0"/>
          <w:color w:val="auto"/>
          <w:kern w:val="0"/>
          <w:sz w:val="24"/>
          <w:highlight w:val="none"/>
        </w:rPr>
        <w:t>根据调查“</w:t>
      </w:r>
      <w:r>
        <w:rPr>
          <w:snapToGrid w:val="0"/>
          <w:color w:val="auto"/>
          <w:kern w:val="0"/>
          <w:sz w:val="24"/>
          <w:highlight w:val="none"/>
        </w:rPr>
        <w:t>滦入津工程</w:t>
      </w:r>
      <w:r>
        <w:rPr>
          <w:rFonts w:hint="eastAsia"/>
          <w:snapToGrid w:val="0"/>
          <w:color w:val="auto"/>
          <w:kern w:val="0"/>
          <w:sz w:val="24"/>
          <w:highlight w:val="none"/>
        </w:rPr>
        <w:t>”输水线路共有水电站</w:t>
      </w:r>
      <w:r>
        <w:rPr>
          <w:snapToGrid w:val="0"/>
          <w:color w:val="auto"/>
          <w:kern w:val="0"/>
          <w:sz w:val="24"/>
          <w:highlight w:val="none"/>
        </w:rPr>
        <w:t>6</w:t>
      </w:r>
      <w:r>
        <w:rPr>
          <w:rFonts w:hint="eastAsia"/>
          <w:snapToGrid w:val="0"/>
          <w:color w:val="auto"/>
          <w:kern w:val="0"/>
          <w:sz w:val="24"/>
          <w:highlight w:val="none"/>
        </w:rPr>
        <w:t>座（潘家口水库至于桥水库范围），其中，大型蓄水式水电站2座，小型引水式水电站4座，装机容量达到44</w:t>
      </w:r>
      <w:r>
        <w:rPr>
          <w:rFonts w:hint="eastAsia"/>
          <w:snapToGrid w:val="0"/>
          <w:color w:val="auto"/>
          <w:kern w:val="0"/>
          <w:sz w:val="24"/>
          <w:highlight w:val="none"/>
          <w:lang w:val="en-US" w:eastAsia="zh-CN"/>
        </w:rPr>
        <w:t>2550</w:t>
      </w:r>
      <w:r>
        <w:rPr>
          <w:rFonts w:hint="eastAsia"/>
          <w:snapToGrid w:val="0"/>
          <w:color w:val="auto"/>
          <w:kern w:val="0"/>
          <w:sz w:val="24"/>
          <w:highlight w:val="none"/>
        </w:rPr>
        <w:t>kw。各个水电站之间的关系间附图</w:t>
      </w:r>
      <w:r>
        <w:rPr>
          <w:rFonts w:hint="eastAsia"/>
          <w:snapToGrid w:val="0"/>
          <w:color w:val="auto"/>
          <w:kern w:val="0"/>
          <w:sz w:val="24"/>
          <w:highlight w:val="none"/>
          <w:lang w:val="en-US" w:eastAsia="zh-CN"/>
        </w:rPr>
        <w:t>7</w:t>
      </w:r>
      <w:r>
        <w:rPr>
          <w:rFonts w:hint="eastAsia"/>
          <w:snapToGrid w:val="0"/>
          <w:color w:val="auto"/>
          <w:kern w:val="0"/>
          <w:sz w:val="24"/>
          <w:highlight w:val="none"/>
        </w:rPr>
        <w:t>，已建各水电站技术指标见表2.1-1。</w:t>
      </w:r>
    </w:p>
    <w:p>
      <w:pPr>
        <w:spacing w:line="480" w:lineRule="exact"/>
        <w:jc w:val="center"/>
        <w:rPr>
          <w:b/>
          <w:bCs/>
          <w:snapToGrid w:val="0"/>
          <w:color w:val="auto"/>
          <w:kern w:val="0"/>
          <w:sz w:val="24"/>
          <w:highlight w:val="none"/>
        </w:rPr>
      </w:pPr>
      <w:r>
        <w:rPr>
          <w:rFonts w:hint="eastAsia"/>
          <w:b/>
          <w:bCs/>
          <w:snapToGrid w:val="0"/>
          <w:color w:val="auto"/>
          <w:kern w:val="0"/>
          <w:sz w:val="24"/>
          <w:highlight w:val="none"/>
        </w:rPr>
        <w:t>表2.1-1 滦河（潘家口水库至于桥水库范围）已建水电站基本情况表</w:t>
      </w:r>
    </w:p>
    <w:tbl>
      <w:tblPr>
        <w:tblStyle w:val="51"/>
        <w:tblW w:w="8240" w:type="dxa"/>
        <w:jc w:val="center"/>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fixed"/>
        <w:tblCellMar>
          <w:top w:w="0" w:type="dxa"/>
          <w:left w:w="28" w:type="dxa"/>
          <w:bottom w:w="0" w:type="dxa"/>
          <w:right w:w="28" w:type="dxa"/>
        </w:tblCellMar>
      </w:tblPr>
      <w:tblGrid>
        <w:gridCol w:w="561"/>
        <w:gridCol w:w="2550"/>
        <w:gridCol w:w="818"/>
        <w:gridCol w:w="718"/>
        <w:gridCol w:w="2280"/>
        <w:gridCol w:w="1313"/>
      </w:tblGrid>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60" w:hRule="atLeast"/>
          <w:tblHeader/>
          <w:jc w:val="center"/>
        </w:trPr>
        <w:tc>
          <w:tcPr>
            <w:tcW w:w="561" w:type="dxa"/>
            <w:tcBorders>
              <w:right w:val="single" w:color="auto" w:sz="4" w:space="0"/>
            </w:tcBorders>
            <w:vAlign w:val="center"/>
          </w:tcPr>
          <w:p>
            <w:pPr>
              <w:widowControl/>
              <w:spacing w:line="300" w:lineRule="exact"/>
              <w:jc w:val="center"/>
              <w:rPr>
                <w:color w:val="auto"/>
                <w:szCs w:val="21"/>
                <w:highlight w:val="none"/>
              </w:rPr>
            </w:pPr>
            <w:r>
              <w:rPr>
                <w:rFonts w:hint="eastAsia"/>
                <w:color w:val="auto"/>
                <w:szCs w:val="21"/>
                <w:highlight w:val="none"/>
              </w:rPr>
              <w:t>序</w:t>
            </w:r>
          </w:p>
          <w:p>
            <w:pPr>
              <w:widowControl/>
              <w:spacing w:line="300" w:lineRule="exact"/>
              <w:jc w:val="center"/>
              <w:rPr>
                <w:color w:val="auto"/>
                <w:szCs w:val="21"/>
                <w:highlight w:val="none"/>
              </w:rPr>
            </w:pPr>
            <w:r>
              <w:rPr>
                <w:rFonts w:hint="eastAsia"/>
                <w:color w:val="auto"/>
                <w:szCs w:val="21"/>
                <w:highlight w:val="none"/>
              </w:rPr>
              <w:t>号</w:t>
            </w:r>
          </w:p>
        </w:tc>
        <w:tc>
          <w:tcPr>
            <w:tcW w:w="2550" w:type="dxa"/>
            <w:tcBorders>
              <w:left w:val="single" w:color="auto" w:sz="4" w:space="0"/>
            </w:tcBorders>
            <w:vAlign w:val="center"/>
          </w:tcPr>
          <w:p>
            <w:pPr>
              <w:widowControl/>
              <w:spacing w:line="300" w:lineRule="exact"/>
              <w:jc w:val="center"/>
              <w:rPr>
                <w:color w:val="auto"/>
                <w:szCs w:val="21"/>
                <w:highlight w:val="none"/>
              </w:rPr>
            </w:pPr>
            <w:r>
              <w:rPr>
                <w:rFonts w:hint="eastAsia"/>
                <w:color w:val="auto"/>
                <w:szCs w:val="21"/>
                <w:highlight w:val="none"/>
              </w:rPr>
              <w:t>电站名称</w:t>
            </w:r>
          </w:p>
        </w:tc>
        <w:tc>
          <w:tcPr>
            <w:tcW w:w="818" w:type="dxa"/>
            <w:tcBorders>
              <w:bottom w:val="single" w:color="auto" w:sz="8" w:space="0"/>
              <w:right w:val="single" w:color="auto" w:sz="8" w:space="0"/>
            </w:tcBorders>
            <w:vAlign w:val="center"/>
          </w:tcPr>
          <w:p>
            <w:pPr>
              <w:widowControl/>
              <w:spacing w:line="300" w:lineRule="exact"/>
              <w:jc w:val="center"/>
              <w:rPr>
                <w:color w:val="auto"/>
                <w:highlight w:val="none"/>
              </w:rPr>
            </w:pPr>
            <w:r>
              <w:rPr>
                <w:rFonts w:hint="eastAsia"/>
                <w:color w:val="auto"/>
                <w:highlight w:val="none"/>
              </w:rPr>
              <w:t>装机</w:t>
            </w:r>
          </w:p>
          <w:p>
            <w:pPr>
              <w:widowControl/>
              <w:spacing w:line="300" w:lineRule="exact"/>
              <w:jc w:val="center"/>
              <w:rPr>
                <w:color w:val="auto"/>
                <w:highlight w:val="none"/>
              </w:rPr>
            </w:pPr>
            <w:r>
              <w:rPr>
                <w:rFonts w:hint="eastAsia"/>
                <w:color w:val="auto"/>
                <w:highlight w:val="none"/>
              </w:rPr>
              <w:t>容量</w:t>
            </w:r>
          </w:p>
          <w:p>
            <w:pPr>
              <w:pStyle w:val="7"/>
              <w:spacing w:line="300" w:lineRule="exact"/>
              <w:ind w:firstLine="0"/>
              <w:jc w:val="center"/>
              <w:rPr>
                <w:color w:val="auto"/>
                <w:highlight w:val="none"/>
              </w:rPr>
            </w:pPr>
            <w:r>
              <w:rPr>
                <w:rFonts w:hint="eastAsia"/>
                <w:color w:val="auto"/>
                <w:szCs w:val="21"/>
                <w:highlight w:val="none"/>
              </w:rPr>
              <w:t>Kw</w:t>
            </w:r>
          </w:p>
        </w:tc>
        <w:tc>
          <w:tcPr>
            <w:tcW w:w="718" w:type="dxa"/>
            <w:tcBorders>
              <w:left w:val="single" w:color="auto" w:sz="8" w:space="0"/>
              <w:bottom w:val="single" w:color="auto" w:sz="8" w:space="0"/>
              <w:right w:val="single" w:color="auto" w:sz="4" w:space="0"/>
            </w:tcBorders>
            <w:vAlign w:val="center"/>
          </w:tcPr>
          <w:p>
            <w:pPr>
              <w:widowControl/>
              <w:spacing w:line="300" w:lineRule="exact"/>
              <w:jc w:val="center"/>
              <w:rPr>
                <w:color w:val="auto"/>
                <w:szCs w:val="21"/>
                <w:highlight w:val="none"/>
              </w:rPr>
            </w:pPr>
            <w:r>
              <w:rPr>
                <w:rFonts w:hint="eastAsia"/>
                <w:color w:val="auto"/>
                <w:szCs w:val="21"/>
                <w:highlight w:val="none"/>
              </w:rPr>
              <w:t>工作</w:t>
            </w:r>
          </w:p>
          <w:p>
            <w:pPr>
              <w:widowControl/>
              <w:spacing w:line="300" w:lineRule="exact"/>
              <w:jc w:val="center"/>
              <w:rPr>
                <w:color w:val="auto"/>
                <w:szCs w:val="21"/>
                <w:highlight w:val="none"/>
              </w:rPr>
            </w:pPr>
            <w:r>
              <w:rPr>
                <w:rFonts w:hint="eastAsia"/>
                <w:color w:val="auto"/>
                <w:szCs w:val="21"/>
                <w:highlight w:val="none"/>
              </w:rPr>
              <w:t>水头</w:t>
            </w:r>
          </w:p>
          <w:p>
            <w:pPr>
              <w:widowControl/>
              <w:spacing w:line="300" w:lineRule="exact"/>
              <w:jc w:val="center"/>
              <w:rPr>
                <w:color w:val="auto"/>
                <w:szCs w:val="21"/>
                <w:highlight w:val="none"/>
              </w:rPr>
            </w:pPr>
            <w:r>
              <w:rPr>
                <w:rFonts w:hint="eastAsia"/>
                <w:color w:val="auto"/>
                <w:szCs w:val="21"/>
                <w:highlight w:val="none"/>
              </w:rPr>
              <w:t>(m)</w:t>
            </w:r>
          </w:p>
        </w:tc>
        <w:tc>
          <w:tcPr>
            <w:tcW w:w="2280" w:type="dxa"/>
            <w:tcBorders>
              <w:left w:val="single" w:color="auto" w:sz="8" w:space="0"/>
              <w:bottom w:val="single" w:color="auto" w:sz="8" w:space="0"/>
            </w:tcBorders>
            <w:vAlign w:val="center"/>
          </w:tcPr>
          <w:p>
            <w:pPr>
              <w:widowControl/>
              <w:spacing w:line="300" w:lineRule="exact"/>
              <w:jc w:val="center"/>
              <w:rPr>
                <w:color w:val="auto"/>
                <w:szCs w:val="21"/>
                <w:highlight w:val="none"/>
              </w:rPr>
            </w:pPr>
            <w:r>
              <w:rPr>
                <w:rFonts w:hint="eastAsia"/>
                <w:color w:val="auto"/>
                <w:szCs w:val="21"/>
                <w:highlight w:val="none"/>
              </w:rPr>
              <w:t>所在位置</w:t>
            </w:r>
          </w:p>
        </w:tc>
        <w:tc>
          <w:tcPr>
            <w:tcW w:w="1313" w:type="dxa"/>
            <w:tcBorders>
              <w:left w:val="single" w:color="auto" w:sz="8" w:space="0"/>
              <w:bottom w:val="single" w:color="auto" w:sz="8" w:space="0"/>
            </w:tcBorders>
            <w:vAlign w:val="center"/>
          </w:tcPr>
          <w:p>
            <w:pPr>
              <w:widowControl/>
              <w:spacing w:line="300" w:lineRule="exact"/>
              <w:jc w:val="center"/>
              <w:rPr>
                <w:color w:val="auto"/>
                <w:szCs w:val="21"/>
                <w:highlight w:val="none"/>
              </w:rPr>
            </w:pPr>
            <w:r>
              <w:rPr>
                <w:rFonts w:hint="eastAsia"/>
                <w:color w:val="auto"/>
                <w:szCs w:val="21"/>
                <w:highlight w:val="none"/>
              </w:rPr>
              <w:t>备注</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60" w:hRule="atLeast"/>
          <w:tblHeader/>
          <w:jc w:val="center"/>
        </w:trPr>
        <w:tc>
          <w:tcPr>
            <w:tcW w:w="561"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1</w:t>
            </w:r>
          </w:p>
        </w:tc>
        <w:tc>
          <w:tcPr>
            <w:tcW w:w="2550" w:type="dxa"/>
            <w:tcBorders>
              <w:left w:val="single" w:color="auto" w:sz="4" w:space="0"/>
            </w:tcBorders>
            <w:vAlign w:val="center"/>
          </w:tcPr>
          <w:p>
            <w:pPr>
              <w:widowControl/>
              <w:spacing w:line="300" w:lineRule="exact"/>
              <w:jc w:val="center"/>
              <w:rPr>
                <w:color w:val="auto"/>
                <w:szCs w:val="21"/>
                <w:highlight w:val="none"/>
              </w:rPr>
            </w:pPr>
            <w:r>
              <w:rPr>
                <w:rFonts w:hint="eastAsia"/>
                <w:color w:val="auto"/>
                <w:szCs w:val="21"/>
                <w:highlight w:val="none"/>
              </w:rPr>
              <w:t>潘家口水电站</w:t>
            </w:r>
          </w:p>
        </w:tc>
        <w:tc>
          <w:tcPr>
            <w:tcW w:w="818" w:type="dxa"/>
            <w:tcBorders>
              <w:bottom w:val="single" w:color="auto" w:sz="8" w:space="0"/>
              <w:right w:val="single" w:color="auto" w:sz="8" w:space="0"/>
            </w:tcBorders>
            <w:vAlign w:val="center"/>
          </w:tcPr>
          <w:p>
            <w:pPr>
              <w:widowControl/>
              <w:spacing w:line="300" w:lineRule="exact"/>
              <w:jc w:val="center"/>
              <w:rPr>
                <w:color w:val="auto"/>
                <w:szCs w:val="21"/>
                <w:highlight w:val="none"/>
              </w:rPr>
            </w:pPr>
            <w:r>
              <w:rPr>
                <w:rFonts w:hint="eastAsia"/>
                <w:color w:val="auto"/>
                <w:szCs w:val="21"/>
                <w:highlight w:val="none"/>
              </w:rPr>
              <w:t>420000</w:t>
            </w:r>
          </w:p>
        </w:tc>
        <w:tc>
          <w:tcPr>
            <w:tcW w:w="718" w:type="dxa"/>
            <w:tcBorders>
              <w:left w:val="single" w:color="auto" w:sz="8" w:space="0"/>
              <w:bottom w:val="single" w:color="auto" w:sz="8" w:space="0"/>
              <w:right w:val="single" w:color="auto" w:sz="4" w:space="0"/>
            </w:tcBorders>
            <w:vAlign w:val="center"/>
          </w:tcPr>
          <w:p>
            <w:pPr>
              <w:widowControl/>
              <w:spacing w:line="300" w:lineRule="exact"/>
              <w:jc w:val="center"/>
              <w:rPr>
                <w:color w:val="auto"/>
                <w:szCs w:val="21"/>
                <w:highlight w:val="none"/>
              </w:rPr>
            </w:pPr>
            <w:r>
              <w:rPr>
                <w:rFonts w:hint="eastAsia"/>
                <w:color w:val="auto"/>
                <w:szCs w:val="21"/>
                <w:highlight w:val="none"/>
              </w:rPr>
              <w:t>/</w:t>
            </w:r>
          </w:p>
        </w:tc>
        <w:tc>
          <w:tcPr>
            <w:tcW w:w="2280" w:type="dxa"/>
            <w:tcBorders>
              <w:left w:val="single" w:color="auto" w:sz="8" w:space="0"/>
              <w:bottom w:val="single" w:color="auto" w:sz="8" w:space="0"/>
            </w:tcBorders>
            <w:vAlign w:val="center"/>
          </w:tcPr>
          <w:p>
            <w:pPr>
              <w:widowControl/>
              <w:spacing w:line="300" w:lineRule="exact"/>
              <w:jc w:val="center"/>
              <w:rPr>
                <w:color w:val="auto"/>
                <w:szCs w:val="21"/>
                <w:highlight w:val="none"/>
              </w:rPr>
            </w:pPr>
            <w:r>
              <w:rPr>
                <w:rFonts w:hint="eastAsia"/>
                <w:color w:val="auto"/>
                <w:szCs w:val="21"/>
                <w:highlight w:val="none"/>
              </w:rPr>
              <w:t>潘家口水库坝下</w:t>
            </w:r>
          </w:p>
        </w:tc>
        <w:tc>
          <w:tcPr>
            <w:tcW w:w="1313" w:type="dxa"/>
            <w:tcBorders>
              <w:left w:val="single" w:color="auto" w:sz="8" w:space="0"/>
              <w:bottom w:val="single" w:color="auto" w:sz="8" w:space="0"/>
            </w:tcBorders>
            <w:vAlign w:val="center"/>
          </w:tcPr>
          <w:p>
            <w:pPr>
              <w:widowControl/>
              <w:spacing w:line="300" w:lineRule="exact"/>
              <w:jc w:val="center"/>
              <w:rPr>
                <w:color w:val="auto"/>
                <w:szCs w:val="21"/>
                <w:highlight w:val="none"/>
              </w:rPr>
            </w:pPr>
            <w:r>
              <w:rPr>
                <w:rFonts w:hint="eastAsia"/>
                <w:color w:val="auto"/>
                <w:szCs w:val="21"/>
                <w:highlight w:val="none"/>
              </w:rPr>
              <w:t>坝式（水库）</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60" w:hRule="atLeast"/>
          <w:tblHeader/>
          <w:jc w:val="center"/>
        </w:trPr>
        <w:tc>
          <w:tcPr>
            <w:tcW w:w="561"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2</w:t>
            </w:r>
          </w:p>
        </w:tc>
        <w:tc>
          <w:tcPr>
            <w:tcW w:w="2550" w:type="dxa"/>
            <w:tcBorders>
              <w:left w:val="single" w:color="auto" w:sz="4" w:space="0"/>
            </w:tcBorders>
            <w:vAlign w:val="center"/>
          </w:tcPr>
          <w:p>
            <w:pPr>
              <w:widowControl/>
              <w:spacing w:line="300" w:lineRule="exact"/>
              <w:jc w:val="center"/>
              <w:rPr>
                <w:color w:val="auto"/>
                <w:szCs w:val="21"/>
                <w:highlight w:val="none"/>
              </w:rPr>
            </w:pPr>
            <w:r>
              <w:rPr>
                <w:rFonts w:hint="eastAsia"/>
                <w:color w:val="auto"/>
                <w:szCs w:val="21"/>
                <w:highlight w:val="none"/>
              </w:rPr>
              <w:t>遵化市黎河二级水电站</w:t>
            </w:r>
          </w:p>
        </w:tc>
        <w:tc>
          <w:tcPr>
            <w:tcW w:w="818" w:type="dxa"/>
            <w:tcBorders>
              <w:bottom w:val="single" w:color="auto" w:sz="8" w:space="0"/>
              <w:right w:val="single" w:color="auto" w:sz="8" w:space="0"/>
            </w:tcBorders>
            <w:vAlign w:val="center"/>
          </w:tcPr>
          <w:p>
            <w:pPr>
              <w:widowControl/>
              <w:spacing w:line="300" w:lineRule="exact"/>
              <w:jc w:val="center"/>
              <w:rPr>
                <w:snapToGrid w:val="0"/>
                <w:color w:val="auto"/>
                <w:kern w:val="0"/>
                <w:szCs w:val="21"/>
                <w:highlight w:val="none"/>
              </w:rPr>
            </w:pPr>
            <w:r>
              <w:rPr>
                <w:snapToGrid w:val="0"/>
                <w:color w:val="auto"/>
                <w:kern w:val="0"/>
                <w:szCs w:val="21"/>
                <w:highlight w:val="none"/>
              </w:rPr>
              <w:t>3750</w:t>
            </w:r>
          </w:p>
        </w:tc>
        <w:tc>
          <w:tcPr>
            <w:tcW w:w="718" w:type="dxa"/>
            <w:tcBorders>
              <w:left w:val="single" w:color="auto" w:sz="8" w:space="0"/>
              <w:bottom w:val="single" w:color="auto" w:sz="8" w:space="0"/>
              <w:right w:val="single" w:color="auto" w:sz="4" w:space="0"/>
            </w:tcBorders>
            <w:vAlign w:val="center"/>
          </w:tcPr>
          <w:p>
            <w:pPr>
              <w:widowControl/>
              <w:spacing w:line="300" w:lineRule="exact"/>
              <w:jc w:val="center"/>
              <w:rPr>
                <w:color w:val="auto"/>
                <w:szCs w:val="21"/>
                <w:highlight w:val="none"/>
              </w:rPr>
            </w:pPr>
            <w:r>
              <w:rPr>
                <w:rFonts w:hint="eastAsia"/>
                <w:color w:val="auto"/>
                <w:szCs w:val="21"/>
                <w:highlight w:val="none"/>
              </w:rPr>
              <w:t>8.52</w:t>
            </w:r>
          </w:p>
        </w:tc>
        <w:tc>
          <w:tcPr>
            <w:tcW w:w="2280" w:type="dxa"/>
            <w:tcBorders>
              <w:left w:val="single" w:color="auto" w:sz="8" w:space="0"/>
              <w:bottom w:val="single" w:color="auto" w:sz="8" w:space="0"/>
            </w:tcBorders>
            <w:vAlign w:val="center"/>
          </w:tcPr>
          <w:p>
            <w:pPr>
              <w:widowControl/>
              <w:spacing w:line="300" w:lineRule="exact"/>
              <w:jc w:val="left"/>
              <w:rPr>
                <w:color w:val="auto"/>
                <w:szCs w:val="21"/>
                <w:highlight w:val="none"/>
              </w:rPr>
            </w:pPr>
            <w:r>
              <w:rPr>
                <w:rFonts w:hint="eastAsia"/>
                <w:color w:val="auto"/>
                <w:szCs w:val="21"/>
                <w:highlight w:val="none"/>
              </w:rPr>
              <w:t>白马峪桥下250m处的黎河左岸（白马峪村北）</w:t>
            </w:r>
          </w:p>
        </w:tc>
        <w:tc>
          <w:tcPr>
            <w:tcW w:w="1313" w:type="dxa"/>
            <w:tcBorders>
              <w:left w:val="single" w:color="auto" w:sz="8" w:space="0"/>
              <w:bottom w:val="single" w:color="auto" w:sz="8" w:space="0"/>
            </w:tcBorders>
            <w:vAlign w:val="center"/>
          </w:tcPr>
          <w:p>
            <w:pPr>
              <w:widowControl/>
              <w:spacing w:line="300" w:lineRule="exact"/>
              <w:jc w:val="center"/>
              <w:rPr>
                <w:color w:val="auto"/>
                <w:szCs w:val="21"/>
                <w:highlight w:val="none"/>
              </w:rPr>
            </w:pPr>
            <w:r>
              <w:rPr>
                <w:rFonts w:hint="eastAsia"/>
                <w:color w:val="auto"/>
                <w:szCs w:val="21"/>
                <w:highlight w:val="none"/>
              </w:rPr>
              <w:t>引水式</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60" w:hRule="atLeast"/>
          <w:tblHeader/>
          <w:jc w:val="center"/>
        </w:trPr>
        <w:tc>
          <w:tcPr>
            <w:tcW w:w="561"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3</w:t>
            </w:r>
          </w:p>
        </w:tc>
        <w:tc>
          <w:tcPr>
            <w:tcW w:w="2550" w:type="dxa"/>
            <w:tcBorders>
              <w:left w:val="single" w:color="auto" w:sz="4" w:space="0"/>
            </w:tcBorders>
            <w:vAlign w:val="center"/>
          </w:tcPr>
          <w:p>
            <w:pPr>
              <w:widowControl/>
              <w:spacing w:line="300" w:lineRule="exact"/>
              <w:jc w:val="center"/>
              <w:rPr>
                <w:color w:val="auto"/>
                <w:szCs w:val="21"/>
                <w:highlight w:val="none"/>
              </w:rPr>
            </w:pPr>
            <w:r>
              <w:rPr>
                <w:rFonts w:hint="eastAsia"/>
                <w:color w:val="auto"/>
                <w:szCs w:val="21"/>
                <w:highlight w:val="none"/>
              </w:rPr>
              <w:t>遵化市建明水电站</w:t>
            </w:r>
          </w:p>
        </w:tc>
        <w:tc>
          <w:tcPr>
            <w:tcW w:w="818" w:type="dxa"/>
            <w:tcBorders>
              <w:bottom w:val="single" w:color="auto" w:sz="8" w:space="0"/>
              <w:right w:val="single" w:color="auto" w:sz="8" w:space="0"/>
            </w:tcBorders>
            <w:vAlign w:val="center"/>
          </w:tcPr>
          <w:p>
            <w:pPr>
              <w:widowControl/>
              <w:spacing w:line="300" w:lineRule="exact"/>
              <w:jc w:val="center"/>
              <w:rPr>
                <w:rFonts w:hint="default" w:eastAsia="宋体"/>
                <w:snapToGrid w:val="0"/>
                <w:color w:val="auto"/>
                <w:kern w:val="0"/>
                <w:szCs w:val="21"/>
                <w:highlight w:val="none"/>
                <w:lang w:val="en-US" w:eastAsia="zh-CN"/>
              </w:rPr>
            </w:pPr>
            <w:r>
              <w:rPr>
                <w:rFonts w:hint="eastAsia"/>
                <w:snapToGrid w:val="0"/>
                <w:color w:val="auto"/>
                <w:kern w:val="0"/>
                <w:szCs w:val="21"/>
                <w:highlight w:val="none"/>
                <w:lang w:val="en-US" w:eastAsia="zh-CN"/>
              </w:rPr>
              <w:t>4000</w:t>
            </w:r>
          </w:p>
        </w:tc>
        <w:tc>
          <w:tcPr>
            <w:tcW w:w="718" w:type="dxa"/>
            <w:tcBorders>
              <w:left w:val="single" w:color="auto" w:sz="8" w:space="0"/>
              <w:bottom w:val="single" w:color="auto" w:sz="8" w:space="0"/>
              <w:right w:val="single" w:color="auto" w:sz="4" w:space="0"/>
            </w:tcBorders>
            <w:vAlign w:val="center"/>
          </w:tcPr>
          <w:p>
            <w:pPr>
              <w:widowControl/>
              <w:spacing w:line="300" w:lineRule="exact"/>
              <w:jc w:val="center"/>
              <w:rPr>
                <w:color w:val="auto"/>
                <w:szCs w:val="21"/>
                <w:highlight w:val="none"/>
              </w:rPr>
            </w:pPr>
            <w:r>
              <w:rPr>
                <w:rFonts w:hint="eastAsia"/>
                <w:color w:val="auto"/>
                <w:szCs w:val="21"/>
                <w:highlight w:val="none"/>
              </w:rPr>
              <w:t>8.52</w:t>
            </w:r>
          </w:p>
        </w:tc>
        <w:tc>
          <w:tcPr>
            <w:tcW w:w="2280" w:type="dxa"/>
            <w:tcBorders>
              <w:left w:val="single" w:color="auto" w:sz="8" w:space="0"/>
              <w:bottom w:val="single" w:color="auto" w:sz="8" w:space="0"/>
            </w:tcBorders>
            <w:vAlign w:val="center"/>
          </w:tcPr>
          <w:p>
            <w:pPr>
              <w:widowControl/>
              <w:spacing w:line="300" w:lineRule="exact"/>
              <w:jc w:val="left"/>
              <w:rPr>
                <w:color w:val="auto"/>
                <w:szCs w:val="21"/>
                <w:highlight w:val="none"/>
              </w:rPr>
            </w:pPr>
            <w:r>
              <w:rPr>
                <w:rFonts w:hint="eastAsia"/>
                <w:color w:val="auto"/>
                <w:szCs w:val="21"/>
                <w:highlight w:val="none"/>
              </w:rPr>
              <w:t>遵化市建明镇东铺村北100m处</w:t>
            </w:r>
          </w:p>
        </w:tc>
        <w:tc>
          <w:tcPr>
            <w:tcW w:w="1313" w:type="dxa"/>
            <w:tcBorders>
              <w:left w:val="single" w:color="auto" w:sz="8" w:space="0"/>
              <w:bottom w:val="single" w:color="auto" w:sz="8" w:space="0"/>
            </w:tcBorders>
            <w:vAlign w:val="center"/>
          </w:tcPr>
          <w:p>
            <w:pPr>
              <w:widowControl/>
              <w:spacing w:line="300" w:lineRule="exact"/>
              <w:jc w:val="center"/>
              <w:rPr>
                <w:color w:val="auto"/>
                <w:szCs w:val="21"/>
                <w:highlight w:val="none"/>
              </w:rPr>
            </w:pPr>
            <w:r>
              <w:rPr>
                <w:rFonts w:hint="eastAsia"/>
                <w:color w:val="auto"/>
                <w:szCs w:val="21"/>
                <w:highlight w:val="none"/>
              </w:rPr>
              <w:t>引水式</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60" w:hRule="atLeast"/>
          <w:tblHeader/>
          <w:jc w:val="center"/>
        </w:trPr>
        <w:tc>
          <w:tcPr>
            <w:tcW w:w="561"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4</w:t>
            </w:r>
          </w:p>
        </w:tc>
        <w:tc>
          <w:tcPr>
            <w:tcW w:w="2550" w:type="dxa"/>
            <w:tcBorders>
              <w:left w:val="single" w:color="auto" w:sz="4" w:space="0"/>
            </w:tcBorders>
            <w:vAlign w:val="center"/>
          </w:tcPr>
          <w:p>
            <w:pPr>
              <w:widowControl/>
              <w:spacing w:line="300" w:lineRule="exact"/>
              <w:jc w:val="center"/>
              <w:rPr>
                <w:color w:val="auto"/>
                <w:szCs w:val="21"/>
                <w:highlight w:val="none"/>
              </w:rPr>
            </w:pPr>
            <w:r>
              <w:rPr>
                <w:rFonts w:hint="eastAsia"/>
                <w:color w:val="auto"/>
                <w:szCs w:val="21"/>
                <w:highlight w:val="none"/>
              </w:rPr>
              <w:t>遵化市黎河四级水电站</w:t>
            </w:r>
          </w:p>
        </w:tc>
        <w:tc>
          <w:tcPr>
            <w:tcW w:w="818" w:type="dxa"/>
            <w:tcBorders>
              <w:bottom w:val="single" w:color="auto" w:sz="8" w:space="0"/>
              <w:right w:val="single" w:color="auto" w:sz="8" w:space="0"/>
            </w:tcBorders>
            <w:vAlign w:val="center"/>
          </w:tcPr>
          <w:p>
            <w:pPr>
              <w:widowControl/>
              <w:spacing w:line="300" w:lineRule="exact"/>
              <w:jc w:val="center"/>
              <w:rPr>
                <w:snapToGrid w:val="0"/>
                <w:color w:val="auto"/>
                <w:kern w:val="0"/>
                <w:szCs w:val="21"/>
                <w:highlight w:val="none"/>
              </w:rPr>
            </w:pPr>
            <w:r>
              <w:rPr>
                <w:rFonts w:hint="eastAsia"/>
                <w:snapToGrid w:val="0"/>
                <w:color w:val="auto"/>
                <w:kern w:val="0"/>
                <w:szCs w:val="21"/>
                <w:highlight w:val="none"/>
              </w:rPr>
              <w:t>5000</w:t>
            </w:r>
          </w:p>
        </w:tc>
        <w:tc>
          <w:tcPr>
            <w:tcW w:w="718" w:type="dxa"/>
            <w:tcBorders>
              <w:left w:val="single" w:color="auto" w:sz="8" w:space="0"/>
              <w:bottom w:val="single" w:color="auto" w:sz="8" w:space="0"/>
              <w:right w:val="single" w:color="auto" w:sz="4" w:space="0"/>
            </w:tcBorders>
            <w:vAlign w:val="center"/>
          </w:tcPr>
          <w:p>
            <w:pPr>
              <w:widowControl/>
              <w:spacing w:line="300" w:lineRule="exact"/>
              <w:jc w:val="center"/>
              <w:rPr>
                <w:color w:val="auto"/>
                <w:szCs w:val="21"/>
                <w:highlight w:val="none"/>
              </w:rPr>
            </w:pPr>
            <w:r>
              <w:rPr>
                <w:rFonts w:hint="eastAsia"/>
                <w:color w:val="auto"/>
                <w:szCs w:val="21"/>
                <w:highlight w:val="none"/>
              </w:rPr>
              <w:t>10.1</w:t>
            </w:r>
          </w:p>
        </w:tc>
        <w:tc>
          <w:tcPr>
            <w:tcW w:w="2280" w:type="dxa"/>
            <w:tcBorders>
              <w:left w:val="single" w:color="auto" w:sz="8" w:space="0"/>
              <w:bottom w:val="single" w:color="auto" w:sz="8" w:space="0"/>
            </w:tcBorders>
            <w:vAlign w:val="center"/>
          </w:tcPr>
          <w:p>
            <w:pPr>
              <w:widowControl/>
              <w:spacing w:line="300" w:lineRule="exact"/>
              <w:jc w:val="center"/>
              <w:rPr>
                <w:color w:val="auto"/>
                <w:szCs w:val="21"/>
                <w:highlight w:val="none"/>
              </w:rPr>
            </w:pPr>
            <w:r>
              <w:rPr>
                <w:color w:val="auto"/>
                <w:highlight w:val="none"/>
              </w:rPr>
              <w:t>遵化市</w:t>
            </w:r>
            <w:r>
              <w:rPr>
                <w:rFonts w:hint="eastAsia"/>
                <w:color w:val="auto"/>
                <w:highlight w:val="none"/>
              </w:rPr>
              <w:t>建明镇西铺</w:t>
            </w:r>
            <w:r>
              <w:rPr>
                <w:color w:val="auto"/>
                <w:highlight w:val="none"/>
              </w:rPr>
              <w:t>村</w:t>
            </w:r>
            <w:r>
              <w:rPr>
                <w:rFonts w:hint="eastAsia"/>
                <w:color w:val="auto"/>
                <w:highlight w:val="none"/>
              </w:rPr>
              <w:t>西南1200m</w:t>
            </w:r>
          </w:p>
        </w:tc>
        <w:tc>
          <w:tcPr>
            <w:tcW w:w="1313" w:type="dxa"/>
            <w:tcBorders>
              <w:left w:val="single" w:color="auto" w:sz="8" w:space="0"/>
              <w:bottom w:val="single" w:color="auto" w:sz="8" w:space="0"/>
            </w:tcBorders>
            <w:vAlign w:val="center"/>
          </w:tcPr>
          <w:p>
            <w:pPr>
              <w:widowControl/>
              <w:spacing w:line="300" w:lineRule="exact"/>
              <w:jc w:val="center"/>
              <w:rPr>
                <w:color w:val="auto"/>
                <w:szCs w:val="21"/>
                <w:highlight w:val="none"/>
              </w:rPr>
            </w:pPr>
            <w:r>
              <w:rPr>
                <w:rFonts w:hint="eastAsia"/>
                <w:color w:val="auto"/>
                <w:szCs w:val="21"/>
                <w:highlight w:val="none"/>
              </w:rPr>
              <w:t>引水式</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60" w:hRule="atLeast"/>
          <w:tblHeader/>
          <w:jc w:val="center"/>
        </w:trPr>
        <w:tc>
          <w:tcPr>
            <w:tcW w:w="561"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5</w:t>
            </w:r>
          </w:p>
        </w:tc>
        <w:tc>
          <w:tcPr>
            <w:tcW w:w="2550" w:type="dxa"/>
            <w:tcBorders>
              <w:left w:val="single" w:color="auto" w:sz="4" w:space="0"/>
            </w:tcBorders>
            <w:vAlign w:val="center"/>
          </w:tcPr>
          <w:p>
            <w:pPr>
              <w:widowControl/>
              <w:spacing w:line="300" w:lineRule="exact"/>
              <w:jc w:val="center"/>
              <w:rPr>
                <w:color w:val="auto"/>
                <w:szCs w:val="21"/>
                <w:highlight w:val="none"/>
              </w:rPr>
            </w:pPr>
            <w:r>
              <w:rPr>
                <w:rFonts w:hint="eastAsia"/>
                <w:color w:val="auto"/>
                <w:szCs w:val="21"/>
                <w:highlight w:val="none"/>
              </w:rPr>
              <w:t>遵化市黎河第八级水电站</w:t>
            </w:r>
          </w:p>
        </w:tc>
        <w:tc>
          <w:tcPr>
            <w:tcW w:w="818" w:type="dxa"/>
            <w:tcBorders>
              <w:bottom w:val="single" w:color="auto" w:sz="8" w:space="0"/>
              <w:right w:val="single" w:color="auto" w:sz="8" w:space="0"/>
            </w:tcBorders>
            <w:vAlign w:val="center"/>
          </w:tcPr>
          <w:p>
            <w:pPr>
              <w:widowControl/>
              <w:spacing w:line="300" w:lineRule="exact"/>
              <w:jc w:val="center"/>
              <w:rPr>
                <w:snapToGrid w:val="0"/>
                <w:color w:val="auto"/>
                <w:kern w:val="0"/>
                <w:szCs w:val="21"/>
                <w:highlight w:val="none"/>
              </w:rPr>
            </w:pPr>
            <w:r>
              <w:rPr>
                <w:rFonts w:hint="eastAsia"/>
                <w:snapToGrid w:val="0"/>
                <w:color w:val="auto"/>
                <w:kern w:val="0"/>
                <w:szCs w:val="21"/>
                <w:highlight w:val="none"/>
                <w:lang w:val="en-US" w:eastAsia="zh-CN"/>
              </w:rPr>
              <w:t>4</w:t>
            </w:r>
            <w:r>
              <w:rPr>
                <w:rFonts w:hint="eastAsia"/>
                <w:snapToGrid w:val="0"/>
                <w:color w:val="auto"/>
                <w:kern w:val="0"/>
                <w:szCs w:val="21"/>
                <w:highlight w:val="none"/>
              </w:rPr>
              <w:t>000</w:t>
            </w:r>
          </w:p>
        </w:tc>
        <w:tc>
          <w:tcPr>
            <w:tcW w:w="718" w:type="dxa"/>
            <w:tcBorders>
              <w:left w:val="single" w:color="auto" w:sz="8" w:space="0"/>
              <w:bottom w:val="single" w:color="auto" w:sz="8" w:space="0"/>
              <w:right w:val="single" w:color="auto" w:sz="4" w:space="0"/>
            </w:tcBorders>
            <w:vAlign w:val="center"/>
          </w:tcPr>
          <w:p>
            <w:pPr>
              <w:widowControl/>
              <w:spacing w:line="300" w:lineRule="exact"/>
              <w:jc w:val="center"/>
              <w:rPr>
                <w:color w:val="auto"/>
                <w:szCs w:val="21"/>
                <w:highlight w:val="none"/>
              </w:rPr>
            </w:pPr>
            <w:r>
              <w:rPr>
                <w:rFonts w:hint="eastAsia"/>
                <w:color w:val="auto"/>
                <w:szCs w:val="21"/>
                <w:highlight w:val="none"/>
              </w:rPr>
              <w:t>10.1</w:t>
            </w:r>
          </w:p>
        </w:tc>
        <w:tc>
          <w:tcPr>
            <w:tcW w:w="2280" w:type="dxa"/>
            <w:tcBorders>
              <w:left w:val="single" w:color="auto" w:sz="8" w:space="0"/>
              <w:bottom w:val="single" w:color="auto" w:sz="8" w:space="0"/>
            </w:tcBorders>
            <w:vAlign w:val="center"/>
          </w:tcPr>
          <w:p>
            <w:pPr>
              <w:widowControl/>
              <w:spacing w:line="300" w:lineRule="exact"/>
              <w:jc w:val="center"/>
              <w:rPr>
                <w:color w:val="auto"/>
                <w:szCs w:val="21"/>
                <w:highlight w:val="none"/>
              </w:rPr>
            </w:pPr>
            <w:r>
              <w:rPr>
                <w:rFonts w:hint="eastAsia"/>
                <w:color w:val="auto"/>
                <w:szCs w:val="21"/>
                <w:highlight w:val="none"/>
                <w:lang w:val="zh-CN"/>
              </w:rPr>
              <w:t>遵化市建明镇高各庄村北</w:t>
            </w:r>
            <w:r>
              <w:rPr>
                <w:rFonts w:hint="eastAsia"/>
                <w:color w:val="auto"/>
                <w:szCs w:val="21"/>
                <w:highlight w:val="none"/>
              </w:rPr>
              <w:t>800m</w:t>
            </w:r>
          </w:p>
        </w:tc>
        <w:tc>
          <w:tcPr>
            <w:tcW w:w="1313" w:type="dxa"/>
            <w:tcBorders>
              <w:left w:val="single" w:color="auto" w:sz="8" w:space="0"/>
              <w:bottom w:val="single" w:color="auto" w:sz="8" w:space="0"/>
            </w:tcBorders>
            <w:vAlign w:val="center"/>
          </w:tcPr>
          <w:p>
            <w:pPr>
              <w:widowControl/>
              <w:spacing w:line="300" w:lineRule="exact"/>
              <w:jc w:val="center"/>
              <w:rPr>
                <w:color w:val="auto"/>
                <w:szCs w:val="21"/>
                <w:highlight w:val="none"/>
              </w:rPr>
            </w:pPr>
            <w:r>
              <w:rPr>
                <w:rFonts w:hint="eastAsia"/>
                <w:color w:val="auto"/>
                <w:szCs w:val="21"/>
                <w:highlight w:val="none"/>
              </w:rPr>
              <w:t>引水式</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60" w:hRule="atLeast"/>
          <w:tblHeader/>
          <w:jc w:val="center"/>
        </w:trPr>
        <w:tc>
          <w:tcPr>
            <w:tcW w:w="561" w:type="dxa"/>
            <w:tcBorders>
              <w:right w:val="single" w:color="auto" w:sz="4" w:space="0"/>
            </w:tcBorders>
            <w:vAlign w:val="center"/>
          </w:tcPr>
          <w:p>
            <w:pPr>
              <w:widowControl/>
              <w:spacing w:line="300" w:lineRule="exact"/>
              <w:jc w:val="center"/>
              <w:rPr>
                <w:color w:val="auto"/>
                <w:szCs w:val="21"/>
                <w:highlight w:val="none"/>
              </w:rPr>
            </w:pPr>
            <w:r>
              <w:rPr>
                <w:color w:val="auto"/>
                <w:szCs w:val="21"/>
                <w:highlight w:val="none"/>
              </w:rPr>
              <w:t>6</w:t>
            </w:r>
          </w:p>
        </w:tc>
        <w:tc>
          <w:tcPr>
            <w:tcW w:w="2550" w:type="dxa"/>
            <w:tcBorders>
              <w:left w:val="single" w:color="auto" w:sz="4" w:space="0"/>
            </w:tcBorders>
            <w:vAlign w:val="center"/>
          </w:tcPr>
          <w:p>
            <w:pPr>
              <w:widowControl/>
              <w:spacing w:line="300" w:lineRule="exact"/>
              <w:jc w:val="center"/>
              <w:rPr>
                <w:color w:val="auto"/>
                <w:szCs w:val="21"/>
                <w:highlight w:val="none"/>
              </w:rPr>
            </w:pPr>
            <w:r>
              <w:rPr>
                <w:rFonts w:hint="eastAsia"/>
                <w:color w:val="auto"/>
                <w:szCs w:val="21"/>
                <w:highlight w:val="none"/>
              </w:rPr>
              <w:t>于桥水电站</w:t>
            </w:r>
          </w:p>
        </w:tc>
        <w:tc>
          <w:tcPr>
            <w:tcW w:w="818" w:type="dxa"/>
            <w:tcBorders>
              <w:right w:val="single" w:color="auto" w:sz="8" w:space="0"/>
            </w:tcBorders>
            <w:vAlign w:val="center"/>
          </w:tcPr>
          <w:p>
            <w:pPr>
              <w:widowControl/>
              <w:spacing w:line="300" w:lineRule="exact"/>
              <w:jc w:val="center"/>
              <w:rPr>
                <w:snapToGrid w:val="0"/>
                <w:color w:val="auto"/>
                <w:kern w:val="0"/>
                <w:szCs w:val="21"/>
                <w:highlight w:val="none"/>
              </w:rPr>
            </w:pPr>
            <w:r>
              <w:rPr>
                <w:snapToGrid w:val="0"/>
                <w:color w:val="auto"/>
                <w:kern w:val="0"/>
                <w:szCs w:val="21"/>
                <w:highlight w:val="none"/>
              </w:rPr>
              <w:t>5800</w:t>
            </w:r>
          </w:p>
        </w:tc>
        <w:tc>
          <w:tcPr>
            <w:tcW w:w="718" w:type="dxa"/>
            <w:tcBorders>
              <w:left w:val="single" w:color="auto" w:sz="8" w:space="0"/>
              <w:right w:val="single" w:color="auto" w:sz="4" w:space="0"/>
            </w:tcBorders>
            <w:vAlign w:val="center"/>
          </w:tcPr>
          <w:p>
            <w:pPr>
              <w:widowControl/>
              <w:spacing w:line="300" w:lineRule="exact"/>
              <w:jc w:val="center"/>
              <w:rPr>
                <w:color w:val="auto"/>
                <w:szCs w:val="21"/>
                <w:highlight w:val="none"/>
              </w:rPr>
            </w:pPr>
            <w:r>
              <w:rPr>
                <w:rFonts w:hint="eastAsia"/>
                <w:color w:val="auto"/>
                <w:szCs w:val="21"/>
                <w:highlight w:val="none"/>
              </w:rPr>
              <w:t>/</w:t>
            </w:r>
          </w:p>
        </w:tc>
        <w:tc>
          <w:tcPr>
            <w:tcW w:w="2280" w:type="dxa"/>
            <w:tcBorders>
              <w:left w:val="single" w:color="auto" w:sz="8" w:space="0"/>
            </w:tcBorders>
            <w:vAlign w:val="center"/>
          </w:tcPr>
          <w:p>
            <w:pPr>
              <w:widowControl/>
              <w:spacing w:line="300" w:lineRule="exact"/>
              <w:jc w:val="center"/>
              <w:rPr>
                <w:color w:val="auto"/>
                <w:szCs w:val="21"/>
                <w:highlight w:val="none"/>
              </w:rPr>
            </w:pPr>
            <w:r>
              <w:rPr>
                <w:rFonts w:hint="eastAsia"/>
                <w:color w:val="auto"/>
                <w:szCs w:val="21"/>
                <w:highlight w:val="none"/>
              </w:rPr>
              <w:t>于桥水库坝下</w:t>
            </w:r>
          </w:p>
        </w:tc>
        <w:tc>
          <w:tcPr>
            <w:tcW w:w="1313" w:type="dxa"/>
            <w:tcBorders>
              <w:left w:val="single" w:color="auto" w:sz="8" w:space="0"/>
            </w:tcBorders>
            <w:vAlign w:val="center"/>
          </w:tcPr>
          <w:p>
            <w:pPr>
              <w:widowControl/>
              <w:spacing w:line="300" w:lineRule="exact"/>
              <w:jc w:val="center"/>
              <w:rPr>
                <w:color w:val="auto"/>
                <w:szCs w:val="21"/>
                <w:highlight w:val="none"/>
              </w:rPr>
            </w:pPr>
            <w:r>
              <w:rPr>
                <w:rFonts w:hint="eastAsia"/>
                <w:color w:val="auto"/>
                <w:szCs w:val="21"/>
                <w:highlight w:val="none"/>
              </w:rPr>
              <w:t>坝式（水库）</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60" w:hRule="atLeast"/>
          <w:tblHeader/>
          <w:jc w:val="center"/>
        </w:trPr>
        <w:tc>
          <w:tcPr>
            <w:tcW w:w="3111" w:type="dxa"/>
            <w:gridSpan w:val="2"/>
            <w:vAlign w:val="center"/>
          </w:tcPr>
          <w:p>
            <w:pPr>
              <w:widowControl/>
              <w:spacing w:line="300" w:lineRule="exact"/>
              <w:jc w:val="center"/>
              <w:rPr>
                <w:color w:val="auto"/>
                <w:szCs w:val="21"/>
                <w:highlight w:val="none"/>
              </w:rPr>
            </w:pPr>
            <w:r>
              <w:rPr>
                <w:rFonts w:hint="eastAsia"/>
                <w:color w:val="auto"/>
                <w:szCs w:val="21"/>
                <w:highlight w:val="none"/>
              </w:rPr>
              <w:t>合  计</w:t>
            </w:r>
          </w:p>
        </w:tc>
        <w:tc>
          <w:tcPr>
            <w:tcW w:w="818" w:type="dxa"/>
            <w:tcBorders>
              <w:bottom w:val="single" w:color="auto" w:sz="8" w:space="0"/>
              <w:right w:val="single" w:color="auto" w:sz="8" w:space="0"/>
            </w:tcBorders>
            <w:vAlign w:val="center"/>
          </w:tcPr>
          <w:p>
            <w:pPr>
              <w:widowControl/>
              <w:spacing w:line="300" w:lineRule="exact"/>
              <w:jc w:val="center"/>
              <w:rPr>
                <w:rFonts w:hint="default" w:eastAsia="宋体"/>
                <w:snapToGrid w:val="0"/>
                <w:color w:val="auto"/>
                <w:kern w:val="0"/>
                <w:szCs w:val="21"/>
                <w:highlight w:val="none"/>
                <w:lang w:val="en-US" w:eastAsia="zh-CN"/>
              </w:rPr>
            </w:pPr>
            <w:r>
              <w:rPr>
                <w:rFonts w:hint="eastAsia"/>
                <w:snapToGrid w:val="0"/>
                <w:color w:val="auto"/>
                <w:kern w:val="0"/>
                <w:szCs w:val="21"/>
                <w:highlight w:val="none"/>
              </w:rPr>
              <w:t>44</w:t>
            </w:r>
            <w:r>
              <w:rPr>
                <w:rFonts w:hint="eastAsia"/>
                <w:snapToGrid w:val="0"/>
                <w:color w:val="auto"/>
                <w:kern w:val="0"/>
                <w:szCs w:val="21"/>
                <w:highlight w:val="none"/>
                <w:lang w:val="en-US" w:eastAsia="zh-CN"/>
              </w:rPr>
              <w:t>2550</w:t>
            </w:r>
          </w:p>
        </w:tc>
        <w:tc>
          <w:tcPr>
            <w:tcW w:w="718" w:type="dxa"/>
            <w:tcBorders>
              <w:left w:val="single" w:color="auto" w:sz="8" w:space="0"/>
              <w:bottom w:val="single" w:color="auto" w:sz="8" w:space="0"/>
              <w:right w:val="single" w:color="auto" w:sz="4" w:space="0"/>
            </w:tcBorders>
            <w:vAlign w:val="center"/>
          </w:tcPr>
          <w:p>
            <w:pPr>
              <w:widowControl/>
              <w:spacing w:line="300" w:lineRule="exact"/>
              <w:jc w:val="center"/>
              <w:rPr>
                <w:color w:val="auto"/>
                <w:szCs w:val="21"/>
                <w:highlight w:val="none"/>
              </w:rPr>
            </w:pPr>
            <w:r>
              <w:rPr>
                <w:rFonts w:hint="eastAsia"/>
                <w:color w:val="auto"/>
                <w:szCs w:val="21"/>
                <w:highlight w:val="none"/>
              </w:rPr>
              <w:t>/</w:t>
            </w:r>
          </w:p>
        </w:tc>
        <w:tc>
          <w:tcPr>
            <w:tcW w:w="2280" w:type="dxa"/>
            <w:tcBorders>
              <w:left w:val="single" w:color="auto" w:sz="8" w:space="0"/>
              <w:bottom w:val="single" w:color="auto" w:sz="8" w:space="0"/>
            </w:tcBorders>
            <w:vAlign w:val="center"/>
          </w:tcPr>
          <w:p>
            <w:pPr>
              <w:widowControl/>
              <w:spacing w:line="300" w:lineRule="exact"/>
              <w:jc w:val="center"/>
              <w:rPr>
                <w:color w:val="auto"/>
                <w:szCs w:val="21"/>
                <w:highlight w:val="none"/>
              </w:rPr>
            </w:pPr>
            <w:r>
              <w:rPr>
                <w:rFonts w:hint="eastAsia"/>
                <w:color w:val="auto"/>
                <w:szCs w:val="21"/>
                <w:highlight w:val="none"/>
              </w:rPr>
              <w:t>/</w:t>
            </w:r>
          </w:p>
        </w:tc>
        <w:tc>
          <w:tcPr>
            <w:tcW w:w="1313" w:type="dxa"/>
            <w:tcBorders>
              <w:left w:val="single" w:color="auto" w:sz="8" w:space="0"/>
              <w:bottom w:val="single" w:color="auto" w:sz="8" w:space="0"/>
            </w:tcBorders>
            <w:vAlign w:val="center"/>
          </w:tcPr>
          <w:p>
            <w:pPr>
              <w:widowControl/>
              <w:spacing w:line="300" w:lineRule="exact"/>
              <w:jc w:val="center"/>
              <w:rPr>
                <w:color w:val="auto"/>
                <w:szCs w:val="21"/>
                <w:highlight w:val="none"/>
              </w:rPr>
            </w:pPr>
            <w:r>
              <w:rPr>
                <w:rFonts w:hint="eastAsia"/>
                <w:color w:val="auto"/>
                <w:szCs w:val="21"/>
                <w:highlight w:val="none"/>
              </w:rPr>
              <w:t>/</w:t>
            </w:r>
          </w:p>
        </w:tc>
      </w:tr>
    </w:tbl>
    <w:p>
      <w:pPr>
        <w:tabs>
          <w:tab w:val="left" w:pos="1080"/>
        </w:tabs>
        <w:spacing w:line="480" w:lineRule="exact"/>
        <w:outlineLvl w:val="1"/>
        <w:rPr>
          <w:b/>
          <w:sz w:val="24"/>
          <w:highlight w:val="none"/>
        </w:rPr>
      </w:pPr>
      <w:bookmarkStart w:id="127" w:name="_Toc22073"/>
      <w:r>
        <w:rPr>
          <w:rFonts w:hint="eastAsia"/>
          <w:b/>
          <w:sz w:val="24"/>
          <w:highlight w:val="none"/>
        </w:rPr>
        <w:t>2</w:t>
      </w:r>
      <w:r>
        <w:rPr>
          <w:b/>
          <w:sz w:val="24"/>
          <w:highlight w:val="none"/>
        </w:rPr>
        <w:t>.2 工程</w:t>
      </w:r>
      <w:r>
        <w:rPr>
          <w:rFonts w:hint="eastAsia"/>
          <w:b/>
          <w:sz w:val="24"/>
          <w:highlight w:val="none"/>
        </w:rPr>
        <w:t>地理位置</w:t>
      </w:r>
      <w:bookmarkEnd w:id="127"/>
    </w:p>
    <w:p>
      <w:pPr>
        <w:spacing w:line="480" w:lineRule="exact"/>
        <w:ind w:right="28" w:firstLine="480" w:firstLineChars="200"/>
        <w:rPr>
          <w:rFonts w:hint="eastAsia"/>
          <w:sz w:val="24"/>
          <w:highlight w:val="none"/>
          <w:lang w:val="zh-CN"/>
        </w:rPr>
      </w:pPr>
      <w:r>
        <w:rPr>
          <w:rFonts w:hint="eastAsia"/>
          <w:snapToGrid w:val="0"/>
          <w:color w:val="000000" w:themeColor="text1"/>
          <w:kern w:val="0"/>
          <w:sz w:val="24"/>
          <w:highlight w:val="none"/>
          <w14:textFill>
            <w14:solidFill>
              <w14:schemeClr w14:val="tx1"/>
            </w14:solidFill>
          </w14:textFill>
        </w:rPr>
        <w:t>遵化市黎河四级水电站</w:t>
      </w:r>
      <w:r>
        <w:rPr>
          <w:sz w:val="24"/>
          <w:highlight w:val="none"/>
        </w:rPr>
        <w:t>项目</w:t>
      </w:r>
      <w:r>
        <w:rPr>
          <w:rFonts w:hint="eastAsia"/>
          <w:sz w:val="24"/>
          <w:highlight w:val="none"/>
        </w:rPr>
        <w:t>位于遵化市建明镇西铺村西南1200m</w:t>
      </w:r>
      <w:r>
        <w:rPr>
          <w:snapToGrid w:val="0"/>
          <w:kern w:val="0"/>
          <w:sz w:val="24"/>
          <w:highlight w:val="none"/>
        </w:rPr>
        <w:t>，厂区中心地理坐标</w:t>
      </w:r>
      <w:r>
        <w:rPr>
          <w:spacing w:val="10"/>
          <w:sz w:val="24"/>
          <w:highlight w:val="none"/>
        </w:rPr>
        <w:t>北纬</w:t>
      </w:r>
      <w:r>
        <w:rPr>
          <w:rFonts w:hint="eastAsia"/>
          <w:spacing w:val="10"/>
          <w:sz w:val="24"/>
          <w:highlight w:val="none"/>
        </w:rPr>
        <w:t>40.183881</w:t>
      </w:r>
      <w:r>
        <w:rPr>
          <w:spacing w:val="10"/>
          <w:sz w:val="24"/>
          <w:highlight w:val="none"/>
        </w:rPr>
        <w:t>°，东经</w:t>
      </w:r>
      <w:r>
        <w:rPr>
          <w:rFonts w:hint="eastAsia"/>
          <w:spacing w:val="10"/>
          <w:sz w:val="24"/>
          <w:highlight w:val="none"/>
        </w:rPr>
        <w:t>118.119378</w:t>
      </w:r>
      <w:r>
        <w:rPr>
          <w:spacing w:val="10"/>
          <w:sz w:val="24"/>
          <w:highlight w:val="none"/>
        </w:rPr>
        <w:t>°</w:t>
      </w:r>
      <w:r>
        <w:rPr>
          <w:sz w:val="24"/>
          <w:highlight w:val="none"/>
          <w:lang w:val="zh-CN"/>
        </w:rPr>
        <w:t>，</w:t>
      </w:r>
      <w:r>
        <w:rPr>
          <w:rFonts w:hint="eastAsia"/>
          <w:sz w:val="24"/>
          <w:highlight w:val="none"/>
          <w:lang w:val="zh-CN"/>
        </w:rPr>
        <w:t>厂址北侧为引水渠、南侧为排水渠，东侧为黎河，西侧为进厂道路，隔路为农田</w:t>
      </w:r>
      <w:r>
        <w:rPr>
          <w:sz w:val="24"/>
          <w:highlight w:val="none"/>
          <w:lang w:val="zh-CN"/>
        </w:rPr>
        <w:t>。距项目最近环境敏感点为</w:t>
      </w:r>
      <w:r>
        <w:rPr>
          <w:rFonts w:hint="eastAsia"/>
          <w:sz w:val="24"/>
          <w:highlight w:val="none"/>
          <w:lang w:val="zh-CN"/>
        </w:rPr>
        <w:t>该电站东南方向180m的庄户沟村、东北方向1200m的西铺村、西北方向740m的闫家屯村、西南方向1100m的大安乐庄村</w:t>
      </w:r>
      <w:r>
        <w:rPr>
          <w:sz w:val="24"/>
          <w:highlight w:val="none"/>
          <w:lang w:val="zh-CN"/>
        </w:rPr>
        <w:t>。</w:t>
      </w:r>
      <w:r>
        <w:rPr>
          <w:rFonts w:hint="eastAsia"/>
          <w:sz w:val="24"/>
          <w:highlight w:val="none"/>
          <w:lang w:val="zh-CN"/>
        </w:rPr>
        <w:t>地理位置图见附图 1。</w:t>
      </w:r>
    </w:p>
    <w:p>
      <w:pPr>
        <w:tabs>
          <w:tab w:val="left" w:pos="1080"/>
        </w:tabs>
        <w:spacing w:line="480" w:lineRule="exact"/>
        <w:outlineLvl w:val="1"/>
        <w:rPr>
          <w:b/>
          <w:sz w:val="24"/>
          <w:highlight w:val="none"/>
        </w:rPr>
      </w:pPr>
      <w:bookmarkStart w:id="128" w:name="_Toc21058"/>
      <w:r>
        <w:rPr>
          <w:rFonts w:hint="eastAsia"/>
          <w:b/>
          <w:sz w:val="24"/>
          <w:highlight w:val="none"/>
        </w:rPr>
        <w:t>2</w:t>
      </w:r>
      <w:r>
        <w:rPr>
          <w:b/>
          <w:sz w:val="24"/>
          <w:highlight w:val="none"/>
        </w:rPr>
        <w:t>.</w:t>
      </w:r>
      <w:r>
        <w:rPr>
          <w:rFonts w:hint="eastAsia"/>
          <w:b/>
          <w:sz w:val="24"/>
          <w:highlight w:val="none"/>
        </w:rPr>
        <w:t>3</w:t>
      </w:r>
      <w:r>
        <w:rPr>
          <w:b/>
          <w:sz w:val="24"/>
          <w:highlight w:val="none"/>
        </w:rPr>
        <w:t xml:space="preserve"> </w:t>
      </w:r>
      <w:r>
        <w:rPr>
          <w:rFonts w:hint="eastAsia"/>
          <w:b/>
          <w:sz w:val="24"/>
          <w:highlight w:val="none"/>
        </w:rPr>
        <w:t>工程任务与工程规模</w:t>
      </w:r>
      <w:bookmarkEnd w:id="128"/>
    </w:p>
    <w:p>
      <w:pPr>
        <w:spacing w:line="480" w:lineRule="exact"/>
        <w:ind w:right="28"/>
        <w:rPr>
          <w:rFonts w:hint="eastAsia"/>
          <w:sz w:val="24"/>
          <w:highlight w:val="none"/>
          <w:lang w:val="zh-CN"/>
        </w:rPr>
      </w:pPr>
      <w:r>
        <w:rPr>
          <w:rFonts w:hint="eastAsia"/>
          <w:sz w:val="24"/>
          <w:highlight w:val="none"/>
          <w:lang w:val="en-US" w:eastAsia="zh-CN"/>
        </w:rPr>
        <w:t>2</w:t>
      </w:r>
      <w:r>
        <w:rPr>
          <w:rFonts w:hint="eastAsia"/>
          <w:sz w:val="24"/>
          <w:highlight w:val="none"/>
          <w:lang w:val="zh-CN"/>
        </w:rPr>
        <w:t>.</w:t>
      </w:r>
      <w:r>
        <w:rPr>
          <w:rFonts w:hint="eastAsia"/>
          <w:b/>
          <w:bCs/>
          <w:sz w:val="24"/>
          <w:highlight w:val="none"/>
          <w:lang w:val="zh-CN"/>
        </w:rPr>
        <w:t>3.1 工程任务</w:t>
      </w:r>
    </w:p>
    <w:p>
      <w:pPr>
        <w:spacing w:line="480" w:lineRule="exact"/>
        <w:ind w:right="28" w:firstLine="480" w:firstLineChars="200"/>
        <w:rPr>
          <w:rFonts w:hint="eastAsia"/>
          <w:sz w:val="24"/>
          <w:highlight w:val="none"/>
          <w:lang w:val="zh-CN"/>
        </w:rPr>
      </w:pPr>
      <w:r>
        <w:rPr>
          <w:rFonts w:hint="eastAsia"/>
          <w:sz w:val="24"/>
          <w:highlight w:val="none"/>
          <w:lang w:val="zh-CN"/>
        </w:rPr>
        <w:t>水电站工程是以发电为主的水电站工程，发电电量接入国家电网。工程不具备防洪、灌溉等其他功能。</w:t>
      </w:r>
    </w:p>
    <w:p>
      <w:pPr>
        <w:spacing w:line="480" w:lineRule="exact"/>
        <w:ind w:right="28"/>
        <w:rPr>
          <w:rFonts w:hint="eastAsia"/>
          <w:b/>
          <w:bCs/>
          <w:sz w:val="24"/>
          <w:highlight w:val="none"/>
          <w:lang w:val="zh-CN"/>
        </w:rPr>
      </w:pPr>
      <w:r>
        <w:rPr>
          <w:rFonts w:hint="eastAsia"/>
          <w:b/>
          <w:bCs/>
          <w:sz w:val="24"/>
          <w:highlight w:val="none"/>
          <w:lang w:val="en-US" w:eastAsia="zh-CN"/>
        </w:rPr>
        <w:t>2</w:t>
      </w:r>
      <w:r>
        <w:rPr>
          <w:rFonts w:hint="eastAsia"/>
          <w:b/>
          <w:bCs/>
          <w:sz w:val="24"/>
          <w:highlight w:val="none"/>
          <w:lang w:val="zh-CN"/>
        </w:rPr>
        <w:t>.3.2 工程规模</w:t>
      </w:r>
    </w:p>
    <w:p>
      <w:pPr>
        <w:spacing w:line="480" w:lineRule="exact"/>
        <w:ind w:right="28" w:firstLine="480" w:firstLineChars="200"/>
        <w:rPr>
          <w:rFonts w:hint="eastAsia"/>
          <w:snapToGrid w:val="0"/>
          <w:color w:val="auto"/>
          <w:kern w:val="0"/>
          <w:sz w:val="24"/>
          <w:highlight w:val="none"/>
        </w:rPr>
      </w:pPr>
      <w:r>
        <w:rPr>
          <w:rFonts w:hint="eastAsia"/>
          <w:color w:val="auto"/>
          <w:sz w:val="24"/>
          <w:highlight w:val="none"/>
          <w:lang w:val="zh-CN"/>
        </w:rPr>
        <w:t>水电站为无压引水式水电站，</w:t>
      </w:r>
      <w:r>
        <w:rPr>
          <w:rFonts w:hint="eastAsia"/>
          <w:color w:val="auto"/>
          <w:sz w:val="24"/>
          <w:highlight w:val="none"/>
        </w:rPr>
        <w:t>拦水坝为橡胶坝，最大坝高</w:t>
      </w:r>
      <w:r>
        <w:rPr>
          <w:rFonts w:hint="eastAsia"/>
          <w:color w:val="auto"/>
          <w:sz w:val="24"/>
          <w:highlight w:val="none"/>
          <w:lang w:val="en-US" w:eastAsia="zh-CN"/>
        </w:rPr>
        <w:t>2</w:t>
      </w:r>
      <w:r>
        <w:rPr>
          <w:rFonts w:hint="eastAsia"/>
          <w:color w:val="auto"/>
          <w:sz w:val="24"/>
          <w:highlight w:val="none"/>
        </w:rPr>
        <w:t>m，橡胶坝长度</w:t>
      </w:r>
      <w:r>
        <w:rPr>
          <w:rFonts w:hint="eastAsia"/>
          <w:color w:val="auto"/>
          <w:sz w:val="24"/>
          <w:highlight w:val="none"/>
          <w:lang w:val="en-US" w:eastAsia="zh-CN"/>
        </w:rPr>
        <w:t>87</w:t>
      </w:r>
      <w:r>
        <w:rPr>
          <w:rFonts w:hint="eastAsia"/>
          <w:color w:val="auto"/>
          <w:sz w:val="24"/>
          <w:highlight w:val="none"/>
        </w:rPr>
        <w:t>m。</w:t>
      </w:r>
      <w:r>
        <w:rPr>
          <w:rFonts w:hint="eastAsia"/>
          <w:color w:val="auto"/>
          <w:sz w:val="24"/>
          <w:highlight w:val="none"/>
          <w:lang w:val="zh-CN"/>
        </w:rPr>
        <w:t>设计最大引水流量</w:t>
      </w:r>
      <w:r>
        <w:rPr>
          <w:rFonts w:hint="eastAsia"/>
          <w:snapToGrid w:val="0"/>
          <w:color w:val="auto"/>
          <w:kern w:val="0"/>
          <w:sz w:val="24"/>
          <w:highlight w:val="none"/>
          <w:lang w:val="en-US" w:eastAsia="zh-CN"/>
        </w:rPr>
        <w:t>62</w:t>
      </w:r>
      <w:r>
        <w:rPr>
          <w:rFonts w:hint="eastAsia"/>
          <w:snapToGrid w:val="0"/>
          <w:color w:val="auto"/>
          <w:kern w:val="0"/>
          <w:sz w:val="24"/>
          <w:highlight w:val="none"/>
        </w:rPr>
        <w:t>m</w:t>
      </w:r>
      <w:r>
        <w:rPr>
          <w:rFonts w:hint="eastAsia"/>
          <w:snapToGrid w:val="0"/>
          <w:color w:val="auto"/>
          <w:kern w:val="0"/>
          <w:sz w:val="24"/>
          <w:highlight w:val="none"/>
          <w:vertAlign w:val="superscript"/>
        </w:rPr>
        <w:t>3</w:t>
      </w:r>
      <w:r>
        <w:rPr>
          <w:rFonts w:hint="eastAsia"/>
          <w:snapToGrid w:val="0"/>
          <w:color w:val="auto"/>
          <w:kern w:val="0"/>
          <w:sz w:val="24"/>
          <w:highlight w:val="none"/>
        </w:rPr>
        <w:t>/s，设计水头</w:t>
      </w:r>
      <w:r>
        <w:rPr>
          <w:rFonts w:hint="eastAsia"/>
          <w:snapToGrid w:val="0"/>
          <w:color w:val="auto"/>
          <w:kern w:val="0"/>
          <w:sz w:val="24"/>
          <w:highlight w:val="none"/>
          <w:lang w:val="en-US" w:eastAsia="zh-CN"/>
        </w:rPr>
        <w:t>10.1</w:t>
      </w:r>
      <w:r>
        <w:rPr>
          <w:rFonts w:hint="eastAsia"/>
          <w:snapToGrid w:val="0"/>
          <w:color w:val="auto"/>
          <w:kern w:val="0"/>
          <w:sz w:val="24"/>
          <w:highlight w:val="none"/>
        </w:rPr>
        <w:t>m，总装机容量</w:t>
      </w:r>
      <w:r>
        <w:rPr>
          <w:rFonts w:hint="eastAsia"/>
          <w:snapToGrid w:val="0"/>
          <w:color w:val="auto"/>
          <w:kern w:val="0"/>
          <w:sz w:val="24"/>
          <w:highlight w:val="none"/>
          <w:lang w:val="en-US" w:eastAsia="zh-CN"/>
        </w:rPr>
        <w:t>1</w:t>
      </w:r>
      <w:r>
        <w:rPr>
          <w:rFonts w:hint="eastAsia"/>
          <w:snapToGrid w:val="0"/>
          <w:color w:val="auto"/>
          <w:kern w:val="0"/>
          <w:sz w:val="24"/>
          <w:highlight w:val="none"/>
        </w:rPr>
        <w:t>×</w:t>
      </w:r>
      <w:r>
        <w:rPr>
          <w:rFonts w:hint="eastAsia"/>
          <w:snapToGrid w:val="0"/>
          <w:color w:val="auto"/>
          <w:kern w:val="0"/>
          <w:sz w:val="24"/>
          <w:highlight w:val="none"/>
          <w:lang w:val="en-US" w:eastAsia="zh-CN"/>
        </w:rPr>
        <w:t>500</w:t>
      </w:r>
      <w:r>
        <w:rPr>
          <w:rFonts w:hint="eastAsia"/>
          <w:snapToGrid w:val="0"/>
          <w:color w:val="auto"/>
          <w:kern w:val="0"/>
          <w:sz w:val="24"/>
          <w:highlight w:val="none"/>
        </w:rPr>
        <w:t>0kw。平均发电量约1465.5万kwh，年利用小时数约</w:t>
      </w:r>
      <w:r>
        <w:rPr>
          <w:rFonts w:hint="eastAsia"/>
          <w:snapToGrid w:val="0"/>
          <w:color w:val="auto"/>
          <w:kern w:val="0"/>
          <w:sz w:val="24"/>
          <w:highlight w:val="none"/>
          <w:lang w:val="en-US" w:eastAsia="zh-CN"/>
        </w:rPr>
        <w:t>2931</w:t>
      </w:r>
      <w:r>
        <w:rPr>
          <w:rFonts w:hint="eastAsia"/>
          <w:snapToGrid w:val="0"/>
          <w:color w:val="auto"/>
          <w:kern w:val="0"/>
          <w:sz w:val="24"/>
          <w:highlight w:val="none"/>
        </w:rPr>
        <w:t>h。电站以电压等级为11kv线路接入崔家庄35kv变电站。</w:t>
      </w:r>
    </w:p>
    <w:p>
      <w:pPr>
        <w:spacing w:line="480" w:lineRule="exact"/>
        <w:ind w:firstLine="480" w:firstLineChars="200"/>
        <w:jc w:val="left"/>
        <w:rPr>
          <w:sz w:val="24"/>
          <w:highlight w:val="none"/>
        </w:rPr>
      </w:pPr>
    </w:p>
    <w:p>
      <w:pPr>
        <w:spacing w:line="480" w:lineRule="exact"/>
        <w:ind w:firstLine="480" w:firstLineChars="200"/>
        <w:jc w:val="left"/>
        <w:rPr>
          <w:sz w:val="24"/>
          <w:highlight w:val="none"/>
        </w:rPr>
      </w:pPr>
    </w:p>
    <w:p>
      <w:pPr>
        <w:spacing w:line="480" w:lineRule="exact"/>
        <w:ind w:firstLine="480" w:firstLineChars="200"/>
        <w:jc w:val="left"/>
        <w:rPr>
          <w:sz w:val="24"/>
          <w:highlight w:val="none"/>
        </w:rPr>
      </w:pPr>
    </w:p>
    <w:p>
      <w:pPr>
        <w:spacing w:line="480" w:lineRule="exact"/>
        <w:ind w:firstLine="480" w:firstLineChars="200"/>
        <w:jc w:val="left"/>
        <w:rPr>
          <w:sz w:val="24"/>
          <w:highlight w:val="none"/>
        </w:rPr>
      </w:pPr>
      <w:r>
        <w:rPr>
          <w:sz w:val="24"/>
          <w:highlight w:val="none"/>
        </w:rPr>
        <w:t>工程特性表详见表</w:t>
      </w:r>
      <w:r>
        <w:rPr>
          <w:rFonts w:hint="eastAsia"/>
          <w:sz w:val="24"/>
          <w:highlight w:val="none"/>
        </w:rPr>
        <w:t>2</w:t>
      </w:r>
      <w:r>
        <w:rPr>
          <w:sz w:val="24"/>
          <w:highlight w:val="none"/>
        </w:rPr>
        <w:t>.</w:t>
      </w:r>
      <w:r>
        <w:rPr>
          <w:rFonts w:hint="eastAsia"/>
          <w:sz w:val="24"/>
          <w:highlight w:val="none"/>
          <w:lang w:val="en-US" w:eastAsia="zh-CN"/>
        </w:rPr>
        <w:t>3</w:t>
      </w:r>
      <w:r>
        <w:rPr>
          <w:sz w:val="24"/>
          <w:highlight w:val="none"/>
        </w:rPr>
        <w:t>-1。</w:t>
      </w:r>
    </w:p>
    <w:p>
      <w:pPr>
        <w:spacing w:line="480" w:lineRule="exact"/>
        <w:jc w:val="center"/>
        <w:rPr>
          <w:b/>
          <w:sz w:val="24"/>
          <w:highlight w:val="none"/>
        </w:rPr>
      </w:pPr>
      <w:r>
        <w:rPr>
          <w:b/>
          <w:sz w:val="24"/>
          <w:highlight w:val="none"/>
        </w:rPr>
        <w:t>表</w:t>
      </w:r>
      <w:r>
        <w:rPr>
          <w:rFonts w:hint="eastAsia"/>
          <w:b/>
          <w:sz w:val="24"/>
          <w:highlight w:val="none"/>
        </w:rPr>
        <w:t>2</w:t>
      </w:r>
      <w:r>
        <w:rPr>
          <w:b/>
          <w:sz w:val="24"/>
          <w:highlight w:val="none"/>
        </w:rPr>
        <w:t>.</w:t>
      </w:r>
      <w:r>
        <w:rPr>
          <w:rFonts w:hint="eastAsia"/>
          <w:b/>
          <w:sz w:val="24"/>
          <w:highlight w:val="none"/>
          <w:lang w:val="en-US" w:eastAsia="zh-CN"/>
        </w:rPr>
        <w:t>3</w:t>
      </w:r>
      <w:r>
        <w:rPr>
          <w:b/>
          <w:sz w:val="24"/>
          <w:highlight w:val="none"/>
        </w:rPr>
        <w:t xml:space="preserve">-1  </w:t>
      </w:r>
      <w:r>
        <w:rPr>
          <w:rFonts w:hint="eastAsia"/>
          <w:b/>
          <w:sz w:val="24"/>
          <w:highlight w:val="none"/>
        </w:rPr>
        <w:t>遵化市黎河四级水电站</w:t>
      </w:r>
      <w:r>
        <w:rPr>
          <w:b/>
          <w:sz w:val="24"/>
          <w:highlight w:val="none"/>
        </w:rPr>
        <w:t>工程特性表</w:t>
      </w:r>
    </w:p>
    <w:tbl>
      <w:tblPr>
        <w:tblStyle w:val="51"/>
        <w:tblW w:w="834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125"/>
        <w:gridCol w:w="521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3125" w:type="dxa"/>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一、布置</w:t>
            </w:r>
          </w:p>
        </w:tc>
        <w:tc>
          <w:tcPr>
            <w:tcW w:w="5217" w:type="dxa"/>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河北省遵化市建明镇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3125" w:type="dxa"/>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二、所在河系</w:t>
            </w:r>
          </w:p>
        </w:tc>
        <w:tc>
          <w:tcPr>
            <w:tcW w:w="5217" w:type="dxa"/>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滦河河系、黎河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3125" w:type="dxa"/>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三、开发方式</w:t>
            </w:r>
          </w:p>
        </w:tc>
        <w:tc>
          <w:tcPr>
            <w:tcW w:w="5217" w:type="dxa"/>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引水式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3125" w:type="dxa"/>
            <w:tcBorders>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四、水文</w:t>
            </w:r>
          </w:p>
        </w:tc>
        <w:tc>
          <w:tcPr>
            <w:tcW w:w="5217" w:type="dxa"/>
            <w:tcBorders>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1、设计年输水量</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10 亿 m</w:t>
            </w:r>
            <w:r>
              <w:rPr>
                <w:rFonts w:hint="eastAsia"/>
                <w:szCs w:val="21"/>
                <w:highlight w:val="none"/>
                <w:vertAlign w:val="superscript"/>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2、设计年输水流量（多年平均）</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60m</w:t>
            </w:r>
            <w:r>
              <w:rPr>
                <w:rFonts w:hint="eastAsia"/>
                <w:szCs w:val="21"/>
                <w:highlight w:val="none"/>
                <w:vertAlign w:val="superscript"/>
              </w:rPr>
              <w:t>3</w:t>
            </w:r>
            <w:r>
              <w:rPr>
                <w:rFonts w:hint="eastAsia"/>
                <w:szCs w:val="21"/>
                <w:highlight w:val="none"/>
              </w:rPr>
              <w:t>/s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3、设计洪水水位（20 年）</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3.1 橡胶坝</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相应水位</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86.80m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3.2 厂房</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相应水位</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78.84m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3.3 尾水渠</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相应水位</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78.31m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五</w:t>
            </w:r>
            <w:r>
              <w:rPr>
                <w:rFonts w:hint="eastAsia"/>
                <w:szCs w:val="21"/>
                <w:highlight w:val="none"/>
              </w:rPr>
              <w:tab/>
            </w:r>
            <w:r>
              <w:rPr>
                <w:rFonts w:hint="eastAsia"/>
                <w:szCs w:val="21"/>
                <w:highlight w:val="none"/>
              </w:rPr>
              <w:t>电站水力特性</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1 引水枢纽进水闸设计水位</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87.18m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2 前池设计水位</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86.69m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3 尾水渠设计水位</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76.12m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4 尾水渠最低水位</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75.40m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5 净水头</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10.1m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6 电站设计流量</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55.92m</w:t>
            </w:r>
            <w:r>
              <w:rPr>
                <w:rFonts w:hint="eastAsia"/>
                <w:szCs w:val="21"/>
                <w:highlight w:val="none"/>
                <w:vertAlign w:val="superscript"/>
              </w:rPr>
              <w:t>3</w:t>
            </w:r>
            <w:r>
              <w:rPr>
                <w:rFonts w:hint="eastAsia"/>
                <w:szCs w:val="21"/>
                <w:highlight w:val="none"/>
              </w:rPr>
              <w:t>/s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六、发电效益</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1 装机容量</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5000KW</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2 多年平均发电量</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1465.5 万 KW·h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3 多年平均年利用小时</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2931h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4 水能利用率</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0.98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八、主要建筑物及设备</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1 挡水建筑物</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1.1 型式</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橡胶坝</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1.2 地基特性</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砂卵石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1.3 坝顶高程</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87.18m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1.4 最大坝高</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2.0m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1.5 坝顶长度</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87m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1.6 消能方式</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消力池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2 引水节制闸</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2.1 型式</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露顶式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2.2 地基特性</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砂卵石覆盖层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2.3 闸底高程</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83.20m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2.4 闸门型式、尺寸、数量</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平板钢闸门、5.0×4.6m(宽×高)、2 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2.5 启闭机型号、数量</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QPQ-2×25t、2 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3 前池</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3.1 形式</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扶臂式钢筋混凝土护面挡土墙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3.2 尺寸(长×宽×高)</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长 46m×20m×10.65m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3.3 池底高程</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77.41m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3.4 池顶高程</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88.06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3.5 压力管道进口方式</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开敞式快速闸门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3.6 闸门型式、尺寸、数量</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潜孔平板钢闸门、5.305×5.735m(宽×高)、1 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3.7 启闭机型号、数量</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QPK-2×40t、1 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3125" w:type="dxa"/>
            <w:tcBorders>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lang w:val="en-US" w:eastAsia="zh-CN"/>
              </w:rPr>
              <w:t>4</w:t>
            </w:r>
            <w:r>
              <w:rPr>
                <w:rFonts w:hint="eastAsia"/>
                <w:szCs w:val="21"/>
                <w:highlight w:val="none"/>
              </w:rPr>
              <w:t xml:space="preserve"> 压力管道</w:t>
            </w:r>
          </w:p>
        </w:tc>
        <w:tc>
          <w:tcPr>
            <w:tcW w:w="5217" w:type="dxa"/>
            <w:tcBorders>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lang w:val="en-US" w:eastAsia="zh-CN"/>
              </w:rPr>
              <w:t>4</w:t>
            </w:r>
            <w:r>
              <w:rPr>
                <w:rFonts w:hint="eastAsia"/>
                <w:szCs w:val="21"/>
                <w:highlight w:val="none"/>
              </w:rPr>
              <w:t>.1 型式</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混凝土管单元供水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lang w:val="en-US" w:eastAsia="zh-CN"/>
              </w:rPr>
              <w:t>4</w:t>
            </w:r>
            <w:r>
              <w:rPr>
                <w:rFonts w:hint="eastAsia"/>
                <w:szCs w:val="21"/>
                <w:highlight w:val="none"/>
              </w:rPr>
              <w:t>.2 条数</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lang w:val="en-US" w:eastAsia="zh-CN"/>
              </w:rPr>
              <w:t>4</w:t>
            </w:r>
            <w:r>
              <w:rPr>
                <w:rFonts w:hint="eastAsia"/>
                <w:szCs w:val="21"/>
                <w:highlight w:val="none"/>
              </w:rPr>
              <w:t>.3 每条长度</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26m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lang w:val="en-US" w:eastAsia="zh-CN"/>
              </w:rPr>
              <w:t>4</w:t>
            </w:r>
            <w:r>
              <w:rPr>
                <w:rFonts w:hint="eastAsia"/>
                <w:szCs w:val="21"/>
                <w:highlight w:val="none"/>
              </w:rPr>
              <w:t>.4 过水断面尺寸</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5.735m×5.305m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lang w:val="en-US" w:eastAsia="zh-CN"/>
              </w:rPr>
              <w:t>5</w:t>
            </w:r>
            <w:r>
              <w:rPr>
                <w:rFonts w:hint="eastAsia"/>
                <w:szCs w:val="21"/>
                <w:highlight w:val="none"/>
              </w:rPr>
              <w:t xml:space="preserve"> 厂房</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lang w:val="en-US" w:eastAsia="zh-CN"/>
              </w:rPr>
              <w:t>5.</w:t>
            </w:r>
            <w:r>
              <w:rPr>
                <w:rFonts w:hint="eastAsia"/>
                <w:szCs w:val="21"/>
                <w:highlight w:val="none"/>
              </w:rPr>
              <w:t>1 型式</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地面式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lang w:val="en-US" w:eastAsia="zh-CN"/>
              </w:rPr>
              <w:t>5</w:t>
            </w:r>
            <w:r>
              <w:rPr>
                <w:rFonts w:hint="eastAsia"/>
                <w:szCs w:val="21"/>
                <w:highlight w:val="none"/>
              </w:rPr>
              <w:t>.2 地基特性</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角闪斜长片麻岩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lang w:val="en-US" w:eastAsia="zh-CN"/>
              </w:rPr>
              <w:t>5</w:t>
            </w:r>
            <w:r>
              <w:rPr>
                <w:rFonts w:hint="eastAsia"/>
                <w:szCs w:val="21"/>
                <w:highlight w:val="none"/>
              </w:rPr>
              <w:t>.3 主厂房尺寸</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26.32m×13.15m(长×宽)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lang w:val="en-US" w:eastAsia="zh-CN"/>
              </w:rPr>
              <w:t>5</w:t>
            </w:r>
            <w:r>
              <w:rPr>
                <w:rFonts w:hint="eastAsia"/>
                <w:szCs w:val="21"/>
                <w:highlight w:val="none"/>
              </w:rPr>
              <w:t>.4 机组安装高程</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72.10m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lang w:val="en-US" w:eastAsia="zh-CN"/>
              </w:rPr>
              <w:t>6</w:t>
            </w:r>
            <w:r>
              <w:rPr>
                <w:rFonts w:hint="eastAsia"/>
                <w:szCs w:val="21"/>
                <w:highlight w:val="none"/>
              </w:rPr>
              <w:t xml:space="preserve"> 尾水渠</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lang w:val="en-US" w:eastAsia="zh-CN"/>
              </w:rPr>
              <w:t>6</w:t>
            </w:r>
            <w:r>
              <w:rPr>
                <w:rFonts w:hint="eastAsia"/>
                <w:szCs w:val="21"/>
                <w:highlight w:val="none"/>
              </w:rPr>
              <w:t>.1 断面型式</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矩形变梯形</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lang w:val="en-US" w:eastAsia="zh-CN"/>
              </w:rPr>
              <w:t>6</w:t>
            </w:r>
            <w:r>
              <w:rPr>
                <w:rFonts w:hint="eastAsia"/>
                <w:szCs w:val="21"/>
                <w:highlight w:val="none"/>
              </w:rPr>
              <w:t>.2 断面尺寸</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矩形渠底宽 15m，梯形渠底宽 53.5m，边坡 1:3.0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lang w:val="en-US" w:eastAsia="zh-CN"/>
              </w:rPr>
              <w:t>6</w:t>
            </w:r>
            <w:r>
              <w:rPr>
                <w:rFonts w:hint="eastAsia"/>
                <w:szCs w:val="21"/>
                <w:highlight w:val="none"/>
              </w:rPr>
              <w:t>.3 长度</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130m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lang w:val="en-US" w:eastAsia="zh-CN"/>
              </w:rPr>
              <w:t>6</w:t>
            </w:r>
            <w:r>
              <w:rPr>
                <w:rFonts w:hint="eastAsia"/>
                <w:szCs w:val="21"/>
                <w:highlight w:val="none"/>
              </w:rPr>
              <w:t>.4 纵坡</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1/2000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lang w:val="en-US" w:eastAsia="zh-CN"/>
              </w:rPr>
              <w:t>7</w:t>
            </w:r>
            <w:r>
              <w:rPr>
                <w:rFonts w:hint="eastAsia"/>
                <w:szCs w:val="21"/>
                <w:highlight w:val="none"/>
              </w:rPr>
              <w:t>、主要机电设备</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lang w:val="en-US" w:eastAsia="zh-CN"/>
              </w:rPr>
              <w:t>7</w:t>
            </w:r>
            <w:r>
              <w:rPr>
                <w:rFonts w:hint="eastAsia"/>
                <w:szCs w:val="21"/>
                <w:highlight w:val="none"/>
              </w:rPr>
              <w:t>.1 水轮机</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型号</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GZTF07B-WP-275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设计水头</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10.1m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1"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设计流量</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55.92m3/s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额定出力</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5208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额定转速</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187.5 r/min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6.2 发电机</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型号</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SFWG5000-32/3260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额定容量</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5556KVA/5000KW</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额定电压</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6300V</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额定转速</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187.5r/min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飞逸转速</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605r/min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jc w:val="center"/>
        </w:trPr>
        <w:tc>
          <w:tcPr>
            <w:tcW w:w="3125"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功率因数</w:t>
            </w:r>
          </w:p>
        </w:tc>
        <w:tc>
          <w:tcPr>
            <w:tcW w:w="5217" w:type="dxa"/>
            <w:tcBorders>
              <w:top w:val="single" w:color="000000" w:sz="8" w:space="0"/>
              <w:left w:val="single" w:color="000000" w:sz="8"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szCs w:val="21"/>
                <w:highlight w:val="none"/>
              </w:rPr>
            </w:pPr>
            <w:r>
              <w:rPr>
                <w:rFonts w:hint="eastAsia"/>
                <w:szCs w:val="21"/>
                <w:highlight w:val="none"/>
              </w:rPr>
              <w:t>0.9（滞后）</w:t>
            </w:r>
          </w:p>
        </w:tc>
      </w:tr>
    </w:tbl>
    <w:p>
      <w:pPr>
        <w:tabs>
          <w:tab w:val="left" w:pos="1080"/>
        </w:tabs>
        <w:spacing w:line="480" w:lineRule="exact"/>
        <w:outlineLvl w:val="1"/>
        <w:rPr>
          <w:b/>
          <w:sz w:val="24"/>
          <w:highlight w:val="none"/>
        </w:rPr>
      </w:pPr>
      <w:bookmarkStart w:id="129" w:name="_Toc14165"/>
      <w:r>
        <w:rPr>
          <w:rFonts w:hint="eastAsia"/>
          <w:b/>
          <w:sz w:val="24"/>
          <w:highlight w:val="none"/>
        </w:rPr>
        <w:t>2</w:t>
      </w:r>
      <w:r>
        <w:rPr>
          <w:b/>
          <w:sz w:val="24"/>
          <w:highlight w:val="none"/>
        </w:rPr>
        <w:t>.</w:t>
      </w:r>
      <w:r>
        <w:rPr>
          <w:rFonts w:hint="eastAsia"/>
          <w:b/>
          <w:sz w:val="24"/>
          <w:highlight w:val="none"/>
          <w:lang w:val="en-US" w:eastAsia="zh-CN"/>
        </w:rPr>
        <w:t>4</w:t>
      </w:r>
      <w:r>
        <w:rPr>
          <w:b/>
          <w:sz w:val="24"/>
          <w:highlight w:val="none"/>
        </w:rPr>
        <w:t xml:space="preserve"> </w:t>
      </w:r>
      <w:r>
        <w:rPr>
          <w:rFonts w:hint="eastAsia"/>
          <w:b/>
          <w:sz w:val="24"/>
          <w:highlight w:val="none"/>
        </w:rPr>
        <w:t>工程</w:t>
      </w:r>
      <w:r>
        <w:rPr>
          <w:rFonts w:hint="eastAsia"/>
          <w:b/>
          <w:sz w:val="24"/>
          <w:szCs w:val="24"/>
          <w:highlight w:val="none"/>
        </w:rPr>
        <w:t>运行方式</w:t>
      </w:r>
      <w:bookmarkEnd w:id="129"/>
    </w:p>
    <w:p>
      <w:pPr>
        <w:tabs>
          <w:tab w:val="left" w:pos="5400"/>
        </w:tabs>
        <w:spacing w:line="480" w:lineRule="exact"/>
        <w:ind w:firstLine="480" w:firstLineChars="200"/>
        <w:jc w:val="left"/>
        <w:rPr>
          <w:sz w:val="24"/>
          <w:highlight w:val="none"/>
        </w:rPr>
      </w:pPr>
      <w:r>
        <w:rPr>
          <w:rFonts w:hint="eastAsia"/>
          <w:sz w:val="24"/>
          <w:highlight w:val="none"/>
        </w:rPr>
        <w:t>（1）“引滦入津”引水期</w:t>
      </w:r>
    </w:p>
    <w:p>
      <w:pPr>
        <w:tabs>
          <w:tab w:val="left" w:pos="5400"/>
        </w:tabs>
        <w:spacing w:line="480" w:lineRule="exact"/>
        <w:ind w:firstLine="480" w:firstLineChars="200"/>
        <w:jc w:val="left"/>
        <w:rPr>
          <w:sz w:val="24"/>
          <w:highlight w:val="none"/>
        </w:rPr>
      </w:pPr>
      <w:r>
        <w:rPr>
          <w:rFonts w:hint="eastAsia"/>
          <w:sz w:val="24"/>
          <w:highlight w:val="none"/>
        </w:rPr>
        <w:t>本工程为引水式小</w:t>
      </w:r>
      <w:r>
        <w:rPr>
          <w:rFonts w:hint="eastAsia"/>
          <w:color w:val="auto"/>
          <w:sz w:val="24"/>
          <w:highlight w:val="none"/>
        </w:rPr>
        <w:t>型</w:t>
      </w:r>
      <w:r>
        <w:rPr>
          <w:rFonts w:hint="eastAsia"/>
          <w:sz w:val="24"/>
          <w:highlight w:val="none"/>
        </w:rPr>
        <w:t>水电站工程，无调节性能，“引滦入津”引水期间，采用橡胶坝拦水，打开引水节制闸，引水至引水渠，</w:t>
      </w:r>
      <w:r>
        <w:rPr>
          <w:sz w:val="24"/>
          <w:highlight w:val="none"/>
        </w:rPr>
        <w:t>电站设计流量</w:t>
      </w:r>
      <w:r>
        <w:rPr>
          <w:rFonts w:hint="eastAsia"/>
          <w:sz w:val="24"/>
          <w:highlight w:val="none"/>
          <w:lang w:val="en-US" w:eastAsia="zh-CN"/>
        </w:rPr>
        <w:t>55.92</w:t>
      </w:r>
      <w:r>
        <w:rPr>
          <w:sz w:val="24"/>
          <w:highlight w:val="none"/>
        </w:rPr>
        <w:t>m³/s，设计水头</w:t>
      </w:r>
      <w:r>
        <w:rPr>
          <w:rFonts w:hint="eastAsia"/>
          <w:sz w:val="24"/>
          <w:highlight w:val="none"/>
          <w:lang w:val="en-US" w:eastAsia="zh-CN"/>
        </w:rPr>
        <w:t>10.1</w:t>
      </w:r>
      <w:r>
        <w:rPr>
          <w:sz w:val="24"/>
          <w:highlight w:val="none"/>
        </w:rPr>
        <w:t>m，总装机容量</w:t>
      </w:r>
      <w:r>
        <w:rPr>
          <w:rFonts w:hint="eastAsia"/>
          <w:snapToGrid w:val="0"/>
          <w:kern w:val="0"/>
          <w:sz w:val="24"/>
          <w:highlight w:val="none"/>
          <w:lang w:val="en-US" w:eastAsia="zh-CN"/>
        </w:rPr>
        <w:t>1</w:t>
      </w:r>
      <w:r>
        <w:rPr>
          <w:snapToGrid w:val="0"/>
          <w:kern w:val="0"/>
          <w:sz w:val="24"/>
          <w:highlight w:val="none"/>
        </w:rPr>
        <w:t>×</w:t>
      </w:r>
      <w:r>
        <w:rPr>
          <w:rFonts w:hint="eastAsia"/>
          <w:snapToGrid w:val="0"/>
          <w:kern w:val="0"/>
          <w:sz w:val="24"/>
          <w:highlight w:val="none"/>
          <w:lang w:val="en-US" w:eastAsia="zh-CN"/>
        </w:rPr>
        <w:t>500</w:t>
      </w:r>
      <w:r>
        <w:rPr>
          <w:snapToGrid w:val="0"/>
          <w:kern w:val="0"/>
          <w:sz w:val="24"/>
          <w:highlight w:val="none"/>
        </w:rPr>
        <w:t>0kw</w:t>
      </w:r>
      <w:r>
        <w:rPr>
          <w:sz w:val="24"/>
          <w:highlight w:val="none"/>
        </w:rPr>
        <w:t>，年利用小时数</w:t>
      </w:r>
      <w:r>
        <w:rPr>
          <w:rFonts w:hint="eastAsia"/>
          <w:sz w:val="24"/>
          <w:highlight w:val="none"/>
          <w:lang w:val="en-US" w:eastAsia="zh-CN"/>
        </w:rPr>
        <w:t>2931</w:t>
      </w:r>
      <w:r>
        <w:rPr>
          <w:sz w:val="24"/>
          <w:highlight w:val="none"/>
        </w:rPr>
        <w:t>小时，年发电量</w:t>
      </w:r>
      <w:r>
        <w:rPr>
          <w:rFonts w:hint="eastAsia"/>
          <w:sz w:val="24"/>
          <w:highlight w:val="none"/>
        </w:rPr>
        <w:t>1465.5</w:t>
      </w:r>
      <w:r>
        <w:rPr>
          <w:sz w:val="24"/>
          <w:highlight w:val="none"/>
        </w:rPr>
        <w:t>万kw·h</w:t>
      </w:r>
      <w:r>
        <w:rPr>
          <w:rFonts w:hint="eastAsia"/>
          <w:sz w:val="24"/>
          <w:highlight w:val="none"/>
        </w:rPr>
        <w:t>。</w:t>
      </w:r>
    </w:p>
    <w:p>
      <w:pPr>
        <w:tabs>
          <w:tab w:val="left" w:pos="5400"/>
        </w:tabs>
        <w:spacing w:line="480" w:lineRule="exact"/>
        <w:ind w:firstLine="480" w:firstLineChars="200"/>
        <w:jc w:val="left"/>
        <w:rPr>
          <w:sz w:val="24"/>
          <w:highlight w:val="none"/>
        </w:rPr>
      </w:pPr>
      <w:r>
        <w:rPr>
          <w:rFonts w:hint="eastAsia"/>
          <w:sz w:val="24"/>
          <w:highlight w:val="none"/>
        </w:rPr>
        <w:t>（2）“引滦入津”非引水期间</w:t>
      </w:r>
    </w:p>
    <w:p>
      <w:pPr>
        <w:tabs>
          <w:tab w:val="left" w:pos="5400"/>
        </w:tabs>
        <w:spacing w:line="480" w:lineRule="exact"/>
        <w:ind w:firstLine="480" w:firstLineChars="200"/>
        <w:jc w:val="left"/>
        <w:rPr>
          <w:sz w:val="24"/>
          <w:highlight w:val="none"/>
        </w:rPr>
      </w:pPr>
      <w:r>
        <w:rPr>
          <w:rFonts w:hint="eastAsia"/>
          <w:sz w:val="24"/>
          <w:highlight w:val="none"/>
        </w:rPr>
        <w:t>“引滦入津”非引水期间，关闭引水节制闸，电站停止运行。</w:t>
      </w:r>
    </w:p>
    <w:p>
      <w:pPr>
        <w:tabs>
          <w:tab w:val="left" w:pos="1080"/>
        </w:tabs>
        <w:spacing w:line="480" w:lineRule="exact"/>
        <w:outlineLvl w:val="1"/>
        <w:rPr>
          <w:b/>
          <w:sz w:val="24"/>
          <w:highlight w:val="none"/>
        </w:rPr>
      </w:pPr>
      <w:bookmarkStart w:id="130" w:name="_Toc12102"/>
      <w:r>
        <w:rPr>
          <w:rFonts w:hint="eastAsia"/>
          <w:b/>
          <w:sz w:val="24"/>
          <w:highlight w:val="none"/>
        </w:rPr>
        <w:t>2</w:t>
      </w:r>
      <w:r>
        <w:rPr>
          <w:b/>
          <w:sz w:val="24"/>
          <w:highlight w:val="none"/>
        </w:rPr>
        <w:t>.</w:t>
      </w:r>
      <w:r>
        <w:rPr>
          <w:rFonts w:hint="eastAsia"/>
          <w:b/>
          <w:sz w:val="24"/>
          <w:highlight w:val="none"/>
          <w:lang w:val="en-US" w:eastAsia="zh-CN"/>
        </w:rPr>
        <w:t>5</w:t>
      </w:r>
      <w:r>
        <w:rPr>
          <w:b/>
          <w:sz w:val="24"/>
          <w:highlight w:val="none"/>
        </w:rPr>
        <w:t xml:space="preserve"> 工程项目组成</w:t>
      </w:r>
      <w:bookmarkEnd w:id="130"/>
    </w:p>
    <w:p>
      <w:pPr>
        <w:tabs>
          <w:tab w:val="left" w:pos="5400"/>
        </w:tabs>
        <w:spacing w:line="480" w:lineRule="exact"/>
        <w:ind w:firstLine="480" w:firstLineChars="200"/>
        <w:jc w:val="left"/>
        <w:rPr>
          <w:sz w:val="24"/>
          <w:highlight w:val="none"/>
        </w:rPr>
      </w:pPr>
      <w:r>
        <w:rPr>
          <w:sz w:val="24"/>
          <w:highlight w:val="none"/>
        </w:rPr>
        <w:t>主要建设内容详见工程组成表</w:t>
      </w:r>
      <w:r>
        <w:rPr>
          <w:rFonts w:hint="eastAsia"/>
          <w:sz w:val="24"/>
          <w:highlight w:val="none"/>
        </w:rPr>
        <w:t>2</w:t>
      </w:r>
      <w:r>
        <w:rPr>
          <w:sz w:val="24"/>
          <w:highlight w:val="none"/>
        </w:rPr>
        <w:t>.</w:t>
      </w:r>
      <w:r>
        <w:rPr>
          <w:rFonts w:hint="eastAsia"/>
          <w:sz w:val="24"/>
          <w:highlight w:val="none"/>
          <w:lang w:val="en-US" w:eastAsia="zh-CN"/>
        </w:rPr>
        <w:t>5</w:t>
      </w:r>
      <w:r>
        <w:rPr>
          <w:sz w:val="24"/>
          <w:highlight w:val="none"/>
        </w:rPr>
        <w:t>-1</w:t>
      </w:r>
      <w:r>
        <w:rPr>
          <w:rFonts w:hint="eastAsia"/>
          <w:sz w:val="24"/>
          <w:highlight w:val="none"/>
        </w:rPr>
        <w:t>，</w:t>
      </w:r>
      <w:r>
        <w:rPr>
          <w:sz w:val="24"/>
          <w:highlight w:val="none"/>
        </w:rPr>
        <w:t>主要构建筑物一览表</w:t>
      </w:r>
      <w:r>
        <w:rPr>
          <w:rFonts w:hint="eastAsia"/>
          <w:sz w:val="24"/>
          <w:highlight w:val="none"/>
        </w:rPr>
        <w:t>见表2.</w:t>
      </w:r>
      <w:r>
        <w:rPr>
          <w:rFonts w:hint="eastAsia"/>
          <w:sz w:val="24"/>
          <w:highlight w:val="none"/>
          <w:lang w:val="en-US" w:eastAsia="zh-CN"/>
        </w:rPr>
        <w:t>5</w:t>
      </w:r>
      <w:r>
        <w:rPr>
          <w:rFonts w:hint="eastAsia"/>
          <w:sz w:val="24"/>
          <w:highlight w:val="none"/>
        </w:rPr>
        <w:t>-2。</w:t>
      </w:r>
    </w:p>
    <w:p>
      <w:pPr>
        <w:tabs>
          <w:tab w:val="left" w:pos="5400"/>
        </w:tabs>
        <w:spacing w:line="480" w:lineRule="exact"/>
        <w:jc w:val="center"/>
        <w:rPr>
          <w:sz w:val="24"/>
          <w:highlight w:val="none"/>
        </w:rPr>
      </w:pPr>
      <w:r>
        <w:rPr>
          <w:b/>
          <w:sz w:val="24"/>
          <w:highlight w:val="none"/>
        </w:rPr>
        <w:t>表</w:t>
      </w:r>
      <w:r>
        <w:rPr>
          <w:rFonts w:hint="eastAsia"/>
          <w:b/>
          <w:sz w:val="24"/>
          <w:highlight w:val="none"/>
        </w:rPr>
        <w:t>2</w:t>
      </w:r>
      <w:r>
        <w:rPr>
          <w:b/>
          <w:sz w:val="24"/>
          <w:highlight w:val="none"/>
        </w:rPr>
        <w:t>.</w:t>
      </w:r>
      <w:r>
        <w:rPr>
          <w:rFonts w:hint="eastAsia"/>
          <w:b/>
          <w:sz w:val="24"/>
          <w:highlight w:val="none"/>
          <w:lang w:val="en-US" w:eastAsia="zh-CN"/>
        </w:rPr>
        <w:t>5</w:t>
      </w:r>
      <w:r>
        <w:rPr>
          <w:b/>
          <w:sz w:val="24"/>
          <w:highlight w:val="none"/>
        </w:rPr>
        <w:t xml:space="preserve">-1  </w:t>
      </w:r>
      <w:r>
        <w:rPr>
          <w:b/>
          <w:kern w:val="0"/>
          <w:sz w:val="24"/>
          <w:highlight w:val="none"/>
        </w:rPr>
        <w:t>水电站项目组成表</w:t>
      </w:r>
    </w:p>
    <w:tbl>
      <w:tblPr>
        <w:tblStyle w:val="51"/>
        <w:tblW w:w="8435"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02"/>
        <w:gridCol w:w="1118"/>
        <w:gridCol w:w="2220"/>
        <w:gridCol w:w="439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820" w:type="dxa"/>
            <w:gridSpan w:val="2"/>
            <w:vAlign w:val="center"/>
          </w:tcPr>
          <w:p>
            <w:pPr>
              <w:widowControl/>
              <w:spacing w:line="300" w:lineRule="exact"/>
              <w:jc w:val="center"/>
              <w:rPr>
                <w:kern w:val="0"/>
                <w:highlight w:val="none"/>
              </w:rPr>
            </w:pPr>
            <w:r>
              <w:rPr>
                <w:kern w:val="0"/>
                <w:highlight w:val="none"/>
              </w:rPr>
              <w:t>项目名称</w:t>
            </w:r>
          </w:p>
        </w:tc>
        <w:tc>
          <w:tcPr>
            <w:tcW w:w="2220" w:type="dxa"/>
            <w:vAlign w:val="center"/>
          </w:tcPr>
          <w:p>
            <w:pPr>
              <w:widowControl/>
              <w:spacing w:line="300" w:lineRule="exact"/>
              <w:jc w:val="center"/>
              <w:rPr>
                <w:kern w:val="0"/>
                <w:highlight w:val="none"/>
              </w:rPr>
            </w:pPr>
            <w:r>
              <w:rPr>
                <w:kern w:val="0"/>
                <w:highlight w:val="none"/>
              </w:rPr>
              <w:t>所处位置</w:t>
            </w:r>
          </w:p>
        </w:tc>
        <w:tc>
          <w:tcPr>
            <w:tcW w:w="4395" w:type="dxa"/>
            <w:vAlign w:val="center"/>
          </w:tcPr>
          <w:p>
            <w:pPr>
              <w:widowControl/>
              <w:spacing w:line="300" w:lineRule="exact"/>
              <w:jc w:val="center"/>
              <w:rPr>
                <w:kern w:val="0"/>
                <w:highlight w:val="none"/>
              </w:rPr>
            </w:pPr>
            <w:r>
              <w:rPr>
                <w:kern w:val="0"/>
                <w:highlight w:val="none"/>
              </w:rPr>
              <w:t>工程内容及参数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59" w:hRule="atLeast"/>
          <w:jc w:val="center"/>
        </w:trPr>
        <w:tc>
          <w:tcPr>
            <w:tcW w:w="702" w:type="dxa"/>
            <w:vMerge w:val="restart"/>
            <w:vAlign w:val="center"/>
          </w:tcPr>
          <w:p>
            <w:pPr>
              <w:widowControl/>
              <w:spacing w:line="300" w:lineRule="exact"/>
              <w:jc w:val="center"/>
              <w:rPr>
                <w:kern w:val="0"/>
                <w:highlight w:val="none"/>
              </w:rPr>
            </w:pPr>
            <w:r>
              <w:rPr>
                <w:kern w:val="0"/>
                <w:highlight w:val="none"/>
              </w:rPr>
              <w:t>主体工程</w:t>
            </w:r>
          </w:p>
        </w:tc>
        <w:tc>
          <w:tcPr>
            <w:tcW w:w="1118" w:type="dxa"/>
            <w:vAlign w:val="center"/>
          </w:tcPr>
          <w:p>
            <w:pPr>
              <w:widowControl/>
              <w:spacing w:line="300" w:lineRule="exact"/>
              <w:jc w:val="center"/>
              <w:rPr>
                <w:kern w:val="0"/>
                <w:highlight w:val="none"/>
              </w:rPr>
            </w:pPr>
            <w:r>
              <w:rPr>
                <w:highlight w:val="none"/>
              </w:rPr>
              <w:t>拦水橡胶坝</w:t>
            </w:r>
          </w:p>
        </w:tc>
        <w:tc>
          <w:tcPr>
            <w:tcW w:w="2220" w:type="dxa"/>
            <w:vAlign w:val="center"/>
          </w:tcPr>
          <w:p>
            <w:pPr>
              <w:widowControl/>
              <w:spacing w:line="300" w:lineRule="exact"/>
              <w:rPr>
                <w:kern w:val="0"/>
                <w:highlight w:val="none"/>
              </w:rPr>
            </w:pPr>
            <w:r>
              <w:rPr>
                <w:highlight w:val="none"/>
              </w:rPr>
              <w:t>位于黎河主河床，砂卵石基础上</w:t>
            </w:r>
          </w:p>
        </w:tc>
        <w:tc>
          <w:tcPr>
            <w:tcW w:w="4395" w:type="dxa"/>
          </w:tcPr>
          <w:p>
            <w:pPr>
              <w:widowControl/>
              <w:spacing w:line="300" w:lineRule="exact"/>
              <w:rPr>
                <w:highlight w:val="none"/>
              </w:rPr>
            </w:pPr>
            <w:r>
              <w:rPr>
                <w:rFonts w:hAnsi="宋体"/>
                <w:sz w:val="21"/>
                <w:highlight w:val="none"/>
              </w:rPr>
              <w:t>橡胶坝长</w:t>
            </w:r>
            <w:r>
              <w:rPr>
                <w:sz w:val="21"/>
                <w:highlight w:val="none"/>
              </w:rPr>
              <w:t>87m</w:t>
            </w:r>
            <w:r>
              <w:rPr>
                <w:rFonts w:hAnsi="宋体"/>
                <w:sz w:val="21"/>
                <w:highlight w:val="none"/>
              </w:rPr>
              <w:t>，高</w:t>
            </w:r>
            <w:r>
              <w:rPr>
                <w:sz w:val="21"/>
                <w:highlight w:val="none"/>
              </w:rPr>
              <w:t>2m</w:t>
            </w:r>
            <w:r>
              <w:rPr>
                <w:rFonts w:hAnsi="宋体"/>
                <w:sz w:val="21"/>
                <w:highlight w:val="none"/>
              </w:rPr>
              <w:t>，设计水位</w:t>
            </w:r>
            <w:r>
              <w:rPr>
                <w:sz w:val="21"/>
                <w:highlight w:val="none"/>
              </w:rPr>
              <w:t>87.10m</w:t>
            </w:r>
            <w:r>
              <w:rPr>
                <w:rFonts w:hAnsi="宋体"/>
                <w:sz w:val="21"/>
                <w:highlight w:val="none"/>
              </w:rPr>
              <w:t>，坝顶高程</w:t>
            </w:r>
            <w:r>
              <w:rPr>
                <w:sz w:val="21"/>
                <w:highlight w:val="none"/>
              </w:rPr>
              <w:t>87.18m</w:t>
            </w:r>
            <w:r>
              <w:rPr>
                <w:rFonts w:hAnsi="宋体"/>
                <w:sz w:val="21"/>
                <w:highlight w:val="none"/>
              </w:rPr>
              <w:t>，基础底板顶高程</w:t>
            </w:r>
            <w:r>
              <w:rPr>
                <w:sz w:val="21"/>
                <w:highlight w:val="none"/>
              </w:rPr>
              <w:t>85.18m</w:t>
            </w:r>
            <w:r>
              <w:rPr>
                <w:highlight w:val="non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59" w:hRule="atLeast"/>
          <w:jc w:val="center"/>
        </w:trPr>
        <w:tc>
          <w:tcPr>
            <w:tcW w:w="702" w:type="dxa"/>
            <w:vMerge w:val="continue"/>
            <w:vAlign w:val="center"/>
          </w:tcPr>
          <w:p>
            <w:pPr>
              <w:widowControl/>
              <w:spacing w:line="300" w:lineRule="exact"/>
              <w:jc w:val="center"/>
              <w:rPr>
                <w:kern w:val="0"/>
                <w:highlight w:val="none"/>
              </w:rPr>
            </w:pPr>
          </w:p>
        </w:tc>
        <w:tc>
          <w:tcPr>
            <w:tcW w:w="1118" w:type="dxa"/>
            <w:vAlign w:val="center"/>
          </w:tcPr>
          <w:p>
            <w:pPr>
              <w:widowControl/>
              <w:spacing w:line="300" w:lineRule="exact"/>
              <w:jc w:val="center"/>
              <w:rPr>
                <w:highlight w:val="none"/>
              </w:rPr>
            </w:pPr>
            <w:r>
              <w:rPr>
                <w:highlight w:val="none"/>
              </w:rPr>
              <w:t>引水节制闸</w:t>
            </w:r>
          </w:p>
        </w:tc>
        <w:tc>
          <w:tcPr>
            <w:tcW w:w="2220" w:type="dxa"/>
            <w:vAlign w:val="center"/>
          </w:tcPr>
          <w:p>
            <w:pPr>
              <w:widowControl/>
              <w:spacing w:line="300" w:lineRule="exact"/>
              <w:rPr>
                <w:highlight w:val="none"/>
              </w:rPr>
            </w:pPr>
            <w:r>
              <w:rPr>
                <w:highlight w:val="none"/>
              </w:rPr>
              <w:t>位于黎河左岸，邻近橡胶坝布置</w:t>
            </w:r>
          </w:p>
        </w:tc>
        <w:tc>
          <w:tcPr>
            <w:tcW w:w="4395" w:type="dxa"/>
          </w:tcPr>
          <w:p>
            <w:pPr>
              <w:snapToGrid w:val="0"/>
              <w:spacing w:line="300" w:lineRule="exact"/>
              <w:rPr>
                <w:highlight w:val="none"/>
              </w:rPr>
            </w:pPr>
            <w:r>
              <w:rPr>
                <w:rFonts w:ascii="Times New Roman"/>
                <w:szCs w:val="24"/>
                <w:highlight w:val="none"/>
              </w:rPr>
              <w:t>进口节制闸设计引水流量</w:t>
            </w:r>
            <w:r>
              <w:rPr>
                <w:rFonts w:ascii="Times New Roman" w:hAnsi="Times New Roman"/>
                <w:szCs w:val="24"/>
                <w:highlight w:val="none"/>
              </w:rPr>
              <w:t>62m</w:t>
            </w:r>
            <w:r>
              <w:rPr>
                <w:rFonts w:ascii="Times New Roman" w:hAnsi="Times New Roman"/>
                <w:szCs w:val="24"/>
                <w:highlight w:val="none"/>
                <w:vertAlign w:val="superscript"/>
              </w:rPr>
              <w:t>3</w:t>
            </w:r>
            <w:r>
              <w:rPr>
                <w:rFonts w:ascii="Times New Roman" w:hAnsi="Times New Roman"/>
                <w:szCs w:val="24"/>
                <w:highlight w:val="none"/>
              </w:rPr>
              <w:t>/s</w:t>
            </w:r>
            <w:r>
              <w:rPr>
                <w:rFonts w:ascii="Times New Roman"/>
                <w:szCs w:val="24"/>
                <w:highlight w:val="none"/>
              </w:rPr>
              <w:t>，闸前设计水位</w:t>
            </w:r>
            <w:r>
              <w:rPr>
                <w:rFonts w:ascii="Times New Roman" w:hAnsi="Times New Roman"/>
                <w:szCs w:val="24"/>
                <w:highlight w:val="none"/>
              </w:rPr>
              <w:t>87.00m</w:t>
            </w:r>
            <w:r>
              <w:rPr>
                <w:rFonts w:ascii="Times New Roman"/>
                <w:szCs w:val="24"/>
                <w:highlight w:val="none"/>
              </w:rPr>
              <w:t>。闸室为钢筋混凝土结构，长</w:t>
            </w:r>
            <w:r>
              <w:rPr>
                <w:rFonts w:ascii="Times New Roman" w:hAnsi="Times New Roman"/>
                <w:szCs w:val="24"/>
                <w:highlight w:val="none"/>
              </w:rPr>
              <w:t>8.0m</w:t>
            </w:r>
            <w:r>
              <w:rPr>
                <w:rFonts w:ascii="Times New Roman"/>
                <w:szCs w:val="24"/>
                <w:highlight w:val="none"/>
              </w:rPr>
              <w:t>，底板高程</w:t>
            </w:r>
            <w:r>
              <w:rPr>
                <w:rFonts w:ascii="Times New Roman" w:hAnsi="Times New Roman"/>
                <w:szCs w:val="24"/>
                <w:highlight w:val="none"/>
              </w:rPr>
              <w:t>83.20m</w:t>
            </w:r>
            <w:r>
              <w:rPr>
                <w:rFonts w:ascii="Times New Roman"/>
                <w:szCs w:val="24"/>
                <w:highlight w:val="none"/>
              </w:rPr>
              <w:t>，墩顶高程</w:t>
            </w:r>
            <w:r>
              <w:rPr>
                <w:rFonts w:ascii="Times New Roman" w:hAnsi="Times New Roman"/>
                <w:szCs w:val="24"/>
                <w:highlight w:val="none"/>
              </w:rPr>
              <w:t>88.06m</w:t>
            </w:r>
            <w:r>
              <w:rPr>
                <w:rFonts w:ascii="Times New Roman"/>
                <w:szCs w:val="24"/>
                <w:highlight w:val="none"/>
              </w:rPr>
              <w:t>，孔口尺寸</w:t>
            </w:r>
            <w:r>
              <w:rPr>
                <w:rFonts w:ascii="Times New Roman" w:hAnsi="Times New Roman"/>
                <w:szCs w:val="24"/>
                <w:highlight w:val="none"/>
              </w:rPr>
              <w:t>5.0m×4.6m</w:t>
            </w:r>
            <w:r>
              <w:rPr>
                <w:rFonts w:ascii="Times New Roman"/>
                <w:szCs w:val="24"/>
                <w:highlight w:val="none"/>
              </w:rPr>
              <w:t>，共</w:t>
            </w:r>
            <w:r>
              <w:rPr>
                <w:rFonts w:ascii="Times New Roman" w:hAnsi="Times New Roman"/>
                <w:szCs w:val="24"/>
                <w:highlight w:val="none"/>
              </w:rPr>
              <w:t>2</w:t>
            </w:r>
            <w:r>
              <w:rPr>
                <w:rFonts w:ascii="Times New Roman"/>
                <w:szCs w:val="24"/>
                <w:highlight w:val="none"/>
              </w:rPr>
              <w:t>孔</w:t>
            </w:r>
            <w:r>
              <w:rPr>
                <w:highlight w:val="non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89" w:hRule="atLeast"/>
          <w:jc w:val="center"/>
        </w:trPr>
        <w:tc>
          <w:tcPr>
            <w:tcW w:w="702" w:type="dxa"/>
            <w:vMerge w:val="continue"/>
            <w:vAlign w:val="center"/>
          </w:tcPr>
          <w:p>
            <w:pPr>
              <w:widowControl/>
              <w:spacing w:line="300" w:lineRule="exact"/>
              <w:jc w:val="left"/>
              <w:rPr>
                <w:kern w:val="0"/>
                <w:highlight w:val="none"/>
              </w:rPr>
            </w:pPr>
          </w:p>
        </w:tc>
        <w:tc>
          <w:tcPr>
            <w:tcW w:w="1118" w:type="dxa"/>
            <w:vAlign w:val="center"/>
          </w:tcPr>
          <w:p>
            <w:pPr>
              <w:widowControl/>
              <w:spacing w:line="300" w:lineRule="exact"/>
              <w:jc w:val="center"/>
              <w:rPr>
                <w:kern w:val="0"/>
                <w:highlight w:val="none"/>
              </w:rPr>
            </w:pPr>
            <w:r>
              <w:rPr>
                <w:kern w:val="0"/>
                <w:highlight w:val="none"/>
              </w:rPr>
              <w:t>引水渠</w:t>
            </w:r>
          </w:p>
        </w:tc>
        <w:tc>
          <w:tcPr>
            <w:tcW w:w="2220" w:type="dxa"/>
            <w:vAlign w:val="center"/>
          </w:tcPr>
          <w:p>
            <w:pPr>
              <w:autoSpaceDE w:val="0"/>
              <w:autoSpaceDN w:val="0"/>
              <w:spacing w:line="300" w:lineRule="exact"/>
              <w:rPr>
                <w:kern w:val="0"/>
                <w:highlight w:val="none"/>
              </w:rPr>
            </w:pPr>
            <w:r>
              <w:rPr>
                <w:kern w:val="0"/>
                <w:highlight w:val="none"/>
              </w:rPr>
              <w:t>引水坝和电站之间</w:t>
            </w:r>
          </w:p>
        </w:tc>
        <w:tc>
          <w:tcPr>
            <w:tcW w:w="4395" w:type="dxa"/>
            <w:vAlign w:val="center"/>
          </w:tcPr>
          <w:p>
            <w:pPr>
              <w:snapToGrid w:val="0"/>
              <w:spacing w:line="300" w:lineRule="exact"/>
              <w:rPr>
                <w:sz w:val="28"/>
                <w:highlight w:val="none"/>
              </w:rPr>
            </w:pPr>
            <w:r>
              <w:rPr>
                <w:rFonts w:hint="eastAsia" w:ascii="Times New Roman"/>
                <w:bCs/>
                <w:color w:val="000000"/>
                <w:szCs w:val="24"/>
                <w:highlight w:val="none"/>
              </w:rPr>
              <w:t>引水渠总长996.67m，梯形断面，纵坡为1/4000，分为上、下两段，上段设计水深3.8m，底宽5.4m，边坡1：1；下段设计水深3.5m，底宽2.5m，边坡1：2</w:t>
            </w:r>
            <w:r>
              <w:rPr>
                <w:highlight w:val="non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95" w:hRule="atLeast"/>
          <w:jc w:val="center"/>
        </w:trPr>
        <w:tc>
          <w:tcPr>
            <w:tcW w:w="702" w:type="dxa"/>
            <w:vMerge w:val="continue"/>
            <w:vAlign w:val="center"/>
          </w:tcPr>
          <w:p>
            <w:pPr>
              <w:widowControl/>
              <w:spacing w:line="300" w:lineRule="exact"/>
              <w:jc w:val="left"/>
              <w:rPr>
                <w:b/>
                <w:kern w:val="0"/>
                <w:highlight w:val="none"/>
              </w:rPr>
            </w:pPr>
          </w:p>
        </w:tc>
        <w:tc>
          <w:tcPr>
            <w:tcW w:w="1118" w:type="dxa"/>
            <w:vAlign w:val="center"/>
          </w:tcPr>
          <w:p>
            <w:pPr>
              <w:widowControl/>
              <w:spacing w:line="300" w:lineRule="exact"/>
              <w:jc w:val="center"/>
              <w:rPr>
                <w:kern w:val="0"/>
                <w:highlight w:val="none"/>
              </w:rPr>
            </w:pPr>
            <w:r>
              <w:rPr>
                <w:kern w:val="0"/>
                <w:highlight w:val="none"/>
              </w:rPr>
              <w:t>前池</w:t>
            </w:r>
          </w:p>
        </w:tc>
        <w:tc>
          <w:tcPr>
            <w:tcW w:w="2220" w:type="dxa"/>
            <w:vAlign w:val="center"/>
          </w:tcPr>
          <w:p>
            <w:pPr>
              <w:widowControl/>
              <w:spacing w:line="300" w:lineRule="exact"/>
              <w:jc w:val="center"/>
              <w:rPr>
                <w:kern w:val="0"/>
                <w:highlight w:val="none"/>
              </w:rPr>
            </w:pPr>
            <w:r>
              <w:rPr>
                <w:kern w:val="0"/>
                <w:highlight w:val="none"/>
              </w:rPr>
              <w:t>厂房东侧</w:t>
            </w:r>
          </w:p>
        </w:tc>
        <w:tc>
          <w:tcPr>
            <w:tcW w:w="4395" w:type="dxa"/>
            <w:vAlign w:val="center"/>
          </w:tcPr>
          <w:p>
            <w:pPr>
              <w:snapToGrid w:val="0"/>
              <w:spacing w:line="300" w:lineRule="exact"/>
              <w:rPr>
                <w:highlight w:val="none"/>
              </w:rPr>
            </w:pPr>
            <w:r>
              <w:rPr>
                <w:rFonts w:hint="eastAsia" w:ascii="Times New Roman"/>
                <w:bCs/>
                <w:color w:val="000000"/>
                <w:szCs w:val="24"/>
                <w:highlight w:val="none"/>
              </w:rPr>
              <w:t>前池采用钢筋混凝土护底，边墙为扶臂式钢筋混凝土挡土墙，迎水面采用0.5m厚钢筋混凝土护面，设计水位86.69m，最高溢流水位87.51m，最低水位86.19m。进水室采用快速闸门控制，前设拦污栅一道。前池左侧布置长30m的溢流堰，下设长70.0m、宽12.0m的钢筋混凝土护面的浆砌石泄水渠</w:t>
            </w:r>
            <w:r>
              <w:rPr>
                <w:szCs w:val="21"/>
                <w:highlight w:val="non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71" w:hRule="atLeast"/>
          <w:jc w:val="center"/>
        </w:trPr>
        <w:tc>
          <w:tcPr>
            <w:tcW w:w="702" w:type="dxa"/>
            <w:vMerge w:val="continue"/>
            <w:vAlign w:val="center"/>
          </w:tcPr>
          <w:p>
            <w:pPr>
              <w:widowControl/>
              <w:spacing w:line="300" w:lineRule="exact"/>
              <w:jc w:val="left"/>
              <w:rPr>
                <w:b/>
                <w:kern w:val="0"/>
                <w:highlight w:val="none"/>
              </w:rPr>
            </w:pPr>
          </w:p>
        </w:tc>
        <w:tc>
          <w:tcPr>
            <w:tcW w:w="1118" w:type="dxa"/>
            <w:vAlign w:val="center"/>
          </w:tcPr>
          <w:p>
            <w:pPr>
              <w:widowControl/>
              <w:spacing w:line="300" w:lineRule="exact"/>
              <w:jc w:val="center"/>
              <w:rPr>
                <w:kern w:val="0"/>
                <w:highlight w:val="none"/>
              </w:rPr>
            </w:pPr>
            <w:r>
              <w:rPr>
                <w:kern w:val="0"/>
                <w:highlight w:val="none"/>
              </w:rPr>
              <w:t>压力</w:t>
            </w:r>
          </w:p>
          <w:p>
            <w:pPr>
              <w:widowControl/>
              <w:spacing w:line="300" w:lineRule="exact"/>
              <w:jc w:val="center"/>
              <w:rPr>
                <w:kern w:val="0"/>
                <w:highlight w:val="none"/>
              </w:rPr>
            </w:pPr>
            <w:r>
              <w:rPr>
                <w:kern w:val="0"/>
                <w:highlight w:val="none"/>
              </w:rPr>
              <w:t>管道</w:t>
            </w:r>
          </w:p>
        </w:tc>
        <w:tc>
          <w:tcPr>
            <w:tcW w:w="2220" w:type="dxa"/>
            <w:vAlign w:val="center"/>
          </w:tcPr>
          <w:p>
            <w:pPr>
              <w:widowControl/>
              <w:spacing w:line="300" w:lineRule="exact"/>
              <w:jc w:val="center"/>
              <w:rPr>
                <w:highlight w:val="none"/>
              </w:rPr>
            </w:pPr>
            <w:r>
              <w:rPr>
                <w:highlight w:val="none"/>
              </w:rPr>
              <w:t>前池和厂房之间</w:t>
            </w:r>
          </w:p>
        </w:tc>
        <w:tc>
          <w:tcPr>
            <w:tcW w:w="4395" w:type="dxa"/>
            <w:vAlign w:val="center"/>
          </w:tcPr>
          <w:p>
            <w:pPr>
              <w:snapToGrid w:val="0"/>
              <w:spacing w:line="300" w:lineRule="exact"/>
              <w:rPr>
                <w:highlight w:val="none"/>
              </w:rPr>
            </w:pPr>
            <w:r>
              <w:rPr>
                <w:rFonts w:hAnsi="宋体"/>
                <w:szCs w:val="24"/>
                <w:highlight w:val="none"/>
              </w:rPr>
              <w:t>设计流量</w:t>
            </w:r>
            <w:r>
              <w:rPr>
                <w:szCs w:val="24"/>
                <w:highlight w:val="none"/>
              </w:rPr>
              <w:t>55.92m</w:t>
            </w:r>
            <w:r>
              <w:rPr>
                <w:szCs w:val="24"/>
                <w:highlight w:val="none"/>
                <w:vertAlign w:val="superscript"/>
              </w:rPr>
              <w:t>3</w:t>
            </w:r>
            <w:r>
              <w:rPr>
                <w:szCs w:val="24"/>
                <w:highlight w:val="none"/>
              </w:rPr>
              <w:t>/s</w:t>
            </w:r>
            <w:r>
              <w:rPr>
                <w:rFonts w:hAnsi="宋体"/>
                <w:szCs w:val="24"/>
                <w:highlight w:val="none"/>
              </w:rPr>
              <w:t>，长</w:t>
            </w:r>
            <w:r>
              <w:rPr>
                <w:szCs w:val="24"/>
                <w:highlight w:val="none"/>
              </w:rPr>
              <w:t>26m</w:t>
            </w:r>
            <w:r>
              <w:rPr>
                <w:rFonts w:hAnsi="宋体"/>
                <w:szCs w:val="24"/>
                <w:highlight w:val="none"/>
              </w:rPr>
              <w:t>，矩形钢筋混凝土结构，断面尺寸</w:t>
            </w:r>
            <w:r>
              <w:rPr>
                <w:szCs w:val="24"/>
                <w:highlight w:val="none"/>
              </w:rPr>
              <w:t>5.735×5.30</w:t>
            </w:r>
            <w:r>
              <w:rPr>
                <w:rFonts w:ascii="Times New Roman" w:hAnsi="Times New Roman" w:eastAsia="宋体" w:cs="Times New Roman"/>
                <w:szCs w:val="24"/>
                <w:highlight w:val="none"/>
              </w:rPr>
              <w:t>5</w:t>
            </w:r>
            <w:r>
              <w:rPr>
                <w:sz w:val="21"/>
                <w:highlight w:val="none"/>
              </w:rPr>
              <w:t>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15" w:hRule="atLeast"/>
          <w:jc w:val="center"/>
        </w:trPr>
        <w:tc>
          <w:tcPr>
            <w:tcW w:w="702" w:type="dxa"/>
            <w:vMerge w:val="continue"/>
            <w:vAlign w:val="center"/>
          </w:tcPr>
          <w:p>
            <w:pPr>
              <w:widowControl/>
              <w:spacing w:line="300" w:lineRule="exact"/>
              <w:jc w:val="left"/>
              <w:rPr>
                <w:b/>
                <w:kern w:val="0"/>
                <w:highlight w:val="none"/>
              </w:rPr>
            </w:pPr>
          </w:p>
        </w:tc>
        <w:tc>
          <w:tcPr>
            <w:tcW w:w="1118" w:type="dxa"/>
            <w:vAlign w:val="center"/>
          </w:tcPr>
          <w:p>
            <w:pPr>
              <w:widowControl/>
              <w:spacing w:line="300" w:lineRule="exact"/>
              <w:jc w:val="center"/>
              <w:rPr>
                <w:kern w:val="0"/>
                <w:highlight w:val="none"/>
              </w:rPr>
            </w:pPr>
            <w:r>
              <w:rPr>
                <w:kern w:val="0"/>
                <w:highlight w:val="none"/>
              </w:rPr>
              <w:t>厂房、控制室</w:t>
            </w:r>
          </w:p>
        </w:tc>
        <w:tc>
          <w:tcPr>
            <w:tcW w:w="2220" w:type="dxa"/>
            <w:vAlign w:val="center"/>
          </w:tcPr>
          <w:p>
            <w:pPr>
              <w:widowControl/>
              <w:spacing w:line="300" w:lineRule="exact"/>
              <w:jc w:val="center"/>
              <w:rPr>
                <w:highlight w:val="none"/>
              </w:rPr>
            </w:pPr>
            <w:r>
              <w:rPr>
                <w:highlight w:val="none"/>
              </w:rPr>
              <w:t>电站主副厂房位于黎河右堤外侧</w:t>
            </w:r>
          </w:p>
        </w:tc>
        <w:tc>
          <w:tcPr>
            <w:tcW w:w="4395" w:type="dxa"/>
          </w:tcPr>
          <w:p>
            <w:pPr>
              <w:widowControl/>
              <w:spacing w:line="300" w:lineRule="exact"/>
              <w:jc w:val="left"/>
              <w:rPr>
                <w:highlight w:val="none"/>
              </w:rPr>
            </w:pPr>
            <w:r>
              <w:rPr>
                <w:rFonts w:ascii="Times New Roman"/>
                <w:szCs w:val="24"/>
                <w:highlight w:val="none"/>
              </w:rPr>
              <w:t>厂房平面尺寸</w:t>
            </w:r>
            <w:r>
              <w:rPr>
                <w:rFonts w:ascii="Times New Roman" w:hAnsi="Times New Roman"/>
                <w:szCs w:val="24"/>
                <w:highlight w:val="none"/>
              </w:rPr>
              <w:t>26.32m×20.4m(</w:t>
            </w:r>
            <w:r>
              <w:rPr>
                <w:rFonts w:ascii="Times New Roman"/>
                <w:szCs w:val="24"/>
                <w:highlight w:val="none"/>
              </w:rPr>
              <w:t>长</w:t>
            </w:r>
            <w:r>
              <w:rPr>
                <w:rFonts w:ascii="Times New Roman" w:hAnsi="Times New Roman"/>
                <w:szCs w:val="24"/>
                <w:highlight w:val="none"/>
              </w:rPr>
              <w:t>×</w:t>
            </w:r>
            <w:r>
              <w:rPr>
                <w:rFonts w:ascii="Times New Roman"/>
                <w:szCs w:val="24"/>
                <w:highlight w:val="none"/>
              </w:rPr>
              <w:t>宽</w:t>
            </w:r>
            <w:r>
              <w:rPr>
                <w:rFonts w:ascii="Times New Roman" w:hAnsi="Times New Roman"/>
                <w:szCs w:val="24"/>
                <w:highlight w:val="none"/>
              </w:rPr>
              <w:t>)</w:t>
            </w:r>
            <w:r>
              <w:rPr>
                <w:rFonts w:ascii="Times New Roman"/>
                <w:szCs w:val="24"/>
                <w:highlight w:val="none"/>
              </w:rPr>
              <w:t>。其中主厂房</w:t>
            </w:r>
            <w:r>
              <w:rPr>
                <w:rFonts w:ascii="Times New Roman" w:hAnsi="Times New Roman"/>
                <w:szCs w:val="24"/>
                <w:highlight w:val="none"/>
              </w:rPr>
              <w:t>26.32×13.15m</w:t>
            </w:r>
            <w:r>
              <w:rPr>
                <w:rFonts w:ascii="Times New Roman"/>
                <w:szCs w:val="24"/>
                <w:highlight w:val="none"/>
              </w:rPr>
              <w:t>，设有</w:t>
            </w:r>
            <w:r>
              <w:rPr>
                <w:rFonts w:ascii="Times New Roman" w:hAnsi="Times New Roman"/>
                <w:szCs w:val="24"/>
                <w:highlight w:val="none"/>
              </w:rPr>
              <w:t>1</w:t>
            </w:r>
            <w:r>
              <w:rPr>
                <w:rFonts w:ascii="Times New Roman"/>
                <w:szCs w:val="24"/>
                <w:highlight w:val="none"/>
              </w:rPr>
              <w:t>台水轮发电机组，水轮机安装高程</w:t>
            </w:r>
            <w:r>
              <w:rPr>
                <w:rFonts w:ascii="Times New Roman" w:hAnsi="Times New Roman"/>
                <w:szCs w:val="24"/>
                <w:highlight w:val="none"/>
              </w:rPr>
              <w:t>72.10m</w:t>
            </w:r>
            <w:r>
              <w:rPr>
                <w:rFonts w:ascii="Times New Roman"/>
                <w:szCs w:val="24"/>
                <w:highlight w:val="none"/>
              </w:rPr>
              <w:t>，安装间位于发电机下游侧，地面高程</w:t>
            </w:r>
            <w:r>
              <w:rPr>
                <w:rFonts w:ascii="Times New Roman" w:hAnsi="Times New Roman"/>
                <w:szCs w:val="24"/>
                <w:highlight w:val="none"/>
              </w:rPr>
              <w:t>80.86m</w:t>
            </w:r>
            <w:r>
              <w:rPr>
                <w:rFonts w:ascii="Times New Roman"/>
                <w:szCs w:val="24"/>
                <w:highlight w:val="none"/>
              </w:rPr>
              <w:t>。副厂房</w:t>
            </w:r>
            <w:r>
              <w:rPr>
                <w:rFonts w:ascii="Times New Roman" w:hAnsi="Times New Roman"/>
                <w:szCs w:val="24"/>
                <w:highlight w:val="none"/>
              </w:rPr>
              <w:t>26.32m×7.25m</w:t>
            </w:r>
            <w:r>
              <w:rPr>
                <w:rFonts w:ascii="Times New Roman"/>
                <w:szCs w:val="24"/>
                <w:highlight w:val="none"/>
              </w:rPr>
              <w:t>，位于主厂房左侧。升压站位于厂房上游，平面尺寸</w:t>
            </w:r>
            <w:r>
              <w:rPr>
                <w:rFonts w:ascii="Times New Roman" w:hAnsi="Times New Roman"/>
                <w:szCs w:val="24"/>
                <w:highlight w:val="none"/>
              </w:rPr>
              <w:t>20×10m</w:t>
            </w:r>
            <w:r>
              <w:rPr>
                <w:rFonts w:ascii="Times New Roman"/>
                <w:szCs w:val="24"/>
                <w:highlight w:val="none"/>
              </w:rPr>
              <w:t>。主变压器安装在升压站内，安装高程</w:t>
            </w:r>
            <w:r>
              <w:rPr>
                <w:rFonts w:ascii="Times New Roman" w:hAnsi="Times New Roman"/>
                <w:szCs w:val="24"/>
                <w:highlight w:val="none"/>
              </w:rPr>
              <w:t>81.16m</w:t>
            </w:r>
            <w:r>
              <w:rPr>
                <w:rFonts w:ascii="Times New Roman"/>
                <w:szCs w:val="24"/>
                <w:highlight w:val="none"/>
              </w:rPr>
              <w:t>。厂区地面高程</w:t>
            </w:r>
            <w:r>
              <w:rPr>
                <w:rFonts w:ascii="Times New Roman" w:hAnsi="Times New Roman"/>
                <w:szCs w:val="24"/>
                <w:highlight w:val="none"/>
              </w:rPr>
              <w:t>80.36m</w:t>
            </w:r>
            <w:r>
              <w:rPr>
                <w:highlight w:val="non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15" w:hRule="atLeast"/>
          <w:jc w:val="center"/>
        </w:trPr>
        <w:tc>
          <w:tcPr>
            <w:tcW w:w="702" w:type="dxa"/>
            <w:vMerge w:val="continue"/>
            <w:vAlign w:val="center"/>
          </w:tcPr>
          <w:p>
            <w:pPr>
              <w:widowControl/>
              <w:spacing w:line="300" w:lineRule="exact"/>
              <w:jc w:val="left"/>
              <w:rPr>
                <w:b/>
                <w:kern w:val="0"/>
                <w:highlight w:val="none"/>
              </w:rPr>
            </w:pPr>
          </w:p>
        </w:tc>
        <w:tc>
          <w:tcPr>
            <w:tcW w:w="1118" w:type="dxa"/>
            <w:vAlign w:val="center"/>
          </w:tcPr>
          <w:p>
            <w:pPr>
              <w:widowControl/>
              <w:spacing w:line="300" w:lineRule="exact"/>
              <w:jc w:val="center"/>
              <w:rPr>
                <w:kern w:val="0"/>
                <w:highlight w:val="none"/>
              </w:rPr>
            </w:pPr>
            <w:r>
              <w:rPr>
                <w:kern w:val="0"/>
                <w:highlight w:val="none"/>
              </w:rPr>
              <w:t>升压站</w:t>
            </w:r>
          </w:p>
        </w:tc>
        <w:tc>
          <w:tcPr>
            <w:tcW w:w="2220" w:type="dxa"/>
            <w:vAlign w:val="center"/>
          </w:tcPr>
          <w:p>
            <w:pPr>
              <w:widowControl/>
              <w:spacing w:line="300" w:lineRule="exact"/>
              <w:jc w:val="center"/>
              <w:rPr>
                <w:highlight w:val="none"/>
              </w:rPr>
            </w:pPr>
            <w:r>
              <w:rPr>
                <w:rFonts w:hAnsi="宋体"/>
                <w:kern w:val="0"/>
                <w:sz w:val="21"/>
                <w:highlight w:val="none"/>
              </w:rPr>
              <w:t>位于厂房下上游侧</w:t>
            </w:r>
          </w:p>
        </w:tc>
        <w:tc>
          <w:tcPr>
            <w:tcW w:w="4395" w:type="dxa"/>
            <w:vAlign w:val="top"/>
          </w:tcPr>
          <w:p>
            <w:pPr>
              <w:widowControl/>
              <w:spacing w:line="300" w:lineRule="exact"/>
              <w:rPr>
                <w:highlight w:val="none"/>
              </w:rPr>
            </w:pPr>
            <w:r>
              <w:rPr>
                <w:rFonts w:hAnsi="宋体"/>
                <w:sz w:val="21"/>
                <w:highlight w:val="none"/>
              </w:rPr>
              <w:t>长</w:t>
            </w:r>
            <w:r>
              <w:rPr>
                <w:sz w:val="21"/>
                <w:highlight w:val="none"/>
              </w:rPr>
              <w:t>20m</w:t>
            </w:r>
            <w:r>
              <w:rPr>
                <w:rFonts w:hAnsi="宋体"/>
                <w:sz w:val="21"/>
                <w:highlight w:val="none"/>
              </w:rPr>
              <w:t>，宽</w:t>
            </w:r>
            <w:r>
              <w:rPr>
                <w:sz w:val="21"/>
                <w:highlight w:val="none"/>
              </w:rPr>
              <w:t>10m</w:t>
            </w:r>
            <w:r>
              <w:rPr>
                <w:rFonts w:hAnsi="宋体"/>
                <w:sz w:val="21"/>
                <w:highlight w:val="none"/>
              </w:rPr>
              <w:t>，地面高程为</w:t>
            </w:r>
            <w:r>
              <w:rPr>
                <w:sz w:val="21"/>
                <w:highlight w:val="none"/>
              </w:rPr>
              <w:t>80.36m</w:t>
            </w:r>
            <w:r>
              <w:rPr>
                <w:rFonts w:hAnsi="宋体"/>
                <w:sz w:val="21"/>
                <w:highlight w:val="none"/>
              </w:rPr>
              <w:t>，安装高程</w:t>
            </w:r>
            <w:r>
              <w:rPr>
                <w:sz w:val="21"/>
                <w:highlight w:val="none"/>
              </w:rPr>
              <w:t>81.16m</w:t>
            </w:r>
            <w:r>
              <w:rPr>
                <w:rFonts w:hAnsi="宋体"/>
                <w:sz w:val="21"/>
                <w:highlight w:val="none"/>
              </w:rPr>
              <w:t>，户外露天布置。并网线路长</w:t>
            </w:r>
            <w:r>
              <w:rPr>
                <w:sz w:val="21"/>
                <w:highlight w:val="none"/>
              </w:rPr>
              <w:t>6</w:t>
            </w:r>
            <w:r>
              <w:rPr>
                <w:rFonts w:hAnsi="宋体"/>
                <w:sz w:val="21"/>
                <w:highlight w:val="none"/>
              </w:rPr>
              <w:t>，</w:t>
            </w:r>
            <w:r>
              <w:rPr>
                <w:sz w:val="21"/>
                <w:highlight w:val="none"/>
              </w:rPr>
              <w:t>5km</w:t>
            </w:r>
            <w:r>
              <w:rPr>
                <w:rFonts w:hAnsi="宋体"/>
                <w:sz w:val="21"/>
                <w:highlight w:val="none"/>
              </w:rPr>
              <w:t>，电压等级为</w:t>
            </w:r>
            <w:r>
              <w:rPr>
                <w:sz w:val="21"/>
                <w:highlight w:val="none"/>
              </w:rPr>
              <w:t>11kv</w:t>
            </w:r>
            <w:r>
              <w:rPr>
                <w:rFonts w:hAnsi="宋体"/>
                <w:sz w:val="21"/>
                <w:highlight w:val="none"/>
              </w:rPr>
              <w:t>，接入崔家庄</w:t>
            </w:r>
            <w:r>
              <w:rPr>
                <w:sz w:val="21"/>
                <w:highlight w:val="none"/>
              </w:rPr>
              <w:t>35kv</w:t>
            </w:r>
            <w:r>
              <w:rPr>
                <w:rFonts w:hAnsi="宋体"/>
                <w:sz w:val="21"/>
                <w:highlight w:val="none"/>
              </w:rPr>
              <w:t>变电站。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8" w:hRule="atLeast"/>
          <w:jc w:val="center"/>
        </w:trPr>
        <w:tc>
          <w:tcPr>
            <w:tcW w:w="702" w:type="dxa"/>
            <w:vMerge w:val="continue"/>
            <w:vAlign w:val="center"/>
          </w:tcPr>
          <w:p>
            <w:pPr>
              <w:widowControl/>
              <w:spacing w:line="300" w:lineRule="exact"/>
              <w:jc w:val="left"/>
              <w:rPr>
                <w:b/>
                <w:kern w:val="0"/>
                <w:highlight w:val="none"/>
              </w:rPr>
            </w:pPr>
          </w:p>
        </w:tc>
        <w:tc>
          <w:tcPr>
            <w:tcW w:w="1118" w:type="dxa"/>
            <w:vAlign w:val="center"/>
          </w:tcPr>
          <w:p>
            <w:pPr>
              <w:widowControl/>
              <w:spacing w:line="300" w:lineRule="exact"/>
              <w:jc w:val="center"/>
              <w:rPr>
                <w:kern w:val="0"/>
                <w:highlight w:val="none"/>
              </w:rPr>
            </w:pPr>
            <w:r>
              <w:rPr>
                <w:kern w:val="0"/>
                <w:highlight w:val="none"/>
              </w:rPr>
              <w:t>尾水渠</w:t>
            </w:r>
          </w:p>
        </w:tc>
        <w:tc>
          <w:tcPr>
            <w:tcW w:w="2220" w:type="dxa"/>
            <w:vAlign w:val="center"/>
          </w:tcPr>
          <w:p>
            <w:pPr>
              <w:widowControl/>
              <w:spacing w:line="300" w:lineRule="exact"/>
              <w:rPr>
                <w:highlight w:val="none"/>
              </w:rPr>
            </w:pPr>
            <w:r>
              <w:rPr>
                <w:rFonts w:hint="eastAsia"/>
                <w:highlight w:val="none"/>
              </w:rPr>
              <w:t>尾水渠上段位于河道右堤外</w:t>
            </w:r>
          </w:p>
        </w:tc>
        <w:tc>
          <w:tcPr>
            <w:tcW w:w="4395" w:type="dxa"/>
          </w:tcPr>
          <w:p>
            <w:pPr>
              <w:snapToGrid w:val="0"/>
              <w:spacing w:line="300" w:lineRule="exact"/>
              <w:rPr>
                <w:highlight w:val="none"/>
              </w:rPr>
            </w:pPr>
            <w:r>
              <w:rPr>
                <w:highlight w:val="none"/>
              </w:rPr>
              <w:t>为矩形过水断面，底宽15m，下游位于河床内,为梯形过水断面，底宽53.5m，边坡1：3。渠底首端高程74.30m, 最大挖深11.4m,设计流量60m</w:t>
            </w:r>
            <w:r>
              <w:rPr>
                <w:highlight w:val="none"/>
                <w:vertAlign w:val="superscript"/>
              </w:rPr>
              <w:t>3</w:t>
            </w:r>
            <w:r>
              <w:rPr>
                <w:highlight w:val="none"/>
              </w:rPr>
              <w:t>/s</w:t>
            </w:r>
            <w:r>
              <w:rPr>
                <w:rFonts w:hint="eastAsia"/>
                <w:highlight w:val="none"/>
              </w:rPr>
              <w:t>，</w:t>
            </w:r>
            <w:r>
              <w:rPr>
                <w:color w:val="000000"/>
                <w:highlight w:val="none"/>
              </w:rPr>
              <w:t>渠底末端高程74.92m,设计水深1.00m,边坡1:3.0,设计纵坡1/2000,长度440.76m</w:t>
            </w:r>
            <w:r>
              <w:rPr>
                <w:highlight w:val="non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0" w:hRule="atLeast"/>
          <w:jc w:val="center"/>
        </w:trPr>
        <w:tc>
          <w:tcPr>
            <w:tcW w:w="702" w:type="dxa"/>
            <w:vMerge w:val="restart"/>
            <w:vAlign w:val="center"/>
          </w:tcPr>
          <w:p>
            <w:pPr>
              <w:widowControl/>
              <w:spacing w:line="300" w:lineRule="exact"/>
              <w:jc w:val="center"/>
              <w:rPr>
                <w:kern w:val="0"/>
                <w:highlight w:val="none"/>
              </w:rPr>
            </w:pPr>
            <w:r>
              <w:rPr>
                <w:kern w:val="0"/>
                <w:highlight w:val="none"/>
              </w:rPr>
              <w:t>配套工程</w:t>
            </w:r>
          </w:p>
        </w:tc>
        <w:tc>
          <w:tcPr>
            <w:tcW w:w="1118" w:type="dxa"/>
            <w:vAlign w:val="center"/>
          </w:tcPr>
          <w:p>
            <w:pPr>
              <w:widowControl/>
              <w:spacing w:line="300" w:lineRule="exact"/>
              <w:jc w:val="center"/>
              <w:rPr>
                <w:kern w:val="0"/>
                <w:sz w:val="21"/>
                <w:highlight w:val="none"/>
              </w:rPr>
            </w:pPr>
            <w:r>
              <w:rPr>
                <w:rFonts w:hAnsi="宋体"/>
                <w:kern w:val="0"/>
                <w:sz w:val="21"/>
                <w:highlight w:val="none"/>
              </w:rPr>
              <w:t>值班</w:t>
            </w:r>
          </w:p>
          <w:p>
            <w:pPr>
              <w:widowControl/>
              <w:spacing w:line="300" w:lineRule="exact"/>
              <w:jc w:val="center"/>
              <w:rPr>
                <w:rFonts w:ascii="Times New Roman" w:hAnsi="Times New Roman" w:eastAsia="宋体" w:cs="Times New Roman"/>
                <w:kern w:val="0"/>
                <w:sz w:val="21"/>
                <w:szCs w:val="24"/>
                <w:highlight w:val="none"/>
                <w:lang w:val="en-US" w:eastAsia="zh-CN" w:bidi="ar-SA"/>
              </w:rPr>
            </w:pPr>
            <w:r>
              <w:rPr>
                <w:rFonts w:hAnsi="宋体"/>
                <w:kern w:val="0"/>
                <w:sz w:val="21"/>
                <w:highlight w:val="none"/>
              </w:rPr>
              <w:t>设施</w:t>
            </w:r>
          </w:p>
        </w:tc>
        <w:tc>
          <w:tcPr>
            <w:tcW w:w="6615" w:type="dxa"/>
            <w:gridSpan w:val="2"/>
            <w:vAlign w:val="center"/>
          </w:tcPr>
          <w:p>
            <w:pPr>
              <w:widowControl/>
              <w:spacing w:line="300" w:lineRule="exact"/>
              <w:rPr>
                <w:rFonts w:ascii="Times New Roman" w:hAnsi="Times New Roman" w:eastAsia="宋体" w:cs="Times New Roman"/>
                <w:kern w:val="0"/>
                <w:sz w:val="21"/>
                <w:szCs w:val="24"/>
                <w:highlight w:val="none"/>
                <w:lang w:val="en-US" w:eastAsia="zh-CN" w:bidi="ar-SA"/>
              </w:rPr>
            </w:pPr>
            <w:r>
              <w:rPr>
                <w:rFonts w:hAnsi="宋体"/>
                <w:kern w:val="0"/>
                <w:sz w:val="21"/>
                <w:highlight w:val="none"/>
              </w:rPr>
              <w:t>位于发电厂房内。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51" w:hRule="atLeast"/>
          <w:jc w:val="center"/>
        </w:trPr>
        <w:tc>
          <w:tcPr>
            <w:tcW w:w="702" w:type="dxa"/>
            <w:vMerge w:val="restart"/>
            <w:vAlign w:val="center"/>
          </w:tcPr>
          <w:p>
            <w:pPr>
              <w:widowControl/>
              <w:spacing w:line="300" w:lineRule="exact"/>
              <w:jc w:val="center"/>
              <w:rPr>
                <w:kern w:val="0"/>
                <w:highlight w:val="none"/>
              </w:rPr>
            </w:pPr>
            <w:r>
              <w:rPr>
                <w:kern w:val="0"/>
                <w:highlight w:val="none"/>
              </w:rPr>
              <w:t>公用工程</w:t>
            </w:r>
          </w:p>
        </w:tc>
        <w:tc>
          <w:tcPr>
            <w:tcW w:w="1118" w:type="dxa"/>
            <w:vAlign w:val="center"/>
          </w:tcPr>
          <w:p>
            <w:pPr>
              <w:widowControl/>
              <w:spacing w:line="300" w:lineRule="exact"/>
              <w:jc w:val="center"/>
              <w:rPr>
                <w:kern w:val="0"/>
                <w:highlight w:val="none"/>
              </w:rPr>
            </w:pPr>
            <w:r>
              <w:rPr>
                <w:kern w:val="0"/>
                <w:highlight w:val="none"/>
              </w:rPr>
              <w:t>供水</w:t>
            </w:r>
          </w:p>
        </w:tc>
        <w:tc>
          <w:tcPr>
            <w:tcW w:w="6615" w:type="dxa"/>
            <w:gridSpan w:val="2"/>
            <w:vAlign w:val="center"/>
          </w:tcPr>
          <w:p>
            <w:pPr>
              <w:widowControl/>
              <w:spacing w:line="300" w:lineRule="exact"/>
              <w:rPr>
                <w:kern w:val="0"/>
                <w:highlight w:val="none"/>
              </w:rPr>
            </w:pPr>
            <w:r>
              <w:rPr>
                <w:kern w:val="0"/>
                <w:highlight w:val="none"/>
              </w:rPr>
              <w:t>机组冷却水取用黎河河水，生活饮用水外购桶装水。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702" w:type="dxa"/>
            <w:vMerge w:val="continue"/>
            <w:vAlign w:val="center"/>
          </w:tcPr>
          <w:p>
            <w:pPr>
              <w:widowControl/>
              <w:spacing w:line="300" w:lineRule="exact"/>
              <w:jc w:val="center"/>
              <w:rPr>
                <w:kern w:val="0"/>
                <w:highlight w:val="none"/>
              </w:rPr>
            </w:pPr>
          </w:p>
        </w:tc>
        <w:tc>
          <w:tcPr>
            <w:tcW w:w="1118" w:type="dxa"/>
            <w:vAlign w:val="center"/>
          </w:tcPr>
          <w:p>
            <w:pPr>
              <w:widowControl/>
              <w:spacing w:line="300" w:lineRule="exact"/>
              <w:jc w:val="center"/>
              <w:rPr>
                <w:kern w:val="0"/>
                <w:highlight w:val="none"/>
              </w:rPr>
            </w:pPr>
            <w:r>
              <w:rPr>
                <w:kern w:val="0"/>
                <w:highlight w:val="none"/>
              </w:rPr>
              <w:t>供电</w:t>
            </w:r>
          </w:p>
        </w:tc>
        <w:tc>
          <w:tcPr>
            <w:tcW w:w="6615" w:type="dxa"/>
            <w:gridSpan w:val="2"/>
            <w:vAlign w:val="center"/>
          </w:tcPr>
          <w:p>
            <w:pPr>
              <w:widowControl/>
              <w:spacing w:line="300" w:lineRule="exact"/>
              <w:rPr>
                <w:kern w:val="0"/>
                <w:highlight w:val="none"/>
              </w:rPr>
            </w:pPr>
            <w:r>
              <w:rPr>
                <w:kern w:val="0"/>
                <w:highlight w:val="none"/>
              </w:rPr>
              <w:t>由厂内发电机组供电，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5" w:hRule="atLeast"/>
          <w:jc w:val="center"/>
        </w:trPr>
        <w:tc>
          <w:tcPr>
            <w:tcW w:w="702" w:type="dxa"/>
            <w:vMerge w:val="restart"/>
            <w:vAlign w:val="center"/>
          </w:tcPr>
          <w:p>
            <w:pPr>
              <w:widowControl/>
              <w:spacing w:line="300" w:lineRule="exact"/>
              <w:jc w:val="center"/>
              <w:rPr>
                <w:kern w:val="0"/>
                <w:highlight w:val="none"/>
              </w:rPr>
            </w:pPr>
            <w:r>
              <w:rPr>
                <w:kern w:val="0"/>
                <w:highlight w:val="none"/>
              </w:rPr>
              <w:t>环保工程</w:t>
            </w:r>
          </w:p>
        </w:tc>
        <w:tc>
          <w:tcPr>
            <w:tcW w:w="1118" w:type="dxa"/>
            <w:vAlign w:val="center"/>
          </w:tcPr>
          <w:p>
            <w:pPr>
              <w:widowControl/>
              <w:spacing w:line="300" w:lineRule="exact"/>
              <w:jc w:val="center"/>
              <w:rPr>
                <w:kern w:val="0"/>
                <w:highlight w:val="none"/>
              </w:rPr>
            </w:pPr>
            <w:r>
              <w:rPr>
                <w:rFonts w:hint="eastAsia"/>
                <w:kern w:val="0"/>
                <w:highlight w:val="none"/>
              </w:rPr>
              <w:t>废水</w:t>
            </w:r>
          </w:p>
        </w:tc>
        <w:tc>
          <w:tcPr>
            <w:tcW w:w="6615" w:type="dxa"/>
            <w:gridSpan w:val="2"/>
            <w:vAlign w:val="center"/>
          </w:tcPr>
          <w:p>
            <w:pPr>
              <w:spacing w:line="300" w:lineRule="exact"/>
              <w:rPr>
                <w:kern w:val="0"/>
                <w:highlight w:val="none"/>
              </w:rPr>
            </w:pPr>
            <w:r>
              <w:rPr>
                <w:rFonts w:hint="eastAsia"/>
                <w:kern w:val="0"/>
                <w:highlight w:val="none"/>
              </w:rPr>
              <w:t>生活污水：建设</w:t>
            </w:r>
            <w:r>
              <w:rPr>
                <w:szCs w:val="21"/>
                <w:highlight w:val="none"/>
              </w:rPr>
              <w:t>化粪池1座</w:t>
            </w:r>
            <w:r>
              <w:rPr>
                <w:rFonts w:hint="eastAsia"/>
                <w:szCs w:val="21"/>
                <w:highlight w:val="none"/>
              </w:rPr>
              <w:t>，</w:t>
            </w:r>
            <w:r>
              <w:rPr>
                <w:szCs w:val="21"/>
                <w:highlight w:val="none"/>
              </w:rPr>
              <w:t>有效容积约3m</w:t>
            </w:r>
            <w:r>
              <w:rPr>
                <w:szCs w:val="21"/>
                <w:highlight w:val="none"/>
                <w:vertAlign w:val="superscript"/>
              </w:rPr>
              <w:t>3</w:t>
            </w:r>
            <w:r>
              <w:rPr>
                <w:rFonts w:hint="eastAsia"/>
                <w:szCs w:val="21"/>
                <w:highlight w:val="none"/>
              </w:rPr>
              <w:t>。</w:t>
            </w:r>
            <w:r>
              <w:rPr>
                <w:rFonts w:hint="eastAsia"/>
                <w:kern w:val="0"/>
                <w:highlight w:val="none"/>
              </w:rPr>
              <w:t>采取化粪池方式进行收集，</w:t>
            </w:r>
            <w:r>
              <w:rPr>
                <w:rFonts w:hint="eastAsia"/>
                <w:color w:val="auto"/>
                <w:kern w:val="0"/>
                <w:highlight w:val="none"/>
                <w:lang w:eastAsia="zh-CN"/>
              </w:rPr>
              <w:t>由环卫部门定期清掏</w:t>
            </w:r>
            <w:r>
              <w:rPr>
                <w:rFonts w:hint="eastAsia"/>
                <w:color w:val="auto"/>
                <w:kern w:val="0"/>
                <w:highlight w:val="non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0" w:hRule="atLeast"/>
          <w:jc w:val="center"/>
        </w:trPr>
        <w:tc>
          <w:tcPr>
            <w:tcW w:w="702" w:type="dxa"/>
            <w:vMerge w:val="continue"/>
            <w:vAlign w:val="center"/>
          </w:tcPr>
          <w:p>
            <w:pPr>
              <w:widowControl/>
              <w:spacing w:line="300" w:lineRule="exact"/>
              <w:jc w:val="center"/>
              <w:rPr>
                <w:kern w:val="0"/>
                <w:highlight w:val="none"/>
              </w:rPr>
            </w:pPr>
          </w:p>
        </w:tc>
        <w:tc>
          <w:tcPr>
            <w:tcW w:w="1118" w:type="dxa"/>
            <w:vAlign w:val="center"/>
          </w:tcPr>
          <w:p>
            <w:pPr>
              <w:widowControl/>
              <w:spacing w:line="300" w:lineRule="exact"/>
              <w:jc w:val="center"/>
              <w:rPr>
                <w:kern w:val="0"/>
                <w:highlight w:val="none"/>
              </w:rPr>
            </w:pPr>
            <w:r>
              <w:rPr>
                <w:rFonts w:hint="eastAsia"/>
                <w:kern w:val="0"/>
                <w:highlight w:val="none"/>
              </w:rPr>
              <w:t>废气</w:t>
            </w:r>
          </w:p>
        </w:tc>
        <w:tc>
          <w:tcPr>
            <w:tcW w:w="6615" w:type="dxa"/>
            <w:gridSpan w:val="2"/>
            <w:vAlign w:val="center"/>
          </w:tcPr>
          <w:p>
            <w:pPr>
              <w:spacing w:line="300" w:lineRule="exact"/>
              <w:rPr>
                <w:kern w:val="0"/>
                <w:highlight w:val="none"/>
              </w:rPr>
            </w:pPr>
            <w:r>
              <w:rPr>
                <w:rFonts w:hint="eastAsia"/>
                <w:kern w:val="0"/>
                <w:highlight w:val="none"/>
              </w:rPr>
              <w:t>本项目生产过程无废气排放；不设食堂，无食堂油烟排放。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0" w:hRule="atLeast"/>
          <w:jc w:val="center"/>
        </w:trPr>
        <w:tc>
          <w:tcPr>
            <w:tcW w:w="702" w:type="dxa"/>
            <w:vMerge w:val="continue"/>
            <w:vAlign w:val="center"/>
          </w:tcPr>
          <w:p>
            <w:pPr>
              <w:widowControl/>
              <w:spacing w:line="300" w:lineRule="exact"/>
              <w:jc w:val="center"/>
              <w:rPr>
                <w:kern w:val="0"/>
                <w:highlight w:val="none"/>
              </w:rPr>
            </w:pPr>
          </w:p>
        </w:tc>
        <w:tc>
          <w:tcPr>
            <w:tcW w:w="1118" w:type="dxa"/>
            <w:vAlign w:val="center"/>
          </w:tcPr>
          <w:p>
            <w:pPr>
              <w:widowControl/>
              <w:spacing w:line="300" w:lineRule="exact"/>
              <w:jc w:val="center"/>
              <w:rPr>
                <w:kern w:val="0"/>
                <w:highlight w:val="none"/>
              </w:rPr>
            </w:pPr>
            <w:r>
              <w:rPr>
                <w:rFonts w:hint="eastAsia"/>
                <w:kern w:val="0"/>
                <w:highlight w:val="none"/>
              </w:rPr>
              <w:t>噪声</w:t>
            </w:r>
          </w:p>
        </w:tc>
        <w:tc>
          <w:tcPr>
            <w:tcW w:w="6615" w:type="dxa"/>
            <w:gridSpan w:val="2"/>
            <w:vAlign w:val="center"/>
          </w:tcPr>
          <w:p>
            <w:pPr>
              <w:spacing w:line="300" w:lineRule="exact"/>
              <w:rPr>
                <w:kern w:val="0"/>
                <w:highlight w:val="none"/>
              </w:rPr>
            </w:pPr>
            <w:r>
              <w:rPr>
                <w:rFonts w:hint="eastAsia"/>
                <w:kern w:val="0"/>
                <w:highlight w:val="none"/>
              </w:rPr>
              <w:t>机电设备采用减震基座，设置在专门的机房内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0" w:hRule="atLeast"/>
          <w:jc w:val="center"/>
        </w:trPr>
        <w:tc>
          <w:tcPr>
            <w:tcW w:w="702" w:type="dxa"/>
            <w:vMerge w:val="continue"/>
            <w:vAlign w:val="center"/>
          </w:tcPr>
          <w:p>
            <w:pPr>
              <w:widowControl/>
              <w:spacing w:line="300" w:lineRule="exact"/>
              <w:jc w:val="center"/>
              <w:rPr>
                <w:b/>
                <w:kern w:val="0"/>
                <w:highlight w:val="none"/>
              </w:rPr>
            </w:pPr>
          </w:p>
        </w:tc>
        <w:tc>
          <w:tcPr>
            <w:tcW w:w="1118" w:type="dxa"/>
            <w:vAlign w:val="center"/>
          </w:tcPr>
          <w:p>
            <w:pPr>
              <w:widowControl/>
              <w:spacing w:line="300" w:lineRule="exact"/>
              <w:jc w:val="center"/>
              <w:rPr>
                <w:kern w:val="0"/>
                <w:highlight w:val="none"/>
              </w:rPr>
            </w:pPr>
            <w:r>
              <w:rPr>
                <w:rFonts w:hint="eastAsia"/>
                <w:kern w:val="0"/>
                <w:highlight w:val="none"/>
              </w:rPr>
              <w:t>一般固废</w:t>
            </w:r>
          </w:p>
        </w:tc>
        <w:tc>
          <w:tcPr>
            <w:tcW w:w="6615" w:type="dxa"/>
            <w:gridSpan w:val="2"/>
            <w:vAlign w:val="center"/>
          </w:tcPr>
          <w:p>
            <w:pPr>
              <w:widowControl/>
              <w:spacing w:line="300" w:lineRule="exact"/>
              <w:rPr>
                <w:kern w:val="0"/>
                <w:highlight w:val="none"/>
              </w:rPr>
            </w:pPr>
            <w:r>
              <w:rPr>
                <w:rFonts w:hint="eastAsia"/>
                <w:kern w:val="0"/>
                <w:highlight w:val="none"/>
              </w:rPr>
              <w:t>生活垃圾、漂浮物设垃圾收集桶，统一收集，定期交环卫部门处理</w:t>
            </w:r>
            <w:r>
              <w:rPr>
                <w:kern w:val="0"/>
                <w:highlight w:val="non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52" w:hRule="atLeast"/>
          <w:jc w:val="center"/>
        </w:trPr>
        <w:tc>
          <w:tcPr>
            <w:tcW w:w="702" w:type="dxa"/>
            <w:vAlign w:val="center"/>
          </w:tcPr>
          <w:p>
            <w:pPr>
              <w:widowControl/>
              <w:spacing w:line="300" w:lineRule="exact"/>
              <w:jc w:val="center"/>
              <w:rPr>
                <w:kern w:val="0"/>
                <w:highlight w:val="none"/>
              </w:rPr>
            </w:pPr>
            <w:r>
              <w:rPr>
                <w:kern w:val="0"/>
                <w:highlight w:val="none"/>
              </w:rPr>
              <w:t>防渗</w:t>
            </w:r>
          </w:p>
        </w:tc>
        <w:tc>
          <w:tcPr>
            <w:tcW w:w="1118" w:type="dxa"/>
            <w:vAlign w:val="center"/>
          </w:tcPr>
          <w:p>
            <w:pPr>
              <w:widowControl/>
              <w:spacing w:line="300" w:lineRule="exact"/>
              <w:jc w:val="center"/>
              <w:rPr>
                <w:kern w:val="0"/>
                <w:highlight w:val="none"/>
              </w:rPr>
            </w:pPr>
            <w:r>
              <w:rPr>
                <w:kern w:val="0"/>
                <w:highlight w:val="none"/>
              </w:rPr>
              <w:t>化粪池</w:t>
            </w:r>
          </w:p>
        </w:tc>
        <w:tc>
          <w:tcPr>
            <w:tcW w:w="6615" w:type="dxa"/>
            <w:gridSpan w:val="2"/>
            <w:vAlign w:val="center"/>
          </w:tcPr>
          <w:p>
            <w:pPr>
              <w:widowControl/>
              <w:spacing w:line="300" w:lineRule="exact"/>
              <w:rPr>
                <w:szCs w:val="21"/>
                <w:highlight w:val="none"/>
              </w:rPr>
            </w:pPr>
            <w:r>
              <w:rPr>
                <w:kern w:val="0"/>
                <w:highlight w:val="none"/>
              </w:rPr>
              <w:t>化粪池</w:t>
            </w:r>
            <w:r>
              <w:rPr>
                <w:szCs w:val="21"/>
                <w:highlight w:val="none"/>
              </w:rPr>
              <w:t>：</w:t>
            </w:r>
            <w:r>
              <w:rPr>
                <w:szCs w:val="21"/>
                <w:highlight w:val="none"/>
                <w:lang w:val="zh-CN"/>
              </w:rPr>
              <w:t>化粪池尺寸2m×1.5m×1m，防渗使用三七灰土夯实后，铺设200mm厚抗渗混凝土，上面玻璃纤维防水材料。防渗层渗透系数小于1×10</w:t>
            </w:r>
            <w:r>
              <w:rPr>
                <w:szCs w:val="21"/>
                <w:highlight w:val="none"/>
                <w:vertAlign w:val="superscript"/>
                <w:lang w:val="zh-CN"/>
              </w:rPr>
              <w:t>-10</w:t>
            </w:r>
            <w:r>
              <w:rPr>
                <w:szCs w:val="21"/>
                <w:highlight w:val="none"/>
                <w:lang w:val="zh-CN"/>
              </w:rPr>
              <w:t>cm/s。</w:t>
            </w:r>
          </w:p>
        </w:tc>
      </w:tr>
    </w:tbl>
    <w:p>
      <w:pPr>
        <w:tabs>
          <w:tab w:val="left" w:pos="5400"/>
        </w:tabs>
        <w:spacing w:line="480" w:lineRule="exact"/>
        <w:jc w:val="center"/>
        <w:rPr>
          <w:b/>
          <w:sz w:val="24"/>
          <w:highlight w:val="none"/>
        </w:rPr>
      </w:pPr>
      <w:r>
        <w:rPr>
          <w:rFonts w:hint="eastAsia"/>
          <w:b/>
          <w:sz w:val="24"/>
          <w:highlight w:val="none"/>
        </w:rPr>
        <w:t>表2</w:t>
      </w:r>
      <w:r>
        <w:rPr>
          <w:b/>
          <w:sz w:val="24"/>
          <w:highlight w:val="none"/>
        </w:rPr>
        <w:t>.</w:t>
      </w:r>
      <w:r>
        <w:rPr>
          <w:rFonts w:hint="eastAsia"/>
          <w:b/>
          <w:sz w:val="24"/>
          <w:highlight w:val="none"/>
          <w:lang w:val="en-US" w:eastAsia="zh-CN"/>
        </w:rPr>
        <w:t>5</w:t>
      </w:r>
      <w:r>
        <w:rPr>
          <w:b/>
          <w:sz w:val="24"/>
          <w:highlight w:val="none"/>
        </w:rPr>
        <w:t>-2  项目主要构建筑物一览表</w:t>
      </w:r>
    </w:p>
    <w:tbl>
      <w:tblPr>
        <w:tblStyle w:val="5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1134"/>
        <w:gridCol w:w="1418"/>
        <w:gridCol w:w="1276"/>
        <w:gridCol w:w="1984"/>
        <w:gridCol w:w="1134"/>
        <w:gridCol w:w="8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tabs>
                <w:tab w:val="left" w:pos="1080"/>
              </w:tabs>
              <w:spacing w:line="320" w:lineRule="exact"/>
              <w:jc w:val="center"/>
              <w:rPr>
                <w:szCs w:val="21"/>
                <w:highlight w:val="none"/>
              </w:rPr>
            </w:pPr>
            <w:r>
              <w:rPr>
                <w:szCs w:val="21"/>
                <w:highlight w:val="none"/>
              </w:rPr>
              <w:t>序号</w:t>
            </w:r>
          </w:p>
        </w:tc>
        <w:tc>
          <w:tcPr>
            <w:tcW w:w="2552" w:type="dxa"/>
            <w:gridSpan w:val="2"/>
            <w:vAlign w:val="center"/>
          </w:tcPr>
          <w:p>
            <w:pPr>
              <w:tabs>
                <w:tab w:val="left" w:pos="1080"/>
              </w:tabs>
              <w:spacing w:line="320" w:lineRule="exact"/>
              <w:jc w:val="center"/>
              <w:rPr>
                <w:szCs w:val="21"/>
                <w:highlight w:val="none"/>
              </w:rPr>
            </w:pPr>
            <w:r>
              <w:rPr>
                <w:szCs w:val="21"/>
                <w:highlight w:val="none"/>
              </w:rPr>
              <w:t>建筑物名称</w:t>
            </w:r>
          </w:p>
        </w:tc>
        <w:tc>
          <w:tcPr>
            <w:tcW w:w="1276" w:type="dxa"/>
            <w:vAlign w:val="center"/>
          </w:tcPr>
          <w:p>
            <w:pPr>
              <w:tabs>
                <w:tab w:val="left" w:pos="1080"/>
              </w:tabs>
              <w:spacing w:line="320" w:lineRule="exact"/>
              <w:jc w:val="center"/>
              <w:rPr>
                <w:szCs w:val="21"/>
                <w:highlight w:val="none"/>
              </w:rPr>
            </w:pPr>
            <w:r>
              <w:rPr>
                <w:szCs w:val="21"/>
                <w:highlight w:val="none"/>
              </w:rPr>
              <w:t>建筑面积</w:t>
            </w:r>
          </w:p>
        </w:tc>
        <w:tc>
          <w:tcPr>
            <w:tcW w:w="1984" w:type="dxa"/>
            <w:vAlign w:val="center"/>
          </w:tcPr>
          <w:p>
            <w:pPr>
              <w:tabs>
                <w:tab w:val="left" w:pos="1080"/>
              </w:tabs>
              <w:spacing w:line="320" w:lineRule="exact"/>
              <w:jc w:val="center"/>
              <w:rPr>
                <w:szCs w:val="21"/>
                <w:highlight w:val="none"/>
              </w:rPr>
            </w:pPr>
            <w:r>
              <w:rPr>
                <w:szCs w:val="21"/>
                <w:highlight w:val="none"/>
              </w:rPr>
              <w:t>建筑尺寸（长宽高）</w:t>
            </w:r>
          </w:p>
        </w:tc>
        <w:tc>
          <w:tcPr>
            <w:tcW w:w="1134" w:type="dxa"/>
            <w:vAlign w:val="center"/>
          </w:tcPr>
          <w:p>
            <w:pPr>
              <w:tabs>
                <w:tab w:val="left" w:pos="1080"/>
              </w:tabs>
              <w:spacing w:line="320" w:lineRule="exact"/>
              <w:jc w:val="center"/>
              <w:rPr>
                <w:szCs w:val="21"/>
                <w:highlight w:val="none"/>
              </w:rPr>
            </w:pPr>
            <w:r>
              <w:rPr>
                <w:szCs w:val="21"/>
                <w:highlight w:val="none"/>
              </w:rPr>
              <w:t>结构形式</w:t>
            </w:r>
          </w:p>
        </w:tc>
        <w:tc>
          <w:tcPr>
            <w:tcW w:w="875" w:type="dxa"/>
            <w:vAlign w:val="center"/>
          </w:tcPr>
          <w:p>
            <w:pPr>
              <w:tabs>
                <w:tab w:val="left" w:pos="1080"/>
              </w:tabs>
              <w:spacing w:line="320" w:lineRule="exact"/>
              <w:jc w:val="center"/>
              <w:rPr>
                <w:szCs w:val="21"/>
                <w:highlight w:val="none"/>
              </w:rPr>
            </w:pPr>
            <w:r>
              <w:rPr>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675" w:type="dxa"/>
            <w:vMerge w:val="restart"/>
            <w:vAlign w:val="center"/>
          </w:tcPr>
          <w:p>
            <w:pPr>
              <w:tabs>
                <w:tab w:val="left" w:pos="1080"/>
              </w:tabs>
              <w:spacing w:line="320" w:lineRule="exact"/>
              <w:jc w:val="center"/>
              <w:rPr>
                <w:szCs w:val="21"/>
                <w:highlight w:val="none"/>
              </w:rPr>
            </w:pPr>
            <w:r>
              <w:rPr>
                <w:szCs w:val="21"/>
                <w:highlight w:val="none"/>
              </w:rPr>
              <w:t>1</w:t>
            </w:r>
          </w:p>
        </w:tc>
        <w:tc>
          <w:tcPr>
            <w:tcW w:w="1134" w:type="dxa"/>
            <w:vMerge w:val="restart"/>
            <w:vAlign w:val="center"/>
          </w:tcPr>
          <w:p>
            <w:pPr>
              <w:tabs>
                <w:tab w:val="left" w:pos="1080"/>
              </w:tabs>
              <w:spacing w:line="320" w:lineRule="exact"/>
              <w:jc w:val="center"/>
              <w:rPr>
                <w:szCs w:val="21"/>
                <w:highlight w:val="none"/>
              </w:rPr>
            </w:pPr>
            <w:r>
              <w:rPr>
                <w:szCs w:val="21"/>
                <w:highlight w:val="none"/>
              </w:rPr>
              <w:t>主体工程</w:t>
            </w:r>
          </w:p>
        </w:tc>
        <w:tc>
          <w:tcPr>
            <w:tcW w:w="1418" w:type="dxa"/>
            <w:vAlign w:val="center"/>
          </w:tcPr>
          <w:p>
            <w:pPr>
              <w:tabs>
                <w:tab w:val="left" w:pos="1080"/>
              </w:tabs>
              <w:spacing w:line="320" w:lineRule="exact"/>
              <w:jc w:val="center"/>
              <w:rPr>
                <w:szCs w:val="21"/>
                <w:highlight w:val="none"/>
              </w:rPr>
            </w:pPr>
            <w:r>
              <w:rPr>
                <w:rFonts w:hint="eastAsia"/>
                <w:szCs w:val="21"/>
                <w:highlight w:val="none"/>
                <w:lang w:eastAsia="zh-CN"/>
              </w:rPr>
              <w:t>主</w:t>
            </w:r>
            <w:r>
              <w:rPr>
                <w:szCs w:val="21"/>
                <w:highlight w:val="none"/>
              </w:rPr>
              <w:t>厂房</w:t>
            </w:r>
          </w:p>
        </w:tc>
        <w:tc>
          <w:tcPr>
            <w:tcW w:w="1276" w:type="dxa"/>
            <w:vAlign w:val="center"/>
          </w:tcPr>
          <w:p>
            <w:pPr>
              <w:tabs>
                <w:tab w:val="left" w:pos="1080"/>
              </w:tabs>
              <w:spacing w:line="320" w:lineRule="exact"/>
              <w:jc w:val="center"/>
              <w:rPr>
                <w:rFonts w:hint="default" w:eastAsia="宋体"/>
                <w:szCs w:val="21"/>
                <w:highlight w:val="none"/>
                <w:lang w:val="en-US" w:eastAsia="zh-CN"/>
              </w:rPr>
            </w:pPr>
            <w:r>
              <w:rPr>
                <w:rFonts w:hint="eastAsia"/>
                <w:szCs w:val="21"/>
                <w:highlight w:val="none"/>
                <w:lang w:val="en-US" w:eastAsia="zh-CN"/>
              </w:rPr>
              <w:t>536.928m</w:t>
            </w:r>
            <w:r>
              <w:rPr>
                <w:rFonts w:hint="eastAsia"/>
                <w:szCs w:val="21"/>
                <w:highlight w:val="none"/>
                <w:vertAlign w:val="superscript"/>
                <w:lang w:val="en-US" w:eastAsia="zh-CN"/>
              </w:rPr>
              <w:t>2</w:t>
            </w:r>
          </w:p>
        </w:tc>
        <w:tc>
          <w:tcPr>
            <w:tcW w:w="1984" w:type="dxa"/>
            <w:vAlign w:val="center"/>
          </w:tcPr>
          <w:p>
            <w:pPr>
              <w:tabs>
                <w:tab w:val="left" w:pos="1080"/>
              </w:tabs>
              <w:spacing w:line="320" w:lineRule="exact"/>
              <w:jc w:val="center"/>
              <w:rPr>
                <w:szCs w:val="21"/>
                <w:highlight w:val="none"/>
              </w:rPr>
            </w:pPr>
            <w:r>
              <w:rPr>
                <w:rFonts w:hint="eastAsia"/>
                <w:szCs w:val="21"/>
                <w:highlight w:val="none"/>
              </w:rPr>
              <w:t>26.32m×20.4m</w:t>
            </w:r>
          </w:p>
        </w:tc>
        <w:tc>
          <w:tcPr>
            <w:tcW w:w="1134" w:type="dxa"/>
            <w:vMerge w:val="restart"/>
            <w:vAlign w:val="center"/>
          </w:tcPr>
          <w:p>
            <w:pPr>
              <w:tabs>
                <w:tab w:val="left" w:pos="1080"/>
              </w:tabs>
              <w:spacing w:line="320" w:lineRule="exact"/>
              <w:jc w:val="center"/>
              <w:rPr>
                <w:szCs w:val="21"/>
                <w:highlight w:val="none"/>
              </w:rPr>
            </w:pPr>
            <w:r>
              <w:rPr>
                <w:kern w:val="0"/>
                <w:highlight w:val="none"/>
              </w:rPr>
              <w:t>砖混结构</w:t>
            </w:r>
          </w:p>
        </w:tc>
        <w:tc>
          <w:tcPr>
            <w:tcW w:w="875" w:type="dxa"/>
            <w:vMerge w:val="restart"/>
            <w:vAlign w:val="center"/>
          </w:tcPr>
          <w:p>
            <w:pPr>
              <w:tabs>
                <w:tab w:val="left" w:pos="1080"/>
              </w:tabs>
              <w:spacing w:line="320" w:lineRule="exact"/>
              <w:jc w:val="center"/>
              <w:rPr>
                <w:szCs w:val="21"/>
                <w:highlight w:val="none"/>
              </w:rPr>
            </w:pPr>
            <w:r>
              <w:rPr>
                <w:szCs w:val="21"/>
                <w:highlight w:val="none"/>
              </w:rPr>
              <w:t>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675" w:type="dxa"/>
            <w:vMerge w:val="continue"/>
            <w:vAlign w:val="center"/>
          </w:tcPr>
          <w:p>
            <w:pPr>
              <w:tabs>
                <w:tab w:val="left" w:pos="1080"/>
              </w:tabs>
              <w:spacing w:line="320" w:lineRule="exact"/>
              <w:jc w:val="center"/>
              <w:rPr>
                <w:highlight w:val="none"/>
              </w:rPr>
            </w:pPr>
          </w:p>
        </w:tc>
        <w:tc>
          <w:tcPr>
            <w:tcW w:w="1134" w:type="dxa"/>
            <w:vMerge w:val="continue"/>
            <w:vAlign w:val="center"/>
          </w:tcPr>
          <w:p>
            <w:pPr>
              <w:tabs>
                <w:tab w:val="left" w:pos="1080"/>
              </w:tabs>
              <w:spacing w:line="320" w:lineRule="exact"/>
              <w:jc w:val="center"/>
              <w:rPr>
                <w:highlight w:val="none"/>
              </w:rPr>
            </w:pPr>
          </w:p>
        </w:tc>
        <w:tc>
          <w:tcPr>
            <w:tcW w:w="1418" w:type="dxa"/>
            <w:vAlign w:val="center"/>
          </w:tcPr>
          <w:p>
            <w:pPr>
              <w:tabs>
                <w:tab w:val="left" w:pos="1080"/>
              </w:tabs>
              <w:spacing w:line="320" w:lineRule="exact"/>
              <w:jc w:val="center"/>
              <w:rPr>
                <w:rFonts w:hint="eastAsia" w:eastAsia="宋体"/>
                <w:highlight w:val="none"/>
                <w:lang w:eastAsia="zh-CN"/>
              </w:rPr>
            </w:pPr>
            <w:r>
              <w:rPr>
                <w:rFonts w:hint="eastAsia"/>
                <w:highlight w:val="none"/>
                <w:lang w:eastAsia="zh-CN"/>
              </w:rPr>
              <w:t>副厂房</w:t>
            </w:r>
          </w:p>
        </w:tc>
        <w:tc>
          <w:tcPr>
            <w:tcW w:w="1276" w:type="dxa"/>
            <w:vAlign w:val="center"/>
          </w:tcPr>
          <w:p>
            <w:pPr>
              <w:tabs>
                <w:tab w:val="left" w:pos="1080"/>
              </w:tabs>
              <w:spacing w:line="320" w:lineRule="exact"/>
              <w:jc w:val="center"/>
              <w:rPr>
                <w:szCs w:val="21"/>
                <w:highlight w:val="none"/>
              </w:rPr>
            </w:pPr>
            <w:r>
              <w:rPr>
                <w:rFonts w:hint="eastAsia"/>
                <w:szCs w:val="21"/>
                <w:highlight w:val="none"/>
              </w:rPr>
              <w:t>190.82</w:t>
            </w:r>
            <w:r>
              <w:rPr>
                <w:rFonts w:hint="eastAsia"/>
                <w:szCs w:val="21"/>
                <w:highlight w:val="none"/>
                <w:lang w:val="en-US" w:eastAsia="zh-CN"/>
              </w:rPr>
              <w:t>m</w:t>
            </w:r>
            <w:r>
              <w:rPr>
                <w:rFonts w:hint="eastAsia"/>
                <w:szCs w:val="21"/>
                <w:highlight w:val="none"/>
                <w:vertAlign w:val="superscript"/>
                <w:lang w:val="en-US" w:eastAsia="zh-CN"/>
              </w:rPr>
              <w:t>2</w:t>
            </w:r>
          </w:p>
        </w:tc>
        <w:tc>
          <w:tcPr>
            <w:tcW w:w="1984" w:type="dxa"/>
            <w:vAlign w:val="center"/>
          </w:tcPr>
          <w:p>
            <w:pPr>
              <w:tabs>
                <w:tab w:val="left" w:pos="1080"/>
              </w:tabs>
              <w:spacing w:line="320" w:lineRule="exact"/>
              <w:jc w:val="center"/>
              <w:rPr>
                <w:szCs w:val="21"/>
                <w:highlight w:val="none"/>
              </w:rPr>
            </w:pPr>
            <w:r>
              <w:rPr>
                <w:sz w:val="21"/>
                <w:highlight w:val="none"/>
              </w:rPr>
              <w:t>26.32m×7.25m</w:t>
            </w:r>
          </w:p>
        </w:tc>
        <w:tc>
          <w:tcPr>
            <w:tcW w:w="1134" w:type="dxa"/>
            <w:vMerge w:val="continue"/>
            <w:vAlign w:val="center"/>
          </w:tcPr>
          <w:p>
            <w:pPr>
              <w:tabs>
                <w:tab w:val="left" w:pos="1080"/>
              </w:tabs>
              <w:spacing w:line="320" w:lineRule="exact"/>
              <w:jc w:val="center"/>
              <w:rPr>
                <w:szCs w:val="21"/>
                <w:highlight w:val="none"/>
              </w:rPr>
            </w:pPr>
          </w:p>
        </w:tc>
        <w:tc>
          <w:tcPr>
            <w:tcW w:w="875" w:type="dxa"/>
            <w:vMerge w:val="continue"/>
            <w:vAlign w:val="center"/>
          </w:tcPr>
          <w:p>
            <w:pPr>
              <w:tabs>
                <w:tab w:val="left" w:pos="1080"/>
              </w:tabs>
              <w:spacing w:line="320" w:lineRule="exact"/>
              <w:jc w:val="center"/>
              <w:rPr>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tabs>
                <w:tab w:val="left" w:pos="1080"/>
              </w:tabs>
              <w:spacing w:line="320" w:lineRule="exact"/>
              <w:jc w:val="center"/>
              <w:rPr>
                <w:szCs w:val="21"/>
                <w:highlight w:val="none"/>
              </w:rPr>
            </w:pPr>
            <w:r>
              <w:rPr>
                <w:szCs w:val="21"/>
                <w:highlight w:val="none"/>
              </w:rPr>
              <w:t>2</w:t>
            </w:r>
          </w:p>
        </w:tc>
        <w:tc>
          <w:tcPr>
            <w:tcW w:w="1134" w:type="dxa"/>
            <w:vMerge w:val="continue"/>
            <w:vAlign w:val="center"/>
          </w:tcPr>
          <w:p>
            <w:pPr>
              <w:tabs>
                <w:tab w:val="left" w:pos="1080"/>
              </w:tabs>
              <w:spacing w:line="320" w:lineRule="exact"/>
              <w:jc w:val="center"/>
              <w:rPr>
                <w:szCs w:val="21"/>
                <w:highlight w:val="none"/>
              </w:rPr>
            </w:pPr>
          </w:p>
        </w:tc>
        <w:tc>
          <w:tcPr>
            <w:tcW w:w="1418" w:type="dxa"/>
            <w:vAlign w:val="center"/>
          </w:tcPr>
          <w:p>
            <w:pPr>
              <w:tabs>
                <w:tab w:val="left" w:pos="1080"/>
              </w:tabs>
              <w:spacing w:line="320" w:lineRule="exact"/>
              <w:jc w:val="center"/>
              <w:rPr>
                <w:rFonts w:ascii="Times New Roman" w:hAnsi="Times New Roman" w:eastAsia="宋体" w:cs="Times New Roman"/>
                <w:kern w:val="2"/>
                <w:sz w:val="21"/>
                <w:szCs w:val="21"/>
                <w:highlight w:val="none"/>
                <w:lang w:val="en-US" w:eastAsia="zh-CN" w:bidi="ar-SA"/>
              </w:rPr>
            </w:pPr>
            <w:r>
              <w:rPr>
                <w:szCs w:val="21"/>
                <w:highlight w:val="none"/>
              </w:rPr>
              <w:t>升压站</w:t>
            </w:r>
          </w:p>
        </w:tc>
        <w:tc>
          <w:tcPr>
            <w:tcW w:w="1276" w:type="dxa"/>
            <w:vAlign w:val="center"/>
          </w:tcPr>
          <w:p>
            <w:pPr>
              <w:tabs>
                <w:tab w:val="left" w:pos="1080"/>
              </w:tabs>
              <w:spacing w:line="320" w:lineRule="exact"/>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200m</w:t>
            </w:r>
            <w:r>
              <w:rPr>
                <w:rFonts w:hint="eastAsia"/>
                <w:szCs w:val="21"/>
                <w:highlight w:val="none"/>
                <w:vertAlign w:val="superscript"/>
                <w:lang w:val="en-US" w:eastAsia="zh-CN"/>
              </w:rPr>
              <w:t>2</w:t>
            </w:r>
          </w:p>
        </w:tc>
        <w:tc>
          <w:tcPr>
            <w:tcW w:w="1984" w:type="dxa"/>
            <w:vAlign w:val="center"/>
          </w:tcPr>
          <w:p>
            <w:pPr>
              <w:tabs>
                <w:tab w:val="left" w:pos="1080"/>
              </w:tabs>
              <w:spacing w:line="320" w:lineRule="exact"/>
              <w:jc w:val="center"/>
              <w:rPr>
                <w:rFonts w:ascii="Times New Roman" w:hAnsi="Times New Roman" w:eastAsia="宋体" w:cs="Times New Roman"/>
                <w:kern w:val="2"/>
                <w:sz w:val="21"/>
                <w:szCs w:val="21"/>
                <w:highlight w:val="none"/>
                <w:lang w:val="en-US" w:eastAsia="zh-CN" w:bidi="ar-SA"/>
              </w:rPr>
            </w:pPr>
            <w:r>
              <w:rPr>
                <w:sz w:val="21"/>
                <w:highlight w:val="none"/>
              </w:rPr>
              <w:t>2</w:t>
            </w:r>
            <w:r>
              <w:rPr>
                <w:rFonts w:hint="eastAsia"/>
                <w:sz w:val="21"/>
                <w:highlight w:val="none"/>
                <w:lang w:val="en-US" w:eastAsia="zh-CN"/>
              </w:rPr>
              <w:t>0</w:t>
            </w:r>
            <w:r>
              <w:rPr>
                <w:sz w:val="21"/>
                <w:highlight w:val="none"/>
              </w:rPr>
              <w:t>m×</w:t>
            </w:r>
            <w:r>
              <w:rPr>
                <w:rFonts w:hint="eastAsia"/>
                <w:sz w:val="21"/>
                <w:highlight w:val="none"/>
                <w:lang w:val="en-US" w:eastAsia="zh-CN"/>
              </w:rPr>
              <w:t>10</w:t>
            </w:r>
            <w:r>
              <w:rPr>
                <w:sz w:val="21"/>
                <w:highlight w:val="none"/>
              </w:rPr>
              <w:t>m</w:t>
            </w:r>
          </w:p>
        </w:tc>
        <w:tc>
          <w:tcPr>
            <w:tcW w:w="1134" w:type="dxa"/>
            <w:vAlign w:val="center"/>
          </w:tcPr>
          <w:p>
            <w:pPr>
              <w:tabs>
                <w:tab w:val="left" w:pos="1080"/>
              </w:tabs>
              <w:spacing w:line="320" w:lineRule="exact"/>
              <w:jc w:val="center"/>
              <w:rPr>
                <w:rFonts w:ascii="Times New Roman" w:hAnsi="Times New Roman" w:eastAsia="宋体" w:cs="Times New Roman"/>
                <w:kern w:val="2"/>
                <w:sz w:val="21"/>
                <w:szCs w:val="21"/>
                <w:highlight w:val="none"/>
                <w:lang w:val="en-US" w:eastAsia="zh-CN" w:bidi="ar-SA"/>
              </w:rPr>
            </w:pPr>
            <w:r>
              <w:rPr>
                <w:szCs w:val="21"/>
                <w:highlight w:val="none"/>
              </w:rPr>
              <w:t>地面硬化</w:t>
            </w:r>
          </w:p>
        </w:tc>
        <w:tc>
          <w:tcPr>
            <w:tcW w:w="875" w:type="dxa"/>
            <w:vAlign w:val="center"/>
          </w:tcPr>
          <w:p>
            <w:pPr>
              <w:tabs>
                <w:tab w:val="left" w:pos="1080"/>
              </w:tabs>
              <w:spacing w:line="320" w:lineRule="exact"/>
              <w:jc w:val="center"/>
              <w:rPr>
                <w:rFonts w:ascii="Times New Roman" w:hAnsi="Times New Roman" w:eastAsia="宋体" w:cs="Times New Roman"/>
                <w:kern w:val="2"/>
                <w:sz w:val="21"/>
                <w:szCs w:val="21"/>
                <w:highlight w:val="none"/>
                <w:lang w:val="en-US" w:eastAsia="zh-CN" w:bidi="ar-SA"/>
              </w:rPr>
            </w:pPr>
            <w:r>
              <w:rPr>
                <w:szCs w:val="21"/>
                <w:highlight w:val="none"/>
              </w:rPr>
              <w:t>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tabs>
                <w:tab w:val="left" w:pos="1080"/>
              </w:tabs>
              <w:spacing w:line="320" w:lineRule="exact"/>
              <w:jc w:val="center"/>
              <w:rPr>
                <w:szCs w:val="21"/>
                <w:highlight w:val="none"/>
              </w:rPr>
            </w:pPr>
            <w:r>
              <w:rPr>
                <w:szCs w:val="21"/>
                <w:highlight w:val="none"/>
              </w:rPr>
              <w:t>3</w:t>
            </w:r>
          </w:p>
        </w:tc>
        <w:tc>
          <w:tcPr>
            <w:tcW w:w="1134" w:type="dxa"/>
            <w:vMerge w:val="continue"/>
            <w:vAlign w:val="center"/>
          </w:tcPr>
          <w:p>
            <w:pPr>
              <w:tabs>
                <w:tab w:val="left" w:pos="1080"/>
              </w:tabs>
              <w:spacing w:line="320" w:lineRule="exact"/>
              <w:jc w:val="center"/>
              <w:rPr>
                <w:szCs w:val="21"/>
                <w:highlight w:val="none"/>
              </w:rPr>
            </w:pPr>
          </w:p>
        </w:tc>
        <w:tc>
          <w:tcPr>
            <w:tcW w:w="1418" w:type="dxa"/>
            <w:vAlign w:val="center"/>
          </w:tcPr>
          <w:p>
            <w:pPr>
              <w:widowControl/>
              <w:spacing w:line="320" w:lineRule="exact"/>
              <w:jc w:val="center"/>
              <w:rPr>
                <w:rFonts w:ascii="Times New Roman" w:hAnsi="Times New Roman" w:eastAsia="宋体" w:cs="Times New Roman"/>
                <w:kern w:val="0"/>
                <w:sz w:val="21"/>
                <w:szCs w:val="24"/>
                <w:highlight w:val="none"/>
                <w:lang w:val="en-US" w:eastAsia="zh-CN" w:bidi="ar-SA"/>
              </w:rPr>
            </w:pPr>
            <w:r>
              <w:rPr>
                <w:kern w:val="0"/>
                <w:highlight w:val="none"/>
              </w:rPr>
              <w:t>前池</w:t>
            </w:r>
          </w:p>
        </w:tc>
        <w:tc>
          <w:tcPr>
            <w:tcW w:w="1276" w:type="dxa"/>
            <w:vAlign w:val="center"/>
          </w:tcPr>
          <w:p>
            <w:pPr>
              <w:tabs>
                <w:tab w:val="left" w:pos="1080"/>
              </w:tabs>
              <w:spacing w:line="320" w:lineRule="exact"/>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840</w:t>
            </w:r>
          </w:p>
        </w:tc>
        <w:tc>
          <w:tcPr>
            <w:tcW w:w="1984" w:type="dxa"/>
            <w:vAlign w:val="center"/>
          </w:tcPr>
          <w:p>
            <w:pPr>
              <w:tabs>
                <w:tab w:val="left" w:pos="1080"/>
              </w:tabs>
              <w:spacing w:line="320" w:lineRule="exact"/>
              <w:jc w:val="center"/>
              <w:rPr>
                <w:rFonts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70</w:t>
            </w:r>
            <w:r>
              <w:rPr>
                <w:sz w:val="21"/>
                <w:highlight w:val="none"/>
              </w:rPr>
              <w:t>m</w:t>
            </w:r>
            <w:r>
              <w:rPr>
                <w:szCs w:val="21"/>
                <w:highlight w:val="none"/>
              </w:rPr>
              <w:t>×1</w:t>
            </w:r>
            <w:r>
              <w:rPr>
                <w:rFonts w:hint="eastAsia"/>
                <w:szCs w:val="21"/>
                <w:highlight w:val="none"/>
                <w:lang w:val="en-US" w:eastAsia="zh-CN"/>
              </w:rPr>
              <w:t>2</w:t>
            </w:r>
            <w:r>
              <w:rPr>
                <w:sz w:val="21"/>
                <w:highlight w:val="none"/>
              </w:rPr>
              <w:t>m</w:t>
            </w:r>
          </w:p>
        </w:tc>
        <w:tc>
          <w:tcPr>
            <w:tcW w:w="1134" w:type="dxa"/>
            <w:vAlign w:val="center"/>
          </w:tcPr>
          <w:p>
            <w:pPr>
              <w:tabs>
                <w:tab w:val="left" w:pos="1080"/>
              </w:tabs>
              <w:spacing w:line="320" w:lineRule="exact"/>
              <w:jc w:val="center"/>
              <w:rPr>
                <w:rFonts w:ascii="Times New Roman" w:hAnsi="Times New Roman" w:eastAsia="宋体" w:cs="Times New Roman"/>
                <w:kern w:val="2"/>
                <w:sz w:val="21"/>
                <w:szCs w:val="21"/>
                <w:highlight w:val="none"/>
                <w:lang w:val="en-US" w:eastAsia="zh-CN" w:bidi="ar-SA"/>
              </w:rPr>
            </w:pPr>
            <w:r>
              <w:rPr>
                <w:szCs w:val="21"/>
                <w:highlight w:val="none"/>
              </w:rPr>
              <w:t>商混结构</w:t>
            </w:r>
          </w:p>
        </w:tc>
        <w:tc>
          <w:tcPr>
            <w:tcW w:w="875" w:type="dxa"/>
            <w:vAlign w:val="center"/>
          </w:tcPr>
          <w:p>
            <w:pPr>
              <w:tabs>
                <w:tab w:val="left" w:pos="1080"/>
              </w:tabs>
              <w:spacing w:line="320" w:lineRule="exact"/>
              <w:jc w:val="center"/>
              <w:rPr>
                <w:rFonts w:ascii="Times New Roman" w:hAnsi="Times New Roman" w:eastAsia="宋体" w:cs="Times New Roman"/>
                <w:kern w:val="2"/>
                <w:sz w:val="21"/>
                <w:szCs w:val="21"/>
                <w:highlight w:val="none"/>
                <w:lang w:val="en-US" w:eastAsia="zh-CN" w:bidi="ar-SA"/>
              </w:rPr>
            </w:pPr>
            <w:r>
              <w:rPr>
                <w:szCs w:val="21"/>
                <w:highlight w:val="none"/>
              </w:rPr>
              <w:t>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tabs>
                <w:tab w:val="left" w:pos="1080"/>
              </w:tabs>
              <w:spacing w:line="320" w:lineRule="exact"/>
              <w:jc w:val="center"/>
              <w:rPr>
                <w:szCs w:val="21"/>
                <w:highlight w:val="none"/>
              </w:rPr>
            </w:pPr>
            <w:r>
              <w:rPr>
                <w:szCs w:val="21"/>
                <w:highlight w:val="none"/>
              </w:rPr>
              <w:t>4</w:t>
            </w:r>
          </w:p>
        </w:tc>
        <w:tc>
          <w:tcPr>
            <w:tcW w:w="1134" w:type="dxa"/>
            <w:vMerge w:val="continue"/>
            <w:vAlign w:val="center"/>
          </w:tcPr>
          <w:p>
            <w:pPr>
              <w:tabs>
                <w:tab w:val="left" w:pos="1080"/>
              </w:tabs>
              <w:spacing w:line="320" w:lineRule="exact"/>
              <w:jc w:val="center"/>
              <w:rPr>
                <w:szCs w:val="21"/>
                <w:highlight w:val="none"/>
              </w:rPr>
            </w:pPr>
          </w:p>
        </w:tc>
        <w:tc>
          <w:tcPr>
            <w:tcW w:w="1418" w:type="dxa"/>
            <w:vAlign w:val="center"/>
          </w:tcPr>
          <w:p>
            <w:pPr>
              <w:widowControl/>
              <w:spacing w:line="320" w:lineRule="exact"/>
              <w:jc w:val="center"/>
              <w:rPr>
                <w:rFonts w:ascii="Times New Roman" w:hAnsi="Times New Roman" w:eastAsia="宋体" w:cs="Times New Roman"/>
                <w:kern w:val="0"/>
                <w:sz w:val="21"/>
                <w:szCs w:val="24"/>
                <w:highlight w:val="none"/>
                <w:lang w:val="en-US" w:eastAsia="zh-CN" w:bidi="ar-SA"/>
              </w:rPr>
            </w:pPr>
            <w:r>
              <w:rPr>
                <w:kern w:val="0"/>
                <w:highlight w:val="none"/>
              </w:rPr>
              <w:t>引水渠</w:t>
            </w:r>
          </w:p>
        </w:tc>
        <w:tc>
          <w:tcPr>
            <w:tcW w:w="1276" w:type="dxa"/>
            <w:vAlign w:val="center"/>
          </w:tcPr>
          <w:p>
            <w:pPr>
              <w:tabs>
                <w:tab w:val="left" w:pos="1080"/>
              </w:tabs>
              <w:spacing w:line="320" w:lineRule="exact"/>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996.67</w:t>
            </w:r>
            <w:r>
              <w:rPr>
                <w:szCs w:val="21"/>
                <w:highlight w:val="none"/>
              </w:rPr>
              <w:t>m</w:t>
            </w:r>
          </w:p>
        </w:tc>
        <w:tc>
          <w:tcPr>
            <w:tcW w:w="1984" w:type="dxa"/>
            <w:vAlign w:val="center"/>
          </w:tcPr>
          <w:p>
            <w:pPr>
              <w:tabs>
                <w:tab w:val="left" w:pos="1080"/>
              </w:tabs>
              <w:spacing w:line="320" w:lineRule="exact"/>
              <w:jc w:val="center"/>
              <w:rPr>
                <w:rFonts w:ascii="Times New Roman" w:hAnsi="Times New Roman" w:eastAsia="宋体" w:cs="Times New Roman"/>
                <w:kern w:val="2"/>
                <w:sz w:val="21"/>
                <w:szCs w:val="21"/>
                <w:highlight w:val="none"/>
                <w:lang w:val="en-US" w:eastAsia="zh-CN" w:bidi="ar-SA"/>
              </w:rPr>
            </w:pPr>
            <w:r>
              <w:rPr>
                <w:szCs w:val="21"/>
                <w:highlight w:val="none"/>
              </w:rPr>
              <w:t>--</w:t>
            </w:r>
          </w:p>
        </w:tc>
        <w:tc>
          <w:tcPr>
            <w:tcW w:w="1134" w:type="dxa"/>
            <w:vAlign w:val="center"/>
          </w:tcPr>
          <w:p>
            <w:pPr>
              <w:tabs>
                <w:tab w:val="left" w:pos="1080"/>
              </w:tabs>
              <w:spacing w:line="320" w:lineRule="exact"/>
              <w:jc w:val="center"/>
              <w:rPr>
                <w:rFonts w:ascii="Times New Roman" w:hAnsi="Times New Roman" w:eastAsia="宋体" w:cs="Times New Roman"/>
                <w:kern w:val="2"/>
                <w:sz w:val="21"/>
                <w:szCs w:val="21"/>
                <w:highlight w:val="none"/>
                <w:lang w:val="en-US" w:eastAsia="zh-CN" w:bidi="ar-SA"/>
              </w:rPr>
            </w:pPr>
            <w:r>
              <w:rPr>
                <w:szCs w:val="21"/>
                <w:highlight w:val="none"/>
              </w:rPr>
              <w:t>商混结构</w:t>
            </w:r>
          </w:p>
        </w:tc>
        <w:tc>
          <w:tcPr>
            <w:tcW w:w="875" w:type="dxa"/>
            <w:vAlign w:val="center"/>
          </w:tcPr>
          <w:p>
            <w:pPr>
              <w:tabs>
                <w:tab w:val="left" w:pos="1080"/>
              </w:tabs>
              <w:spacing w:line="320" w:lineRule="exact"/>
              <w:jc w:val="center"/>
              <w:rPr>
                <w:rFonts w:ascii="Times New Roman" w:hAnsi="Times New Roman" w:eastAsia="宋体" w:cs="Times New Roman"/>
                <w:kern w:val="2"/>
                <w:sz w:val="21"/>
                <w:szCs w:val="21"/>
                <w:highlight w:val="none"/>
                <w:lang w:val="en-US" w:eastAsia="zh-CN" w:bidi="ar-SA"/>
              </w:rPr>
            </w:pPr>
            <w:r>
              <w:rPr>
                <w:szCs w:val="21"/>
                <w:highlight w:val="none"/>
              </w:rPr>
              <w:t>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tabs>
                <w:tab w:val="left" w:pos="1080"/>
              </w:tabs>
              <w:spacing w:line="320" w:lineRule="exact"/>
              <w:jc w:val="center"/>
              <w:rPr>
                <w:szCs w:val="21"/>
                <w:highlight w:val="none"/>
              </w:rPr>
            </w:pPr>
            <w:r>
              <w:rPr>
                <w:szCs w:val="21"/>
                <w:highlight w:val="none"/>
              </w:rPr>
              <w:t>5</w:t>
            </w:r>
          </w:p>
        </w:tc>
        <w:tc>
          <w:tcPr>
            <w:tcW w:w="1134" w:type="dxa"/>
            <w:vMerge w:val="continue"/>
            <w:vAlign w:val="center"/>
          </w:tcPr>
          <w:p>
            <w:pPr>
              <w:tabs>
                <w:tab w:val="left" w:pos="1080"/>
              </w:tabs>
              <w:spacing w:line="320" w:lineRule="exact"/>
              <w:jc w:val="center"/>
              <w:rPr>
                <w:szCs w:val="21"/>
                <w:highlight w:val="none"/>
              </w:rPr>
            </w:pPr>
          </w:p>
        </w:tc>
        <w:tc>
          <w:tcPr>
            <w:tcW w:w="1418" w:type="dxa"/>
            <w:vAlign w:val="center"/>
          </w:tcPr>
          <w:p>
            <w:pPr>
              <w:widowControl/>
              <w:spacing w:line="320" w:lineRule="exact"/>
              <w:jc w:val="center"/>
              <w:rPr>
                <w:rFonts w:ascii="Times New Roman" w:hAnsi="Times New Roman" w:eastAsia="宋体" w:cs="Times New Roman"/>
                <w:kern w:val="0"/>
                <w:sz w:val="21"/>
                <w:szCs w:val="24"/>
                <w:highlight w:val="none"/>
                <w:lang w:val="en-US" w:eastAsia="zh-CN" w:bidi="ar-SA"/>
              </w:rPr>
            </w:pPr>
            <w:r>
              <w:rPr>
                <w:kern w:val="0"/>
                <w:highlight w:val="none"/>
              </w:rPr>
              <w:t>尾水渠</w:t>
            </w:r>
          </w:p>
        </w:tc>
        <w:tc>
          <w:tcPr>
            <w:tcW w:w="1276" w:type="dxa"/>
            <w:vAlign w:val="center"/>
          </w:tcPr>
          <w:p>
            <w:pPr>
              <w:tabs>
                <w:tab w:val="left" w:pos="1080"/>
              </w:tabs>
              <w:spacing w:line="320" w:lineRule="exact"/>
              <w:jc w:val="center"/>
              <w:rPr>
                <w:rFonts w:ascii="Times New Roman" w:hAnsi="Times New Roman" w:eastAsia="宋体" w:cs="Times New Roman"/>
                <w:kern w:val="2"/>
                <w:sz w:val="21"/>
                <w:szCs w:val="21"/>
                <w:highlight w:val="none"/>
                <w:lang w:val="en-US" w:eastAsia="zh-CN" w:bidi="ar-SA"/>
              </w:rPr>
            </w:pPr>
            <w:r>
              <w:rPr>
                <w:color w:val="000000"/>
                <w:highlight w:val="none"/>
              </w:rPr>
              <w:t>440.76</w:t>
            </w:r>
            <w:r>
              <w:rPr>
                <w:szCs w:val="21"/>
                <w:highlight w:val="none"/>
              </w:rPr>
              <w:t>m</w:t>
            </w:r>
          </w:p>
        </w:tc>
        <w:tc>
          <w:tcPr>
            <w:tcW w:w="1984" w:type="dxa"/>
            <w:vAlign w:val="center"/>
          </w:tcPr>
          <w:p>
            <w:pPr>
              <w:tabs>
                <w:tab w:val="left" w:pos="1080"/>
              </w:tabs>
              <w:spacing w:line="320" w:lineRule="exact"/>
              <w:jc w:val="center"/>
              <w:rPr>
                <w:rFonts w:ascii="Times New Roman" w:hAnsi="Times New Roman" w:eastAsia="宋体" w:cs="Times New Roman"/>
                <w:kern w:val="2"/>
                <w:sz w:val="21"/>
                <w:szCs w:val="21"/>
                <w:highlight w:val="none"/>
                <w:lang w:val="en-US" w:eastAsia="zh-CN" w:bidi="ar-SA"/>
              </w:rPr>
            </w:pPr>
            <w:r>
              <w:rPr>
                <w:szCs w:val="21"/>
                <w:highlight w:val="none"/>
              </w:rPr>
              <w:t>--</w:t>
            </w:r>
          </w:p>
        </w:tc>
        <w:tc>
          <w:tcPr>
            <w:tcW w:w="1134" w:type="dxa"/>
            <w:vAlign w:val="center"/>
          </w:tcPr>
          <w:p>
            <w:pPr>
              <w:tabs>
                <w:tab w:val="left" w:pos="1080"/>
              </w:tabs>
              <w:spacing w:line="320" w:lineRule="exact"/>
              <w:jc w:val="center"/>
              <w:rPr>
                <w:rFonts w:ascii="Times New Roman" w:hAnsi="Times New Roman" w:eastAsia="宋体" w:cs="Times New Roman"/>
                <w:kern w:val="2"/>
                <w:sz w:val="21"/>
                <w:szCs w:val="21"/>
                <w:highlight w:val="none"/>
                <w:lang w:val="en-US" w:eastAsia="zh-CN" w:bidi="ar-SA"/>
              </w:rPr>
            </w:pPr>
            <w:r>
              <w:rPr>
                <w:szCs w:val="21"/>
                <w:highlight w:val="none"/>
              </w:rPr>
              <w:t>商混结构</w:t>
            </w:r>
          </w:p>
        </w:tc>
        <w:tc>
          <w:tcPr>
            <w:tcW w:w="875" w:type="dxa"/>
            <w:vAlign w:val="center"/>
          </w:tcPr>
          <w:p>
            <w:pPr>
              <w:tabs>
                <w:tab w:val="left" w:pos="1080"/>
              </w:tabs>
              <w:spacing w:line="320" w:lineRule="exact"/>
              <w:jc w:val="center"/>
              <w:rPr>
                <w:rFonts w:ascii="Times New Roman" w:hAnsi="Times New Roman" w:eastAsia="宋体" w:cs="Times New Roman"/>
                <w:kern w:val="2"/>
                <w:sz w:val="21"/>
                <w:szCs w:val="21"/>
                <w:highlight w:val="none"/>
                <w:lang w:val="en-US" w:eastAsia="zh-CN" w:bidi="ar-SA"/>
              </w:rPr>
            </w:pPr>
            <w:r>
              <w:rPr>
                <w:szCs w:val="21"/>
                <w:highlight w:val="none"/>
              </w:rPr>
              <w:t>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tabs>
                <w:tab w:val="left" w:pos="1080"/>
              </w:tabs>
              <w:spacing w:line="320" w:lineRule="exact"/>
              <w:jc w:val="center"/>
              <w:rPr>
                <w:szCs w:val="21"/>
                <w:highlight w:val="none"/>
              </w:rPr>
            </w:pPr>
            <w:r>
              <w:rPr>
                <w:szCs w:val="21"/>
                <w:highlight w:val="none"/>
              </w:rPr>
              <w:t>6</w:t>
            </w:r>
          </w:p>
        </w:tc>
        <w:tc>
          <w:tcPr>
            <w:tcW w:w="1134" w:type="dxa"/>
            <w:vMerge w:val="continue"/>
            <w:vAlign w:val="center"/>
          </w:tcPr>
          <w:p>
            <w:pPr>
              <w:tabs>
                <w:tab w:val="left" w:pos="1080"/>
              </w:tabs>
              <w:spacing w:line="320" w:lineRule="exact"/>
              <w:jc w:val="center"/>
              <w:rPr>
                <w:szCs w:val="21"/>
                <w:highlight w:val="none"/>
              </w:rPr>
            </w:pPr>
          </w:p>
        </w:tc>
        <w:tc>
          <w:tcPr>
            <w:tcW w:w="1418" w:type="dxa"/>
            <w:vAlign w:val="center"/>
          </w:tcPr>
          <w:p>
            <w:pPr>
              <w:tabs>
                <w:tab w:val="left" w:pos="1080"/>
              </w:tabs>
              <w:spacing w:line="320" w:lineRule="exact"/>
              <w:jc w:val="center"/>
              <w:rPr>
                <w:rFonts w:ascii="Times New Roman" w:hAnsi="Times New Roman" w:eastAsia="宋体" w:cs="Times New Roman"/>
                <w:kern w:val="2"/>
                <w:sz w:val="21"/>
                <w:szCs w:val="21"/>
                <w:highlight w:val="none"/>
                <w:lang w:val="en-US" w:eastAsia="zh-CN" w:bidi="ar-SA"/>
              </w:rPr>
            </w:pPr>
            <w:r>
              <w:rPr>
                <w:szCs w:val="21"/>
                <w:highlight w:val="none"/>
              </w:rPr>
              <w:t>橡胶坝</w:t>
            </w:r>
          </w:p>
        </w:tc>
        <w:tc>
          <w:tcPr>
            <w:tcW w:w="1276" w:type="dxa"/>
            <w:vAlign w:val="center"/>
          </w:tcPr>
          <w:p>
            <w:pPr>
              <w:tabs>
                <w:tab w:val="left" w:pos="1080"/>
              </w:tabs>
              <w:spacing w:line="320" w:lineRule="exact"/>
              <w:jc w:val="center"/>
              <w:rPr>
                <w:rFonts w:ascii="Times New Roman" w:hAnsi="Times New Roman" w:eastAsia="宋体" w:cs="Times New Roman"/>
                <w:kern w:val="2"/>
                <w:sz w:val="21"/>
                <w:szCs w:val="21"/>
                <w:highlight w:val="none"/>
                <w:lang w:val="en-US" w:eastAsia="zh-CN" w:bidi="ar-SA"/>
              </w:rPr>
            </w:pPr>
            <w:r>
              <w:rPr>
                <w:szCs w:val="21"/>
                <w:highlight w:val="none"/>
              </w:rPr>
              <w:t>长</w:t>
            </w:r>
            <w:r>
              <w:rPr>
                <w:rFonts w:hint="eastAsia"/>
                <w:szCs w:val="21"/>
                <w:highlight w:val="none"/>
                <w:lang w:val="en-US" w:eastAsia="zh-CN"/>
              </w:rPr>
              <w:t>87</w:t>
            </w:r>
            <w:r>
              <w:rPr>
                <w:szCs w:val="21"/>
                <w:highlight w:val="none"/>
              </w:rPr>
              <w:t>m</w:t>
            </w:r>
          </w:p>
        </w:tc>
        <w:tc>
          <w:tcPr>
            <w:tcW w:w="1984" w:type="dxa"/>
            <w:vAlign w:val="center"/>
          </w:tcPr>
          <w:p>
            <w:pPr>
              <w:tabs>
                <w:tab w:val="left" w:pos="1080"/>
              </w:tabs>
              <w:spacing w:line="320" w:lineRule="exact"/>
              <w:jc w:val="center"/>
              <w:rPr>
                <w:rFonts w:ascii="Times New Roman" w:hAnsi="Times New Roman" w:eastAsia="宋体" w:cs="Times New Roman"/>
                <w:kern w:val="2"/>
                <w:sz w:val="21"/>
                <w:szCs w:val="21"/>
                <w:highlight w:val="none"/>
                <w:lang w:val="en-US" w:eastAsia="zh-CN" w:bidi="ar-SA"/>
              </w:rPr>
            </w:pPr>
            <w:r>
              <w:rPr>
                <w:szCs w:val="21"/>
                <w:highlight w:val="none"/>
              </w:rPr>
              <w:t>--</w:t>
            </w:r>
          </w:p>
        </w:tc>
        <w:tc>
          <w:tcPr>
            <w:tcW w:w="1134" w:type="dxa"/>
            <w:vAlign w:val="center"/>
          </w:tcPr>
          <w:p>
            <w:pPr>
              <w:tabs>
                <w:tab w:val="left" w:pos="1080"/>
              </w:tabs>
              <w:spacing w:line="320" w:lineRule="exact"/>
              <w:jc w:val="center"/>
              <w:rPr>
                <w:rFonts w:ascii="Times New Roman" w:hAnsi="Times New Roman" w:eastAsia="宋体" w:cs="Times New Roman"/>
                <w:kern w:val="2"/>
                <w:sz w:val="21"/>
                <w:szCs w:val="21"/>
                <w:highlight w:val="none"/>
                <w:lang w:val="en-US" w:eastAsia="zh-CN" w:bidi="ar-SA"/>
              </w:rPr>
            </w:pPr>
            <w:r>
              <w:rPr>
                <w:szCs w:val="21"/>
                <w:highlight w:val="none"/>
              </w:rPr>
              <w:t>--</w:t>
            </w:r>
          </w:p>
        </w:tc>
        <w:tc>
          <w:tcPr>
            <w:tcW w:w="875" w:type="dxa"/>
            <w:vAlign w:val="center"/>
          </w:tcPr>
          <w:p>
            <w:pPr>
              <w:tabs>
                <w:tab w:val="left" w:pos="1080"/>
              </w:tabs>
              <w:spacing w:line="320" w:lineRule="exact"/>
              <w:jc w:val="center"/>
              <w:rPr>
                <w:rFonts w:ascii="Times New Roman" w:hAnsi="Times New Roman" w:eastAsia="宋体" w:cs="Times New Roman"/>
                <w:kern w:val="2"/>
                <w:sz w:val="21"/>
                <w:szCs w:val="21"/>
                <w:highlight w:val="none"/>
                <w:lang w:val="en-US" w:eastAsia="zh-CN" w:bidi="ar-SA"/>
              </w:rPr>
            </w:pPr>
            <w:r>
              <w:rPr>
                <w:szCs w:val="21"/>
                <w:highlight w:val="none"/>
              </w:rPr>
              <w:t>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tabs>
                <w:tab w:val="left" w:pos="1080"/>
              </w:tabs>
              <w:spacing w:line="320" w:lineRule="exact"/>
              <w:jc w:val="center"/>
              <w:rPr>
                <w:rFonts w:hint="eastAsia" w:eastAsia="宋体"/>
                <w:szCs w:val="21"/>
                <w:highlight w:val="none"/>
                <w:lang w:eastAsia="zh-CN"/>
              </w:rPr>
            </w:pPr>
            <w:r>
              <w:rPr>
                <w:rFonts w:hint="eastAsia"/>
                <w:szCs w:val="21"/>
                <w:highlight w:val="none"/>
                <w:lang w:val="en-US" w:eastAsia="zh-CN"/>
              </w:rPr>
              <w:t>7</w:t>
            </w:r>
          </w:p>
        </w:tc>
        <w:tc>
          <w:tcPr>
            <w:tcW w:w="1134" w:type="dxa"/>
            <w:vAlign w:val="center"/>
          </w:tcPr>
          <w:p>
            <w:pPr>
              <w:tabs>
                <w:tab w:val="left" w:pos="1080"/>
              </w:tabs>
              <w:spacing w:line="320" w:lineRule="exact"/>
              <w:jc w:val="center"/>
              <w:rPr>
                <w:szCs w:val="21"/>
                <w:highlight w:val="none"/>
              </w:rPr>
            </w:pPr>
            <w:r>
              <w:rPr>
                <w:szCs w:val="21"/>
                <w:highlight w:val="none"/>
              </w:rPr>
              <w:t>公用工程</w:t>
            </w:r>
          </w:p>
        </w:tc>
        <w:tc>
          <w:tcPr>
            <w:tcW w:w="1418" w:type="dxa"/>
            <w:vAlign w:val="center"/>
          </w:tcPr>
          <w:p>
            <w:pPr>
              <w:tabs>
                <w:tab w:val="left" w:pos="1080"/>
              </w:tabs>
              <w:spacing w:line="320" w:lineRule="exact"/>
              <w:jc w:val="center"/>
              <w:rPr>
                <w:rFonts w:hint="eastAsia" w:eastAsia="宋体"/>
                <w:color w:val="auto"/>
                <w:szCs w:val="21"/>
                <w:highlight w:val="none"/>
                <w:lang w:eastAsia="zh-CN"/>
              </w:rPr>
            </w:pPr>
            <w:r>
              <w:rPr>
                <w:color w:val="auto"/>
                <w:szCs w:val="21"/>
                <w:highlight w:val="none"/>
              </w:rPr>
              <w:t>办公</w:t>
            </w:r>
            <w:r>
              <w:rPr>
                <w:rFonts w:hint="eastAsia"/>
                <w:color w:val="auto"/>
                <w:szCs w:val="21"/>
                <w:highlight w:val="none"/>
                <w:lang w:eastAsia="zh-CN"/>
              </w:rPr>
              <w:t>房</w:t>
            </w:r>
          </w:p>
        </w:tc>
        <w:tc>
          <w:tcPr>
            <w:tcW w:w="1276" w:type="dxa"/>
            <w:vAlign w:val="center"/>
          </w:tcPr>
          <w:p>
            <w:pPr>
              <w:tabs>
                <w:tab w:val="left" w:pos="1080"/>
              </w:tabs>
              <w:spacing w:line="320" w:lineRule="exact"/>
              <w:jc w:val="center"/>
              <w:rPr>
                <w:rFonts w:hint="default" w:eastAsia="宋体"/>
                <w:szCs w:val="21"/>
                <w:highlight w:val="none"/>
                <w:lang w:val="en-US" w:eastAsia="zh-CN"/>
              </w:rPr>
            </w:pPr>
            <w:r>
              <w:rPr>
                <w:rFonts w:hint="eastAsia"/>
                <w:szCs w:val="21"/>
                <w:highlight w:val="none"/>
                <w:lang w:val="en-US" w:eastAsia="zh-CN"/>
              </w:rPr>
              <w:t>314</w:t>
            </w:r>
          </w:p>
        </w:tc>
        <w:tc>
          <w:tcPr>
            <w:tcW w:w="1984" w:type="dxa"/>
            <w:vAlign w:val="center"/>
          </w:tcPr>
          <w:p>
            <w:pPr>
              <w:tabs>
                <w:tab w:val="left" w:pos="1080"/>
              </w:tabs>
              <w:spacing w:line="320" w:lineRule="exact"/>
              <w:jc w:val="center"/>
              <w:rPr>
                <w:szCs w:val="21"/>
                <w:highlight w:val="none"/>
              </w:rPr>
            </w:pPr>
            <w:r>
              <w:rPr>
                <w:rFonts w:hint="eastAsia"/>
                <w:szCs w:val="21"/>
                <w:highlight w:val="none"/>
                <w:lang w:val="en-US" w:eastAsia="zh-CN"/>
              </w:rPr>
              <w:t>50.88</w:t>
            </w:r>
            <w:r>
              <w:rPr>
                <w:szCs w:val="21"/>
                <w:highlight w:val="none"/>
              </w:rPr>
              <w:t>×</w:t>
            </w:r>
            <w:r>
              <w:rPr>
                <w:rFonts w:hint="eastAsia"/>
                <w:szCs w:val="21"/>
                <w:highlight w:val="none"/>
                <w:lang w:val="en-US" w:eastAsia="zh-CN"/>
              </w:rPr>
              <w:t>6.18</w:t>
            </w:r>
          </w:p>
        </w:tc>
        <w:tc>
          <w:tcPr>
            <w:tcW w:w="1134" w:type="dxa"/>
            <w:vAlign w:val="center"/>
          </w:tcPr>
          <w:p>
            <w:pPr>
              <w:tabs>
                <w:tab w:val="left" w:pos="1080"/>
              </w:tabs>
              <w:spacing w:line="320" w:lineRule="exact"/>
              <w:jc w:val="center"/>
              <w:rPr>
                <w:szCs w:val="21"/>
                <w:highlight w:val="none"/>
              </w:rPr>
            </w:pPr>
            <w:r>
              <w:rPr>
                <w:szCs w:val="21"/>
                <w:highlight w:val="none"/>
              </w:rPr>
              <w:t>商混结构</w:t>
            </w:r>
          </w:p>
        </w:tc>
        <w:tc>
          <w:tcPr>
            <w:tcW w:w="875" w:type="dxa"/>
            <w:vAlign w:val="center"/>
          </w:tcPr>
          <w:p>
            <w:pPr>
              <w:tabs>
                <w:tab w:val="left" w:pos="1080"/>
              </w:tabs>
              <w:spacing w:line="320" w:lineRule="exact"/>
              <w:jc w:val="center"/>
              <w:rPr>
                <w:szCs w:val="21"/>
                <w:highlight w:val="none"/>
              </w:rPr>
            </w:pPr>
            <w:r>
              <w:rPr>
                <w:szCs w:val="21"/>
                <w:highlight w:val="none"/>
              </w:rPr>
              <w:t>已建</w:t>
            </w:r>
          </w:p>
        </w:tc>
      </w:tr>
    </w:tbl>
    <w:p>
      <w:pPr>
        <w:tabs>
          <w:tab w:val="left" w:pos="1080"/>
        </w:tabs>
        <w:spacing w:line="480" w:lineRule="exact"/>
        <w:outlineLvl w:val="1"/>
        <w:rPr>
          <w:b/>
          <w:sz w:val="24"/>
          <w:highlight w:val="none"/>
        </w:rPr>
      </w:pPr>
      <w:bookmarkStart w:id="131" w:name="_Toc31208"/>
      <w:r>
        <w:rPr>
          <w:rFonts w:hint="eastAsia"/>
          <w:b/>
          <w:sz w:val="24"/>
          <w:highlight w:val="none"/>
        </w:rPr>
        <w:t>2</w:t>
      </w:r>
      <w:r>
        <w:rPr>
          <w:b/>
          <w:sz w:val="24"/>
          <w:highlight w:val="none"/>
        </w:rPr>
        <w:t>.</w:t>
      </w:r>
      <w:r>
        <w:rPr>
          <w:rFonts w:hint="eastAsia"/>
          <w:b/>
          <w:sz w:val="24"/>
          <w:highlight w:val="none"/>
          <w:lang w:val="en-US" w:eastAsia="zh-CN"/>
        </w:rPr>
        <w:t>6</w:t>
      </w:r>
      <w:r>
        <w:rPr>
          <w:b/>
          <w:sz w:val="24"/>
          <w:highlight w:val="none"/>
        </w:rPr>
        <w:t xml:space="preserve"> </w:t>
      </w:r>
      <w:r>
        <w:rPr>
          <w:rFonts w:hint="eastAsia"/>
          <w:b/>
          <w:sz w:val="24"/>
          <w:highlight w:val="none"/>
        </w:rPr>
        <w:t>主要原辅材料</w:t>
      </w:r>
      <w:bookmarkEnd w:id="131"/>
    </w:p>
    <w:p>
      <w:pPr>
        <w:tabs>
          <w:tab w:val="left" w:pos="5400"/>
        </w:tabs>
        <w:spacing w:line="480" w:lineRule="exact"/>
        <w:jc w:val="left"/>
        <w:rPr>
          <w:b/>
          <w:sz w:val="24"/>
          <w:highlight w:val="none"/>
        </w:rPr>
      </w:pPr>
      <w:r>
        <w:rPr>
          <w:rFonts w:hint="eastAsia"/>
          <w:sz w:val="24"/>
          <w:highlight w:val="none"/>
        </w:rPr>
        <w:t xml:space="preserve">   电站原辅材料及能源消耗见表 2.</w:t>
      </w:r>
      <w:r>
        <w:rPr>
          <w:rFonts w:hint="eastAsia"/>
          <w:sz w:val="24"/>
          <w:highlight w:val="none"/>
          <w:lang w:val="en-US" w:eastAsia="zh-CN"/>
        </w:rPr>
        <w:t>6</w:t>
      </w:r>
      <w:r>
        <w:rPr>
          <w:rFonts w:hint="eastAsia"/>
          <w:sz w:val="24"/>
          <w:highlight w:val="none"/>
        </w:rPr>
        <w:t>-1。</w:t>
      </w:r>
    </w:p>
    <w:p>
      <w:pPr>
        <w:tabs>
          <w:tab w:val="left" w:pos="5400"/>
        </w:tabs>
        <w:spacing w:line="480" w:lineRule="exact"/>
        <w:jc w:val="center"/>
        <w:rPr>
          <w:b/>
          <w:sz w:val="24"/>
          <w:highlight w:val="none"/>
        </w:rPr>
      </w:pPr>
      <w:r>
        <w:rPr>
          <w:rFonts w:hint="eastAsia"/>
          <w:b/>
          <w:sz w:val="24"/>
          <w:highlight w:val="none"/>
        </w:rPr>
        <w:t>表2</w:t>
      </w:r>
      <w:r>
        <w:rPr>
          <w:b/>
          <w:sz w:val="24"/>
          <w:highlight w:val="none"/>
        </w:rPr>
        <w:t>.</w:t>
      </w:r>
      <w:r>
        <w:rPr>
          <w:rFonts w:hint="eastAsia"/>
          <w:b/>
          <w:sz w:val="24"/>
          <w:highlight w:val="none"/>
          <w:lang w:val="en-US" w:eastAsia="zh-CN"/>
        </w:rPr>
        <w:t>6</w:t>
      </w:r>
      <w:r>
        <w:rPr>
          <w:rFonts w:hint="eastAsia"/>
          <w:b/>
          <w:sz w:val="24"/>
          <w:highlight w:val="none"/>
        </w:rPr>
        <w:t>-1</w:t>
      </w:r>
      <w:r>
        <w:rPr>
          <w:b/>
          <w:sz w:val="24"/>
          <w:highlight w:val="none"/>
        </w:rPr>
        <w:t xml:space="preserve"> 项目能耗一览表</w:t>
      </w:r>
    </w:p>
    <w:tbl>
      <w:tblPr>
        <w:tblStyle w:val="5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1701"/>
        <w:gridCol w:w="1276"/>
        <w:gridCol w:w="1544"/>
        <w:gridCol w:w="2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320" w:lineRule="exact"/>
              <w:jc w:val="center"/>
              <w:rPr>
                <w:szCs w:val="21"/>
                <w:highlight w:val="none"/>
              </w:rPr>
            </w:pPr>
            <w:r>
              <w:rPr>
                <w:szCs w:val="21"/>
                <w:highlight w:val="none"/>
              </w:rPr>
              <w:t>序号</w:t>
            </w:r>
          </w:p>
        </w:tc>
        <w:tc>
          <w:tcPr>
            <w:tcW w:w="1701" w:type="dxa"/>
            <w:vAlign w:val="center"/>
          </w:tcPr>
          <w:p>
            <w:pPr>
              <w:spacing w:line="320" w:lineRule="exact"/>
              <w:jc w:val="center"/>
              <w:rPr>
                <w:szCs w:val="21"/>
                <w:highlight w:val="none"/>
              </w:rPr>
            </w:pPr>
            <w:r>
              <w:rPr>
                <w:szCs w:val="21"/>
                <w:highlight w:val="none"/>
              </w:rPr>
              <w:t>名称</w:t>
            </w:r>
          </w:p>
        </w:tc>
        <w:tc>
          <w:tcPr>
            <w:tcW w:w="1276" w:type="dxa"/>
            <w:vAlign w:val="center"/>
          </w:tcPr>
          <w:p>
            <w:pPr>
              <w:spacing w:line="320" w:lineRule="exact"/>
              <w:jc w:val="center"/>
              <w:rPr>
                <w:szCs w:val="21"/>
                <w:highlight w:val="none"/>
              </w:rPr>
            </w:pPr>
            <w:r>
              <w:rPr>
                <w:szCs w:val="21"/>
                <w:highlight w:val="none"/>
              </w:rPr>
              <w:t>单位</w:t>
            </w:r>
          </w:p>
        </w:tc>
        <w:tc>
          <w:tcPr>
            <w:tcW w:w="1544" w:type="dxa"/>
            <w:vAlign w:val="center"/>
          </w:tcPr>
          <w:p>
            <w:pPr>
              <w:spacing w:line="320" w:lineRule="exact"/>
              <w:jc w:val="center"/>
              <w:rPr>
                <w:szCs w:val="21"/>
                <w:highlight w:val="none"/>
              </w:rPr>
            </w:pPr>
            <w:r>
              <w:rPr>
                <w:szCs w:val="21"/>
                <w:highlight w:val="none"/>
              </w:rPr>
              <w:t>数量</w:t>
            </w:r>
          </w:p>
        </w:tc>
        <w:tc>
          <w:tcPr>
            <w:tcW w:w="2850" w:type="dxa"/>
            <w:vAlign w:val="center"/>
          </w:tcPr>
          <w:p>
            <w:pPr>
              <w:spacing w:line="320" w:lineRule="exact"/>
              <w:jc w:val="center"/>
              <w:rPr>
                <w:szCs w:val="21"/>
                <w:highlight w:val="none"/>
              </w:rPr>
            </w:pPr>
            <w:r>
              <w:rPr>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320" w:lineRule="exact"/>
              <w:jc w:val="center"/>
              <w:rPr>
                <w:szCs w:val="21"/>
                <w:highlight w:val="none"/>
              </w:rPr>
            </w:pPr>
            <w:r>
              <w:rPr>
                <w:szCs w:val="21"/>
                <w:highlight w:val="none"/>
              </w:rPr>
              <w:t>1</w:t>
            </w:r>
          </w:p>
        </w:tc>
        <w:tc>
          <w:tcPr>
            <w:tcW w:w="1701" w:type="dxa"/>
            <w:vAlign w:val="center"/>
          </w:tcPr>
          <w:p>
            <w:pPr>
              <w:spacing w:line="320" w:lineRule="exact"/>
              <w:jc w:val="center"/>
              <w:rPr>
                <w:szCs w:val="21"/>
                <w:highlight w:val="none"/>
              </w:rPr>
            </w:pPr>
            <w:r>
              <w:rPr>
                <w:szCs w:val="21"/>
                <w:highlight w:val="none"/>
              </w:rPr>
              <w:t>水</w:t>
            </w:r>
          </w:p>
        </w:tc>
        <w:tc>
          <w:tcPr>
            <w:tcW w:w="1276" w:type="dxa"/>
            <w:vAlign w:val="center"/>
          </w:tcPr>
          <w:p>
            <w:pPr>
              <w:spacing w:line="320" w:lineRule="exact"/>
              <w:jc w:val="center"/>
              <w:rPr>
                <w:szCs w:val="21"/>
                <w:highlight w:val="none"/>
              </w:rPr>
            </w:pPr>
            <w:r>
              <w:rPr>
                <w:szCs w:val="21"/>
                <w:highlight w:val="none"/>
              </w:rPr>
              <w:t>t/a</w:t>
            </w:r>
          </w:p>
        </w:tc>
        <w:tc>
          <w:tcPr>
            <w:tcW w:w="1544" w:type="dxa"/>
            <w:vAlign w:val="center"/>
          </w:tcPr>
          <w:p>
            <w:pPr>
              <w:spacing w:line="320" w:lineRule="exact"/>
              <w:jc w:val="center"/>
              <w:rPr>
                <w:szCs w:val="21"/>
                <w:highlight w:val="none"/>
              </w:rPr>
            </w:pPr>
            <w:r>
              <w:rPr>
                <w:rFonts w:hint="eastAsia"/>
                <w:szCs w:val="21"/>
                <w:highlight w:val="none"/>
              </w:rPr>
              <w:t>22.4</w:t>
            </w:r>
          </w:p>
        </w:tc>
        <w:tc>
          <w:tcPr>
            <w:tcW w:w="2850" w:type="dxa"/>
            <w:vAlign w:val="center"/>
          </w:tcPr>
          <w:p>
            <w:pPr>
              <w:spacing w:line="320" w:lineRule="exact"/>
              <w:jc w:val="center"/>
              <w:rPr>
                <w:rFonts w:hint="eastAsia" w:eastAsia="宋体"/>
                <w:szCs w:val="21"/>
                <w:highlight w:val="none"/>
                <w:lang w:eastAsia="zh-CN"/>
              </w:rPr>
            </w:pPr>
            <w:r>
              <w:rPr>
                <w:szCs w:val="21"/>
                <w:highlight w:val="none"/>
              </w:rPr>
              <w:t>桶装水</w:t>
            </w:r>
            <w:r>
              <w:rPr>
                <w:rFonts w:hint="eastAsia"/>
                <w:szCs w:val="21"/>
                <w:highlight w:val="none"/>
                <w:lang w:eastAsia="zh-CN"/>
              </w:rPr>
              <w:t>；附近村庄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320" w:lineRule="exact"/>
              <w:jc w:val="center"/>
              <w:rPr>
                <w:szCs w:val="21"/>
                <w:highlight w:val="none"/>
              </w:rPr>
            </w:pPr>
            <w:r>
              <w:rPr>
                <w:szCs w:val="21"/>
                <w:highlight w:val="none"/>
              </w:rPr>
              <w:t>2</w:t>
            </w:r>
          </w:p>
        </w:tc>
        <w:tc>
          <w:tcPr>
            <w:tcW w:w="1701" w:type="dxa"/>
            <w:vAlign w:val="center"/>
          </w:tcPr>
          <w:p>
            <w:pPr>
              <w:spacing w:line="320" w:lineRule="exact"/>
              <w:jc w:val="center"/>
              <w:rPr>
                <w:szCs w:val="21"/>
                <w:highlight w:val="none"/>
              </w:rPr>
            </w:pPr>
            <w:r>
              <w:rPr>
                <w:szCs w:val="21"/>
                <w:highlight w:val="none"/>
              </w:rPr>
              <w:t>电</w:t>
            </w:r>
          </w:p>
        </w:tc>
        <w:tc>
          <w:tcPr>
            <w:tcW w:w="1276" w:type="dxa"/>
            <w:vAlign w:val="center"/>
          </w:tcPr>
          <w:p>
            <w:pPr>
              <w:spacing w:line="320" w:lineRule="exact"/>
              <w:jc w:val="center"/>
              <w:rPr>
                <w:szCs w:val="21"/>
                <w:highlight w:val="none"/>
              </w:rPr>
            </w:pPr>
            <w:r>
              <w:rPr>
                <w:szCs w:val="21"/>
                <w:highlight w:val="none"/>
              </w:rPr>
              <w:t>kWh/a</w:t>
            </w:r>
          </w:p>
        </w:tc>
        <w:tc>
          <w:tcPr>
            <w:tcW w:w="1544" w:type="dxa"/>
            <w:vAlign w:val="center"/>
          </w:tcPr>
          <w:p>
            <w:pPr>
              <w:spacing w:line="320" w:lineRule="exact"/>
              <w:jc w:val="center"/>
              <w:rPr>
                <w:rFonts w:hint="default" w:eastAsia="宋体"/>
                <w:szCs w:val="21"/>
                <w:highlight w:val="none"/>
                <w:lang w:val="en-US" w:eastAsia="zh-CN"/>
              </w:rPr>
            </w:pPr>
            <w:r>
              <w:rPr>
                <w:rFonts w:hint="eastAsia"/>
                <w:szCs w:val="21"/>
                <w:highlight w:val="none"/>
                <w:lang w:val="en-US" w:eastAsia="zh-CN"/>
              </w:rPr>
              <w:t>2000</w:t>
            </w:r>
          </w:p>
        </w:tc>
        <w:tc>
          <w:tcPr>
            <w:tcW w:w="2850" w:type="dxa"/>
            <w:vAlign w:val="center"/>
          </w:tcPr>
          <w:p>
            <w:pPr>
              <w:spacing w:line="320" w:lineRule="exact"/>
              <w:jc w:val="center"/>
              <w:rPr>
                <w:szCs w:val="21"/>
                <w:highlight w:val="none"/>
              </w:rPr>
            </w:pPr>
            <w:r>
              <w:rPr>
                <w:rFonts w:hint="eastAsia"/>
                <w:szCs w:val="21"/>
                <w:highlight w:val="none"/>
              </w:rPr>
              <w:t>电站自身发电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320" w:lineRule="exact"/>
              <w:jc w:val="center"/>
              <w:rPr>
                <w:szCs w:val="21"/>
                <w:highlight w:val="none"/>
              </w:rPr>
            </w:pPr>
            <w:r>
              <w:rPr>
                <w:szCs w:val="21"/>
                <w:highlight w:val="none"/>
              </w:rPr>
              <w:t>3</w:t>
            </w:r>
          </w:p>
        </w:tc>
        <w:tc>
          <w:tcPr>
            <w:tcW w:w="1701" w:type="dxa"/>
            <w:vAlign w:val="center"/>
          </w:tcPr>
          <w:p>
            <w:pPr>
              <w:spacing w:line="320" w:lineRule="exact"/>
              <w:jc w:val="center"/>
              <w:rPr>
                <w:szCs w:val="21"/>
                <w:highlight w:val="none"/>
              </w:rPr>
            </w:pPr>
            <w:r>
              <w:rPr>
                <w:rFonts w:hint="eastAsia"/>
                <w:szCs w:val="21"/>
                <w:highlight w:val="none"/>
              </w:rPr>
              <w:t>变压器油</w:t>
            </w:r>
          </w:p>
        </w:tc>
        <w:tc>
          <w:tcPr>
            <w:tcW w:w="1276" w:type="dxa"/>
            <w:vAlign w:val="center"/>
          </w:tcPr>
          <w:p>
            <w:pPr>
              <w:spacing w:line="320" w:lineRule="exact"/>
              <w:jc w:val="center"/>
              <w:rPr>
                <w:szCs w:val="21"/>
                <w:highlight w:val="none"/>
              </w:rPr>
            </w:pPr>
            <w:r>
              <w:rPr>
                <w:szCs w:val="21"/>
                <w:highlight w:val="none"/>
              </w:rPr>
              <w:t>t/</w:t>
            </w:r>
            <w:r>
              <w:rPr>
                <w:rFonts w:hint="eastAsia"/>
                <w:szCs w:val="21"/>
                <w:highlight w:val="none"/>
              </w:rPr>
              <w:t>5</w:t>
            </w:r>
            <w:r>
              <w:rPr>
                <w:szCs w:val="21"/>
                <w:highlight w:val="none"/>
              </w:rPr>
              <w:t>a</w:t>
            </w:r>
          </w:p>
        </w:tc>
        <w:tc>
          <w:tcPr>
            <w:tcW w:w="1544" w:type="dxa"/>
            <w:vAlign w:val="center"/>
          </w:tcPr>
          <w:p>
            <w:pPr>
              <w:spacing w:line="320" w:lineRule="exact"/>
              <w:jc w:val="center"/>
              <w:rPr>
                <w:szCs w:val="21"/>
                <w:highlight w:val="none"/>
              </w:rPr>
            </w:pPr>
            <w:r>
              <w:rPr>
                <w:szCs w:val="21"/>
                <w:highlight w:val="none"/>
              </w:rPr>
              <w:t>0.0</w:t>
            </w:r>
            <w:r>
              <w:rPr>
                <w:rFonts w:hint="eastAsia"/>
                <w:szCs w:val="21"/>
                <w:highlight w:val="none"/>
              </w:rPr>
              <w:t>8</w:t>
            </w:r>
          </w:p>
        </w:tc>
        <w:tc>
          <w:tcPr>
            <w:tcW w:w="2850" w:type="dxa"/>
            <w:vAlign w:val="center"/>
          </w:tcPr>
          <w:p>
            <w:pPr>
              <w:spacing w:line="320" w:lineRule="exact"/>
              <w:jc w:val="center"/>
              <w:rPr>
                <w:szCs w:val="21"/>
                <w:highlight w:val="none"/>
              </w:rPr>
            </w:pPr>
            <w:r>
              <w:rPr>
                <w:rFonts w:hint="eastAsia"/>
                <w:szCs w:val="21"/>
                <w:highlight w:val="none"/>
              </w:rPr>
              <w:t>由厂家更换，电站内不储存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320" w:lineRule="exact"/>
              <w:jc w:val="center"/>
              <w:rPr>
                <w:szCs w:val="21"/>
                <w:highlight w:val="none"/>
              </w:rPr>
            </w:pPr>
            <w:r>
              <w:rPr>
                <w:szCs w:val="21"/>
                <w:highlight w:val="none"/>
              </w:rPr>
              <w:t>4</w:t>
            </w:r>
          </w:p>
        </w:tc>
        <w:tc>
          <w:tcPr>
            <w:tcW w:w="1701" w:type="dxa"/>
            <w:vAlign w:val="center"/>
          </w:tcPr>
          <w:p>
            <w:pPr>
              <w:spacing w:line="320" w:lineRule="exact"/>
              <w:jc w:val="center"/>
              <w:rPr>
                <w:szCs w:val="21"/>
                <w:highlight w:val="none"/>
              </w:rPr>
            </w:pPr>
            <w:r>
              <w:rPr>
                <w:rFonts w:hint="eastAsia"/>
                <w:szCs w:val="21"/>
                <w:highlight w:val="none"/>
                <w:lang w:eastAsia="zh-CN"/>
              </w:rPr>
              <w:t>润滑</w:t>
            </w:r>
            <w:r>
              <w:rPr>
                <w:rFonts w:hint="eastAsia"/>
                <w:szCs w:val="21"/>
                <w:highlight w:val="none"/>
              </w:rPr>
              <w:t>油</w:t>
            </w:r>
          </w:p>
        </w:tc>
        <w:tc>
          <w:tcPr>
            <w:tcW w:w="1276" w:type="dxa"/>
            <w:vAlign w:val="center"/>
          </w:tcPr>
          <w:p>
            <w:pPr>
              <w:spacing w:line="320" w:lineRule="exact"/>
              <w:jc w:val="center"/>
              <w:rPr>
                <w:szCs w:val="21"/>
                <w:highlight w:val="none"/>
              </w:rPr>
            </w:pPr>
            <w:r>
              <w:rPr>
                <w:szCs w:val="21"/>
                <w:highlight w:val="none"/>
              </w:rPr>
              <w:t>t/a</w:t>
            </w:r>
          </w:p>
        </w:tc>
        <w:tc>
          <w:tcPr>
            <w:tcW w:w="1544" w:type="dxa"/>
            <w:vAlign w:val="center"/>
          </w:tcPr>
          <w:p>
            <w:pPr>
              <w:spacing w:line="320" w:lineRule="exact"/>
              <w:jc w:val="center"/>
              <w:rPr>
                <w:szCs w:val="21"/>
                <w:highlight w:val="none"/>
              </w:rPr>
            </w:pPr>
            <w:r>
              <w:rPr>
                <w:rFonts w:hint="eastAsia"/>
                <w:szCs w:val="21"/>
                <w:highlight w:val="none"/>
              </w:rPr>
              <w:t>0.2</w:t>
            </w:r>
          </w:p>
        </w:tc>
        <w:tc>
          <w:tcPr>
            <w:tcW w:w="2850" w:type="dxa"/>
            <w:vAlign w:val="center"/>
          </w:tcPr>
          <w:p>
            <w:pPr>
              <w:spacing w:line="320" w:lineRule="exact"/>
              <w:jc w:val="center"/>
              <w:rPr>
                <w:rFonts w:hint="eastAsia" w:eastAsia="宋体"/>
                <w:szCs w:val="21"/>
                <w:highlight w:val="none"/>
                <w:lang w:eastAsia="zh-CN"/>
              </w:rPr>
            </w:pPr>
            <w:r>
              <w:rPr>
                <w:rFonts w:hint="eastAsia"/>
                <w:szCs w:val="21"/>
                <w:highlight w:val="none"/>
              </w:rPr>
              <w:t>储存</w:t>
            </w:r>
            <w:r>
              <w:rPr>
                <w:rFonts w:hint="eastAsia"/>
                <w:szCs w:val="21"/>
                <w:highlight w:val="none"/>
                <w:lang w:eastAsia="zh-CN"/>
              </w:rPr>
              <w:t>于危废间</w:t>
            </w:r>
          </w:p>
        </w:tc>
      </w:tr>
    </w:tbl>
    <w:p>
      <w:pPr>
        <w:tabs>
          <w:tab w:val="left" w:pos="1080"/>
        </w:tabs>
        <w:spacing w:line="480" w:lineRule="exact"/>
        <w:outlineLvl w:val="1"/>
        <w:rPr>
          <w:b/>
          <w:sz w:val="24"/>
          <w:highlight w:val="none"/>
        </w:rPr>
      </w:pPr>
      <w:bookmarkStart w:id="132" w:name="_Toc19156"/>
      <w:r>
        <w:rPr>
          <w:rFonts w:hint="eastAsia"/>
          <w:b/>
          <w:sz w:val="24"/>
          <w:highlight w:val="none"/>
        </w:rPr>
        <w:t>2</w:t>
      </w:r>
      <w:r>
        <w:rPr>
          <w:b/>
          <w:sz w:val="24"/>
          <w:highlight w:val="none"/>
        </w:rPr>
        <w:t>.</w:t>
      </w:r>
      <w:r>
        <w:rPr>
          <w:rFonts w:hint="eastAsia"/>
          <w:b/>
          <w:sz w:val="24"/>
          <w:highlight w:val="none"/>
          <w:lang w:val="en-US" w:eastAsia="zh-CN"/>
        </w:rPr>
        <w:t>7</w:t>
      </w:r>
      <w:r>
        <w:rPr>
          <w:b/>
          <w:sz w:val="24"/>
          <w:highlight w:val="none"/>
        </w:rPr>
        <w:t xml:space="preserve"> 工程等级和洪水标准</w:t>
      </w:r>
      <w:bookmarkEnd w:id="132"/>
    </w:p>
    <w:p>
      <w:pPr>
        <w:pStyle w:val="167"/>
        <w:spacing w:line="480" w:lineRule="exact"/>
        <w:ind w:firstLine="480"/>
        <w:rPr>
          <w:sz w:val="24"/>
          <w:highlight w:val="none"/>
        </w:rPr>
      </w:pPr>
      <w:r>
        <w:rPr>
          <w:sz w:val="24"/>
          <w:highlight w:val="none"/>
        </w:rPr>
        <w:t>本项目由</w:t>
      </w:r>
      <w:r>
        <w:rPr>
          <w:snapToGrid w:val="0"/>
          <w:kern w:val="0"/>
          <w:sz w:val="24"/>
          <w:highlight w:val="none"/>
        </w:rPr>
        <w:t>拦</w:t>
      </w:r>
      <w:r>
        <w:rPr>
          <w:rFonts w:hint="eastAsia"/>
          <w:snapToGrid w:val="0"/>
          <w:kern w:val="0"/>
          <w:sz w:val="24"/>
          <w:highlight w:val="none"/>
        </w:rPr>
        <w:t>水</w:t>
      </w:r>
      <w:r>
        <w:rPr>
          <w:snapToGrid w:val="0"/>
          <w:kern w:val="0"/>
          <w:sz w:val="24"/>
          <w:highlight w:val="none"/>
        </w:rPr>
        <w:t>橡胶坝、引水节制闸、引水渠、前池、压力管道、厂房、尾水渠、升压站、并网线路</w:t>
      </w:r>
      <w:r>
        <w:rPr>
          <w:sz w:val="24"/>
          <w:highlight w:val="none"/>
        </w:rPr>
        <w:t>等组成，设计总装机容量为</w:t>
      </w:r>
      <w:r>
        <w:rPr>
          <w:rFonts w:hint="eastAsia"/>
          <w:sz w:val="24"/>
          <w:highlight w:val="none"/>
          <w:lang w:val="en-US" w:eastAsia="zh-CN"/>
        </w:rPr>
        <w:t>500</w:t>
      </w:r>
      <w:r>
        <w:rPr>
          <w:sz w:val="24"/>
          <w:highlight w:val="none"/>
        </w:rPr>
        <w:t>0kw，按《防洪标准》（GB50201-94）及《水利水电工程等级划分及洪水标准》（SL252-2000）规定，电站为五等工程，永久性主要建筑物级别为5级，次要建筑物级别为5级，厂房等级为5级。</w:t>
      </w:r>
    </w:p>
    <w:p>
      <w:pPr>
        <w:tabs>
          <w:tab w:val="left" w:pos="1080"/>
        </w:tabs>
        <w:spacing w:line="480" w:lineRule="exact"/>
        <w:outlineLvl w:val="1"/>
        <w:rPr>
          <w:b/>
          <w:sz w:val="24"/>
          <w:highlight w:val="none"/>
        </w:rPr>
      </w:pPr>
      <w:bookmarkStart w:id="133" w:name="_Toc11528"/>
      <w:r>
        <w:rPr>
          <w:rFonts w:hint="eastAsia"/>
          <w:b/>
          <w:sz w:val="24"/>
          <w:highlight w:val="none"/>
        </w:rPr>
        <w:t>2</w:t>
      </w:r>
      <w:r>
        <w:rPr>
          <w:b/>
          <w:sz w:val="24"/>
          <w:highlight w:val="none"/>
        </w:rPr>
        <w:t>.</w:t>
      </w:r>
      <w:r>
        <w:rPr>
          <w:rFonts w:hint="eastAsia"/>
          <w:b/>
          <w:sz w:val="24"/>
          <w:highlight w:val="none"/>
          <w:lang w:val="en-US" w:eastAsia="zh-CN"/>
        </w:rPr>
        <w:t>8</w:t>
      </w:r>
      <w:r>
        <w:rPr>
          <w:b/>
          <w:sz w:val="24"/>
          <w:highlight w:val="none"/>
        </w:rPr>
        <w:t xml:space="preserve"> 工程布置及主要构筑物</w:t>
      </w:r>
      <w:bookmarkEnd w:id="133"/>
    </w:p>
    <w:p>
      <w:pPr>
        <w:tabs>
          <w:tab w:val="left" w:pos="1080"/>
        </w:tabs>
        <w:spacing w:line="480" w:lineRule="exact"/>
        <w:outlineLvl w:val="1"/>
        <w:rPr>
          <w:b/>
          <w:sz w:val="24"/>
          <w:highlight w:val="none"/>
        </w:rPr>
      </w:pPr>
      <w:bookmarkStart w:id="134" w:name="_Toc486312306"/>
      <w:bookmarkStart w:id="135" w:name="_Toc4408"/>
      <w:bookmarkStart w:id="136" w:name="_Toc16008"/>
      <w:bookmarkStart w:id="137" w:name="_Toc461439968"/>
      <w:bookmarkStart w:id="138" w:name="_Toc509898607"/>
      <w:bookmarkStart w:id="139" w:name="_Toc471855598"/>
      <w:bookmarkStart w:id="140" w:name="_Toc46734042"/>
      <w:bookmarkStart w:id="141" w:name="_Toc519179232"/>
      <w:bookmarkStart w:id="142" w:name="_Toc20463"/>
      <w:bookmarkStart w:id="143" w:name="_Toc17024"/>
      <w:bookmarkStart w:id="144" w:name="_Toc9229"/>
      <w:r>
        <w:rPr>
          <w:rFonts w:hint="eastAsia"/>
          <w:b/>
          <w:sz w:val="24"/>
          <w:highlight w:val="none"/>
        </w:rPr>
        <w:t>2</w:t>
      </w:r>
      <w:r>
        <w:rPr>
          <w:b/>
          <w:sz w:val="24"/>
          <w:highlight w:val="none"/>
        </w:rPr>
        <w:t>.</w:t>
      </w:r>
      <w:r>
        <w:rPr>
          <w:rFonts w:hint="eastAsia"/>
          <w:b/>
          <w:sz w:val="24"/>
          <w:highlight w:val="none"/>
          <w:lang w:val="en-US" w:eastAsia="zh-CN"/>
        </w:rPr>
        <w:t>8</w:t>
      </w:r>
      <w:r>
        <w:rPr>
          <w:b/>
          <w:sz w:val="24"/>
          <w:highlight w:val="none"/>
        </w:rPr>
        <w:t>.1工程总体布置</w:t>
      </w:r>
      <w:bookmarkEnd w:id="134"/>
      <w:bookmarkEnd w:id="135"/>
      <w:bookmarkEnd w:id="136"/>
      <w:bookmarkEnd w:id="137"/>
      <w:bookmarkEnd w:id="138"/>
      <w:bookmarkEnd w:id="139"/>
      <w:bookmarkEnd w:id="140"/>
      <w:bookmarkEnd w:id="141"/>
      <w:bookmarkEnd w:id="142"/>
      <w:bookmarkEnd w:id="143"/>
      <w:bookmarkEnd w:id="144"/>
    </w:p>
    <w:p>
      <w:pPr>
        <w:spacing w:line="480" w:lineRule="exact"/>
        <w:ind w:firstLine="480" w:firstLineChars="200"/>
        <w:jc w:val="left"/>
        <w:rPr>
          <w:sz w:val="24"/>
          <w:highlight w:val="none"/>
        </w:rPr>
      </w:pPr>
      <w:r>
        <w:rPr>
          <w:sz w:val="24"/>
          <w:highlight w:val="none"/>
        </w:rPr>
        <w:t>本项目设计总装机容量为</w:t>
      </w:r>
      <w:r>
        <w:rPr>
          <w:rFonts w:hint="eastAsia"/>
          <w:sz w:val="24"/>
          <w:highlight w:val="none"/>
          <w:lang w:val="en-US" w:eastAsia="zh-CN"/>
        </w:rPr>
        <w:t>500</w:t>
      </w:r>
      <w:r>
        <w:rPr>
          <w:sz w:val="24"/>
          <w:highlight w:val="none"/>
        </w:rPr>
        <w:t>0kw，为引水式电站。由</w:t>
      </w:r>
      <w:r>
        <w:rPr>
          <w:snapToGrid w:val="0"/>
          <w:kern w:val="0"/>
          <w:sz w:val="24"/>
          <w:highlight w:val="none"/>
        </w:rPr>
        <w:t>拦河橡胶坝、引水节制闸、引水渠、前池、压力管道、厂房、尾水渠、升压站、并网线路、厂区及附属设施和生活区</w:t>
      </w:r>
      <w:r>
        <w:rPr>
          <w:sz w:val="24"/>
          <w:highlight w:val="none"/>
        </w:rPr>
        <w:t>组成，橡胶坝位于黎河内，其余建筑布置于引滦入津黎河段左岸道路</w:t>
      </w:r>
      <w:r>
        <w:rPr>
          <w:rFonts w:hint="eastAsia"/>
          <w:sz w:val="24"/>
          <w:highlight w:val="none"/>
          <w:lang w:eastAsia="zh-CN"/>
        </w:rPr>
        <w:t>北</w:t>
      </w:r>
      <w:r>
        <w:rPr>
          <w:sz w:val="24"/>
          <w:highlight w:val="none"/>
        </w:rPr>
        <w:t>侧。</w:t>
      </w:r>
    </w:p>
    <w:p>
      <w:pPr>
        <w:pStyle w:val="233"/>
        <w:spacing w:line="480" w:lineRule="exact"/>
        <w:ind w:firstLine="514"/>
        <w:rPr>
          <w:rFonts w:ascii="Times New Roman" w:hAnsi="Times New Roman" w:cs="Times New Roman"/>
          <w:bCs/>
          <w:szCs w:val="24"/>
          <w:highlight w:val="none"/>
        </w:rPr>
      </w:pPr>
      <w:r>
        <w:rPr>
          <w:rFonts w:ascii="Times New Roman" w:hAnsi="Times New Roman" w:cs="Times New Roman"/>
          <w:bCs/>
          <w:szCs w:val="24"/>
          <w:highlight w:val="none"/>
        </w:rPr>
        <w:t>本项目主要建筑物有：</w:t>
      </w:r>
      <w:r>
        <w:rPr>
          <w:rFonts w:ascii="Times New Roman" w:hAnsi="Times New Roman" w:cs="Times New Roman"/>
          <w:snapToGrid w:val="0"/>
          <w:highlight w:val="none"/>
        </w:rPr>
        <w:t>拦</w:t>
      </w:r>
      <w:r>
        <w:rPr>
          <w:rFonts w:hint="eastAsia" w:ascii="Times New Roman" w:hAnsi="Times New Roman" w:cs="Times New Roman"/>
          <w:snapToGrid w:val="0"/>
          <w:highlight w:val="none"/>
        </w:rPr>
        <w:t>水</w:t>
      </w:r>
      <w:r>
        <w:rPr>
          <w:rFonts w:ascii="Times New Roman" w:hAnsi="Times New Roman" w:cs="Times New Roman"/>
          <w:snapToGrid w:val="0"/>
          <w:highlight w:val="none"/>
        </w:rPr>
        <w:t>橡胶坝、引水节制闸、引水渠、前池、压力管道、厂房、尾水渠、升压站、并网线路、厂区及附属设施和生活区</w:t>
      </w:r>
      <w:r>
        <w:rPr>
          <w:rFonts w:ascii="Times New Roman" w:hAnsi="Times New Roman" w:cs="Times New Roman"/>
          <w:bCs/>
          <w:szCs w:val="24"/>
          <w:highlight w:val="none"/>
        </w:rPr>
        <w:t>等，具体如下：</w:t>
      </w:r>
    </w:p>
    <w:p>
      <w:pPr>
        <w:pStyle w:val="233"/>
        <w:spacing w:line="480" w:lineRule="exact"/>
        <w:ind w:firstLine="360" w:firstLineChars="150"/>
        <w:rPr>
          <w:rFonts w:ascii="Times New Roman" w:hAnsi="Times New Roman" w:cs="Times New Roman"/>
          <w:bCs/>
          <w:szCs w:val="24"/>
          <w:highlight w:val="none"/>
        </w:rPr>
      </w:pPr>
      <w:r>
        <w:rPr>
          <w:rFonts w:ascii="Times New Roman" w:hAnsi="Times New Roman" w:cs="Times New Roman"/>
          <w:bCs/>
          <w:szCs w:val="24"/>
          <w:highlight w:val="none"/>
        </w:rPr>
        <w:t>（1）拦水橡胶坝</w:t>
      </w:r>
    </w:p>
    <w:p>
      <w:pPr>
        <w:pStyle w:val="233"/>
        <w:spacing w:line="480" w:lineRule="exact"/>
        <w:ind w:firstLine="514"/>
        <w:rPr>
          <w:rFonts w:ascii="Times New Roman" w:hAnsi="Times New Roman" w:cs="Times New Roman"/>
          <w:bCs/>
          <w:szCs w:val="24"/>
          <w:highlight w:val="none"/>
        </w:rPr>
      </w:pPr>
      <w:r>
        <w:rPr>
          <w:rFonts w:hint="eastAsia" w:ascii="Times New Roman" w:hAnsi="Times New Roman" w:cs="Times New Roman"/>
          <w:highlight w:val="none"/>
        </w:rPr>
        <w:t>在黎河布设拦水橡胶坝，布置在本站上游540m处（地理坐标北纬40.187225°、东经118.129978°）。拦水橡胶坝为充水型，坝高2m，坝长87m</w:t>
      </w:r>
      <w:r>
        <w:rPr>
          <w:rFonts w:ascii="Times New Roman" w:hAnsi="Times New Roman" w:cs="Times New Roman"/>
          <w:highlight w:val="none"/>
        </w:rPr>
        <w:t>。</w:t>
      </w:r>
    </w:p>
    <w:p>
      <w:pPr>
        <w:pStyle w:val="233"/>
        <w:spacing w:line="480" w:lineRule="exact"/>
        <w:ind w:firstLine="360" w:firstLineChars="150"/>
        <w:rPr>
          <w:rFonts w:ascii="Times New Roman" w:hAnsi="Times New Roman" w:cs="Times New Roman"/>
          <w:bCs/>
          <w:szCs w:val="24"/>
          <w:highlight w:val="none"/>
        </w:rPr>
      </w:pPr>
      <w:r>
        <w:rPr>
          <w:rFonts w:ascii="Times New Roman" w:hAnsi="Times New Roman" w:cs="Times New Roman"/>
          <w:bCs/>
          <w:szCs w:val="24"/>
          <w:highlight w:val="none"/>
        </w:rPr>
        <w:t>（2）进口节制闸</w:t>
      </w:r>
    </w:p>
    <w:p>
      <w:pPr>
        <w:snapToGrid w:val="0"/>
        <w:spacing w:line="480" w:lineRule="exact"/>
        <w:ind w:firstLine="560"/>
        <w:rPr>
          <w:bCs/>
          <w:kern w:val="0"/>
          <w:sz w:val="24"/>
          <w:highlight w:val="none"/>
        </w:rPr>
      </w:pPr>
      <w:r>
        <w:rPr>
          <w:rFonts w:hint="eastAsia"/>
          <w:bCs/>
          <w:kern w:val="0"/>
          <w:sz w:val="24"/>
          <w:highlight w:val="none"/>
        </w:rPr>
        <w:t>进口节制闸设计引水流量62m</w:t>
      </w:r>
      <w:r>
        <w:rPr>
          <w:rFonts w:hint="eastAsia"/>
          <w:bCs/>
          <w:kern w:val="0"/>
          <w:sz w:val="24"/>
          <w:highlight w:val="none"/>
          <w:vertAlign w:val="superscript"/>
        </w:rPr>
        <w:t>3</w:t>
      </w:r>
      <w:r>
        <w:rPr>
          <w:rFonts w:hint="eastAsia"/>
          <w:bCs/>
          <w:kern w:val="0"/>
          <w:sz w:val="24"/>
          <w:highlight w:val="none"/>
        </w:rPr>
        <w:t>/s，闸前设计水位87.00m。闸室为钢筋混凝土结构，长8.0m，底板高程83.20m，墩顶高程88.06m，孔口尺寸5.0m×4.6m，共2孔</w:t>
      </w:r>
      <w:r>
        <w:rPr>
          <w:bCs/>
          <w:kern w:val="0"/>
          <w:sz w:val="24"/>
          <w:highlight w:val="none"/>
        </w:rPr>
        <w:t>。</w:t>
      </w:r>
    </w:p>
    <w:p>
      <w:pPr>
        <w:pStyle w:val="233"/>
        <w:spacing w:line="480" w:lineRule="exact"/>
        <w:ind w:firstLine="360" w:firstLineChars="150"/>
        <w:rPr>
          <w:rFonts w:ascii="Times New Roman" w:hAnsi="Times New Roman" w:cs="Times New Roman"/>
          <w:bCs/>
          <w:szCs w:val="24"/>
          <w:highlight w:val="none"/>
        </w:rPr>
      </w:pPr>
      <w:r>
        <w:rPr>
          <w:rFonts w:ascii="Times New Roman" w:hAnsi="Times New Roman" w:cs="Times New Roman"/>
          <w:bCs/>
          <w:szCs w:val="24"/>
          <w:highlight w:val="none"/>
        </w:rPr>
        <w:t>（3）引水渠</w:t>
      </w:r>
    </w:p>
    <w:p>
      <w:pPr>
        <w:pStyle w:val="233"/>
        <w:spacing w:line="480" w:lineRule="exact"/>
        <w:ind w:firstLine="480" w:firstLineChars="200"/>
        <w:rPr>
          <w:rFonts w:ascii="Times New Roman" w:hAnsi="Times New Roman" w:cs="Times New Roman"/>
          <w:bCs/>
          <w:szCs w:val="24"/>
          <w:highlight w:val="none"/>
        </w:rPr>
      </w:pPr>
      <w:r>
        <w:rPr>
          <w:rFonts w:hint="eastAsia" w:ascii="Times New Roman" w:hAnsi="Times New Roman" w:cs="Times New Roman"/>
          <w:bCs/>
          <w:szCs w:val="24"/>
          <w:highlight w:val="none"/>
        </w:rPr>
        <w:t>引水渠总长996.67m，梯形断面，纵坡为1/4000，分为上、下两段，上段设计水深3.8m，底宽5.4m，边坡1：1；下段设计水深3.5m，底宽2.5m，边坡1：2</w:t>
      </w:r>
      <w:r>
        <w:rPr>
          <w:rFonts w:ascii="Times New Roman" w:hAnsi="Times New Roman" w:cs="Times New Roman"/>
          <w:bCs/>
          <w:szCs w:val="24"/>
          <w:highlight w:val="none"/>
        </w:rPr>
        <w:t>。</w:t>
      </w:r>
    </w:p>
    <w:p>
      <w:pPr>
        <w:pStyle w:val="233"/>
        <w:spacing w:line="480" w:lineRule="exact"/>
        <w:ind w:firstLine="360" w:firstLineChars="150"/>
        <w:rPr>
          <w:rFonts w:ascii="Times New Roman" w:hAnsi="Times New Roman" w:cs="Times New Roman"/>
          <w:bCs/>
          <w:szCs w:val="24"/>
          <w:highlight w:val="none"/>
        </w:rPr>
      </w:pPr>
      <w:r>
        <w:rPr>
          <w:rFonts w:ascii="Times New Roman" w:hAnsi="Times New Roman" w:cs="Times New Roman"/>
          <w:bCs/>
          <w:szCs w:val="24"/>
          <w:highlight w:val="none"/>
        </w:rPr>
        <w:t>（4）前池</w:t>
      </w:r>
    </w:p>
    <w:p>
      <w:pPr>
        <w:pStyle w:val="33"/>
        <w:snapToGrid w:val="0"/>
        <w:spacing w:after="0" w:line="480" w:lineRule="exact"/>
        <w:ind w:left="0" w:leftChars="0" w:firstLine="480" w:firstLineChars="200"/>
        <w:rPr>
          <w:bCs/>
          <w:kern w:val="0"/>
          <w:sz w:val="24"/>
          <w:highlight w:val="none"/>
        </w:rPr>
      </w:pPr>
      <w:r>
        <w:rPr>
          <w:rFonts w:hint="eastAsia"/>
          <w:bCs/>
          <w:kern w:val="0"/>
          <w:sz w:val="24"/>
          <w:highlight w:val="none"/>
        </w:rPr>
        <w:t>前池采用钢筋混凝土护底，边墙为扶臂式钢筋混凝土挡土墙，迎水面采用0.5m厚钢筋混凝土护面，设计水位86.69m，最高溢流水位87.51m，最低水位86.19m。进水室采用快速闸门控制，前设拦污栅一道。前池左侧布置长30m的溢流堰，下设长70.0m、宽12.0m的钢筋混凝土护面的浆砌石泄水渠</w:t>
      </w:r>
      <w:r>
        <w:rPr>
          <w:bCs/>
          <w:kern w:val="0"/>
          <w:sz w:val="24"/>
          <w:highlight w:val="none"/>
        </w:rPr>
        <w:t>。</w:t>
      </w:r>
    </w:p>
    <w:p>
      <w:pPr>
        <w:pStyle w:val="33"/>
        <w:snapToGrid w:val="0"/>
        <w:spacing w:after="0" w:line="480" w:lineRule="exact"/>
        <w:ind w:leftChars="0"/>
        <w:rPr>
          <w:bCs/>
          <w:kern w:val="0"/>
          <w:sz w:val="24"/>
          <w:highlight w:val="none"/>
        </w:rPr>
      </w:pPr>
      <w:r>
        <w:rPr>
          <w:bCs/>
          <w:kern w:val="0"/>
          <w:sz w:val="24"/>
          <w:highlight w:val="none"/>
        </w:rPr>
        <w:t>（5）压力管道</w:t>
      </w:r>
    </w:p>
    <w:p>
      <w:pPr>
        <w:pStyle w:val="33"/>
        <w:snapToGrid w:val="0"/>
        <w:spacing w:after="0" w:line="480" w:lineRule="exact"/>
        <w:ind w:left="0" w:leftChars="0" w:firstLine="480" w:firstLineChars="200"/>
        <w:rPr>
          <w:bCs/>
          <w:kern w:val="0"/>
          <w:sz w:val="24"/>
          <w:highlight w:val="none"/>
        </w:rPr>
      </w:pPr>
      <w:r>
        <w:rPr>
          <w:rFonts w:hint="eastAsia"/>
          <w:bCs/>
          <w:kern w:val="0"/>
          <w:sz w:val="24"/>
          <w:highlight w:val="none"/>
        </w:rPr>
        <w:t>设计流量55.92m</w:t>
      </w:r>
      <w:r>
        <w:rPr>
          <w:rFonts w:hint="eastAsia"/>
          <w:bCs/>
          <w:kern w:val="0"/>
          <w:sz w:val="24"/>
          <w:highlight w:val="none"/>
          <w:vertAlign w:val="superscript"/>
        </w:rPr>
        <w:t>3</w:t>
      </w:r>
      <w:r>
        <w:rPr>
          <w:rFonts w:hint="eastAsia"/>
          <w:bCs/>
          <w:kern w:val="0"/>
          <w:sz w:val="24"/>
          <w:highlight w:val="none"/>
        </w:rPr>
        <w:t>/s，长26m，矩形钢筋混凝土结构，断面尺寸5.735×5.305m</w:t>
      </w:r>
      <w:r>
        <w:rPr>
          <w:bCs/>
          <w:kern w:val="0"/>
          <w:sz w:val="24"/>
          <w:highlight w:val="none"/>
        </w:rPr>
        <w:t>。</w:t>
      </w:r>
    </w:p>
    <w:p>
      <w:pPr>
        <w:pStyle w:val="233"/>
        <w:spacing w:line="480" w:lineRule="exact"/>
        <w:ind w:firstLine="360" w:firstLineChars="150"/>
        <w:rPr>
          <w:rFonts w:ascii="Times New Roman" w:hAnsi="Times New Roman" w:cs="Times New Roman"/>
          <w:szCs w:val="24"/>
          <w:highlight w:val="none"/>
        </w:rPr>
      </w:pPr>
      <w:r>
        <w:rPr>
          <w:rFonts w:ascii="Times New Roman" w:hAnsi="Times New Roman" w:cs="Times New Roman"/>
          <w:bCs/>
          <w:szCs w:val="24"/>
          <w:highlight w:val="none"/>
        </w:rPr>
        <w:t>（6）</w:t>
      </w:r>
      <w:r>
        <w:rPr>
          <w:rFonts w:ascii="Times New Roman" w:hAnsi="Times New Roman" w:cs="Times New Roman"/>
          <w:szCs w:val="24"/>
          <w:highlight w:val="none"/>
        </w:rPr>
        <w:t>厂房</w:t>
      </w:r>
    </w:p>
    <w:p>
      <w:pPr>
        <w:pStyle w:val="33"/>
        <w:snapToGrid w:val="0"/>
        <w:spacing w:after="0" w:line="480" w:lineRule="exact"/>
        <w:ind w:left="0" w:leftChars="0" w:firstLine="420" w:firstLineChars="175"/>
        <w:rPr>
          <w:bCs/>
          <w:kern w:val="0"/>
          <w:sz w:val="24"/>
          <w:highlight w:val="none"/>
        </w:rPr>
      </w:pPr>
      <w:r>
        <w:rPr>
          <w:rFonts w:hint="eastAsia"/>
          <w:bCs/>
          <w:kern w:val="0"/>
          <w:sz w:val="24"/>
          <w:highlight w:val="none"/>
        </w:rPr>
        <w:t>电站主副厂房位于黎河右堤外侧，厂房平面尺寸26.32m×20.4m(长×宽)。其中主厂房26.32×13.15m，设有1台水轮发电机组，水轮机安装高程72.10m，安装间位于发电机下游侧，地面高程80.86m。副厂房26.32m×7.25m，位于主厂房左侧。升压站位于厂房上游，平面尺寸20×10m。主变压器安装在升压站内，安装高程81.16m。厂区地面高程80.36m</w:t>
      </w:r>
      <w:r>
        <w:rPr>
          <w:bCs/>
          <w:kern w:val="0"/>
          <w:sz w:val="24"/>
          <w:highlight w:val="none"/>
        </w:rPr>
        <w:t>。</w:t>
      </w:r>
    </w:p>
    <w:p>
      <w:pPr>
        <w:snapToGrid w:val="0"/>
        <w:spacing w:line="480" w:lineRule="exact"/>
        <w:ind w:firstLine="360" w:firstLineChars="150"/>
        <w:rPr>
          <w:bCs/>
          <w:kern w:val="0"/>
          <w:sz w:val="24"/>
          <w:highlight w:val="none"/>
        </w:rPr>
      </w:pPr>
      <w:r>
        <w:rPr>
          <w:sz w:val="24"/>
          <w:highlight w:val="none"/>
        </w:rPr>
        <w:t>（</w:t>
      </w:r>
      <w:r>
        <w:rPr>
          <w:rFonts w:hint="eastAsia"/>
          <w:sz w:val="24"/>
          <w:highlight w:val="none"/>
          <w:lang w:val="en-US" w:eastAsia="zh-CN"/>
        </w:rPr>
        <w:t>7</w:t>
      </w:r>
      <w:r>
        <w:rPr>
          <w:sz w:val="24"/>
          <w:highlight w:val="none"/>
        </w:rPr>
        <w:t>）</w:t>
      </w:r>
      <w:r>
        <w:rPr>
          <w:bCs/>
          <w:kern w:val="0"/>
          <w:sz w:val="24"/>
          <w:highlight w:val="none"/>
        </w:rPr>
        <w:t>升压站</w:t>
      </w:r>
    </w:p>
    <w:p>
      <w:pPr>
        <w:pStyle w:val="33"/>
        <w:snapToGrid w:val="0"/>
        <w:spacing w:after="0" w:line="480" w:lineRule="exact"/>
        <w:ind w:left="0" w:leftChars="0" w:firstLine="480" w:firstLineChars="200"/>
        <w:rPr>
          <w:bCs/>
          <w:kern w:val="0"/>
          <w:sz w:val="24"/>
          <w:highlight w:val="none"/>
        </w:rPr>
      </w:pPr>
      <w:r>
        <w:rPr>
          <w:rFonts w:hint="eastAsia"/>
          <w:bCs/>
          <w:kern w:val="0"/>
          <w:sz w:val="24"/>
          <w:highlight w:val="none"/>
        </w:rPr>
        <w:t>位于厂房下上游侧</w:t>
      </w:r>
      <w:r>
        <w:rPr>
          <w:rFonts w:hint="eastAsia"/>
          <w:bCs/>
          <w:kern w:val="0"/>
          <w:sz w:val="24"/>
          <w:highlight w:val="none"/>
          <w:lang w:eastAsia="zh-CN"/>
        </w:rPr>
        <w:t>。长20m，宽10m，地面高程为80.36m，安装高程81.16m，户外露天布置。并网线路长6，5km，电压等级为11kv，接入崔家庄35kv变电站</w:t>
      </w:r>
      <w:r>
        <w:rPr>
          <w:bCs/>
          <w:kern w:val="0"/>
          <w:sz w:val="24"/>
          <w:highlight w:val="none"/>
        </w:rPr>
        <w:t>。</w:t>
      </w:r>
    </w:p>
    <w:p>
      <w:pPr>
        <w:snapToGrid w:val="0"/>
        <w:spacing w:line="480" w:lineRule="exact"/>
        <w:ind w:firstLine="360" w:firstLineChars="150"/>
        <w:rPr>
          <w:sz w:val="24"/>
          <w:highlight w:val="none"/>
        </w:rPr>
      </w:pPr>
      <w:r>
        <w:rPr>
          <w:bCs/>
          <w:kern w:val="0"/>
          <w:sz w:val="24"/>
          <w:highlight w:val="none"/>
        </w:rPr>
        <w:t>（</w:t>
      </w:r>
      <w:r>
        <w:rPr>
          <w:rFonts w:hint="eastAsia"/>
          <w:bCs/>
          <w:kern w:val="0"/>
          <w:sz w:val="24"/>
          <w:highlight w:val="none"/>
          <w:lang w:val="en-US" w:eastAsia="zh-CN"/>
        </w:rPr>
        <w:t>8</w:t>
      </w:r>
      <w:r>
        <w:rPr>
          <w:bCs/>
          <w:kern w:val="0"/>
          <w:sz w:val="24"/>
          <w:highlight w:val="none"/>
        </w:rPr>
        <w:t>）</w:t>
      </w:r>
      <w:r>
        <w:rPr>
          <w:sz w:val="24"/>
          <w:highlight w:val="none"/>
        </w:rPr>
        <w:t>尾水渠</w:t>
      </w:r>
    </w:p>
    <w:p>
      <w:pPr>
        <w:snapToGrid w:val="0"/>
        <w:spacing w:line="480" w:lineRule="exact"/>
        <w:ind w:firstLine="360" w:firstLineChars="150"/>
        <w:rPr>
          <w:sz w:val="24"/>
          <w:highlight w:val="none"/>
        </w:rPr>
      </w:pPr>
      <w:r>
        <w:rPr>
          <w:rFonts w:hint="eastAsia"/>
          <w:sz w:val="24"/>
          <w:highlight w:val="none"/>
        </w:rPr>
        <w:t>尾水渠上段位于河道右堤外，为矩形过水断面，底宽15m，下游位于河床内,为梯形过水断面，底宽53.5m，边坡1：3。渠底首端高程74.30m, 最大挖深11.4m,设计流量60m3/s，渠底末端高程74.92m,设计水深1.00m,边坡1:3.0,设计纵坡1/2000,长度440.76m</w:t>
      </w:r>
      <w:r>
        <w:rPr>
          <w:sz w:val="24"/>
          <w:highlight w:val="none"/>
        </w:rPr>
        <w:t>。</w:t>
      </w:r>
    </w:p>
    <w:p>
      <w:pPr>
        <w:tabs>
          <w:tab w:val="left" w:pos="1080"/>
        </w:tabs>
        <w:spacing w:line="480" w:lineRule="exact"/>
        <w:outlineLvl w:val="1"/>
        <w:rPr>
          <w:b/>
          <w:sz w:val="24"/>
          <w:highlight w:val="none"/>
        </w:rPr>
      </w:pPr>
      <w:bookmarkStart w:id="145" w:name="_Toc14858"/>
      <w:bookmarkStart w:id="146" w:name="_Toc519179233"/>
      <w:bookmarkStart w:id="147" w:name="_Toc26419"/>
      <w:bookmarkStart w:id="148" w:name="_Toc509898608"/>
      <w:bookmarkStart w:id="149" w:name="_Toc46734043"/>
      <w:bookmarkStart w:id="150" w:name="_Toc30789"/>
      <w:r>
        <w:rPr>
          <w:rFonts w:hint="eastAsia"/>
          <w:b/>
          <w:sz w:val="24"/>
          <w:highlight w:val="none"/>
        </w:rPr>
        <w:t>2</w:t>
      </w:r>
      <w:r>
        <w:rPr>
          <w:b/>
          <w:sz w:val="24"/>
          <w:highlight w:val="none"/>
        </w:rPr>
        <w:t>.</w:t>
      </w:r>
      <w:r>
        <w:rPr>
          <w:rFonts w:hint="eastAsia"/>
          <w:b/>
          <w:sz w:val="24"/>
          <w:highlight w:val="none"/>
          <w:lang w:val="en-US" w:eastAsia="zh-CN"/>
        </w:rPr>
        <w:t>8</w:t>
      </w:r>
      <w:r>
        <w:rPr>
          <w:b/>
          <w:sz w:val="24"/>
          <w:highlight w:val="none"/>
        </w:rPr>
        <w:t>.2主要设备</w:t>
      </w:r>
      <w:bookmarkEnd w:id="145"/>
      <w:bookmarkEnd w:id="146"/>
      <w:bookmarkEnd w:id="147"/>
      <w:bookmarkEnd w:id="148"/>
      <w:bookmarkEnd w:id="149"/>
      <w:bookmarkEnd w:id="150"/>
    </w:p>
    <w:p>
      <w:pPr>
        <w:pStyle w:val="233"/>
        <w:spacing w:line="480" w:lineRule="exact"/>
        <w:ind w:firstLine="514"/>
        <w:rPr>
          <w:rFonts w:ascii="Times New Roman" w:hAnsi="Times New Roman" w:cs="Times New Roman"/>
          <w:bCs/>
          <w:szCs w:val="24"/>
          <w:highlight w:val="none"/>
        </w:rPr>
      </w:pPr>
      <w:r>
        <w:rPr>
          <w:rFonts w:ascii="Times New Roman" w:hAnsi="Times New Roman" w:cs="Times New Roman"/>
          <w:bCs/>
          <w:szCs w:val="24"/>
          <w:highlight w:val="none"/>
        </w:rPr>
        <w:t>（1）水力机械</w:t>
      </w:r>
    </w:p>
    <w:p>
      <w:pPr>
        <w:pStyle w:val="233"/>
        <w:spacing w:line="480" w:lineRule="exact"/>
        <w:ind w:firstLine="514"/>
        <w:rPr>
          <w:rFonts w:ascii="Times New Roman" w:hAnsi="Times New Roman" w:cs="Times New Roman"/>
          <w:szCs w:val="24"/>
          <w:highlight w:val="none"/>
        </w:rPr>
      </w:pPr>
      <w:r>
        <w:rPr>
          <w:rFonts w:hint="eastAsia" w:ascii="Times New Roman" w:hAnsi="Times New Roman" w:cs="Times New Roman"/>
          <w:szCs w:val="24"/>
          <w:highlight w:val="none"/>
        </w:rPr>
        <w:t>机电设备安装包括：一台GZTF-WP-275型灯泡贯流式水轮机，配一台SFWG5000 -36/3250型同步发电机；一台TDBWST－80型微机调速器；一台DWLZ－2C型双微机三相全控桥静止可控硅励磁装置；一套长沙华能自控集团自动监控设备；高低压盘柜13面；两台厂用变压器；一台32/5T桥式起重机；油、水、气等辅助设备</w:t>
      </w:r>
      <w:r>
        <w:rPr>
          <w:rFonts w:ascii="Times New Roman" w:hAnsi="Times New Roman" w:cs="Times New Roman"/>
          <w:szCs w:val="24"/>
          <w:highlight w:val="none"/>
        </w:rPr>
        <w:t>。水轮机主要参数见表</w:t>
      </w:r>
      <w:r>
        <w:rPr>
          <w:rFonts w:hint="eastAsia" w:ascii="Times New Roman" w:hAnsi="Times New Roman" w:cs="Times New Roman"/>
          <w:szCs w:val="24"/>
          <w:highlight w:val="none"/>
        </w:rPr>
        <w:t>2</w:t>
      </w:r>
      <w:r>
        <w:rPr>
          <w:rFonts w:ascii="Times New Roman" w:hAnsi="Times New Roman" w:cs="Times New Roman"/>
          <w:szCs w:val="24"/>
          <w:highlight w:val="none"/>
        </w:rPr>
        <w:t>.</w:t>
      </w:r>
      <w:r>
        <w:rPr>
          <w:rFonts w:hint="eastAsia" w:ascii="Times New Roman" w:hAnsi="Times New Roman" w:cs="Times New Roman"/>
          <w:szCs w:val="24"/>
          <w:highlight w:val="none"/>
          <w:lang w:val="en-US" w:eastAsia="zh-CN"/>
        </w:rPr>
        <w:t>8</w:t>
      </w:r>
      <w:r>
        <w:rPr>
          <w:rFonts w:ascii="Times New Roman" w:hAnsi="Times New Roman" w:cs="Times New Roman"/>
          <w:szCs w:val="24"/>
          <w:highlight w:val="none"/>
        </w:rPr>
        <w:t>-1。</w:t>
      </w:r>
    </w:p>
    <w:p>
      <w:pPr>
        <w:spacing w:line="480" w:lineRule="exact"/>
        <w:jc w:val="center"/>
        <w:rPr>
          <w:b/>
          <w:bCs/>
          <w:sz w:val="24"/>
          <w:highlight w:val="none"/>
        </w:rPr>
      </w:pPr>
      <w:r>
        <w:rPr>
          <w:b/>
          <w:bCs/>
          <w:sz w:val="24"/>
          <w:highlight w:val="none"/>
        </w:rPr>
        <w:t>表</w:t>
      </w:r>
      <w:r>
        <w:rPr>
          <w:rFonts w:hint="eastAsia"/>
          <w:b/>
          <w:bCs/>
          <w:sz w:val="24"/>
          <w:highlight w:val="none"/>
        </w:rPr>
        <w:t>2</w:t>
      </w:r>
      <w:r>
        <w:rPr>
          <w:b/>
          <w:bCs/>
          <w:sz w:val="24"/>
          <w:highlight w:val="none"/>
        </w:rPr>
        <w:t>.</w:t>
      </w:r>
      <w:r>
        <w:rPr>
          <w:rFonts w:hint="eastAsia"/>
          <w:b/>
          <w:bCs/>
          <w:sz w:val="24"/>
          <w:highlight w:val="none"/>
          <w:lang w:val="en-US" w:eastAsia="zh-CN"/>
        </w:rPr>
        <w:t>8</w:t>
      </w:r>
      <w:r>
        <w:rPr>
          <w:b/>
          <w:bCs/>
          <w:sz w:val="24"/>
          <w:highlight w:val="none"/>
        </w:rPr>
        <w:t>-1  水轮机主要设计参数</w:t>
      </w:r>
    </w:p>
    <w:tbl>
      <w:tblPr>
        <w:tblStyle w:val="51"/>
        <w:tblW w:w="9418"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69"/>
        <w:gridCol w:w="1925"/>
        <w:gridCol w:w="909"/>
        <w:gridCol w:w="1333"/>
        <w:gridCol w:w="606"/>
        <w:gridCol w:w="1606"/>
        <w:gridCol w:w="1030"/>
        <w:gridCol w:w="1440"/>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71" w:hRule="atLeast"/>
          <w:jc w:val="center"/>
        </w:trPr>
        <w:tc>
          <w:tcPr>
            <w:tcW w:w="2494" w:type="dxa"/>
            <w:gridSpan w:val="2"/>
            <w:noWrap w:val="0"/>
            <w:vAlign w:val="center"/>
          </w:tcPr>
          <w:p>
            <w:pPr>
              <w:spacing w:line="300" w:lineRule="exact"/>
              <w:jc w:val="center"/>
              <w:rPr>
                <w:color w:val="000000"/>
                <w:sz w:val="21"/>
                <w:highlight w:val="none"/>
              </w:rPr>
            </w:pPr>
            <w:r>
              <w:rPr>
                <w:color w:val="000000"/>
                <w:sz w:val="21"/>
                <w:highlight w:val="none"/>
              </w:rPr>
              <w:t>名称</w:t>
            </w:r>
          </w:p>
        </w:tc>
        <w:tc>
          <w:tcPr>
            <w:tcW w:w="2242" w:type="dxa"/>
            <w:gridSpan w:val="2"/>
            <w:noWrap w:val="0"/>
            <w:vAlign w:val="center"/>
          </w:tcPr>
          <w:p>
            <w:pPr>
              <w:spacing w:line="300" w:lineRule="exact"/>
              <w:jc w:val="center"/>
              <w:rPr>
                <w:color w:val="000000"/>
                <w:sz w:val="21"/>
                <w:highlight w:val="none"/>
              </w:rPr>
            </w:pPr>
            <w:r>
              <w:rPr>
                <w:color w:val="000000"/>
                <w:sz w:val="21"/>
                <w:highlight w:val="none"/>
              </w:rPr>
              <w:t>灯泡贯流式水轮机</w:t>
            </w:r>
          </w:p>
        </w:tc>
        <w:tc>
          <w:tcPr>
            <w:tcW w:w="2212" w:type="dxa"/>
            <w:gridSpan w:val="2"/>
            <w:noWrap w:val="0"/>
            <w:vAlign w:val="center"/>
          </w:tcPr>
          <w:p>
            <w:pPr>
              <w:spacing w:line="300" w:lineRule="exact"/>
              <w:jc w:val="center"/>
              <w:rPr>
                <w:color w:val="000000"/>
                <w:sz w:val="21"/>
                <w:highlight w:val="none"/>
              </w:rPr>
            </w:pPr>
            <w:r>
              <w:rPr>
                <w:color w:val="000000"/>
                <w:sz w:val="21"/>
                <w:highlight w:val="none"/>
              </w:rPr>
              <w:t>型号</w:t>
            </w:r>
          </w:p>
        </w:tc>
        <w:tc>
          <w:tcPr>
            <w:tcW w:w="2470" w:type="dxa"/>
            <w:gridSpan w:val="2"/>
            <w:noWrap w:val="0"/>
            <w:vAlign w:val="center"/>
          </w:tcPr>
          <w:p>
            <w:pPr>
              <w:spacing w:line="300" w:lineRule="exact"/>
              <w:jc w:val="center"/>
              <w:rPr>
                <w:color w:val="000000"/>
                <w:sz w:val="21"/>
                <w:highlight w:val="none"/>
              </w:rPr>
            </w:pPr>
            <w:r>
              <w:rPr>
                <w:color w:val="000000"/>
                <w:sz w:val="21"/>
                <w:highlight w:val="none"/>
              </w:rPr>
              <w:t>GZTF07B-WP-275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77" w:hRule="atLeast"/>
          <w:jc w:val="center"/>
        </w:trPr>
        <w:tc>
          <w:tcPr>
            <w:tcW w:w="2494" w:type="dxa"/>
            <w:gridSpan w:val="2"/>
            <w:noWrap w:val="0"/>
            <w:vAlign w:val="center"/>
          </w:tcPr>
          <w:p>
            <w:pPr>
              <w:spacing w:line="300" w:lineRule="exact"/>
              <w:jc w:val="center"/>
              <w:rPr>
                <w:color w:val="000000"/>
                <w:sz w:val="21"/>
                <w:highlight w:val="none"/>
              </w:rPr>
            </w:pPr>
            <w:r>
              <w:rPr>
                <w:color w:val="000000"/>
                <w:sz w:val="21"/>
                <w:highlight w:val="none"/>
              </w:rPr>
              <w:t>项 目</w:t>
            </w:r>
          </w:p>
        </w:tc>
        <w:tc>
          <w:tcPr>
            <w:tcW w:w="909" w:type="dxa"/>
            <w:noWrap w:val="0"/>
            <w:vAlign w:val="center"/>
          </w:tcPr>
          <w:p>
            <w:pPr>
              <w:spacing w:line="300" w:lineRule="exact"/>
              <w:jc w:val="center"/>
              <w:rPr>
                <w:color w:val="000000"/>
                <w:sz w:val="21"/>
                <w:highlight w:val="none"/>
              </w:rPr>
            </w:pPr>
            <w:r>
              <w:rPr>
                <w:color w:val="000000"/>
                <w:sz w:val="21"/>
                <w:highlight w:val="none"/>
              </w:rPr>
              <w:t>单位</w:t>
            </w:r>
          </w:p>
        </w:tc>
        <w:tc>
          <w:tcPr>
            <w:tcW w:w="1333" w:type="dxa"/>
            <w:noWrap w:val="0"/>
            <w:vAlign w:val="center"/>
          </w:tcPr>
          <w:p>
            <w:pPr>
              <w:spacing w:line="300" w:lineRule="exact"/>
              <w:jc w:val="center"/>
              <w:rPr>
                <w:color w:val="000000"/>
                <w:sz w:val="21"/>
                <w:highlight w:val="none"/>
              </w:rPr>
            </w:pPr>
            <w:r>
              <w:rPr>
                <w:color w:val="000000"/>
                <w:sz w:val="21"/>
                <w:highlight w:val="none"/>
              </w:rPr>
              <w:t>规格</w:t>
            </w:r>
          </w:p>
        </w:tc>
        <w:tc>
          <w:tcPr>
            <w:tcW w:w="2212" w:type="dxa"/>
            <w:gridSpan w:val="2"/>
            <w:noWrap w:val="0"/>
            <w:vAlign w:val="center"/>
          </w:tcPr>
          <w:p>
            <w:pPr>
              <w:spacing w:line="300" w:lineRule="exact"/>
              <w:jc w:val="center"/>
              <w:rPr>
                <w:color w:val="000000"/>
                <w:sz w:val="21"/>
                <w:highlight w:val="none"/>
              </w:rPr>
            </w:pPr>
            <w:r>
              <w:rPr>
                <w:color w:val="000000"/>
                <w:sz w:val="21"/>
                <w:highlight w:val="none"/>
              </w:rPr>
              <w:t>项 目</w:t>
            </w:r>
          </w:p>
        </w:tc>
        <w:tc>
          <w:tcPr>
            <w:tcW w:w="1030" w:type="dxa"/>
            <w:noWrap w:val="0"/>
            <w:vAlign w:val="center"/>
          </w:tcPr>
          <w:p>
            <w:pPr>
              <w:spacing w:line="300" w:lineRule="exact"/>
              <w:jc w:val="center"/>
              <w:rPr>
                <w:color w:val="000000"/>
                <w:sz w:val="21"/>
                <w:highlight w:val="none"/>
              </w:rPr>
            </w:pPr>
            <w:r>
              <w:rPr>
                <w:color w:val="000000"/>
                <w:sz w:val="21"/>
                <w:highlight w:val="none"/>
              </w:rPr>
              <w:t>单位</w:t>
            </w:r>
          </w:p>
        </w:tc>
        <w:tc>
          <w:tcPr>
            <w:tcW w:w="1440" w:type="dxa"/>
            <w:noWrap w:val="0"/>
            <w:vAlign w:val="center"/>
          </w:tcPr>
          <w:p>
            <w:pPr>
              <w:spacing w:line="300" w:lineRule="exact"/>
              <w:jc w:val="center"/>
              <w:rPr>
                <w:color w:val="000000"/>
                <w:sz w:val="21"/>
                <w:highlight w:val="none"/>
              </w:rPr>
            </w:pPr>
            <w:r>
              <w:rPr>
                <w:color w:val="000000"/>
                <w:sz w:val="21"/>
                <w:highlight w:val="none"/>
              </w:rPr>
              <w:t>规格</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67" w:hRule="atLeast"/>
          <w:jc w:val="center"/>
        </w:trPr>
        <w:tc>
          <w:tcPr>
            <w:tcW w:w="569" w:type="dxa"/>
            <w:vMerge w:val="restart"/>
            <w:noWrap w:val="0"/>
            <w:vAlign w:val="center"/>
          </w:tcPr>
          <w:p>
            <w:pPr>
              <w:spacing w:line="300" w:lineRule="exact"/>
              <w:jc w:val="center"/>
              <w:rPr>
                <w:color w:val="000000"/>
                <w:sz w:val="21"/>
                <w:highlight w:val="none"/>
              </w:rPr>
            </w:pPr>
            <w:r>
              <w:rPr>
                <w:color w:val="000000"/>
                <w:sz w:val="21"/>
                <w:highlight w:val="none"/>
              </w:rPr>
              <w:t>出力</w:t>
            </w:r>
          </w:p>
        </w:tc>
        <w:tc>
          <w:tcPr>
            <w:tcW w:w="1925" w:type="dxa"/>
            <w:noWrap w:val="0"/>
            <w:vAlign w:val="center"/>
          </w:tcPr>
          <w:p>
            <w:pPr>
              <w:spacing w:line="300" w:lineRule="exact"/>
              <w:jc w:val="center"/>
              <w:rPr>
                <w:color w:val="000000"/>
                <w:sz w:val="21"/>
                <w:highlight w:val="none"/>
              </w:rPr>
            </w:pPr>
            <w:r>
              <w:rPr>
                <w:color w:val="000000"/>
                <w:sz w:val="21"/>
                <w:highlight w:val="none"/>
              </w:rPr>
              <w:t>额定水头时出力</w:t>
            </w:r>
          </w:p>
        </w:tc>
        <w:tc>
          <w:tcPr>
            <w:tcW w:w="909" w:type="dxa"/>
            <w:noWrap w:val="0"/>
            <w:vAlign w:val="center"/>
          </w:tcPr>
          <w:p>
            <w:pPr>
              <w:spacing w:line="300" w:lineRule="exact"/>
              <w:jc w:val="center"/>
              <w:rPr>
                <w:color w:val="000000"/>
                <w:sz w:val="21"/>
                <w:highlight w:val="none"/>
              </w:rPr>
            </w:pPr>
            <w:r>
              <w:rPr>
                <w:color w:val="000000"/>
                <w:sz w:val="21"/>
                <w:highlight w:val="none"/>
              </w:rPr>
              <w:t>MW</w:t>
            </w:r>
          </w:p>
        </w:tc>
        <w:tc>
          <w:tcPr>
            <w:tcW w:w="1333" w:type="dxa"/>
            <w:noWrap w:val="0"/>
            <w:vAlign w:val="center"/>
          </w:tcPr>
          <w:p>
            <w:pPr>
              <w:spacing w:line="300" w:lineRule="exact"/>
              <w:jc w:val="center"/>
              <w:rPr>
                <w:color w:val="000000"/>
                <w:sz w:val="21"/>
                <w:highlight w:val="none"/>
              </w:rPr>
            </w:pPr>
            <w:r>
              <w:rPr>
                <w:color w:val="000000"/>
                <w:sz w:val="21"/>
                <w:highlight w:val="none"/>
              </w:rPr>
              <w:t>5.208</w:t>
            </w:r>
          </w:p>
        </w:tc>
        <w:tc>
          <w:tcPr>
            <w:tcW w:w="606" w:type="dxa"/>
            <w:vMerge w:val="restart"/>
            <w:noWrap w:val="0"/>
            <w:vAlign w:val="center"/>
          </w:tcPr>
          <w:p>
            <w:pPr>
              <w:spacing w:line="300" w:lineRule="exact"/>
              <w:jc w:val="center"/>
              <w:rPr>
                <w:color w:val="000000"/>
                <w:sz w:val="21"/>
                <w:highlight w:val="none"/>
              </w:rPr>
            </w:pPr>
            <w:r>
              <w:rPr>
                <w:color w:val="000000"/>
                <w:sz w:val="21"/>
                <w:highlight w:val="none"/>
              </w:rPr>
              <w:t>转速</w:t>
            </w:r>
          </w:p>
        </w:tc>
        <w:tc>
          <w:tcPr>
            <w:tcW w:w="1606" w:type="dxa"/>
            <w:noWrap w:val="0"/>
            <w:vAlign w:val="center"/>
          </w:tcPr>
          <w:p>
            <w:pPr>
              <w:spacing w:line="300" w:lineRule="exact"/>
              <w:jc w:val="center"/>
              <w:rPr>
                <w:color w:val="000000"/>
                <w:sz w:val="21"/>
                <w:highlight w:val="none"/>
              </w:rPr>
            </w:pPr>
            <w:r>
              <w:rPr>
                <w:color w:val="000000"/>
                <w:sz w:val="21"/>
                <w:highlight w:val="none"/>
              </w:rPr>
              <w:t>额定转速</w:t>
            </w:r>
          </w:p>
        </w:tc>
        <w:tc>
          <w:tcPr>
            <w:tcW w:w="1030" w:type="dxa"/>
            <w:noWrap w:val="0"/>
            <w:vAlign w:val="center"/>
          </w:tcPr>
          <w:p>
            <w:pPr>
              <w:spacing w:line="300" w:lineRule="exact"/>
              <w:jc w:val="center"/>
              <w:rPr>
                <w:color w:val="000000"/>
                <w:sz w:val="21"/>
                <w:highlight w:val="none"/>
              </w:rPr>
            </w:pPr>
            <w:r>
              <w:rPr>
                <w:color w:val="000000"/>
                <w:sz w:val="21"/>
                <w:highlight w:val="none"/>
              </w:rPr>
              <w:t>r/min</w:t>
            </w:r>
          </w:p>
        </w:tc>
        <w:tc>
          <w:tcPr>
            <w:tcW w:w="1440" w:type="dxa"/>
            <w:noWrap w:val="0"/>
            <w:vAlign w:val="center"/>
          </w:tcPr>
          <w:p>
            <w:pPr>
              <w:spacing w:line="300" w:lineRule="exact"/>
              <w:jc w:val="center"/>
              <w:rPr>
                <w:color w:val="000000"/>
                <w:sz w:val="21"/>
                <w:highlight w:val="none"/>
              </w:rPr>
            </w:pPr>
            <w:r>
              <w:rPr>
                <w:color w:val="000000"/>
                <w:sz w:val="21"/>
                <w:highlight w:val="none"/>
              </w:rPr>
              <w:t>166.7</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77" w:hRule="atLeast"/>
          <w:jc w:val="center"/>
        </w:trPr>
        <w:tc>
          <w:tcPr>
            <w:tcW w:w="569" w:type="dxa"/>
            <w:vMerge w:val="continue"/>
            <w:noWrap w:val="0"/>
            <w:vAlign w:val="center"/>
          </w:tcPr>
          <w:p>
            <w:pPr>
              <w:spacing w:line="300" w:lineRule="exact"/>
              <w:jc w:val="center"/>
              <w:rPr>
                <w:color w:val="000000"/>
                <w:sz w:val="21"/>
                <w:highlight w:val="none"/>
              </w:rPr>
            </w:pPr>
          </w:p>
        </w:tc>
        <w:tc>
          <w:tcPr>
            <w:tcW w:w="1925" w:type="dxa"/>
            <w:noWrap w:val="0"/>
            <w:vAlign w:val="center"/>
          </w:tcPr>
          <w:p>
            <w:pPr>
              <w:spacing w:line="300" w:lineRule="exact"/>
              <w:jc w:val="center"/>
              <w:rPr>
                <w:color w:val="000000"/>
                <w:sz w:val="21"/>
                <w:highlight w:val="none"/>
              </w:rPr>
            </w:pPr>
            <w:r>
              <w:rPr>
                <w:color w:val="000000"/>
                <w:sz w:val="21"/>
                <w:highlight w:val="none"/>
              </w:rPr>
              <w:t>最小水头时出力</w:t>
            </w:r>
          </w:p>
        </w:tc>
        <w:tc>
          <w:tcPr>
            <w:tcW w:w="909" w:type="dxa"/>
            <w:noWrap w:val="0"/>
            <w:vAlign w:val="center"/>
          </w:tcPr>
          <w:p>
            <w:pPr>
              <w:spacing w:line="300" w:lineRule="exact"/>
              <w:jc w:val="center"/>
              <w:rPr>
                <w:color w:val="000000"/>
                <w:sz w:val="21"/>
                <w:highlight w:val="none"/>
              </w:rPr>
            </w:pPr>
            <w:r>
              <w:rPr>
                <w:color w:val="000000"/>
                <w:sz w:val="21"/>
                <w:highlight w:val="none"/>
              </w:rPr>
              <w:t>MW</w:t>
            </w:r>
          </w:p>
        </w:tc>
        <w:tc>
          <w:tcPr>
            <w:tcW w:w="1333" w:type="dxa"/>
            <w:noWrap w:val="0"/>
            <w:vAlign w:val="center"/>
          </w:tcPr>
          <w:p>
            <w:pPr>
              <w:spacing w:line="300" w:lineRule="exact"/>
              <w:jc w:val="center"/>
              <w:rPr>
                <w:color w:val="000000"/>
                <w:sz w:val="21"/>
                <w:highlight w:val="none"/>
              </w:rPr>
            </w:pPr>
            <w:r>
              <w:rPr>
                <w:color w:val="000000"/>
                <w:sz w:val="21"/>
                <w:highlight w:val="none"/>
              </w:rPr>
              <w:t>2.88</w:t>
            </w:r>
          </w:p>
        </w:tc>
        <w:tc>
          <w:tcPr>
            <w:tcW w:w="606" w:type="dxa"/>
            <w:vMerge w:val="continue"/>
            <w:noWrap w:val="0"/>
            <w:vAlign w:val="center"/>
          </w:tcPr>
          <w:p>
            <w:pPr>
              <w:spacing w:line="300" w:lineRule="exact"/>
              <w:jc w:val="center"/>
              <w:rPr>
                <w:color w:val="000000"/>
                <w:sz w:val="21"/>
                <w:highlight w:val="none"/>
              </w:rPr>
            </w:pPr>
          </w:p>
        </w:tc>
        <w:tc>
          <w:tcPr>
            <w:tcW w:w="1606" w:type="dxa"/>
            <w:noWrap w:val="0"/>
            <w:vAlign w:val="center"/>
          </w:tcPr>
          <w:p>
            <w:pPr>
              <w:spacing w:line="300" w:lineRule="exact"/>
              <w:jc w:val="center"/>
              <w:rPr>
                <w:color w:val="000000"/>
                <w:sz w:val="21"/>
                <w:highlight w:val="none"/>
              </w:rPr>
            </w:pPr>
            <w:r>
              <w:rPr>
                <w:color w:val="000000"/>
                <w:sz w:val="21"/>
                <w:highlight w:val="none"/>
              </w:rPr>
              <w:t>飞逸转速</w:t>
            </w:r>
          </w:p>
        </w:tc>
        <w:tc>
          <w:tcPr>
            <w:tcW w:w="1030" w:type="dxa"/>
            <w:noWrap w:val="0"/>
            <w:vAlign w:val="center"/>
          </w:tcPr>
          <w:p>
            <w:pPr>
              <w:spacing w:line="300" w:lineRule="exact"/>
              <w:jc w:val="center"/>
              <w:rPr>
                <w:color w:val="000000"/>
                <w:sz w:val="21"/>
                <w:highlight w:val="none"/>
              </w:rPr>
            </w:pPr>
            <w:r>
              <w:rPr>
                <w:color w:val="000000"/>
                <w:sz w:val="21"/>
                <w:highlight w:val="none"/>
              </w:rPr>
              <w:t>r/min</w:t>
            </w:r>
          </w:p>
        </w:tc>
        <w:tc>
          <w:tcPr>
            <w:tcW w:w="1440" w:type="dxa"/>
            <w:noWrap w:val="0"/>
            <w:vAlign w:val="center"/>
          </w:tcPr>
          <w:p>
            <w:pPr>
              <w:spacing w:line="300" w:lineRule="exact"/>
              <w:jc w:val="center"/>
              <w:rPr>
                <w:color w:val="000000"/>
                <w:sz w:val="21"/>
                <w:highlight w:val="none"/>
              </w:rPr>
            </w:pPr>
            <w:r>
              <w:rPr>
                <w:color w:val="000000"/>
                <w:sz w:val="21"/>
                <w:highlight w:val="none"/>
              </w:rPr>
              <w:t>605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77" w:hRule="atLeast"/>
          <w:jc w:val="center"/>
        </w:trPr>
        <w:tc>
          <w:tcPr>
            <w:tcW w:w="569" w:type="dxa"/>
            <w:vMerge w:val="restart"/>
            <w:noWrap w:val="0"/>
            <w:vAlign w:val="center"/>
          </w:tcPr>
          <w:p>
            <w:pPr>
              <w:spacing w:line="300" w:lineRule="exact"/>
              <w:jc w:val="center"/>
              <w:rPr>
                <w:color w:val="000000"/>
                <w:sz w:val="21"/>
                <w:highlight w:val="none"/>
              </w:rPr>
            </w:pPr>
            <w:r>
              <w:rPr>
                <w:color w:val="000000"/>
                <w:sz w:val="21"/>
                <w:highlight w:val="none"/>
              </w:rPr>
              <w:t>水头</w:t>
            </w:r>
          </w:p>
        </w:tc>
        <w:tc>
          <w:tcPr>
            <w:tcW w:w="1925" w:type="dxa"/>
            <w:noWrap w:val="0"/>
            <w:vAlign w:val="center"/>
          </w:tcPr>
          <w:p>
            <w:pPr>
              <w:spacing w:line="300" w:lineRule="exact"/>
              <w:jc w:val="center"/>
              <w:rPr>
                <w:color w:val="000000"/>
                <w:sz w:val="21"/>
                <w:highlight w:val="none"/>
              </w:rPr>
            </w:pPr>
            <w:r>
              <w:rPr>
                <w:color w:val="000000"/>
                <w:sz w:val="21"/>
                <w:highlight w:val="none"/>
              </w:rPr>
              <w:t>额定水头</w:t>
            </w:r>
          </w:p>
        </w:tc>
        <w:tc>
          <w:tcPr>
            <w:tcW w:w="909" w:type="dxa"/>
            <w:noWrap w:val="0"/>
            <w:vAlign w:val="center"/>
          </w:tcPr>
          <w:p>
            <w:pPr>
              <w:spacing w:line="300" w:lineRule="exact"/>
              <w:jc w:val="center"/>
              <w:rPr>
                <w:sz w:val="21"/>
                <w:highlight w:val="none"/>
              </w:rPr>
            </w:pPr>
            <w:r>
              <w:rPr>
                <w:color w:val="000000"/>
                <w:sz w:val="21"/>
                <w:highlight w:val="none"/>
              </w:rPr>
              <w:t>m</w:t>
            </w:r>
          </w:p>
        </w:tc>
        <w:tc>
          <w:tcPr>
            <w:tcW w:w="1333" w:type="dxa"/>
            <w:noWrap w:val="0"/>
            <w:vAlign w:val="center"/>
          </w:tcPr>
          <w:p>
            <w:pPr>
              <w:spacing w:line="300" w:lineRule="exact"/>
              <w:jc w:val="center"/>
              <w:rPr>
                <w:color w:val="000000"/>
                <w:sz w:val="21"/>
                <w:highlight w:val="none"/>
              </w:rPr>
            </w:pPr>
            <w:r>
              <w:rPr>
                <w:color w:val="000000"/>
                <w:sz w:val="21"/>
                <w:highlight w:val="none"/>
              </w:rPr>
              <w:t>10.1</w:t>
            </w:r>
          </w:p>
        </w:tc>
        <w:tc>
          <w:tcPr>
            <w:tcW w:w="2212" w:type="dxa"/>
            <w:gridSpan w:val="2"/>
            <w:noWrap w:val="0"/>
            <w:vAlign w:val="center"/>
          </w:tcPr>
          <w:p>
            <w:pPr>
              <w:spacing w:line="300" w:lineRule="exact"/>
              <w:jc w:val="center"/>
              <w:rPr>
                <w:color w:val="000000"/>
                <w:sz w:val="21"/>
                <w:highlight w:val="none"/>
              </w:rPr>
            </w:pPr>
            <w:r>
              <w:rPr>
                <w:color w:val="000000"/>
                <w:sz w:val="21"/>
                <w:highlight w:val="none"/>
              </w:rPr>
              <w:t>正向最大推力</w:t>
            </w:r>
          </w:p>
        </w:tc>
        <w:tc>
          <w:tcPr>
            <w:tcW w:w="1030" w:type="dxa"/>
            <w:noWrap w:val="0"/>
            <w:vAlign w:val="center"/>
          </w:tcPr>
          <w:p>
            <w:pPr>
              <w:spacing w:line="300" w:lineRule="exact"/>
              <w:jc w:val="center"/>
              <w:rPr>
                <w:color w:val="000000"/>
                <w:sz w:val="21"/>
                <w:highlight w:val="none"/>
              </w:rPr>
            </w:pPr>
            <w:r>
              <w:rPr>
                <w:color w:val="000000"/>
                <w:sz w:val="21"/>
                <w:highlight w:val="none"/>
              </w:rPr>
              <w:t>T</w:t>
            </w:r>
          </w:p>
        </w:tc>
        <w:tc>
          <w:tcPr>
            <w:tcW w:w="1440" w:type="dxa"/>
            <w:noWrap w:val="0"/>
            <w:vAlign w:val="center"/>
          </w:tcPr>
          <w:p>
            <w:pPr>
              <w:spacing w:line="300" w:lineRule="exact"/>
              <w:jc w:val="center"/>
              <w:rPr>
                <w:color w:val="000000"/>
                <w:sz w:val="21"/>
                <w:highlight w:val="none"/>
              </w:rPr>
            </w:pPr>
            <w:r>
              <w:rPr>
                <w:color w:val="000000"/>
                <w:sz w:val="21"/>
                <w:highlight w:val="none"/>
              </w:rPr>
              <w:t>59</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77" w:hRule="atLeast"/>
          <w:jc w:val="center"/>
        </w:trPr>
        <w:tc>
          <w:tcPr>
            <w:tcW w:w="569" w:type="dxa"/>
            <w:vMerge w:val="continue"/>
            <w:noWrap w:val="0"/>
            <w:vAlign w:val="center"/>
          </w:tcPr>
          <w:p>
            <w:pPr>
              <w:spacing w:line="300" w:lineRule="exact"/>
              <w:jc w:val="center"/>
              <w:rPr>
                <w:color w:val="000000"/>
                <w:sz w:val="21"/>
                <w:highlight w:val="none"/>
              </w:rPr>
            </w:pPr>
          </w:p>
        </w:tc>
        <w:tc>
          <w:tcPr>
            <w:tcW w:w="1925" w:type="dxa"/>
            <w:noWrap w:val="0"/>
            <w:vAlign w:val="center"/>
          </w:tcPr>
          <w:p>
            <w:pPr>
              <w:spacing w:line="300" w:lineRule="exact"/>
              <w:jc w:val="center"/>
              <w:rPr>
                <w:color w:val="000000"/>
                <w:sz w:val="21"/>
                <w:highlight w:val="none"/>
              </w:rPr>
            </w:pPr>
            <w:r>
              <w:rPr>
                <w:color w:val="000000"/>
                <w:sz w:val="21"/>
                <w:highlight w:val="none"/>
              </w:rPr>
              <w:t>最大水头</w:t>
            </w:r>
          </w:p>
        </w:tc>
        <w:tc>
          <w:tcPr>
            <w:tcW w:w="909" w:type="dxa"/>
            <w:noWrap w:val="0"/>
            <w:vAlign w:val="center"/>
          </w:tcPr>
          <w:p>
            <w:pPr>
              <w:spacing w:line="300" w:lineRule="exact"/>
              <w:jc w:val="center"/>
              <w:rPr>
                <w:sz w:val="21"/>
                <w:highlight w:val="none"/>
              </w:rPr>
            </w:pPr>
            <w:r>
              <w:rPr>
                <w:color w:val="000000"/>
                <w:sz w:val="21"/>
                <w:highlight w:val="none"/>
              </w:rPr>
              <w:t>m</w:t>
            </w:r>
          </w:p>
        </w:tc>
        <w:tc>
          <w:tcPr>
            <w:tcW w:w="1333" w:type="dxa"/>
            <w:noWrap w:val="0"/>
            <w:vAlign w:val="center"/>
          </w:tcPr>
          <w:p>
            <w:pPr>
              <w:spacing w:line="300" w:lineRule="exact"/>
              <w:jc w:val="center"/>
              <w:rPr>
                <w:color w:val="000000"/>
                <w:sz w:val="21"/>
                <w:highlight w:val="none"/>
              </w:rPr>
            </w:pPr>
            <w:r>
              <w:rPr>
                <w:color w:val="000000"/>
                <w:sz w:val="21"/>
                <w:highlight w:val="none"/>
              </w:rPr>
              <w:t>11.18</w:t>
            </w:r>
          </w:p>
        </w:tc>
        <w:tc>
          <w:tcPr>
            <w:tcW w:w="2212" w:type="dxa"/>
            <w:gridSpan w:val="2"/>
            <w:noWrap w:val="0"/>
            <w:vAlign w:val="center"/>
          </w:tcPr>
          <w:p>
            <w:pPr>
              <w:spacing w:line="300" w:lineRule="exact"/>
              <w:jc w:val="center"/>
              <w:rPr>
                <w:color w:val="000000"/>
                <w:sz w:val="21"/>
                <w:highlight w:val="none"/>
              </w:rPr>
            </w:pPr>
            <w:r>
              <w:rPr>
                <w:color w:val="000000"/>
                <w:sz w:val="21"/>
                <w:highlight w:val="none"/>
              </w:rPr>
              <w:t>反向最大推力</w:t>
            </w:r>
          </w:p>
        </w:tc>
        <w:tc>
          <w:tcPr>
            <w:tcW w:w="1030" w:type="dxa"/>
            <w:noWrap w:val="0"/>
            <w:vAlign w:val="center"/>
          </w:tcPr>
          <w:p>
            <w:pPr>
              <w:spacing w:line="300" w:lineRule="exact"/>
              <w:jc w:val="center"/>
              <w:rPr>
                <w:color w:val="000000"/>
                <w:sz w:val="21"/>
                <w:highlight w:val="none"/>
              </w:rPr>
            </w:pPr>
            <w:r>
              <w:rPr>
                <w:color w:val="000000"/>
                <w:sz w:val="21"/>
                <w:highlight w:val="none"/>
              </w:rPr>
              <w:t>T</w:t>
            </w:r>
          </w:p>
        </w:tc>
        <w:tc>
          <w:tcPr>
            <w:tcW w:w="1440" w:type="dxa"/>
            <w:noWrap w:val="0"/>
            <w:vAlign w:val="center"/>
          </w:tcPr>
          <w:p>
            <w:pPr>
              <w:spacing w:line="300" w:lineRule="exact"/>
              <w:jc w:val="center"/>
              <w:rPr>
                <w:color w:val="000000"/>
                <w:sz w:val="21"/>
                <w:highlight w:val="none"/>
              </w:rPr>
            </w:pPr>
            <w:r>
              <w:rPr>
                <w:color w:val="000000"/>
                <w:sz w:val="21"/>
                <w:highlight w:val="none"/>
              </w:rPr>
              <w:t>77</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77" w:hRule="atLeast"/>
          <w:jc w:val="center"/>
        </w:trPr>
        <w:tc>
          <w:tcPr>
            <w:tcW w:w="569" w:type="dxa"/>
            <w:vMerge w:val="continue"/>
            <w:noWrap w:val="0"/>
            <w:vAlign w:val="center"/>
          </w:tcPr>
          <w:p>
            <w:pPr>
              <w:spacing w:line="300" w:lineRule="exact"/>
              <w:jc w:val="center"/>
              <w:rPr>
                <w:color w:val="000000"/>
                <w:sz w:val="21"/>
                <w:highlight w:val="none"/>
              </w:rPr>
            </w:pPr>
          </w:p>
        </w:tc>
        <w:tc>
          <w:tcPr>
            <w:tcW w:w="1925" w:type="dxa"/>
            <w:noWrap w:val="0"/>
            <w:vAlign w:val="center"/>
          </w:tcPr>
          <w:p>
            <w:pPr>
              <w:spacing w:line="300" w:lineRule="exact"/>
              <w:jc w:val="center"/>
              <w:rPr>
                <w:color w:val="000000"/>
                <w:sz w:val="21"/>
                <w:highlight w:val="none"/>
              </w:rPr>
            </w:pPr>
            <w:r>
              <w:rPr>
                <w:color w:val="000000"/>
                <w:sz w:val="21"/>
                <w:highlight w:val="none"/>
              </w:rPr>
              <w:t>最小水头</w:t>
            </w:r>
          </w:p>
        </w:tc>
        <w:tc>
          <w:tcPr>
            <w:tcW w:w="909" w:type="dxa"/>
            <w:noWrap w:val="0"/>
            <w:vAlign w:val="center"/>
          </w:tcPr>
          <w:p>
            <w:pPr>
              <w:spacing w:line="300" w:lineRule="exact"/>
              <w:jc w:val="center"/>
              <w:rPr>
                <w:sz w:val="21"/>
                <w:highlight w:val="none"/>
              </w:rPr>
            </w:pPr>
            <w:r>
              <w:rPr>
                <w:color w:val="000000"/>
                <w:sz w:val="21"/>
                <w:highlight w:val="none"/>
              </w:rPr>
              <w:t>m</w:t>
            </w:r>
          </w:p>
        </w:tc>
        <w:tc>
          <w:tcPr>
            <w:tcW w:w="1333" w:type="dxa"/>
            <w:noWrap w:val="0"/>
            <w:vAlign w:val="center"/>
          </w:tcPr>
          <w:p>
            <w:pPr>
              <w:spacing w:line="300" w:lineRule="exact"/>
              <w:jc w:val="center"/>
              <w:rPr>
                <w:color w:val="000000"/>
                <w:sz w:val="21"/>
                <w:highlight w:val="none"/>
              </w:rPr>
            </w:pPr>
            <w:r>
              <w:rPr>
                <w:color w:val="000000"/>
                <w:sz w:val="21"/>
                <w:highlight w:val="none"/>
              </w:rPr>
              <w:t>9.6</w:t>
            </w:r>
          </w:p>
        </w:tc>
        <w:tc>
          <w:tcPr>
            <w:tcW w:w="2212" w:type="dxa"/>
            <w:gridSpan w:val="2"/>
            <w:noWrap w:val="0"/>
            <w:vAlign w:val="center"/>
          </w:tcPr>
          <w:p>
            <w:pPr>
              <w:spacing w:line="300" w:lineRule="exact"/>
              <w:jc w:val="center"/>
              <w:rPr>
                <w:color w:val="000000"/>
                <w:sz w:val="21"/>
                <w:highlight w:val="none"/>
              </w:rPr>
            </w:pPr>
            <w:r>
              <w:rPr>
                <w:color w:val="000000"/>
                <w:sz w:val="21"/>
                <w:highlight w:val="none"/>
              </w:rPr>
              <w:t>转轮直径</w:t>
            </w:r>
          </w:p>
        </w:tc>
        <w:tc>
          <w:tcPr>
            <w:tcW w:w="1030" w:type="dxa"/>
            <w:noWrap w:val="0"/>
            <w:vAlign w:val="center"/>
          </w:tcPr>
          <w:p>
            <w:pPr>
              <w:spacing w:line="300" w:lineRule="exact"/>
              <w:jc w:val="center"/>
              <w:rPr>
                <w:color w:val="000000"/>
                <w:sz w:val="21"/>
                <w:highlight w:val="none"/>
              </w:rPr>
            </w:pPr>
            <w:r>
              <w:rPr>
                <w:color w:val="000000"/>
                <w:sz w:val="21"/>
                <w:highlight w:val="none"/>
              </w:rPr>
              <w:t>m</w:t>
            </w:r>
          </w:p>
        </w:tc>
        <w:tc>
          <w:tcPr>
            <w:tcW w:w="1440" w:type="dxa"/>
            <w:noWrap w:val="0"/>
            <w:vAlign w:val="center"/>
          </w:tcPr>
          <w:p>
            <w:pPr>
              <w:spacing w:line="300" w:lineRule="exact"/>
              <w:jc w:val="center"/>
              <w:rPr>
                <w:color w:val="000000"/>
                <w:sz w:val="21"/>
                <w:highlight w:val="none"/>
              </w:rPr>
            </w:pPr>
            <w:r>
              <w:rPr>
                <w:color w:val="000000"/>
                <w:sz w:val="21"/>
                <w:highlight w:val="none"/>
              </w:rPr>
              <w:t>2.75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77" w:hRule="atLeast"/>
          <w:jc w:val="center"/>
        </w:trPr>
        <w:tc>
          <w:tcPr>
            <w:tcW w:w="2494" w:type="dxa"/>
            <w:gridSpan w:val="2"/>
            <w:noWrap w:val="0"/>
            <w:vAlign w:val="center"/>
          </w:tcPr>
          <w:p>
            <w:pPr>
              <w:spacing w:line="300" w:lineRule="exact"/>
              <w:jc w:val="center"/>
              <w:rPr>
                <w:color w:val="000000"/>
                <w:sz w:val="21"/>
                <w:highlight w:val="none"/>
              </w:rPr>
            </w:pPr>
            <w:r>
              <w:rPr>
                <w:color w:val="000000"/>
                <w:sz w:val="21"/>
                <w:highlight w:val="none"/>
              </w:rPr>
              <w:t>额定流量</w:t>
            </w:r>
          </w:p>
        </w:tc>
        <w:tc>
          <w:tcPr>
            <w:tcW w:w="909" w:type="dxa"/>
            <w:noWrap w:val="0"/>
            <w:vAlign w:val="center"/>
          </w:tcPr>
          <w:p>
            <w:pPr>
              <w:spacing w:line="300" w:lineRule="exact"/>
              <w:jc w:val="center"/>
              <w:rPr>
                <w:rFonts w:hint="eastAsia"/>
                <w:sz w:val="21"/>
                <w:highlight w:val="none"/>
              </w:rPr>
            </w:pPr>
            <w:r>
              <w:rPr>
                <w:color w:val="000000"/>
                <w:sz w:val="21"/>
                <w:highlight w:val="none"/>
              </w:rPr>
              <w:t>m</w:t>
            </w:r>
            <w:r>
              <w:rPr>
                <w:color w:val="000000"/>
                <w:sz w:val="21"/>
                <w:highlight w:val="none"/>
                <w:vertAlign w:val="superscript"/>
              </w:rPr>
              <w:t xml:space="preserve"> 3</w:t>
            </w:r>
            <w:r>
              <w:rPr>
                <w:color w:val="000000"/>
                <w:sz w:val="21"/>
                <w:highlight w:val="none"/>
              </w:rPr>
              <w:t>/</w:t>
            </w:r>
            <w:r>
              <w:rPr>
                <w:rFonts w:hint="eastAsia"/>
                <w:color w:val="000000"/>
                <w:sz w:val="21"/>
                <w:highlight w:val="none"/>
              </w:rPr>
              <w:t>s</w:t>
            </w:r>
          </w:p>
        </w:tc>
        <w:tc>
          <w:tcPr>
            <w:tcW w:w="1333" w:type="dxa"/>
            <w:noWrap w:val="0"/>
            <w:vAlign w:val="center"/>
          </w:tcPr>
          <w:p>
            <w:pPr>
              <w:spacing w:line="300" w:lineRule="exact"/>
              <w:jc w:val="center"/>
              <w:rPr>
                <w:color w:val="000000"/>
                <w:sz w:val="21"/>
                <w:highlight w:val="none"/>
              </w:rPr>
            </w:pPr>
            <w:r>
              <w:rPr>
                <w:color w:val="000000"/>
                <w:sz w:val="21"/>
                <w:highlight w:val="none"/>
              </w:rPr>
              <w:t>55.92</w:t>
            </w:r>
          </w:p>
        </w:tc>
        <w:tc>
          <w:tcPr>
            <w:tcW w:w="2212" w:type="dxa"/>
            <w:gridSpan w:val="2"/>
            <w:noWrap w:val="0"/>
            <w:vAlign w:val="center"/>
          </w:tcPr>
          <w:p>
            <w:pPr>
              <w:spacing w:line="300" w:lineRule="exact"/>
              <w:jc w:val="center"/>
              <w:rPr>
                <w:color w:val="000000"/>
                <w:sz w:val="21"/>
                <w:highlight w:val="none"/>
              </w:rPr>
            </w:pPr>
            <w:r>
              <w:rPr>
                <w:color w:val="000000"/>
                <w:sz w:val="21"/>
                <w:highlight w:val="none"/>
              </w:rPr>
              <w:t>浆叶个数</w:t>
            </w:r>
          </w:p>
        </w:tc>
        <w:tc>
          <w:tcPr>
            <w:tcW w:w="1030" w:type="dxa"/>
            <w:noWrap w:val="0"/>
            <w:vAlign w:val="center"/>
          </w:tcPr>
          <w:p>
            <w:pPr>
              <w:spacing w:line="300" w:lineRule="exact"/>
              <w:jc w:val="center"/>
              <w:rPr>
                <w:color w:val="000000"/>
                <w:sz w:val="21"/>
                <w:highlight w:val="none"/>
              </w:rPr>
            </w:pPr>
            <w:r>
              <w:rPr>
                <w:color w:val="000000"/>
                <w:sz w:val="21"/>
                <w:highlight w:val="none"/>
              </w:rPr>
              <w:t>个</w:t>
            </w:r>
          </w:p>
        </w:tc>
        <w:tc>
          <w:tcPr>
            <w:tcW w:w="1440" w:type="dxa"/>
            <w:noWrap w:val="0"/>
            <w:vAlign w:val="center"/>
          </w:tcPr>
          <w:p>
            <w:pPr>
              <w:spacing w:line="300" w:lineRule="exact"/>
              <w:jc w:val="center"/>
              <w:rPr>
                <w:color w:val="000000"/>
                <w:sz w:val="21"/>
                <w:highlight w:val="none"/>
              </w:rPr>
            </w:pPr>
            <w:r>
              <w:rPr>
                <w:color w:val="000000"/>
                <w:sz w:val="21"/>
                <w:highlight w:val="none"/>
              </w:rPr>
              <w:t>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77" w:hRule="atLeast"/>
          <w:jc w:val="center"/>
        </w:trPr>
        <w:tc>
          <w:tcPr>
            <w:tcW w:w="2494" w:type="dxa"/>
            <w:gridSpan w:val="2"/>
            <w:noWrap w:val="0"/>
            <w:vAlign w:val="center"/>
          </w:tcPr>
          <w:p>
            <w:pPr>
              <w:spacing w:line="300" w:lineRule="exact"/>
              <w:jc w:val="center"/>
              <w:rPr>
                <w:color w:val="000000"/>
                <w:sz w:val="21"/>
                <w:highlight w:val="none"/>
              </w:rPr>
            </w:pPr>
            <w:r>
              <w:rPr>
                <w:color w:val="000000"/>
                <w:sz w:val="21"/>
                <w:highlight w:val="none"/>
              </w:rPr>
              <w:t>额定点效率</w:t>
            </w:r>
          </w:p>
        </w:tc>
        <w:tc>
          <w:tcPr>
            <w:tcW w:w="909" w:type="dxa"/>
            <w:noWrap w:val="0"/>
            <w:vAlign w:val="center"/>
          </w:tcPr>
          <w:p>
            <w:pPr>
              <w:spacing w:line="300" w:lineRule="exact"/>
              <w:jc w:val="center"/>
              <w:rPr>
                <w:sz w:val="21"/>
                <w:highlight w:val="none"/>
              </w:rPr>
            </w:pPr>
            <w:r>
              <w:rPr>
                <w:color w:val="000000"/>
                <w:sz w:val="21"/>
                <w:highlight w:val="none"/>
              </w:rPr>
              <w:t>%</w:t>
            </w:r>
          </w:p>
        </w:tc>
        <w:tc>
          <w:tcPr>
            <w:tcW w:w="1333" w:type="dxa"/>
            <w:noWrap w:val="0"/>
            <w:vAlign w:val="center"/>
          </w:tcPr>
          <w:p>
            <w:pPr>
              <w:spacing w:line="300" w:lineRule="exact"/>
              <w:jc w:val="center"/>
              <w:rPr>
                <w:color w:val="000000"/>
                <w:sz w:val="21"/>
                <w:highlight w:val="none"/>
              </w:rPr>
            </w:pPr>
            <w:r>
              <w:rPr>
                <w:color w:val="000000"/>
                <w:sz w:val="21"/>
                <w:highlight w:val="none"/>
              </w:rPr>
              <w:t>95.0</w:t>
            </w:r>
          </w:p>
        </w:tc>
        <w:tc>
          <w:tcPr>
            <w:tcW w:w="2212" w:type="dxa"/>
            <w:gridSpan w:val="2"/>
            <w:noWrap w:val="0"/>
            <w:vAlign w:val="center"/>
          </w:tcPr>
          <w:p>
            <w:pPr>
              <w:spacing w:line="300" w:lineRule="exact"/>
              <w:jc w:val="center"/>
              <w:rPr>
                <w:color w:val="000000"/>
                <w:sz w:val="21"/>
                <w:highlight w:val="none"/>
              </w:rPr>
            </w:pPr>
            <w:r>
              <w:rPr>
                <w:color w:val="000000"/>
                <w:sz w:val="21"/>
                <w:highlight w:val="none"/>
              </w:rPr>
              <w:t>导叶个数</w:t>
            </w:r>
          </w:p>
        </w:tc>
        <w:tc>
          <w:tcPr>
            <w:tcW w:w="1030" w:type="dxa"/>
            <w:noWrap w:val="0"/>
            <w:vAlign w:val="center"/>
          </w:tcPr>
          <w:p>
            <w:pPr>
              <w:spacing w:line="300" w:lineRule="exact"/>
              <w:jc w:val="center"/>
              <w:rPr>
                <w:color w:val="000000"/>
                <w:sz w:val="21"/>
                <w:highlight w:val="none"/>
              </w:rPr>
            </w:pPr>
            <w:r>
              <w:rPr>
                <w:color w:val="000000"/>
                <w:sz w:val="21"/>
                <w:highlight w:val="none"/>
              </w:rPr>
              <w:t>个</w:t>
            </w:r>
          </w:p>
        </w:tc>
        <w:tc>
          <w:tcPr>
            <w:tcW w:w="1440" w:type="dxa"/>
            <w:noWrap w:val="0"/>
            <w:vAlign w:val="center"/>
          </w:tcPr>
          <w:p>
            <w:pPr>
              <w:spacing w:line="300" w:lineRule="exact"/>
              <w:jc w:val="center"/>
              <w:rPr>
                <w:color w:val="000000"/>
                <w:sz w:val="21"/>
                <w:highlight w:val="none"/>
              </w:rPr>
            </w:pPr>
            <w:r>
              <w:rPr>
                <w:color w:val="000000"/>
                <w:sz w:val="21"/>
                <w:highlight w:val="none"/>
              </w:rPr>
              <w:t>16</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77" w:hRule="atLeast"/>
          <w:jc w:val="center"/>
        </w:trPr>
        <w:tc>
          <w:tcPr>
            <w:tcW w:w="2494" w:type="dxa"/>
            <w:gridSpan w:val="2"/>
            <w:noWrap w:val="0"/>
            <w:vAlign w:val="center"/>
          </w:tcPr>
          <w:p>
            <w:pPr>
              <w:spacing w:line="300" w:lineRule="exact"/>
              <w:jc w:val="center"/>
              <w:rPr>
                <w:color w:val="000000"/>
                <w:sz w:val="21"/>
                <w:highlight w:val="none"/>
              </w:rPr>
            </w:pPr>
            <w:r>
              <w:rPr>
                <w:color w:val="000000"/>
                <w:sz w:val="21"/>
                <w:highlight w:val="none"/>
              </w:rPr>
              <w:t>吸出高度</w:t>
            </w:r>
          </w:p>
        </w:tc>
        <w:tc>
          <w:tcPr>
            <w:tcW w:w="909" w:type="dxa"/>
            <w:noWrap w:val="0"/>
            <w:vAlign w:val="center"/>
          </w:tcPr>
          <w:p>
            <w:pPr>
              <w:spacing w:line="300" w:lineRule="exact"/>
              <w:jc w:val="center"/>
              <w:rPr>
                <w:rFonts w:hint="eastAsia"/>
                <w:sz w:val="21"/>
                <w:highlight w:val="none"/>
              </w:rPr>
            </w:pPr>
            <w:r>
              <w:rPr>
                <w:rFonts w:hint="eastAsia"/>
                <w:color w:val="000000"/>
                <w:sz w:val="21"/>
                <w:highlight w:val="none"/>
              </w:rPr>
              <w:t>m</w:t>
            </w:r>
          </w:p>
        </w:tc>
        <w:tc>
          <w:tcPr>
            <w:tcW w:w="1333" w:type="dxa"/>
            <w:noWrap w:val="0"/>
            <w:vAlign w:val="center"/>
          </w:tcPr>
          <w:p>
            <w:pPr>
              <w:spacing w:line="300" w:lineRule="exact"/>
              <w:jc w:val="center"/>
              <w:rPr>
                <w:color w:val="000000"/>
                <w:sz w:val="21"/>
                <w:highlight w:val="none"/>
              </w:rPr>
            </w:pPr>
            <w:r>
              <w:rPr>
                <w:color w:val="000000"/>
                <w:sz w:val="21"/>
                <w:highlight w:val="none"/>
              </w:rPr>
              <w:t>-3.5</w:t>
            </w:r>
          </w:p>
        </w:tc>
        <w:tc>
          <w:tcPr>
            <w:tcW w:w="2212" w:type="dxa"/>
            <w:gridSpan w:val="2"/>
            <w:noWrap w:val="0"/>
            <w:vAlign w:val="center"/>
          </w:tcPr>
          <w:p>
            <w:pPr>
              <w:spacing w:line="300" w:lineRule="exact"/>
              <w:jc w:val="center"/>
              <w:rPr>
                <w:color w:val="000000"/>
                <w:sz w:val="21"/>
                <w:highlight w:val="none"/>
              </w:rPr>
            </w:pPr>
            <w:r>
              <w:rPr>
                <w:color w:val="000000"/>
                <w:sz w:val="21"/>
                <w:highlight w:val="none"/>
              </w:rPr>
              <w:t>导叶关闭时间</w:t>
            </w:r>
          </w:p>
        </w:tc>
        <w:tc>
          <w:tcPr>
            <w:tcW w:w="1030" w:type="dxa"/>
            <w:noWrap w:val="0"/>
            <w:vAlign w:val="center"/>
          </w:tcPr>
          <w:p>
            <w:pPr>
              <w:spacing w:line="300" w:lineRule="exact"/>
              <w:jc w:val="center"/>
              <w:rPr>
                <w:color w:val="000000"/>
                <w:sz w:val="21"/>
                <w:highlight w:val="none"/>
              </w:rPr>
            </w:pPr>
            <w:r>
              <w:rPr>
                <w:color w:val="000000"/>
                <w:sz w:val="21"/>
                <w:highlight w:val="none"/>
              </w:rPr>
              <w:t>s</w:t>
            </w:r>
          </w:p>
        </w:tc>
        <w:tc>
          <w:tcPr>
            <w:tcW w:w="1440" w:type="dxa"/>
            <w:noWrap w:val="0"/>
            <w:vAlign w:val="center"/>
          </w:tcPr>
          <w:p>
            <w:pPr>
              <w:spacing w:line="300" w:lineRule="exact"/>
              <w:jc w:val="center"/>
              <w:rPr>
                <w:sz w:val="21"/>
                <w:highlight w:val="none"/>
              </w:rPr>
            </w:pPr>
            <w:r>
              <w:rPr>
                <w:color w:val="000000"/>
                <w:sz w:val="21"/>
                <w:highlight w:val="none"/>
              </w:rPr>
              <w:t>20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9" w:hRule="atLeast"/>
          <w:jc w:val="center"/>
        </w:trPr>
        <w:tc>
          <w:tcPr>
            <w:tcW w:w="2494" w:type="dxa"/>
            <w:gridSpan w:val="2"/>
            <w:noWrap w:val="0"/>
            <w:vAlign w:val="center"/>
          </w:tcPr>
          <w:p>
            <w:pPr>
              <w:spacing w:line="300" w:lineRule="exact"/>
              <w:jc w:val="center"/>
              <w:rPr>
                <w:color w:val="000000"/>
                <w:sz w:val="21"/>
                <w:highlight w:val="none"/>
              </w:rPr>
            </w:pPr>
            <w:r>
              <w:rPr>
                <w:color w:val="000000"/>
                <w:sz w:val="21"/>
                <w:highlight w:val="none"/>
              </w:rPr>
              <w:t>安装高程</w:t>
            </w:r>
          </w:p>
        </w:tc>
        <w:tc>
          <w:tcPr>
            <w:tcW w:w="909" w:type="dxa"/>
            <w:noWrap w:val="0"/>
            <w:vAlign w:val="center"/>
          </w:tcPr>
          <w:p>
            <w:pPr>
              <w:spacing w:line="300" w:lineRule="exact"/>
              <w:jc w:val="center"/>
              <w:rPr>
                <w:color w:val="000000"/>
                <w:sz w:val="21"/>
                <w:highlight w:val="none"/>
              </w:rPr>
            </w:pPr>
            <w:r>
              <w:rPr>
                <w:color w:val="000000"/>
                <w:sz w:val="21"/>
                <w:highlight w:val="none"/>
              </w:rPr>
              <w:t>m</w:t>
            </w:r>
          </w:p>
        </w:tc>
        <w:tc>
          <w:tcPr>
            <w:tcW w:w="1333" w:type="dxa"/>
            <w:noWrap w:val="0"/>
            <w:vAlign w:val="center"/>
          </w:tcPr>
          <w:p>
            <w:pPr>
              <w:spacing w:line="300" w:lineRule="exact"/>
              <w:jc w:val="center"/>
              <w:rPr>
                <w:color w:val="000000"/>
                <w:sz w:val="21"/>
                <w:highlight w:val="none"/>
              </w:rPr>
            </w:pPr>
            <w:r>
              <w:rPr>
                <w:color w:val="000000"/>
                <w:sz w:val="21"/>
                <w:highlight w:val="none"/>
              </w:rPr>
              <w:t>72.1</w:t>
            </w:r>
          </w:p>
        </w:tc>
        <w:tc>
          <w:tcPr>
            <w:tcW w:w="2212" w:type="dxa"/>
            <w:gridSpan w:val="2"/>
            <w:noWrap w:val="0"/>
            <w:vAlign w:val="center"/>
          </w:tcPr>
          <w:p>
            <w:pPr>
              <w:spacing w:line="300" w:lineRule="exact"/>
              <w:jc w:val="center"/>
              <w:rPr>
                <w:color w:val="000000"/>
                <w:sz w:val="21"/>
                <w:highlight w:val="none"/>
              </w:rPr>
            </w:pPr>
            <w:r>
              <w:rPr>
                <w:color w:val="000000"/>
                <w:sz w:val="21"/>
                <w:highlight w:val="none"/>
              </w:rPr>
              <w:t>旋转方向</w:t>
            </w:r>
          </w:p>
        </w:tc>
        <w:tc>
          <w:tcPr>
            <w:tcW w:w="2470" w:type="dxa"/>
            <w:gridSpan w:val="2"/>
            <w:noWrap w:val="0"/>
            <w:vAlign w:val="center"/>
          </w:tcPr>
          <w:p>
            <w:pPr>
              <w:spacing w:line="300" w:lineRule="exact"/>
              <w:jc w:val="center"/>
              <w:rPr>
                <w:color w:val="000000"/>
                <w:sz w:val="21"/>
                <w:highlight w:val="none"/>
              </w:rPr>
            </w:pPr>
            <w:r>
              <w:rPr>
                <w:color w:val="000000"/>
                <w:sz w:val="21"/>
                <w:highlight w:val="none"/>
              </w:rPr>
              <w:t>从上游往下看顺时针</w:t>
            </w:r>
          </w:p>
        </w:tc>
      </w:tr>
    </w:tbl>
    <w:p>
      <w:pPr>
        <w:pStyle w:val="233"/>
        <w:spacing w:line="480" w:lineRule="exact"/>
        <w:ind w:firstLine="514"/>
        <w:rPr>
          <w:rFonts w:ascii="Times New Roman" w:hAnsi="Times New Roman" w:cs="Times New Roman"/>
          <w:bCs/>
          <w:szCs w:val="24"/>
          <w:highlight w:val="none"/>
        </w:rPr>
      </w:pPr>
      <w:r>
        <w:rPr>
          <w:rFonts w:ascii="Times New Roman" w:hAnsi="Times New Roman" w:cs="Times New Roman"/>
          <w:bCs/>
          <w:highlight w:val="none"/>
        </w:rPr>
        <w:t>（</w:t>
      </w:r>
      <w:r>
        <w:rPr>
          <w:rFonts w:ascii="Times New Roman" w:hAnsi="Times New Roman" w:cs="Times New Roman"/>
          <w:bCs/>
          <w:szCs w:val="24"/>
          <w:highlight w:val="none"/>
        </w:rPr>
        <w:t>2）电气</w:t>
      </w:r>
    </w:p>
    <w:p>
      <w:pPr>
        <w:pStyle w:val="233"/>
        <w:spacing w:line="480" w:lineRule="exact"/>
        <w:ind w:firstLine="514"/>
        <w:jc w:val="both"/>
        <w:rPr>
          <w:rFonts w:ascii="Times New Roman" w:hAnsi="Times New Roman" w:cs="Times New Roman"/>
          <w:bCs/>
          <w:szCs w:val="24"/>
          <w:highlight w:val="none"/>
        </w:rPr>
      </w:pPr>
      <w:r>
        <w:rPr>
          <w:rFonts w:ascii="Times New Roman"/>
          <w:bCs/>
          <w:color w:val="000000"/>
          <w:highlight w:val="none"/>
        </w:rPr>
        <w:t>电气接线发电机采用不分段扩大单元接线，发电机（</w:t>
      </w:r>
      <w:r>
        <w:rPr>
          <w:rFonts w:ascii="Times New Roman" w:hAnsi="Times New Roman"/>
          <w:bCs/>
          <w:color w:val="000000"/>
          <w:highlight w:val="none"/>
        </w:rPr>
        <w:t>1×5000KW</w:t>
      </w:r>
      <w:r>
        <w:rPr>
          <w:rFonts w:ascii="Times New Roman"/>
          <w:bCs/>
          <w:color w:val="000000"/>
          <w:highlight w:val="none"/>
        </w:rPr>
        <w:t>）并入设置的</w:t>
      </w:r>
      <w:r>
        <w:rPr>
          <w:rFonts w:ascii="Times New Roman" w:hAnsi="Times New Roman"/>
          <w:bCs/>
          <w:color w:val="000000"/>
          <w:highlight w:val="none"/>
        </w:rPr>
        <w:t>6.3KV</w:t>
      </w:r>
      <w:r>
        <w:rPr>
          <w:rFonts w:ascii="Times New Roman"/>
          <w:bCs/>
          <w:color w:val="000000"/>
          <w:highlight w:val="none"/>
        </w:rPr>
        <w:t>母线，然后经一台主变压器</w:t>
      </w:r>
      <w:r>
        <w:rPr>
          <w:rFonts w:ascii="Times New Roman" w:hAnsi="Times New Roman"/>
          <w:color w:val="000000"/>
          <w:highlight w:val="none"/>
        </w:rPr>
        <w:t>S9-6300/10</w:t>
      </w:r>
      <w:r>
        <w:rPr>
          <w:rFonts w:ascii="Times New Roman"/>
          <w:bCs/>
          <w:color w:val="000000"/>
          <w:highlight w:val="none"/>
        </w:rPr>
        <w:t>升压径</w:t>
      </w:r>
      <w:r>
        <w:rPr>
          <w:rFonts w:ascii="Times New Roman" w:hAnsi="Times New Roman"/>
          <w:bCs/>
          <w:color w:val="000000"/>
          <w:highlight w:val="none"/>
        </w:rPr>
        <w:t>JL-240g</w:t>
      </w:r>
      <w:r>
        <w:rPr>
          <w:rFonts w:ascii="Times New Roman"/>
          <w:bCs/>
          <w:color w:val="000000"/>
          <w:highlight w:val="none"/>
        </w:rPr>
        <w:t>一回接至遵化市崔家庄</w:t>
      </w:r>
      <w:r>
        <w:rPr>
          <w:rFonts w:ascii="Times New Roman" w:hAnsi="Times New Roman"/>
          <w:bCs/>
          <w:color w:val="000000"/>
          <w:highlight w:val="none"/>
        </w:rPr>
        <w:t>35KV</w:t>
      </w:r>
      <w:r>
        <w:rPr>
          <w:rFonts w:ascii="Times New Roman"/>
          <w:bCs/>
          <w:color w:val="000000"/>
          <w:highlight w:val="none"/>
        </w:rPr>
        <w:t>变电站与电网并网运行</w:t>
      </w:r>
      <w:r>
        <w:rPr>
          <w:rFonts w:ascii="Times New Roman" w:hAnsi="Times New Roman" w:cs="Times New Roman"/>
          <w:bCs/>
          <w:szCs w:val="24"/>
          <w:highlight w:val="none"/>
        </w:rPr>
        <w:t>。</w:t>
      </w:r>
    </w:p>
    <w:p>
      <w:pPr>
        <w:pStyle w:val="233"/>
        <w:spacing w:line="480" w:lineRule="exact"/>
        <w:ind w:firstLine="514"/>
        <w:jc w:val="both"/>
        <w:rPr>
          <w:rFonts w:ascii="Times New Roman" w:hAnsi="Times New Roman" w:cs="Times New Roman"/>
          <w:bCs/>
          <w:szCs w:val="24"/>
          <w:highlight w:val="none"/>
        </w:rPr>
      </w:pPr>
      <w:r>
        <w:rPr>
          <w:rFonts w:ascii="Times New Roman" w:hAnsi="Times New Roman" w:cs="Times New Roman"/>
          <w:szCs w:val="24"/>
          <w:highlight w:val="none"/>
        </w:rPr>
        <w:t>发电机主要参数见表</w:t>
      </w:r>
      <w:r>
        <w:rPr>
          <w:rFonts w:hint="eastAsia" w:ascii="Times New Roman" w:hAnsi="Times New Roman" w:cs="Times New Roman"/>
          <w:szCs w:val="24"/>
          <w:highlight w:val="none"/>
        </w:rPr>
        <w:t>2</w:t>
      </w:r>
      <w:r>
        <w:rPr>
          <w:rFonts w:ascii="Times New Roman" w:hAnsi="Times New Roman" w:cs="Times New Roman"/>
          <w:szCs w:val="24"/>
          <w:highlight w:val="none"/>
        </w:rPr>
        <w:t>.</w:t>
      </w:r>
      <w:r>
        <w:rPr>
          <w:rFonts w:hint="eastAsia" w:ascii="Times New Roman" w:hAnsi="Times New Roman" w:cs="Times New Roman"/>
          <w:szCs w:val="24"/>
          <w:highlight w:val="none"/>
          <w:lang w:val="en-US" w:eastAsia="zh-CN"/>
        </w:rPr>
        <w:t>8</w:t>
      </w:r>
      <w:r>
        <w:rPr>
          <w:rFonts w:ascii="Times New Roman" w:hAnsi="Times New Roman" w:cs="Times New Roman"/>
          <w:szCs w:val="24"/>
          <w:highlight w:val="none"/>
        </w:rPr>
        <w:t>-2。</w:t>
      </w:r>
    </w:p>
    <w:p>
      <w:pPr>
        <w:spacing w:line="480" w:lineRule="exact"/>
        <w:jc w:val="center"/>
        <w:rPr>
          <w:b/>
          <w:bCs/>
          <w:sz w:val="24"/>
          <w:highlight w:val="none"/>
        </w:rPr>
      </w:pPr>
      <w:r>
        <w:rPr>
          <w:b/>
          <w:bCs/>
          <w:sz w:val="24"/>
          <w:highlight w:val="none"/>
        </w:rPr>
        <w:t>表</w:t>
      </w:r>
      <w:r>
        <w:rPr>
          <w:rFonts w:hint="eastAsia"/>
          <w:b/>
          <w:bCs/>
          <w:sz w:val="24"/>
          <w:highlight w:val="none"/>
        </w:rPr>
        <w:t>2</w:t>
      </w:r>
      <w:r>
        <w:rPr>
          <w:b/>
          <w:bCs/>
          <w:sz w:val="24"/>
          <w:highlight w:val="none"/>
        </w:rPr>
        <w:t>.</w:t>
      </w:r>
      <w:r>
        <w:rPr>
          <w:rFonts w:hint="eastAsia"/>
          <w:b/>
          <w:bCs/>
          <w:sz w:val="24"/>
          <w:highlight w:val="none"/>
          <w:lang w:val="en-US" w:eastAsia="zh-CN"/>
        </w:rPr>
        <w:t>8</w:t>
      </w:r>
      <w:r>
        <w:rPr>
          <w:b/>
          <w:bCs/>
          <w:sz w:val="24"/>
          <w:highlight w:val="none"/>
        </w:rPr>
        <w:t>-2  发电机主要设计参数</w:t>
      </w:r>
    </w:p>
    <w:tbl>
      <w:tblPr>
        <w:tblStyle w:val="51"/>
        <w:tblW w:w="9322"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177"/>
        <w:gridCol w:w="816"/>
        <w:gridCol w:w="2351"/>
        <w:gridCol w:w="1718"/>
        <w:gridCol w:w="950"/>
        <w:gridCol w:w="2310"/>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1177" w:type="dxa"/>
            <w:noWrap w:val="0"/>
            <w:vAlign w:val="center"/>
          </w:tcPr>
          <w:p>
            <w:pPr>
              <w:tabs>
                <w:tab w:val="left" w:pos="720"/>
              </w:tabs>
              <w:spacing w:line="300" w:lineRule="exact"/>
              <w:jc w:val="center"/>
              <w:rPr>
                <w:rFonts w:hint="eastAsia" w:ascii="宋体" w:hAnsi="宋体"/>
                <w:sz w:val="21"/>
                <w:highlight w:val="none"/>
              </w:rPr>
            </w:pPr>
            <w:r>
              <w:rPr>
                <w:rFonts w:hint="eastAsia" w:ascii="宋体" w:hAnsi="宋体"/>
                <w:sz w:val="21"/>
                <w:highlight w:val="none"/>
              </w:rPr>
              <w:t>名称</w:t>
            </w:r>
          </w:p>
        </w:tc>
        <w:tc>
          <w:tcPr>
            <w:tcW w:w="816" w:type="dxa"/>
            <w:noWrap w:val="0"/>
            <w:vAlign w:val="center"/>
          </w:tcPr>
          <w:p>
            <w:pPr>
              <w:tabs>
                <w:tab w:val="left" w:pos="720"/>
              </w:tabs>
              <w:spacing w:line="300" w:lineRule="exact"/>
              <w:jc w:val="center"/>
              <w:rPr>
                <w:rFonts w:hint="eastAsia" w:ascii="宋体" w:hAnsi="宋体"/>
                <w:sz w:val="21"/>
                <w:highlight w:val="none"/>
              </w:rPr>
            </w:pPr>
            <w:r>
              <w:rPr>
                <w:rFonts w:hint="eastAsia" w:ascii="宋体" w:hAnsi="宋体"/>
                <w:sz w:val="21"/>
                <w:highlight w:val="none"/>
              </w:rPr>
              <w:t>单位</w:t>
            </w:r>
          </w:p>
        </w:tc>
        <w:tc>
          <w:tcPr>
            <w:tcW w:w="2351" w:type="dxa"/>
            <w:noWrap w:val="0"/>
            <w:vAlign w:val="center"/>
          </w:tcPr>
          <w:p>
            <w:pPr>
              <w:tabs>
                <w:tab w:val="left" w:pos="720"/>
              </w:tabs>
              <w:spacing w:line="300" w:lineRule="exact"/>
              <w:jc w:val="center"/>
              <w:rPr>
                <w:rFonts w:hint="eastAsia" w:ascii="宋体" w:hAnsi="宋体"/>
                <w:sz w:val="21"/>
                <w:highlight w:val="none"/>
              </w:rPr>
            </w:pPr>
            <w:r>
              <w:rPr>
                <w:rFonts w:hint="eastAsia" w:ascii="宋体" w:hAnsi="宋体"/>
                <w:sz w:val="21"/>
                <w:highlight w:val="none"/>
              </w:rPr>
              <w:t>规格</w:t>
            </w:r>
          </w:p>
        </w:tc>
        <w:tc>
          <w:tcPr>
            <w:tcW w:w="1718" w:type="dxa"/>
            <w:noWrap w:val="0"/>
            <w:vAlign w:val="center"/>
          </w:tcPr>
          <w:p>
            <w:pPr>
              <w:tabs>
                <w:tab w:val="left" w:pos="720"/>
              </w:tabs>
              <w:spacing w:line="300" w:lineRule="exact"/>
              <w:jc w:val="center"/>
              <w:rPr>
                <w:rFonts w:hint="eastAsia" w:ascii="宋体" w:hAnsi="宋体"/>
                <w:sz w:val="21"/>
                <w:highlight w:val="none"/>
              </w:rPr>
            </w:pPr>
            <w:r>
              <w:rPr>
                <w:rFonts w:hint="eastAsia" w:ascii="宋体" w:hAnsi="宋体"/>
                <w:sz w:val="21"/>
                <w:highlight w:val="none"/>
              </w:rPr>
              <w:t>名称</w:t>
            </w:r>
          </w:p>
        </w:tc>
        <w:tc>
          <w:tcPr>
            <w:tcW w:w="950" w:type="dxa"/>
            <w:noWrap w:val="0"/>
            <w:vAlign w:val="center"/>
          </w:tcPr>
          <w:p>
            <w:pPr>
              <w:tabs>
                <w:tab w:val="left" w:pos="720"/>
              </w:tabs>
              <w:spacing w:line="300" w:lineRule="exact"/>
              <w:jc w:val="center"/>
              <w:rPr>
                <w:rFonts w:hint="eastAsia" w:ascii="宋体" w:hAnsi="宋体"/>
                <w:sz w:val="21"/>
                <w:highlight w:val="none"/>
              </w:rPr>
            </w:pPr>
            <w:r>
              <w:rPr>
                <w:rFonts w:hint="eastAsia" w:ascii="宋体" w:hAnsi="宋体"/>
                <w:sz w:val="21"/>
                <w:highlight w:val="none"/>
              </w:rPr>
              <w:t>单位</w:t>
            </w:r>
          </w:p>
        </w:tc>
        <w:tc>
          <w:tcPr>
            <w:tcW w:w="2310" w:type="dxa"/>
            <w:noWrap w:val="0"/>
            <w:vAlign w:val="center"/>
          </w:tcPr>
          <w:p>
            <w:pPr>
              <w:tabs>
                <w:tab w:val="left" w:pos="720"/>
              </w:tabs>
              <w:spacing w:line="300" w:lineRule="exact"/>
              <w:jc w:val="center"/>
              <w:rPr>
                <w:rFonts w:hint="eastAsia" w:ascii="宋体" w:hAnsi="宋体"/>
                <w:sz w:val="21"/>
                <w:highlight w:val="none"/>
              </w:rPr>
            </w:pPr>
            <w:r>
              <w:rPr>
                <w:rFonts w:hint="eastAsia" w:ascii="宋体" w:hAnsi="宋体"/>
                <w:sz w:val="21"/>
                <w:highlight w:val="none"/>
              </w:rPr>
              <w:t>规格</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1177" w:type="dxa"/>
            <w:noWrap w:val="0"/>
            <w:vAlign w:val="center"/>
          </w:tcPr>
          <w:p>
            <w:pPr>
              <w:tabs>
                <w:tab w:val="left" w:pos="720"/>
              </w:tabs>
              <w:spacing w:line="300" w:lineRule="exact"/>
              <w:jc w:val="center"/>
              <w:rPr>
                <w:rFonts w:hint="eastAsia" w:ascii="宋体" w:hAnsi="宋体"/>
                <w:sz w:val="21"/>
                <w:highlight w:val="none"/>
              </w:rPr>
            </w:pPr>
            <w:r>
              <w:rPr>
                <w:rFonts w:hint="eastAsia" w:ascii="宋体" w:hAnsi="宋体"/>
                <w:sz w:val="21"/>
                <w:highlight w:val="none"/>
              </w:rPr>
              <w:t>名称</w:t>
            </w:r>
          </w:p>
        </w:tc>
        <w:tc>
          <w:tcPr>
            <w:tcW w:w="3167" w:type="dxa"/>
            <w:gridSpan w:val="2"/>
            <w:noWrap w:val="0"/>
            <w:vAlign w:val="center"/>
          </w:tcPr>
          <w:p>
            <w:pPr>
              <w:tabs>
                <w:tab w:val="left" w:pos="720"/>
              </w:tabs>
              <w:spacing w:line="300" w:lineRule="exact"/>
              <w:jc w:val="center"/>
              <w:rPr>
                <w:sz w:val="21"/>
                <w:highlight w:val="none"/>
              </w:rPr>
            </w:pPr>
            <w:r>
              <w:rPr>
                <w:rFonts w:hAnsi="宋体"/>
                <w:sz w:val="21"/>
                <w:highlight w:val="none"/>
              </w:rPr>
              <w:t>灯泡式三相同步发电机</w:t>
            </w:r>
          </w:p>
        </w:tc>
        <w:tc>
          <w:tcPr>
            <w:tcW w:w="1718" w:type="dxa"/>
            <w:noWrap w:val="0"/>
            <w:vAlign w:val="center"/>
          </w:tcPr>
          <w:p>
            <w:pPr>
              <w:tabs>
                <w:tab w:val="left" w:pos="720"/>
              </w:tabs>
              <w:spacing w:line="300" w:lineRule="exact"/>
              <w:jc w:val="center"/>
              <w:rPr>
                <w:sz w:val="21"/>
                <w:highlight w:val="none"/>
              </w:rPr>
            </w:pPr>
            <w:r>
              <w:rPr>
                <w:rFonts w:hAnsi="宋体"/>
                <w:sz w:val="21"/>
                <w:highlight w:val="none"/>
              </w:rPr>
              <w:t>型式</w:t>
            </w:r>
          </w:p>
        </w:tc>
        <w:tc>
          <w:tcPr>
            <w:tcW w:w="3260" w:type="dxa"/>
            <w:gridSpan w:val="2"/>
            <w:noWrap w:val="0"/>
            <w:vAlign w:val="center"/>
          </w:tcPr>
          <w:p>
            <w:pPr>
              <w:tabs>
                <w:tab w:val="left" w:pos="720"/>
              </w:tabs>
              <w:spacing w:line="300" w:lineRule="exact"/>
              <w:jc w:val="center"/>
              <w:rPr>
                <w:sz w:val="21"/>
                <w:highlight w:val="none"/>
              </w:rPr>
            </w:pPr>
            <w:r>
              <w:rPr>
                <w:rFonts w:hAnsi="宋体"/>
                <w:sz w:val="21"/>
                <w:highlight w:val="none"/>
              </w:rPr>
              <w:t>卧轴悬挂式</w:t>
            </w:r>
            <w:r>
              <w:rPr>
                <w:sz w:val="21"/>
                <w:highlight w:val="none"/>
              </w:rPr>
              <w:t>\</w:t>
            </w:r>
            <w:r>
              <w:rPr>
                <w:rFonts w:hAnsi="宋体"/>
                <w:sz w:val="21"/>
                <w:highlight w:val="none"/>
              </w:rPr>
              <w:t>两支点</w:t>
            </w:r>
            <w:r>
              <w:rPr>
                <w:sz w:val="21"/>
                <w:highlight w:val="none"/>
              </w:rPr>
              <w:t>\</w:t>
            </w:r>
            <w:r>
              <w:rPr>
                <w:rFonts w:hAnsi="宋体"/>
                <w:sz w:val="21"/>
                <w:highlight w:val="none"/>
              </w:rPr>
              <w:t>强迫空冷　</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1177" w:type="dxa"/>
            <w:noWrap w:val="0"/>
            <w:vAlign w:val="center"/>
          </w:tcPr>
          <w:p>
            <w:pPr>
              <w:tabs>
                <w:tab w:val="left" w:pos="720"/>
              </w:tabs>
              <w:spacing w:line="300" w:lineRule="exact"/>
              <w:jc w:val="center"/>
              <w:rPr>
                <w:rFonts w:hint="eastAsia" w:ascii="宋体" w:hAnsi="宋体"/>
                <w:sz w:val="21"/>
                <w:highlight w:val="none"/>
              </w:rPr>
            </w:pPr>
            <w:r>
              <w:rPr>
                <w:rFonts w:hint="eastAsia" w:ascii="宋体" w:hAnsi="宋体"/>
                <w:sz w:val="21"/>
                <w:highlight w:val="none"/>
              </w:rPr>
              <w:t>型号</w:t>
            </w:r>
          </w:p>
        </w:tc>
        <w:tc>
          <w:tcPr>
            <w:tcW w:w="3167" w:type="dxa"/>
            <w:gridSpan w:val="2"/>
            <w:noWrap w:val="0"/>
            <w:vAlign w:val="center"/>
          </w:tcPr>
          <w:p>
            <w:pPr>
              <w:tabs>
                <w:tab w:val="left" w:pos="720"/>
              </w:tabs>
              <w:spacing w:line="300" w:lineRule="exact"/>
              <w:jc w:val="center"/>
              <w:rPr>
                <w:sz w:val="21"/>
                <w:highlight w:val="none"/>
              </w:rPr>
            </w:pPr>
            <w:r>
              <w:rPr>
                <w:sz w:val="21"/>
                <w:highlight w:val="none"/>
              </w:rPr>
              <w:t>SFWG5800-56/4850</w:t>
            </w:r>
          </w:p>
        </w:tc>
        <w:tc>
          <w:tcPr>
            <w:tcW w:w="1718" w:type="dxa"/>
            <w:noWrap w:val="0"/>
            <w:vAlign w:val="center"/>
          </w:tcPr>
          <w:p>
            <w:pPr>
              <w:tabs>
                <w:tab w:val="left" w:pos="720"/>
              </w:tabs>
              <w:spacing w:line="300" w:lineRule="exact"/>
              <w:jc w:val="center"/>
              <w:rPr>
                <w:sz w:val="21"/>
                <w:highlight w:val="none"/>
              </w:rPr>
            </w:pPr>
            <w:r>
              <w:rPr>
                <w:rFonts w:hAnsi="宋体"/>
                <w:sz w:val="21"/>
                <w:highlight w:val="none"/>
              </w:rPr>
              <w:t>相数</w:t>
            </w:r>
          </w:p>
        </w:tc>
        <w:tc>
          <w:tcPr>
            <w:tcW w:w="950" w:type="dxa"/>
            <w:noWrap w:val="0"/>
            <w:vAlign w:val="center"/>
          </w:tcPr>
          <w:p>
            <w:pPr>
              <w:tabs>
                <w:tab w:val="left" w:pos="720"/>
              </w:tabs>
              <w:spacing w:line="300" w:lineRule="exact"/>
              <w:jc w:val="center"/>
              <w:rPr>
                <w:sz w:val="21"/>
                <w:highlight w:val="none"/>
              </w:rPr>
            </w:pPr>
          </w:p>
        </w:tc>
        <w:tc>
          <w:tcPr>
            <w:tcW w:w="2310" w:type="dxa"/>
            <w:noWrap w:val="0"/>
            <w:vAlign w:val="center"/>
          </w:tcPr>
          <w:p>
            <w:pPr>
              <w:tabs>
                <w:tab w:val="left" w:pos="720"/>
              </w:tabs>
              <w:spacing w:line="300" w:lineRule="exact"/>
              <w:jc w:val="center"/>
              <w:rPr>
                <w:sz w:val="21"/>
                <w:highlight w:val="none"/>
              </w:rPr>
            </w:pPr>
            <w:r>
              <w:rPr>
                <w:sz w:val="21"/>
                <w:highlight w:val="none"/>
              </w:rPr>
              <w:t>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1177" w:type="dxa"/>
            <w:noWrap w:val="0"/>
            <w:vAlign w:val="center"/>
          </w:tcPr>
          <w:p>
            <w:pPr>
              <w:tabs>
                <w:tab w:val="left" w:pos="720"/>
              </w:tabs>
              <w:spacing w:line="300" w:lineRule="exact"/>
              <w:jc w:val="center"/>
              <w:rPr>
                <w:rFonts w:hint="eastAsia" w:ascii="宋体" w:hAnsi="宋体"/>
                <w:sz w:val="21"/>
                <w:highlight w:val="none"/>
              </w:rPr>
            </w:pPr>
            <w:r>
              <w:rPr>
                <w:rFonts w:hint="eastAsia" w:ascii="宋体" w:hAnsi="宋体"/>
                <w:sz w:val="21"/>
                <w:highlight w:val="none"/>
              </w:rPr>
              <w:t>额定容量</w:t>
            </w:r>
          </w:p>
        </w:tc>
        <w:tc>
          <w:tcPr>
            <w:tcW w:w="816" w:type="dxa"/>
            <w:noWrap w:val="0"/>
            <w:vAlign w:val="center"/>
          </w:tcPr>
          <w:p>
            <w:pPr>
              <w:tabs>
                <w:tab w:val="left" w:pos="720"/>
              </w:tabs>
              <w:spacing w:line="300" w:lineRule="exact"/>
              <w:jc w:val="center"/>
              <w:rPr>
                <w:sz w:val="21"/>
                <w:highlight w:val="none"/>
              </w:rPr>
            </w:pPr>
          </w:p>
        </w:tc>
        <w:tc>
          <w:tcPr>
            <w:tcW w:w="2351" w:type="dxa"/>
            <w:noWrap w:val="0"/>
            <w:vAlign w:val="center"/>
          </w:tcPr>
          <w:p>
            <w:pPr>
              <w:tabs>
                <w:tab w:val="left" w:pos="720"/>
              </w:tabs>
              <w:spacing w:line="300" w:lineRule="exact"/>
              <w:jc w:val="center"/>
              <w:rPr>
                <w:sz w:val="21"/>
                <w:highlight w:val="none"/>
              </w:rPr>
            </w:pPr>
            <w:r>
              <w:rPr>
                <w:sz w:val="21"/>
                <w:highlight w:val="none"/>
              </w:rPr>
              <w:t>5555.6kVA/5000kW</w:t>
            </w:r>
          </w:p>
        </w:tc>
        <w:tc>
          <w:tcPr>
            <w:tcW w:w="1718" w:type="dxa"/>
            <w:noWrap w:val="0"/>
            <w:vAlign w:val="center"/>
          </w:tcPr>
          <w:p>
            <w:pPr>
              <w:tabs>
                <w:tab w:val="left" w:pos="720"/>
              </w:tabs>
              <w:spacing w:line="300" w:lineRule="exact"/>
              <w:jc w:val="center"/>
              <w:rPr>
                <w:sz w:val="21"/>
                <w:highlight w:val="none"/>
              </w:rPr>
            </w:pPr>
            <w:r>
              <w:rPr>
                <w:rFonts w:hAnsi="宋体"/>
                <w:sz w:val="21"/>
                <w:highlight w:val="none"/>
              </w:rPr>
              <w:t>定子绕组接法</w:t>
            </w:r>
          </w:p>
        </w:tc>
        <w:tc>
          <w:tcPr>
            <w:tcW w:w="950" w:type="dxa"/>
            <w:noWrap w:val="0"/>
            <w:vAlign w:val="center"/>
          </w:tcPr>
          <w:p>
            <w:pPr>
              <w:tabs>
                <w:tab w:val="left" w:pos="720"/>
              </w:tabs>
              <w:spacing w:line="300" w:lineRule="exact"/>
              <w:jc w:val="center"/>
              <w:rPr>
                <w:sz w:val="21"/>
                <w:highlight w:val="none"/>
              </w:rPr>
            </w:pPr>
          </w:p>
        </w:tc>
        <w:tc>
          <w:tcPr>
            <w:tcW w:w="2310" w:type="dxa"/>
            <w:noWrap w:val="0"/>
            <w:vAlign w:val="center"/>
          </w:tcPr>
          <w:p>
            <w:pPr>
              <w:tabs>
                <w:tab w:val="left" w:pos="720"/>
              </w:tabs>
              <w:spacing w:line="300" w:lineRule="exact"/>
              <w:jc w:val="center"/>
              <w:rPr>
                <w:sz w:val="21"/>
                <w:highlight w:val="none"/>
              </w:rPr>
            </w:pPr>
            <w:r>
              <w:rPr>
                <w:sz w:val="21"/>
                <w:highlight w:val="none"/>
              </w:rPr>
              <w:t>Y</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1177" w:type="dxa"/>
            <w:noWrap w:val="0"/>
            <w:vAlign w:val="center"/>
          </w:tcPr>
          <w:p>
            <w:pPr>
              <w:tabs>
                <w:tab w:val="left" w:pos="720"/>
              </w:tabs>
              <w:spacing w:line="300" w:lineRule="exact"/>
              <w:jc w:val="center"/>
              <w:rPr>
                <w:rFonts w:hint="eastAsia" w:ascii="宋体" w:hAnsi="宋体"/>
                <w:sz w:val="21"/>
                <w:highlight w:val="none"/>
              </w:rPr>
            </w:pPr>
            <w:r>
              <w:rPr>
                <w:rFonts w:hint="eastAsia" w:ascii="宋体" w:hAnsi="宋体"/>
                <w:sz w:val="21"/>
                <w:highlight w:val="none"/>
              </w:rPr>
              <w:t>额定电压</w:t>
            </w:r>
          </w:p>
        </w:tc>
        <w:tc>
          <w:tcPr>
            <w:tcW w:w="816" w:type="dxa"/>
            <w:noWrap w:val="0"/>
            <w:vAlign w:val="center"/>
          </w:tcPr>
          <w:p>
            <w:pPr>
              <w:tabs>
                <w:tab w:val="left" w:pos="720"/>
              </w:tabs>
              <w:spacing w:line="300" w:lineRule="exact"/>
              <w:jc w:val="center"/>
              <w:rPr>
                <w:sz w:val="21"/>
                <w:highlight w:val="none"/>
              </w:rPr>
            </w:pPr>
            <w:r>
              <w:rPr>
                <w:sz w:val="21"/>
                <w:highlight w:val="none"/>
              </w:rPr>
              <w:t>kV</w:t>
            </w:r>
          </w:p>
        </w:tc>
        <w:tc>
          <w:tcPr>
            <w:tcW w:w="2351" w:type="dxa"/>
            <w:noWrap w:val="0"/>
            <w:vAlign w:val="center"/>
          </w:tcPr>
          <w:p>
            <w:pPr>
              <w:tabs>
                <w:tab w:val="left" w:pos="720"/>
              </w:tabs>
              <w:spacing w:line="300" w:lineRule="exact"/>
              <w:jc w:val="center"/>
              <w:rPr>
                <w:sz w:val="21"/>
                <w:highlight w:val="none"/>
              </w:rPr>
            </w:pPr>
            <w:r>
              <w:rPr>
                <w:sz w:val="21"/>
                <w:highlight w:val="none"/>
              </w:rPr>
              <w:t>6.3</w:t>
            </w:r>
          </w:p>
        </w:tc>
        <w:tc>
          <w:tcPr>
            <w:tcW w:w="1718" w:type="dxa"/>
            <w:noWrap w:val="0"/>
            <w:vAlign w:val="center"/>
          </w:tcPr>
          <w:p>
            <w:pPr>
              <w:tabs>
                <w:tab w:val="left" w:pos="720"/>
              </w:tabs>
              <w:spacing w:line="300" w:lineRule="exact"/>
              <w:jc w:val="center"/>
              <w:rPr>
                <w:sz w:val="21"/>
                <w:highlight w:val="none"/>
              </w:rPr>
            </w:pPr>
            <w:r>
              <w:rPr>
                <w:rFonts w:hAnsi="宋体"/>
                <w:sz w:val="21"/>
                <w:highlight w:val="none"/>
              </w:rPr>
              <w:t>励磁方式</w:t>
            </w:r>
          </w:p>
        </w:tc>
        <w:tc>
          <w:tcPr>
            <w:tcW w:w="950" w:type="dxa"/>
            <w:noWrap w:val="0"/>
            <w:vAlign w:val="center"/>
          </w:tcPr>
          <w:p>
            <w:pPr>
              <w:tabs>
                <w:tab w:val="left" w:pos="720"/>
              </w:tabs>
              <w:spacing w:line="300" w:lineRule="exact"/>
              <w:jc w:val="center"/>
              <w:rPr>
                <w:sz w:val="21"/>
                <w:highlight w:val="none"/>
              </w:rPr>
            </w:pPr>
          </w:p>
        </w:tc>
        <w:tc>
          <w:tcPr>
            <w:tcW w:w="2310" w:type="dxa"/>
            <w:noWrap w:val="0"/>
            <w:vAlign w:val="center"/>
          </w:tcPr>
          <w:p>
            <w:pPr>
              <w:tabs>
                <w:tab w:val="left" w:pos="720"/>
              </w:tabs>
              <w:spacing w:line="300" w:lineRule="exact"/>
              <w:jc w:val="center"/>
              <w:rPr>
                <w:sz w:val="21"/>
                <w:highlight w:val="none"/>
              </w:rPr>
            </w:pPr>
            <w:r>
              <w:rPr>
                <w:rFonts w:hAnsi="宋体"/>
                <w:sz w:val="21"/>
                <w:highlight w:val="none"/>
              </w:rPr>
              <w:t>自并激可控硅静止励磁</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1177" w:type="dxa"/>
            <w:noWrap w:val="0"/>
            <w:vAlign w:val="center"/>
          </w:tcPr>
          <w:p>
            <w:pPr>
              <w:tabs>
                <w:tab w:val="left" w:pos="720"/>
              </w:tabs>
              <w:spacing w:line="300" w:lineRule="exact"/>
              <w:jc w:val="center"/>
              <w:rPr>
                <w:rFonts w:hint="eastAsia" w:ascii="宋体" w:hAnsi="宋体"/>
                <w:sz w:val="21"/>
                <w:highlight w:val="none"/>
              </w:rPr>
            </w:pPr>
            <w:r>
              <w:rPr>
                <w:rFonts w:hint="eastAsia" w:ascii="宋体" w:hAnsi="宋体"/>
                <w:sz w:val="21"/>
                <w:highlight w:val="none"/>
              </w:rPr>
              <w:t>额定电流</w:t>
            </w:r>
          </w:p>
        </w:tc>
        <w:tc>
          <w:tcPr>
            <w:tcW w:w="816" w:type="dxa"/>
            <w:noWrap w:val="0"/>
            <w:vAlign w:val="center"/>
          </w:tcPr>
          <w:p>
            <w:pPr>
              <w:tabs>
                <w:tab w:val="left" w:pos="720"/>
              </w:tabs>
              <w:spacing w:line="300" w:lineRule="exact"/>
              <w:jc w:val="center"/>
              <w:rPr>
                <w:sz w:val="21"/>
                <w:highlight w:val="none"/>
              </w:rPr>
            </w:pPr>
            <w:r>
              <w:rPr>
                <w:sz w:val="21"/>
                <w:highlight w:val="none"/>
              </w:rPr>
              <w:t>A</w:t>
            </w:r>
          </w:p>
        </w:tc>
        <w:tc>
          <w:tcPr>
            <w:tcW w:w="2351" w:type="dxa"/>
            <w:noWrap w:val="0"/>
            <w:vAlign w:val="center"/>
          </w:tcPr>
          <w:p>
            <w:pPr>
              <w:tabs>
                <w:tab w:val="left" w:pos="720"/>
              </w:tabs>
              <w:spacing w:line="300" w:lineRule="exact"/>
              <w:jc w:val="center"/>
              <w:rPr>
                <w:sz w:val="21"/>
                <w:highlight w:val="none"/>
              </w:rPr>
            </w:pPr>
            <w:r>
              <w:rPr>
                <w:sz w:val="21"/>
                <w:highlight w:val="none"/>
              </w:rPr>
              <w:t>509.1</w:t>
            </w:r>
          </w:p>
        </w:tc>
        <w:tc>
          <w:tcPr>
            <w:tcW w:w="1718" w:type="dxa"/>
            <w:noWrap w:val="0"/>
            <w:vAlign w:val="center"/>
          </w:tcPr>
          <w:p>
            <w:pPr>
              <w:tabs>
                <w:tab w:val="left" w:pos="720"/>
              </w:tabs>
              <w:spacing w:line="300" w:lineRule="exact"/>
              <w:jc w:val="center"/>
              <w:rPr>
                <w:sz w:val="21"/>
                <w:highlight w:val="none"/>
              </w:rPr>
            </w:pPr>
            <w:r>
              <w:rPr>
                <w:rFonts w:hAnsi="宋体"/>
                <w:sz w:val="21"/>
                <w:highlight w:val="none"/>
              </w:rPr>
              <w:t>额定励磁电压</w:t>
            </w:r>
          </w:p>
        </w:tc>
        <w:tc>
          <w:tcPr>
            <w:tcW w:w="950" w:type="dxa"/>
            <w:noWrap w:val="0"/>
            <w:vAlign w:val="center"/>
          </w:tcPr>
          <w:p>
            <w:pPr>
              <w:tabs>
                <w:tab w:val="left" w:pos="720"/>
              </w:tabs>
              <w:spacing w:line="300" w:lineRule="exact"/>
              <w:jc w:val="center"/>
              <w:rPr>
                <w:sz w:val="21"/>
                <w:highlight w:val="none"/>
              </w:rPr>
            </w:pPr>
            <w:r>
              <w:rPr>
                <w:sz w:val="21"/>
                <w:highlight w:val="none"/>
              </w:rPr>
              <w:t>V</w:t>
            </w:r>
          </w:p>
        </w:tc>
        <w:tc>
          <w:tcPr>
            <w:tcW w:w="2310" w:type="dxa"/>
            <w:noWrap w:val="0"/>
            <w:vAlign w:val="center"/>
          </w:tcPr>
          <w:p>
            <w:pPr>
              <w:tabs>
                <w:tab w:val="left" w:pos="720"/>
              </w:tabs>
              <w:spacing w:line="300" w:lineRule="exact"/>
              <w:jc w:val="center"/>
              <w:rPr>
                <w:sz w:val="21"/>
                <w:highlight w:val="none"/>
              </w:rPr>
            </w:pPr>
            <w:r>
              <w:rPr>
                <w:sz w:val="21"/>
                <w:highlight w:val="none"/>
              </w:rPr>
              <w:t>97</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1177" w:type="dxa"/>
            <w:noWrap w:val="0"/>
            <w:vAlign w:val="center"/>
          </w:tcPr>
          <w:p>
            <w:pPr>
              <w:tabs>
                <w:tab w:val="left" w:pos="720"/>
              </w:tabs>
              <w:spacing w:line="300" w:lineRule="exact"/>
              <w:jc w:val="center"/>
              <w:rPr>
                <w:rFonts w:hint="eastAsia" w:ascii="宋体" w:hAnsi="宋体"/>
                <w:sz w:val="21"/>
                <w:highlight w:val="none"/>
              </w:rPr>
            </w:pPr>
            <w:r>
              <w:rPr>
                <w:rFonts w:hint="eastAsia" w:ascii="宋体" w:hAnsi="宋体"/>
                <w:sz w:val="21"/>
                <w:highlight w:val="none"/>
              </w:rPr>
              <w:t>功率因数</w:t>
            </w:r>
          </w:p>
        </w:tc>
        <w:tc>
          <w:tcPr>
            <w:tcW w:w="816" w:type="dxa"/>
            <w:noWrap w:val="0"/>
            <w:vAlign w:val="center"/>
          </w:tcPr>
          <w:p>
            <w:pPr>
              <w:tabs>
                <w:tab w:val="left" w:pos="720"/>
              </w:tabs>
              <w:spacing w:line="300" w:lineRule="exact"/>
              <w:jc w:val="center"/>
              <w:rPr>
                <w:sz w:val="21"/>
                <w:highlight w:val="none"/>
              </w:rPr>
            </w:pPr>
          </w:p>
        </w:tc>
        <w:tc>
          <w:tcPr>
            <w:tcW w:w="2351" w:type="dxa"/>
            <w:noWrap w:val="0"/>
            <w:vAlign w:val="center"/>
          </w:tcPr>
          <w:p>
            <w:pPr>
              <w:tabs>
                <w:tab w:val="left" w:pos="720"/>
              </w:tabs>
              <w:spacing w:line="300" w:lineRule="exact"/>
              <w:jc w:val="center"/>
              <w:rPr>
                <w:sz w:val="21"/>
                <w:highlight w:val="none"/>
              </w:rPr>
            </w:pPr>
            <w:r>
              <w:rPr>
                <w:sz w:val="21"/>
                <w:highlight w:val="none"/>
              </w:rPr>
              <w:t>0.9</w:t>
            </w:r>
            <w:r>
              <w:rPr>
                <w:rFonts w:hAnsi="宋体"/>
                <w:sz w:val="21"/>
                <w:highlight w:val="none"/>
              </w:rPr>
              <w:t>（滞后）</w:t>
            </w:r>
          </w:p>
        </w:tc>
        <w:tc>
          <w:tcPr>
            <w:tcW w:w="1718" w:type="dxa"/>
            <w:noWrap w:val="0"/>
            <w:vAlign w:val="center"/>
          </w:tcPr>
          <w:p>
            <w:pPr>
              <w:tabs>
                <w:tab w:val="left" w:pos="720"/>
              </w:tabs>
              <w:spacing w:line="300" w:lineRule="exact"/>
              <w:jc w:val="center"/>
              <w:rPr>
                <w:sz w:val="21"/>
                <w:highlight w:val="none"/>
              </w:rPr>
            </w:pPr>
            <w:r>
              <w:rPr>
                <w:rFonts w:hAnsi="宋体"/>
                <w:sz w:val="21"/>
                <w:highlight w:val="none"/>
              </w:rPr>
              <w:t>额定励磁电流</w:t>
            </w:r>
          </w:p>
        </w:tc>
        <w:tc>
          <w:tcPr>
            <w:tcW w:w="950" w:type="dxa"/>
            <w:noWrap w:val="0"/>
            <w:vAlign w:val="center"/>
          </w:tcPr>
          <w:p>
            <w:pPr>
              <w:tabs>
                <w:tab w:val="left" w:pos="720"/>
              </w:tabs>
              <w:spacing w:line="300" w:lineRule="exact"/>
              <w:jc w:val="center"/>
              <w:rPr>
                <w:sz w:val="21"/>
                <w:highlight w:val="none"/>
              </w:rPr>
            </w:pPr>
            <w:r>
              <w:rPr>
                <w:sz w:val="21"/>
                <w:highlight w:val="none"/>
              </w:rPr>
              <w:t>A</w:t>
            </w:r>
          </w:p>
        </w:tc>
        <w:tc>
          <w:tcPr>
            <w:tcW w:w="2310" w:type="dxa"/>
            <w:noWrap w:val="0"/>
            <w:vAlign w:val="center"/>
          </w:tcPr>
          <w:p>
            <w:pPr>
              <w:tabs>
                <w:tab w:val="left" w:pos="720"/>
              </w:tabs>
              <w:spacing w:line="300" w:lineRule="exact"/>
              <w:jc w:val="center"/>
              <w:rPr>
                <w:sz w:val="21"/>
                <w:highlight w:val="none"/>
              </w:rPr>
            </w:pPr>
            <w:r>
              <w:rPr>
                <w:sz w:val="21"/>
                <w:highlight w:val="none"/>
              </w:rPr>
              <w:t>470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1177" w:type="dxa"/>
            <w:noWrap w:val="0"/>
            <w:vAlign w:val="center"/>
          </w:tcPr>
          <w:p>
            <w:pPr>
              <w:tabs>
                <w:tab w:val="left" w:pos="720"/>
              </w:tabs>
              <w:spacing w:line="300" w:lineRule="exact"/>
              <w:jc w:val="center"/>
              <w:rPr>
                <w:rFonts w:hint="eastAsia" w:ascii="宋体" w:hAnsi="宋体"/>
                <w:sz w:val="21"/>
                <w:highlight w:val="none"/>
              </w:rPr>
            </w:pPr>
            <w:r>
              <w:rPr>
                <w:rFonts w:hint="eastAsia" w:ascii="宋体" w:hAnsi="宋体"/>
                <w:sz w:val="21"/>
                <w:highlight w:val="none"/>
              </w:rPr>
              <w:t>额定频率</w:t>
            </w:r>
          </w:p>
        </w:tc>
        <w:tc>
          <w:tcPr>
            <w:tcW w:w="816" w:type="dxa"/>
            <w:noWrap w:val="0"/>
            <w:vAlign w:val="center"/>
          </w:tcPr>
          <w:p>
            <w:pPr>
              <w:tabs>
                <w:tab w:val="left" w:pos="720"/>
              </w:tabs>
              <w:spacing w:line="300" w:lineRule="exact"/>
              <w:jc w:val="center"/>
              <w:rPr>
                <w:sz w:val="21"/>
                <w:highlight w:val="none"/>
              </w:rPr>
            </w:pPr>
            <w:r>
              <w:rPr>
                <w:sz w:val="21"/>
                <w:highlight w:val="none"/>
              </w:rPr>
              <w:t>Hz</w:t>
            </w:r>
          </w:p>
        </w:tc>
        <w:tc>
          <w:tcPr>
            <w:tcW w:w="2351" w:type="dxa"/>
            <w:noWrap w:val="0"/>
            <w:vAlign w:val="center"/>
          </w:tcPr>
          <w:p>
            <w:pPr>
              <w:tabs>
                <w:tab w:val="left" w:pos="720"/>
              </w:tabs>
              <w:spacing w:line="300" w:lineRule="exact"/>
              <w:jc w:val="center"/>
              <w:rPr>
                <w:sz w:val="21"/>
                <w:highlight w:val="none"/>
              </w:rPr>
            </w:pPr>
            <w:r>
              <w:rPr>
                <w:sz w:val="21"/>
                <w:highlight w:val="none"/>
              </w:rPr>
              <w:t>50</w:t>
            </w:r>
          </w:p>
        </w:tc>
        <w:tc>
          <w:tcPr>
            <w:tcW w:w="1718" w:type="dxa"/>
            <w:noWrap w:val="0"/>
            <w:vAlign w:val="center"/>
          </w:tcPr>
          <w:p>
            <w:pPr>
              <w:tabs>
                <w:tab w:val="left" w:pos="720"/>
              </w:tabs>
              <w:spacing w:line="300" w:lineRule="exact"/>
              <w:jc w:val="center"/>
              <w:rPr>
                <w:sz w:val="21"/>
                <w:highlight w:val="none"/>
              </w:rPr>
            </w:pPr>
            <w:r>
              <w:rPr>
                <w:rFonts w:hAnsi="宋体"/>
                <w:sz w:val="21"/>
                <w:highlight w:val="none"/>
              </w:rPr>
              <w:t>空载励磁电压</w:t>
            </w:r>
          </w:p>
        </w:tc>
        <w:tc>
          <w:tcPr>
            <w:tcW w:w="950" w:type="dxa"/>
            <w:noWrap w:val="0"/>
            <w:vAlign w:val="center"/>
          </w:tcPr>
          <w:p>
            <w:pPr>
              <w:tabs>
                <w:tab w:val="left" w:pos="720"/>
              </w:tabs>
              <w:spacing w:line="300" w:lineRule="exact"/>
              <w:jc w:val="center"/>
              <w:rPr>
                <w:sz w:val="21"/>
                <w:highlight w:val="none"/>
              </w:rPr>
            </w:pPr>
            <w:r>
              <w:rPr>
                <w:sz w:val="21"/>
                <w:highlight w:val="none"/>
              </w:rPr>
              <w:t>V</w:t>
            </w:r>
          </w:p>
        </w:tc>
        <w:tc>
          <w:tcPr>
            <w:tcW w:w="2310" w:type="dxa"/>
            <w:noWrap w:val="0"/>
            <w:vAlign w:val="center"/>
          </w:tcPr>
          <w:p>
            <w:pPr>
              <w:tabs>
                <w:tab w:val="left" w:pos="720"/>
              </w:tabs>
              <w:spacing w:line="300" w:lineRule="exact"/>
              <w:jc w:val="center"/>
              <w:rPr>
                <w:sz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1177" w:type="dxa"/>
            <w:noWrap w:val="0"/>
            <w:vAlign w:val="center"/>
          </w:tcPr>
          <w:p>
            <w:pPr>
              <w:tabs>
                <w:tab w:val="left" w:pos="720"/>
              </w:tabs>
              <w:spacing w:line="300" w:lineRule="exact"/>
              <w:jc w:val="center"/>
              <w:rPr>
                <w:rFonts w:hint="eastAsia" w:ascii="宋体" w:hAnsi="宋体"/>
                <w:sz w:val="21"/>
                <w:highlight w:val="none"/>
              </w:rPr>
            </w:pPr>
            <w:r>
              <w:rPr>
                <w:rFonts w:hint="eastAsia" w:ascii="宋体" w:hAnsi="宋体"/>
                <w:sz w:val="21"/>
                <w:highlight w:val="none"/>
              </w:rPr>
              <w:t>绝缘方式</w:t>
            </w:r>
          </w:p>
        </w:tc>
        <w:tc>
          <w:tcPr>
            <w:tcW w:w="816" w:type="dxa"/>
            <w:noWrap w:val="0"/>
            <w:vAlign w:val="center"/>
          </w:tcPr>
          <w:p>
            <w:pPr>
              <w:tabs>
                <w:tab w:val="left" w:pos="720"/>
              </w:tabs>
              <w:spacing w:line="300" w:lineRule="exact"/>
              <w:jc w:val="center"/>
              <w:rPr>
                <w:sz w:val="21"/>
                <w:highlight w:val="none"/>
              </w:rPr>
            </w:pPr>
          </w:p>
        </w:tc>
        <w:tc>
          <w:tcPr>
            <w:tcW w:w="2351" w:type="dxa"/>
            <w:noWrap w:val="0"/>
            <w:vAlign w:val="center"/>
          </w:tcPr>
          <w:p>
            <w:pPr>
              <w:tabs>
                <w:tab w:val="left" w:pos="720"/>
              </w:tabs>
              <w:spacing w:line="300" w:lineRule="exact"/>
              <w:jc w:val="center"/>
              <w:rPr>
                <w:sz w:val="21"/>
                <w:highlight w:val="none"/>
              </w:rPr>
            </w:pPr>
            <w:r>
              <w:rPr>
                <w:sz w:val="21"/>
                <w:highlight w:val="none"/>
              </w:rPr>
              <w:t>F</w:t>
            </w:r>
            <w:r>
              <w:rPr>
                <w:rFonts w:hAnsi="宋体"/>
                <w:sz w:val="21"/>
                <w:highlight w:val="none"/>
              </w:rPr>
              <w:t>级</w:t>
            </w:r>
          </w:p>
        </w:tc>
        <w:tc>
          <w:tcPr>
            <w:tcW w:w="1718" w:type="dxa"/>
            <w:noWrap w:val="0"/>
            <w:vAlign w:val="center"/>
          </w:tcPr>
          <w:p>
            <w:pPr>
              <w:tabs>
                <w:tab w:val="left" w:pos="720"/>
              </w:tabs>
              <w:spacing w:line="300" w:lineRule="exact"/>
              <w:jc w:val="center"/>
              <w:rPr>
                <w:sz w:val="21"/>
                <w:highlight w:val="none"/>
              </w:rPr>
            </w:pPr>
            <w:r>
              <w:rPr>
                <w:rFonts w:hAnsi="宋体"/>
                <w:sz w:val="21"/>
                <w:highlight w:val="none"/>
              </w:rPr>
              <w:t>空载励磁电流</w:t>
            </w:r>
          </w:p>
        </w:tc>
        <w:tc>
          <w:tcPr>
            <w:tcW w:w="950" w:type="dxa"/>
            <w:noWrap w:val="0"/>
            <w:vAlign w:val="center"/>
          </w:tcPr>
          <w:p>
            <w:pPr>
              <w:tabs>
                <w:tab w:val="left" w:pos="720"/>
              </w:tabs>
              <w:spacing w:line="300" w:lineRule="exact"/>
              <w:jc w:val="center"/>
              <w:rPr>
                <w:sz w:val="21"/>
                <w:highlight w:val="none"/>
              </w:rPr>
            </w:pPr>
            <w:r>
              <w:rPr>
                <w:sz w:val="21"/>
                <w:highlight w:val="none"/>
              </w:rPr>
              <w:t>A</w:t>
            </w:r>
          </w:p>
        </w:tc>
        <w:tc>
          <w:tcPr>
            <w:tcW w:w="2310" w:type="dxa"/>
            <w:noWrap w:val="0"/>
            <w:vAlign w:val="center"/>
          </w:tcPr>
          <w:p>
            <w:pPr>
              <w:tabs>
                <w:tab w:val="left" w:pos="720"/>
              </w:tabs>
              <w:spacing w:line="300" w:lineRule="exact"/>
              <w:jc w:val="center"/>
              <w:rPr>
                <w:sz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1177" w:type="dxa"/>
            <w:noWrap w:val="0"/>
            <w:vAlign w:val="center"/>
          </w:tcPr>
          <w:p>
            <w:pPr>
              <w:tabs>
                <w:tab w:val="left" w:pos="720"/>
              </w:tabs>
              <w:spacing w:line="300" w:lineRule="exact"/>
              <w:jc w:val="center"/>
              <w:rPr>
                <w:rFonts w:hint="eastAsia" w:ascii="宋体" w:hAnsi="宋体"/>
                <w:sz w:val="21"/>
                <w:highlight w:val="none"/>
              </w:rPr>
            </w:pPr>
            <w:r>
              <w:rPr>
                <w:rFonts w:hint="eastAsia" w:ascii="宋体" w:hAnsi="宋体"/>
                <w:sz w:val="21"/>
                <w:highlight w:val="none"/>
              </w:rPr>
              <w:t>额定转速</w:t>
            </w:r>
          </w:p>
        </w:tc>
        <w:tc>
          <w:tcPr>
            <w:tcW w:w="816" w:type="dxa"/>
            <w:noWrap w:val="0"/>
            <w:vAlign w:val="center"/>
          </w:tcPr>
          <w:p>
            <w:pPr>
              <w:tabs>
                <w:tab w:val="left" w:pos="720"/>
              </w:tabs>
              <w:spacing w:line="300" w:lineRule="exact"/>
              <w:jc w:val="center"/>
              <w:rPr>
                <w:sz w:val="21"/>
                <w:highlight w:val="none"/>
              </w:rPr>
            </w:pPr>
            <w:r>
              <w:rPr>
                <w:sz w:val="21"/>
                <w:highlight w:val="none"/>
              </w:rPr>
              <w:t>r/min</w:t>
            </w:r>
          </w:p>
        </w:tc>
        <w:tc>
          <w:tcPr>
            <w:tcW w:w="2351" w:type="dxa"/>
            <w:noWrap w:val="0"/>
            <w:vAlign w:val="center"/>
          </w:tcPr>
          <w:p>
            <w:pPr>
              <w:tabs>
                <w:tab w:val="left" w:pos="720"/>
              </w:tabs>
              <w:spacing w:line="300" w:lineRule="exact"/>
              <w:jc w:val="center"/>
              <w:rPr>
                <w:sz w:val="21"/>
                <w:highlight w:val="none"/>
              </w:rPr>
            </w:pPr>
            <w:r>
              <w:rPr>
                <w:sz w:val="21"/>
                <w:highlight w:val="none"/>
              </w:rPr>
              <w:t>187.5</w:t>
            </w:r>
          </w:p>
        </w:tc>
        <w:tc>
          <w:tcPr>
            <w:tcW w:w="1718" w:type="dxa"/>
            <w:noWrap w:val="0"/>
            <w:vAlign w:val="center"/>
          </w:tcPr>
          <w:p>
            <w:pPr>
              <w:tabs>
                <w:tab w:val="left" w:pos="720"/>
              </w:tabs>
              <w:spacing w:line="300" w:lineRule="exact"/>
              <w:jc w:val="center"/>
              <w:rPr>
                <w:sz w:val="21"/>
                <w:highlight w:val="none"/>
              </w:rPr>
            </w:pPr>
            <w:r>
              <w:rPr>
                <w:rFonts w:hAnsi="宋体"/>
                <w:sz w:val="21"/>
                <w:highlight w:val="none"/>
              </w:rPr>
              <w:t>定子接地方式</w:t>
            </w:r>
          </w:p>
        </w:tc>
        <w:tc>
          <w:tcPr>
            <w:tcW w:w="950" w:type="dxa"/>
            <w:noWrap w:val="0"/>
            <w:vAlign w:val="center"/>
          </w:tcPr>
          <w:p>
            <w:pPr>
              <w:tabs>
                <w:tab w:val="left" w:pos="720"/>
              </w:tabs>
              <w:spacing w:line="300" w:lineRule="exact"/>
              <w:jc w:val="center"/>
              <w:rPr>
                <w:sz w:val="21"/>
                <w:highlight w:val="none"/>
              </w:rPr>
            </w:pPr>
          </w:p>
        </w:tc>
        <w:tc>
          <w:tcPr>
            <w:tcW w:w="2310" w:type="dxa"/>
            <w:noWrap w:val="0"/>
            <w:vAlign w:val="center"/>
          </w:tcPr>
          <w:p>
            <w:pPr>
              <w:tabs>
                <w:tab w:val="left" w:pos="720"/>
              </w:tabs>
              <w:spacing w:line="300" w:lineRule="exact"/>
              <w:jc w:val="center"/>
              <w:rPr>
                <w:sz w:val="21"/>
                <w:highlight w:val="none"/>
              </w:rPr>
            </w:pPr>
            <w:r>
              <w:rPr>
                <w:rFonts w:hAnsi="宋体"/>
                <w:sz w:val="21"/>
                <w:highlight w:val="none"/>
              </w:rPr>
              <w:t>不接地</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1177" w:type="dxa"/>
            <w:noWrap w:val="0"/>
            <w:vAlign w:val="center"/>
          </w:tcPr>
          <w:p>
            <w:pPr>
              <w:tabs>
                <w:tab w:val="left" w:pos="720"/>
              </w:tabs>
              <w:spacing w:line="300" w:lineRule="exact"/>
              <w:jc w:val="center"/>
              <w:rPr>
                <w:rFonts w:hint="eastAsia" w:ascii="宋体" w:hAnsi="宋体"/>
                <w:sz w:val="21"/>
                <w:highlight w:val="none"/>
              </w:rPr>
            </w:pPr>
            <w:r>
              <w:rPr>
                <w:rFonts w:hint="eastAsia" w:ascii="宋体" w:hAnsi="宋体"/>
                <w:sz w:val="21"/>
                <w:highlight w:val="none"/>
              </w:rPr>
              <w:t>飞逸转速</w:t>
            </w:r>
          </w:p>
        </w:tc>
        <w:tc>
          <w:tcPr>
            <w:tcW w:w="816" w:type="dxa"/>
            <w:noWrap w:val="0"/>
            <w:vAlign w:val="center"/>
          </w:tcPr>
          <w:p>
            <w:pPr>
              <w:tabs>
                <w:tab w:val="left" w:pos="720"/>
              </w:tabs>
              <w:spacing w:line="300" w:lineRule="exact"/>
              <w:jc w:val="center"/>
              <w:rPr>
                <w:sz w:val="21"/>
                <w:highlight w:val="none"/>
              </w:rPr>
            </w:pPr>
            <w:r>
              <w:rPr>
                <w:sz w:val="21"/>
                <w:highlight w:val="none"/>
              </w:rPr>
              <w:t>r/min</w:t>
            </w:r>
          </w:p>
        </w:tc>
        <w:tc>
          <w:tcPr>
            <w:tcW w:w="2351" w:type="dxa"/>
            <w:noWrap w:val="0"/>
            <w:vAlign w:val="center"/>
          </w:tcPr>
          <w:p>
            <w:pPr>
              <w:tabs>
                <w:tab w:val="left" w:pos="720"/>
              </w:tabs>
              <w:spacing w:line="300" w:lineRule="exact"/>
              <w:jc w:val="center"/>
              <w:rPr>
                <w:sz w:val="21"/>
                <w:highlight w:val="none"/>
              </w:rPr>
            </w:pPr>
            <w:r>
              <w:rPr>
                <w:sz w:val="21"/>
                <w:highlight w:val="none"/>
              </w:rPr>
              <w:t>540</w:t>
            </w:r>
          </w:p>
        </w:tc>
        <w:tc>
          <w:tcPr>
            <w:tcW w:w="1718" w:type="dxa"/>
            <w:noWrap w:val="0"/>
            <w:vAlign w:val="center"/>
          </w:tcPr>
          <w:p>
            <w:pPr>
              <w:tabs>
                <w:tab w:val="left" w:pos="720"/>
              </w:tabs>
              <w:spacing w:line="300" w:lineRule="exact"/>
              <w:jc w:val="center"/>
              <w:rPr>
                <w:sz w:val="21"/>
                <w:highlight w:val="none"/>
              </w:rPr>
            </w:pPr>
            <w:r>
              <w:rPr>
                <w:rFonts w:hAnsi="宋体"/>
                <w:sz w:val="21"/>
                <w:highlight w:val="none"/>
              </w:rPr>
              <w:t>冷却方式</w:t>
            </w:r>
          </w:p>
        </w:tc>
        <w:tc>
          <w:tcPr>
            <w:tcW w:w="3260" w:type="dxa"/>
            <w:gridSpan w:val="2"/>
            <w:noWrap w:val="0"/>
            <w:vAlign w:val="center"/>
          </w:tcPr>
          <w:p>
            <w:pPr>
              <w:tabs>
                <w:tab w:val="left" w:pos="720"/>
              </w:tabs>
              <w:spacing w:line="300" w:lineRule="exact"/>
              <w:jc w:val="center"/>
              <w:rPr>
                <w:sz w:val="21"/>
                <w:highlight w:val="none"/>
              </w:rPr>
            </w:pPr>
            <w:r>
              <w:rPr>
                <w:rFonts w:hAnsi="宋体"/>
                <w:sz w:val="21"/>
                <w:highlight w:val="none"/>
              </w:rPr>
              <w:t>外加风机轴向常压强迫通风冷却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1177" w:type="dxa"/>
            <w:noWrap w:val="0"/>
            <w:vAlign w:val="center"/>
          </w:tcPr>
          <w:p>
            <w:pPr>
              <w:tabs>
                <w:tab w:val="left" w:pos="720"/>
              </w:tabs>
              <w:spacing w:line="300" w:lineRule="exact"/>
              <w:jc w:val="center"/>
              <w:rPr>
                <w:rFonts w:hint="eastAsia" w:ascii="宋体" w:hAnsi="宋体"/>
                <w:sz w:val="21"/>
                <w:highlight w:val="none"/>
              </w:rPr>
            </w:pPr>
            <w:r>
              <w:rPr>
                <w:rFonts w:hint="eastAsia" w:ascii="宋体" w:hAnsi="宋体"/>
                <w:sz w:val="21"/>
                <w:highlight w:val="none"/>
              </w:rPr>
              <w:t>飞轮力距</w:t>
            </w:r>
          </w:p>
        </w:tc>
        <w:tc>
          <w:tcPr>
            <w:tcW w:w="816" w:type="dxa"/>
            <w:noWrap w:val="0"/>
            <w:vAlign w:val="center"/>
          </w:tcPr>
          <w:p>
            <w:pPr>
              <w:tabs>
                <w:tab w:val="left" w:pos="720"/>
              </w:tabs>
              <w:spacing w:line="300" w:lineRule="exact"/>
              <w:jc w:val="center"/>
              <w:rPr>
                <w:sz w:val="21"/>
                <w:highlight w:val="none"/>
              </w:rPr>
            </w:pPr>
            <w:r>
              <w:rPr>
                <w:sz w:val="21"/>
                <w:highlight w:val="none"/>
              </w:rPr>
              <w:t>kN</w:t>
            </w:r>
            <w:r>
              <w:rPr>
                <w:rFonts w:hAnsi="宋体"/>
                <w:sz w:val="21"/>
                <w:highlight w:val="none"/>
              </w:rPr>
              <w:t>．</w:t>
            </w:r>
            <w:r>
              <w:rPr>
                <w:sz w:val="21"/>
                <w:highlight w:val="none"/>
              </w:rPr>
              <w:t>m</w:t>
            </w:r>
            <w:r>
              <w:rPr>
                <w:sz w:val="21"/>
                <w:highlight w:val="none"/>
                <w:vertAlign w:val="superscript"/>
              </w:rPr>
              <w:t>2</w:t>
            </w:r>
          </w:p>
        </w:tc>
        <w:tc>
          <w:tcPr>
            <w:tcW w:w="2351" w:type="dxa"/>
            <w:noWrap w:val="0"/>
            <w:vAlign w:val="center"/>
          </w:tcPr>
          <w:p>
            <w:pPr>
              <w:tabs>
                <w:tab w:val="left" w:pos="720"/>
              </w:tabs>
              <w:spacing w:line="300" w:lineRule="exact"/>
              <w:jc w:val="center"/>
              <w:rPr>
                <w:sz w:val="21"/>
                <w:highlight w:val="none"/>
              </w:rPr>
            </w:pPr>
            <w:r>
              <w:rPr>
                <w:sz w:val="21"/>
                <w:highlight w:val="none"/>
              </w:rPr>
              <w:t>690</w:t>
            </w:r>
          </w:p>
        </w:tc>
        <w:tc>
          <w:tcPr>
            <w:tcW w:w="1718" w:type="dxa"/>
            <w:noWrap w:val="0"/>
            <w:vAlign w:val="center"/>
          </w:tcPr>
          <w:p>
            <w:pPr>
              <w:tabs>
                <w:tab w:val="left" w:pos="720"/>
              </w:tabs>
              <w:spacing w:line="300" w:lineRule="exact"/>
              <w:jc w:val="center"/>
              <w:rPr>
                <w:sz w:val="21"/>
                <w:highlight w:val="none"/>
              </w:rPr>
            </w:pPr>
            <w:r>
              <w:rPr>
                <w:rFonts w:hAnsi="宋体"/>
                <w:sz w:val="21"/>
                <w:highlight w:val="none"/>
              </w:rPr>
              <w:t>冷却器数量</w:t>
            </w:r>
          </w:p>
        </w:tc>
        <w:tc>
          <w:tcPr>
            <w:tcW w:w="950" w:type="dxa"/>
            <w:noWrap w:val="0"/>
            <w:vAlign w:val="center"/>
          </w:tcPr>
          <w:p>
            <w:pPr>
              <w:tabs>
                <w:tab w:val="left" w:pos="720"/>
              </w:tabs>
              <w:spacing w:line="300" w:lineRule="exact"/>
              <w:jc w:val="center"/>
              <w:rPr>
                <w:sz w:val="21"/>
                <w:highlight w:val="none"/>
              </w:rPr>
            </w:pPr>
            <w:r>
              <w:rPr>
                <w:rFonts w:hAnsi="宋体"/>
                <w:sz w:val="21"/>
                <w:highlight w:val="none"/>
              </w:rPr>
              <w:t>个</w:t>
            </w:r>
          </w:p>
        </w:tc>
        <w:tc>
          <w:tcPr>
            <w:tcW w:w="2310" w:type="dxa"/>
            <w:noWrap w:val="0"/>
            <w:vAlign w:val="center"/>
          </w:tcPr>
          <w:p>
            <w:pPr>
              <w:tabs>
                <w:tab w:val="left" w:pos="720"/>
              </w:tabs>
              <w:spacing w:line="300" w:lineRule="exact"/>
              <w:jc w:val="center"/>
              <w:rPr>
                <w:sz w:val="21"/>
                <w:highlight w:val="none"/>
              </w:rPr>
            </w:pPr>
            <w:r>
              <w:rPr>
                <w:sz w:val="21"/>
                <w:highlight w:val="none"/>
              </w:rPr>
              <w:t>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1177" w:type="dxa"/>
            <w:noWrap w:val="0"/>
            <w:vAlign w:val="center"/>
          </w:tcPr>
          <w:p>
            <w:pPr>
              <w:tabs>
                <w:tab w:val="left" w:pos="720"/>
              </w:tabs>
              <w:spacing w:line="300" w:lineRule="exact"/>
              <w:jc w:val="center"/>
              <w:rPr>
                <w:rFonts w:hint="eastAsia" w:ascii="宋体" w:hAnsi="宋体"/>
                <w:sz w:val="21"/>
                <w:highlight w:val="none"/>
              </w:rPr>
            </w:pPr>
            <w:r>
              <w:rPr>
                <w:rFonts w:hint="eastAsia" w:ascii="宋体" w:hAnsi="宋体"/>
                <w:sz w:val="21"/>
                <w:highlight w:val="none"/>
              </w:rPr>
              <w:t>测速方式</w:t>
            </w:r>
          </w:p>
        </w:tc>
        <w:tc>
          <w:tcPr>
            <w:tcW w:w="3167" w:type="dxa"/>
            <w:gridSpan w:val="2"/>
            <w:noWrap w:val="0"/>
            <w:vAlign w:val="center"/>
          </w:tcPr>
          <w:p>
            <w:pPr>
              <w:tabs>
                <w:tab w:val="left" w:pos="720"/>
              </w:tabs>
              <w:spacing w:line="300" w:lineRule="exact"/>
              <w:jc w:val="center"/>
              <w:rPr>
                <w:sz w:val="21"/>
                <w:highlight w:val="none"/>
              </w:rPr>
            </w:pPr>
            <w:r>
              <w:rPr>
                <w:rFonts w:hAnsi="宋体"/>
                <w:sz w:val="21"/>
                <w:highlight w:val="none"/>
              </w:rPr>
              <w:t>残压测频</w:t>
            </w:r>
          </w:p>
        </w:tc>
        <w:tc>
          <w:tcPr>
            <w:tcW w:w="1718" w:type="dxa"/>
            <w:noWrap w:val="0"/>
            <w:vAlign w:val="center"/>
          </w:tcPr>
          <w:p>
            <w:pPr>
              <w:tabs>
                <w:tab w:val="left" w:pos="720"/>
              </w:tabs>
              <w:spacing w:line="300" w:lineRule="exact"/>
              <w:jc w:val="center"/>
              <w:rPr>
                <w:sz w:val="21"/>
                <w:highlight w:val="none"/>
              </w:rPr>
            </w:pPr>
            <w:r>
              <w:rPr>
                <w:rFonts w:hAnsi="宋体"/>
                <w:sz w:val="21"/>
                <w:highlight w:val="none"/>
              </w:rPr>
              <w:t>混流风机</w:t>
            </w:r>
          </w:p>
        </w:tc>
        <w:tc>
          <w:tcPr>
            <w:tcW w:w="950" w:type="dxa"/>
            <w:noWrap w:val="0"/>
            <w:vAlign w:val="center"/>
          </w:tcPr>
          <w:p>
            <w:pPr>
              <w:tabs>
                <w:tab w:val="left" w:pos="720"/>
              </w:tabs>
              <w:spacing w:line="300" w:lineRule="exact"/>
              <w:jc w:val="center"/>
              <w:rPr>
                <w:sz w:val="21"/>
                <w:highlight w:val="none"/>
              </w:rPr>
            </w:pPr>
            <w:r>
              <w:rPr>
                <w:rFonts w:hAnsi="宋体"/>
                <w:sz w:val="21"/>
                <w:highlight w:val="none"/>
              </w:rPr>
              <w:t>个</w:t>
            </w:r>
          </w:p>
        </w:tc>
        <w:tc>
          <w:tcPr>
            <w:tcW w:w="2310" w:type="dxa"/>
            <w:noWrap w:val="0"/>
            <w:vAlign w:val="center"/>
          </w:tcPr>
          <w:p>
            <w:pPr>
              <w:tabs>
                <w:tab w:val="left" w:pos="720"/>
              </w:tabs>
              <w:spacing w:line="300" w:lineRule="exact"/>
              <w:jc w:val="center"/>
              <w:rPr>
                <w:sz w:val="21"/>
                <w:highlight w:val="none"/>
              </w:rPr>
            </w:pPr>
            <w:r>
              <w:rPr>
                <w:sz w:val="21"/>
                <w:highlight w:val="none"/>
              </w:rPr>
              <w:t>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1177" w:type="dxa"/>
            <w:noWrap w:val="0"/>
            <w:vAlign w:val="center"/>
          </w:tcPr>
          <w:p>
            <w:pPr>
              <w:tabs>
                <w:tab w:val="left" w:pos="720"/>
              </w:tabs>
              <w:spacing w:line="300" w:lineRule="exact"/>
              <w:jc w:val="center"/>
              <w:rPr>
                <w:rFonts w:hint="eastAsia" w:ascii="宋体" w:hAnsi="宋体"/>
                <w:sz w:val="21"/>
                <w:highlight w:val="none"/>
              </w:rPr>
            </w:pPr>
            <w:r>
              <w:rPr>
                <w:rFonts w:hint="eastAsia" w:ascii="宋体" w:hAnsi="宋体"/>
                <w:sz w:val="21"/>
                <w:highlight w:val="none"/>
              </w:rPr>
              <w:t>旋转方向</w:t>
            </w:r>
          </w:p>
        </w:tc>
        <w:tc>
          <w:tcPr>
            <w:tcW w:w="3167" w:type="dxa"/>
            <w:gridSpan w:val="2"/>
            <w:noWrap w:val="0"/>
            <w:vAlign w:val="center"/>
          </w:tcPr>
          <w:p>
            <w:pPr>
              <w:tabs>
                <w:tab w:val="left" w:pos="720"/>
              </w:tabs>
              <w:spacing w:line="300" w:lineRule="exact"/>
              <w:jc w:val="center"/>
              <w:rPr>
                <w:rFonts w:hint="eastAsia" w:ascii="宋体" w:hAnsi="宋体"/>
                <w:sz w:val="21"/>
                <w:highlight w:val="none"/>
              </w:rPr>
            </w:pPr>
            <w:r>
              <w:rPr>
                <w:rFonts w:hint="eastAsia" w:ascii="宋体" w:hAnsi="宋体"/>
                <w:sz w:val="21"/>
                <w:highlight w:val="none"/>
              </w:rPr>
              <w:t>从上游侧向下游侧看顺时针</w:t>
            </w:r>
          </w:p>
        </w:tc>
        <w:tc>
          <w:tcPr>
            <w:tcW w:w="1718" w:type="dxa"/>
            <w:noWrap w:val="0"/>
            <w:vAlign w:val="center"/>
          </w:tcPr>
          <w:p>
            <w:pPr>
              <w:tabs>
                <w:tab w:val="left" w:pos="720"/>
              </w:tabs>
              <w:spacing w:line="300" w:lineRule="exact"/>
              <w:jc w:val="center"/>
              <w:rPr>
                <w:rFonts w:hint="eastAsia" w:ascii="宋体" w:hAnsi="宋体"/>
                <w:sz w:val="21"/>
                <w:highlight w:val="none"/>
              </w:rPr>
            </w:pPr>
            <w:r>
              <w:rPr>
                <w:rFonts w:hint="eastAsia" w:ascii="宋体" w:hAnsi="宋体"/>
                <w:sz w:val="21"/>
                <w:highlight w:val="none"/>
              </w:rPr>
              <w:t>制造厂家</w:t>
            </w:r>
          </w:p>
        </w:tc>
        <w:tc>
          <w:tcPr>
            <w:tcW w:w="3260" w:type="dxa"/>
            <w:gridSpan w:val="2"/>
            <w:noWrap w:val="0"/>
            <w:vAlign w:val="center"/>
          </w:tcPr>
          <w:p>
            <w:pPr>
              <w:tabs>
                <w:tab w:val="left" w:pos="720"/>
              </w:tabs>
              <w:spacing w:line="300" w:lineRule="exact"/>
              <w:jc w:val="center"/>
              <w:rPr>
                <w:rFonts w:hint="eastAsia" w:ascii="宋体" w:hAnsi="宋体"/>
                <w:sz w:val="21"/>
                <w:highlight w:val="none"/>
              </w:rPr>
            </w:pPr>
            <w:r>
              <w:rPr>
                <w:rFonts w:hint="eastAsia" w:ascii="宋体" w:hAnsi="宋体"/>
                <w:sz w:val="21"/>
                <w:highlight w:val="none"/>
              </w:rPr>
              <w:t>天津天发重型水电设备制造公司</w:t>
            </w:r>
          </w:p>
        </w:tc>
      </w:tr>
    </w:tbl>
    <w:p>
      <w:pPr>
        <w:pStyle w:val="233"/>
        <w:spacing w:line="480" w:lineRule="exact"/>
        <w:ind w:firstLine="514"/>
        <w:rPr>
          <w:rFonts w:ascii="Times New Roman" w:hAnsi="Times New Roman" w:cs="Times New Roman"/>
          <w:bCs/>
          <w:szCs w:val="24"/>
          <w:highlight w:val="none"/>
          <w:u w:val="none"/>
        </w:rPr>
      </w:pPr>
      <w:r>
        <w:rPr>
          <w:rFonts w:ascii="Times New Roman" w:hAnsi="Times New Roman" w:cs="Times New Roman"/>
          <w:bCs/>
          <w:szCs w:val="24"/>
          <w:highlight w:val="none"/>
          <w:u w:val="none"/>
        </w:rPr>
        <w:t>（3）金属结构</w:t>
      </w:r>
    </w:p>
    <w:p>
      <w:pPr>
        <w:spacing w:line="480" w:lineRule="exact"/>
        <w:ind w:firstLine="470" w:firstLineChars="196"/>
        <w:rPr>
          <w:sz w:val="24"/>
          <w:highlight w:val="none"/>
        </w:rPr>
      </w:pPr>
      <w:r>
        <w:rPr>
          <w:sz w:val="24"/>
          <w:highlight w:val="none"/>
        </w:rPr>
        <w:t>本站金属结构主要包括引水渠节制闸工作闸门及拦污栅、前池进水闸快速闸门及拦污栅和尾水检修闸门。</w:t>
      </w:r>
    </w:p>
    <w:p>
      <w:pPr>
        <w:pStyle w:val="233"/>
        <w:spacing w:line="480" w:lineRule="exact"/>
        <w:ind w:firstLine="514"/>
        <w:rPr>
          <w:rFonts w:ascii="Times New Roman" w:hAnsi="Times New Roman" w:cs="Times New Roman"/>
          <w:bCs/>
          <w:szCs w:val="24"/>
          <w:highlight w:val="none"/>
        </w:rPr>
      </w:pPr>
      <w:r>
        <w:rPr>
          <w:rFonts w:ascii="Times New Roman" w:hAnsi="Times New Roman" w:cs="Times New Roman"/>
          <w:bCs/>
          <w:szCs w:val="24"/>
          <w:highlight w:val="none"/>
        </w:rPr>
        <w:t>（4）</w:t>
      </w:r>
      <w:r>
        <w:rPr>
          <w:rFonts w:hint="eastAsia" w:ascii="Times New Roman" w:hAnsi="Times New Roman" w:cs="Times New Roman"/>
          <w:bCs/>
          <w:szCs w:val="24"/>
          <w:highlight w:val="none"/>
        </w:rPr>
        <w:t>采暖通风</w:t>
      </w:r>
    </w:p>
    <w:p>
      <w:pPr>
        <w:pStyle w:val="233"/>
        <w:spacing w:line="480" w:lineRule="exact"/>
        <w:ind w:firstLine="514"/>
        <w:rPr>
          <w:rFonts w:ascii="Times New Roman" w:hAnsi="Times New Roman" w:cs="Times New Roman"/>
          <w:bCs/>
          <w:szCs w:val="24"/>
          <w:highlight w:val="none"/>
        </w:rPr>
      </w:pPr>
      <w:r>
        <w:rPr>
          <w:rFonts w:hint="eastAsia" w:ascii="Times New Roman" w:hAnsi="Times New Roman" w:cs="Times New Roman"/>
          <w:bCs/>
          <w:szCs w:val="24"/>
          <w:highlight w:val="none"/>
        </w:rPr>
        <w:t>水电站为地面厂房，装机容量不大，发电机采用管道通风的冷却方式，其本身向厂内散热较小，厂内热负荷主要由其它机电设备、照明等散热组成。根据厂房结构形式、机电设备布置以及室内、外设计计算参数。</w:t>
      </w:r>
    </w:p>
    <w:p>
      <w:pPr>
        <w:pStyle w:val="233"/>
        <w:spacing w:line="480" w:lineRule="exact"/>
        <w:ind w:firstLine="514"/>
        <w:rPr>
          <w:rFonts w:ascii="Times New Roman" w:hAnsi="Times New Roman" w:cs="Times New Roman"/>
          <w:bCs/>
          <w:szCs w:val="24"/>
          <w:highlight w:val="none"/>
        </w:rPr>
      </w:pPr>
      <w:r>
        <w:rPr>
          <w:rFonts w:hint="eastAsia" w:ascii="Times New Roman" w:hAnsi="Times New Roman" w:cs="Times New Roman"/>
          <w:bCs/>
          <w:szCs w:val="24"/>
          <w:highlight w:val="none"/>
        </w:rPr>
        <w:t>主厂房通风系统：采用自然进风、机械排风方式，室外新鲜空气通过厂房上部大面积百叶窗及进厂大门等进入厂内，各部位的热湿负荷通过排风机排出厂外。</w:t>
      </w:r>
    </w:p>
    <w:p>
      <w:pPr>
        <w:pStyle w:val="233"/>
        <w:spacing w:line="480" w:lineRule="exact"/>
        <w:ind w:firstLine="514"/>
        <w:rPr>
          <w:rFonts w:hint="eastAsia" w:ascii="Times New Roman" w:hAnsi="Times New Roman" w:eastAsia="宋体" w:cs="Times New Roman"/>
          <w:bCs/>
          <w:szCs w:val="24"/>
          <w:highlight w:val="none"/>
          <w:lang w:eastAsia="zh-CN"/>
        </w:rPr>
      </w:pPr>
      <w:r>
        <w:rPr>
          <w:rFonts w:hint="eastAsia" w:ascii="Times New Roman" w:hAnsi="Times New Roman" w:cs="Times New Roman"/>
          <w:bCs/>
          <w:szCs w:val="24"/>
          <w:highlight w:val="none"/>
        </w:rPr>
        <w:t>中控室等：电子精密仪器设备较多且值班人员较为集中，对室内温湿度要求较高，考虑设置局部空调系统，进行降温除湿处理。另设排风机作为事故排烟用</w:t>
      </w:r>
      <w:r>
        <w:rPr>
          <w:rFonts w:hint="eastAsia" w:ascii="Times New Roman" w:hAnsi="Times New Roman" w:cs="Times New Roman"/>
          <w:bCs/>
          <w:szCs w:val="24"/>
          <w:highlight w:val="none"/>
          <w:lang w:eastAsia="zh-CN"/>
        </w:rPr>
        <w:t>。</w:t>
      </w:r>
    </w:p>
    <w:p>
      <w:pPr>
        <w:pStyle w:val="233"/>
        <w:spacing w:line="480" w:lineRule="exact"/>
        <w:ind w:firstLine="514"/>
        <w:rPr>
          <w:rFonts w:ascii="Times New Roman" w:hAnsi="Times New Roman" w:cs="Times New Roman"/>
          <w:bCs/>
          <w:szCs w:val="24"/>
          <w:highlight w:val="none"/>
        </w:rPr>
      </w:pPr>
      <w:r>
        <w:rPr>
          <w:rFonts w:hint="eastAsia" w:ascii="Times New Roman" w:hAnsi="Times New Roman" w:cs="Times New Roman"/>
          <w:bCs/>
          <w:szCs w:val="24"/>
          <w:highlight w:val="none"/>
        </w:rPr>
        <w:t>（5）</w:t>
      </w:r>
      <w:r>
        <w:rPr>
          <w:rFonts w:ascii="Times New Roman" w:hAnsi="Times New Roman" w:cs="Times New Roman"/>
          <w:bCs/>
          <w:szCs w:val="24"/>
          <w:highlight w:val="none"/>
        </w:rPr>
        <w:t>消防</w:t>
      </w:r>
    </w:p>
    <w:p>
      <w:pPr>
        <w:pStyle w:val="233"/>
        <w:spacing w:line="480" w:lineRule="exact"/>
        <w:ind w:firstLine="514"/>
        <w:rPr>
          <w:rFonts w:ascii="Times New Roman" w:hAnsi="Times New Roman" w:cs="Times New Roman"/>
          <w:bCs/>
          <w:szCs w:val="24"/>
          <w:highlight w:val="none"/>
        </w:rPr>
      </w:pPr>
      <w:r>
        <w:rPr>
          <w:rFonts w:hint="eastAsia" w:ascii="Times New Roman" w:hAnsi="Times New Roman" w:cs="Times New Roman"/>
          <w:bCs/>
          <w:szCs w:val="24"/>
          <w:highlight w:val="none"/>
        </w:rPr>
        <w:t>本项目装机容量</w:t>
      </w:r>
      <w:r>
        <w:rPr>
          <w:rFonts w:hint="eastAsia" w:ascii="Times New Roman" w:hAnsi="Times New Roman" w:cs="Times New Roman"/>
          <w:bCs/>
          <w:szCs w:val="24"/>
          <w:highlight w:val="none"/>
          <w:lang w:val="en-US" w:eastAsia="zh-CN"/>
        </w:rPr>
        <w:t>5000</w:t>
      </w:r>
      <w:r>
        <w:rPr>
          <w:rFonts w:hint="eastAsia" w:ascii="Times New Roman" w:hAnsi="Times New Roman" w:cs="Times New Roman"/>
          <w:bCs/>
          <w:szCs w:val="24"/>
          <w:highlight w:val="none"/>
        </w:rPr>
        <w:t>kW，工程规模属小型水电站，主要生产厂房的建筑物、构筑物的防火区，其火灾危险类别分别属丙、丁或戊类。消防设计贯彻“以防为主，以消为辅”的方针。从设备的选型和建筑物的建筑材料选择方面，选择火灾的危险性较小的设备和材料，降低火灾发生的机率。</w:t>
      </w:r>
    </w:p>
    <w:p>
      <w:pPr>
        <w:pStyle w:val="233"/>
        <w:spacing w:line="480" w:lineRule="exact"/>
        <w:ind w:firstLine="514"/>
        <w:rPr>
          <w:rFonts w:hint="eastAsia" w:ascii="Times New Roman" w:hAnsi="Times New Roman" w:cs="Times New Roman"/>
          <w:bCs/>
          <w:szCs w:val="24"/>
          <w:highlight w:val="none"/>
          <w:lang w:eastAsia="zh-CN"/>
        </w:rPr>
      </w:pPr>
      <w:r>
        <w:rPr>
          <w:rFonts w:hint="eastAsia" w:ascii="Times New Roman" w:hAnsi="Times New Roman" w:cs="Times New Roman"/>
          <w:bCs/>
          <w:szCs w:val="24"/>
          <w:highlight w:val="none"/>
          <w:lang w:eastAsia="zh-CN"/>
        </w:rPr>
        <w:t>该工程已按设计标准在主厂房、高压开关室、中控室、低压配电室、厂变励磁变间等处设置了18个干粉灭火器；高压开关室、低压配电室、励磁变间、1#厂用变间等均设置防火门；各电缆穿管两端均用耐火材料封堵；主厂房安装间及水机层均布置消火栓。</w:t>
      </w:r>
    </w:p>
    <w:p>
      <w:pPr>
        <w:pStyle w:val="233"/>
        <w:spacing w:line="480" w:lineRule="exact"/>
        <w:ind w:firstLine="514"/>
        <w:rPr>
          <w:rFonts w:ascii="Times New Roman" w:hAnsi="Times New Roman" w:cs="Times New Roman"/>
          <w:bCs/>
          <w:szCs w:val="24"/>
          <w:highlight w:val="none"/>
        </w:rPr>
      </w:pPr>
      <w:r>
        <w:rPr>
          <w:rFonts w:hint="eastAsia" w:ascii="Times New Roman" w:hAnsi="Times New Roman" w:cs="Times New Roman"/>
          <w:bCs/>
          <w:szCs w:val="24"/>
          <w:highlight w:val="none"/>
        </w:rPr>
        <w:t>采用“以水灭火为主，化学灭火为辅” 的消防方案。按有关规程要求设置消防系统，采取切实可行的防火措施， 确保电站安全，即使万一发生火灾，也可迅速扑灭，减少火灾造成的损失。厂房安装间大门可直通室外作为主要安全出口</w:t>
      </w:r>
      <w:r>
        <w:rPr>
          <w:rFonts w:ascii="Times New Roman" w:hAnsi="Times New Roman" w:cs="Times New Roman"/>
          <w:bCs/>
          <w:szCs w:val="24"/>
          <w:highlight w:val="none"/>
        </w:rPr>
        <w:t>。</w:t>
      </w:r>
    </w:p>
    <w:p>
      <w:pPr>
        <w:tabs>
          <w:tab w:val="left" w:pos="1080"/>
        </w:tabs>
        <w:spacing w:line="480" w:lineRule="exact"/>
        <w:outlineLvl w:val="1"/>
        <w:rPr>
          <w:b/>
          <w:sz w:val="24"/>
          <w:highlight w:val="none"/>
        </w:rPr>
      </w:pPr>
      <w:bookmarkStart w:id="151" w:name="_Toc13517"/>
      <w:r>
        <w:rPr>
          <w:rFonts w:hint="eastAsia"/>
          <w:b/>
          <w:sz w:val="24"/>
          <w:highlight w:val="none"/>
        </w:rPr>
        <w:t>2</w:t>
      </w:r>
      <w:r>
        <w:rPr>
          <w:b/>
          <w:sz w:val="24"/>
          <w:highlight w:val="none"/>
        </w:rPr>
        <w:t>.</w:t>
      </w:r>
      <w:r>
        <w:rPr>
          <w:rFonts w:hint="eastAsia"/>
          <w:b/>
          <w:sz w:val="24"/>
          <w:highlight w:val="none"/>
          <w:lang w:val="en-US" w:eastAsia="zh-CN"/>
        </w:rPr>
        <w:t>9</w:t>
      </w:r>
      <w:r>
        <w:rPr>
          <w:rFonts w:hint="eastAsia"/>
          <w:b/>
          <w:sz w:val="24"/>
          <w:highlight w:val="none"/>
        </w:rPr>
        <w:t xml:space="preserve"> </w:t>
      </w:r>
      <w:r>
        <w:rPr>
          <w:b/>
          <w:sz w:val="24"/>
          <w:highlight w:val="none"/>
        </w:rPr>
        <w:t>工程施工</w:t>
      </w:r>
      <w:r>
        <w:rPr>
          <w:rFonts w:hint="eastAsia"/>
          <w:b/>
          <w:sz w:val="24"/>
          <w:highlight w:val="none"/>
        </w:rPr>
        <w:t>布置及</w:t>
      </w:r>
      <w:r>
        <w:rPr>
          <w:b/>
          <w:sz w:val="24"/>
          <w:highlight w:val="none"/>
        </w:rPr>
        <w:t>进度</w:t>
      </w:r>
      <w:bookmarkEnd w:id="151"/>
    </w:p>
    <w:p>
      <w:pPr>
        <w:pStyle w:val="167"/>
        <w:spacing w:line="480" w:lineRule="exact"/>
        <w:ind w:firstLine="480"/>
        <w:rPr>
          <w:sz w:val="24"/>
          <w:highlight w:val="none"/>
        </w:rPr>
      </w:pPr>
      <w:r>
        <w:rPr>
          <w:sz w:val="24"/>
          <w:highlight w:val="none"/>
        </w:rPr>
        <w:t>本项目</w:t>
      </w:r>
      <w:r>
        <w:rPr>
          <w:rFonts w:hint="eastAsia"/>
          <w:sz w:val="24"/>
          <w:highlight w:val="none"/>
        </w:rPr>
        <w:t>已经</w:t>
      </w:r>
      <w:r>
        <w:rPr>
          <w:sz w:val="24"/>
          <w:highlight w:val="none"/>
        </w:rPr>
        <w:t>建设完成，</w:t>
      </w:r>
      <w:r>
        <w:rPr>
          <w:rFonts w:hint="eastAsia"/>
          <w:sz w:val="24"/>
          <w:highlight w:val="none"/>
        </w:rPr>
        <w:t>本次评价不在赘述</w:t>
      </w:r>
      <w:r>
        <w:rPr>
          <w:sz w:val="24"/>
          <w:highlight w:val="none"/>
        </w:rPr>
        <w:t>施工期</w:t>
      </w:r>
      <w:r>
        <w:rPr>
          <w:rFonts w:hint="eastAsia"/>
          <w:sz w:val="24"/>
          <w:highlight w:val="none"/>
        </w:rPr>
        <w:t>布置及进度。</w:t>
      </w:r>
    </w:p>
    <w:p>
      <w:pPr>
        <w:tabs>
          <w:tab w:val="left" w:pos="1080"/>
        </w:tabs>
        <w:spacing w:line="480" w:lineRule="exact"/>
        <w:outlineLvl w:val="1"/>
        <w:rPr>
          <w:b/>
          <w:sz w:val="24"/>
          <w:highlight w:val="none"/>
        </w:rPr>
      </w:pPr>
      <w:bookmarkStart w:id="152" w:name="_Toc6092"/>
      <w:r>
        <w:rPr>
          <w:rFonts w:hint="eastAsia"/>
          <w:b/>
          <w:sz w:val="24"/>
          <w:highlight w:val="none"/>
        </w:rPr>
        <w:t>2</w:t>
      </w:r>
      <w:r>
        <w:rPr>
          <w:b/>
          <w:sz w:val="24"/>
          <w:highlight w:val="none"/>
        </w:rPr>
        <w:t>.</w:t>
      </w:r>
      <w:r>
        <w:rPr>
          <w:rFonts w:hint="eastAsia"/>
          <w:b/>
          <w:sz w:val="24"/>
          <w:highlight w:val="none"/>
        </w:rPr>
        <w:t>1</w:t>
      </w:r>
      <w:r>
        <w:rPr>
          <w:rFonts w:hint="eastAsia"/>
          <w:b/>
          <w:sz w:val="24"/>
          <w:highlight w:val="none"/>
          <w:lang w:val="en-US" w:eastAsia="zh-CN"/>
        </w:rPr>
        <w:t>0</w:t>
      </w:r>
      <w:r>
        <w:rPr>
          <w:b/>
          <w:sz w:val="24"/>
          <w:highlight w:val="none"/>
        </w:rPr>
        <w:t xml:space="preserve"> </w:t>
      </w:r>
      <w:r>
        <w:rPr>
          <w:rFonts w:hint="eastAsia"/>
          <w:b/>
          <w:sz w:val="24"/>
          <w:highlight w:val="none"/>
        </w:rPr>
        <w:t>淹没、占地及移民安置规划概况</w:t>
      </w:r>
      <w:bookmarkEnd w:id="152"/>
    </w:p>
    <w:p>
      <w:pPr>
        <w:pStyle w:val="167"/>
        <w:spacing w:line="480" w:lineRule="exact"/>
        <w:ind w:firstLine="480"/>
        <w:rPr>
          <w:sz w:val="24"/>
          <w:highlight w:val="none"/>
        </w:rPr>
      </w:pPr>
      <w:r>
        <w:rPr>
          <w:rFonts w:hint="eastAsia"/>
          <w:sz w:val="24"/>
          <w:highlight w:val="none"/>
        </w:rPr>
        <w:t>（1）淹没</w:t>
      </w:r>
    </w:p>
    <w:p>
      <w:pPr>
        <w:pStyle w:val="167"/>
        <w:spacing w:line="480" w:lineRule="exact"/>
        <w:ind w:firstLine="480"/>
        <w:rPr>
          <w:sz w:val="24"/>
          <w:highlight w:val="none"/>
        </w:rPr>
      </w:pPr>
      <w:r>
        <w:rPr>
          <w:rFonts w:hint="eastAsia"/>
          <w:sz w:val="24"/>
          <w:highlight w:val="none"/>
        </w:rPr>
        <w:t>项目由“引滦入津”输水河道引水，无淹没区域。</w:t>
      </w:r>
    </w:p>
    <w:p>
      <w:pPr>
        <w:pStyle w:val="167"/>
        <w:spacing w:line="480" w:lineRule="exact"/>
        <w:ind w:firstLine="480"/>
        <w:rPr>
          <w:sz w:val="24"/>
          <w:highlight w:val="none"/>
        </w:rPr>
      </w:pPr>
      <w:r>
        <w:rPr>
          <w:rFonts w:hint="eastAsia"/>
          <w:sz w:val="24"/>
          <w:highlight w:val="none"/>
        </w:rPr>
        <w:t>（2）占地</w:t>
      </w:r>
    </w:p>
    <w:p>
      <w:pPr>
        <w:pStyle w:val="167"/>
        <w:spacing w:line="480" w:lineRule="exact"/>
        <w:ind w:firstLine="480"/>
        <w:rPr>
          <w:sz w:val="24"/>
          <w:szCs w:val="24"/>
          <w:highlight w:val="none"/>
        </w:rPr>
      </w:pPr>
      <w:r>
        <w:rPr>
          <w:sz w:val="24"/>
          <w:szCs w:val="24"/>
          <w:highlight w:val="none"/>
        </w:rPr>
        <w:t>本项目占地项目总占地面积</w:t>
      </w:r>
      <w:r>
        <w:rPr>
          <w:rFonts w:hint="eastAsia"/>
          <w:sz w:val="24"/>
          <w:szCs w:val="24"/>
          <w:highlight w:val="none"/>
        </w:rPr>
        <w:t>22786</w:t>
      </w:r>
      <w:r>
        <w:rPr>
          <w:color w:val="auto"/>
          <w:sz w:val="24"/>
          <w:highlight w:val="none"/>
        </w:rPr>
        <w:t>m</w:t>
      </w:r>
      <w:r>
        <w:rPr>
          <w:color w:val="auto"/>
          <w:sz w:val="24"/>
          <w:highlight w:val="none"/>
          <w:vertAlign w:val="superscript"/>
        </w:rPr>
        <w:t>2</w:t>
      </w:r>
      <w:r>
        <w:rPr>
          <w:color w:val="auto"/>
          <w:sz w:val="24"/>
          <w:highlight w:val="none"/>
        </w:rPr>
        <w:t>（</w:t>
      </w:r>
      <w:r>
        <w:rPr>
          <w:rFonts w:hint="eastAsia"/>
          <w:color w:val="auto"/>
          <w:sz w:val="24"/>
          <w:highlight w:val="none"/>
        </w:rPr>
        <w:t>34.18</w:t>
      </w:r>
      <w:r>
        <w:rPr>
          <w:color w:val="auto"/>
          <w:sz w:val="24"/>
          <w:highlight w:val="none"/>
        </w:rPr>
        <w:t>亩）</w:t>
      </w:r>
      <w:r>
        <w:rPr>
          <w:sz w:val="24"/>
          <w:szCs w:val="24"/>
          <w:highlight w:val="none"/>
        </w:rPr>
        <w:t>，</w:t>
      </w:r>
      <w:r>
        <w:rPr>
          <w:rFonts w:hint="eastAsia"/>
          <w:sz w:val="24"/>
          <w:szCs w:val="24"/>
          <w:highlight w:val="none"/>
          <w:lang w:eastAsia="zh-CN"/>
        </w:rPr>
        <w:t>与天津市引滦工程黎河管理处签订用地协议，</w:t>
      </w:r>
      <w:r>
        <w:rPr>
          <w:sz w:val="24"/>
          <w:szCs w:val="24"/>
          <w:highlight w:val="none"/>
        </w:rPr>
        <w:t>土地证：</w:t>
      </w:r>
      <w:r>
        <w:rPr>
          <w:rFonts w:hint="eastAsia"/>
          <w:sz w:val="24"/>
          <w:szCs w:val="24"/>
          <w:highlight w:val="none"/>
          <w:lang w:eastAsia="zh-CN"/>
        </w:rPr>
        <w:t>遵国用（</w:t>
      </w:r>
      <w:r>
        <w:rPr>
          <w:rFonts w:hint="eastAsia"/>
          <w:sz w:val="24"/>
          <w:szCs w:val="24"/>
          <w:highlight w:val="none"/>
          <w:lang w:val="en-US" w:eastAsia="zh-CN"/>
        </w:rPr>
        <w:t>99）字第316号</w:t>
      </w:r>
      <w:r>
        <w:rPr>
          <w:sz w:val="24"/>
          <w:szCs w:val="24"/>
          <w:highlight w:val="none"/>
        </w:rPr>
        <w:t>。</w:t>
      </w:r>
    </w:p>
    <w:p>
      <w:pPr>
        <w:pStyle w:val="167"/>
        <w:spacing w:line="480" w:lineRule="exact"/>
        <w:ind w:firstLine="480"/>
        <w:rPr>
          <w:sz w:val="24"/>
          <w:highlight w:val="none"/>
        </w:rPr>
      </w:pPr>
      <w:r>
        <w:rPr>
          <w:rFonts w:hint="eastAsia"/>
          <w:sz w:val="24"/>
          <w:highlight w:val="none"/>
        </w:rPr>
        <w:t>（3）移民安置规划</w:t>
      </w:r>
    </w:p>
    <w:p>
      <w:pPr>
        <w:pStyle w:val="167"/>
        <w:spacing w:line="480" w:lineRule="exact"/>
        <w:ind w:firstLine="480"/>
        <w:rPr>
          <w:sz w:val="24"/>
          <w:szCs w:val="24"/>
          <w:highlight w:val="none"/>
        </w:rPr>
      </w:pPr>
      <w:r>
        <w:rPr>
          <w:sz w:val="24"/>
          <w:szCs w:val="24"/>
          <w:highlight w:val="none"/>
        </w:rPr>
        <w:t>本项目无淹没与移民情况，在建设过程中不涉及移民安置人口，故不涉及移民搬迁问题。</w:t>
      </w:r>
    </w:p>
    <w:p>
      <w:pPr>
        <w:tabs>
          <w:tab w:val="left" w:pos="1080"/>
        </w:tabs>
        <w:spacing w:line="480" w:lineRule="exact"/>
        <w:outlineLvl w:val="1"/>
        <w:rPr>
          <w:b/>
          <w:sz w:val="24"/>
          <w:highlight w:val="none"/>
        </w:rPr>
      </w:pPr>
      <w:bookmarkStart w:id="153" w:name="_Toc7194"/>
      <w:r>
        <w:rPr>
          <w:rFonts w:hint="eastAsia"/>
          <w:b/>
          <w:sz w:val="24"/>
          <w:highlight w:val="none"/>
          <w:lang w:val="en-US" w:eastAsia="zh-CN"/>
        </w:rPr>
        <w:t>2</w:t>
      </w:r>
      <w:r>
        <w:rPr>
          <w:b/>
          <w:sz w:val="24"/>
          <w:highlight w:val="none"/>
        </w:rPr>
        <w:t>.</w:t>
      </w:r>
      <w:r>
        <w:rPr>
          <w:rFonts w:hint="eastAsia"/>
          <w:b/>
          <w:sz w:val="24"/>
          <w:highlight w:val="none"/>
        </w:rPr>
        <w:t>1</w:t>
      </w:r>
      <w:r>
        <w:rPr>
          <w:rFonts w:hint="eastAsia"/>
          <w:b/>
          <w:sz w:val="24"/>
          <w:highlight w:val="none"/>
          <w:lang w:val="en-US" w:eastAsia="zh-CN"/>
        </w:rPr>
        <w:t>1</w:t>
      </w:r>
      <w:r>
        <w:rPr>
          <w:rFonts w:hint="eastAsia"/>
          <w:b/>
          <w:sz w:val="24"/>
          <w:highlight w:val="none"/>
        </w:rPr>
        <w:t>生态流量</w:t>
      </w:r>
      <w:bookmarkEnd w:id="153"/>
    </w:p>
    <w:p>
      <w:pPr>
        <w:spacing w:line="480" w:lineRule="exact"/>
        <w:ind w:firstLine="480" w:firstLineChars="200"/>
        <w:jc w:val="left"/>
        <w:rPr>
          <w:bCs/>
          <w:kern w:val="0"/>
          <w:sz w:val="24"/>
          <w:highlight w:val="none"/>
        </w:rPr>
      </w:pPr>
      <w:r>
        <w:rPr>
          <w:rFonts w:hint="eastAsia"/>
          <w:bCs/>
          <w:kern w:val="0"/>
          <w:sz w:val="24"/>
          <w:highlight w:val="none"/>
        </w:rPr>
        <w:t>本项目为引水式发电站，由于引水为“引滦入津工程”输水期，非输水期不引水，因此对黎河原有水文情势不发生较大的变化。而拦水橡胶坝至电站由于采用引水管线输送，则原有的河流将不会出现明显的减水，不会影响宜水水生动植物的生存。</w:t>
      </w:r>
    </w:p>
    <w:p>
      <w:pPr>
        <w:spacing w:line="480" w:lineRule="exact"/>
        <w:ind w:firstLine="480" w:firstLineChars="200"/>
        <w:jc w:val="left"/>
        <w:rPr>
          <w:bCs/>
          <w:kern w:val="0"/>
          <w:sz w:val="24"/>
          <w:highlight w:val="none"/>
        </w:rPr>
      </w:pPr>
      <w:r>
        <w:rPr>
          <w:rFonts w:hint="eastAsia"/>
          <w:bCs/>
          <w:kern w:val="0"/>
          <w:sz w:val="24"/>
          <w:highlight w:val="none"/>
        </w:rPr>
        <w:t>根据环保部“关于印发《水电水利建设项目河道生态用水、低温水和过鱼设施环境影响评价技术指南（试行）》的函”（环评函〔2006〕4 号）、《关于进一步加强水电建设环境保护工作的通知》（环办〔2012〕4 号）、《关于深化落实水电开发生态环境保护措施的通知》（环发〔2014〕65 号）等相关要求，为维护河段水生生态系统稳定，水利水电工程必须下泄一定的生态流量。</w:t>
      </w:r>
    </w:p>
    <w:p>
      <w:pPr>
        <w:spacing w:line="480" w:lineRule="exact"/>
        <w:ind w:firstLine="480" w:firstLineChars="200"/>
        <w:jc w:val="left"/>
        <w:rPr>
          <w:bCs/>
          <w:color w:val="auto"/>
          <w:kern w:val="0"/>
          <w:sz w:val="24"/>
          <w:highlight w:val="none"/>
        </w:rPr>
      </w:pPr>
      <w:r>
        <w:rPr>
          <w:rFonts w:hint="eastAsia"/>
          <w:bCs/>
          <w:color w:val="auto"/>
          <w:kern w:val="0"/>
          <w:sz w:val="24"/>
          <w:highlight w:val="none"/>
        </w:rPr>
        <w:t>（1）维持水生生态系统稳定所需水量</w:t>
      </w:r>
    </w:p>
    <w:p>
      <w:pPr>
        <w:spacing w:line="480" w:lineRule="exact"/>
        <w:ind w:firstLine="480" w:firstLineChars="200"/>
        <w:jc w:val="left"/>
        <w:rPr>
          <w:bCs/>
          <w:color w:val="auto"/>
          <w:kern w:val="0"/>
          <w:sz w:val="24"/>
          <w:highlight w:val="none"/>
        </w:rPr>
      </w:pPr>
      <w:r>
        <w:rPr>
          <w:rFonts w:hint="eastAsia"/>
          <w:bCs/>
          <w:color w:val="auto"/>
          <w:kern w:val="0"/>
          <w:sz w:val="24"/>
          <w:highlight w:val="none"/>
        </w:rPr>
        <w:t>根据《水电水利建设项目河道生态用水、低温水和过鱼设施环境影响评价技术指南（试行）》、《河湖生态环境需水计算规范》推荐的维持水生生态系统稳定所需水量的计算方法来确定生态需水量。</w:t>
      </w:r>
    </w:p>
    <w:p>
      <w:pPr>
        <w:spacing w:line="480" w:lineRule="exact"/>
        <w:ind w:firstLine="480" w:firstLineChars="200"/>
        <w:jc w:val="left"/>
        <w:rPr>
          <w:bCs/>
          <w:color w:val="auto"/>
          <w:kern w:val="0"/>
          <w:sz w:val="24"/>
          <w:highlight w:val="none"/>
        </w:rPr>
      </w:pPr>
      <w:r>
        <w:rPr>
          <w:rFonts w:hint="eastAsia"/>
          <w:bCs/>
          <w:color w:val="auto"/>
          <w:kern w:val="0"/>
          <w:sz w:val="24"/>
          <w:highlight w:val="none"/>
        </w:rPr>
        <w:t>根据项目特点，本项目采取河道内生态用水量主要方法有Tennant法计算生态流量。</w:t>
      </w:r>
    </w:p>
    <w:p>
      <w:pPr>
        <w:spacing w:line="480" w:lineRule="exact"/>
        <w:ind w:firstLine="480" w:firstLineChars="200"/>
        <w:jc w:val="left"/>
        <w:rPr>
          <w:bCs/>
          <w:color w:val="auto"/>
          <w:kern w:val="0"/>
          <w:sz w:val="24"/>
          <w:highlight w:val="none"/>
        </w:rPr>
      </w:pPr>
      <w:r>
        <w:rPr>
          <w:rFonts w:hint="eastAsia"/>
          <w:bCs/>
          <w:color w:val="auto"/>
          <w:kern w:val="0"/>
          <w:sz w:val="24"/>
          <w:highlight w:val="none"/>
        </w:rPr>
        <w:t>Tennant 法是依据观测资料建立的流量和河流生态环境状况之间的经验关系，用历史流量资料就可以确定年内不同时段的生态环境需水量，不同河道内生态环境状况对应的流量百分比见表2.11-1。</w:t>
      </w:r>
    </w:p>
    <w:p>
      <w:pPr>
        <w:spacing w:line="480" w:lineRule="exact"/>
        <w:jc w:val="center"/>
        <w:rPr>
          <w:b/>
          <w:color w:val="auto"/>
          <w:kern w:val="0"/>
          <w:sz w:val="24"/>
          <w:highlight w:val="none"/>
        </w:rPr>
      </w:pPr>
      <w:r>
        <w:rPr>
          <w:rFonts w:hint="eastAsia"/>
          <w:b/>
          <w:color w:val="auto"/>
          <w:kern w:val="0"/>
          <w:sz w:val="24"/>
          <w:highlight w:val="none"/>
        </w:rPr>
        <w:t>表2.1</w:t>
      </w:r>
      <w:r>
        <w:rPr>
          <w:rFonts w:hint="eastAsia"/>
          <w:b/>
          <w:color w:val="auto"/>
          <w:kern w:val="0"/>
          <w:sz w:val="24"/>
          <w:highlight w:val="none"/>
          <w:lang w:val="en-US" w:eastAsia="zh-CN"/>
        </w:rPr>
        <w:t>1</w:t>
      </w:r>
      <w:r>
        <w:rPr>
          <w:rFonts w:hint="eastAsia"/>
          <w:b/>
          <w:color w:val="auto"/>
          <w:kern w:val="0"/>
          <w:sz w:val="24"/>
          <w:highlight w:val="none"/>
        </w:rPr>
        <w:t>-1 河道内不同生态状况对应的多年平均天然流量百分比</w:t>
      </w:r>
    </w:p>
    <w:tbl>
      <w:tblPr>
        <w:tblStyle w:val="51"/>
        <w:tblW w:w="8420"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360"/>
        <w:gridCol w:w="2925"/>
        <w:gridCol w:w="313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2" w:hRule="atLeast"/>
        </w:trPr>
        <w:tc>
          <w:tcPr>
            <w:tcW w:w="2360" w:type="dxa"/>
            <w:vMerge w:val="restart"/>
            <w:vAlign w:val="center"/>
          </w:tcPr>
          <w:p>
            <w:pPr>
              <w:spacing w:line="300" w:lineRule="exact"/>
              <w:jc w:val="center"/>
              <w:rPr>
                <w:color w:val="auto"/>
                <w:highlight w:val="none"/>
              </w:rPr>
            </w:pPr>
            <w:r>
              <w:rPr>
                <w:rFonts w:hint="eastAsia"/>
                <w:color w:val="auto"/>
                <w:highlight w:val="none"/>
              </w:rPr>
              <w:t>不同流量百分比</w:t>
            </w:r>
          </w:p>
          <w:p>
            <w:pPr>
              <w:spacing w:line="300" w:lineRule="exact"/>
              <w:jc w:val="center"/>
              <w:rPr>
                <w:color w:val="auto"/>
                <w:highlight w:val="none"/>
              </w:rPr>
            </w:pPr>
            <w:r>
              <w:rPr>
                <w:rFonts w:hint="eastAsia"/>
                <w:color w:val="auto"/>
                <w:highlight w:val="none"/>
              </w:rPr>
              <w:t>对应河道内生态状况</w:t>
            </w:r>
          </w:p>
        </w:tc>
        <w:tc>
          <w:tcPr>
            <w:tcW w:w="6060" w:type="dxa"/>
            <w:gridSpan w:val="2"/>
            <w:vAlign w:val="center"/>
          </w:tcPr>
          <w:p>
            <w:pPr>
              <w:spacing w:line="300" w:lineRule="exact"/>
              <w:jc w:val="center"/>
              <w:rPr>
                <w:color w:val="auto"/>
                <w:highlight w:val="none"/>
              </w:rPr>
            </w:pPr>
            <w:r>
              <w:rPr>
                <w:rFonts w:hint="eastAsia"/>
                <w:color w:val="auto"/>
                <w:highlight w:val="none"/>
              </w:rPr>
              <w:t>占天然流量百分比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57" w:hRule="atLeast"/>
        </w:trPr>
        <w:tc>
          <w:tcPr>
            <w:tcW w:w="2360" w:type="dxa"/>
            <w:vMerge w:val="continue"/>
            <w:vAlign w:val="center"/>
          </w:tcPr>
          <w:p>
            <w:pPr>
              <w:spacing w:line="300" w:lineRule="exact"/>
              <w:jc w:val="center"/>
              <w:rPr>
                <w:color w:val="auto"/>
                <w:highlight w:val="none"/>
              </w:rPr>
            </w:pPr>
          </w:p>
        </w:tc>
        <w:tc>
          <w:tcPr>
            <w:tcW w:w="2925" w:type="dxa"/>
            <w:vAlign w:val="center"/>
          </w:tcPr>
          <w:p>
            <w:pPr>
              <w:spacing w:line="300" w:lineRule="exact"/>
              <w:jc w:val="center"/>
              <w:rPr>
                <w:color w:val="auto"/>
                <w:highlight w:val="none"/>
              </w:rPr>
            </w:pPr>
            <w:r>
              <w:rPr>
                <w:rFonts w:hint="eastAsia"/>
                <w:color w:val="auto"/>
                <w:highlight w:val="none"/>
              </w:rPr>
              <w:t>年内水量较枯时段</w:t>
            </w:r>
          </w:p>
        </w:tc>
        <w:tc>
          <w:tcPr>
            <w:tcW w:w="3135" w:type="dxa"/>
            <w:vAlign w:val="center"/>
          </w:tcPr>
          <w:p>
            <w:pPr>
              <w:spacing w:line="300" w:lineRule="exact"/>
              <w:jc w:val="center"/>
              <w:rPr>
                <w:color w:val="auto"/>
                <w:highlight w:val="none"/>
              </w:rPr>
            </w:pPr>
            <w:r>
              <w:rPr>
                <w:rFonts w:hint="eastAsia"/>
                <w:color w:val="auto"/>
                <w:highlight w:val="none"/>
              </w:rPr>
              <w:t>年内水量较丰时段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360" w:type="dxa"/>
            <w:vAlign w:val="center"/>
          </w:tcPr>
          <w:p>
            <w:pPr>
              <w:spacing w:line="300" w:lineRule="exact"/>
              <w:jc w:val="center"/>
              <w:rPr>
                <w:color w:val="auto"/>
                <w:highlight w:val="none"/>
              </w:rPr>
            </w:pPr>
            <w:r>
              <w:rPr>
                <w:rFonts w:hint="eastAsia"/>
                <w:color w:val="auto"/>
                <w:highlight w:val="none"/>
              </w:rPr>
              <w:t>最佳</w:t>
            </w:r>
          </w:p>
        </w:tc>
        <w:tc>
          <w:tcPr>
            <w:tcW w:w="6060" w:type="dxa"/>
            <w:gridSpan w:val="2"/>
            <w:vAlign w:val="center"/>
          </w:tcPr>
          <w:p>
            <w:pPr>
              <w:spacing w:line="300" w:lineRule="exact"/>
              <w:jc w:val="center"/>
              <w:rPr>
                <w:color w:val="auto"/>
                <w:highlight w:val="none"/>
              </w:rPr>
            </w:pPr>
            <w:r>
              <w:rPr>
                <w:rFonts w:hint="eastAsia"/>
                <w:color w:val="auto"/>
                <w:highlight w:val="none"/>
              </w:rPr>
              <w:t>60-100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360" w:type="dxa"/>
            <w:vAlign w:val="center"/>
          </w:tcPr>
          <w:p>
            <w:pPr>
              <w:spacing w:line="300" w:lineRule="exact"/>
              <w:jc w:val="center"/>
              <w:rPr>
                <w:color w:val="auto"/>
                <w:highlight w:val="none"/>
              </w:rPr>
            </w:pPr>
            <w:r>
              <w:rPr>
                <w:rFonts w:hint="eastAsia"/>
                <w:color w:val="auto"/>
                <w:highlight w:val="none"/>
              </w:rPr>
              <w:t>优秀</w:t>
            </w:r>
          </w:p>
        </w:tc>
        <w:tc>
          <w:tcPr>
            <w:tcW w:w="2925" w:type="dxa"/>
            <w:vAlign w:val="center"/>
          </w:tcPr>
          <w:p>
            <w:pPr>
              <w:spacing w:line="300" w:lineRule="exact"/>
              <w:jc w:val="center"/>
              <w:rPr>
                <w:color w:val="auto"/>
                <w:highlight w:val="none"/>
              </w:rPr>
            </w:pPr>
            <w:r>
              <w:rPr>
                <w:rFonts w:hint="eastAsia"/>
                <w:color w:val="auto"/>
                <w:highlight w:val="none"/>
              </w:rPr>
              <w:t>40</w:t>
            </w:r>
          </w:p>
        </w:tc>
        <w:tc>
          <w:tcPr>
            <w:tcW w:w="3135" w:type="dxa"/>
            <w:vAlign w:val="center"/>
          </w:tcPr>
          <w:p>
            <w:pPr>
              <w:spacing w:line="300" w:lineRule="exact"/>
              <w:jc w:val="center"/>
              <w:rPr>
                <w:color w:val="auto"/>
                <w:highlight w:val="none"/>
              </w:rPr>
            </w:pPr>
            <w:r>
              <w:rPr>
                <w:rFonts w:hint="eastAsia"/>
                <w:color w:val="auto"/>
                <w:highlight w:val="none"/>
              </w:rPr>
              <w:t>60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360" w:type="dxa"/>
            <w:vAlign w:val="center"/>
          </w:tcPr>
          <w:p>
            <w:pPr>
              <w:spacing w:line="300" w:lineRule="exact"/>
              <w:jc w:val="center"/>
              <w:rPr>
                <w:color w:val="auto"/>
                <w:highlight w:val="none"/>
              </w:rPr>
            </w:pPr>
            <w:r>
              <w:rPr>
                <w:rFonts w:hint="eastAsia"/>
                <w:color w:val="auto"/>
                <w:highlight w:val="none"/>
              </w:rPr>
              <w:t>很好</w:t>
            </w:r>
          </w:p>
        </w:tc>
        <w:tc>
          <w:tcPr>
            <w:tcW w:w="2925" w:type="dxa"/>
            <w:vAlign w:val="center"/>
          </w:tcPr>
          <w:p>
            <w:pPr>
              <w:spacing w:line="300" w:lineRule="exact"/>
              <w:jc w:val="center"/>
              <w:rPr>
                <w:color w:val="auto"/>
                <w:highlight w:val="none"/>
              </w:rPr>
            </w:pPr>
            <w:r>
              <w:rPr>
                <w:rFonts w:hint="eastAsia"/>
                <w:color w:val="auto"/>
                <w:highlight w:val="none"/>
              </w:rPr>
              <w:t>30</w:t>
            </w:r>
          </w:p>
        </w:tc>
        <w:tc>
          <w:tcPr>
            <w:tcW w:w="3135" w:type="dxa"/>
            <w:vAlign w:val="center"/>
          </w:tcPr>
          <w:p>
            <w:pPr>
              <w:spacing w:line="300" w:lineRule="exact"/>
              <w:jc w:val="center"/>
              <w:rPr>
                <w:color w:val="auto"/>
                <w:highlight w:val="none"/>
              </w:rPr>
            </w:pPr>
            <w:r>
              <w:rPr>
                <w:rFonts w:hint="eastAsia"/>
                <w:color w:val="auto"/>
                <w:highlight w:val="none"/>
              </w:rPr>
              <w:t>50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360" w:type="dxa"/>
            <w:vAlign w:val="center"/>
          </w:tcPr>
          <w:p>
            <w:pPr>
              <w:spacing w:line="300" w:lineRule="exact"/>
              <w:jc w:val="center"/>
              <w:rPr>
                <w:color w:val="auto"/>
                <w:highlight w:val="none"/>
              </w:rPr>
            </w:pPr>
            <w:r>
              <w:rPr>
                <w:rFonts w:hint="eastAsia"/>
                <w:color w:val="auto"/>
                <w:highlight w:val="none"/>
              </w:rPr>
              <w:t>良好</w:t>
            </w:r>
          </w:p>
        </w:tc>
        <w:tc>
          <w:tcPr>
            <w:tcW w:w="2925" w:type="dxa"/>
            <w:vAlign w:val="center"/>
          </w:tcPr>
          <w:p>
            <w:pPr>
              <w:spacing w:line="300" w:lineRule="exact"/>
              <w:jc w:val="center"/>
              <w:rPr>
                <w:color w:val="auto"/>
                <w:highlight w:val="none"/>
              </w:rPr>
            </w:pPr>
            <w:r>
              <w:rPr>
                <w:rFonts w:hint="eastAsia"/>
                <w:color w:val="auto"/>
                <w:highlight w:val="none"/>
              </w:rPr>
              <w:t>20</w:t>
            </w:r>
          </w:p>
        </w:tc>
        <w:tc>
          <w:tcPr>
            <w:tcW w:w="3135" w:type="dxa"/>
            <w:vAlign w:val="center"/>
          </w:tcPr>
          <w:p>
            <w:pPr>
              <w:spacing w:line="300" w:lineRule="exact"/>
              <w:jc w:val="center"/>
              <w:rPr>
                <w:color w:val="auto"/>
                <w:highlight w:val="none"/>
              </w:rPr>
            </w:pPr>
            <w:r>
              <w:rPr>
                <w:rFonts w:hint="eastAsia"/>
                <w:color w:val="auto"/>
                <w:highlight w:val="none"/>
              </w:rPr>
              <w:t>40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360" w:type="dxa"/>
            <w:vAlign w:val="center"/>
          </w:tcPr>
          <w:p>
            <w:pPr>
              <w:spacing w:line="300" w:lineRule="exact"/>
              <w:jc w:val="center"/>
              <w:rPr>
                <w:color w:val="auto"/>
                <w:highlight w:val="none"/>
              </w:rPr>
            </w:pPr>
            <w:r>
              <w:rPr>
                <w:rFonts w:hint="eastAsia"/>
                <w:color w:val="auto"/>
                <w:highlight w:val="none"/>
              </w:rPr>
              <w:t>一般或较差</w:t>
            </w:r>
          </w:p>
        </w:tc>
        <w:tc>
          <w:tcPr>
            <w:tcW w:w="2925" w:type="dxa"/>
            <w:vAlign w:val="center"/>
          </w:tcPr>
          <w:p>
            <w:pPr>
              <w:spacing w:line="300" w:lineRule="exact"/>
              <w:jc w:val="center"/>
              <w:rPr>
                <w:color w:val="auto"/>
                <w:highlight w:val="none"/>
              </w:rPr>
            </w:pPr>
            <w:r>
              <w:rPr>
                <w:rFonts w:hint="eastAsia"/>
                <w:color w:val="auto"/>
                <w:highlight w:val="none"/>
              </w:rPr>
              <w:t>10</w:t>
            </w:r>
          </w:p>
        </w:tc>
        <w:tc>
          <w:tcPr>
            <w:tcW w:w="3135" w:type="dxa"/>
            <w:vAlign w:val="center"/>
          </w:tcPr>
          <w:p>
            <w:pPr>
              <w:spacing w:line="300" w:lineRule="exact"/>
              <w:jc w:val="center"/>
              <w:rPr>
                <w:color w:val="auto"/>
                <w:highlight w:val="none"/>
              </w:rPr>
            </w:pPr>
            <w:r>
              <w:rPr>
                <w:rFonts w:hint="eastAsia"/>
                <w:color w:val="auto"/>
                <w:highlight w:val="none"/>
              </w:rPr>
              <w:t>30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360" w:type="dxa"/>
            <w:vAlign w:val="center"/>
          </w:tcPr>
          <w:p>
            <w:pPr>
              <w:spacing w:line="300" w:lineRule="exact"/>
              <w:jc w:val="center"/>
              <w:rPr>
                <w:color w:val="auto"/>
                <w:highlight w:val="none"/>
              </w:rPr>
            </w:pPr>
            <w:r>
              <w:rPr>
                <w:rFonts w:hint="eastAsia"/>
                <w:color w:val="auto"/>
                <w:highlight w:val="none"/>
              </w:rPr>
              <w:t>差或最小</w:t>
            </w:r>
          </w:p>
        </w:tc>
        <w:tc>
          <w:tcPr>
            <w:tcW w:w="2925" w:type="dxa"/>
            <w:vAlign w:val="center"/>
          </w:tcPr>
          <w:p>
            <w:pPr>
              <w:spacing w:line="300" w:lineRule="exact"/>
              <w:jc w:val="center"/>
              <w:rPr>
                <w:color w:val="auto"/>
                <w:highlight w:val="none"/>
              </w:rPr>
            </w:pPr>
            <w:r>
              <w:rPr>
                <w:rFonts w:hint="eastAsia"/>
                <w:color w:val="auto"/>
                <w:highlight w:val="none"/>
              </w:rPr>
              <w:t>10</w:t>
            </w:r>
          </w:p>
        </w:tc>
        <w:tc>
          <w:tcPr>
            <w:tcW w:w="3135" w:type="dxa"/>
            <w:vAlign w:val="center"/>
          </w:tcPr>
          <w:p>
            <w:pPr>
              <w:spacing w:line="300" w:lineRule="exact"/>
              <w:jc w:val="center"/>
              <w:rPr>
                <w:color w:val="auto"/>
                <w:highlight w:val="none"/>
              </w:rPr>
            </w:pPr>
            <w:r>
              <w:rPr>
                <w:rFonts w:hint="eastAsia"/>
                <w:color w:val="auto"/>
                <w:highlight w:val="none"/>
              </w:rPr>
              <w:t>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360" w:type="dxa"/>
            <w:vAlign w:val="center"/>
          </w:tcPr>
          <w:p>
            <w:pPr>
              <w:spacing w:line="300" w:lineRule="exact"/>
              <w:jc w:val="center"/>
              <w:rPr>
                <w:color w:val="auto"/>
                <w:highlight w:val="none"/>
              </w:rPr>
            </w:pPr>
            <w:r>
              <w:rPr>
                <w:rFonts w:hint="eastAsia"/>
                <w:color w:val="auto"/>
                <w:highlight w:val="none"/>
              </w:rPr>
              <w:t>极差</w:t>
            </w:r>
          </w:p>
        </w:tc>
        <w:tc>
          <w:tcPr>
            <w:tcW w:w="2925" w:type="dxa"/>
            <w:vAlign w:val="center"/>
          </w:tcPr>
          <w:p>
            <w:pPr>
              <w:spacing w:line="300" w:lineRule="exact"/>
              <w:jc w:val="center"/>
              <w:rPr>
                <w:color w:val="auto"/>
                <w:highlight w:val="none"/>
              </w:rPr>
            </w:pPr>
            <w:r>
              <w:rPr>
                <w:rFonts w:hint="eastAsia"/>
                <w:color w:val="auto"/>
                <w:highlight w:val="none"/>
              </w:rPr>
              <w:t>0-10</w:t>
            </w:r>
          </w:p>
        </w:tc>
        <w:tc>
          <w:tcPr>
            <w:tcW w:w="3135" w:type="dxa"/>
            <w:vAlign w:val="center"/>
          </w:tcPr>
          <w:p>
            <w:pPr>
              <w:spacing w:line="300" w:lineRule="exact"/>
              <w:jc w:val="center"/>
              <w:rPr>
                <w:color w:val="auto"/>
                <w:highlight w:val="none"/>
              </w:rPr>
            </w:pPr>
            <w:r>
              <w:rPr>
                <w:rFonts w:hint="eastAsia"/>
                <w:color w:val="auto"/>
                <w:highlight w:val="none"/>
              </w:rPr>
              <w:t>0-10</w:t>
            </w:r>
          </w:p>
        </w:tc>
      </w:tr>
    </w:tbl>
    <w:p>
      <w:pPr>
        <w:spacing w:line="480" w:lineRule="exact"/>
        <w:ind w:firstLine="480" w:firstLineChars="200"/>
        <w:jc w:val="left"/>
        <w:rPr>
          <w:bCs/>
          <w:color w:val="auto"/>
          <w:kern w:val="0"/>
          <w:sz w:val="24"/>
          <w:highlight w:val="none"/>
        </w:rPr>
      </w:pPr>
      <w:r>
        <w:rPr>
          <w:rFonts w:hint="eastAsia"/>
          <w:bCs/>
          <w:color w:val="auto"/>
          <w:kern w:val="0"/>
          <w:sz w:val="24"/>
          <w:highlight w:val="none"/>
        </w:rPr>
        <w:t>该百分比与同时段多年平均天然流量的乘积为该时段的生态环境流量与时长的乘积为该时段的生态环境需水量。根据 Tennant 法，河道内径流量为年平均流量的 10%时，是维持河道生态系统的最小要求。</w:t>
      </w:r>
    </w:p>
    <w:p>
      <w:pPr>
        <w:spacing w:line="480" w:lineRule="exact"/>
        <w:ind w:firstLine="480" w:firstLineChars="200"/>
        <w:jc w:val="left"/>
        <w:rPr>
          <w:bCs/>
          <w:color w:val="auto"/>
          <w:kern w:val="0"/>
          <w:sz w:val="24"/>
          <w:highlight w:val="none"/>
        </w:rPr>
      </w:pPr>
      <w:r>
        <w:rPr>
          <w:rFonts w:hint="eastAsia"/>
          <w:bCs/>
          <w:color w:val="auto"/>
          <w:kern w:val="0"/>
          <w:sz w:val="24"/>
          <w:highlight w:val="none"/>
          <w:lang w:eastAsia="zh-CN"/>
        </w:rPr>
        <w:t>黎河是季节性河流，原为天然行洪河道，引滦入津工程实施后，黎河主要承担输水用途，现为输水、行洪兼用河道。夏季季风是黎河流域降水主要原因。</w:t>
      </w:r>
      <w:r>
        <w:rPr>
          <w:rFonts w:hint="eastAsia"/>
          <w:bCs/>
          <w:color w:val="auto"/>
          <w:kern w:val="0"/>
          <w:sz w:val="24"/>
          <w:highlight w:val="none"/>
        </w:rPr>
        <w:t>黎河多年平均径流量为1.4亿m</w:t>
      </w:r>
      <w:r>
        <w:rPr>
          <w:rFonts w:hint="eastAsia"/>
          <w:bCs/>
          <w:color w:val="auto"/>
          <w:kern w:val="0"/>
          <w:sz w:val="24"/>
          <w:highlight w:val="none"/>
          <w:vertAlign w:val="superscript"/>
        </w:rPr>
        <w:t>3</w:t>
      </w:r>
      <w:r>
        <w:rPr>
          <w:rFonts w:hint="eastAsia"/>
          <w:bCs/>
          <w:color w:val="auto"/>
          <w:kern w:val="0"/>
          <w:sz w:val="24"/>
          <w:highlight w:val="none"/>
        </w:rPr>
        <w:t>/a，平均4.44m</w:t>
      </w:r>
      <w:r>
        <w:rPr>
          <w:rFonts w:hint="eastAsia"/>
          <w:bCs/>
          <w:color w:val="auto"/>
          <w:kern w:val="0"/>
          <w:sz w:val="24"/>
          <w:highlight w:val="none"/>
          <w:vertAlign w:val="superscript"/>
        </w:rPr>
        <w:t>3</w:t>
      </w:r>
      <w:r>
        <w:rPr>
          <w:rFonts w:hint="eastAsia"/>
          <w:bCs/>
          <w:color w:val="auto"/>
          <w:kern w:val="0"/>
          <w:sz w:val="24"/>
          <w:highlight w:val="none"/>
        </w:rPr>
        <w:t>/s；径流深256mm，多年平均径流系数0.32，径流模数7.36×10</w:t>
      </w:r>
      <w:r>
        <w:rPr>
          <w:rFonts w:hint="eastAsia"/>
          <w:bCs/>
          <w:color w:val="auto"/>
          <w:kern w:val="0"/>
          <w:sz w:val="24"/>
          <w:highlight w:val="none"/>
          <w:vertAlign w:val="superscript"/>
        </w:rPr>
        <w:t>-3</w:t>
      </w:r>
      <w:r>
        <w:rPr>
          <w:rFonts w:hint="eastAsia"/>
          <w:bCs/>
          <w:color w:val="auto"/>
          <w:kern w:val="0"/>
          <w:sz w:val="24"/>
          <w:highlight w:val="none"/>
        </w:rPr>
        <w:t>。</w:t>
      </w:r>
      <w:r>
        <w:rPr>
          <w:rFonts w:hint="eastAsia"/>
          <w:bCs/>
          <w:color w:val="auto"/>
          <w:kern w:val="0"/>
          <w:sz w:val="24"/>
          <w:highlight w:val="none"/>
          <w:lang w:eastAsia="zh-CN"/>
        </w:rPr>
        <w:t>流域内年平均降水量</w:t>
      </w:r>
      <w:r>
        <w:rPr>
          <w:rFonts w:hint="eastAsia"/>
          <w:bCs/>
          <w:color w:val="auto"/>
          <w:kern w:val="0"/>
          <w:sz w:val="24"/>
          <w:highlight w:val="none"/>
          <w:lang w:val="en-US" w:eastAsia="zh-CN"/>
        </w:rPr>
        <w:t>800mm，且分布不均，夏季暴雨集中，6-9月份降水量占全年降水量的75-85%，7-8月降水量占全年降水量的50-60%，其中7月中旬至8月中旬为最大，降水量占全年降水量的30-40%，降水量相对集中的趋势比较明显。10月份至次年5月份降水占全年的25-15%，其中11月份降水量最小，只占全年的1-2%。</w:t>
      </w:r>
      <w:r>
        <w:rPr>
          <w:rFonts w:hint="eastAsia"/>
          <w:bCs/>
          <w:color w:val="auto"/>
          <w:kern w:val="0"/>
          <w:sz w:val="24"/>
          <w:highlight w:val="none"/>
        </w:rPr>
        <w:t>全年径流量几乎全部集中在汛期，基本产生</w:t>
      </w:r>
      <w:r>
        <w:rPr>
          <w:rFonts w:hint="eastAsia"/>
          <w:bCs/>
          <w:color w:val="auto"/>
          <w:kern w:val="0"/>
          <w:sz w:val="24"/>
          <w:highlight w:val="none"/>
          <w:lang w:eastAsia="zh-CN"/>
        </w:rPr>
        <w:t>于</w:t>
      </w:r>
      <w:r>
        <w:rPr>
          <w:rFonts w:hint="eastAsia"/>
          <w:bCs/>
          <w:color w:val="auto"/>
          <w:kern w:val="0"/>
          <w:sz w:val="24"/>
          <w:highlight w:val="none"/>
        </w:rPr>
        <w:t>汛期的暴雨。枯水期经常出现断流。</w:t>
      </w:r>
    </w:p>
    <w:p>
      <w:pPr>
        <w:spacing w:line="480" w:lineRule="exact"/>
        <w:ind w:firstLine="480" w:firstLineChars="200"/>
        <w:jc w:val="left"/>
        <w:rPr>
          <w:rFonts w:hint="default" w:eastAsia="宋体"/>
          <w:bCs/>
          <w:color w:val="auto"/>
          <w:kern w:val="0"/>
          <w:sz w:val="24"/>
          <w:highlight w:val="none"/>
          <w:lang w:val="en-US" w:eastAsia="zh-CN"/>
        </w:rPr>
      </w:pPr>
      <w:r>
        <w:rPr>
          <w:rFonts w:hint="eastAsia"/>
          <w:bCs/>
          <w:color w:val="auto"/>
          <w:kern w:val="0"/>
          <w:sz w:val="24"/>
          <w:highlight w:val="none"/>
          <w:lang w:eastAsia="zh-CN"/>
        </w:rPr>
        <w:t>黎河流域降水量年际变化较大，丰枯水年降水比差可达</w:t>
      </w:r>
      <w:r>
        <w:rPr>
          <w:rFonts w:hint="eastAsia"/>
          <w:bCs/>
          <w:color w:val="auto"/>
          <w:kern w:val="0"/>
          <w:sz w:val="24"/>
          <w:highlight w:val="none"/>
          <w:lang w:val="en-US" w:eastAsia="zh-CN"/>
        </w:rPr>
        <w:t>2-3倍，丰水年降水可达1000mm，枯水年不足450mm。由于</w:t>
      </w:r>
      <w:r>
        <w:rPr>
          <w:rFonts w:hint="eastAsia"/>
          <w:bCs/>
          <w:color w:val="auto"/>
          <w:kern w:val="0"/>
          <w:sz w:val="24"/>
          <w:highlight w:val="none"/>
          <w:lang w:eastAsia="zh-CN"/>
        </w:rPr>
        <w:t>降水量年际变化较大和年内分配不均，黎河流域发生旱涝几率较多。根据前毛庄水文站建站</w:t>
      </w:r>
      <w:r>
        <w:rPr>
          <w:rFonts w:hint="eastAsia"/>
          <w:bCs/>
          <w:color w:val="auto"/>
          <w:kern w:val="0"/>
          <w:sz w:val="24"/>
          <w:highlight w:val="none"/>
          <w:lang w:val="en-US" w:eastAsia="zh-CN"/>
        </w:rPr>
        <w:t>40年来资料统计，水灾重现年8-10年，旱灾重现年3-4年，形成黎河流域夏季多雨，冬季干旱少雪，春秋干旱少雨。</w:t>
      </w:r>
    </w:p>
    <w:p>
      <w:pPr>
        <w:spacing w:line="480" w:lineRule="exact"/>
        <w:ind w:firstLine="480" w:firstLineChars="200"/>
        <w:jc w:val="both"/>
        <w:rPr>
          <w:rFonts w:hint="eastAsia"/>
          <w:bCs/>
          <w:color w:val="auto"/>
          <w:kern w:val="0"/>
          <w:sz w:val="24"/>
          <w:highlight w:val="none"/>
        </w:rPr>
      </w:pPr>
      <w:r>
        <w:rPr>
          <w:rFonts w:hint="eastAsia"/>
          <w:bCs/>
          <w:color w:val="auto"/>
          <w:kern w:val="0"/>
          <w:sz w:val="24"/>
          <w:highlight w:val="none"/>
        </w:rPr>
        <w:t>根据“Tennant 法”计算河道内生态用水量，即河道内最小生态流量按河道多年平均径流量的10%计算。</w:t>
      </w:r>
      <w:r>
        <w:rPr>
          <w:rFonts w:hint="eastAsia"/>
          <w:bCs/>
          <w:color w:val="auto"/>
          <w:kern w:val="0"/>
          <w:sz w:val="24"/>
          <w:highlight w:val="none"/>
          <w:lang w:eastAsia="zh-CN"/>
        </w:rPr>
        <w:t>因此黎河</w:t>
      </w:r>
      <w:r>
        <w:rPr>
          <w:rFonts w:hint="eastAsia"/>
          <w:bCs/>
          <w:color w:val="auto"/>
          <w:kern w:val="0"/>
          <w:sz w:val="24"/>
          <w:highlight w:val="none"/>
        </w:rPr>
        <w:t>河道内</w:t>
      </w:r>
      <w:r>
        <w:rPr>
          <w:rFonts w:hint="eastAsia"/>
          <w:bCs/>
          <w:color w:val="auto"/>
          <w:kern w:val="0"/>
          <w:sz w:val="24"/>
          <w:highlight w:val="none"/>
          <w:lang w:eastAsia="zh-CN"/>
        </w:rPr>
        <w:t>正常情况下</w:t>
      </w:r>
      <w:r>
        <w:rPr>
          <w:rFonts w:hint="eastAsia"/>
          <w:bCs/>
          <w:color w:val="auto"/>
          <w:kern w:val="0"/>
          <w:sz w:val="24"/>
          <w:highlight w:val="none"/>
        </w:rPr>
        <w:t>最小生态需水量为</w:t>
      </w:r>
      <w:r>
        <w:rPr>
          <w:rFonts w:hint="eastAsia"/>
          <w:bCs/>
          <w:color w:val="auto"/>
          <w:kern w:val="0"/>
          <w:sz w:val="24"/>
          <w:highlight w:val="none"/>
          <w:lang w:val="en-US" w:eastAsia="zh-CN"/>
        </w:rPr>
        <w:t>0.44</w:t>
      </w:r>
      <w:r>
        <w:rPr>
          <w:rFonts w:hint="eastAsia"/>
          <w:bCs/>
          <w:color w:val="auto"/>
          <w:kern w:val="0"/>
          <w:sz w:val="24"/>
          <w:highlight w:val="none"/>
        </w:rPr>
        <w:t>m</w:t>
      </w:r>
      <w:r>
        <w:rPr>
          <w:rFonts w:hint="eastAsia"/>
          <w:bCs/>
          <w:color w:val="auto"/>
          <w:kern w:val="0"/>
          <w:sz w:val="24"/>
          <w:highlight w:val="none"/>
          <w:vertAlign w:val="superscript"/>
        </w:rPr>
        <w:t>3</w:t>
      </w:r>
      <w:r>
        <w:rPr>
          <w:rFonts w:hint="eastAsia"/>
          <w:bCs/>
          <w:color w:val="auto"/>
          <w:kern w:val="0"/>
          <w:sz w:val="24"/>
          <w:highlight w:val="none"/>
        </w:rPr>
        <w:t>/s。</w:t>
      </w:r>
    </w:p>
    <w:p>
      <w:pPr>
        <w:pStyle w:val="7"/>
        <w:spacing w:line="480" w:lineRule="exact"/>
        <w:rPr>
          <w:color w:val="auto"/>
          <w:highlight w:val="none"/>
        </w:rPr>
      </w:pPr>
      <w:r>
        <w:rPr>
          <w:rFonts w:hint="eastAsia"/>
          <w:bCs/>
          <w:color w:val="auto"/>
          <w:kern w:val="0"/>
          <w:sz w:val="24"/>
          <w:highlight w:val="none"/>
        </w:rPr>
        <w:t>（2）本项目运营期最小生态需水量</w:t>
      </w:r>
    </w:p>
    <w:p>
      <w:pPr>
        <w:spacing w:line="480" w:lineRule="exact"/>
        <w:ind w:firstLine="480" w:firstLineChars="200"/>
        <w:jc w:val="left"/>
        <w:rPr>
          <w:bCs/>
          <w:color w:val="auto"/>
          <w:kern w:val="0"/>
          <w:sz w:val="24"/>
          <w:highlight w:val="none"/>
        </w:rPr>
      </w:pPr>
      <w:r>
        <w:rPr>
          <w:rFonts w:hint="eastAsia"/>
          <w:bCs/>
          <w:color w:val="auto"/>
          <w:kern w:val="0"/>
          <w:sz w:val="24"/>
          <w:highlight w:val="none"/>
        </w:rPr>
        <w:t>根据现状调查结果，坝址下游河段</w:t>
      </w:r>
      <w:r>
        <w:rPr>
          <w:rFonts w:hint="eastAsia"/>
          <w:bCs/>
          <w:color w:val="auto"/>
          <w:kern w:val="0"/>
          <w:sz w:val="24"/>
          <w:highlight w:val="none"/>
          <w:lang w:eastAsia="zh-CN"/>
        </w:rPr>
        <w:t>无</w:t>
      </w:r>
      <w:r>
        <w:rPr>
          <w:rFonts w:hint="eastAsia"/>
          <w:bCs/>
          <w:color w:val="auto"/>
          <w:kern w:val="0"/>
          <w:sz w:val="24"/>
          <w:highlight w:val="none"/>
        </w:rPr>
        <w:t>集中式的鱼类产卵场，也未有其他特殊敏感生态需水要求，“引滦入津工程”引水期平均流量</w:t>
      </w:r>
      <w:r>
        <w:rPr>
          <w:rFonts w:hint="eastAsia"/>
          <w:bCs/>
          <w:color w:val="auto"/>
          <w:kern w:val="0"/>
          <w:sz w:val="24"/>
          <w:highlight w:val="none"/>
          <w:lang w:val="en-US" w:eastAsia="zh-CN"/>
        </w:rPr>
        <w:t>55.92</w:t>
      </w:r>
      <w:r>
        <w:rPr>
          <w:rFonts w:hint="eastAsia"/>
          <w:bCs/>
          <w:color w:val="auto"/>
          <w:kern w:val="0"/>
          <w:sz w:val="24"/>
          <w:highlight w:val="none"/>
        </w:rPr>
        <w:t>m</w:t>
      </w:r>
      <w:r>
        <w:rPr>
          <w:rFonts w:hint="eastAsia"/>
          <w:bCs/>
          <w:color w:val="auto"/>
          <w:kern w:val="0"/>
          <w:sz w:val="24"/>
          <w:highlight w:val="none"/>
          <w:vertAlign w:val="superscript"/>
        </w:rPr>
        <w:t>3</w:t>
      </w:r>
      <w:r>
        <w:rPr>
          <w:rFonts w:hint="eastAsia"/>
          <w:bCs/>
          <w:color w:val="auto"/>
          <w:kern w:val="0"/>
          <w:sz w:val="24"/>
          <w:highlight w:val="none"/>
        </w:rPr>
        <w:t>/s，按的</w:t>
      </w:r>
      <w:r>
        <w:rPr>
          <w:rFonts w:hint="eastAsia"/>
          <w:bCs/>
          <w:color w:val="auto"/>
          <w:kern w:val="0"/>
          <w:sz w:val="24"/>
          <w:highlight w:val="none"/>
          <w:lang w:eastAsia="zh-CN"/>
        </w:rPr>
        <w:t>平均流量</w:t>
      </w:r>
      <w:r>
        <w:rPr>
          <w:rFonts w:hint="eastAsia"/>
          <w:bCs/>
          <w:color w:val="auto"/>
          <w:kern w:val="0"/>
          <w:sz w:val="24"/>
          <w:highlight w:val="none"/>
        </w:rPr>
        <w:t>10%（</w:t>
      </w:r>
      <w:r>
        <w:rPr>
          <w:rFonts w:hint="eastAsia"/>
          <w:bCs/>
          <w:color w:val="auto"/>
          <w:kern w:val="0"/>
          <w:sz w:val="24"/>
          <w:highlight w:val="none"/>
          <w:lang w:val="en-US" w:eastAsia="zh-CN"/>
        </w:rPr>
        <w:t>5.592</w:t>
      </w:r>
      <w:r>
        <w:rPr>
          <w:rFonts w:hint="eastAsia"/>
          <w:bCs/>
          <w:color w:val="auto"/>
          <w:kern w:val="0"/>
          <w:sz w:val="24"/>
          <w:highlight w:val="none"/>
        </w:rPr>
        <w:t>m</w:t>
      </w:r>
      <w:r>
        <w:rPr>
          <w:rFonts w:hint="eastAsia"/>
          <w:bCs/>
          <w:color w:val="auto"/>
          <w:kern w:val="0"/>
          <w:sz w:val="24"/>
          <w:highlight w:val="none"/>
          <w:vertAlign w:val="superscript"/>
        </w:rPr>
        <w:t>3</w:t>
      </w:r>
      <w:r>
        <w:rPr>
          <w:rFonts w:hint="eastAsia"/>
          <w:bCs/>
          <w:color w:val="auto"/>
          <w:kern w:val="0"/>
          <w:sz w:val="24"/>
          <w:highlight w:val="none"/>
        </w:rPr>
        <w:t>/s）即可满足维持水生生态系统稳定所需水量。</w:t>
      </w:r>
    </w:p>
    <w:p>
      <w:pPr>
        <w:spacing w:line="480" w:lineRule="exact"/>
        <w:ind w:firstLine="480" w:firstLineChars="200"/>
        <w:jc w:val="left"/>
        <w:rPr>
          <w:rFonts w:hint="eastAsia" w:eastAsia="宋体"/>
          <w:bCs/>
          <w:color w:val="auto"/>
          <w:kern w:val="0"/>
          <w:sz w:val="24"/>
          <w:highlight w:val="none"/>
          <w:lang w:eastAsia="zh-CN"/>
        </w:rPr>
      </w:pPr>
      <w:r>
        <w:rPr>
          <w:rFonts w:hint="eastAsia"/>
          <w:bCs/>
          <w:color w:val="auto"/>
          <w:kern w:val="0"/>
          <w:sz w:val="24"/>
          <w:highlight w:val="none"/>
          <w:lang w:eastAsia="zh-CN"/>
        </w:rPr>
        <w:t>因此输水期水量完全满足最小生态流量用水需求。</w:t>
      </w:r>
    </w:p>
    <w:p>
      <w:pPr>
        <w:tabs>
          <w:tab w:val="left" w:pos="1080"/>
        </w:tabs>
        <w:spacing w:line="480" w:lineRule="exact"/>
        <w:outlineLvl w:val="1"/>
        <w:rPr>
          <w:b/>
          <w:color w:val="auto"/>
          <w:sz w:val="24"/>
          <w:highlight w:val="none"/>
        </w:rPr>
      </w:pPr>
      <w:bookmarkStart w:id="154" w:name="_Toc5440"/>
      <w:r>
        <w:rPr>
          <w:rFonts w:hint="eastAsia"/>
          <w:b/>
          <w:color w:val="auto"/>
          <w:sz w:val="24"/>
          <w:highlight w:val="none"/>
        </w:rPr>
        <w:t>2</w:t>
      </w:r>
      <w:r>
        <w:rPr>
          <w:b/>
          <w:color w:val="auto"/>
          <w:sz w:val="24"/>
          <w:highlight w:val="none"/>
        </w:rPr>
        <w:t>.</w:t>
      </w:r>
      <w:r>
        <w:rPr>
          <w:rFonts w:hint="eastAsia"/>
          <w:b/>
          <w:color w:val="auto"/>
          <w:sz w:val="24"/>
          <w:highlight w:val="none"/>
        </w:rPr>
        <w:t>1</w:t>
      </w:r>
      <w:r>
        <w:rPr>
          <w:rFonts w:hint="eastAsia"/>
          <w:b/>
          <w:color w:val="auto"/>
          <w:sz w:val="24"/>
          <w:highlight w:val="none"/>
          <w:lang w:val="en-US" w:eastAsia="zh-CN"/>
        </w:rPr>
        <w:t>2</w:t>
      </w:r>
      <w:r>
        <w:rPr>
          <w:rFonts w:hint="eastAsia"/>
          <w:b/>
          <w:color w:val="auto"/>
          <w:sz w:val="24"/>
          <w:highlight w:val="none"/>
        </w:rPr>
        <w:t>水土保持</w:t>
      </w:r>
      <w:bookmarkEnd w:id="154"/>
    </w:p>
    <w:p>
      <w:pPr>
        <w:pStyle w:val="167"/>
        <w:spacing w:line="480" w:lineRule="exact"/>
        <w:ind w:firstLine="480"/>
        <w:rPr>
          <w:color w:val="auto"/>
          <w:sz w:val="24"/>
          <w:szCs w:val="24"/>
          <w:highlight w:val="none"/>
        </w:rPr>
      </w:pPr>
      <w:r>
        <w:rPr>
          <w:rFonts w:hint="eastAsia"/>
          <w:color w:val="auto"/>
          <w:sz w:val="24"/>
          <w:szCs w:val="24"/>
          <w:highlight w:val="none"/>
        </w:rPr>
        <w:t>本项目已经运行多年，项目涉及区域为避免加重水土流失，橡胶坝、引水渠、排水渠两侧</w:t>
      </w:r>
      <w:r>
        <w:rPr>
          <w:color w:val="auto"/>
          <w:sz w:val="24"/>
          <w:szCs w:val="24"/>
          <w:highlight w:val="none"/>
        </w:rPr>
        <w:t>采取了植树绿化，</w:t>
      </w:r>
      <w:r>
        <w:rPr>
          <w:rFonts w:hint="eastAsia"/>
          <w:color w:val="auto"/>
          <w:sz w:val="24"/>
          <w:szCs w:val="24"/>
          <w:highlight w:val="none"/>
        </w:rPr>
        <w:t>引水渠外部两侧铺设透水砖等</w:t>
      </w:r>
      <w:r>
        <w:rPr>
          <w:color w:val="auto"/>
          <w:sz w:val="24"/>
          <w:szCs w:val="24"/>
          <w:highlight w:val="none"/>
        </w:rPr>
        <w:t>措施，厂区内采取了地面硬化、绿化和铺设透水砖等措施，防治水土流失。</w:t>
      </w:r>
      <w:r>
        <w:rPr>
          <w:rFonts w:hint="eastAsia"/>
          <w:color w:val="auto"/>
          <w:sz w:val="24"/>
          <w:szCs w:val="24"/>
          <w:highlight w:val="none"/>
        </w:rPr>
        <w:t>运行至今未出现严重水土水土流失情况。</w:t>
      </w:r>
    </w:p>
    <w:p>
      <w:pPr>
        <w:tabs>
          <w:tab w:val="left" w:pos="1080"/>
        </w:tabs>
        <w:spacing w:line="480" w:lineRule="exact"/>
        <w:outlineLvl w:val="1"/>
        <w:rPr>
          <w:b/>
          <w:color w:val="auto"/>
          <w:sz w:val="24"/>
          <w:highlight w:val="none"/>
        </w:rPr>
      </w:pPr>
      <w:bookmarkStart w:id="155" w:name="_Toc11726"/>
      <w:r>
        <w:rPr>
          <w:rFonts w:hint="eastAsia"/>
          <w:b/>
          <w:color w:val="auto"/>
          <w:sz w:val="24"/>
          <w:highlight w:val="none"/>
        </w:rPr>
        <w:t>2</w:t>
      </w:r>
      <w:r>
        <w:rPr>
          <w:b/>
          <w:color w:val="auto"/>
          <w:sz w:val="24"/>
          <w:highlight w:val="none"/>
        </w:rPr>
        <w:t>.</w:t>
      </w:r>
      <w:bookmarkStart w:id="156" w:name="_Toc7665"/>
      <w:bookmarkStart w:id="157" w:name="_Toc240"/>
      <w:bookmarkStart w:id="158" w:name="_Toc1668"/>
      <w:r>
        <w:rPr>
          <w:rFonts w:hint="eastAsia"/>
          <w:b/>
          <w:color w:val="auto"/>
          <w:sz w:val="24"/>
          <w:highlight w:val="none"/>
        </w:rPr>
        <w:t>1</w:t>
      </w:r>
      <w:r>
        <w:rPr>
          <w:rFonts w:hint="eastAsia"/>
          <w:b/>
          <w:color w:val="auto"/>
          <w:sz w:val="24"/>
          <w:highlight w:val="none"/>
          <w:lang w:val="en-US" w:eastAsia="zh-CN"/>
        </w:rPr>
        <w:t>3</w:t>
      </w:r>
      <w:r>
        <w:rPr>
          <w:rFonts w:hint="eastAsia"/>
          <w:b/>
          <w:color w:val="auto"/>
          <w:sz w:val="24"/>
          <w:highlight w:val="none"/>
        </w:rPr>
        <w:t xml:space="preserve"> </w:t>
      </w:r>
      <w:r>
        <w:rPr>
          <w:b/>
          <w:color w:val="auto"/>
          <w:sz w:val="24"/>
          <w:highlight w:val="none"/>
        </w:rPr>
        <w:t>公用工程</w:t>
      </w:r>
      <w:bookmarkEnd w:id="155"/>
      <w:bookmarkEnd w:id="156"/>
      <w:bookmarkEnd w:id="157"/>
      <w:bookmarkEnd w:id="158"/>
    </w:p>
    <w:p>
      <w:pPr>
        <w:spacing w:line="480" w:lineRule="exact"/>
        <w:ind w:firstLine="480" w:firstLineChars="200"/>
        <w:jc w:val="left"/>
        <w:rPr>
          <w:bCs/>
          <w:color w:val="auto"/>
          <w:sz w:val="24"/>
          <w:highlight w:val="none"/>
        </w:rPr>
      </w:pPr>
      <w:r>
        <w:rPr>
          <w:bCs/>
          <w:color w:val="auto"/>
          <w:kern w:val="0"/>
          <w:sz w:val="24"/>
          <w:highlight w:val="none"/>
        </w:rPr>
        <w:t>（</w:t>
      </w:r>
      <w:r>
        <w:rPr>
          <w:rFonts w:hint="eastAsia"/>
          <w:bCs/>
          <w:color w:val="auto"/>
          <w:kern w:val="0"/>
          <w:sz w:val="24"/>
          <w:highlight w:val="none"/>
          <w:lang w:val="en-US" w:eastAsia="zh-CN"/>
        </w:rPr>
        <w:t>1</w:t>
      </w:r>
      <w:r>
        <w:rPr>
          <w:bCs/>
          <w:color w:val="auto"/>
          <w:kern w:val="0"/>
          <w:sz w:val="24"/>
          <w:highlight w:val="none"/>
        </w:rPr>
        <w:t>）</w:t>
      </w:r>
      <w:r>
        <w:rPr>
          <w:bCs/>
          <w:color w:val="auto"/>
          <w:sz w:val="24"/>
          <w:highlight w:val="none"/>
        </w:rPr>
        <w:t>给排水</w:t>
      </w:r>
    </w:p>
    <w:p>
      <w:pPr>
        <w:spacing w:line="480" w:lineRule="exact"/>
        <w:ind w:firstLine="477" w:firstLineChars="199"/>
        <w:rPr>
          <w:sz w:val="24"/>
          <w:szCs w:val="24"/>
          <w:highlight w:val="none"/>
        </w:rPr>
      </w:pPr>
      <w:r>
        <w:rPr>
          <w:rFonts w:hint="eastAsia"/>
          <w:sz w:val="24"/>
          <w:szCs w:val="24"/>
          <w:highlight w:val="none"/>
        </w:rPr>
        <w:t>本项目</w:t>
      </w:r>
      <w:r>
        <w:rPr>
          <w:sz w:val="24"/>
          <w:szCs w:val="24"/>
          <w:highlight w:val="none"/>
        </w:rPr>
        <w:t>劳动</w:t>
      </w:r>
      <w:r>
        <w:rPr>
          <w:rFonts w:hint="eastAsia"/>
          <w:sz w:val="24"/>
          <w:szCs w:val="24"/>
          <w:highlight w:val="none"/>
        </w:rPr>
        <w:t>定员10人，其中管理人员2人，年工作时间112天/年（2</w:t>
      </w:r>
      <w:r>
        <w:rPr>
          <w:rFonts w:hint="eastAsia"/>
          <w:sz w:val="24"/>
          <w:szCs w:val="24"/>
          <w:highlight w:val="none"/>
          <w:lang w:val="en-US" w:eastAsia="zh-CN"/>
        </w:rPr>
        <w:t>688</w:t>
      </w:r>
      <w:r>
        <w:rPr>
          <w:rFonts w:hint="eastAsia"/>
          <w:sz w:val="24"/>
          <w:szCs w:val="24"/>
          <w:highlight w:val="none"/>
        </w:rPr>
        <w:t>h），每天</w:t>
      </w:r>
      <w:r>
        <w:rPr>
          <w:rFonts w:hint="eastAsia"/>
          <w:sz w:val="24"/>
          <w:szCs w:val="24"/>
          <w:highlight w:val="none"/>
          <w:lang w:eastAsia="zh-CN"/>
        </w:rPr>
        <w:t>三</w:t>
      </w:r>
      <w:r>
        <w:rPr>
          <w:rFonts w:hint="eastAsia"/>
          <w:sz w:val="24"/>
          <w:szCs w:val="24"/>
          <w:highlight w:val="none"/>
        </w:rPr>
        <w:t>班</w:t>
      </w:r>
      <w:r>
        <w:rPr>
          <w:rFonts w:hint="eastAsia"/>
          <w:sz w:val="24"/>
          <w:szCs w:val="24"/>
          <w:highlight w:val="none"/>
          <w:lang w:eastAsia="zh-CN"/>
        </w:rPr>
        <w:t>，每班</w:t>
      </w:r>
      <w:r>
        <w:rPr>
          <w:rFonts w:hint="eastAsia"/>
          <w:sz w:val="24"/>
          <w:szCs w:val="24"/>
          <w:highlight w:val="none"/>
        </w:rPr>
        <w:t>8小时</w:t>
      </w:r>
      <w:r>
        <w:rPr>
          <w:sz w:val="24"/>
          <w:szCs w:val="24"/>
          <w:highlight w:val="none"/>
        </w:rPr>
        <w:t>。</w:t>
      </w:r>
    </w:p>
    <w:p>
      <w:pPr>
        <w:spacing w:line="480" w:lineRule="exact"/>
        <w:ind w:firstLine="477" w:firstLineChars="199"/>
        <w:rPr>
          <w:sz w:val="24"/>
          <w:highlight w:val="none"/>
          <w:u w:val="none"/>
        </w:rPr>
      </w:pPr>
      <w:r>
        <w:rPr>
          <w:rFonts w:hint="eastAsia"/>
          <w:sz w:val="24"/>
          <w:szCs w:val="24"/>
          <w:highlight w:val="none"/>
        </w:rPr>
        <w:t>本项目不设洗浴，设餐厅（不做饭，仅用餐使用）</w:t>
      </w:r>
      <w:r>
        <w:rPr>
          <w:rFonts w:hint="eastAsia"/>
          <w:sz w:val="24"/>
          <w:highlight w:val="none"/>
        </w:rPr>
        <w:t>，</w:t>
      </w:r>
      <w:r>
        <w:rPr>
          <w:rFonts w:hint="eastAsia"/>
          <w:sz w:val="24"/>
          <w:highlight w:val="none"/>
          <w:lang w:eastAsia="zh-CN"/>
        </w:rPr>
        <w:t>水冲</w:t>
      </w:r>
      <w:r>
        <w:rPr>
          <w:sz w:val="24"/>
          <w:highlight w:val="none"/>
        </w:rPr>
        <w:t>厕所，饮用水外购桶装水，其他用来自</w:t>
      </w:r>
      <w:r>
        <w:rPr>
          <w:rFonts w:hint="eastAsia"/>
          <w:sz w:val="24"/>
          <w:highlight w:val="none"/>
          <w:lang w:eastAsia="zh-CN"/>
        </w:rPr>
        <w:t>附近村庄</w:t>
      </w:r>
      <w:r>
        <w:rPr>
          <w:sz w:val="24"/>
          <w:highlight w:val="none"/>
        </w:rPr>
        <w:t>（主要包括洗漱用水和冲厕用水）</w:t>
      </w:r>
      <w:r>
        <w:rPr>
          <w:rFonts w:hint="eastAsia"/>
          <w:sz w:val="24"/>
          <w:highlight w:val="none"/>
        </w:rPr>
        <w:t>。</w:t>
      </w:r>
      <w:r>
        <w:rPr>
          <w:sz w:val="24"/>
          <w:highlight w:val="none"/>
        </w:rPr>
        <w:t>参照《河北省用水</w:t>
      </w:r>
      <w:r>
        <w:rPr>
          <w:rFonts w:hint="eastAsia" w:ascii="Times New Roman" w:hAnsi="Times New Roman" w:cs="Times New Roman"/>
          <w:sz w:val="24"/>
          <w:highlight w:val="none"/>
        </w:rPr>
        <w:t>定额（</w:t>
      </w:r>
      <w:r>
        <w:rPr>
          <w:rFonts w:hint="default" w:ascii="Times New Roman" w:hAnsi="Times New Roman" w:cs="Times New Roman"/>
          <w:sz w:val="24"/>
          <w:highlight w:val="none"/>
        </w:rPr>
        <w:t>DB13/</w:t>
      </w:r>
      <w:r>
        <w:rPr>
          <w:rFonts w:hint="eastAsia" w:ascii="Times New Roman" w:hAnsi="Times New Roman" w:cs="Times New Roman"/>
          <w:sz w:val="24"/>
          <w:highlight w:val="none"/>
        </w:rPr>
        <w:t>T5450.1-2021）第三</w:t>
      </w:r>
      <w:r>
        <w:rPr>
          <w:sz w:val="24"/>
          <w:highlight w:val="none"/>
        </w:rPr>
        <w:t>部分</w:t>
      </w:r>
      <w:r>
        <w:rPr>
          <w:kern w:val="0"/>
          <w:sz w:val="24"/>
          <w:highlight w:val="none"/>
        </w:rPr>
        <w:t>生活用水</w:t>
      </w:r>
      <w:r>
        <w:rPr>
          <w:sz w:val="24"/>
          <w:highlight w:val="none"/>
        </w:rPr>
        <w:t>》规定，员工用水按每人每天40L/人·天计，本项目员工1</w:t>
      </w:r>
      <w:r>
        <w:rPr>
          <w:rFonts w:hint="eastAsia"/>
          <w:sz w:val="24"/>
          <w:highlight w:val="none"/>
          <w:lang w:val="en-US" w:eastAsia="zh-CN"/>
        </w:rPr>
        <w:t>0</w:t>
      </w:r>
      <w:r>
        <w:rPr>
          <w:sz w:val="24"/>
          <w:highlight w:val="none"/>
        </w:rPr>
        <w:t>人（每天在岗人数5人），则日用水量为0.2m</w:t>
      </w:r>
      <w:r>
        <w:rPr>
          <w:sz w:val="24"/>
          <w:highlight w:val="none"/>
          <w:vertAlign w:val="superscript"/>
        </w:rPr>
        <w:t>3</w:t>
      </w:r>
      <w:r>
        <w:rPr>
          <w:sz w:val="24"/>
          <w:highlight w:val="none"/>
        </w:rPr>
        <w:t>/d，全年按1</w:t>
      </w:r>
      <w:r>
        <w:rPr>
          <w:rFonts w:hint="eastAsia"/>
          <w:sz w:val="24"/>
          <w:highlight w:val="none"/>
          <w:lang w:val="en-US" w:eastAsia="zh-CN"/>
        </w:rPr>
        <w:t>12</w:t>
      </w:r>
      <w:r>
        <w:rPr>
          <w:sz w:val="24"/>
          <w:highlight w:val="none"/>
        </w:rPr>
        <w:t>天计算，年生活用水量2</w:t>
      </w:r>
      <w:r>
        <w:rPr>
          <w:rFonts w:hint="eastAsia"/>
          <w:sz w:val="24"/>
          <w:highlight w:val="none"/>
          <w:lang w:val="en-US" w:eastAsia="zh-CN"/>
        </w:rPr>
        <w:t>2.4</w:t>
      </w:r>
      <w:r>
        <w:rPr>
          <w:sz w:val="24"/>
          <w:highlight w:val="none"/>
        </w:rPr>
        <w:t>m</w:t>
      </w:r>
      <w:r>
        <w:rPr>
          <w:sz w:val="24"/>
          <w:highlight w:val="none"/>
          <w:vertAlign w:val="superscript"/>
        </w:rPr>
        <w:t>3</w:t>
      </w:r>
      <w:r>
        <w:rPr>
          <w:sz w:val="24"/>
          <w:highlight w:val="none"/>
        </w:rPr>
        <w:t>/a。生活污水量按用水量的80%计算，生活污水产生量为0.16m</w:t>
      </w:r>
      <w:r>
        <w:rPr>
          <w:sz w:val="24"/>
          <w:highlight w:val="none"/>
          <w:vertAlign w:val="superscript"/>
        </w:rPr>
        <w:t>3</w:t>
      </w:r>
      <w:r>
        <w:rPr>
          <w:sz w:val="24"/>
          <w:highlight w:val="none"/>
        </w:rPr>
        <w:t>/d，年生活</w:t>
      </w:r>
      <w:r>
        <w:rPr>
          <w:rFonts w:hint="eastAsia"/>
          <w:sz w:val="24"/>
          <w:highlight w:val="none"/>
          <w:lang w:eastAsia="zh-CN"/>
        </w:rPr>
        <w:t>污水</w:t>
      </w:r>
      <w:r>
        <w:rPr>
          <w:sz w:val="24"/>
          <w:highlight w:val="none"/>
        </w:rPr>
        <w:t>量</w:t>
      </w:r>
      <w:r>
        <w:rPr>
          <w:rFonts w:hint="eastAsia"/>
          <w:sz w:val="24"/>
          <w:highlight w:val="none"/>
          <w:lang w:val="en-US" w:eastAsia="zh-CN"/>
        </w:rPr>
        <w:t>19.72</w:t>
      </w:r>
      <w:r>
        <w:rPr>
          <w:sz w:val="24"/>
          <w:highlight w:val="none"/>
        </w:rPr>
        <w:t>m</w:t>
      </w:r>
      <w:r>
        <w:rPr>
          <w:sz w:val="24"/>
          <w:highlight w:val="none"/>
          <w:vertAlign w:val="superscript"/>
        </w:rPr>
        <w:t>3</w:t>
      </w:r>
      <w:r>
        <w:rPr>
          <w:sz w:val="24"/>
          <w:highlight w:val="none"/>
        </w:rPr>
        <w:t>/a，生活污水简单</w:t>
      </w:r>
      <w:r>
        <w:rPr>
          <w:sz w:val="24"/>
          <w:highlight w:val="none"/>
          <w:u w:val="none"/>
        </w:rPr>
        <w:t>，排入站区化粪池，</w:t>
      </w:r>
      <w:r>
        <w:rPr>
          <w:rFonts w:hint="eastAsia"/>
          <w:sz w:val="24"/>
          <w:highlight w:val="none"/>
          <w:u w:val="none"/>
          <w:lang w:eastAsia="zh-CN"/>
        </w:rPr>
        <w:t>由环卫部门定期清掏</w:t>
      </w:r>
      <w:r>
        <w:rPr>
          <w:sz w:val="24"/>
          <w:highlight w:val="none"/>
          <w:u w:val="none"/>
        </w:rPr>
        <w:t>。</w:t>
      </w:r>
    </w:p>
    <w:p>
      <w:pPr>
        <w:spacing w:line="480" w:lineRule="exact"/>
        <w:ind w:firstLine="477" w:firstLineChars="199"/>
        <w:rPr>
          <w:sz w:val="24"/>
          <w:highlight w:val="none"/>
          <w:u w:val="none"/>
        </w:rPr>
      </w:pPr>
    </w:p>
    <w:p>
      <w:pPr>
        <w:spacing w:line="480" w:lineRule="exact"/>
        <w:ind w:firstLine="477" w:firstLineChars="199"/>
        <w:rPr>
          <w:sz w:val="24"/>
          <w:highlight w:val="none"/>
        </w:rPr>
      </w:pPr>
      <w:r>
        <w:rPr>
          <w:bCs/>
          <w:sz w:val="24"/>
          <w:highlight w:val="none"/>
        </w:rPr>
        <mc:AlternateContent>
          <mc:Choice Requires="wps">
            <w:drawing>
              <wp:anchor distT="0" distB="0" distL="114300" distR="114300" simplePos="0" relativeHeight="251703296" behindDoc="0" locked="0" layoutInCell="1" allowOverlap="1">
                <wp:simplePos x="0" y="0"/>
                <wp:positionH relativeFrom="column">
                  <wp:posOffset>1435735</wp:posOffset>
                </wp:positionH>
                <wp:positionV relativeFrom="paragraph">
                  <wp:posOffset>-140335</wp:posOffset>
                </wp:positionV>
                <wp:extent cx="790575" cy="267970"/>
                <wp:effectExtent l="0" t="0" r="9525" b="17780"/>
                <wp:wrapNone/>
                <wp:docPr id="209" name="Rectangle 11"/>
                <wp:cNvGraphicFramePr/>
                <a:graphic xmlns:a="http://schemas.openxmlformats.org/drawingml/2006/main">
                  <a:graphicData uri="http://schemas.microsoft.com/office/word/2010/wordprocessingShape">
                    <wps:wsp>
                      <wps:cNvSpPr>
                        <a:spLocks noChangeArrowheads="1"/>
                      </wps:cNvSpPr>
                      <wps:spPr bwMode="auto">
                        <a:xfrm>
                          <a:off x="0" y="0"/>
                          <a:ext cx="790575" cy="267970"/>
                        </a:xfrm>
                        <a:prstGeom prst="rect">
                          <a:avLst/>
                        </a:prstGeom>
                        <a:solidFill>
                          <a:srgbClr val="FFFFFF"/>
                        </a:solidFill>
                        <a:ln>
                          <a:noFill/>
                        </a:ln>
                      </wps:spPr>
                      <wps:txbx>
                        <w:txbxContent>
                          <w:p>
                            <w:r>
                              <w:rPr>
                                <w:rFonts w:hint="eastAsia"/>
                              </w:rPr>
                              <w:t>损耗0.04</w:t>
                            </w:r>
                          </w:p>
                        </w:txbxContent>
                      </wps:txbx>
                      <wps:bodyPr rot="0" vert="horz" wrap="square" lIns="91440" tIns="45720" rIns="91440" bIns="45720" anchor="t" anchorCtr="0" upright="1">
                        <a:noAutofit/>
                      </wps:bodyPr>
                    </wps:wsp>
                  </a:graphicData>
                </a:graphic>
              </wp:anchor>
            </w:drawing>
          </mc:Choice>
          <mc:Fallback>
            <w:pict>
              <v:rect id="Rectangle 11" o:spid="_x0000_s1026" o:spt="1" style="position:absolute;left:0pt;margin-left:113.05pt;margin-top:-11.05pt;height:21.1pt;width:62.25pt;z-index:251703296;mso-width-relative:page;mso-height-relative:page;" fillcolor="#FFFFFF" filled="t" stroked="f" coordsize="21600,21600" o:gfxdata="UEsDBAoAAAAAAIdO4kAAAAAAAAAAAAAAAAAEAAAAZHJzL1BLAwQUAAAACACHTuJA5VHRetcAAAAK&#10;AQAADwAAAGRycy9kb3ducmV2LnhtbE2PwU7DMAyG70i8Q2QkblvSjkXQNd0BaSfgwIbE1Wu8tlqT&#10;lCbdyttjTnCz9X/6/bnczq4XFxpjF7yBbKlAkK+D7Xxj4OOwWzyCiAm9xT54MvBNEbbV7U2JhQ1X&#10;/06XfWoEl/hYoIE2paGQMtYtOYzLMJDn7BRGh4nXsZF2xCuXu17mSmnpsPN8ocWBnluqz/vJGUD9&#10;YL/eTqvXw8uk8amZ1W79qYy5v8vUBkSiOf3B8KvP6lCx0zFM3kbRG8hznTFqYJHnPDCxWisN4siR&#10;ykBWpfz/QvUDUEsDBBQAAAAIAIdO4kBxrtuBGQIAADYEAAAOAAAAZHJzL2Uyb0RvYy54bWytU8Fu&#10;2zAMvQ/YPwi6L7aDpFmCOkWRIMOAbivW7QNkWbaFyaJGKXGyrx8lp1nWXXqYDwYpkk98j9Tt3bE3&#10;7KDQa7AlLyY5Z8pKqLVtS/792+7de858ELYWBqwq+Ul5frd+++Z2cCs1hQ5MrZARiPWrwZW8C8Gt&#10;sszLTvXCT8ApS8EGsBeBXGyzGsVA6L3Jpnl+kw2AtUOQyns63Y5BfkbE1wBC02iptiD3vbJhREVl&#10;RCBKvtPO83XqtmmUDF+axqvATMmJaUh/uoTsKv6z9a1YtShcp+W5BfGaFl5w6oW2dOkFaiuCYHvU&#10;/0D1WiJ4aMJEQp+NRJIixKLIX2jz1AmnEheS2ruL6P7/wcrPh0dkui75NF9yZkVPI/9KsgnbGsWK&#10;Iio0OL+ixCf3iJGjdw8gf3hmYdNRmrpHhKFToqa+Un72V0F0PJWyavgENcGLfYAk1rHBPgKSDOyY&#10;ZnK6zEQdA5N0uFjm88WcM0mh6c1iuUgzy8TqudihDx8U9CwaJUfqPYGLw4MP1DylPqek5sHoeqeN&#10;SQ621cYgOwhaj136Il8q8ddpxsZkC7FsDMeTxDISGwUKx+p41qqC+kR8EcZ1o8dGRgf4i7OBVq3k&#10;/udeoOLMfLSk2bKYzeJuJmc2X0zJwetIdR0RVhJUyQNno7kJ4z7vHeq2o5uKxN/CPenc6KRBnMHY&#10;1blvWqfE87z6cV+v/ZT157mvf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lUdF61wAAAAoBAAAP&#10;AAAAAAAAAAEAIAAAACIAAABkcnMvZG93bnJldi54bWxQSwECFAAUAAAACACHTuJAca7bgRkCAAA2&#10;BAAADgAAAAAAAAABACAAAAAmAQAAZHJzL2Uyb0RvYy54bWxQSwUGAAAAAAYABgBZAQAAsQUAAAAA&#10;">
                <v:fill on="t" focussize="0,0"/>
                <v:stroke on="f"/>
                <v:imagedata o:title=""/>
                <o:lock v:ext="edit" aspectratio="f"/>
                <v:textbox>
                  <w:txbxContent>
                    <w:p>
                      <w:r>
                        <w:rPr>
                          <w:rFonts w:hint="eastAsia"/>
                        </w:rPr>
                        <w:t>损耗0.04</w:t>
                      </w:r>
                    </w:p>
                  </w:txbxContent>
                </v:textbox>
              </v:rect>
            </w:pict>
          </mc:Fallback>
        </mc:AlternateContent>
      </w:r>
      <w:r>
        <w:rPr>
          <w:sz w:val="24"/>
          <w:highlight w:val="none"/>
        </w:rPr>
        <mc:AlternateContent>
          <mc:Choice Requires="wps">
            <w:drawing>
              <wp:anchor distT="0" distB="0" distL="114300" distR="114300" simplePos="0" relativeHeight="251702272" behindDoc="0" locked="0" layoutInCell="1" allowOverlap="1">
                <wp:simplePos x="0" y="0"/>
                <wp:positionH relativeFrom="column">
                  <wp:posOffset>1838960</wp:posOffset>
                </wp:positionH>
                <wp:positionV relativeFrom="paragraph">
                  <wp:posOffset>133350</wp:posOffset>
                </wp:positionV>
                <wp:extent cx="0" cy="202565"/>
                <wp:effectExtent l="38100" t="0" r="38100" b="6985"/>
                <wp:wrapNone/>
                <wp:docPr id="208" name="AutoShape 12"/>
                <wp:cNvGraphicFramePr/>
                <a:graphic xmlns:a="http://schemas.openxmlformats.org/drawingml/2006/main">
                  <a:graphicData uri="http://schemas.microsoft.com/office/word/2010/wordprocessingShape">
                    <wps:wsp>
                      <wps:cNvCnPr>
                        <a:cxnSpLocks noChangeShapeType="1"/>
                      </wps:cNvCnPr>
                      <wps:spPr bwMode="auto">
                        <a:xfrm flipV="1">
                          <a:off x="0" y="0"/>
                          <a:ext cx="0" cy="202565"/>
                        </a:xfrm>
                        <a:prstGeom prst="straightConnector1">
                          <a:avLst/>
                        </a:prstGeom>
                        <a:noFill/>
                        <a:ln w="9525">
                          <a:solidFill>
                            <a:srgbClr val="000000"/>
                          </a:solidFill>
                          <a:prstDash val="dash"/>
                          <a:round/>
                          <a:tailEnd type="triangle" w="med" len="med"/>
                        </a:ln>
                      </wps:spPr>
                      <wps:bodyPr/>
                    </wps:wsp>
                  </a:graphicData>
                </a:graphic>
              </wp:anchor>
            </w:drawing>
          </mc:Choice>
          <mc:Fallback>
            <w:pict>
              <v:shape id="AutoShape 12" o:spid="_x0000_s1026" o:spt="32" type="#_x0000_t32" style="position:absolute;left:0pt;flip:y;margin-left:144.8pt;margin-top:10.5pt;height:15.95pt;width:0pt;z-index:251702272;mso-width-relative:page;mso-height-relative:page;" filled="f" stroked="t" coordsize="21600,21600" o:gfxdata="UEsDBAoAAAAAAIdO4kAAAAAAAAAAAAAAAAAEAAAAZHJzL1BLAwQUAAAACACHTuJAaow/PNMAAAAJ&#10;AQAADwAAAGRycy9kb3ducmV2LnhtbE2PQU+EMBCF7yb+h2ZMvLktJOIuUvZg4sGjwA8odJYS6ZTQ&#10;7rL66x3jQW8z817efK86Xv0sLrjGKZCGbKdAIA3BTjRq6NrXhz2ImAxZMwdCDZ8Y4Vjf3lSmtGGj&#10;d7w0aRQcQrE0GlxKSyllHBx6E3dhQWLtFFZvEq/rKO1qNg73s8yVKqQ3E/EHZxZ8cTh8NGevQfaO&#10;1q9T2xWbelu6rbFPrbda399l6hlEwmv6M8MPPqNDzUx9OJONYtaQ7w8FW3nIuBMbfg+9hsf8ALKu&#10;5P8G9TdQSwMEFAAAAAgAh07iQPHHyJj/AQAABAQAAA4AAABkcnMvZTJvRG9jLnhtbK1TwW7bMAy9&#10;D9g/CLovdgyk2Iw4xZCsu3RbgXa7K5JsC5NEQVLi5O9HykG6dpce5oNBieTj4yO1vj05y446JgO+&#10;48tFzZn2EpTxQ8d/Pt19+MhZysIrYcHrjp914reb9+/WU2h1AyNYpSNDEJ/aKXR8zDm0VZXkqJ1I&#10;Cwjao7OH6ETGYxwqFcWE6M5WTV3fVBNEFSJInRLe7mYnvyDGtwBC3xupdyAPTvs8o0ZtRcaW0mhC&#10;4pvCtu+1zD/6PunMbMex01z+WATtPf2rzVq0QxRhNPJCQbyFwquenDAei16hdiILdojmHyhnZIQE&#10;fV5IcNXcSFEEu1jWr7R5HEXQpReUOoWr6On/wcrvx4fIjOp4U+PgvXA48s+HDKU2Wzak0BRSi4Fb&#10;/xCpR3nyj+Ee5O/EPGxH4Qddop/OAZOXlFG9SKFDClhnP30DhTECCxS5Tn10rLcm/KJEAkdJ2KnM&#10;53ydjz5lJudLibdN3axuVqWMaAmB8kJM+asGx8joeMpRmGHMW/AelwDijC6O9ykTv+cESvZwZ6wt&#10;u2A9mzr+adWsCp0E1ihyUliKw35rIzsK2qbyXVi8CCMGO5HGOU6hRVGijXDwqlhZGPvFK5aLYjka&#10;1NBqTpWdVpxZjU+TrJmq9RdFScR5HHtQ54dIbhIXl6P0dFlk2r6/zyXq+fFu/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qjD880wAAAAkBAAAPAAAAAAAAAAEAIAAAACIAAABkcnMvZG93bnJldi54&#10;bWxQSwECFAAUAAAACACHTuJA8cfImP8BAAAEBAAADgAAAAAAAAABACAAAAAiAQAAZHJzL2Uyb0Rv&#10;Yy54bWxQSwUGAAAAAAYABgBZAQAAkwUAAAAA&#10;">
                <v:fill on="f" focussize="0,0"/>
                <v:stroke color="#000000" joinstyle="round" dashstyle="dash" endarrow="block"/>
                <v:imagedata o:title=""/>
                <o:lock v:ext="edit" aspectratio="f"/>
              </v:shape>
            </w:pict>
          </mc:Fallback>
        </mc:AlternateContent>
      </w:r>
    </w:p>
    <w:p>
      <w:pPr>
        <w:spacing w:line="480" w:lineRule="exact"/>
        <w:ind w:firstLine="477" w:firstLineChars="199"/>
        <w:rPr>
          <w:sz w:val="24"/>
          <w:highlight w:val="none"/>
        </w:rPr>
      </w:pPr>
      <w:r>
        <w:rPr>
          <w:sz w:val="24"/>
          <w:highlight w:val="none"/>
        </w:rPr>
        <mc:AlternateContent>
          <mc:Choice Requires="wps">
            <w:drawing>
              <wp:anchor distT="0" distB="0" distL="114300" distR="114300" simplePos="0" relativeHeight="251701248" behindDoc="0" locked="0" layoutInCell="1" allowOverlap="1">
                <wp:simplePos x="0" y="0"/>
                <wp:positionH relativeFrom="column">
                  <wp:posOffset>3749675</wp:posOffset>
                </wp:positionH>
                <wp:positionV relativeFrom="paragraph">
                  <wp:posOffset>29210</wp:posOffset>
                </wp:positionV>
                <wp:extent cx="1419225" cy="287655"/>
                <wp:effectExtent l="5080" t="4445" r="4445" b="12700"/>
                <wp:wrapNone/>
                <wp:docPr id="207" name="Rectangle 13"/>
                <wp:cNvGraphicFramePr/>
                <a:graphic xmlns:a="http://schemas.openxmlformats.org/drawingml/2006/main">
                  <a:graphicData uri="http://schemas.microsoft.com/office/word/2010/wordprocessingShape">
                    <wps:wsp>
                      <wps:cNvSpPr>
                        <a:spLocks noChangeArrowheads="1"/>
                      </wps:cNvSpPr>
                      <wps:spPr bwMode="auto">
                        <a:xfrm>
                          <a:off x="0" y="0"/>
                          <a:ext cx="1419225" cy="287655"/>
                        </a:xfrm>
                        <a:prstGeom prst="rect">
                          <a:avLst/>
                        </a:prstGeom>
                        <a:solidFill>
                          <a:srgbClr val="FFFFFF"/>
                        </a:solidFill>
                        <a:ln w="9525">
                          <a:solidFill>
                            <a:srgbClr val="000000"/>
                          </a:solidFill>
                          <a:miter lim="800000"/>
                        </a:ln>
                      </wps:spPr>
                      <wps:txbx>
                        <w:txbxContent>
                          <w:p>
                            <w:pPr>
                              <w:rPr>
                                <w:rFonts w:hint="eastAsia" w:eastAsia="宋体"/>
                                <w:lang w:eastAsia="zh-CN"/>
                              </w:rPr>
                            </w:pPr>
                            <w:r>
                              <w:rPr>
                                <w:rFonts w:hint="eastAsia"/>
                                <w:lang w:eastAsia="zh-CN"/>
                              </w:rPr>
                              <w:t>由环卫部门定期清掏</w:t>
                            </w:r>
                          </w:p>
                        </w:txbxContent>
                      </wps:txbx>
                      <wps:bodyPr rot="0" vert="horz" wrap="square" lIns="91440" tIns="45720" rIns="91440" bIns="45720" anchor="t" anchorCtr="0" upright="1">
                        <a:noAutofit/>
                      </wps:bodyPr>
                    </wps:wsp>
                  </a:graphicData>
                </a:graphic>
              </wp:anchor>
            </w:drawing>
          </mc:Choice>
          <mc:Fallback>
            <w:pict>
              <v:rect id="Rectangle 13" o:spid="_x0000_s1026" o:spt="1" style="position:absolute;left:0pt;margin-left:295.25pt;margin-top:2.3pt;height:22.65pt;width:111.75pt;z-index:251701248;mso-width-relative:page;mso-height-relative:page;" fillcolor="#FFFFFF" filled="t" stroked="t" coordsize="21600,21600" o:gfxdata="UEsDBAoAAAAAAIdO4kAAAAAAAAAAAAAAAAAEAAAAZHJzL1BLAwQUAAAACACHTuJA3ZFAH9YAAAAI&#10;AQAADwAAAGRycy9kb3ducmV2LnhtbE2PMU/DMBSEdyT+g/WQ2Kid0lZNiNMBVCTGNl3YXmKTBOLn&#10;KHbawK/nMdHxdKe77/Ld7HpxtmPoPGlIFgqEpdqbjhoNp3L/sAURIpLB3pPV8G0D7Irbmxwz4y90&#10;sOdjbASXUMhQQxvjkEkZ6tY6DAs/WGLvw48OI8uxkWbEC5e7Xi6V2kiHHfFCi4N9bm39dZychqpb&#10;nvDnUL4ql+4f49tcfk7vL1rf3yXqCUS0c/wPwx8+o0PBTJWfyATRa1inas1RDasNCPa3yYq/VazT&#10;FGSRy+sDxS9QSwMEFAAAAAgAh07iQMXhMpMtAgAAgAQAAA4AAABkcnMvZTJvRG9jLnhtbK1UUW/T&#10;MBB+R+I/WH6naUK7rlHTaeo0hDRgYvADXMdpLGyfObtNy6/n4mSjDIT2QB4sn+/8+bvv7rK6OlrD&#10;DgqDBlfxfDLlTDkJtXa7in/9cvvmkrMQhauFAacqflKBX61fv1p1vlQFtGBqhYxAXCg7X/E2Rl9m&#10;WZCtsiJMwCtHzgbQikgm7rIaRUfo1mTFdHqRdYC1R5AqBDq9GZx8RMSXAELTaKluQO6tcnFARWVE&#10;pJRCq33g68S2aZSMn5omqMhMxSnTmFZ6hPbbfs3WK1HuUPhWy5GCeAmFZzlZoR09+gR1I6Jge9R/&#10;QFktEQI0cSLBZkMiSRHKIp8+0+ahFV6lXEjq4J9ED/8PVn483CPTdcWL6YIzJyyV/DPJJtzOKJa/&#10;7RXqfCgp8MHfY59j8HcgvwXmYNNSmLpGhK5VoiZeeR+f/XahNwJdZdvuA9QEL/YRkljHBm0PSDKw&#10;Y6rJ6akm6hiZpMN8li+LYs6ZJF9xubiYz9MTony87THEdwos6zcVRyKf0MXhLsSejSgfQxJ7MLq+&#10;1cYkA3fbjUF2ENQft+kb0cN5mHGsq/hyTjz+DTFN398grI40Nkbbil+eBxk36tVLNEgdj9vjqPoW&#10;6hMphzA0Lo0tbVrAH5x11LQVD9/3AhVn5r0j9Zf5bNZ3eTJm80VBBp57tuce4SRBVTxyNmw3cZiM&#10;vUe9a+mlPKXr4Joq1ugkZl/NgdXImxozaTwOUd/553aK+vXjWP8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3ZFAH9YAAAAIAQAADwAAAAAAAAABACAAAAAiAAAAZHJzL2Rvd25yZXYueG1sUEsBAhQA&#10;FAAAAAgAh07iQMXhMpMtAgAAgAQAAA4AAAAAAAAAAQAgAAAAJQEAAGRycy9lMm9Eb2MueG1sUEsF&#10;BgAAAAAGAAYAWQEAAMQFAAAAAA==&#10;">
                <v:fill on="t" focussize="0,0"/>
                <v:stroke color="#000000" miterlimit="8" joinstyle="miter"/>
                <v:imagedata o:title=""/>
                <o:lock v:ext="edit" aspectratio="f"/>
                <v:textbox>
                  <w:txbxContent>
                    <w:p>
                      <w:pPr>
                        <w:rPr>
                          <w:rFonts w:hint="eastAsia" w:eastAsia="宋体"/>
                          <w:lang w:eastAsia="zh-CN"/>
                        </w:rPr>
                      </w:pPr>
                      <w:r>
                        <w:rPr>
                          <w:rFonts w:hint="eastAsia"/>
                          <w:lang w:eastAsia="zh-CN"/>
                        </w:rPr>
                        <w:t>由环卫部门定期清掏</w:t>
                      </w:r>
                    </w:p>
                  </w:txbxContent>
                </v:textbox>
              </v:rect>
            </w:pict>
          </mc:Fallback>
        </mc:AlternateContent>
      </w:r>
      <w:r>
        <w:rPr>
          <w:sz w:val="24"/>
          <w:highlight w:val="none"/>
        </w:rPr>
        <mc:AlternateContent>
          <mc:Choice Requires="wps">
            <w:drawing>
              <wp:anchor distT="0" distB="0" distL="114300" distR="114300" simplePos="0" relativeHeight="251700224" behindDoc="0" locked="0" layoutInCell="1" allowOverlap="1">
                <wp:simplePos x="0" y="0"/>
                <wp:positionH relativeFrom="column">
                  <wp:posOffset>3371850</wp:posOffset>
                </wp:positionH>
                <wp:positionV relativeFrom="paragraph">
                  <wp:posOffset>184150</wp:posOffset>
                </wp:positionV>
                <wp:extent cx="366395" cy="0"/>
                <wp:effectExtent l="0" t="38100" r="14605" b="38100"/>
                <wp:wrapNone/>
                <wp:docPr id="206" name="AutoShape 14"/>
                <wp:cNvGraphicFramePr/>
                <a:graphic xmlns:a="http://schemas.openxmlformats.org/drawingml/2006/main">
                  <a:graphicData uri="http://schemas.microsoft.com/office/word/2010/wordprocessingShape">
                    <wps:wsp>
                      <wps:cNvCnPr>
                        <a:cxnSpLocks noChangeShapeType="1"/>
                      </wps:cNvCnPr>
                      <wps:spPr bwMode="auto">
                        <a:xfrm>
                          <a:off x="0" y="0"/>
                          <a:ext cx="366395" cy="0"/>
                        </a:xfrm>
                        <a:prstGeom prst="straightConnector1">
                          <a:avLst/>
                        </a:prstGeom>
                        <a:noFill/>
                        <a:ln w="9525">
                          <a:solidFill>
                            <a:srgbClr val="000000"/>
                          </a:solidFill>
                          <a:round/>
                          <a:tailEnd type="triangle" w="med" len="med"/>
                        </a:ln>
                      </wps:spPr>
                      <wps:bodyPr/>
                    </wps:wsp>
                  </a:graphicData>
                </a:graphic>
              </wp:anchor>
            </w:drawing>
          </mc:Choice>
          <mc:Fallback>
            <w:pict>
              <v:shape id="AutoShape 14" o:spid="_x0000_s1026" o:spt="32" type="#_x0000_t32" style="position:absolute;left:0pt;margin-left:265.5pt;margin-top:14.5pt;height:0pt;width:28.85pt;z-index:251700224;mso-width-relative:page;mso-height-relative:page;" filled="f" stroked="t" coordsize="21600,21600" o:gfxdata="UEsDBAoAAAAAAIdO4kAAAAAAAAAAAAAAAAAEAAAAZHJzL1BLAwQUAAAACACHTuJA20ns9toAAAAJ&#10;AQAADwAAAGRycy9kb3ducmV2LnhtbE2PT0vDQBDF74LfYRnBm92k0pjGbApaxFwUbEvxuM2O2WB2&#10;NmS3//z0jnjQ0zDzHm9+r1ycXC8OOIbOk4J0koBAarzpqFWwWT/d5CBC1GR07wkVnDHAorq8KHVh&#10;/JHe8LCKreAQCoVWYGMcCilDY9HpMPEDEmsffnQ68jq20oz6yOGul9MkyaTTHfEHqwd8tNh8rvZO&#10;QVy+n222bR7m3ev6+SXrvuq6Xip1fZUm9yAinuKfGX7wGR0qZtr5PZkgegWz25S7RAXTOU82zPL8&#10;DsTu9yCrUv5vUH0DUEsDBBQAAAAIAIdO4kDfY1I68gEAAOIDAAAOAAAAZHJzL2Uyb0RvYy54bWyt&#10;U01vGyEQvVfqf0Dc67Wd2mpWXkeV3fSStpaS/gAM7C4KMGjAXvvfd8AfTdNLDtnDCpiZ9+a9gcXd&#10;wVm21xgN+IZPRmPOtJegjO8a/vvp/tMXzmISXgkLXjf8qCO/W378sBhCrafQg1UaGYH4WA+h4X1K&#10;oa6qKHvtRBxB0J6CLaATibbYVQrFQOjOVtPxeF4NgCogSB0jna5PQX5GxLcAQtsaqdcgd077dEJF&#10;bUUiSbE3IfJl6bZttUy/2jbqxGzDSWkqfyKh9Tb/q+VC1B2K0Bt5bkG8pYVXmpwwnkivUGuRBNuh&#10;+Q/KGYkQoU0jCa46CSmOkIrJ+JU3j70Iumghq2O4mh7fD1b+3G+QGdXw6XjOmReORv51l6Bws8nn&#10;7NAQYk2JK7/BrFEe/GN4APkcmYdVL3ynS/bTMVDxJFdU/5TkTQzEsx1+gKIcQQTFrkOLLkOSEexQ&#10;pnK8TkUfEpN0eDOf39zOOJOXUCXqS13AmL5rcCwvGh4TCtP1aQXe0+gBJ4VF7B9iyl2J+lKQST3c&#10;G2vLDbCeDQ2/nU1npSCCNSoHc1rEbruyyPYi36HyFYkUeZmGsPOqgCVh7DevWCp+JDTkkNU8Mzit&#10;OLOaHl5enVqy/uxXtuhk9hbUcYM5nK2j0Zfez9c0362X+5L192ku/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bSez22gAAAAkBAAAPAAAAAAAAAAEAIAAAACIAAABkcnMvZG93bnJldi54bWxQSwEC&#10;FAAUAAAACACHTuJA32NSOvIBAADiAwAADgAAAAAAAAABACAAAAApAQAAZHJzL2Uyb0RvYy54bWxQ&#10;SwUGAAAAAAYABgBZAQAAjQUAAAAA&#10;">
                <v:fill on="f" focussize="0,0"/>
                <v:stroke color="#000000" joinstyle="round" endarrow="block"/>
                <v:imagedata o:title=""/>
                <o:lock v:ext="edit" aspectratio="f"/>
              </v:shape>
            </w:pict>
          </mc:Fallback>
        </mc:AlternateContent>
      </w:r>
      <w:r>
        <w:rPr>
          <w:sz w:val="24"/>
          <w:highlight w:val="none"/>
        </w:rPr>
        <mc:AlternateContent>
          <mc:Choice Requires="wps">
            <w:drawing>
              <wp:anchor distT="0" distB="0" distL="114300" distR="114300" simplePos="0" relativeHeight="251696128" behindDoc="0" locked="0" layoutInCell="1" allowOverlap="1">
                <wp:simplePos x="0" y="0"/>
                <wp:positionH relativeFrom="column">
                  <wp:posOffset>1036955</wp:posOffset>
                </wp:positionH>
                <wp:positionV relativeFrom="paragraph">
                  <wp:posOffset>176530</wp:posOffset>
                </wp:positionV>
                <wp:extent cx="366395" cy="0"/>
                <wp:effectExtent l="0" t="38100" r="14605" b="38100"/>
                <wp:wrapNone/>
                <wp:docPr id="205" name="AutoShape 15"/>
                <wp:cNvGraphicFramePr/>
                <a:graphic xmlns:a="http://schemas.openxmlformats.org/drawingml/2006/main">
                  <a:graphicData uri="http://schemas.microsoft.com/office/word/2010/wordprocessingShape">
                    <wps:wsp>
                      <wps:cNvCnPr>
                        <a:cxnSpLocks noChangeShapeType="1"/>
                      </wps:cNvCnPr>
                      <wps:spPr bwMode="auto">
                        <a:xfrm>
                          <a:off x="0" y="0"/>
                          <a:ext cx="366395" cy="0"/>
                        </a:xfrm>
                        <a:prstGeom prst="straightConnector1">
                          <a:avLst/>
                        </a:prstGeom>
                        <a:noFill/>
                        <a:ln w="9525">
                          <a:solidFill>
                            <a:srgbClr val="000000"/>
                          </a:solidFill>
                          <a:round/>
                          <a:tailEnd type="triangle" w="med" len="med"/>
                        </a:ln>
                      </wps:spPr>
                      <wps:bodyPr/>
                    </wps:wsp>
                  </a:graphicData>
                </a:graphic>
              </wp:anchor>
            </w:drawing>
          </mc:Choice>
          <mc:Fallback>
            <w:pict>
              <v:shape id="AutoShape 15" o:spid="_x0000_s1026" o:spt="32" type="#_x0000_t32" style="position:absolute;left:0pt;margin-left:81.65pt;margin-top:13.9pt;height:0pt;width:28.85pt;z-index:251696128;mso-width-relative:page;mso-height-relative:page;" filled="f" stroked="t" coordsize="21600,21600" o:gfxdata="UEsDBAoAAAAAAIdO4kAAAAAAAAAAAAAAAAAEAAAAZHJzL1BLAwQUAAAACACHTuJAPDZhOtcAAAAJ&#10;AQAADwAAAGRycy9kb3ducmV2LnhtbE2PT0vEMBDF74LfIYzgzU3bhaq16YIuYi8KuyviMduMTbCZ&#10;lCb7z0/viAc9vjc/3rxXL45+EHucogukIJ9lIJC6YBz1Cl43j1c3IGLSZPQQCBWcMMKiOT+rdWXC&#10;gVa4X6decAjFSiuwKY2VlLGz6HWchRGJbx9h8jqxnHppJn3gcD/IIstK6bUj/mD1iA8Wu8/1zitI&#10;y/eTLd+6+1v3snl6Lt1X27ZLpS4v8uwORMJj+oPhpz5Xh4Y7bcOOTBQD63I+Z1RBcc0TGCiKnMdt&#10;fw3Z1PL/guYbUEsDBBQAAAAIAIdO4kDb8rLx8QEAAOIDAAAOAAAAZHJzL2Uyb0RvYy54bWytU01v&#10;GyEQvVfqf0Dc67Ud2WpWXkeR3fSStpaS/gAM7C4KMGjAXvvfd8AfSdNLDt3DCpiZ9+a9gcXdwVm2&#10;1xgN+IZPRmPOtJegjO8a/vv54ctXzmISXgkLXjf8qCO/W37+tBhCrafQg1UaGYH4WA+h4X1Koa6q&#10;KHvtRBxB0J6CLaATibbYVQrFQOjOVtPxeF4NgCogSB0jna5PQX5GxI8AQtsaqdcgd077dEJFbUUi&#10;SbE3IfJl6bZttUy/2jbqxGzDSWkqfyKh9Tb/q+VC1B2K0Bt5bkF8pIV3mpwwnkivUGuRBNuh+QfK&#10;GYkQoU0jCa46CSmOkIrJ+J03T70Iumghq2O4mh7/H6z8ud8gM6rh0/GMMy8cjfx+l6Bws8ksOzSE&#10;WFPiym8wa5QH/xQeQb5E5mHVC9/pkv18DFQ8yRXVXyV5EwPxbIcfoChHEEGx69Ciy5BkBDuUqRyv&#10;U9GHxCQd3sznN7fUm7yEKlFf6gLG9F2DY3nR8JhQmK5PK/CeRg84KSxi/xhT7krUl4JM6uHBWFtu&#10;gPVsaPjtbDorBRGsUTmY0yJ225VFthf5DpWvSKTI2zSEnVcFLAljv3nFUvEjoSGHrOaZwWnFmdX0&#10;8PLq1JL1Z7+yRSezt6COG8zhbB2NvvR+vqb5br3dl6zXp7n8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Dw2YTrXAAAACQEAAA8AAAAAAAAAAQAgAAAAIgAAAGRycy9kb3ducmV2LnhtbFBLAQIUABQA&#10;AAAIAIdO4kDb8rLx8QEAAOIDAAAOAAAAAAAAAAEAIAAAACYBAABkcnMvZTJvRG9jLnhtbFBLBQYA&#10;AAAABgAGAFkBAACJBQAAAAA=&#10;">
                <v:fill on="f" focussize="0,0"/>
                <v:stroke color="#000000" joinstyle="round" endarrow="block"/>
                <v:imagedata o:title=""/>
                <o:lock v:ext="edit" aspectratio="f"/>
              </v:shape>
            </w:pict>
          </mc:Fallback>
        </mc:AlternateContent>
      </w:r>
      <w:r>
        <w:rPr>
          <w:sz w:val="24"/>
          <w:highlight w:val="none"/>
        </w:rPr>
        <mc:AlternateContent>
          <mc:Choice Requires="wps">
            <w:drawing>
              <wp:anchor distT="0" distB="0" distL="114300" distR="114300" simplePos="0" relativeHeight="251698176" behindDoc="0" locked="0" layoutInCell="1" allowOverlap="1">
                <wp:simplePos x="0" y="0"/>
                <wp:positionH relativeFrom="column">
                  <wp:posOffset>2200275</wp:posOffset>
                </wp:positionH>
                <wp:positionV relativeFrom="paragraph">
                  <wp:posOffset>176530</wp:posOffset>
                </wp:positionV>
                <wp:extent cx="366395" cy="0"/>
                <wp:effectExtent l="0" t="38100" r="14605" b="38100"/>
                <wp:wrapNone/>
                <wp:docPr id="204" name="AutoShape 16"/>
                <wp:cNvGraphicFramePr/>
                <a:graphic xmlns:a="http://schemas.openxmlformats.org/drawingml/2006/main">
                  <a:graphicData uri="http://schemas.microsoft.com/office/word/2010/wordprocessingShape">
                    <wps:wsp>
                      <wps:cNvCnPr>
                        <a:cxnSpLocks noChangeShapeType="1"/>
                      </wps:cNvCnPr>
                      <wps:spPr bwMode="auto">
                        <a:xfrm>
                          <a:off x="0" y="0"/>
                          <a:ext cx="366395" cy="0"/>
                        </a:xfrm>
                        <a:prstGeom prst="straightConnector1">
                          <a:avLst/>
                        </a:prstGeom>
                        <a:noFill/>
                        <a:ln w="9525">
                          <a:solidFill>
                            <a:srgbClr val="000000"/>
                          </a:solidFill>
                          <a:round/>
                          <a:tailEnd type="triangle" w="med" len="med"/>
                        </a:ln>
                      </wps:spPr>
                      <wps:bodyPr/>
                    </wps:wsp>
                  </a:graphicData>
                </a:graphic>
              </wp:anchor>
            </w:drawing>
          </mc:Choice>
          <mc:Fallback>
            <w:pict>
              <v:shape id="AutoShape 16" o:spid="_x0000_s1026" o:spt="32" type="#_x0000_t32" style="position:absolute;left:0pt;margin-left:173.25pt;margin-top:13.9pt;height:0pt;width:28.85pt;z-index:251698176;mso-width-relative:page;mso-height-relative:page;" filled="f" stroked="t" coordsize="21600,21600" o:gfxdata="UEsDBAoAAAAAAIdO4kAAAAAAAAAAAAAAAAAEAAAAZHJzL1BLAwQUAAAACACHTuJAsMKaPtkAAAAJ&#10;AQAADwAAAGRycy9kb3ducmV2LnhtbE2Py07DMBBF90j8gzVI7KjdEFIIcSpBhcimSLQVYunGQ2wR&#10;j6PYffH1GLGA5cwc3Tm3mh9dz/Y4ButJwnQigCG1XlvqJGzWT1e3wEJUpFXvCSWcMMC8Pj+rVKn9&#10;gV5xv4odSyEUSiXBxDiUnIfWoFNh4gekdPvwo1MxjWPH9agOKdz1PBOi4E5ZSh+MGvDRYPu52jkJ&#10;cfF+MsVb+3BnX9bPy8J+NU2zkPLyYirugUU8xj8YfvSTOtTJaet3pAPrJVznxU1CJWSzVCEBucgz&#10;YNvfBa8r/r9B/Q1QSwMEFAAAAAgAh07iQAH1M2/yAQAA4gMAAA4AAABkcnMvZTJvRG9jLnhtbK1T&#10;TW8bIRC9V+p/QNzrtZ3aalZeR5Xd9JK2lpL+AAzsLgowaMBe+993wB9N00sO2cMKmJn35r2Bxd3B&#10;WbbXGA34hk9GY860l6CM7xr+++n+0xfOYhJeCQteN/yoI79bfvywGEKtp9CDVRoZgfhYD6HhfUqh&#10;rqooe+1EHEHQnoItoBOJtthVCsVA6M5W0/F4Xg2AKiBIHSOdrk9BfkbEtwBC2xqp1yB3Tvt0QkVt&#10;RSJJsTch8mXptm21TL/aNurEbMNJaSp/IqH1Nv+r5ULUHYrQG3luQbylhVeanDCeSK9Qa5EE26H5&#10;D8oZiRChTSMJrjoJKY6Qisn4lTePvQi6aCGrY7iaHt8PVv7cb5AZ1fDp+DNnXjga+dddgsLNJvPs&#10;0BBiTYkrv8GsUR78Y3gA+RyZh1UvfKdL9tMxUPEkV1T/lORNDMSzHX6AohxBBMWuQ4suQ5IR7FCm&#10;crxORR8Sk3R4M5/f3M44k5dQJepLXcCYvmtwLC8aHhMK0/VpBd7T6AEnhUXsH2LKXYn6UpBJPdwb&#10;a8sNsJ4NDb+dTWelIII1KgdzWsRuu7LI9iLfofIViRR5mYaw86qAJWHsN69YKn4kNOSQ1TwzOK04&#10;s5oeXl6dWrL+7Fe26GT2FtRxgzmcraPRl97P1zTfrZf7kvX3aS7/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LDCmj7ZAAAACQEAAA8AAAAAAAAAAQAgAAAAIgAAAGRycy9kb3ducmV2LnhtbFBLAQIU&#10;ABQAAAAIAIdO4kAB9TNv8gEAAOIDAAAOAAAAAAAAAAEAIAAAACgBAABkcnMvZTJvRG9jLnhtbFBL&#10;BQYAAAAABgAGAFkBAACMBQAAAAA=&#10;">
                <v:fill on="f" focussize="0,0"/>
                <v:stroke color="#000000" joinstyle="round" endarrow="block"/>
                <v:imagedata o:title=""/>
                <o:lock v:ext="edit" aspectratio="f"/>
              </v:shape>
            </w:pict>
          </mc:Fallback>
        </mc:AlternateContent>
      </w:r>
      <w:r>
        <w:rPr>
          <w:sz w:val="24"/>
          <w:highlight w:val="none"/>
        </w:rPr>
        <mc:AlternateContent>
          <mc:Choice Requires="wps">
            <w:drawing>
              <wp:anchor distT="0" distB="0" distL="114300" distR="114300" simplePos="0" relativeHeight="251699200" behindDoc="0" locked="0" layoutInCell="1" allowOverlap="1">
                <wp:simplePos x="0" y="0"/>
                <wp:positionH relativeFrom="column">
                  <wp:posOffset>2581275</wp:posOffset>
                </wp:positionH>
                <wp:positionV relativeFrom="paragraph">
                  <wp:posOffset>29210</wp:posOffset>
                </wp:positionV>
                <wp:extent cx="790575" cy="287655"/>
                <wp:effectExtent l="5080" t="4445" r="4445" b="12700"/>
                <wp:wrapNone/>
                <wp:docPr id="203" name="Rectangle 17"/>
                <wp:cNvGraphicFramePr/>
                <a:graphic xmlns:a="http://schemas.openxmlformats.org/drawingml/2006/main">
                  <a:graphicData uri="http://schemas.microsoft.com/office/word/2010/wordprocessingShape">
                    <wps:wsp>
                      <wps:cNvSpPr>
                        <a:spLocks noChangeArrowheads="1"/>
                      </wps:cNvSpPr>
                      <wps:spPr bwMode="auto">
                        <a:xfrm>
                          <a:off x="0" y="0"/>
                          <a:ext cx="790575" cy="287655"/>
                        </a:xfrm>
                        <a:prstGeom prst="rect">
                          <a:avLst/>
                        </a:prstGeom>
                        <a:solidFill>
                          <a:srgbClr val="FFFFFF"/>
                        </a:solidFill>
                        <a:ln w="9525">
                          <a:solidFill>
                            <a:srgbClr val="000000"/>
                          </a:solidFill>
                          <a:miter lim="800000"/>
                        </a:ln>
                      </wps:spPr>
                      <wps:txbx>
                        <w:txbxContent>
                          <w:p>
                            <w:r>
                              <w:rPr>
                                <w:rFonts w:hint="eastAsia"/>
                              </w:rPr>
                              <w:t>化粪池0.16</w:t>
                            </w:r>
                          </w:p>
                        </w:txbxContent>
                      </wps:txbx>
                      <wps:bodyPr rot="0" vert="horz" wrap="square" lIns="0" tIns="45720" rIns="0" bIns="45720" anchor="t" anchorCtr="0" upright="1">
                        <a:noAutofit/>
                      </wps:bodyPr>
                    </wps:wsp>
                  </a:graphicData>
                </a:graphic>
              </wp:anchor>
            </w:drawing>
          </mc:Choice>
          <mc:Fallback>
            <w:pict>
              <v:rect id="Rectangle 17" o:spid="_x0000_s1026" o:spt="1" style="position:absolute;left:0pt;margin-left:203.25pt;margin-top:2.3pt;height:22.65pt;width:62.25pt;z-index:251699200;mso-width-relative:page;mso-height-relative:page;" fillcolor="#FFFFFF" filled="t" stroked="t" coordsize="21600,21600" o:gfxdata="UEsDBAoAAAAAAIdO4kAAAAAAAAAAAAAAAAAEAAAAZHJzL1BLAwQUAAAACACHTuJAZ+QegNYAAAAI&#10;AQAADwAAAGRycy9kb3ducmV2LnhtbE2PwU7DMBBE70j8g7VI3KgdoFGbxukBqUIq5UDoB7jxNo6I&#10;11HspOXvWU5w29GMZt+U26vvxYxj7AJpyBYKBFITbEethuPn7mEFIiZD1vSBUMM3RthWtzelKWy4&#10;0AfOdWoFl1AsjAaX0lBIGRuH3sRFGJDYO4fRm8RybKUdzYXLfS8flcqlNx3xB2cGfHHYfNWT19DM&#10;fvU6vtPbbj9Mx7B3B1tnB63v7zK1AZHwmv7C8IvP6FAx0ylMZKPoNTyrfMlRPnIQ7C+fMt52Yr1e&#10;g6xK+X9A9QNQSwMEFAAAAAgAh07iQKPjpaQsAgAAdwQAAA4AAABkcnMvZTJvRG9jLnhtbK1UwW7b&#10;MAy9D9g/CLovdrK5aY04RZEgw4BuLdbtAxRZjoVJokYpcbqvHy07Xdrt0MN8EEiJenp8JL24PlrD&#10;DgqDBlfx6STnTDkJtXa7in//tnl3yVmIwtXCgFMVf1SBXy/fvll0vlQzaMHUChmBuFB2vuJtjL7M&#10;siBbZUWYgFeODhtAKyK5uMtqFB2hW5PN8vwi6wBrjyBVCLS7Hg75iIivAYSm0VKtQe6tcnFARWVE&#10;pJRCq33gy8S2aZSMd00TVGSm4pRpTCs9Qva2X7PlQpQ7FL7VcqQgXkPhRU5WaEePPkGtRRRsj/ov&#10;KKslQoAmTiTYbEgkKUJZTPMX2jy0wquUC0kd/JPo4f/Byi+He2S6rvgsf8+ZE5ZK/pVkE25nFJvO&#10;e4U6H0oKfPD32OcY/C3IH4E5WLUUpm4QoWuVqInXtI/Pnl3onUBX2bb7DDXBi32EJNaxQdsDkgzs&#10;mGry+FQTdYxM0ub8Ki/mBWeSjmaX84uiSC+I8nTZY4gfFVjWGxVH4p7AxeE2xJ6MKE8hiTwYXW+0&#10;McnB3XZlkB0EtccmfSN6OA8zjnUVvypmRUJ+dhbOIfL0/QvC6khTY7St+OV5kHGjXL1Cg9LxuD2O&#10;om+hfiThEIa+paklowX8xVlHPVvx8HMvUHFmPjkSv2/wZHwo5jNy8LS7Pd8VThJExSNng7mKw0Ds&#10;PepdSy9MU5oObqhQjU4i9kUc2Ix8qR+TtuPs9A1/7qeoP/+L5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n5B6A1gAAAAgBAAAPAAAAAAAAAAEAIAAAACIAAABkcnMvZG93bnJldi54bWxQSwECFAAU&#10;AAAACACHTuJAo+OlpCwCAAB3BAAADgAAAAAAAAABACAAAAAlAQAAZHJzL2Uyb0RvYy54bWxQSwUG&#10;AAAAAAYABgBZAQAAwwUAAAAA&#10;">
                <v:fill on="t" focussize="0,0"/>
                <v:stroke color="#000000" miterlimit="8" joinstyle="miter"/>
                <v:imagedata o:title=""/>
                <o:lock v:ext="edit" aspectratio="f"/>
                <v:textbox inset="0mm,1.27mm,0mm,1.27mm">
                  <w:txbxContent>
                    <w:p>
                      <w:r>
                        <w:rPr>
                          <w:rFonts w:hint="eastAsia"/>
                        </w:rPr>
                        <w:t>化粪池0.16</w:t>
                      </w:r>
                    </w:p>
                  </w:txbxContent>
                </v:textbox>
              </v:rect>
            </w:pict>
          </mc:Fallback>
        </mc:AlternateContent>
      </w:r>
      <w:r>
        <w:rPr>
          <w:sz w:val="24"/>
          <w:highlight w:val="none"/>
        </w:rPr>
        <mc:AlternateContent>
          <mc:Choice Requires="wps">
            <w:drawing>
              <wp:anchor distT="0" distB="0" distL="114300" distR="114300" simplePos="0" relativeHeight="251697152" behindDoc="0" locked="0" layoutInCell="1" allowOverlap="1">
                <wp:simplePos x="0" y="0"/>
                <wp:positionH relativeFrom="column">
                  <wp:posOffset>1403350</wp:posOffset>
                </wp:positionH>
                <wp:positionV relativeFrom="paragraph">
                  <wp:posOffset>29210</wp:posOffset>
                </wp:positionV>
                <wp:extent cx="790575" cy="287655"/>
                <wp:effectExtent l="5080" t="4445" r="4445" b="12700"/>
                <wp:wrapNone/>
                <wp:docPr id="202" name="Rectangle 18"/>
                <wp:cNvGraphicFramePr/>
                <a:graphic xmlns:a="http://schemas.openxmlformats.org/drawingml/2006/main">
                  <a:graphicData uri="http://schemas.microsoft.com/office/word/2010/wordprocessingShape">
                    <wps:wsp>
                      <wps:cNvSpPr>
                        <a:spLocks noChangeArrowheads="1"/>
                      </wps:cNvSpPr>
                      <wps:spPr bwMode="auto">
                        <a:xfrm>
                          <a:off x="0" y="0"/>
                          <a:ext cx="790575" cy="287655"/>
                        </a:xfrm>
                        <a:prstGeom prst="rect">
                          <a:avLst/>
                        </a:prstGeom>
                        <a:solidFill>
                          <a:srgbClr val="FFFFFF"/>
                        </a:solidFill>
                        <a:ln w="9525">
                          <a:solidFill>
                            <a:srgbClr val="000000"/>
                          </a:solidFill>
                          <a:miter lim="800000"/>
                        </a:ln>
                      </wps:spPr>
                      <wps:txbx>
                        <w:txbxContent>
                          <w:p>
                            <w:r>
                              <w:rPr>
                                <w:rFonts w:hint="eastAsia"/>
                              </w:rPr>
                              <w:t>生活用水0.2</w:t>
                            </w:r>
                          </w:p>
                        </w:txbxContent>
                      </wps:txbx>
                      <wps:bodyPr rot="0" vert="horz" wrap="square" lIns="0" tIns="45720" rIns="0" bIns="45720" anchor="t" anchorCtr="0" upright="1">
                        <a:noAutofit/>
                      </wps:bodyPr>
                    </wps:wsp>
                  </a:graphicData>
                </a:graphic>
              </wp:anchor>
            </w:drawing>
          </mc:Choice>
          <mc:Fallback>
            <w:pict>
              <v:rect id="Rectangle 18" o:spid="_x0000_s1026" o:spt="1" style="position:absolute;left:0pt;margin-left:110.5pt;margin-top:2.3pt;height:22.65pt;width:62.25pt;z-index:251697152;mso-width-relative:page;mso-height-relative:page;" fillcolor="#FFFFFF" filled="t" stroked="t" coordsize="21600,21600" o:gfxdata="UEsDBAoAAAAAAIdO4kAAAAAAAAAAAAAAAAAEAAAAZHJzL1BLAwQUAAAACACHTuJAEKhM49cAAAAI&#10;AQAADwAAAGRycy9kb3ducmV2LnhtbE2PwU7DMBBE70j8g7VI3KiT0FZtiNMDUoVUyoHQD3DjJY6I&#10;15HtpOXvWU5wHM1o5k21u7pBzBhi70lBvshAILXe9NQpOH3sHzYgYtJk9OAJFXxjhF19e1Pp0vgL&#10;vePcpE5wCcVSK7ApjaWUsbXodFz4EYm9Tx+cTixDJ03QFy53gyyybC2d7okXrB7x2WL71UxOQTu7&#10;zUt4o9f9YZxO/mCPpsmPSt3f5dkTiITX9BeGX3xGh5qZzn4iE8WgoChy/pIULNcg2H9crlYgzqy3&#10;W5B1Jf8fqH8AUEsDBBQAAAAIAIdO4kAnlGJcLAIAAHcEAAAOAAAAZHJzL2Uyb0RvYy54bWytVMFu&#10;2zAMvQ/YPwi6L3aMuUmNOkXRosOAbivW7QMUWY6FSaJGKXGyrx8tO1na7dDDfBBIiXp6fCR9db23&#10;hu0UBg2u5vNZzplyEhrtNjX//u3+3ZKzEIVrhAGnan5QgV+v3r656n2lCujANAoZgbhQ9b7mXYy+&#10;yrIgO2VFmIFXjg5bQCsiubjJGhQ9oVuTFXl+kfWAjUeQKgTavRsP+YSIrwGEttVS3YHcWuXiiIrK&#10;iEgphU77wFeJbdsqGb+0bVCRmZpTpjGt9AjZ62HNVlei2qDwnZYTBfEaCi9yskI7evQEdSeiYFvU&#10;f0FZLRECtHEmwWZjIkkRymKev9DmqRNepVxI6uBPoof/Bys/7x6R6abmRV5w5oSlkn8l2YTbGMXm&#10;y0Gh3oeKAp/8Iw45Bv8A8kdgDm47ClM3iNB3SjTEaz7EZ88uDE6gq2zdf4KG4MU2QhJr36IdAEkG&#10;tk81OZxqovaRSdpcXOblouRM0lGxXFyUZXpBVMfLHkP8oMCywag5EvcELnYPIQ5kRHUMSeTB6OZe&#10;G5Mc3KxvDbKdoPa4T9+EHs7DjGN9zS/LokzIz87COUSevn9BWB1paoy2NV+eBxk3yTUoNCod9+v9&#10;JPoamgMJhzD2LU0tGR3gL8566tmah59bgYoz89GR+EODJ+N9uSjIwePu+nxXOEkQNY+cjeZtHAdi&#10;61FvOnphntJ0cEOFanUScSjiyGbiS/2YtJ1mZ2j4cz9F/flfr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EKhM49cAAAAIAQAADwAAAAAAAAABACAAAAAiAAAAZHJzL2Rvd25yZXYueG1sUEsBAhQA&#10;FAAAAAgAh07iQCeUYlwsAgAAdwQAAA4AAAAAAAAAAQAgAAAAJgEAAGRycy9lMm9Eb2MueG1sUEsF&#10;BgAAAAAGAAYAWQEAAMQFAAAAAA==&#10;">
                <v:fill on="t" focussize="0,0"/>
                <v:stroke color="#000000" miterlimit="8" joinstyle="miter"/>
                <v:imagedata o:title=""/>
                <o:lock v:ext="edit" aspectratio="f"/>
                <v:textbox inset="0mm,1.27mm,0mm,1.27mm">
                  <w:txbxContent>
                    <w:p>
                      <w:r>
                        <w:rPr>
                          <w:rFonts w:hint="eastAsia"/>
                        </w:rPr>
                        <w:t>生活用水0.2</w:t>
                      </w:r>
                    </w:p>
                  </w:txbxContent>
                </v:textbox>
              </v:rect>
            </w:pict>
          </mc:Fallback>
        </mc:AlternateContent>
      </w:r>
      <w:r>
        <w:rPr>
          <w:sz w:val="24"/>
          <w:highlight w:val="none"/>
        </w:rPr>
        <mc:AlternateContent>
          <mc:Choice Requires="wps">
            <w:drawing>
              <wp:anchor distT="0" distB="0" distL="114300" distR="114300" simplePos="0" relativeHeight="251695104" behindDoc="0" locked="0" layoutInCell="1" allowOverlap="1">
                <wp:simplePos x="0" y="0"/>
                <wp:positionH relativeFrom="column">
                  <wp:posOffset>246380</wp:posOffset>
                </wp:positionH>
                <wp:positionV relativeFrom="paragraph">
                  <wp:posOffset>29210</wp:posOffset>
                </wp:positionV>
                <wp:extent cx="790575" cy="287655"/>
                <wp:effectExtent l="5080" t="4445" r="4445" b="12700"/>
                <wp:wrapNone/>
                <wp:docPr id="201" name="Rectangle 19"/>
                <wp:cNvGraphicFramePr/>
                <a:graphic xmlns:a="http://schemas.openxmlformats.org/drawingml/2006/main">
                  <a:graphicData uri="http://schemas.microsoft.com/office/word/2010/wordprocessingShape">
                    <wps:wsp>
                      <wps:cNvSpPr>
                        <a:spLocks noChangeArrowheads="1"/>
                      </wps:cNvSpPr>
                      <wps:spPr bwMode="auto">
                        <a:xfrm>
                          <a:off x="0" y="0"/>
                          <a:ext cx="790575" cy="287655"/>
                        </a:xfrm>
                        <a:prstGeom prst="rect">
                          <a:avLst/>
                        </a:prstGeom>
                        <a:solidFill>
                          <a:srgbClr val="FFFFFF"/>
                        </a:solidFill>
                        <a:ln w="9525">
                          <a:solidFill>
                            <a:srgbClr val="000000"/>
                          </a:solidFill>
                          <a:miter lim="800000"/>
                        </a:ln>
                      </wps:spPr>
                      <wps:txbx>
                        <w:txbxContent>
                          <w:p>
                            <w:r>
                              <w:rPr>
                                <w:rFonts w:hint="eastAsia"/>
                              </w:rPr>
                              <w:t>新水0.2</w:t>
                            </w:r>
                          </w:p>
                        </w:txbxContent>
                      </wps:txbx>
                      <wps:bodyPr rot="0" vert="horz" wrap="square" lIns="91440" tIns="45720" rIns="91440" bIns="45720" anchor="t" anchorCtr="0" upright="1">
                        <a:noAutofit/>
                      </wps:bodyPr>
                    </wps:wsp>
                  </a:graphicData>
                </a:graphic>
              </wp:anchor>
            </w:drawing>
          </mc:Choice>
          <mc:Fallback>
            <w:pict>
              <v:rect id="Rectangle 19" o:spid="_x0000_s1026" o:spt="1" style="position:absolute;left:0pt;margin-left:19.4pt;margin-top:2.3pt;height:22.65pt;width:62.25pt;z-index:251695104;mso-width-relative:page;mso-height-relative:page;" fillcolor="#FFFFFF" filled="t" stroked="t" coordsize="21600,21600" o:gfxdata="UEsDBAoAAAAAAIdO4kAAAAAAAAAAAAAAAAAEAAAAZHJzL1BLAwQUAAAACACHTuJAcc5Z2tQAAAAH&#10;AQAADwAAAGRycy9kb3ducmV2LnhtbE3OMU/DMBAF4B2J/2AdEhu126CoCXE6gIrE2KYL2yU+kkB8&#10;jmKnDfx63AnGp3d69xW7xQ7iTJPvHWtYrxQI4saZnlsNp2r/sAXhA7LBwTFp+CYPu/L2psDcuAsf&#10;6HwMrYgj7HPU0IUw5lL6piOLfuVG4th9uMliiHFqpZnwEsftIDdKpdJiz/FDhyM9d9R8HWeroe43&#10;J/w5VK/KZvskvC3V5/z+ovX93Vo9gQi0hL9juPIjHcpoqt3MxotBQ7KN8qDhMQVxrdMkAVHHnGUg&#10;y0L+95e/UEsDBBQAAAAIAIdO4kBrwiPxLwIAAH8EAAAOAAAAZHJzL2Uyb0RvYy54bWytVMFu2zAM&#10;vQ/YPwi6r06CuEmMOkXRoMOAbiva7QNkWY6FSaJGKXGyrx8tu1na7dDDfBBEkXp8fKR8dX2whu0V&#10;Bg2u5NOLCWfKSai125b8+7e7D0vOQhSuFgacKvlRBX69fv/uqvOFmkELplbICMSFovMlb2P0RZYF&#10;2SorwgV45cjZAFoRycRtVqPoCN2abDaZXGYdYO0RpAqBTjeDk4+I+BZAaBot1QbkzioXB1RURkQq&#10;KbTaB75ObJtGyfi1aYKKzJScKo1ppSS0r/o1W1+JYovCt1qOFMRbKLyqyQrtKOkJaiOiYDvUf0FZ&#10;LRECNPFCgs2GQpIiVMV08kqbp1Z4lWohqYM/iR7+H6z8sn9ApuuSU37OnLDU8keSTbitUWy66hXq&#10;fCgo8Mk/YF9j8PcgfwTm4LalMHWDCF2rRE28pn189uJCbwS6yqruM9QEL3YRkliHBm0PSDKwQ+rJ&#10;8dQTdYhM0uFiNckXOWeSXLPl4jLPUwZRPF/2GOJHBZb1m5IjcU/gYn8fYk9GFM8hiTwYXd9pY5KB&#10;2+rWINsLGo+79I3o4TzMONaVfJXP8oT8whfOISbp+xeE1ZFejdG25MvzIONGuXqFBqXjoTqMoldQ&#10;H0k4hGFu6dXSpgX8xVlHM1vy8HMnUHFmPjkSfzWdz/shT8Y8X8zIwHNPde4RThJUySNnw/Y2Dg9j&#10;51FvW8o0TeU6uKGGNTqJ2TdzYDXyprlMGo9vqB/8cztF/flvrH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cc5Z2tQAAAAHAQAADwAAAAAAAAABACAAAAAiAAAAZHJzL2Rvd25yZXYueG1sUEsBAhQA&#10;FAAAAAgAh07iQGvCI/EvAgAAfwQAAA4AAAAAAAAAAQAgAAAAIwEAAGRycy9lMm9Eb2MueG1sUEsF&#10;BgAAAAAGAAYAWQEAAMQFAAAAAA==&#10;">
                <v:fill on="t" focussize="0,0"/>
                <v:stroke color="#000000" miterlimit="8" joinstyle="miter"/>
                <v:imagedata o:title=""/>
                <o:lock v:ext="edit" aspectratio="f"/>
                <v:textbox>
                  <w:txbxContent>
                    <w:p>
                      <w:r>
                        <w:rPr>
                          <w:rFonts w:hint="eastAsia"/>
                        </w:rPr>
                        <w:t>新水0.2</w:t>
                      </w:r>
                    </w:p>
                  </w:txbxContent>
                </v:textbox>
              </v:rect>
            </w:pict>
          </mc:Fallback>
        </mc:AlternateContent>
      </w:r>
    </w:p>
    <w:p>
      <w:pPr>
        <w:spacing w:line="480" w:lineRule="exact"/>
        <w:ind w:firstLine="479" w:firstLineChars="199"/>
        <w:jc w:val="center"/>
        <w:rPr>
          <w:b/>
          <w:sz w:val="24"/>
          <w:highlight w:val="none"/>
        </w:rPr>
      </w:pPr>
    </w:p>
    <w:p>
      <w:pPr>
        <w:spacing w:line="480" w:lineRule="exact"/>
        <w:ind w:firstLine="479" w:firstLineChars="199"/>
        <w:jc w:val="center"/>
        <w:rPr>
          <w:b/>
          <w:sz w:val="24"/>
          <w:highlight w:val="none"/>
        </w:rPr>
      </w:pPr>
      <w:r>
        <w:rPr>
          <w:b/>
          <w:sz w:val="24"/>
          <w:highlight w:val="none"/>
        </w:rPr>
        <w:t>图</w:t>
      </w:r>
      <w:r>
        <w:rPr>
          <w:rFonts w:hint="eastAsia"/>
          <w:b/>
          <w:sz w:val="24"/>
          <w:highlight w:val="none"/>
        </w:rPr>
        <w:t>2</w:t>
      </w:r>
      <w:r>
        <w:rPr>
          <w:b/>
          <w:sz w:val="24"/>
          <w:highlight w:val="none"/>
        </w:rPr>
        <w:t>.</w:t>
      </w:r>
      <w:r>
        <w:rPr>
          <w:rFonts w:hint="eastAsia"/>
          <w:b/>
          <w:sz w:val="24"/>
          <w:highlight w:val="none"/>
        </w:rPr>
        <w:t>13</w:t>
      </w:r>
      <w:r>
        <w:rPr>
          <w:b/>
          <w:sz w:val="24"/>
          <w:highlight w:val="none"/>
        </w:rPr>
        <w:t>-1  项目水平衡一览表  m</w:t>
      </w:r>
      <w:r>
        <w:rPr>
          <w:b/>
          <w:sz w:val="24"/>
          <w:highlight w:val="none"/>
          <w:vertAlign w:val="superscript"/>
        </w:rPr>
        <w:t>3</w:t>
      </w:r>
      <w:r>
        <w:rPr>
          <w:b/>
          <w:sz w:val="24"/>
          <w:highlight w:val="none"/>
        </w:rPr>
        <w:t>/d</w:t>
      </w:r>
    </w:p>
    <w:p>
      <w:pPr>
        <w:spacing w:line="480" w:lineRule="exact"/>
        <w:ind w:firstLine="477" w:firstLineChars="199"/>
        <w:rPr>
          <w:bCs/>
          <w:sz w:val="24"/>
          <w:highlight w:val="none"/>
        </w:rPr>
      </w:pPr>
      <w:r>
        <w:rPr>
          <w:bCs/>
          <w:sz w:val="24"/>
          <w:highlight w:val="none"/>
        </w:rPr>
        <w:t>（</w:t>
      </w:r>
      <w:r>
        <w:rPr>
          <w:rFonts w:hint="eastAsia"/>
          <w:bCs/>
          <w:sz w:val="24"/>
          <w:highlight w:val="none"/>
          <w:lang w:val="en-US" w:eastAsia="zh-CN"/>
        </w:rPr>
        <w:t>2</w:t>
      </w:r>
      <w:r>
        <w:rPr>
          <w:bCs/>
          <w:sz w:val="24"/>
          <w:highlight w:val="none"/>
        </w:rPr>
        <w:t>）水电站用水</w:t>
      </w:r>
      <w:r>
        <w:rPr>
          <w:rFonts w:hint="eastAsia"/>
          <w:bCs/>
          <w:sz w:val="24"/>
          <w:highlight w:val="none"/>
          <w:lang w:eastAsia="zh-CN"/>
        </w:rPr>
        <w:t>：</w:t>
      </w:r>
      <w:r>
        <w:rPr>
          <w:bCs/>
          <w:sz w:val="24"/>
          <w:highlight w:val="none"/>
        </w:rPr>
        <w:t>据设计，年取水量（发电）约为</w:t>
      </w:r>
      <w:r>
        <w:rPr>
          <w:rFonts w:hint="eastAsia"/>
          <w:sz w:val="24"/>
          <w:highlight w:val="none"/>
          <w:lang w:val="en-US" w:eastAsia="zh-CN"/>
        </w:rPr>
        <w:t>59004.54</w:t>
      </w:r>
      <w:r>
        <w:rPr>
          <w:bCs/>
          <w:sz w:val="24"/>
          <w:highlight w:val="none"/>
        </w:rPr>
        <w:t>万m</w:t>
      </w:r>
      <w:r>
        <w:rPr>
          <w:bCs/>
          <w:sz w:val="24"/>
          <w:highlight w:val="none"/>
          <w:vertAlign w:val="superscript"/>
        </w:rPr>
        <w:t>3</w:t>
      </w:r>
      <w:r>
        <w:rPr>
          <w:bCs/>
          <w:sz w:val="24"/>
          <w:highlight w:val="none"/>
        </w:rPr>
        <w:t>/a。</w:t>
      </w:r>
    </w:p>
    <w:p>
      <w:pPr>
        <w:spacing w:line="480" w:lineRule="exact"/>
        <w:ind w:firstLine="480" w:firstLineChars="200"/>
        <w:jc w:val="left"/>
        <w:rPr>
          <w:bCs/>
          <w:sz w:val="24"/>
          <w:highlight w:val="none"/>
        </w:rPr>
      </w:pPr>
      <w:r>
        <w:rPr>
          <w:bCs/>
          <w:sz w:val="24"/>
          <w:highlight w:val="none"/>
        </w:rPr>
        <w:t>本项目用水、排水情况见表</w:t>
      </w:r>
      <w:r>
        <w:rPr>
          <w:rFonts w:hint="eastAsia"/>
          <w:bCs/>
          <w:sz w:val="24"/>
          <w:highlight w:val="none"/>
        </w:rPr>
        <w:t>2</w:t>
      </w:r>
      <w:r>
        <w:rPr>
          <w:bCs/>
          <w:sz w:val="24"/>
          <w:highlight w:val="none"/>
        </w:rPr>
        <w:t>.</w:t>
      </w:r>
      <w:r>
        <w:rPr>
          <w:rFonts w:hint="eastAsia"/>
          <w:bCs/>
          <w:sz w:val="24"/>
          <w:highlight w:val="none"/>
        </w:rPr>
        <w:t>1</w:t>
      </w:r>
      <w:r>
        <w:rPr>
          <w:rFonts w:hint="eastAsia"/>
          <w:bCs/>
          <w:sz w:val="24"/>
          <w:highlight w:val="none"/>
          <w:lang w:val="en-US" w:eastAsia="zh-CN"/>
        </w:rPr>
        <w:t>3</w:t>
      </w:r>
      <w:r>
        <w:rPr>
          <w:bCs/>
          <w:sz w:val="24"/>
          <w:highlight w:val="none"/>
        </w:rPr>
        <w:t>-1。</w:t>
      </w:r>
    </w:p>
    <w:p>
      <w:pPr>
        <w:spacing w:line="480" w:lineRule="exact"/>
        <w:ind w:firstLine="482" w:firstLineChars="200"/>
        <w:jc w:val="center"/>
        <w:rPr>
          <w:b/>
          <w:sz w:val="24"/>
          <w:highlight w:val="none"/>
        </w:rPr>
      </w:pPr>
      <w:r>
        <w:rPr>
          <w:b/>
          <w:sz w:val="24"/>
          <w:highlight w:val="none"/>
        </w:rPr>
        <w:t>表</w:t>
      </w:r>
      <w:r>
        <w:rPr>
          <w:rFonts w:hint="eastAsia"/>
          <w:b/>
          <w:sz w:val="24"/>
          <w:highlight w:val="none"/>
        </w:rPr>
        <w:t>2</w:t>
      </w:r>
      <w:r>
        <w:rPr>
          <w:b/>
          <w:sz w:val="24"/>
          <w:highlight w:val="none"/>
        </w:rPr>
        <w:t>.</w:t>
      </w:r>
      <w:r>
        <w:rPr>
          <w:rFonts w:hint="eastAsia"/>
          <w:b/>
          <w:sz w:val="24"/>
          <w:highlight w:val="none"/>
        </w:rPr>
        <w:t>1</w:t>
      </w:r>
      <w:r>
        <w:rPr>
          <w:rFonts w:hint="eastAsia"/>
          <w:b/>
          <w:sz w:val="24"/>
          <w:highlight w:val="none"/>
          <w:lang w:val="en-US" w:eastAsia="zh-CN"/>
        </w:rPr>
        <w:t>3</w:t>
      </w:r>
      <w:r>
        <w:rPr>
          <w:b/>
          <w:sz w:val="24"/>
          <w:highlight w:val="none"/>
        </w:rPr>
        <w:t>-1  用水、排水情况表</w:t>
      </w:r>
    </w:p>
    <w:tbl>
      <w:tblPr>
        <w:tblStyle w:val="51"/>
        <w:tblW w:w="512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4"/>
        <w:gridCol w:w="1732"/>
        <w:gridCol w:w="895"/>
        <w:gridCol w:w="1224"/>
        <w:gridCol w:w="1379"/>
        <w:gridCol w:w="27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420" w:type="pct"/>
            <w:vAlign w:val="center"/>
          </w:tcPr>
          <w:p>
            <w:pPr>
              <w:spacing w:line="300" w:lineRule="exact"/>
              <w:jc w:val="center"/>
              <w:rPr>
                <w:szCs w:val="21"/>
                <w:highlight w:val="none"/>
              </w:rPr>
            </w:pPr>
            <w:r>
              <w:rPr>
                <w:szCs w:val="21"/>
                <w:highlight w:val="none"/>
              </w:rPr>
              <w:t>序号</w:t>
            </w:r>
          </w:p>
        </w:tc>
        <w:tc>
          <w:tcPr>
            <w:tcW w:w="991" w:type="pct"/>
            <w:vAlign w:val="center"/>
          </w:tcPr>
          <w:p>
            <w:pPr>
              <w:spacing w:line="300" w:lineRule="exact"/>
              <w:jc w:val="center"/>
              <w:rPr>
                <w:szCs w:val="21"/>
                <w:highlight w:val="none"/>
              </w:rPr>
            </w:pPr>
            <w:r>
              <w:rPr>
                <w:szCs w:val="21"/>
                <w:highlight w:val="none"/>
              </w:rPr>
              <w:t>用水项目</w:t>
            </w:r>
          </w:p>
        </w:tc>
        <w:tc>
          <w:tcPr>
            <w:tcW w:w="512" w:type="pct"/>
            <w:vAlign w:val="center"/>
          </w:tcPr>
          <w:p>
            <w:pPr>
              <w:spacing w:line="300" w:lineRule="exact"/>
              <w:jc w:val="center"/>
              <w:rPr>
                <w:szCs w:val="21"/>
                <w:highlight w:val="none"/>
              </w:rPr>
            </w:pPr>
            <w:r>
              <w:rPr>
                <w:szCs w:val="21"/>
                <w:highlight w:val="none"/>
              </w:rPr>
              <w:t>数量</w:t>
            </w:r>
          </w:p>
        </w:tc>
        <w:tc>
          <w:tcPr>
            <w:tcW w:w="700" w:type="pct"/>
            <w:vAlign w:val="center"/>
          </w:tcPr>
          <w:p>
            <w:pPr>
              <w:spacing w:line="300" w:lineRule="exact"/>
              <w:jc w:val="center"/>
              <w:rPr>
                <w:szCs w:val="21"/>
                <w:highlight w:val="none"/>
              </w:rPr>
            </w:pPr>
            <w:r>
              <w:rPr>
                <w:szCs w:val="21"/>
                <w:highlight w:val="none"/>
              </w:rPr>
              <w:t>日用水量</w:t>
            </w:r>
          </w:p>
          <w:p>
            <w:pPr>
              <w:spacing w:line="300" w:lineRule="exact"/>
              <w:jc w:val="center"/>
              <w:rPr>
                <w:szCs w:val="21"/>
                <w:highlight w:val="none"/>
              </w:rPr>
            </w:pPr>
            <w:r>
              <w:rPr>
                <w:szCs w:val="21"/>
                <w:highlight w:val="none"/>
              </w:rPr>
              <w:t>（t/d）</w:t>
            </w:r>
          </w:p>
        </w:tc>
        <w:tc>
          <w:tcPr>
            <w:tcW w:w="789" w:type="pct"/>
            <w:vAlign w:val="center"/>
          </w:tcPr>
          <w:p>
            <w:pPr>
              <w:spacing w:line="300" w:lineRule="exact"/>
              <w:jc w:val="center"/>
              <w:rPr>
                <w:szCs w:val="21"/>
                <w:highlight w:val="none"/>
              </w:rPr>
            </w:pPr>
            <w:r>
              <w:rPr>
                <w:szCs w:val="21"/>
                <w:highlight w:val="none"/>
              </w:rPr>
              <w:t>年用水量</w:t>
            </w:r>
          </w:p>
          <w:p>
            <w:pPr>
              <w:spacing w:line="300" w:lineRule="exact"/>
              <w:jc w:val="center"/>
              <w:rPr>
                <w:szCs w:val="21"/>
                <w:highlight w:val="none"/>
              </w:rPr>
            </w:pPr>
            <w:r>
              <w:rPr>
                <w:szCs w:val="21"/>
                <w:highlight w:val="none"/>
              </w:rPr>
              <w:t>（t/a）</w:t>
            </w:r>
          </w:p>
        </w:tc>
        <w:tc>
          <w:tcPr>
            <w:tcW w:w="1586" w:type="pct"/>
            <w:vAlign w:val="center"/>
          </w:tcPr>
          <w:p>
            <w:pPr>
              <w:spacing w:line="300" w:lineRule="exact"/>
              <w:jc w:val="center"/>
              <w:rPr>
                <w:szCs w:val="21"/>
                <w:highlight w:val="none"/>
              </w:rPr>
            </w:pPr>
            <w:r>
              <w:rPr>
                <w:szCs w:val="21"/>
                <w:highlight w:val="none"/>
              </w:rPr>
              <w:t>年排水量</w:t>
            </w:r>
          </w:p>
          <w:p>
            <w:pPr>
              <w:spacing w:line="300" w:lineRule="exact"/>
              <w:jc w:val="center"/>
              <w:rPr>
                <w:szCs w:val="21"/>
                <w:highlight w:val="none"/>
              </w:rPr>
            </w:pPr>
            <w:r>
              <w:rPr>
                <w:szCs w:val="21"/>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420" w:type="pct"/>
            <w:vAlign w:val="center"/>
          </w:tcPr>
          <w:p>
            <w:pPr>
              <w:spacing w:line="300" w:lineRule="exact"/>
              <w:jc w:val="center"/>
              <w:rPr>
                <w:szCs w:val="21"/>
                <w:highlight w:val="none"/>
              </w:rPr>
            </w:pPr>
            <w:r>
              <w:rPr>
                <w:szCs w:val="21"/>
                <w:highlight w:val="none"/>
              </w:rPr>
              <w:t>1</w:t>
            </w:r>
          </w:p>
        </w:tc>
        <w:tc>
          <w:tcPr>
            <w:tcW w:w="991" w:type="pct"/>
            <w:vAlign w:val="center"/>
          </w:tcPr>
          <w:p>
            <w:pPr>
              <w:spacing w:line="300" w:lineRule="exact"/>
              <w:jc w:val="center"/>
              <w:rPr>
                <w:szCs w:val="21"/>
                <w:highlight w:val="none"/>
              </w:rPr>
            </w:pPr>
            <w:r>
              <w:rPr>
                <w:szCs w:val="21"/>
                <w:highlight w:val="none"/>
              </w:rPr>
              <w:t>职工生活用水</w:t>
            </w:r>
          </w:p>
        </w:tc>
        <w:tc>
          <w:tcPr>
            <w:tcW w:w="512" w:type="pct"/>
            <w:vAlign w:val="center"/>
          </w:tcPr>
          <w:p>
            <w:pPr>
              <w:spacing w:line="300" w:lineRule="exact"/>
              <w:jc w:val="center"/>
              <w:rPr>
                <w:szCs w:val="21"/>
                <w:highlight w:val="none"/>
              </w:rPr>
            </w:pPr>
            <w:r>
              <w:rPr>
                <w:szCs w:val="21"/>
                <w:highlight w:val="none"/>
              </w:rPr>
              <w:t>1</w:t>
            </w:r>
            <w:r>
              <w:rPr>
                <w:rFonts w:hint="eastAsia"/>
                <w:szCs w:val="21"/>
                <w:highlight w:val="none"/>
                <w:lang w:val="en-US" w:eastAsia="zh-CN"/>
              </w:rPr>
              <w:t>0</w:t>
            </w:r>
            <w:r>
              <w:rPr>
                <w:szCs w:val="21"/>
                <w:highlight w:val="none"/>
              </w:rPr>
              <w:t>人</w:t>
            </w:r>
          </w:p>
        </w:tc>
        <w:tc>
          <w:tcPr>
            <w:tcW w:w="700" w:type="pct"/>
            <w:vAlign w:val="center"/>
          </w:tcPr>
          <w:p>
            <w:pPr>
              <w:spacing w:line="300" w:lineRule="exact"/>
              <w:jc w:val="center"/>
              <w:rPr>
                <w:szCs w:val="21"/>
                <w:highlight w:val="none"/>
              </w:rPr>
            </w:pPr>
            <w:r>
              <w:rPr>
                <w:szCs w:val="21"/>
                <w:highlight w:val="none"/>
              </w:rPr>
              <w:t>0.2</w:t>
            </w:r>
          </w:p>
        </w:tc>
        <w:tc>
          <w:tcPr>
            <w:tcW w:w="789" w:type="pct"/>
            <w:vAlign w:val="center"/>
          </w:tcPr>
          <w:p>
            <w:pPr>
              <w:spacing w:line="300" w:lineRule="exact"/>
              <w:jc w:val="center"/>
              <w:rPr>
                <w:rFonts w:hint="default" w:eastAsia="宋体"/>
                <w:szCs w:val="21"/>
                <w:highlight w:val="none"/>
                <w:lang w:val="en-US" w:eastAsia="zh-CN"/>
              </w:rPr>
            </w:pPr>
            <w:r>
              <w:rPr>
                <w:szCs w:val="21"/>
                <w:highlight w:val="none"/>
              </w:rPr>
              <w:t>2</w:t>
            </w:r>
            <w:r>
              <w:rPr>
                <w:rFonts w:hint="eastAsia"/>
                <w:szCs w:val="21"/>
                <w:highlight w:val="none"/>
                <w:lang w:val="en-US" w:eastAsia="zh-CN"/>
              </w:rPr>
              <w:t>2.4</w:t>
            </w:r>
          </w:p>
        </w:tc>
        <w:tc>
          <w:tcPr>
            <w:tcW w:w="1586" w:type="pct"/>
          </w:tcPr>
          <w:p>
            <w:pPr>
              <w:spacing w:line="300" w:lineRule="exact"/>
              <w:jc w:val="center"/>
              <w:rPr>
                <w:rFonts w:hint="eastAsia" w:eastAsia="宋体"/>
                <w:szCs w:val="21"/>
                <w:highlight w:val="none"/>
                <w:lang w:eastAsia="zh-CN"/>
              </w:rPr>
            </w:pPr>
            <w:r>
              <w:rPr>
                <w:szCs w:val="21"/>
                <w:highlight w:val="none"/>
              </w:rPr>
              <w:t>排入化粪池</w:t>
            </w:r>
            <w:r>
              <w:rPr>
                <w:rFonts w:hint="eastAsia"/>
                <w:szCs w:val="21"/>
                <w:highlight w:val="none"/>
                <w:lang w:eastAsia="zh-CN"/>
              </w:rPr>
              <w:t>，由环卫部门定期清掏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420" w:type="pct"/>
            <w:vAlign w:val="center"/>
          </w:tcPr>
          <w:p>
            <w:pPr>
              <w:spacing w:line="300" w:lineRule="exact"/>
              <w:jc w:val="center"/>
              <w:rPr>
                <w:szCs w:val="21"/>
                <w:highlight w:val="none"/>
              </w:rPr>
            </w:pPr>
            <w:r>
              <w:rPr>
                <w:szCs w:val="21"/>
                <w:highlight w:val="none"/>
              </w:rPr>
              <w:t>2</w:t>
            </w:r>
          </w:p>
        </w:tc>
        <w:tc>
          <w:tcPr>
            <w:tcW w:w="991" w:type="pct"/>
            <w:vAlign w:val="center"/>
          </w:tcPr>
          <w:p>
            <w:pPr>
              <w:spacing w:line="300" w:lineRule="exact"/>
              <w:ind w:left="-105" w:leftChars="-50" w:right="-105" w:rightChars="-50"/>
              <w:jc w:val="center"/>
              <w:rPr>
                <w:szCs w:val="21"/>
                <w:highlight w:val="none"/>
              </w:rPr>
            </w:pPr>
            <w:r>
              <w:rPr>
                <w:szCs w:val="21"/>
                <w:highlight w:val="none"/>
              </w:rPr>
              <w:t>发电用水</w:t>
            </w:r>
          </w:p>
        </w:tc>
        <w:tc>
          <w:tcPr>
            <w:tcW w:w="512" w:type="pct"/>
            <w:vAlign w:val="center"/>
          </w:tcPr>
          <w:p>
            <w:pPr>
              <w:spacing w:line="300" w:lineRule="exact"/>
              <w:jc w:val="center"/>
              <w:rPr>
                <w:szCs w:val="21"/>
                <w:highlight w:val="none"/>
              </w:rPr>
            </w:pPr>
            <w:r>
              <w:rPr>
                <w:szCs w:val="21"/>
                <w:highlight w:val="none"/>
              </w:rPr>
              <w:t>--</w:t>
            </w:r>
          </w:p>
        </w:tc>
        <w:tc>
          <w:tcPr>
            <w:tcW w:w="700" w:type="pct"/>
            <w:vAlign w:val="center"/>
          </w:tcPr>
          <w:p>
            <w:pPr>
              <w:spacing w:line="300" w:lineRule="exact"/>
              <w:rPr>
                <w:szCs w:val="21"/>
                <w:highlight w:val="none"/>
              </w:rPr>
            </w:pPr>
            <w:r>
              <w:rPr>
                <w:rFonts w:hint="eastAsia"/>
                <w:szCs w:val="21"/>
                <w:highlight w:val="none"/>
                <w:lang w:val="en-US" w:eastAsia="zh-CN"/>
              </w:rPr>
              <w:t>526.82</w:t>
            </w:r>
            <w:r>
              <w:rPr>
                <w:szCs w:val="21"/>
                <w:highlight w:val="none"/>
              </w:rPr>
              <w:t>万</w:t>
            </w:r>
          </w:p>
        </w:tc>
        <w:tc>
          <w:tcPr>
            <w:tcW w:w="789" w:type="pct"/>
            <w:vAlign w:val="center"/>
          </w:tcPr>
          <w:p>
            <w:pPr>
              <w:spacing w:line="300" w:lineRule="exact"/>
              <w:jc w:val="center"/>
              <w:rPr>
                <w:szCs w:val="21"/>
                <w:highlight w:val="none"/>
              </w:rPr>
            </w:pPr>
            <w:r>
              <w:rPr>
                <w:rFonts w:hint="eastAsia"/>
                <w:szCs w:val="21"/>
                <w:highlight w:val="none"/>
                <w:lang w:val="en-US" w:eastAsia="zh-CN"/>
              </w:rPr>
              <w:t>59004.54</w:t>
            </w:r>
            <w:r>
              <w:rPr>
                <w:szCs w:val="21"/>
                <w:highlight w:val="none"/>
              </w:rPr>
              <w:t>万</w:t>
            </w:r>
          </w:p>
        </w:tc>
        <w:tc>
          <w:tcPr>
            <w:tcW w:w="1586" w:type="pct"/>
          </w:tcPr>
          <w:p>
            <w:pPr>
              <w:spacing w:line="300" w:lineRule="exact"/>
              <w:jc w:val="center"/>
              <w:rPr>
                <w:kern w:val="0"/>
                <w:szCs w:val="21"/>
                <w:highlight w:val="none"/>
              </w:rPr>
            </w:pPr>
            <w:r>
              <w:rPr>
                <w:rFonts w:hint="eastAsia"/>
                <w:szCs w:val="21"/>
                <w:highlight w:val="none"/>
                <w:lang w:val="en-US" w:eastAsia="zh-CN"/>
              </w:rPr>
              <w:t>59004.54</w:t>
            </w:r>
            <w:r>
              <w:rPr>
                <w:szCs w:val="21"/>
                <w:highlight w:val="none"/>
              </w:rPr>
              <w:t>万</w:t>
            </w:r>
          </w:p>
        </w:tc>
      </w:tr>
    </w:tbl>
    <w:p>
      <w:pPr>
        <w:spacing w:line="480" w:lineRule="exact"/>
        <w:ind w:firstLine="480" w:firstLineChars="200"/>
        <w:jc w:val="left"/>
        <w:rPr>
          <w:rFonts w:hint="eastAsia"/>
          <w:snapToGrid w:val="0"/>
          <w:color w:val="FF0000"/>
          <w:kern w:val="0"/>
          <w:sz w:val="24"/>
          <w:highlight w:val="none"/>
        </w:rPr>
      </w:pPr>
      <w:r>
        <w:rPr>
          <w:bCs/>
          <w:sz w:val="24"/>
          <w:highlight w:val="none"/>
        </w:rPr>
        <w:t>（</w:t>
      </w:r>
      <w:r>
        <w:rPr>
          <w:rFonts w:hint="eastAsia"/>
          <w:bCs/>
          <w:sz w:val="24"/>
          <w:highlight w:val="none"/>
          <w:lang w:val="en-US" w:eastAsia="zh-CN"/>
        </w:rPr>
        <w:t>3</w:t>
      </w:r>
      <w:r>
        <w:rPr>
          <w:bCs/>
          <w:sz w:val="24"/>
          <w:highlight w:val="none"/>
        </w:rPr>
        <w:t>）供电</w:t>
      </w:r>
      <w:r>
        <w:rPr>
          <w:rFonts w:hint="eastAsia"/>
          <w:bCs/>
          <w:sz w:val="24"/>
          <w:highlight w:val="none"/>
          <w:lang w:eastAsia="zh-CN"/>
        </w:rPr>
        <w:t>：该公司</w:t>
      </w:r>
      <w:r>
        <w:rPr>
          <w:bCs/>
          <w:sz w:val="24"/>
          <w:highlight w:val="none"/>
        </w:rPr>
        <w:t>用电由项目自身提供，约使用</w:t>
      </w:r>
      <w:r>
        <w:rPr>
          <w:rFonts w:hint="eastAsia"/>
          <w:bCs/>
          <w:sz w:val="24"/>
          <w:highlight w:val="none"/>
          <w:lang w:val="en-US" w:eastAsia="zh-CN"/>
        </w:rPr>
        <w:t>2000</w:t>
      </w:r>
      <w:r>
        <w:rPr>
          <w:bCs/>
          <w:sz w:val="24"/>
          <w:highlight w:val="none"/>
        </w:rPr>
        <w:t>kWh/a</w:t>
      </w:r>
    </w:p>
    <w:p>
      <w:pPr>
        <w:tabs>
          <w:tab w:val="left" w:pos="1080"/>
        </w:tabs>
        <w:spacing w:line="480" w:lineRule="exact"/>
        <w:outlineLvl w:val="1"/>
        <w:rPr>
          <w:rFonts w:hint="eastAsia" w:eastAsia="宋体"/>
          <w:b/>
          <w:sz w:val="24"/>
          <w:highlight w:val="none"/>
          <w:lang w:eastAsia="zh-CN"/>
        </w:rPr>
      </w:pPr>
      <w:bookmarkStart w:id="159" w:name="_Toc21908"/>
      <w:r>
        <w:rPr>
          <w:rFonts w:hint="eastAsia"/>
          <w:b/>
          <w:sz w:val="24"/>
          <w:highlight w:val="none"/>
        </w:rPr>
        <w:t>2</w:t>
      </w:r>
      <w:r>
        <w:rPr>
          <w:b/>
          <w:sz w:val="24"/>
          <w:highlight w:val="none"/>
        </w:rPr>
        <w:t>.</w:t>
      </w:r>
      <w:r>
        <w:rPr>
          <w:rFonts w:hint="eastAsia"/>
          <w:b/>
          <w:sz w:val="24"/>
          <w:highlight w:val="none"/>
          <w:lang w:val="en-US" w:eastAsia="zh-CN"/>
        </w:rPr>
        <w:t>14</w:t>
      </w:r>
      <w:r>
        <w:rPr>
          <w:b/>
          <w:sz w:val="24"/>
          <w:highlight w:val="none"/>
        </w:rPr>
        <w:t xml:space="preserve"> </w:t>
      </w:r>
      <w:r>
        <w:rPr>
          <w:rFonts w:hint="eastAsia"/>
          <w:b/>
          <w:sz w:val="24"/>
          <w:highlight w:val="none"/>
        </w:rPr>
        <w:t>工程</w:t>
      </w:r>
      <w:r>
        <w:rPr>
          <w:rFonts w:hint="eastAsia"/>
          <w:b/>
          <w:sz w:val="24"/>
          <w:highlight w:val="none"/>
          <w:lang w:eastAsia="zh-CN"/>
        </w:rPr>
        <w:t>管理</w:t>
      </w:r>
      <w:bookmarkEnd w:id="159"/>
    </w:p>
    <w:p>
      <w:pPr>
        <w:spacing w:line="480" w:lineRule="exact"/>
        <w:ind w:right="28"/>
        <w:rPr>
          <w:rFonts w:hint="eastAsia"/>
          <w:b/>
          <w:bCs/>
          <w:sz w:val="24"/>
          <w:highlight w:val="none"/>
          <w:lang w:val="en-US" w:eastAsia="zh-CN"/>
        </w:rPr>
      </w:pPr>
      <w:r>
        <w:rPr>
          <w:rFonts w:hint="eastAsia"/>
          <w:b/>
          <w:bCs/>
          <w:sz w:val="24"/>
          <w:highlight w:val="none"/>
          <w:lang w:val="en-US" w:eastAsia="zh-CN"/>
        </w:rPr>
        <w:t>2</w:t>
      </w:r>
      <w:r>
        <w:rPr>
          <w:rFonts w:hint="eastAsia"/>
          <w:b/>
          <w:bCs/>
          <w:sz w:val="24"/>
          <w:highlight w:val="none"/>
          <w:lang w:val="zh-CN"/>
        </w:rPr>
        <w:t>.</w:t>
      </w:r>
      <w:r>
        <w:rPr>
          <w:rFonts w:hint="eastAsia"/>
          <w:b/>
          <w:bCs/>
          <w:sz w:val="24"/>
          <w:highlight w:val="none"/>
          <w:lang w:val="en-US" w:eastAsia="zh-CN"/>
        </w:rPr>
        <w:t>14</w:t>
      </w:r>
      <w:r>
        <w:rPr>
          <w:rFonts w:hint="eastAsia"/>
          <w:b/>
          <w:bCs/>
          <w:sz w:val="24"/>
          <w:highlight w:val="none"/>
          <w:lang w:val="zh-CN"/>
        </w:rPr>
        <w:t>.1</w:t>
      </w:r>
      <w:r>
        <w:rPr>
          <w:rFonts w:hint="eastAsia"/>
          <w:b/>
          <w:bCs/>
          <w:sz w:val="24"/>
          <w:highlight w:val="none"/>
          <w:lang w:val="en-US" w:eastAsia="zh-CN"/>
        </w:rPr>
        <w:t xml:space="preserve"> 管理机构及定员</w:t>
      </w:r>
    </w:p>
    <w:p>
      <w:pPr>
        <w:spacing w:line="480" w:lineRule="exact"/>
        <w:ind w:right="28" w:firstLine="480" w:firstLineChars="200"/>
        <w:rPr>
          <w:rFonts w:hint="eastAsia" w:eastAsia="宋体"/>
          <w:snapToGrid w:val="0"/>
          <w:color w:val="FF0000"/>
          <w:kern w:val="0"/>
          <w:sz w:val="24"/>
          <w:highlight w:val="none"/>
          <w:lang w:val="en-US" w:eastAsia="zh-CN"/>
        </w:rPr>
      </w:pPr>
      <w:r>
        <w:rPr>
          <w:rFonts w:hint="eastAsia"/>
          <w:b w:val="0"/>
          <w:bCs w:val="0"/>
          <w:sz w:val="24"/>
          <w:highlight w:val="none"/>
          <w:lang w:val="en-US" w:eastAsia="zh-CN"/>
        </w:rPr>
        <w:t>负责水电站的运营管理，定员10人，其中管理人员2人，年工作时间112天/年（2688h），每天三班，每班8小时</w:t>
      </w:r>
      <w:r>
        <w:rPr>
          <w:sz w:val="24"/>
          <w:szCs w:val="24"/>
          <w:highlight w:val="none"/>
        </w:rPr>
        <w:t>。</w:t>
      </w:r>
    </w:p>
    <w:p>
      <w:pPr>
        <w:spacing w:line="480" w:lineRule="exact"/>
        <w:ind w:right="28"/>
        <w:rPr>
          <w:rFonts w:hint="eastAsia"/>
          <w:sz w:val="24"/>
          <w:highlight w:val="none"/>
          <w:lang w:val="en-US" w:eastAsia="zh-CN"/>
        </w:rPr>
      </w:pPr>
      <w:r>
        <w:rPr>
          <w:rFonts w:hint="eastAsia"/>
          <w:b/>
          <w:bCs/>
          <w:sz w:val="24"/>
          <w:highlight w:val="none"/>
          <w:lang w:val="en-US" w:eastAsia="zh-CN"/>
        </w:rPr>
        <w:t>2</w:t>
      </w:r>
      <w:r>
        <w:rPr>
          <w:rFonts w:hint="eastAsia"/>
          <w:b/>
          <w:bCs/>
          <w:sz w:val="24"/>
          <w:highlight w:val="none"/>
          <w:lang w:val="zh-CN"/>
        </w:rPr>
        <w:t>.</w:t>
      </w:r>
      <w:r>
        <w:rPr>
          <w:rFonts w:hint="eastAsia"/>
          <w:b/>
          <w:bCs/>
          <w:sz w:val="24"/>
          <w:highlight w:val="none"/>
          <w:lang w:val="en-US" w:eastAsia="zh-CN"/>
        </w:rPr>
        <w:t>14</w:t>
      </w:r>
      <w:r>
        <w:rPr>
          <w:rFonts w:hint="eastAsia"/>
          <w:b/>
          <w:bCs/>
          <w:sz w:val="24"/>
          <w:highlight w:val="none"/>
          <w:lang w:val="zh-CN"/>
        </w:rPr>
        <w:t>.</w:t>
      </w:r>
      <w:r>
        <w:rPr>
          <w:rFonts w:hint="eastAsia"/>
          <w:b/>
          <w:bCs/>
          <w:sz w:val="24"/>
          <w:highlight w:val="none"/>
          <w:lang w:val="en-US" w:eastAsia="zh-CN"/>
        </w:rPr>
        <w:t>2 管理及范围</w:t>
      </w:r>
    </w:p>
    <w:p>
      <w:pPr>
        <w:spacing w:line="480" w:lineRule="exact"/>
        <w:ind w:right="28" w:firstLine="480" w:firstLineChars="200"/>
        <w:rPr>
          <w:rFonts w:hint="eastAsia"/>
          <w:sz w:val="24"/>
          <w:highlight w:val="none"/>
          <w:lang w:val="en-US" w:eastAsia="zh-CN"/>
        </w:rPr>
      </w:pPr>
      <w:r>
        <w:rPr>
          <w:rFonts w:hint="eastAsia"/>
          <w:sz w:val="24"/>
          <w:highlight w:val="none"/>
          <w:lang w:val="en-US" w:eastAsia="zh-CN"/>
        </w:rPr>
        <w:t>（1）工程管理范围</w:t>
      </w:r>
    </w:p>
    <w:p>
      <w:pPr>
        <w:spacing w:line="480" w:lineRule="exact"/>
        <w:ind w:right="28" w:firstLine="480" w:firstLineChars="200"/>
        <w:rPr>
          <w:rFonts w:hint="eastAsia"/>
          <w:sz w:val="24"/>
          <w:highlight w:val="none"/>
          <w:lang w:val="en-US" w:eastAsia="zh-CN"/>
        </w:rPr>
      </w:pPr>
      <w:r>
        <w:rPr>
          <w:rFonts w:hint="eastAsia"/>
          <w:sz w:val="24"/>
          <w:highlight w:val="none"/>
          <w:lang w:val="en-US" w:eastAsia="zh-CN"/>
        </w:rPr>
        <w:t>工程管理范围包括：</w:t>
      </w:r>
      <w:r>
        <w:rPr>
          <w:snapToGrid w:val="0"/>
          <w:kern w:val="0"/>
          <w:sz w:val="24"/>
          <w:highlight w:val="none"/>
        </w:rPr>
        <w:t>橡胶坝、引水节制闸、引水渠、前池、压力管道、厂房、尾水渠、升压站、并网线路、厂区及附属设施和生活区</w:t>
      </w:r>
    </w:p>
    <w:p>
      <w:pPr>
        <w:spacing w:line="480" w:lineRule="exact"/>
        <w:ind w:right="28" w:firstLine="480" w:firstLineChars="200"/>
        <w:rPr>
          <w:rFonts w:hint="eastAsia"/>
          <w:sz w:val="24"/>
          <w:highlight w:val="none"/>
          <w:lang w:val="en-US" w:eastAsia="zh-CN"/>
        </w:rPr>
      </w:pPr>
      <w:r>
        <w:rPr>
          <w:rFonts w:hint="eastAsia"/>
          <w:sz w:val="24"/>
          <w:highlight w:val="none"/>
          <w:lang w:val="en-US" w:eastAsia="zh-CN"/>
        </w:rPr>
        <w:t>（2）工程保护范围</w:t>
      </w:r>
    </w:p>
    <w:p>
      <w:pPr>
        <w:spacing w:line="480" w:lineRule="exact"/>
        <w:ind w:right="28" w:firstLine="480" w:firstLineChars="200"/>
        <w:rPr>
          <w:rFonts w:hint="eastAsia"/>
          <w:sz w:val="24"/>
          <w:highlight w:val="none"/>
          <w:lang w:val="en-US" w:eastAsia="zh-CN"/>
        </w:rPr>
      </w:pPr>
      <w:r>
        <w:rPr>
          <w:rFonts w:hint="eastAsia"/>
          <w:sz w:val="24"/>
          <w:highlight w:val="none"/>
          <w:lang w:val="en-US" w:eastAsia="zh-CN"/>
        </w:rPr>
        <w:t>水电站厂房保护范围为工程管理范围向外延伸 50m，其余建筑物工程保护范围为工程管理范围向外延伸 5m。</w:t>
      </w:r>
    </w:p>
    <w:p>
      <w:pPr>
        <w:spacing w:line="480" w:lineRule="exact"/>
        <w:ind w:right="28"/>
        <w:rPr>
          <w:rFonts w:hint="default"/>
          <w:sz w:val="24"/>
          <w:highlight w:val="none"/>
          <w:lang w:val="en-US" w:eastAsia="zh-CN"/>
        </w:rPr>
      </w:pPr>
      <w:r>
        <w:rPr>
          <w:rFonts w:hint="eastAsia"/>
          <w:sz w:val="24"/>
          <w:highlight w:val="none"/>
          <w:lang w:val="en-US" w:eastAsia="zh-CN"/>
        </w:rPr>
        <w:t xml:space="preserve">    （3）管理措施</w:t>
      </w:r>
    </w:p>
    <w:p>
      <w:pPr>
        <w:spacing w:line="480" w:lineRule="exact"/>
        <w:ind w:right="28"/>
        <w:rPr>
          <w:rFonts w:hint="default"/>
          <w:sz w:val="24"/>
          <w:highlight w:val="none"/>
          <w:lang w:val="en-US" w:eastAsia="zh-CN"/>
        </w:rPr>
      </w:pPr>
      <w:r>
        <w:rPr>
          <w:rFonts w:hint="eastAsia"/>
          <w:sz w:val="24"/>
          <w:highlight w:val="none"/>
          <w:lang w:val="en-US" w:eastAsia="zh-CN"/>
        </w:rPr>
        <w:t xml:space="preserve">    电站对外交通可直接利用附近公路，交通便利。交通工具按有关规定。内部通信为无线传输加人工对讲；外部通信为社会网。</w:t>
      </w:r>
    </w:p>
    <w:p>
      <w:pPr>
        <w:tabs>
          <w:tab w:val="left" w:pos="1080"/>
        </w:tabs>
        <w:spacing w:line="480" w:lineRule="exact"/>
        <w:outlineLvl w:val="1"/>
        <w:rPr>
          <w:rFonts w:hint="eastAsia" w:eastAsia="宋体"/>
          <w:b/>
          <w:sz w:val="24"/>
          <w:highlight w:val="none"/>
          <w:lang w:eastAsia="zh-CN"/>
        </w:rPr>
      </w:pPr>
      <w:bookmarkStart w:id="160" w:name="_Toc20903"/>
      <w:r>
        <w:rPr>
          <w:rFonts w:hint="eastAsia"/>
          <w:b/>
          <w:sz w:val="24"/>
          <w:highlight w:val="none"/>
        </w:rPr>
        <w:t>2</w:t>
      </w:r>
      <w:r>
        <w:rPr>
          <w:b/>
          <w:sz w:val="24"/>
          <w:highlight w:val="none"/>
        </w:rPr>
        <w:t>.</w:t>
      </w:r>
      <w:r>
        <w:rPr>
          <w:rFonts w:hint="eastAsia"/>
          <w:b/>
          <w:sz w:val="24"/>
          <w:highlight w:val="none"/>
          <w:lang w:val="en-US" w:eastAsia="zh-CN"/>
        </w:rPr>
        <w:t>15</w:t>
      </w:r>
      <w:r>
        <w:rPr>
          <w:b/>
          <w:sz w:val="24"/>
          <w:highlight w:val="none"/>
        </w:rPr>
        <w:t xml:space="preserve"> </w:t>
      </w:r>
      <w:r>
        <w:rPr>
          <w:rFonts w:hint="eastAsia"/>
          <w:b/>
          <w:sz w:val="24"/>
          <w:highlight w:val="none"/>
        </w:rPr>
        <w:t>工程</w:t>
      </w:r>
      <w:r>
        <w:rPr>
          <w:rFonts w:hint="eastAsia"/>
          <w:b/>
          <w:sz w:val="24"/>
          <w:highlight w:val="none"/>
          <w:lang w:eastAsia="zh-CN"/>
        </w:rPr>
        <w:t>投资</w:t>
      </w:r>
      <w:bookmarkEnd w:id="160"/>
    </w:p>
    <w:p>
      <w:pPr>
        <w:spacing w:line="480" w:lineRule="exact"/>
        <w:ind w:right="28"/>
        <w:rPr>
          <w:rFonts w:hint="default"/>
          <w:b/>
          <w:bCs/>
          <w:sz w:val="24"/>
          <w:highlight w:val="none"/>
          <w:lang w:val="en-US" w:eastAsia="zh-CN"/>
        </w:rPr>
      </w:pPr>
      <w:r>
        <w:rPr>
          <w:rFonts w:hint="eastAsia"/>
          <w:b/>
          <w:bCs/>
          <w:sz w:val="24"/>
          <w:highlight w:val="none"/>
          <w:lang w:val="en-US" w:eastAsia="zh-CN"/>
        </w:rPr>
        <w:t xml:space="preserve">    </w:t>
      </w:r>
      <w:r>
        <w:rPr>
          <w:rFonts w:hint="eastAsia"/>
          <w:sz w:val="24"/>
          <w:highlight w:val="none"/>
        </w:rPr>
        <w:t>总投资</w:t>
      </w:r>
      <w:r>
        <w:rPr>
          <w:rFonts w:hint="eastAsia"/>
          <w:sz w:val="24"/>
          <w:highlight w:val="none"/>
          <w:lang w:val="en-US" w:eastAsia="zh-CN"/>
        </w:rPr>
        <w:t>3613</w:t>
      </w:r>
      <w:r>
        <w:rPr>
          <w:rFonts w:hint="eastAsia"/>
          <w:sz w:val="24"/>
          <w:highlight w:val="none"/>
        </w:rPr>
        <w:t>万元，其中环保投资</w:t>
      </w:r>
      <w:r>
        <w:rPr>
          <w:rFonts w:hint="eastAsia"/>
          <w:sz w:val="24"/>
          <w:highlight w:val="none"/>
          <w:lang w:val="en-US" w:eastAsia="zh-CN"/>
        </w:rPr>
        <w:t>79.5</w:t>
      </w:r>
      <w:r>
        <w:rPr>
          <w:rFonts w:hint="eastAsia"/>
          <w:sz w:val="24"/>
          <w:highlight w:val="none"/>
        </w:rPr>
        <w:t>万元（其中已投资6</w:t>
      </w:r>
      <w:r>
        <w:rPr>
          <w:rFonts w:hint="eastAsia"/>
          <w:sz w:val="24"/>
          <w:highlight w:val="none"/>
          <w:lang w:val="en-US" w:eastAsia="zh-CN"/>
        </w:rPr>
        <w:t>9</w:t>
      </w:r>
      <w:r>
        <w:rPr>
          <w:rFonts w:hint="eastAsia"/>
          <w:sz w:val="24"/>
          <w:highlight w:val="none"/>
        </w:rPr>
        <w:t>.5万元，新增投资1</w:t>
      </w:r>
      <w:r>
        <w:rPr>
          <w:rFonts w:hint="eastAsia"/>
          <w:sz w:val="24"/>
          <w:highlight w:val="none"/>
          <w:lang w:val="en-US" w:eastAsia="zh-CN"/>
        </w:rPr>
        <w:t>0</w:t>
      </w:r>
      <w:r>
        <w:rPr>
          <w:rFonts w:hint="eastAsia"/>
          <w:sz w:val="24"/>
          <w:highlight w:val="none"/>
        </w:rPr>
        <w:t>万元），占工程总投资的</w:t>
      </w:r>
      <w:r>
        <w:rPr>
          <w:rFonts w:hint="eastAsia"/>
          <w:sz w:val="24"/>
          <w:highlight w:val="none"/>
          <w:lang w:val="en-US" w:eastAsia="zh-CN"/>
        </w:rPr>
        <w:t>2.20</w:t>
      </w:r>
      <w:r>
        <w:rPr>
          <w:rFonts w:hint="eastAsia"/>
          <w:sz w:val="24"/>
          <w:highlight w:val="none"/>
        </w:rPr>
        <w:t>%。</w:t>
      </w:r>
    </w:p>
    <w:p>
      <w:pPr>
        <w:rPr>
          <w:rFonts w:hint="eastAsia"/>
          <w:sz w:val="24"/>
          <w:highlight w:val="none"/>
          <w:lang w:val="zh-CN"/>
        </w:rPr>
      </w:pPr>
      <w:r>
        <w:rPr>
          <w:rFonts w:hint="eastAsia"/>
          <w:sz w:val="24"/>
          <w:highlight w:val="none"/>
          <w:lang w:val="zh-CN"/>
        </w:rPr>
        <w:br w:type="page"/>
      </w:r>
    </w:p>
    <w:p>
      <w:pPr>
        <w:adjustRightInd w:val="0"/>
        <w:snapToGrid w:val="0"/>
        <w:spacing w:line="480" w:lineRule="exact"/>
        <w:outlineLvl w:val="0"/>
        <w:rPr>
          <w:b/>
          <w:snapToGrid w:val="0"/>
          <w:kern w:val="0"/>
          <w:sz w:val="28"/>
          <w:szCs w:val="28"/>
          <w:highlight w:val="none"/>
        </w:rPr>
      </w:pPr>
      <w:bookmarkStart w:id="161" w:name="_Toc27694"/>
      <w:r>
        <w:rPr>
          <w:rFonts w:hint="eastAsia"/>
          <w:b/>
          <w:sz w:val="28"/>
          <w:szCs w:val="28"/>
          <w:highlight w:val="none"/>
        </w:rPr>
        <w:t>3</w:t>
      </w:r>
      <w:r>
        <w:rPr>
          <w:b/>
          <w:sz w:val="28"/>
          <w:szCs w:val="28"/>
          <w:highlight w:val="none"/>
        </w:rPr>
        <w:t>工程</w:t>
      </w:r>
      <w:r>
        <w:rPr>
          <w:rFonts w:hint="eastAsia"/>
          <w:b/>
          <w:sz w:val="28"/>
          <w:szCs w:val="28"/>
          <w:highlight w:val="none"/>
        </w:rPr>
        <w:t>分析</w:t>
      </w:r>
      <w:bookmarkEnd w:id="161"/>
    </w:p>
    <w:p>
      <w:pPr>
        <w:pStyle w:val="290"/>
        <w:spacing w:before="0" w:after="0" w:line="480" w:lineRule="exact"/>
        <w:ind w:firstLine="480"/>
        <w:rPr>
          <w:rFonts w:hint="eastAsia"/>
          <w:snapToGrid w:val="0"/>
          <w:highlight w:val="none"/>
        </w:rPr>
      </w:pPr>
      <w:r>
        <w:rPr>
          <w:rFonts w:hint="eastAsia"/>
          <w:snapToGrid w:val="0"/>
          <w:highlight w:val="none"/>
        </w:rPr>
        <w:t>本工程为水力发电工程，属于非污染生态影响建设项目。工程运行期</w:t>
      </w:r>
      <w:r>
        <w:rPr>
          <w:rFonts w:hint="eastAsia"/>
          <w:snapToGrid w:val="0"/>
          <w:highlight w:val="none"/>
          <w:lang w:eastAsia="zh-CN"/>
        </w:rPr>
        <w:t>橡胶坝</w:t>
      </w:r>
      <w:r>
        <w:rPr>
          <w:rFonts w:hint="eastAsia"/>
          <w:snapToGrid w:val="0"/>
          <w:highlight w:val="none"/>
        </w:rPr>
        <w:t>截流对上下游水文情势、河道泥沙、土地利用、河流水资源利用等产生改变，影响下游生态环境和社会经济，运行期电站管理人员的生活污水和垃圾对环境影响很小，发电设备噪声对声环境有轻微影响。</w:t>
      </w:r>
    </w:p>
    <w:p>
      <w:pPr>
        <w:tabs>
          <w:tab w:val="left" w:pos="1080"/>
        </w:tabs>
        <w:spacing w:line="480" w:lineRule="exact"/>
        <w:outlineLvl w:val="1"/>
        <w:rPr>
          <w:rFonts w:hint="eastAsia"/>
          <w:b/>
          <w:sz w:val="24"/>
          <w:highlight w:val="none"/>
        </w:rPr>
      </w:pPr>
      <w:bookmarkStart w:id="162" w:name="_Toc30089"/>
      <w:r>
        <w:rPr>
          <w:rFonts w:hint="eastAsia"/>
          <w:b/>
          <w:sz w:val="24"/>
          <w:highlight w:val="none"/>
        </w:rPr>
        <w:t>3</w:t>
      </w:r>
      <w:r>
        <w:rPr>
          <w:b/>
          <w:sz w:val="24"/>
          <w:highlight w:val="none"/>
        </w:rPr>
        <w:t xml:space="preserve">.1 </w:t>
      </w:r>
      <w:r>
        <w:rPr>
          <w:rFonts w:hint="eastAsia"/>
          <w:b/>
          <w:sz w:val="24"/>
          <w:highlight w:val="none"/>
          <w:lang w:eastAsia="zh-CN"/>
        </w:rPr>
        <w:t>施工期回顾性分析</w:t>
      </w:r>
      <w:bookmarkEnd w:id="162"/>
    </w:p>
    <w:p>
      <w:pPr>
        <w:spacing w:line="480" w:lineRule="exact"/>
        <w:ind w:right="28"/>
        <w:rPr>
          <w:rFonts w:hint="default"/>
          <w:b/>
          <w:bCs/>
          <w:snapToGrid w:val="0"/>
          <w:kern w:val="0"/>
          <w:sz w:val="24"/>
          <w:highlight w:val="none"/>
          <w:lang w:val="en-US" w:eastAsia="zh-CN"/>
        </w:rPr>
      </w:pPr>
      <w:r>
        <w:rPr>
          <w:rFonts w:hint="eastAsia"/>
          <w:b/>
          <w:bCs/>
          <w:snapToGrid w:val="0"/>
          <w:kern w:val="0"/>
          <w:sz w:val="24"/>
          <w:highlight w:val="none"/>
          <w:lang w:val="en-US" w:eastAsia="zh-CN"/>
        </w:rPr>
        <w:t>3.1.1 施工期回顾性</w:t>
      </w:r>
    </w:p>
    <w:p>
      <w:pPr>
        <w:spacing w:line="480" w:lineRule="exact"/>
        <w:ind w:right="28" w:firstLine="480" w:firstLineChars="200"/>
        <w:rPr>
          <w:snapToGrid w:val="0"/>
          <w:kern w:val="0"/>
          <w:sz w:val="24"/>
          <w:highlight w:val="none"/>
        </w:rPr>
      </w:pPr>
      <w:r>
        <w:rPr>
          <w:rFonts w:hint="eastAsia"/>
          <w:snapToGrid w:val="0"/>
          <w:kern w:val="0"/>
          <w:sz w:val="24"/>
          <w:highlight w:val="none"/>
          <w:lang w:eastAsia="zh-CN"/>
        </w:rPr>
        <w:t>本项目主要建设拦河橡胶坝、</w:t>
      </w:r>
      <w:r>
        <w:rPr>
          <w:rFonts w:hint="eastAsia"/>
          <w:snapToGrid w:val="0"/>
          <w:kern w:val="0"/>
          <w:sz w:val="24"/>
          <w:highlight w:val="none"/>
        </w:rPr>
        <w:t>引水节制闸、引水渠、前池、压力管道、厂房、尾水渠、升压站、并网线路、厂区及附属设施和生活区等。</w:t>
      </w:r>
    </w:p>
    <w:p>
      <w:pPr>
        <w:spacing w:line="480" w:lineRule="exact"/>
        <w:ind w:right="28" w:firstLine="480" w:firstLineChars="200"/>
        <w:rPr>
          <w:rFonts w:hint="eastAsia" w:eastAsia="宋体"/>
          <w:snapToGrid w:val="0"/>
          <w:kern w:val="0"/>
          <w:sz w:val="24"/>
          <w:highlight w:val="none"/>
          <w:lang w:eastAsia="zh-CN"/>
        </w:rPr>
      </w:pPr>
      <w:r>
        <w:rPr>
          <w:rFonts w:hint="eastAsia"/>
          <w:snapToGrid w:val="0"/>
          <w:kern w:val="0"/>
          <w:sz w:val="24"/>
          <w:highlight w:val="none"/>
          <w:lang w:eastAsia="zh-CN"/>
        </w:rPr>
        <w:t>（</w:t>
      </w:r>
      <w:r>
        <w:rPr>
          <w:rFonts w:hint="eastAsia"/>
          <w:snapToGrid w:val="0"/>
          <w:kern w:val="0"/>
          <w:sz w:val="24"/>
          <w:highlight w:val="none"/>
          <w:lang w:val="en-US" w:eastAsia="zh-CN"/>
        </w:rPr>
        <w:t>1</w:t>
      </w:r>
      <w:r>
        <w:rPr>
          <w:rFonts w:hint="eastAsia"/>
          <w:snapToGrid w:val="0"/>
          <w:kern w:val="0"/>
          <w:sz w:val="24"/>
          <w:highlight w:val="none"/>
          <w:lang w:eastAsia="zh-CN"/>
        </w:rPr>
        <w:t>）</w:t>
      </w:r>
      <w:r>
        <w:rPr>
          <w:rFonts w:hint="eastAsia"/>
          <w:snapToGrid w:val="0"/>
          <w:kern w:val="0"/>
          <w:sz w:val="24"/>
          <w:highlight w:val="none"/>
        </w:rPr>
        <w:t>发电规模</w:t>
      </w:r>
      <w:r>
        <w:rPr>
          <w:rFonts w:hint="eastAsia"/>
          <w:snapToGrid w:val="0"/>
          <w:kern w:val="0"/>
          <w:sz w:val="24"/>
          <w:highlight w:val="none"/>
          <w:lang w:eastAsia="zh-CN"/>
        </w:rPr>
        <w:t>与施工分区</w:t>
      </w:r>
    </w:p>
    <w:p>
      <w:pPr>
        <w:spacing w:line="480" w:lineRule="exact"/>
        <w:ind w:right="28" w:firstLine="480" w:firstLineChars="200"/>
        <w:rPr>
          <w:rFonts w:hint="eastAsia"/>
          <w:snapToGrid w:val="0"/>
          <w:kern w:val="0"/>
          <w:sz w:val="24"/>
          <w:highlight w:val="none"/>
        </w:rPr>
      </w:pPr>
      <w:r>
        <w:rPr>
          <w:rFonts w:hint="eastAsia"/>
          <w:snapToGrid w:val="0"/>
          <w:kern w:val="0"/>
          <w:sz w:val="24"/>
          <w:highlight w:val="none"/>
        </w:rPr>
        <w:t>工程规模为小(Ⅱ)型，工程等别为V等。电站设计流量55.92m</w:t>
      </w:r>
      <w:r>
        <w:rPr>
          <w:rFonts w:hint="default" w:ascii="Times New Roman" w:hAnsi="Times New Roman" w:cs="Times New Roman"/>
          <w:snapToGrid w:val="0"/>
          <w:kern w:val="0"/>
          <w:sz w:val="24"/>
          <w:highlight w:val="none"/>
        </w:rPr>
        <w:t>³</w:t>
      </w:r>
      <w:r>
        <w:rPr>
          <w:rFonts w:hint="eastAsia"/>
          <w:snapToGrid w:val="0"/>
          <w:kern w:val="0"/>
          <w:sz w:val="24"/>
          <w:highlight w:val="none"/>
        </w:rPr>
        <w:t>/s，设计水头10.1m，总装机容量1×5000KW，年利用小时数2931小时，年发电量1465.5万kw·h。</w:t>
      </w:r>
    </w:p>
    <w:p>
      <w:pPr>
        <w:spacing w:line="480" w:lineRule="exact"/>
        <w:ind w:right="28" w:firstLine="480" w:firstLineChars="200"/>
        <w:rPr>
          <w:rFonts w:hint="default"/>
          <w:snapToGrid w:val="0"/>
          <w:kern w:val="0"/>
          <w:sz w:val="24"/>
          <w:highlight w:val="none"/>
          <w:lang w:val="en-US" w:eastAsia="zh-CN"/>
        </w:rPr>
      </w:pPr>
      <w:r>
        <w:rPr>
          <w:rFonts w:hint="eastAsia"/>
          <w:snapToGrid w:val="0"/>
          <w:kern w:val="0"/>
          <w:sz w:val="24"/>
          <w:highlight w:val="none"/>
          <w:lang w:val="en-US" w:eastAsia="zh-CN"/>
        </w:rPr>
        <w:t>由于橡胶坝建设占用河道，发电厂房、办公生活区建设改变原有地形地貌，对本区地表水产汇流条件产生一定影响。</w:t>
      </w:r>
    </w:p>
    <w:p>
      <w:pPr>
        <w:pStyle w:val="290"/>
        <w:spacing w:before="0" w:after="0" w:line="480" w:lineRule="exact"/>
        <w:ind w:firstLine="480"/>
        <w:rPr>
          <w:snapToGrid w:val="0"/>
          <w:color w:val="auto"/>
          <w:highlight w:val="none"/>
        </w:rPr>
      </w:pPr>
      <w:r>
        <w:rPr>
          <w:rFonts w:hint="eastAsia"/>
          <w:snapToGrid w:val="0"/>
          <w:kern w:val="0"/>
          <w:sz w:val="24"/>
          <w:highlight w:val="none"/>
          <w:lang w:val="zh-CN"/>
        </w:rPr>
        <w:t>电站工程施工基本均分为</w:t>
      </w:r>
      <w:r>
        <w:rPr>
          <w:rFonts w:hint="eastAsia"/>
          <w:snapToGrid w:val="0"/>
          <w:kern w:val="0"/>
          <w:sz w:val="24"/>
          <w:highlight w:val="none"/>
        </w:rPr>
        <w:t>3</w:t>
      </w:r>
      <w:r>
        <w:rPr>
          <w:rFonts w:hint="eastAsia"/>
          <w:snapToGrid w:val="0"/>
          <w:kern w:val="0"/>
          <w:sz w:val="24"/>
          <w:highlight w:val="none"/>
          <w:lang w:val="zh-CN"/>
        </w:rPr>
        <w:t>个施工区，即橡胶坝施工区、引水渠和尾水渠施工期和发电厂房施工区。</w:t>
      </w:r>
      <w:r>
        <w:rPr>
          <w:rFonts w:hint="eastAsia"/>
          <w:sz w:val="24"/>
          <w:highlight w:val="none"/>
          <w:lang w:val="zh-CN"/>
        </w:rPr>
        <w:t>本项目为引水式电站，项目橡胶坝工程较小，材料均为人工搬运，不需要设置临时施工场地。沿引水渠及尾水渠修建道路，施工结束后作为引水渠、尾水渠及道路区域，未单独设置施工区域，施工人员均为当地农民工，不需要设置施工营地。发电厂房施工区主要在厂区附近，临时堆放砂石料堆放场、木材、钢筋等，水泥砼采用商品砼，各原辅材料均通过当地进行购买，施工时未设置施工营地</w:t>
      </w:r>
      <w:r>
        <w:rPr>
          <w:rFonts w:hint="eastAsia"/>
          <w:sz w:val="24"/>
          <w:highlight w:val="none"/>
          <w:lang w:val="en-US" w:eastAsia="zh-CN"/>
        </w:rPr>
        <w:t>。</w:t>
      </w:r>
      <w:r>
        <w:rPr>
          <w:rFonts w:hint="eastAsia"/>
          <w:snapToGrid w:val="0"/>
          <w:highlight w:val="none"/>
        </w:rPr>
        <w:t>水电站总体施工流程如下：施工准备→各主体工程施工→设备安装→竣工验收。水电站施工对环境影响的作用因素主要有施工作业、对外交通、施工机械、施工占地、施工人员活动、弃渣等。工程施工对水环境、环境空气、声环境、水土</w:t>
      </w:r>
      <w:r>
        <w:rPr>
          <w:rFonts w:hint="eastAsia"/>
          <w:snapToGrid w:val="0"/>
          <w:color w:val="auto"/>
          <w:highlight w:val="none"/>
        </w:rPr>
        <w:t>流失、人群健康、生态等产生影响。</w:t>
      </w:r>
    </w:p>
    <w:p>
      <w:pPr>
        <w:pStyle w:val="7"/>
        <w:spacing w:line="480" w:lineRule="exact"/>
        <w:ind w:firstLine="480" w:firstLineChars="200"/>
        <w:rPr>
          <w:color w:val="auto"/>
          <w:sz w:val="24"/>
          <w:szCs w:val="24"/>
          <w:highlight w:val="none"/>
        </w:rPr>
      </w:pPr>
      <w:r>
        <w:rPr>
          <w:rFonts w:hint="eastAsia"/>
          <w:color w:val="auto"/>
          <w:sz w:val="24"/>
          <w:szCs w:val="24"/>
          <w:highlight w:val="none"/>
        </w:rPr>
        <w:t>本项目</w:t>
      </w:r>
      <w:r>
        <w:rPr>
          <w:color w:val="auto"/>
          <w:sz w:val="24"/>
          <w:szCs w:val="24"/>
          <w:highlight w:val="none"/>
        </w:rPr>
        <w:t>工程建设严格按照国家基本建设工程审批程序的要求，从项目规划、建议书、工程开工以及整个建设过程均通过了相关部门审查和批复。主要审批文件如下：</w:t>
      </w:r>
    </w:p>
    <w:p>
      <w:pPr>
        <w:pStyle w:val="7"/>
        <w:spacing w:line="480" w:lineRule="exact"/>
        <w:ind w:firstLine="482"/>
        <w:jc w:val="center"/>
        <w:rPr>
          <w:b/>
          <w:color w:val="auto"/>
          <w:sz w:val="24"/>
          <w:szCs w:val="24"/>
          <w:highlight w:val="none"/>
        </w:rPr>
      </w:pPr>
    </w:p>
    <w:p>
      <w:pPr>
        <w:pStyle w:val="7"/>
        <w:spacing w:line="480" w:lineRule="exact"/>
        <w:ind w:firstLine="482"/>
        <w:jc w:val="center"/>
        <w:rPr>
          <w:b/>
          <w:color w:val="auto"/>
          <w:sz w:val="24"/>
          <w:szCs w:val="24"/>
          <w:highlight w:val="none"/>
        </w:rPr>
      </w:pPr>
      <w:r>
        <w:rPr>
          <w:b/>
          <w:color w:val="auto"/>
          <w:sz w:val="24"/>
          <w:szCs w:val="24"/>
          <w:highlight w:val="none"/>
        </w:rPr>
        <w:t>表3.1-1    本项目主要审批流程</w:t>
      </w:r>
    </w:p>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7"/>
        <w:gridCol w:w="1460"/>
        <w:gridCol w:w="2835"/>
        <w:gridCol w:w="30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shd w:val="clear" w:color="auto" w:fill="auto"/>
            <w:vAlign w:val="center"/>
          </w:tcPr>
          <w:p>
            <w:pPr>
              <w:jc w:val="center"/>
              <w:rPr>
                <w:color w:val="auto"/>
                <w:szCs w:val="21"/>
                <w:highlight w:val="none"/>
              </w:rPr>
            </w:pPr>
            <w:r>
              <w:rPr>
                <w:color w:val="auto"/>
                <w:szCs w:val="21"/>
                <w:highlight w:val="none"/>
              </w:rPr>
              <w:t>时间</w:t>
            </w:r>
          </w:p>
        </w:tc>
        <w:tc>
          <w:tcPr>
            <w:tcW w:w="1460" w:type="dxa"/>
            <w:shd w:val="clear" w:color="auto" w:fill="auto"/>
            <w:vAlign w:val="center"/>
          </w:tcPr>
          <w:p>
            <w:pPr>
              <w:jc w:val="center"/>
              <w:rPr>
                <w:color w:val="auto"/>
                <w:szCs w:val="21"/>
                <w:highlight w:val="none"/>
              </w:rPr>
            </w:pPr>
            <w:r>
              <w:rPr>
                <w:color w:val="auto"/>
                <w:szCs w:val="21"/>
                <w:highlight w:val="none"/>
              </w:rPr>
              <w:t>审批部门</w:t>
            </w:r>
          </w:p>
        </w:tc>
        <w:tc>
          <w:tcPr>
            <w:tcW w:w="2835" w:type="dxa"/>
            <w:shd w:val="clear" w:color="auto" w:fill="auto"/>
            <w:vAlign w:val="center"/>
          </w:tcPr>
          <w:p>
            <w:pPr>
              <w:jc w:val="center"/>
              <w:rPr>
                <w:color w:val="auto"/>
                <w:szCs w:val="21"/>
                <w:highlight w:val="none"/>
              </w:rPr>
            </w:pPr>
            <w:r>
              <w:rPr>
                <w:color w:val="auto"/>
                <w:szCs w:val="21"/>
                <w:highlight w:val="none"/>
              </w:rPr>
              <w:t>审批文号</w:t>
            </w:r>
          </w:p>
        </w:tc>
        <w:tc>
          <w:tcPr>
            <w:tcW w:w="3025" w:type="dxa"/>
            <w:shd w:val="clear" w:color="auto" w:fill="auto"/>
            <w:vAlign w:val="center"/>
          </w:tcPr>
          <w:p>
            <w:pPr>
              <w:jc w:val="center"/>
              <w:rPr>
                <w:color w:val="auto"/>
                <w:szCs w:val="21"/>
                <w:highlight w:val="none"/>
              </w:rPr>
            </w:pPr>
            <w:r>
              <w:rPr>
                <w:color w:val="auto"/>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shd w:val="clear" w:color="auto" w:fill="auto"/>
            <w:vAlign w:val="center"/>
          </w:tcPr>
          <w:p>
            <w:pPr>
              <w:jc w:val="center"/>
              <w:rPr>
                <w:color w:val="auto"/>
                <w:sz w:val="21"/>
                <w:szCs w:val="21"/>
                <w:highlight w:val="none"/>
              </w:rPr>
            </w:pPr>
            <w:r>
              <w:rPr>
                <w:rFonts w:hint="eastAsia"/>
                <w:color w:val="auto"/>
                <w:sz w:val="21"/>
                <w:szCs w:val="21"/>
                <w:highlight w:val="none"/>
              </w:rPr>
              <w:t>1999年3月</w:t>
            </w:r>
          </w:p>
        </w:tc>
        <w:tc>
          <w:tcPr>
            <w:tcW w:w="1460" w:type="dxa"/>
            <w:shd w:val="clear" w:color="auto" w:fill="auto"/>
            <w:vAlign w:val="center"/>
          </w:tcPr>
          <w:p>
            <w:pPr>
              <w:jc w:val="center"/>
              <w:rPr>
                <w:color w:val="auto"/>
                <w:sz w:val="21"/>
                <w:szCs w:val="21"/>
                <w:highlight w:val="none"/>
              </w:rPr>
            </w:pPr>
            <w:r>
              <w:rPr>
                <w:rFonts w:hint="eastAsia"/>
                <w:color w:val="auto"/>
                <w:sz w:val="21"/>
                <w:szCs w:val="21"/>
                <w:highlight w:val="none"/>
              </w:rPr>
              <w:t>/</w:t>
            </w:r>
          </w:p>
        </w:tc>
        <w:tc>
          <w:tcPr>
            <w:tcW w:w="2835" w:type="dxa"/>
            <w:shd w:val="clear" w:color="auto" w:fill="auto"/>
            <w:vAlign w:val="center"/>
          </w:tcPr>
          <w:p>
            <w:pPr>
              <w:jc w:val="center"/>
              <w:rPr>
                <w:rFonts w:hint="eastAsia" w:eastAsia="宋体"/>
                <w:color w:val="auto"/>
                <w:sz w:val="21"/>
                <w:szCs w:val="21"/>
                <w:highlight w:val="none"/>
                <w:lang w:eastAsia="zh-CN"/>
              </w:rPr>
            </w:pPr>
            <w:r>
              <w:rPr>
                <w:rFonts w:hint="eastAsia"/>
                <w:snapToGrid w:val="0"/>
                <w:color w:val="auto"/>
                <w:kern w:val="0"/>
                <w:sz w:val="21"/>
                <w:szCs w:val="21"/>
                <w:highlight w:val="none"/>
              </w:rPr>
              <w:t>《遵化市黎河第四～七级水电站可行性研究报告》</w:t>
            </w:r>
            <w:r>
              <w:rPr>
                <w:rFonts w:hint="eastAsia"/>
                <w:snapToGrid w:val="0"/>
                <w:color w:val="auto"/>
                <w:kern w:val="0"/>
                <w:sz w:val="21"/>
                <w:szCs w:val="21"/>
                <w:highlight w:val="none"/>
                <w:lang w:eastAsia="zh-CN"/>
              </w:rPr>
              <w:t>的批复（冀水电[1999]5号）</w:t>
            </w:r>
          </w:p>
        </w:tc>
        <w:tc>
          <w:tcPr>
            <w:tcW w:w="3025" w:type="dxa"/>
            <w:vMerge w:val="restart"/>
            <w:shd w:val="clear" w:color="auto" w:fill="auto"/>
            <w:vAlign w:val="center"/>
          </w:tcPr>
          <w:p>
            <w:pPr>
              <w:jc w:val="center"/>
              <w:rPr>
                <w:color w:val="auto"/>
                <w:szCs w:val="21"/>
                <w:highlight w:val="none"/>
              </w:rPr>
            </w:pPr>
            <w:r>
              <w:rPr>
                <w:color w:val="auto"/>
                <w:szCs w:val="21"/>
                <w:highlight w:val="none"/>
              </w:rPr>
              <w:t>项目位于</w:t>
            </w:r>
            <w:r>
              <w:rPr>
                <w:rFonts w:hint="eastAsia"/>
                <w:color w:val="auto"/>
                <w:szCs w:val="21"/>
                <w:highlight w:val="none"/>
              </w:rPr>
              <w:t>遵化市建明镇西铺村西南1200m</w:t>
            </w:r>
            <w:r>
              <w:rPr>
                <w:snapToGrid w:val="0"/>
                <w:color w:val="auto"/>
                <w:kern w:val="0"/>
                <w:szCs w:val="21"/>
                <w:highlight w:val="none"/>
              </w:rPr>
              <w:t>，为引水式水电站，设计</w:t>
            </w:r>
            <w:r>
              <w:rPr>
                <w:color w:val="auto"/>
                <w:szCs w:val="21"/>
                <w:highlight w:val="none"/>
              </w:rPr>
              <w:t>年发电量</w:t>
            </w:r>
            <w:r>
              <w:rPr>
                <w:rFonts w:hint="eastAsia"/>
                <w:color w:val="auto"/>
                <w:szCs w:val="21"/>
                <w:highlight w:val="none"/>
              </w:rPr>
              <w:t>1465.5</w:t>
            </w:r>
            <w:r>
              <w:rPr>
                <w:rFonts w:ascii="Arial" w:hAnsi="Arial" w:cs="Arial"/>
                <w:color w:val="auto"/>
                <w:szCs w:val="21"/>
                <w:highlight w:val="none"/>
              </w:rPr>
              <w:t>×</w:t>
            </w:r>
            <w:r>
              <w:rPr>
                <w:rFonts w:hint="eastAsia"/>
                <w:color w:val="auto"/>
                <w:szCs w:val="21"/>
                <w:highlight w:val="none"/>
              </w:rPr>
              <w:t>10</w:t>
            </w:r>
            <w:r>
              <w:rPr>
                <w:color w:val="auto"/>
                <w:szCs w:val="21"/>
                <w:highlight w:val="none"/>
                <w:vertAlign w:val="superscript"/>
              </w:rPr>
              <w:t>4</w:t>
            </w:r>
            <w:r>
              <w:rPr>
                <w:color w:val="auto"/>
                <w:szCs w:val="21"/>
                <w:highlight w:val="none"/>
              </w:rPr>
              <w:t>kw·h，</w:t>
            </w:r>
            <w:r>
              <w:rPr>
                <w:snapToGrid w:val="0"/>
                <w:color w:val="auto"/>
                <w:kern w:val="0"/>
                <w:szCs w:val="21"/>
                <w:highlight w:val="none"/>
              </w:rPr>
              <w:t>拦河橡胶坝、引水节制闸、引水渠、前池、压力管道、厂房、尾水渠、升压站、并网线路、厂区及附属设施和生活区等。</w:t>
            </w:r>
            <w:r>
              <w:rPr>
                <w:color w:val="auto"/>
                <w:szCs w:val="21"/>
                <w:highlight w:val="none"/>
              </w:rPr>
              <w:t>电站设计流量</w:t>
            </w:r>
            <w:r>
              <w:rPr>
                <w:rFonts w:hint="eastAsia"/>
                <w:color w:val="auto"/>
                <w:szCs w:val="21"/>
                <w:highlight w:val="none"/>
                <w:lang w:val="en-US" w:eastAsia="zh-CN"/>
              </w:rPr>
              <w:t>55.92</w:t>
            </w:r>
            <w:r>
              <w:rPr>
                <w:color w:val="auto"/>
                <w:szCs w:val="21"/>
                <w:highlight w:val="none"/>
              </w:rPr>
              <w:t>m³/s，设计水头</w:t>
            </w:r>
            <w:r>
              <w:rPr>
                <w:rFonts w:hint="eastAsia"/>
                <w:color w:val="auto"/>
                <w:szCs w:val="21"/>
                <w:highlight w:val="none"/>
                <w:lang w:val="en-US" w:eastAsia="zh-CN"/>
              </w:rPr>
              <w:t>10.1</w:t>
            </w:r>
            <w:r>
              <w:rPr>
                <w:color w:val="auto"/>
                <w:szCs w:val="21"/>
                <w:highlight w:val="none"/>
              </w:rPr>
              <w:t>m，总装机容量</w:t>
            </w:r>
            <w:r>
              <w:rPr>
                <w:rFonts w:hint="eastAsia"/>
                <w:snapToGrid w:val="0"/>
                <w:color w:val="auto"/>
                <w:kern w:val="0"/>
                <w:szCs w:val="21"/>
                <w:highlight w:val="none"/>
                <w:lang w:val="en-US" w:eastAsia="zh-CN"/>
              </w:rPr>
              <w:t>1</w:t>
            </w:r>
            <w:r>
              <w:rPr>
                <w:snapToGrid w:val="0"/>
                <w:color w:val="auto"/>
                <w:kern w:val="0"/>
                <w:szCs w:val="21"/>
                <w:highlight w:val="none"/>
              </w:rPr>
              <w:t>×</w:t>
            </w:r>
            <w:r>
              <w:rPr>
                <w:rFonts w:hint="eastAsia"/>
                <w:snapToGrid w:val="0"/>
                <w:color w:val="auto"/>
                <w:kern w:val="0"/>
                <w:szCs w:val="21"/>
                <w:highlight w:val="none"/>
                <w:lang w:val="en-US" w:eastAsia="zh-CN"/>
              </w:rPr>
              <w:t>500</w:t>
            </w:r>
            <w:r>
              <w:rPr>
                <w:snapToGrid w:val="0"/>
                <w:color w:val="auto"/>
                <w:kern w:val="0"/>
                <w:szCs w:val="21"/>
                <w:highlight w:val="none"/>
              </w:rPr>
              <w:t>0kW</w:t>
            </w:r>
            <w:r>
              <w:rPr>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shd w:val="clear" w:color="auto" w:fill="auto"/>
            <w:vAlign w:val="center"/>
          </w:tcPr>
          <w:p>
            <w:pPr>
              <w:jc w:val="center"/>
              <w:rPr>
                <w:color w:val="auto"/>
                <w:sz w:val="21"/>
                <w:szCs w:val="21"/>
                <w:highlight w:val="none"/>
              </w:rPr>
            </w:pPr>
            <w:r>
              <w:rPr>
                <w:rFonts w:hint="eastAsia"/>
                <w:color w:val="auto"/>
                <w:sz w:val="21"/>
                <w:szCs w:val="21"/>
                <w:highlight w:val="none"/>
              </w:rPr>
              <w:t>2004年11月</w:t>
            </w:r>
          </w:p>
        </w:tc>
        <w:tc>
          <w:tcPr>
            <w:tcW w:w="1460" w:type="dxa"/>
            <w:shd w:val="clear" w:color="auto" w:fill="auto"/>
            <w:vAlign w:val="center"/>
          </w:tcPr>
          <w:p>
            <w:pPr>
              <w:jc w:val="center"/>
              <w:rPr>
                <w:color w:val="auto"/>
                <w:sz w:val="21"/>
                <w:szCs w:val="21"/>
                <w:highlight w:val="none"/>
              </w:rPr>
            </w:pPr>
            <w:r>
              <w:rPr>
                <w:snapToGrid w:val="0"/>
                <w:color w:val="auto"/>
                <w:kern w:val="0"/>
                <w:sz w:val="21"/>
                <w:szCs w:val="21"/>
                <w:highlight w:val="none"/>
              </w:rPr>
              <w:t>河北省水利厅</w:t>
            </w:r>
          </w:p>
        </w:tc>
        <w:tc>
          <w:tcPr>
            <w:tcW w:w="2835" w:type="dxa"/>
            <w:shd w:val="clear" w:color="auto" w:fill="auto"/>
            <w:vAlign w:val="center"/>
          </w:tcPr>
          <w:p>
            <w:pPr>
              <w:jc w:val="center"/>
              <w:rPr>
                <w:color w:val="auto"/>
                <w:sz w:val="21"/>
                <w:szCs w:val="21"/>
                <w:highlight w:val="none"/>
              </w:rPr>
            </w:pPr>
            <w:r>
              <w:rPr>
                <w:rFonts w:hint="eastAsia"/>
                <w:color w:val="auto"/>
                <w:sz w:val="21"/>
                <w:szCs w:val="21"/>
                <w:highlight w:val="none"/>
                <w:lang w:eastAsia="zh-CN"/>
              </w:rPr>
              <w:t>《遵化市黎河四级水电站初步设计》</w:t>
            </w:r>
            <w:r>
              <w:rPr>
                <w:color w:val="auto"/>
                <w:sz w:val="21"/>
                <w:szCs w:val="21"/>
                <w:highlight w:val="none"/>
              </w:rPr>
              <w:t>的批复（</w:t>
            </w:r>
            <w:r>
              <w:rPr>
                <w:rFonts w:hint="eastAsia"/>
                <w:color w:val="auto"/>
                <w:sz w:val="21"/>
                <w:szCs w:val="21"/>
                <w:highlight w:val="none"/>
              </w:rPr>
              <w:t>冀水电[2004]52号</w:t>
            </w:r>
            <w:r>
              <w:rPr>
                <w:color w:val="auto"/>
                <w:sz w:val="21"/>
                <w:szCs w:val="21"/>
                <w:highlight w:val="none"/>
              </w:rPr>
              <w:t>）</w:t>
            </w:r>
          </w:p>
        </w:tc>
        <w:tc>
          <w:tcPr>
            <w:tcW w:w="3025" w:type="dxa"/>
            <w:vMerge w:val="continue"/>
            <w:shd w:val="clear" w:color="auto" w:fill="auto"/>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shd w:val="clear" w:color="auto" w:fill="auto"/>
            <w:vAlign w:val="center"/>
          </w:tcPr>
          <w:p>
            <w:pPr>
              <w:jc w:val="center"/>
              <w:rPr>
                <w:rFonts w:hint="eastAsia"/>
                <w:color w:val="auto"/>
                <w:sz w:val="21"/>
                <w:szCs w:val="21"/>
                <w:highlight w:val="none"/>
              </w:rPr>
            </w:pPr>
            <w:r>
              <w:rPr>
                <w:rFonts w:hint="default"/>
                <w:color w:val="auto"/>
                <w:sz w:val="21"/>
                <w:szCs w:val="21"/>
                <w:highlight w:val="none"/>
                <w:lang w:val="en-US" w:eastAsia="zh-CN"/>
              </w:rPr>
              <w:t>2005年4月</w:t>
            </w:r>
          </w:p>
        </w:tc>
        <w:tc>
          <w:tcPr>
            <w:tcW w:w="1460" w:type="dxa"/>
            <w:shd w:val="clear" w:color="auto" w:fill="auto"/>
            <w:vAlign w:val="center"/>
          </w:tcPr>
          <w:p>
            <w:pPr>
              <w:jc w:val="center"/>
              <w:rPr>
                <w:rFonts w:hint="eastAsia"/>
                <w:color w:val="auto"/>
                <w:sz w:val="21"/>
                <w:szCs w:val="21"/>
                <w:highlight w:val="none"/>
              </w:rPr>
            </w:pPr>
            <w:r>
              <w:rPr>
                <w:rFonts w:hint="eastAsia"/>
                <w:color w:val="auto"/>
                <w:sz w:val="21"/>
                <w:szCs w:val="21"/>
                <w:highlight w:val="none"/>
              </w:rPr>
              <w:t>河北省水利厅</w:t>
            </w:r>
          </w:p>
        </w:tc>
        <w:tc>
          <w:tcPr>
            <w:tcW w:w="2835" w:type="dxa"/>
            <w:shd w:val="clear" w:color="auto" w:fill="auto"/>
            <w:vAlign w:val="center"/>
          </w:tcPr>
          <w:p>
            <w:pPr>
              <w:jc w:val="center"/>
              <w:rPr>
                <w:color w:val="auto"/>
                <w:sz w:val="21"/>
                <w:szCs w:val="21"/>
                <w:highlight w:val="none"/>
              </w:rPr>
            </w:pPr>
            <w:r>
              <w:rPr>
                <w:rFonts w:hint="eastAsia"/>
                <w:snapToGrid w:val="0"/>
                <w:color w:val="auto"/>
                <w:kern w:val="0"/>
                <w:sz w:val="21"/>
                <w:szCs w:val="21"/>
                <w:highlight w:val="none"/>
              </w:rPr>
              <w:t>《遵化市黎河四级水电站修改初步设计》的批复（冀水电函[2005]40号）</w:t>
            </w:r>
          </w:p>
        </w:tc>
        <w:tc>
          <w:tcPr>
            <w:tcW w:w="3025" w:type="dxa"/>
            <w:vMerge w:val="continue"/>
            <w:shd w:val="clear" w:color="auto" w:fill="auto"/>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shd w:val="clear" w:color="auto" w:fill="auto"/>
            <w:vAlign w:val="center"/>
          </w:tcPr>
          <w:p>
            <w:pPr>
              <w:jc w:val="center"/>
              <w:rPr>
                <w:color w:val="auto"/>
                <w:sz w:val="21"/>
                <w:szCs w:val="21"/>
                <w:highlight w:val="none"/>
              </w:rPr>
            </w:pPr>
            <w:r>
              <w:rPr>
                <w:rFonts w:hint="eastAsia"/>
                <w:color w:val="auto"/>
                <w:sz w:val="21"/>
                <w:szCs w:val="21"/>
                <w:highlight w:val="none"/>
              </w:rPr>
              <w:t>2011年10月</w:t>
            </w:r>
          </w:p>
        </w:tc>
        <w:tc>
          <w:tcPr>
            <w:tcW w:w="1460" w:type="dxa"/>
            <w:shd w:val="clear" w:color="auto" w:fill="auto"/>
            <w:vAlign w:val="center"/>
          </w:tcPr>
          <w:p>
            <w:pPr>
              <w:jc w:val="center"/>
              <w:rPr>
                <w:color w:val="auto"/>
                <w:sz w:val="21"/>
                <w:szCs w:val="21"/>
                <w:highlight w:val="none"/>
              </w:rPr>
            </w:pPr>
            <w:r>
              <w:rPr>
                <w:snapToGrid w:val="0"/>
                <w:color w:val="auto"/>
                <w:kern w:val="0"/>
                <w:sz w:val="21"/>
                <w:szCs w:val="21"/>
                <w:highlight w:val="none"/>
              </w:rPr>
              <w:t>河北省水利厅</w:t>
            </w:r>
          </w:p>
        </w:tc>
        <w:tc>
          <w:tcPr>
            <w:tcW w:w="2835" w:type="dxa"/>
            <w:shd w:val="clear" w:color="auto" w:fill="auto"/>
            <w:vAlign w:val="center"/>
          </w:tcPr>
          <w:p>
            <w:pPr>
              <w:jc w:val="center"/>
              <w:rPr>
                <w:color w:val="auto"/>
                <w:sz w:val="21"/>
                <w:szCs w:val="21"/>
                <w:highlight w:val="none"/>
              </w:rPr>
            </w:pPr>
            <w:r>
              <w:rPr>
                <w:rFonts w:hint="eastAsia"/>
                <w:snapToGrid w:val="0"/>
                <w:color w:val="auto"/>
                <w:kern w:val="0"/>
                <w:sz w:val="21"/>
                <w:szCs w:val="21"/>
                <w:highlight w:val="none"/>
              </w:rPr>
              <w:t>《黎河四级水电站项目调整概算》</w:t>
            </w:r>
            <w:r>
              <w:rPr>
                <w:color w:val="auto"/>
                <w:sz w:val="21"/>
                <w:szCs w:val="21"/>
                <w:highlight w:val="none"/>
              </w:rPr>
              <w:t>（</w:t>
            </w:r>
            <w:r>
              <w:rPr>
                <w:rFonts w:hint="eastAsia"/>
                <w:color w:val="auto"/>
                <w:sz w:val="21"/>
                <w:szCs w:val="21"/>
                <w:highlight w:val="none"/>
              </w:rPr>
              <w:t>冀水电[2011]36号</w:t>
            </w:r>
            <w:r>
              <w:rPr>
                <w:color w:val="auto"/>
                <w:sz w:val="21"/>
                <w:szCs w:val="21"/>
                <w:highlight w:val="none"/>
              </w:rPr>
              <w:t>）</w:t>
            </w:r>
          </w:p>
        </w:tc>
        <w:tc>
          <w:tcPr>
            <w:tcW w:w="3025" w:type="dxa"/>
            <w:vMerge w:val="continue"/>
            <w:shd w:val="clear" w:color="auto" w:fill="auto"/>
            <w:vAlign w:val="center"/>
          </w:tcPr>
          <w:p>
            <w:pPr>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shd w:val="clear" w:color="auto" w:fill="auto"/>
            <w:vAlign w:val="center"/>
          </w:tcPr>
          <w:p>
            <w:pPr>
              <w:jc w:val="center"/>
              <w:rPr>
                <w:color w:val="auto"/>
                <w:sz w:val="21"/>
                <w:szCs w:val="21"/>
                <w:highlight w:val="none"/>
              </w:rPr>
            </w:pPr>
            <w:r>
              <w:rPr>
                <w:rFonts w:hint="eastAsia"/>
                <w:color w:val="auto"/>
                <w:sz w:val="21"/>
                <w:szCs w:val="21"/>
                <w:highlight w:val="none"/>
              </w:rPr>
              <w:t>2012年8月</w:t>
            </w:r>
          </w:p>
        </w:tc>
        <w:tc>
          <w:tcPr>
            <w:tcW w:w="1460" w:type="dxa"/>
            <w:shd w:val="clear" w:color="auto" w:fill="auto"/>
            <w:vAlign w:val="center"/>
          </w:tcPr>
          <w:p>
            <w:pPr>
              <w:jc w:val="center"/>
              <w:rPr>
                <w:color w:val="auto"/>
                <w:sz w:val="21"/>
                <w:szCs w:val="21"/>
                <w:highlight w:val="none"/>
              </w:rPr>
            </w:pPr>
            <w:r>
              <w:rPr>
                <w:rFonts w:hint="eastAsia"/>
                <w:snapToGrid w:val="0"/>
                <w:color w:val="auto"/>
                <w:kern w:val="0"/>
                <w:sz w:val="21"/>
                <w:szCs w:val="21"/>
                <w:highlight w:val="none"/>
              </w:rPr>
              <w:t>河北省水利厅</w:t>
            </w:r>
          </w:p>
        </w:tc>
        <w:tc>
          <w:tcPr>
            <w:tcW w:w="2835" w:type="dxa"/>
            <w:shd w:val="clear" w:color="auto" w:fill="auto"/>
            <w:vAlign w:val="center"/>
          </w:tcPr>
          <w:p>
            <w:pPr>
              <w:jc w:val="center"/>
              <w:rPr>
                <w:color w:val="auto"/>
                <w:sz w:val="21"/>
                <w:szCs w:val="21"/>
                <w:highlight w:val="none"/>
              </w:rPr>
            </w:pPr>
            <w:r>
              <w:rPr>
                <w:rFonts w:hint="eastAsia"/>
                <w:color w:val="auto"/>
                <w:sz w:val="21"/>
                <w:szCs w:val="21"/>
                <w:highlight w:val="none"/>
              </w:rPr>
              <w:t>《遵化市黎河四级水电站通过竣工验收》（冀水电【2012】27号）</w:t>
            </w:r>
          </w:p>
        </w:tc>
        <w:tc>
          <w:tcPr>
            <w:tcW w:w="3025" w:type="dxa"/>
            <w:vMerge w:val="continue"/>
            <w:shd w:val="clear" w:color="auto" w:fill="auto"/>
            <w:vAlign w:val="center"/>
          </w:tcPr>
          <w:p>
            <w:pPr>
              <w:jc w:val="center"/>
              <w:rPr>
                <w:color w:val="auto"/>
                <w:szCs w:val="21"/>
                <w:highlight w:val="none"/>
              </w:rPr>
            </w:pPr>
          </w:p>
        </w:tc>
      </w:tr>
    </w:tbl>
    <w:p>
      <w:pPr>
        <w:spacing w:line="480" w:lineRule="exact"/>
        <w:jc w:val="center"/>
        <w:rPr>
          <w:b/>
          <w:bCs/>
          <w:color w:val="auto"/>
          <w:sz w:val="24"/>
          <w:highlight w:val="none"/>
        </w:rPr>
      </w:pPr>
      <w:r>
        <w:rPr>
          <w:b/>
          <w:bCs/>
          <w:color w:val="auto"/>
          <w:sz w:val="24"/>
          <w:highlight w:val="none"/>
        </w:rPr>
        <w:t>表3.1-2   施工时序及完工时序回顾</w:t>
      </w:r>
    </w:p>
    <w:tbl>
      <w:tblPr>
        <w:tblStyle w:val="51"/>
        <w:tblW w:w="884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9"/>
        <w:gridCol w:w="1260"/>
        <w:gridCol w:w="2262"/>
        <w:gridCol w:w="1716"/>
        <w:gridCol w:w="17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889"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项目名称</w:t>
            </w:r>
          </w:p>
        </w:tc>
        <w:tc>
          <w:tcPr>
            <w:tcW w:w="1260"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分标</w:t>
            </w:r>
          </w:p>
        </w:tc>
        <w:tc>
          <w:tcPr>
            <w:tcW w:w="2262"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承建单位</w:t>
            </w:r>
          </w:p>
        </w:tc>
        <w:tc>
          <w:tcPr>
            <w:tcW w:w="1716"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开工日期</w:t>
            </w:r>
          </w:p>
        </w:tc>
        <w:tc>
          <w:tcPr>
            <w:tcW w:w="1716"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完工日期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889"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主副厂房工程</w:t>
            </w:r>
          </w:p>
        </w:tc>
        <w:tc>
          <w:tcPr>
            <w:tcW w:w="1260"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第一标段</w:t>
            </w:r>
          </w:p>
        </w:tc>
        <w:tc>
          <w:tcPr>
            <w:tcW w:w="2262"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河北省水利工程局</w:t>
            </w:r>
          </w:p>
        </w:tc>
        <w:tc>
          <w:tcPr>
            <w:tcW w:w="1716"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2005-05-18</w:t>
            </w:r>
          </w:p>
        </w:tc>
        <w:tc>
          <w:tcPr>
            <w:tcW w:w="1716"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2006-6-30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889"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机电设备安装</w:t>
            </w:r>
          </w:p>
        </w:tc>
        <w:tc>
          <w:tcPr>
            <w:tcW w:w="1260"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第一标段</w:t>
            </w:r>
          </w:p>
        </w:tc>
        <w:tc>
          <w:tcPr>
            <w:tcW w:w="2262"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河北省水利工程局</w:t>
            </w:r>
          </w:p>
        </w:tc>
        <w:tc>
          <w:tcPr>
            <w:tcW w:w="1716"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2006-04-4</w:t>
            </w:r>
          </w:p>
        </w:tc>
        <w:tc>
          <w:tcPr>
            <w:tcW w:w="1716"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2006-10-12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889"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橡胶坝工程</w:t>
            </w:r>
          </w:p>
        </w:tc>
        <w:tc>
          <w:tcPr>
            <w:tcW w:w="1260"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第二标段</w:t>
            </w:r>
          </w:p>
        </w:tc>
        <w:tc>
          <w:tcPr>
            <w:tcW w:w="2262"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沧州市水利工程处</w:t>
            </w:r>
          </w:p>
        </w:tc>
        <w:tc>
          <w:tcPr>
            <w:tcW w:w="1716"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2005-10-15</w:t>
            </w:r>
          </w:p>
        </w:tc>
        <w:tc>
          <w:tcPr>
            <w:tcW w:w="1716"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2006-5-15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889"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引水渠节制闸工程</w:t>
            </w:r>
          </w:p>
        </w:tc>
        <w:tc>
          <w:tcPr>
            <w:tcW w:w="1260"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第二标段</w:t>
            </w:r>
          </w:p>
        </w:tc>
        <w:tc>
          <w:tcPr>
            <w:tcW w:w="2262"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沧州市水利工程处</w:t>
            </w:r>
          </w:p>
        </w:tc>
        <w:tc>
          <w:tcPr>
            <w:tcW w:w="1716"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2005-10-15</w:t>
            </w:r>
          </w:p>
        </w:tc>
        <w:tc>
          <w:tcPr>
            <w:tcW w:w="1716"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2006-5-15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889"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引水渠工程</w:t>
            </w:r>
          </w:p>
        </w:tc>
        <w:tc>
          <w:tcPr>
            <w:tcW w:w="1260"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第三标段</w:t>
            </w:r>
          </w:p>
        </w:tc>
        <w:tc>
          <w:tcPr>
            <w:tcW w:w="2262"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葛洲坝集团第六工程有限公司</w:t>
            </w:r>
          </w:p>
        </w:tc>
        <w:tc>
          <w:tcPr>
            <w:tcW w:w="1716"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2005-8-18</w:t>
            </w:r>
          </w:p>
        </w:tc>
        <w:tc>
          <w:tcPr>
            <w:tcW w:w="1716"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2006-5-30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889"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尾水渠及厂区工程</w:t>
            </w:r>
          </w:p>
        </w:tc>
        <w:tc>
          <w:tcPr>
            <w:tcW w:w="1260"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第四标段</w:t>
            </w:r>
          </w:p>
        </w:tc>
        <w:tc>
          <w:tcPr>
            <w:tcW w:w="2262"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唐山市潘家口水利水电工程有限公司</w:t>
            </w:r>
          </w:p>
        </w:tc>
        <w:tc>
          <w:tcPr>
            <w:tcW w:w="1716"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2006-3-5</w:t>
            </w:r>
          </w:p>
        </w:tc>
        <w:tc>
          <w:tcPr>
            <w:tcW w:w="1716" w:type="dxa"/>
            <w:noWrap w:val="0"/>
            <w:vAlign w:val="center"/>
          </w:tcPr>
          <w:p>
            <w:pPr>
              <w:jc w:val="center"/>
              <w:rPr>
                <w:rFonts w:hint="eastAsia" w:ascii="Times New Roman" w:hAnsi="Times New Roman" w:cs="Times New Roman"/>
                <w:snapToGrid w:val="0"/>
                <w:color w:val="auto"/>
                <w:kern w:val="0"/>
                <w:sz w:val="21"/>
                <w:szCs w:val="21"/>
                <w:highlight w:val="none"/>
              </w:rPr>
            </w:pPr>
            <w:r>
              <w:rPr>
                <w:rFonts w:hint="eastAsia" w:ascii="Times New Roman" w:hAnsi="Times New Roman" w:cs="Times New Roman"/>
                <w:snapToGrid w:val="0"/>
                <w:color w:val="auto"/>
                <w:kern w:val="0"/>
                <w:sz w:val="21"/>
                <w:szCs w:val="21"/>
                <w:highlight w:val="none"/>
              </w:rPr>
              <w:t>2006-10-10</w:t>
            </w:r>
          </w:p>
        </w:tc>
      </w:tr>
    </w:tbl>
    <w:p>
      <w:pPr>
        <w:pStyle w:val="290"/>
        <w:spacing w:before="0" w:after="0" w:line="480" w:lineRule="exact"/>
        <w:ind w:firstLine="480"/>
        <w:rPr>
          <w:rFonts w:ascii="Times New Roman" w:hAnsi="Times New Roman"/>
          <w:snapToGrid w:val="0"/>
          <w:color w:val="auto"/>
          <w:highlight w:val="none"/>
        </w:rPr>
      </w:pPr>
      <w:r>
        <w:rPr>
          <w:rFonts w:hint="eastAsia" w:ascii="Times New Roman" w:hAnsi="Times New Roman"/>
          <w:snapToGrid w:val="0"/>
          <w:color w:val="auto"/>
          <w:highlight w:val="none"/>
          <w:lang w:eastAsia="zh-CN"/>
        </w:rPr>
        <w:t>（</w:t>
      </w:r>
      <w:r>
        <w:rPr>
          <w:rFonts w:hint="eastAsia" w:ascii="Times New Roman" w:hAnsi="Times New Roman"/>
          <w:snapToGrid w:val="0"/>
          <w:color w:val="auto"/>
          <w:highlight w:val="none"/>
          <w:lang w:val="en-US" w:eastAsia="zh-CN"/>
        </w:rPr>
        <w:t>2</w:t>
      </w:r>
      <w:r>
        <w:rPr>
          <w:rFonts w:hint="eastAsia" w:ascii="Times New Roman" w:hAnsi="Times New Roman"/>
          <w:snapToGrid w:val="0"/>
          <w:color w:val="auto"/>
          <w:highlight w:val="none"/>
          <w:lang w:eastAsia="zh-CN"/>
        </w:rPr>
        <w:t>）</w:t>
      </w:r>
      <w:r>
        <w:rPr>
          <w:rFonts w:ascii="Times New Roman" w:hAnsi="Times New Roman"/>
          <w:snapToGrid w:val="0"/>
          <w:color w:val="auto"/>
          <w:highlight w:val="none"/>
        </w:rPr>
        <w:t>施工期工程量</w:t>
      </w:r>
    </w:p>
    <w:p>
      <w:pPr>
        <w:pStyle w:val="290"/>
        <w:spacing w:before="0" w:after="0" w:line="480" w:lineRule="exact"/>
        <w:ind w:firstLine="480"/>
        <w:rPr>
          <w:rFonts w:ascii="Times New Roman" w:hAnsi="Times New Roman"/>
          <w:snapToGrid w:val="0"/>
          <w:color w:val="auto"/>
          <w:highlight w:val="none"/>
        </w:rPr>
      </w:pPr>
      <w:r>
        <w:rPr>
          <w:rFonts w:hint="eastAsia" w:ascii="Times New Roman" w:hAnsi="Times New Roman"/>
          <w:snapToGrid w:val="0"/>
          <w:color w:val="auto"/>
          <w:highlight w:val="none"/>
        </w:rPr>
        <w:t>土方开挖223920 m</w:t>
      </w:r>
      <w:r>
        <w:rPr>
          <w:rFonts w:hint="eastAsia" w:ascii="Times New Roman" w:hAnsi="Times New Roman"/>
          <w:snapToGrid w:val="0"/>
          <w:color w:val="auto"/>
          <w:highlight w:val="none"/>
          <w:vertAlign w:val="superscript"/>
        </w:rPr>
        <w:t>3</w:t>
      </w:r>
      <w:r>
        <w:rPr>
          <w:rFonts w:hint="eastAsia" w:ascii="Times New Roman" w:hAnsi="Times New Roman"/>
          <w:snapToGrid w:val="0"/>
          <w:color w:val="auto"/>
          <w:highlight w:val="none"/>
        </w:rPr>
        <w:t>；土方回填130999.5m</w:t>
      </w:r>
      <w:r>
        <w:rPr>
          <w:rFonts w:hint="eastAsia" w:ascii="Times New Roman" w:hAnsi="Times New Roman"/>
          <w:snapToGrid w:val="0"/>
          <w:color w:val="auto"/>
          <w:highlight w:val="none"/>
          <w:vertAlign w:val="superscript"/>
        </w:rPr>
        <w:t>3</w:t>
      </w:r>
      <w:r>
        <w:rPr>
          <w:rFonts w:hint="eastAsia" w:ascii="Times New Roman" w:hAnsi="Times New Roman"/>
          <w:snapToGrid w:val="0"/>
          <w:color w:val="auto"/>
          <w:highlight w:val="none"/>
        </w:rPr>
        <w:t>；干砌石2363 m3；浆砌石14237m</w:t>
      </w:r>
      <w:r>
        <w:rPr>
          <w:rFonts w:hint="eastAsia" w:ascii="Times New Roman" w:hAnsi="Times New Roman"/>
          <w:snapToGrid w:val="0"/>
          <w:color w:val="auto"/>
          <w:highlight w:val="none"/>
          <w:vertAlign w:val="superscript"/>
        </w:rPr>
        <w:t>3</w:t>
      </w:r>
      <w:r>
        <w:rPr>
          <w:rFonts w:hint="eastAsia" w:ascii="Times New Roman" w:hAnsi="Times New Roman"/>
          <w:snapToGrid w:val="0"/>
          <w:color w:val="auto"/>
          <w:highlight w:val="none"/>
        </w:rPr>
        <w:t>；混凝土8343m</w:t>
      </w:r>
      <w:r>
        <w:rPr>
          <w:rFonts w:hint="eastAsia" w:ascii="Times New Roman" w:hAnsi="Times New Roman"/>
          <w:snapToGrid w:val="0"/>
          <w:color w:val="auto"/>
          <w:highlight w:val="none"/>
          <w:vertAlign w:val="superscript"/>
        </w:rPr>
        <w:t>3</w:t>
      </w:r>
      <w:r>
        <w:rPr>
          <w:rFonts w:hint="eastAsia" w:ascii="Times New Roman" w:hAnsi="Times New Roman"/>
          <w:snapToGrid w:val="0"/>
          <w:color w:val="auto"/>
          <w:highlight w:val="none"/>
        </w:rPr>
        <w:t>；钢筋制安467 t；模板14938.56 m</w:t>
      </w:r>
      <w:r>
        <w:rPr>
          <w:rFonts w:hint="eastAsia" w:ascii="Times New Roman" w:hAnsi="Times New Roman"/>
          <w:snapToGrid w:val="0"/>
          <w:color w:val="auto"/>
          <w:highlight w:val="none"/>
          <w:vertAlign w:val="superscript"/>
        </w:rPr>
        <w:t>2</w:t>
      </w:r>
      <w:r>
        <w:rPr>
          <w:rFonts w:hint="eastAsia" w:ascii="Times New Roman" w:hAnsi="Times New Roman"/>
          <w:snapToGrid w:val="0"/>
          <w:color w:val="auto"/>
          <w:highlight w:val="none"/>
        </w:rPr>
        <w:t>及机电设备安装工程</w:t>
      </w:r>
      <w:r>
        <w:rPr>
          <w:rFonts w:ascii="Times New Roman" w:hAnsi="Times New Roman"/>
          <w:snapToGrid w:val="0"/>
          <w:color w:val="auto"/>
          <w:highlight w:val="none"/>
        </w:rPr>
        <w:t>。</w:t>
      </w:r>
    </w:p>
    <w:p>
      <w:pPr>
        <w:pStyle w:val="290"/>
        <w:spacing w:before="0" w:after="0" w:line="480" w:lineRule="exact"/>
        <w:ind w:firstLine="480"/>
        <w:rPr>
          <w:rFonts w:hint="eastAsia"/>
          <w:color w:val="auto"/>
          <w:highlight w:val="none"/>
          <w:lang w:eastAsia="zh-CN"/>
        </w:rPr>
      </w:pPr>
      <w:r>
        <w:rPr>
          <w:rFonts w:ascii="Times New Roman" w:hAnsi="Times New Roman"/>
          <w:snapToGrid w:val="0"/>
          <w:color w:val="auto"/>
          <w:highlight w:val="none"/>
        </w:rPr>
        <w:t>项目主体施工期于200</w:t>
      </w:r>
      <w:r>
        <w:rPr>
          <w:rFonts w:hint="eastAsia" w:ascii="Times New Roman" w:hAnsi="Times New Roman"/>
          <w:snapToGrid w:val="0"/>
          <w:color w:val="auto"/>
          <w:highlight w:val="none"/>
          <w:lang w:val="en-US" w:eastAsia="zh-CN"/>
        </w:rPr>
        <w:t>6</w:t>
      </w:r>
      <w:r>
        <w:rPr>
          <w:rFonts w:ascii="Times New Roman" w:hAnsi="Times New Roman"/>
          <w:snapToGrid w:val="0"/>
          <w:color w:val="auto"/>
          <w:highlight w:val="none"/>
        </w:rPr>
        <w:t>年已经完成，201</w:t>
      </w:r>
      <w:r>
        <w:rPr>
          <w:rFonts w:hint="eastAsia" w:ascii="Times New Roman" w:hAnsi="Times New Roman"/>
          <w:snapToGrid w:val="0"/>
          <w:color w:val="auto"/>
          <w:highlight w:val="none"/>
          <w:lang w:val="en-US" w:eastAsia="zh-CN"/>
        </w:rPr>
        <w:t>1</w:t>
      </w:r>
      <w:r>
        <w:rPr>
          <w:rFonts w:ascii="Times New Roman" w:hAnsi="Times New Roman"/>
          <w:snapToGrid w:val="0"/>
          <w:color w:val="auto"/>
          <w:highlight w:val="none"/>
        </w:rPr>
        <w:t>年12月</w:t>
      </w:r>
      <w:r>
        <w:rPr>
          <w:rFonts w:hint="eastAsia" w:ascii="Times New Roman" w:hAnsi="Times New Roman"/>
          <w:snapToGrid w:val="0"/>
          <w:color w:val="auto"/>
          <w:highlight w:val="none"/>
          <w:lang w:val="en-US" w:eastAsia="zh-CN"/>
        </w:rPr>
        <w:t>1</w:t>
      </w:r>
      <w:r>
        <w:rPr>
          <w:rFonts w:ascii="Times New Roman" w:hAnsi="Times New Roman"/>
          <w:snapToGrid w:val="0"/>
          <w:color w:val="auto"/>
          <w:highlight w:val="none"/>
        </w:rPr>
        <w:t>日</w:t>
      </w:r>
      <w:r>
        <w:rPr>
          <w:rFonts w:hint="eastAsia" w:ascii="Times New Roman" w:hAnsi="Times New Roman"/>
          <w:snapToGrid w:val="0"/>
          <w:color w:val="auto"/>
          <w:highlight w:val="none"/>
          <w:lang w:eastAsia="zh-CN"/>
        </w:rPr>
        <w:t>档案、财务决算</w:t>
      </w:r>
      <w:r>
        <w:rPr>
          <w:rFonts w:ascii="Times New Roman" w:hAnsi="Times New Roman"/>
          <w:snapToGrid w:val="0"/>
          <w:color w:val="auto"/>
          <w:highlight w:val="none"/>
        </w:rPr>
        <w:t>验收合格。后续改造主要是按要求设置危废间</w:t>
      </w:r>
      <w:r>
        <w:rPr>
          <w:rFonts w:hint="eastAsia" w:ascii="Times New Roman" w:hAnsi="Times New Roman"/>
          <w:snapToGrid w:val="0"/>
          <w:color w:val="auto"/>
          <w:highlight w:val="none"/>
          <w:lang w:eastAsia="zh-CN"/>
        </w:rPr>
        <w:t>、</w:t>
      </w:r>
      <w:r>
        <w:rPr>
          <w:rFonts w:ascii="Times New Roman" w:hAnsi="Times New Roman"/>
          <w:snapToGrid w:val="0"/>
          <w:color w:val="auto"/>
          <w:highlight w:val="none"/>
        </w:rPr>
        <w:t>安装监控设施等，工作量较小，施工期基本不产生环境影响。本次评价主要回顾其施工期环保措施的落实情</w:t>
      </w:r>
      <w:r>
        <w:rPr>
          <w:rFonts w:hint="eastAsia"/>
          <w:snapToGrid w:val="0"/>
          <w:color w:val="auto"/>
          <w:highlight w:val="none"/>
        </w:rPr>
        <w:t>况、</w:t>
      </w:r>
      <w:r>
        <w:rPr>
          <w:rFonts w:hint="eastAsia"/>
          <w:color w:val="auto"/>
          <w:highlight w:val="none"/>
        </w:rPr>
        <w:t>调查、识别施工期是否遗留有环境问题，包括施工场地的污染源是否全部清除，施工场地整治和修复是否全面、完整和有效</w:t>
      </w:r>
      <w:r>
        <w:rPr>
          <w:rFonts w:hint="eastAsia"/>
          <w:color w:val="auto"/>
          <w:highlight w:val="none"/>
          <w:lang w:eastAsia="zh-CN"/>
        </w:rPr>
        <w:t>。</w:t>
      </w:r>
    </w:p>
    <w:p>
      <w:pPr>
        <w:pStyle w:val="290"/>
        <w:spacing w:before="0" w:after="0" w:line="480" w:lineRule="exact"/>
        <w:ind w:firstLine="480"/>
        <w:rPr>
          <w:rFonts w:hint="default"/>
          <w:color w:val="auto"/>
          <w:highlight w:val="none"/>
          <w:lang w:val="en-US" w:eastAsia="zh-CN"/>
        </w:rPr>
      </w:pPr>
      <w:r>
        <w:rPr>
          <w:rFonts w:hint="eastAsia"/>
          <w:color w:val="auto"/>
          <w:highlight w:val="none"/>
          <w:lang w:val="en-US" w:eastAsia="zh-CN"/>
        </w:rPr>
        <w:t>（3）施工期环境影响分析</w:t>
      </w:r>
    </w:p>
    <w:p>
      <w:pPr>
        <w:pStyle w:val="290"/>
        <w:spacing w:before="0" w:after="0" w:line="480" w:lineRule="exact"/>
        <w:ind w:firstLine="480"/>
        <w:rPr>
          <w:rFonts w:hint="eastAsia"/>
          <w:color w:val="auto"/>
          <w:highlight w:val="none"/>
          <w:lang w:eastAsia="zh-CN"/>
        </w:rPr>
      </w:pPr>
      <w:r>
        <w:rPr>
          <w:rFonts w:hint="eastAsia"/>
          <w:color w:val="auto"/>
          <w:highlight w:val="none"/>
          <w:lang w:eastAsia="zh-CN"/>
        </w:rPr>
        <w:t>施工期废污水主要为施工废水和生活污水。施工废水主要产生于土建工程施工、材料和设备清洗以及雨水径流，其主要成分是含泥沙废水</w:t>
      </w:r>
      <w:r>
        <w:rPr>
          <w:rFonts w:hint="default" w:ascii="Times New Roman" w:hAnsi="Times New Roman" w:cs="Times New Roman"/>
          <w:color w:val="auto"/>
          <w:highlight w:val="none"/>
          <w:lang w:eastAsia="zh-CN"/>
        </w:rPr>
        <w:t>。建设时，由于当时环保理念落后，项目施工废水多就地排放，没有进行收集处置。</w:t>
      </w:r>
      <w:r>
        <w:rPr>
          <w:rFonts w:hint="eastAsia"/>
          <w:color w:val="auto"/>
          <w:highlight w:val="none"/>
          <w:lang w:eastAsia="zh-CN"/>
        </w:rPr>
        <w:t>总体上，施工废水未对区域水环境造成不良影响。施工期生活污水来自于施工人员、工作人员产生少量生活污水，污水中主要污染物为</w:t>
      </w:r>
      <w:r>
        <w:rPr>
          <w:rFonts w:hint="default" w:ascii="Times New Roman" w:hAnsi="Times New Roman" w:cs="Times New Roman"/>
          <w:color w:val="auto"/>
          <w:highlight w:val="none"/>
          <w:lang w:eastAsia="zh-CN"/>
        </w:rPr>
        <w:t xml:space="preserve"> COD、BOD</w:t>
      </w:r>
      <w:r>
        <w:rPr>
          <w:rFonts w:hint="default" w:ascii="Times New Roman" w:hAnsi="Times New Roman" w:cs="Times New Roman"/>
          <w:color w:val="auto"/>
          <w:highlight w:val="none"/>
          <w:vertAlign w:val="subscript"/>
          <w:lang w:eastAsia="zh-CN"/>
        </w:rPr>
        <w:t>5</w:t>
      </w:r>
      <w:r>
        <w:rPr>
          <w:rFonts w:hint="default" w:ascii="Times New Roman" w:hAnsi="Times New Roman" w:cs="Times New Roman"/>
          <w:color w:val="auto"/>
          <w:highlight w:val="none"/>
          <w:lang w:eastAsia="zh-CN"/>
        </w:rPr>
        <w:t xml:space="preserve"> 、SS、</w:t>
      </w:r>
      <w:r>
        <w:rPr>
          <w:rFonts w:hint="eastAsia"/>
          <w:color w:val="auto"/>
          <w:highlight w:val="none"/>
          <w:lang w:eastAsia="zh-CN"/>
        </w:rPr>
        <w:t>氨氮等，生活污水水量小、水质简单。从以往及目前地表水及地下水环境现状监测资料来看，施工期生活污水合理处置后，未对水环境造成不良影响。</w:t>
      </w:r>
    </w:p>
    <w:p>
      <w:pPr>
        <w:pStyle w:val="290"/>
        <w:spacing w:before="0" w:after="0" w:line="480" w:lineRule="exact"/>
        <w:ind w:firstLine="480"/>
        <w:rPr>
          <w:rFonts w:hint="eastAsia"/>
          <w:color w:val="auto"/>
          <w:highlight w:val="none"/>
          <w:lang w:eastAsia="zh-CN"/>
        </w:rPr>
      </w:pPr>
      <w:r>
        <w:rPr>
          <w:rFonts w:hint="eastAsia"/>
          <w:color w:val="auto"/>
          <w:highlight w:val="none"/>
          <w:lang w:eastAsia="zh-CN"/>
        </w:rPr>
        <w:t>施工期固体废物主要为施工建筑垃圾、施工挖方土石及生活垃圾。施工建筑垃圾包括施工过程中产生的砖瓦石块、渣土、泥土、废弃的混凝土、水泥和砂浆等。建设时，工建筑垃圾均设置临时收集点集中收集，收集后运至当地规定的建筑垃圾处置场进行统一处置，对区域水环境及土壤环境基本无影响。施工期生活垃圾主要由施工人员、工作人员日常生活产生。集中收集后交由当地环卫部门统一处理。施工期生活垃圾处置后，对区域水环境及土壤环境基本无影响。</w:t>
      </w:r>
    </w:p>
    <w:p>
      <w:pPr>
        <w:pStyle w:val="290"/>
        <w:spacing w:before="0" w:after="0" w:line="480" w:lineRule="exact"/>
        <w:ind w:firstLine="480"/>
        <w:rPr>
          <w:rFonts w:hint="eastAsia"/>
          <w:color w:val="auto"/>
          <w:highlight w:val="none"/>
          <w:lang w:eastAsia="zh-CN"/>
        </w:rPr>
      </w:pPr>
      <w:r>
        <w:rPr>
          <w:rFonts w:hint="eastAsia"/>
          <w:color w:val="auto"/>
          <w:highlight w:val="none"/>
          <w:lang w:eastAsia="zh-CN"/>
        </w:rPr>
        <w:t>综上所述，本项目施工期仅对本区地表水产汇流条件产生一定影响。但项目施工期已结束多年，地表水环境经自然恢复后，已形成新的产汇流条件，因此，本项目施工期基本未对区域环境产生影响。</w:t>
      </w:r>
    </w:p>
    <w:p>
      <w:pPr>
        <w:pStyle w:val="290"/>
        <w:spacing w:before="0" w:after="0" w:line="480" w:lineRule="exact"/>
        <w:ind w:firstLine="480"/>
        <w:rPr>
          <w:rFonts w:hint="eastAsia"/>
          <w:color w:val="auto"/>
          <w:highlight w:val="none"/>
          <w:lang w:eastAsia="zh-CN"/>
        </w:rPr>
      </w:pPr>
    </w:p>
    <w:tbl>
      <w:tblPr>
        <w:tblStyle w:val="52"/>
        <w:tblW w:w="0" w:type="auto"/>
        <w:tblInd w:w="5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6"/>
        <w:gridCol w:w="36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7" w:hRule="atLeast"/>
        </w:trPr>
        <w:tc>
          <w:tcPr>
            <w:tcW w:w="3658" w:type="dxa"/>
            <w:tcBorders>
              <w:top w:val="nil"/>
              <w:left w:val="nil"/>
              <w:bottom w:val="nil"/>
              <w:right w:val="nil"/>
            </w:tcBorders>
          </w:tcPr>
          <w:p>
            <w:pPr>
              <w:pStyle w:val="290"/>
              <w:spacing w:before="0" w:after="0" w:line="240" w:lineRule="auto"/>
              <w:ind w:left="0" w:leftChars="0" w:right="0" w:rightChars="0" w:firstLine="0" w:firstLineChars="0"/>
              <w:jc w:val="center"/>
              <w:rPr>
                <w:rFonts w:hint="eastAsia"/>
                <w:color w:val="auto"/>
                <w:highlight w:val="none"/>
                <w:vertAlign w:val="baseline"/>
                <w:lang w:eastAsia="zh-CN"/>
              </w:rPr>
            </w:pPr>
            <w:r>
              <w:rPr>
                <w:rFonts w:hint="eastAsia"/>
                <w:color w:val="auto"/>
                <w:highlight w:val="none"/>
                <w:vertAlign w:val="baseline"/>
                <w:lang w:eastAsia="zh-CN"/>
              </w:rPr>
              <w:drawing>
                <wp:inline distT="0" distB="0" distL="114300" distR="114300">
                  <wp:extent cx="2182495" cy="1580515"/>
                  <wp:effectExtent l="0" t="0" r="8255" b="635"/>
                  <wp:docPr id="6" name="图片 6" descr="橡胶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橡胶坝"/>
                          <pic:cNvPicPr>
                            <a:picLocks noChangeAspect="1"/>
                          </pic:cNvPicPr>
                        </pic:nvPicPr>
                        <pic:blipFill>
                          <a:blip r:embed="rId36"/>
                          <a:stretch>
                            <a:fillRect/>
                          </a:stretch>
                        </pic:blipFill>
                        <pic:spPr>
                          <a:xfrm>
                            <a:off x="0" y="0"/>
                            <a:ext cx="2182495" cy="1580515"/>
                          </a:xfrm>
                          <a:prstGeom prst="rect">
                            <a:avLst/>
                          </a:prstGeom>
                        </pic:spPr>
                      </pic:pic>
                    </a:graphicData>
                  </a:graphic>
                </wp:inline>
              </w:drawing>
            </w:r>
          </w:p>
        </w:tc>
        <w:tc>
          <w:tcPr>
            <w:tcW w:w="3484" w:type="dxa"/>
            <w:tcBorders>
              <w:top w:val="nil"/>
              <w:left w:val="nil"/>
              <w:bottom w:val="nil"/>
              <w:right w:val="nil"/>
            </w:tcBorders>
          </w:tcPr>
          <w:p>
            <w:pPr>
              <w:pStyle w:val="290"/>
              <w:spacing w:before="0" w:after="0" w:line="240" w:lineRule="auto"/>
              <w:ind w:left="0" w:leftChars="0" w:right="0" w:rightChars="0" w:firstLine="0" w:firstLineChars="0"/>
              <w:jc w:val="center"/>
              <w:rPr>
                <w:rFonts w:hint="eastAsia"/>
                <w:color w:val="auto"/>
                <w:highlight w:val="none"/>
                <w:vertAlign w:val="baseline"/>
                <w:lang w:eastAsia="zh-CN"/>
              </w:rPr>
            </w:pPr>
            <w:r>
              <w:rPr>
                <w:rFonts w:hint="eastAsia"/>
                <w:color w:val="auto"/>
                <w:highlight w:val="none"/>
                <w:vertAlign w:val="baseline"/>
                <w:lang w:eastAsia="zh-CN"/>
              </w:rPr>
              <w:drawing>
                <wp:inline distT="0" distB="0" distL="114300" distR="114300">
                  <wp:extent cx="2209800" cy="1532255"/>
                  <wp:effectExtent l="0" t="0" r="0" b="10795"/>
                  <wp:docPr id="46" name="图片 46" descr="引水节制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引水节制阀"/>
                          <pic:cNvPicPr>
                            <a:picLocks noChangeAspect="1"/>
                          </pic:cNvPicPr>
                        </pic:nvPicPr>
                        <pic:blipFill>
                          <a:blip r:embed="rId37"/>
                          <a:stretch>
                            <a:fillRect/>
                          </a:stretch>
                        </pic:blipFill>
                        <pic:spPr>
                          <a:xfrm>
                            <a:off x="0" y="0"/>
                            <a:ext cx="2209800" cy="15322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58" w:type="dxa"/>
            <w:tcBorders>
              <w:top w:val="nil"/>
              <w:left w:val="nil"/>
              <w:bottom w:val="nil"/>
              <w:right w:val="nil"/>
            </w:tcBorders>
          </w:tcPr>
          <w:p>
            <w:pPr>
              <w:pStyle w:val="290"/>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rPr>
                <w:rFonts w:hint="eastAsia"/>
                <w:b/>
                <w:bCs/>
                <w:color w:val="auto"/>
                <w:sz w:val="21"/>
                <w:szCs w:val="21"/>
                <w:highlight w:val="none"/>
                <w:vertAlign w:val="baseline"/>
                <w:lang w:eastAsia="zh-CN"/>
              </w:rPr>
            </w:pPr>
            <w:r>
              <w:rPr>
                <w:rFonts w:hint="eastAsia"/>
                <w:b/>
                <w:bCs/>
                <w:color w:val="auto"/>
                <w:sz w:val="21"/>
                <w:szCs w:val="21"/>
                <w:highlight w:val="none"/>
                <w:vertAlign w:val="baseline"/>
                <w:lang w:eastAsia="zh-CN"/>
              </w:rPr>
              <w:t>橡胶坝</w:t>
            </w:r>
          </w:p>
        </w:tc>
        <w:tc>
          <w:tcPr>
            <w:tcW w:w="3484" w:type="dxa"/>
            <w:tcBorders>
              <w:top w:val="nil"/>
              <w:left w:val="nil"/>
              <w:bottom w:val="nil"/>
              <w:right w:val="nil"/>
            </w:tcBorders>
          </w:tcPr>
          <w:p>
            <w:pPr>
              <w:pStyle w:val="290"/>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rPr>
                <w:rFonts w:hint="eastAsia"/>
                <w:b/>
                <w:bCs/>
                <w:color w:val="auto"/>
                <w:sz w:val="21"/>
                <w:szCs w:val="21"/>
                <w:highlight w:val="none"/>
                <w:vertAlign w:val="baseline"/>
                <w:lang w:eastAsia="zh-CN"/>
              </w:rPr>
            </w:pPr>
            <w:r>
              <w:rPr>
                <w:rFonts w:hint="eastAsia"/>
                <w:b/>
                <w:bCs/>
                <w:color w:val="auto"/>
                <w:sz w:val="21"/>
                <w:szCs w:val="21"/>
                <w:highlight w:val="none"/>
                <w:vertAlign w:val="baseline"/>
                <w:lang w:eastAsia="zh-CN"/>
              </w:rPr>
              <w:t>引水节制闸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58" w:type="dxa"/>
            <w:tcBorders>
              <w:top w:val="nil"/>
              <w:left w:val="nil"/>
              <w:bottom w:val="nil"/>
              <w:right w:val="nil"/>
            </w:tcBorders>
          </w:tcPr>
          <w:p>
            <w:pPr>
              <w:pStyle w:val="290"/>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rPr>
                <w:rFonts w:hint="eastAsia"/>
                <w:color w:val="auto"/>
                <w:highlight w:val="none"/>
                <w:vertAlign w:val="baseline"/>
                <w:lang w:eastAsia="zh-CN"/>
              </w:rPr>
            </w:pPr>
            <w:r>
              <w:rPr>
                <w:rFonts w:hint="eastAsia"/>
                <w:color w:val="auto"/>
                <w:highlight w:val="none"/>
                <w:vertAlign w:val="baseline"/>
                <w:lang w:eastAsia="zh-CN"/>
              </w:rPr>
              <w:drawing>
                <wp:inline distT="0" distB="0" distL="114300" distR="114300">
                  <wp:extent cx="2189480" cy="1452880"/>
                  <wp:effectExtent l="0" t="0" r="1270" b="13970"/>
                  <wp:docPr id="47" name="图片 47" descr="前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前池"/>
                          <pic:cNvPicPr>
                            <a:picLocks noChangeAspect="1"/>
                          </pic:cNvPicPr>
                        </pic:nvPicPr>
                        <pic:blipFill>
                          <a:blip r:embed="rId38"/>
                          <a:stretch>
                            <a:fillRect/>
                          </a:stretch>
                        </pic:blipFill>
                        <pic:spPr>
                          <a:xfrm>
                            <a:off x="0" y="0"/>
                            <a:ext cx="2189480" cy="1452880"/>
                          </a:xfrm>
                          <a:prstGeom prst="rect">
                            <a:avLst/>
                          </a:prstGeom>
                        </pic:spPr>
                      </pic:pic>
                    </a:graphicData>
                  </a:graphic>
                </wp:inline>
              </w:drawing>
            </w:r>
          </w:p>
        </w:tc>
        <w:tc>
          <w:tcPr>
            <w:tcW w:w="3484" w:type="dxa"/>
            <w:tcBorders>
              <w:top w:val="nil"/>
              <w:left w:val="nil"/>
              <w:bottom w:val="nil"/>
              <w:right w:val="nil"/>
            </w:tcBorders>
          </w:tcPr>
          <w:p>
            <w:pPr>
              <w:pStyle w:val="290"/>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rPr>
                <w:rFonts w:hint="eastAsia"/>
                <w:color w:val="auto"/>
                <w:highlight w:val="none"/>
                <w:vertAlign w:val="baseline"/>
                <w:lang w:eastAsia="zh-CN"/>
              </w:rPr>
            </w:pPr>
            <w:r>
              <w:rPr>
                <w:rFonts w:hint="eastAsia"/>
                <w:color w:val="auto"/>
                <w:highlight w:val="none"/>
                <w:vertAlign w:val="baseline"/>
                <w:lang w:eastAsia="zh-CN"/>
              </w:rPr>
              <w:drawing>
                <wp:inline distT="0" distB="0" distL="114300" distR="114300">
                  <wp:extent cx="2209800" cy="1433830"/>
                  <wp:effectExtent l="0" t="0" r="0" b="13970"/>
                  <wp:docPr id="42" name="图片 42" descr="1691744188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691744188472"/>
                          <pic:cNvPicPr>
                            <a:picLocks noChangeAspect="1"/>
                          </pic:cNvPicPr>
                        </pic:nvPicPr>
                        <pic:blipFill>
                          <a:blip r:embed="rId39"/>
                          <a:stretch>
                            <a:fillRect/>
                          </a:stretch>
                        </pic:blipFill>
                        <pic:spPr>
                          <a:xfrm>
                            <a:off x="0" y="0"/>
                            <a:ext cx="2209800" cy="14338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58" w:type="dxa"/>
            <w:tcBorders>
              <w:top w:val="nil"/>
              <w:left w:val="nil"/>
              <w:bottom w:val="nil"/>
              <w:right w:val="nil"/>
            </w:tcBorders>
          </w:tcPr>
          <w:p>
            <w:pPr>
              <w:pStyle w:val="290"/>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rPr>
                <w:rFonts w:hint="eastAsia"/>
                <w:b/>
                <w:bCs/>
                <w:color w:val="auto"/>
                <w:sz w:val="21"/>
                <w:szCs w:val="21"/>
                <w:highlight w:val="none"/>
                <w:vertAlign w:val="baseline"/>
                <w:lang w:eastAsia="zh-CN"/>
              </w:rPr>
            </w:pPr>
            <w:r>
              <w:rPr>
                <w:rFonts w:hint="eastAsia"/>
                <w:b/>
                <w:bCs/>
                <w:color w:val="auto"/>
                <w:sz w:val="21"/>
                <w:szCs w:val="21"/>
                <w:highlight w:val="none"/>
                <w:vertAlign w:val="baseline"/>
                <w:lang w:eastAsia="zh-CN"/>
              </w:rPr>
              <w:t>前池</w:t>
            </w:r>
          </w:p>
        </w:tc>
        <w:tc>
          <w:tcPr>
            <w:tcW w:w="3484" w:type="dxa"/>
            <w:tcBorders>
              <w:top w:val="nil"/>
              <w:left w:val="nil"/>
              <w:bottom w:val="nil"/>
              <w:right w:val="nil"/>
            </w:tcBorders>
          </w:tcPr>
          <w:p>
            <w:pPr>
              <w:pStyle w:val="290"/>
              <w:keepNext w:val="0"/>
              <w:keepLines w:val="0"/>
              <w:pageBreakBefore w:val="0"/>
              <w:widowControl w:val="0"/>
              <w:kinsoku/>
              <w:wordWrap/>
              <w:overflowPunct/>
              <w:topLinePunct w:val="0"/>
              <w:autoSpaceDE/>
              <w:autoSpaceDN/>
              <w:bidi w:val="0"/>
              <w:adjustRightInd/>
              <w:snapToGrid/>
              <w:spacing w:before="0" w:after="0" w:line="320" w:lineRule="exact"/>
              <w:ind w:left="0" w:leftChars="0" w:right="0" w:rightChars="0" w:firstLine="0" w:firstLineChars="0"/>
              <w:jc w:val="center"/>
              <w:textAlignment w:val="auto"/>
              <w:rPr>
                <w:rFonts w:hint="eastAsia"/>
                <w:b/>
                <w:bCs/>
                <w:color w:val="auto"/>
                <w:sz w:val="21"/>
                <w:szCs w:val="21"/>
                <w:highlight w:val="none"/>
                <w:vertAlign w:val="baseline"/>
                <w:lang w:eastAsia="zh-CN"/>
              </w:rPr>
            </w:pPr>
            <w:r>
              <w:rPr>
                <w:rFonts w:hint="eastAsia"/>
                <w:b/>
                <w:bCs/>
                <w:color w:val="auto"/>
                <w:sz w:val="21"/>
                <w:szCs w:val="21"/>
                <w:highlight w:val="none"/>
                <w:vertAlign w:val="baseline"/>
                <w:lang w:eastAsia="zh-CN"/>
              </w:rPr>
              <w:t>厂区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58" w:type="dxa"/>
            <w:tcBorders>
              <w:top w:val="nil"/>
              <w:left w:val="nil"/>
              <w:bottom w:val="nil"/>
              <w:right w:val="nil"/>
            </w:tcBorders>
          </w:tcPr>
          <w:p>
            <w:pPr>
              <w:pStyle w:val="290"/>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rPr>
                <w:rFonts w:hint="eastAsia"/>
                <w:color w:val="auto"/>
                <w:highlight w:val="none"/>
                <w:vertAlign w:val="baseline"/>
                <w:lang w:eastAsia="zh-CN"/>
              </w:rPr>
            </w:pPr>
            <w:r>
              <w:rPr>
                <w:rFonts w:hint="eastAsia"/>
                <w:color w:val="auto"/>
                <w:highlight w:val="none"/>
                <w:vertAlign w:val="baseline"/>
                <w:lang w:eastAsia="zh-CN"/>
              </w:rPr>
              <w:drawing>
                <wp:inline distT="0" distB="0" distL="114300" distR="114300">
                  <wp:extent cx="2190115" cy="1541145"/>
                  <wp:effectExtent l="0" t="0" r="635" b="1905"/>
                  <wp:docPr id="48" name="图片 48" descr="尾水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尾水渠"/>
                          <pic:cNvPicPr>
                            <a:picLocks noChangeAspect="1"/>
                          </pic:cNvPicPr>
                        </pic:nvPicPr>
                        <pic:blipFill>
                          <a:blip r:embed="rId40"/>
                          <a:stretch>
                            <a:fillRect/>
                          </a:stretch>
                        </pic:blipFill>
                        <pic:spPr>
                          <a:xfrm>
                            <a:off x="0" y="0"/>
                            <a:ext cx="2190115" cy="1541145"/>
                          </a:xfrm>
                          <a:prstGeom prst="rect">
                            <a:avLst/>
                          </a:prstGeom>
                        </pic:spPr>
                      </pic:pic>
                    </a:graphicData>
                  </a:graphic>
                </wp:inline>
              </w:drawing>
            </w:r>
          </w:p>
        </w:tc>
        <w:tc>
          <w:tcPr>
            <w:tcW w:w="3484" w:type="dxa"/>
            <w:tcBorders>
              <w:top w:val="nil"/>
              <w:left w:val="nil"/>
              <w:bottom w:val="nil"/>
              <w:right w:val="nil"/>
            </w:tcBorders>
          </w:tcPr>
          <w:p>
            <w:pPr>
              <w:pStyle w:val="290"/>
              <w:keepNext w:val="0"/>
              <w:keepLines w:val="0"/>
              <w:pageBreakBefore w:val="0"/>
              <w:widowControl w:val="0"/>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rPr>
                <w:rFonts w:hint="eastAsia"/>
                <w:color w:val="auto"/>
                <w:highlight w:val="none"/>
                <w:vertAlign w:val="baseline"/>
                <w:lang w:eastAsia="zh-CN"/>
              </w:rPr>
            </w:pPr>
            <w:r>
              <w:rPr>
                <w:rFonts w:hint="eastAsia"/>
                <w:color w:val="auto"/>
                <w:highlight w:val="none"/>
                <w:vertAlign w:val="baseline"/>
                <w:lang w:eastAsia="zh-CN"/>
              </w:rPr>
              <w:drawing>
                <wp:inline distT="0" distB="0" distL="114300" distR="114300">
                  <wp:extent cx="2209800" cy="1443990"/>
                  <wp:effectExtent l="0" t="0" r="0" b="3810"/>
                  <wp:docPr id="41" name="图片 41" descr="1691744188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1691744188424"/>
                          <pic:cNvPicPr>
                            <a:picLocks noChangeAspect="1"/>
                          </pic:cNvPicPr>
                        </pic:nvPicPr>
                        <pic:blipFill>
                          <a:blip r:embed="rId41"/>
                          <a:stretch>
                            <a:fillRect/>
                          </a:stretch>
                        </pic:blipFill>
                        <pic:spPr>
                          <a:xfrm>
                            <a:off x="0" y="0"/>
                            <a:ext cx="2209800" cy="14439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3658" w:type="dxa"/>
            <w:tcBorders>
              <w:top w:val="nil"/>
              <w:left w:val="nil"/>
              <w:bottom w:val="nil"/>
              <w:right w:val="nil"/>
            </w:tcBorders>
          </w:tcPr>
          <w:p>
            <w:pPr>
              <w:pStyle w:val="290"/>
              <w:keepNext w:val="0"/>
              <w:keepLines w:val="0"/>
              <w:pageBreakBefore w:val="0"/>
              <w:widowControl w:val="0"/>
              <w:kinsoku/>
              <w:wordWrap/>
              <w:overflowPunct/>
              <w:topLinePunct w:val="0"/>
              <w:autoSpaceDE/>
              <w:autoSpaceDN/>
              <w:bidi w:val="0"/>
              <w:adjustRightInd/>
              <w:snapToGrid/>
              <w:spacing w:before="0" w:after="0" w:line="240" w:lineRule="exact"/>
              <w:ind w:left="0" w:leftChars="0" w:right="0" w:rightChars="0" w:firstLine="0" w:firstLineChars="0"/>
              <w:jc w:val="center"/>
              <w:textAlignment w:val="auto"/>
              <w:rPr>
                <w:rFonts w:hint="eastAsia"/>
                <w:b/>
                <w:bCs/>
                <w:color w:val="auto"/>
                <w:highlight w:val="none"/>
                <w:vertAlign w:val="baseline"/>
                <w:lang w:eastAsia="zh-CN"/>
              </w:rPr>
            </w:pPr>
            <w:r>
              <w:rPr>
                <w:rFonts w:hint="eastAsia"/>
                <w:b/>
                <w:bCs/>
                <w:color w:val="auto"/>
                <w:sz w:val="21"/>
                <w:szCs w:val="21"/>
                <w:highlight w:val="none"/>
                <w:vertAlign w:val="baseline"/>
                <w:lang w:eastAsia="zh-CN"/>
              </w:rPr>
              <w:t>尾水</w:t>
            </w:r>
          </w:p>
        </w:tc>
        <w:tc>
          <w:tcPr>
            <w:tcW w:w="3484" w:type="dxa"/>
            <w:tcBorders>
              <w:top w:val="nil"/>
              <w:left w:val="nil"/>
              <w:bottom w:val="nil"/>
              <w:right w:val="nil"/>
            </w:tcBorders>
          </w:tcPr>
          <w:p>
            <w:pPr>
              <w:pStyle w:val="290"/>
              <w:keepNext w:val="0"/>
              <w:keepLines w:val="0"/>
              <w:pageBreakBefore w:val="0"/>
              <w:widowControl w:val="0"/>
              <w:kinsoku/>
              <w:wordWrap/>
              <w:overflowPunct/>
              <w:topLinePunct w:val="0"/>
              <w:autoSpaceDE/>
              <w:autoSpaceDN/>
              <w:bidi w:val="0"/>
              <w:adjustRightInd/>
              <w:snapToGrid/>
              <w:spacing w:before="0" w:after="0" w:line="240" w:lineRule="exact"/>
              <w:ind w:left="0" w:leftChars="0" w:right="0" w:rightChars="0" w:firstLine="0" w:firstLineChars="0"/>
              <w:jc w:val="center"/>
              <w:textAlignment w:val="auto"/>
              <w:rPr>
                <w:rFonts w:hint="default"/>
                <w:b/>
                <w:bCs/>
                <w:color w:val="auto"/>
                <w:highlight w:val="none"/>
                <w:vertAlign w:val="baseline"/>
                <w:lang w:val="en-US" w:eastAsia="zh-CN"/>
              </w:rPr>
            </w:pPr>
            <w:r>
              <w:rPr>
                <w:rFonts w:hint="eastAsia"/>
                <w:b/>
                <w:bCs/>
                <w:color w:val="auto"/>
                <w:highlight w:val="none"/>
                <w:vertAlign w:val="baseline"/>
                <w:lang w:val="en-US" w:eastAsia="zh-CN"/>
              </w:rPr>
              <w:t>黎河河道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3658" w:type="dxa"/>
            <w:tcBorders>
              <w:top w:val="nil"/>
              <w:left w:val="nil"/>
              <w:bottom w:val="nil"/>
              <w:right w:val="nil"/>
            </w:tcBorders>
          </w:tcPr>
          <w:p>
            <w:pPr>
              <w:pStyle w:val="290"/>
              <w:keepNext w:val="0"/>
              <w:keepLines w:val="0"/>
              <w:pageBreakBefore w:val="0"/>
              <w:widowControl w:val="0"/>
              <w:kinsoku/>
              <w:wordWrap/>
              <w:overflowPunct/>
              <w:topLinePunct w:val="0"/>
              <w:autoSpaceDE/>
              <w:autoSpaceDN/>
              <w:bidi w:val="0"/>
              <w:adjustRightInd/>
              <w:snapToGrid/>
              <w:spacing w:before="0" w:after="0" w:line="240" w:lineRule="exact"/>
              <w:ind w:left="0" w:leftChars="0" w:right="0" w:rightChars="0" w:firstLine="0" w:firstLineChars="0"/>
              <w:jc w:val="center"/>
              <w:textAlignment w:val="auto"/>
              <w:rPr>
                <w:rFonts w:hint="eastAsia"/>
                <w:b/>
                <w:bCs/>
                <w:color w:val="auto"/>
                <w:sz w:val="21"/>
                <w:szCs w:val="21"/>
                <w:highlight w:val="none"/>
                <w:vertAlign w:val="baseline"/>
                <w:lang w:eastAsia="zh-CN"/>
              </w:rPr>
            </w:pPr>
            <w:r>
              <w:rPr>
                <w:rFonts w:hint="eastAsia"/>
                <w:b/>
                <w:bCs/>
                <w:color w:val="auto"/>
                <w:sz w:val="21"/>
                <w:szCs w:val="21"/>
                <w:highlight w:val="none"/>
                <w:vertAlign w:val="baseline"/>
                <w:lang w:eastAsia="zh-CN"/>
              </w:rPr>
              <w:drawing>
                <wp:anchor distT="0" distB="0" distL="114300" distR="114300" simplePos="0" relativeHeight="251718656" behindDoc="0" locked="0" layoutInCell="1" allowOverlap="1">
                  <wp:simplePos x="0" y="0"/>
                  <wp:positionH relativeFrom="column">
                    <wp:posOffset>0</wp:posOffset>
                  </wp:positionH>
                  <wp:positionV relativeFrom="paragraph">
                    <wp:posOffset>-1535430</wp:posOffset>
                  </wp:positionV>
                  <wp:extent cx="2186940" cy="1640205"/>
                  <wp:effectExtent l="0" t="0" r="3810" b="17145"/>
                  <wp:wrapSquare wrapText="bothSides"/>
                  <wp:docPr id="53" name="图片 53" descr="主变及快速闸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主变及快速闸门"/>
                          <pic:cNvPicPr>
                            <a:picLocks noChangeAspect="1"/>
                          </pic:cNvPicPr>
                        </pic:nvPicPr>
                        <pic:blipFill>
                          <a:blip r:embed="rId42"/>
                          <a:stretch>
                            <a:fillRect/>
                          </a:stretch>
                        </pic:blipFill>
                        <pic:spPr>
                          <a:xfrm>
                            <a:off x="0" y="0"/>
                            <a:ext cx="2186940" cy="1640205"/>
                          </a:xfrm>
                          <a:prstGeom prst="rect">
                            <a:avLst/>
                          </a:prstGeom>
                        </pic:spPr>
                      </pic:pic>
                    </a:graphicData>
                  </a:graphic>
                </wp:anchor>
              </w:drawing>
            </w:r>
          </w:p>
        </w:tc>
        <w:tc>
          <w:tcPr>
            <w:tcW w:w="3484" w:type="dxa"/>
            <w:tcBorders>
              <w:top w:val="nil"/>
              <w:left w:val="nil"/>
              <w:bottom w:val="nil"/>
              <w:right w:val="nil"/>
            </w:tcBorders>
          </w:tcPr>
          <w:p>
            <w:pPr>
              <w:pStyle w:val="290"/>
              <w:keepNext w:val="0"/>
              <w:keepLines w:val="0"/>
              <w:pageBreakBefore w:val="0"/>
              <w:widowControl w:val="0"/>
              <w:kinsoku/>
              <w:wordWrap/>
              <w:overflowPunct/>
              <w:topLinePunct w:val="0"/>
              <w:autoSpaceDE/>
              <w:autoSpaceDN/>
              <w:bidi w:val="0"/>
              <w:adjustRightInd/>
              <w:snapToGrid/>
              <w:spacing w:before="0" w:after="0" w:line="240" w:lineRule="exact"/>
              <w:ind w:left="0" w:leftChars="0" w:right="0" w:rightChars="0" w:firstLine="0" w:firstLineChars="0"/>
              <w:jc w:val="center"/>
              <w:textAlignment w:val="auto"/>
              <w:rPr>
                <w:rFonts w:hint="default" w:ascii="Times New Roman" w:hAnsi="Times New Roman" w:cs="Times New Roman"/>
                <w:b/>
                <w:bCs/>
                <w:color w:val="auto"/>
                <w:sz w:val="21"/>
                <w:szCs w:val="21"/>
                <w:highlight w:val="none"/>
                <w:vertAlign w:val="baseline"/>
                <w:lang w:eastAsia="zh-CN"/>
              </w:rPr>
            </w:pPr>
            <w:r>
              <w:rPr>
                <w:rFonts w:hint="default" w:ascii="Times New Roman" w:hAnsi="Times New Roman" w:cs="Times New Roman"/>
                <w:b/>
                <w:bCs/>
                <w:color w:val="auto"/>
                <w:sz w:val="21"/>
                <w:szCs w:val="21"/>
                <w:highlight w:val="none"/>
                <w:vertAlign w:val="baseline"/>
                <w:lang w:eastAsia="zh-CN"/>
              </w:rPr>
              <w:drawing>
                <wp:anchor distT="0" distB="0" distL="114300" distR="114300" simplePos="0" relativeHeight="251719680" behindDoc="0" locked="0" layoutInCell="1" allowOverlap="1">
                  <wp:simplePos x="0" y="0"/>
                  <wp:positionH relativeFrom="column">
                    <wp:posOffset>0</wp:posOffset>
                  </wp:positionH>
                  <wp:positionV relativeFrom="paragraph">
                    <wp:posOffset>-1535430</wp:posOffset>
                  </wp:positionV>
                  <wp:extent cx="2205355" cy="1654175"/>
                  <wp:effectExtent l="0" t="0" r="4445" b="3175"/>
                  <wp:wrapSquare wrapText="bothSides"/>
                  <wp:docPr id="77" name="图片 77" descr="主副厂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主副厂房"/>
                          <pic:cNvPicPr>
                            <a:picLocks noChangeAspect="1"/>
                          </pic:cNvPicPr>
                        </pic:nvPicPr>
                        <pic:blipFill>
                          <a:blip r:embed="rId43"/>
                          <a:stretch>
                            <a:fillRect/>
                          </a:stretch>
                        </pic:blipFill>
                        <pic:spPr>
                          <a:xfrm>
                            <a:off x="0" y="0"/>
                            <a:ext cx="2205355" cy="165417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3658" w:type="dxa"/>
            <w:tcBorders>
              <w:top w:val="nil"/>
              <w:left w:val="nil"/>
              <w:bottom w:val="nil"/>
              <w:right w:val="nil"/>
            </w:tcBorders>
          </w:tcPr>
          <w:p>
            <w:pPr>
              <w:pStyle w:val="290"/>
              <w:keepNext w:val="0"/>
              <w:keepLines w:val="0"/>
              <w:pageBreakBefore w:val="0"/>
              <w:widowControl w:val="0"/>
              <w:kinsoku/>
              <w:wordWrap/>
              <w:overflowPunct/>
              <w:topLinePunct w:val="0"/>
              <w:autoSpaceDE/>
              <w:autoSpaceDN/>
              <w:bidi w:val="0"/>
              <w:adjustRightInd/>
              <w:snapToGrid/>
              <w:spacing w:before="0" w:after="0" w:line="240" w:lineRule="exact"/>
              <w:ind w:left="0" w:leftChars="0" w:right="0" w:rightChars="0" w:firstLine="0" w:firstLineChars="0"/>
              <w:jc w:val="center"/>
              <w:textAlignment w:val="auto"/>
              <w:rPr>
                <w:rFonts w:hint="eastAsia"/>
                <w:b/>
                <w:bCs/>
                <w:color w:val="auto"/>
                <w:sz w:val="21"/>
                <w:szCs w:val="21"/>
                <w:highlight w:val="none"/>
                <w:vertAlign w:val="baseline"/>
                <w:lang w:eastAsia="zh-CN"/>
              </w:rPr>
            </w:pPr>
            <w:r>
              <w:rPr>
                <w:rFonts w:hint="eastAsia"/>
                <w:b/>
                <w:bCs/>
                <w:color w:val="auto"/>
                <w:sz w:val="21"/>
                <w:szCs w:val="21"/>
                <w:highlight w:val="none"/>
                <w:vertAlign w:val="baseline"/>
                <w:lang w:eastAsia="zh-CN"/>
              </w:rPr>
              <w:t>主变及快速闸门</w:t>
            </w:r>
          </w:p>
        </w:tc>
        <w:tc>
          <w:tcPr>
            <w:tcW w:w="3484" w:type="dxa"/>
            <w:tcBorders>
              <w:top w:val="nil"/>
              <w:left w:val="nil"/>
              <w:bottom w:val="nil"/>
              <w:right w:val="nil"/>
            </w:tcBorders>
          </w:tcPr>
          <w:p>
            <w:pPr>
              <w:pStyle w:val="290"/>
              <w:keepNext w:val="0"/>
              <w:keepLines w:val="0"/>
              <w:pageBreakBefore w:val="0"/>
              <w:widowControl w:val="0"/>
              <w:kinsoku/>
              <w:wordWrap/>
              <w:overflowPunct/>
              <w:topLinePunct w:val="0"/>
              <w:autoSpaceDE/>
              <w:autoSpaceDN/>
              <w:bidi w:val="0"/>
              <w:adjustRightInd/>
              <w:snapToGrid/>
              <w:spacing w:before="0" w:after="0" w:line="240" w:lineRule="exact"/>
              <w:ind w:left="0" w:leftChars="0" w:right="0" w:rightChars="0" w:firstLine="0" w:firstLineChars="0"/>
              <w:jc w:val="center"/>
              <w:textAlignment w:val="auto"/>
              <w:rPr>
                <w:rFonts w:hint="default" w:ascii="Times New Roman" w:hAnsi="Times New Roman" w:cs="Times New Roman"/>
                <w:b/>
                <w:bCs/>
                <w:color w:val="auto"/>
                <w:sz w:val="21"/>
                <w:szCs w:val="21"/>
                <w:highlight w:val="none"/>
                <w:vertAlign w:val="baseline"/>
                <w:lang w:eastAsia="zh-CN"/>
              </w:rPr>
            </w:pPr>
            <w:r>
              <w:rPr>
                <w:rFonts w:hint="eastAsia" w:ascii="Times New Roman" w:hAnsi="Times New Roman" w:cs="Times New Roman"/>
                <w:b/>
                <w:bCs/>
                <w:color w:val="auto"/>
                <w:sz w:val="21"/>
                <w:szCs w:val="21"/>
                <w:highlight w:val="none"/>
                <w:vertAlign w:val="baseline"/>
                <w:lang w:eastAsia="zh-CN"/>
              </w:rPr>
              <w:t>主副厂房</w:t>
            </w:r>
          </w:p>
        </w:tc>
      </w:tr>
    </w:tbl>
    <w:p>
      <w:pPr>
        <w:pStyle w:val="290"/>
        <w:spacing w:before="0" w:after="0" w:line="480" w:lineRule="exact"/>
        <w:ind w:left="0" w:leftChars="0" w:firstLine="0" w:firstLineChars="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3.1.2 运营期回顾性评价</w:t>
      </w:r>
    </w:p>
    <w:p>
      <w:pPr>
        <w:pStyle w:val="290"/>
        <w:spacing w:before="0" w:after="0" w:line="480" w:lineRule="exact"/>
        <w:ind w:left="0" w:leftChars="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本工程已运行多年，运营期主要环境影响为拦河引水对地表水及水生生态环境的影响，此外，运行期电站管理人员生活污水、生活垃圾、电站设备运行噪声及设备维护产生的废矿物油会产生一定影响。具体环境影响见章节 </w:t>
      </w:r>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en-US" w:eastAsia="zh-CN"/>
        </w:rPr>
        <w:t>.2。</w:t>
      </w:r>
    </w:p>
    <w:p>
      <w:pPr>
        <w:pStyle w:val="290"/>
        <w:spacing w:before="0" w:after="0" w:line="480" w:lineRule="exact"/>
        <w:ind w:firstLine="48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本工程为引滦入津工程输水期引水发电，非引水期关闭引水渠闸门，来水全部下泄，因此，运行期间未发生全脱水现象（黎河枯水期断流除外）。</w:t>
      </w:r>
    </w:p>
    <w:p>
      <w:pPr>
        <w:pStyle w:val="290"/>
        <w:spacing w:before="0" w:after="0" w:line="480" w:lineRule="exact"/>
        <w:ind w:firstLine="480"/>
        <w:rPr>
          <w:rFonts w:hint="eastAsia"/>
          <w:color w:val="auto"/>
          <w:highlight w:val="none"/>
          <w:lang w:eastAsia="zh-CN"/>
        </w:rPr>
      </w:pPr>
      <w:r>
        <w:rPr>
          <w:rFonts w:hint="default" w:ascii="Times New Roman" w:hAnsi="Times New Roman" w:cs="Times New Roman"/>
          <w:color w:val="auto"/>
          <w:highlight w:val="none"/>
          <w:lang w:val="en-US" w:eastAsia="zh-CN"/>
        </w:rPr>
        <w:t>经调查，本项目运行期间未收到生态环境投诉，未收到生态环境管理部门及水利部门相关处罚。</w:t>
      </w:r>
    </w:p>
    <w:p>
      <w:pPr>
        <w:tabs>
          <w:tab w:val="left" w:pos="1080"/>
        </w:tabs>
        <w:spacing w:line="480" w:lineRule="exact"/>
        <w:outlineLvl w:val="1"/>
        <w:rPr>
          <w:rFonts w:hint="eastAsia" w:eastAsia="宋体"/>
          <w:b/>
          <w:color w:val="auto"/>
          <w:sz w:val="24"/>
          <w:highlight w:val="none"/>
          <w:lang w:eastAsia="zh-CN"/>
        </w:rPr>
      </w:pPr>
      <w:bookmarkStart w:id="163" w:name="_Toc32532"/>
      <w:r>
        <w:rPr>
          <w:rFonts w:hint="eastAsia"/>
          <w:b/>
          <w:color w:val="auto"/>
          <w:sz w:val="24"/>
          <w:highlight w:val="none"/>
        </w:rPr>
        <w:t>3</w:t>
      </w:r>
      <w:r>
        <w:rPr>
          <w:b/>
          <w:color w:val="auto"/>
          <w:sz w:val="24"/>
          <w:highlight w:val="none"/>
        </w:rPr>
        <w:t>.</w:t>
      </w:r>
      <w:r>
        <w:rPr>
          <w:rFonts w:hint="eastAsia"/>
          <w:b/>
          <w:color w:val="auto"/>
          <w:sz w:val="24"/>
          <w:highlight w:val="none"/>
        </w:rPr>
        <w:t>2</w:t>
      </w:r>
      <w:r>
        <w:rPr>
          <w:b/>
          <w:color w:val="auto"/>
          <w:sz w:val="24"/>
          <w:highlight w:val="none"/>
        </w:rPr>
        <w:t xml:space="preserve"> </w:t>
      </w:r>
      <w:r>
        <w:rPr>
          <w:rFonts w:hint="eastAsia"/>
          <w:b/>
          <w:color w:val="auto"/>
          <w:sz w:val="24"/>
          <w:highlight w:val="none"/>
        </w:rPr>
        <w:t>运营期环境影响</w:t>
      </w:r>
      <w:r>
        <w:rPr>
          <w:rFonts w:hint="eastAsia"/>
          <w:b/>
          <w:color w:val="auto"/>
          <w:sz w:val="24"/>
          <w:highlight w:val="none"/>
          <w:lang w:eastAsia="zh-CN"/>
        </w:rPr>
        <w:t>分析</w:t>
      </w:r>
      <w:bookmarkEnd w:id="163"/>
    </w:p>
    <w:p>
      <w:pPr>
        <w:pStyle w:val="290"/>
        <w:spacing w:before="0" w:after="0" w:line="480" w:lineRule="exact"/>
        <w:ind w:firstLine="0" w:firstLineChars="0"/>
        <w:rPr>
          <w:rFonts w:ascii="Times New Roman" w:hAnsi="Times New Roman"/>
          <w:b/>
          <w:bCs/>
          <w:snapToGrid w:val="0"/>
          <w:color w:val="auto"/>
          <w:highlight w:val="none"/>
        </w:rPr>
      </w:pPr>
      <w:r>
        <w:rPr>
          <w:rFonts w:hint="eastAsia" w:ascii="Times New Roman" w:hAnsi="Times New Roman"/>
          <w:b/>
          <w:bCs/>
          <w:snapToGrid w:val="0"/>
          <w:color w:val="auto"/>
          <w:highlight w:val="none"/>
        </w:rPr>
        <w:t>3</w:t>
      </w:r>
      <w:r>
        <w:rPr>
          <w:rFonts w:ascii="Times New Roman" w:hAnsi="Times New Roman"/>
          <w:b/>
          <w:bCs/>
          <w:snapToGrid w:val="0"/>
          <w:color w:val="auto"/>
          <w:highlight w:val="none"/>
        </w:rPr>
        <w:t>.2.1</w:t>
      </w:r>
      <w:r>
        <w:rPr>
          <w:rFonts w:hint="eastAsia" w:ascii="Times New Roman" w:hAnsi="Times New Roman"/>
          <w:b/>
          <w:bCs/>
          <w:snapToGrid w:val="0"/>
          <w:color w:val="auto"/>
          <w:highlight w:val="none"/>
        </w:rPr>
        <w:t xml:space="preserve"> 污染源分析</w:t>
      </w:r>
    </w:p>
    <w:p>
      <w:pPr>
        <w:pStyle w:val="290"/>
        <w:spacing w:before="0" w:after="0" w:line="480" w:lineRule="exact"/>
        <w:ind w:firstLine="480"/>
        <w:rPr>
          <w:rFonts w:ascii="Times New Roman" w:hAnsi="Times New Roman"/>
          <w:snapToGrid w:val="0"/>
          <w:color w:val="auto"/>
          <w:highlight w:val="none"/>
        </w:rPr>
      </w:pPr>
      <w:r>
        <w:rPr>
          <w:rFonts w:hint="eastAsia" w:ascii="Times New Roman" w:hAnsi="Times New Roman"/>
          <w:snapToGrid w:val="0"/>
          <w:color w:val="auto"/>
          <w:highlight w:val="none"/>
        </w:rPr>
        <w:t>（1）工艺流程</w:t>
      </w:r>
    </w:p>
    <w:p>
      <w:pPr>
        <w:shd w:val="clear" w:color="auto" w:fill="FFFFFF"/>
        <w:autoSpaceDE w:val="0"/>
        <w:autoSpaceDN w:val="0"/>
        <w:adjustRightInd w:val="0"/>
        <w:spacing w:line="480" w:lineRule="exact"/>
        <w:ind w:firstLine="482"/>
        <w:rPr>
          <w:rFonts w:hint="eastAsia"/>
          <w:kern w:val="0"/>
          <w:sz w:val="24"/>
          <w:highlight w:val="none"/>
          <w:lang w:val="zh-CN"/>
        </w:rPr>
      </w:pPr>
      <w:r>
        <w:rPr>
          <w:rFonts w:hint="eastAsia"/>
          <w:color w:val="auto"/>
          <w:kern w:val="0"/>
          <w:sz w:val="24"/>
          <w:highlight w:val="none"/>
          <w:lang w:val="zh-CN"/>
        </w:rPr>
        <w:t>电站为引水式水电站，主</w:t>
      </w:r>
      <w:r>
        <w:rPr>
          <w:rFonts w:hint="eastAsia"/>
          <w:kern w:val="0"/>
          <w:sz w:val="24"/>
          <w:highlight w:val="none"/>
          <w:lang w:val="zh-CN"/>
        </w:rPr>
        <w:t>要的工艺流程就是河道流水的机械能，作用于水轮发电厂房，通过控制系统，将水的机械能转化为电能的过程。</w:t>
      </w:r>
      <w:r>
        <w:rPr>
          <w:kern w:val="0"/>
          <w:sz w:val="24"/>
          <w:highlight w:val="none"/>
          <w:lang w:val="zh-CN"/>
        </w:rPr>
        <w:t>采用橡胶坝无调节引水方式发电，整个生产过程基本没有污染物产生，也不会改变水的物化性质。但根据工程运行的特点，引滦入津橡胶坝蓄水、河段减水、闸坝阻隔等对环境将有一定的影响。</w:t>
      </w:r>
      <w:r>
        <w:rPr>
          <w:rFonts w:hint="eastAsia"/>
          <w:kern w:val="0"/>
          <w:sz w:val="24"/>
          <w:highlight w:val="none"/>
          <w:lang w:val="zh-CN"/>
        </w:rPr>
        <w:t>主要工艺流程图见图</w:t>
      </w:r>
      <w:r>
        <w:rPr>
          <w:rFonts w:hint="eastAsia"/>
          <w:kern w:val="0"/>
          <w:sz w:val="24"/>
          <w:highlight w:val="none"/>
        </w:rPr>
        <w:t>3</w:t>
      </w:r>
      <w:r>
        <w:rPr>
          <w:rFonts w:hint="eastAsia"/>
          <w:kern w:val="0"/>
          <w:sz w:val="24"/>
          <w:highlight w:val="none"/>
          <w:lang w:val="zh-CN"/>
        </w:rPr>
        <w:t>.</w:t>
      </w:r>
      <w:r>
        <w:rPr>
          <w:rFonts w:hint="eastAsia"/>
          <w:kern w:val="0"/>
          <w:sz w:val="24"/>
          <w:highlight w:val="none"/>
        </w:rPr>
        <w:t>2</w:t>
      </w:r>
      <w:r>
        <w:rPr>
          <w:rFonts w:hint="eastAsia"/>
          <w:kern w:val="0"/>
          <w:sz w:val="24"/>
          <w:highlight w:val="none"/>
          <w:lang w:val="zh-CN"/>
        </w:rPr>
        <w:t>-1。</w:t>
      </w:r>
    </w:p>
    <w:p>
      <w:pPr>
        <w:rPr>
          <w:highlight w:val="none"/>
          <w:lang w:val="zh-CN"/>
        </w:rPr>
      </w:pPr>
    </w:p>
    <w:p>
      <w:pPr>
        <w:shd w:val="clear" w:color="auto" w:fill="FFFFFF"/>
        <w:autoSpaceDE w:val="0"/>
        <w:autoSpaceDN w:val="0"/>
        <w:adjustRightInd w:val="0"/>
        <w:spacing w:line="480" w:lineRule="exact"/>
        <w:ind w:firstLine="482"/>
        <w:rPr>
          <w:kern w:val="0"/>
          <w:sz w:val="24"/>
          <w:highlight w:val="none"/>
          <w:lang w:val="zh-CN"/>
        </w:rPr>
      </w:pPr>
      <w:r>
        <w:rPr>
          <w:sz w:val="24"/>
          <w:highlight w:val="none"/>
        </w:rPr>
        <mc:AlternateContent>
          <mc:Choice Requires="wps">
            <w:drawing>
              <wp:anchor distT="0" distB="0" distL="114300" distR="114300" simplePos="0" relativeHeight="251687936" behindDoc="0" locked="0" layoutInCell="1" allowOverlap="1">
                <wp:simplePos x="0" y="0"/>
                <wp:positionH relativeFrom="column">
                  <wp:posOffset>20320</wp:posOffset>
                </wp:positionH>
                <wp:positionV relativeFrom="paragraph">
                  <wp:posOffset>118110</wp:posOffset>
                </wp:positionV>
                <wp:extent cx="5133975" cy="1473835"/>
                <wp:effectExtent l="0" t="0" r="0" b="0"/>
                <wp:wrapNone/>
                <wp:docPr id="200" name="Text Box 69"/>
                <wp:cNvGraphicFramePr/>
                <a:graphic xmlns:a="http://schemas.openxmlformats.org/drawingml/2006/main">
                  <a:graphicData uri="http://schemas.microsoft.com/office/word/2010/wordprocessingShape">
                    <wps:wsp>
                      <wps:cNvSpPr txBox="1">
                        <a:spLocks noChangeArrowheads="1"/>
                      </wps:cNvSpPr>
                      <wps:spPr bwMode="auto">
                        <a:xfrm flipV="1">
                          <a:off x="0" y="0"/>
                          <a:ext cx="5133975" cy="1473835"/>
                        </a:xfrm>
                        <a:prstGeom prst="rect">
                          <a:avLst/>
                        </a:prstGeom>
                        <a:noFill/>
                        <a:ln>
                          <a:noFill/>
                        </a:ln>
                      </wps:spPr>
                      <wps:txbx>
                        <w:txbxContent>
                          <w:p/>
                        </w:txbxContent>
                      </wps:txbx>
                      <wps:bodyPr rot="0" vert="horz" wrap="square" lIns="91440" tIns="45720" rIns="91440" bIns="45720" anchor="t" anchorCtr="0" upright="1">
                        <a:noAutofit/>
                      </wps:bodyPr>
                    </wps:wsp>
                  </a:graphicData>
                </a:graphic>
              </wp:anchor>
            </w:drawing>
          </mc:Choice>
          <mc:Fallback>
            <w:pict>
              <v:shape id="Text Box 69" o:spid="_x0000_s1026" o:spt="202" type="#_x0000_t202" style="position:absolute;left:0pt;flip:y;margin-left:1.6pt;margin-top:9.3pt;height:116.05pt;width:404.25pt;z-index:251687936;mso-width-relative:page;mso-height-relative:page;" filled="f" stroked="f" coordsize="21600,21600" o:gfxdata="UEsDBAoAAAAAAIdO4kAAAAAAAAAAAAAAAAAEAAAAZHJzL1BLAwQUAAAACACHTuJA/e1ectkAAAAI&#10;AQAADwAAAGRycy9kb3ducmV2LnhtbE2PzU7DMBCE70i8g7VI3KidQJsoxOkBCYlDQDQglaMbu3FU&#10;ex3F7g9vz3KC4+yMZr6t1xfv2MnMcQwoIVsIYAb7oEccJHx+PN+VwGJSqJULaCR8mwjr5vqqVpUO&#10;Z9yYU5cGRiUYKyXBpjRVnMfeGq/iIkwGyduH2atEch64ntWZyr3juRAr7tWItGDVZJ6s6Q/d0UvQ&#10;7Xa7LA5Tu7FfD/sX96bb7v1VytubTDwCS+aS/sLwi0/o0BDTLhxRR+Yk3OcUpHO5AkZ2mWUFsJ2E&#10;fCkK4E3N/z/Q/ABQSwMEFAAAAAgAh07iQMtnWrUQAgAAIgQAAA4AAABkcnMvZTJvRG9jLnhtbK1T&#10;TW/bMAy9D9h/EHRfHOejaYw4Rdegw4DuA2i3uyJLsTBb1CgldvbrR8lZmnWXHnYxJJJ+fO+RWt30&#10;bcMOCr0BW/J8NOZMWQmVsbuSf3u6f3fNmQ/CVqIBq0p+VJ7frN++WXWuUBOooakUMgKxvuhcyesQ&#10;XJFlXtaqFX4ETllKasBWBLriLqtQdITeNtlkPL7KOsDKIUjlPUU3Q5KfEPE1gKC1kWoDct8qGwZU&#10;VI0IJMnXxnm+Tmy1VjJ80dqrwJqSk9KQvtSEztv4zdYrUexQuNrIEwXxGgovNLXCWGp6htqIINge&#10;zT9QrZEIHnQYSWizQUhyhFTk4xfePNbCqaSFrPbubLr/f7Dy8+ErMlOVnGbDmRUtjfxJ9YG9h55d&#10;LaNBnfMF1T06qgw9xWltkljvHkD+8MzCXS3sTt0iQlcrURHBPP6ZXfw64PgIsu0+QUV9xD5AAuo1&#10;tkw3xn3/A03OMOpDlI7nMUVWkoLzfDpdLuacScrls8X0ejpP3UQRgeIYHPrwQUHL4qHkSHuQGonD&#10;gw+R2HNJLLdwb5om7UJj/wpQYYwkIZH7oCL02/5kzBaqI0lCGFaLHhYdasBfnHW0ViX3P/cCFWfN&#10;R0u2LPPZLO5huszmiwld8DKzvcwIKwmq5IGz4XgXht3dOzS7mjoNg7BwS1Zqk6RFzwdWJ960Oknx&#10;ac3jbl7eU9Xz017/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3tXnLZAAAACAEAAA8AAAAAAAAA&#10;AQAgAAAAIgAAAGRycy9kb3ducmV2LnhtbFBLAQIUABQAAAAIAIdO4kDLZ1q1EAIAACIEAAAOAAAA&#10;AAAAAAEAIAAAACgBAABkcnMvZTJvRG9jLnhtbFBLBQYAAAAABgAGAFkBAACqBQAAAAA=&#10;">
                <v:fill on="f" focussize="0,0"/>
                <v:stroke on="f"/>
                <v:imagedata o:title=""/>
                <o:lock v:ext="edit" aspectratio="f"/>
                <v:textbox>
                  <w:txbxContent>
                    <w:p/>
                  </w:txbxContent>
                </v:textbox>
              </v:shape>
            </w:pict>
          </mc:Fallback>
        </mc:AlternateContent>
      </w:r>
      <w:r>
        <w:rPr>
          <w:kern w:val="0"/>
          <w:sz w:val="24"/>
          <w:highlight w:val="none"/>
        </w:rPr>
        <mc:AlternateContent>
          <mc:Choice Requires="wps">
            <w:drawing>
              <wp:anchor distT="0" distB="0" distL="114300" distR="114300" simplePos="0" relativeHeight="251683840" behindDoc="0" locked="0" layoutInCell="1" allowOverlap="1">
                <wp:simplePos x="0" y="0"/>
                <wp:positionH relativeFrom="column">
                  <wp:posOffset>2910205</wp:posOffset>
                </wp:positionH>
                <wp:positionV relativeFrom="paragraph">
                  <wp:posOffset>201295</wp:posOffset>
                </wp:positionV>
                <wp:extent cx="742315" cy="222250"/>
                <wp:effectExtent l="0" t="1270" r="0" b="0"/>
                <wp:wrapNone/>
                <wp:docPr id="199" name="Rectangle 38"/>
                <wp:cNvGraphicFramePr/>
                <a:graphic xmlns:a="http://schemas.openxmlformats.org/drawingml/2006/main">
                  <a:graphicData uri="http://schemas.microsoft.com/office/word/2010/wordprocessingShape">
                    <wps:wsp>
                      <wps:cNvSpPr>
                        <a:spLocks noChangeArrowheads="1"/>
                      </wps:cNvSpPr>
                      <wps:spPr bwMode="auto">
                        <a:xfrm>
                          <a:off x="0" y="0"/>
                          <a:ext cx="742315" cy="222250"/>
                        </a:xfrm>
                        <a:prstGeom prst="rect">
                          <a:avLst/>
                        </a:prstGeom>
                        <a:noFill/>
                        <a:ln>
                          <a:noFill/>
                        </a:ln>
                      </wps:spPr>
                      <wps:txbx>
                        <w:txbxContent>
                          <w:p>
                            <w:r>
                              <w:rPr>
                                <w:rFonts w:hint="eastAsia"/>
                              </w:rPr>
                              <w:t>噪声、固废</w:t>
                            </w:r>
                          </w:p>
                        </w:txbxContent>
                      </wps:txbx>
                      <wps:bodyPr rot="0" vert="horz" wrap="square" lIns="0" tIns="0" rIns="0" bIns="0" anchor="t" anchorCtr="0" upright="1">
                        <a:noAutofit/>
                      </wps:bodyPr>
                    </wps:wsp>
                  </a:graphicData>
                </a:graphic>
              </wp:anchor>
            </w:drawing>
          </mc:Choice>
          <mc:Fallback>
            <w:pict>
              <v:rect id="Rectangle 38" o:spid="_x0000_s1026" o:spt="1" style="position:absolute;left:0pt;margin-left:229.15pt;margin-top:15.85pt;height:17.5pt;width:58.45pt;z-index:251683840;mso-width-relative:page;mso-height-relative:page;" filled="f" stroked="f" coordsize="21600,21600" o:gfxdata="UEsDBAoAAAAAAIdO4kAAAAAAAAAAAAAAAAAEAAAAZHJzL1BLAwQUAAAACACHTuJAjqZVitsAAAAJ&#10;AQAADwAAAGRycy9kb3ducmV2LnhtbE2Py07DMBBF90j8gzVI7KiTljwaMqkQD5UltEiFnZsMSYQ9&#10;jmK3KXw9ZgXL0T2690y5OhktjjS63jJCPItAENe26blFeN0+XuUgnFfcKG2ZEL7Iwao6PytV0diJ&#10;X+i48a0IJewKhdB5PxRSurojo9zMDsQh+7CjUT6cYyubUU2h3Gg5j6JUGtVzWOjUQHcd1Z+bg0FY&#10;58Pt25P9nlr98L7ePe+W99ulR7y8iKMbEJ5O/g+GX/2gDlVw2tsDN05ohOskXwQUYRFnIAKQZMkc&#10;xB4hTTOQVSn/f1D9AFBLAwQUAAAACACHTuJAUWp4tfsBAAD9AwAADgAAAGRycy9lMm9Eb2MueG1s&#10;rVPBbtswDL0P2D8Iui9O0nVrjThF0aDDgG4r1vUDGFmOhcmiRimxs68fJSfZ2l56mA8GJZFP7z1S&#10;i6uhs2KnKRh0lZxNplJop7A2blPJxx+37y6kCBFcDRadruReB3m1fPtm0ftSz7FFW2sSDOJC2ftK&#10;tjH6siiCanUHYYJeOz5skDqIvKRNURP0jN7ZYj6dfih6pNoTKh0C767GQ3lApNcAYtMYpVeotp12&#10;cUQlbSGypNAaH+Qys20areK3pgk6CltJVhrzny/heJ3+xXIB5YbAt0YdKMBrKDzT1IFxfOkJagUR&#10;xJbMC6jOKMKATZwo7IpRSHaEVcymz7x5aMHrrIWtDv5kevh/sOrr7p6EqXkSLi+lcNBxy7+zbeA2&#10;Vouzi+RQ70PJiQ/+npLG4O9Q/QzC4U3LafqaCPtWQ828Zim/eFKQFoFLxbr/gjXDwzZiNmtoqEuA&#10;bIMYck/2p57oIQrFmx/fz89m51IoPprzd557VkB5LPYU4ieNnUhBJYm5Z3DY3YWYyEB5TEl3Obw1&#10;1ua2W/dkgxPTTiaf+I6647AeDhassd6zDMJxivgNcdAi/Zai5wmqZPi1BdJS2M+OrUjjdgzoGKyP&#10;ATjFpZWMUozhTRzHcuvJbFpGnmUZDq/ZrsZkKcnKkcWBJ09FVniY4DR2/65z1t9Xu/w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jqZVitsAAAAJAQAADwAAAAAAAAABACAAAAAiAAAAZHJzL2Rvd25y&#10;ZXYueG1sUEsBAhQAFAAAAAgAh07iQFFqeLX7AQAA/QMAAA4AAAAAAAAAAQAgAAAAKgEAAGRycy9l&#10;Mm9Eb2MueG1sUEsFBgAAAAAGAAYAWQEAAJcFAAAAAA==&#10;">
                <v:fill on="f" focussize="0,0"/>
                <v:stroke on="f"/>
                <v:imagedata o:title=""/>
                <o:lock v:ext="edit" aspectratio="f"/>
                <v:textbox inset="0mm,0mm,0mm,0mm">
                  <w:txbxContent>
                    <w:p>
                      <w:r>
                        <w:rPr>
                          <w:rFonts w:hint="eastAsia"/>
                        </w:rPr>
                        <w:t>噪声、固废</w:t>
                      </w:r>
                    </w:p>
                  </w:txbxContent>
                </v:textbox>
              </v:rect>
            </w:pict>
          </mc:Fallback>
        </mc:AlternateContent>
      </w:r>
      <w:r>
        <w:rPr>
          <w:kern w:val="0"/>
          <w:sz w:val="24"/>
          <w:highlight w:val="none"/>
        </w:rPr>
        <mc:AlternateContent>
          <mc:Choice Requires="wps">
            <w:drawing>
              <wp:anchor distT="0" distB="0" distL="114300" distR="114300" simplePos="0" relativeHeight="251686912" behindDoc="0" locked="0" layoutInCell="1" allowOverlap="1">
                <wp:simplePos x="0" y="0"/>
                <wp:positionH relativeFrom="column">
                  <wp:posOffset>2094865</wp:posOffset>
                </wp:positionH>
                <wp:positionV relativeFrom="paragraph">
                  <wp:posOffset>166370</wp:posOffset>
                </wp:positionV>
                <wp:extent cx="425450" cy="222250"/>
                <wp:effectExtent l="0" t="4445" r="3810" b="1905"/>
                <wp:wrapNone/>
                <wp:docPr id="198" name="Rectangle 20"/>
                <wp:cNvGraphicFramePr/>
                <a:graphic xmlns:a="http://schemas.openxmlformats.org/drawingml/2006/main">
                  <a:graphicData uri="http://schemas.microsoft.com/office/word/2010/wordprocessingShape">
                    <wps:wsp>
                      <wps:cNvSpPr>
                        <a:spLocks noChangeArrowheads="1"/>
                      </wps:cNvSpPr>
                      <wps:spPr bwMode="auto">
                        <a:xfrm>
                          <a:off x="0" y="0"/>
                          <a:ext cx="425450" cy="222250"/>
                        </a:xfrm>
                        <a:prstGeom prst="rect">
                          <a:avLst/>
                        </a:prstGeom>
                        <a:noFill/>
                        <a:ln>
                          <a:noFill/>
                        </a:ln>
                      </wps:spPr>
                      <wps:txbx>
                        <w:txbxContent>
                          <w:p>
                            <w:pPr>
                              <w:jc w:val="center"/>
                            </w:pPr>
                            <w:r>
                              <w:rPr>
                                <w:rFonts w:hint="eastAsia"/>
                              </w:rPr>
                              <w:t>固废</w:t>
                            </w:r>
                          </w:p>
                        </w:txbxContent>
                      </wps:txbx>
                      <wps:bodyPr rot="0" vert="horz" wrap="square" lIns="0" tIns="0" rIns="0" bIns="0" anchor="t" anchorCtr="0" upright="1">
                        <a:noAutofit/>
                      </wps:bodyPr>
                    </wps:wsp>
                  </a:graphicData>
                </a:graphic>
              </wp:anchor>
            </w:drawing>
          </mc:Choice>
          <mc:Fallback>
            <w:pict>
              <v:rect id="Rectangle 20" o:spid="_x0000_s1026" o:spt="1" style="position:absolute;left:0pt;margin-left:164.95pt;margin-top:13.1pt;height:17.5pt;width:33.5pt;z-index:251686912;mso-width-relative:page;mso-height-relative:page;" filled="f" stroked="f" coordsize="21600,21600" o:gfxdata="UEsDBAoAAAAAAIdO4kAAAAAAAAAAAAAAAAAEAAAAZHJzL1BLAwQUAAAACACHTuJA5lnTmNoAAAAJ&#10;AQAADwAAAGRycy9kb3ducmV2LnhtbE2Py07DMBBF90j8gzVI7KgTV4rqNE6FeKgsoUUq7NzYTSLs&#10;cRS7TeHrGVZlOTNHd86tVmfv2MmOsQ+oIJ9lwCw2wfTYKnjfPt8tgMWk0WgX0Cr4thFW9fVVpUsT&#10;Jnyzp01qGYVgLLWCLqWh5Dw2nfU6zsJgkW6HMHqdaBxbbkY9Ubh3XGRZwb3ukT50erAPnW2+Nkev&#10;YL0Y7j9ews/UuqfP9e51Jx+3Mil1e5NnS2DJntMFhj99UoeanPbhiCYyp2AupCRUgSgEMALmsqDF&#10;XkGRC+B1xf83qH8BUEsDBBQAAAAIAIdO4kC18mAy+AEAAP0DAAAOAAAAZHJzL2Uyb0RvYy54bWyt&#10;U8Fu2zAMvQ/YPwi6L06CdtiMOEXRoMOAbiva7QMUWY6FWaJGKrGzrx8lx+naXXqYDwYlkU/vPVKr&#10;q8F14mCQLPhKLmZzKYzXUFu/q+SP77fvPkhBUfladeBNJY+G5NX67ZtVH0qzhBa62qBgEE9lHyrZ&#10;xhjKoiDdGqdoBsF4PmwAnYq8xF1Ro+oZ3XXFcj5/X/SAdUDQhoh3N+OhPCHiawChaaw2G9B7Z3wc&#10;UdF0KrIkam0guc5sm8bo+K1pyETRVZKVxvznSzjepn+xXqlyhyq0Vp8oqNdQeKHJKev50jPURkUl&#10;9mj/gXJWIxA0cabBFaOQ7AirWMxfePPYqmCyFraawtl0+n+w+uvhHoWteRI+cuO9ctzyB7ZN+V1n&#10;xDI71AcqOfEx3GPSSOEO9E8SHm5aTjPXiNC3RtXMa5EcLZ4VpAVxqdj2X6BmeLWPkM0aGnQJkG0Q&#10;Q+7J8dwTM0ShefNieXlxyd3SfLTkj+N0gyqn4oAUPxlwIgWVROaewdXhjuKYOqWkuzzc2q7Lbe/8&#10;sw3GTDuZfOKbZojKOGwHzk7hFuojy0AYp4jfEAct4G8pep6gStKvvUIjRffZsxVp3KYAp2A7Bcpr&#10;Lq1klGIMb+I4lvuAdtcy8iLL8HDNdjU2S3liceLJU5HNOE1wGru/1znr6dWu/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mWdOY2gAAAAkBAAAPAAAAAAAAAAEAIAAAACIAAABkcnMvZG93bnJldi54&#10;bWxQSwECFAAUAAAACACHTuJAtfJgMvgBAAD9AwAADgAAAAAAAAABACAAAAApAQAAZHJzL2Uyb0Rv&#10;Yy54bWxQSwUGAAAAAAYABgBZAQAAkwUAAAAA&#10;">
                <v:fill on="f" focussize="0,0"/>
                <v:stroke on="f"/>
                <v:imagedata o:title=""/>
                <o:lock v:ext="edit" aspectratio="f"/>
                <v:textbox inset="0mm,0mm,0mm,0mm">
                  <w:txbxContent>
                    <w:p>
                      <w:pPr>
                        <w:jc w:val="center"/>
                      </w:pPr>
                      <w:r>
                        <w:rPr>
                          <w:rFonts w:hint="eastAsia"/>
                        </w:rPr>
                        <w:t>固废</w:t>
                      </w:r>
                    </w:p>
                  </w:txbxContent>
                </v:textbox>
              </v:rect>
            </w:pict>
          </mc:Fallback>
        </mc:AlternateContent>
      </w:r>
    </w:p>
    <w:p>
      <w:pPr>
        <w:shd w:val="clear" w:color="auto" w:fill="FFFFFF"/>
        <w:autoSpaceDE w:val="0"/>
        <w:autoSpaceDN w:val="0"/>
        <w:adjustRightInd w:val="0"/>
        <w:spacing w:line="480" w:lineRule="exact"/>
        <w:ind w:firstLine="482"/>
        <w:rPr>
          <w:kern w:val="0"/>
          <w:sz w:val="24"/>
          <w:highlight w:val="none"/>
          <w:lang w:val="zh-CN"/>
        </w:rPr>
      </w:pPr>
      <w:r>
        <w:rPr>
          <w:kern w:val="0"/>
          <w:sz w:val="24"/>
          <w:highlight w:val="none"/>
        </w:rPr>
        <mc:AlternateContent>
          <mc:Choice Requires="wps">
            <w:drawing>
              <wp:anchor distT="0" distB="0" distL="114300" distR="114300" simplePos="0" relativeHeight="251672576" behindDoc="0" locked="0" layoutInCell="1" allowOverlap="1">
                <wp:simplePos x="0" y="0"/>
                <wp:positionH relativeFrom="column">
                  <wp:posOffset>123825</wp:posOffset>
                </wp:positionH>
                <wp:positionV relativeFrom="paragraph">
                  <wp:posOffset>271145</wp:posOffset>
                </wp:positionV>
                <wp:extent cx="701675" cy="403225"/>
                <wp:effectExtent l="9525" t="13970" r="12700" b="11430"/>
                <wp:wrapNone/>
                <wp:docPr id="197" name="Rectangle 25"/>
                <wp:cNvGraphicFramePr/>
                <a:graphic xmlns:a="http://schemas.openxmlformats.org/drawingml/2006/main">
                  <a:graphicData uri="http://schemas.microsoft.com/office/word/2010/wordprocessingShape">
                    <wps:wsp>
                      <wps:cNvSpPr>
                        <a:spLocks noChangeArrowheads="1"/>
                      </wps:cNvSpPr>
                      <wps:spPr bwMode="auto">
                        <a:xfrm>
                          <a:off x="0" y="0"/>
                          <a:ext cx="701675" cy="403225"/>
                        </a:xfrm>
                        <a:prstGeom prst="rect">
                          <a:avLst/>
                        </a:prstGeom>
                        <a:solidFill>
                          <a:srgbClr val="FFFFFF"/>
                        </a:solidFill>
                        <a:ln w="12700">
                          <a:solidFill>
                            <a:srgbClr val="000000"/>
                          </a:solidFill>
                          <a:miter lim="800000"/>
                        </a:ln>
                      </wps:spPr>
                      <wps:txbx>
                        <w:txbxContent>
                          <w:p>
                            <w:pPr>
                              <w:spacing w:line="300" w:lineRule="exact"/>
                              <w:jc w:val="center"/>
                            </w:pPr>
                            <w:r>
                              <w:rPr>
                                <w:rFonts w:hint="eastAsia"/>
                              </w:rPr>
                              <w:t>黎河引滦</w:t>
                            </w:r>
                          </w:p>
                          <w:p>
                            <w:pPr>
                              <w:spacing w:line="300" w:lineRule="exact"/>
                              <w:jc w:val="center"/>
                            </w:pPr>
                            <w:r>
                              <w:rPr>
                                <w:rFonts w:hint="eastAsia"/>
                              </w:rPr>
                              <w:t>输水</w:t>
                            </w:r>
                          </w:p>
                        </w:txbxContent>
                      </wps:txbx>
                      <wps:bodyPr rot="0" vert="horz" wrap="square" lIns="0" tIns="0" rIns="0" bIns="0" anchor="t" anchorCtr="0" upright="1">
                        <a:noAutofit/>
                      </wps:bodyPr>
                    </wps:wsp>
                  </a:graphicData>
                </a:graphic>
              </wp:anchor>
            </w:drawing>
          </mc:Choice>
          <mc:Fallback>
            <w:pict>
              <v:rect id="Rectangle 25" o:spid="_x0000_s1026" o:spt="1" style="position:absolute;left:0pt;margin-left:9.75pt;margin-top:21.35pt;height:31.75pt;width:55.25pt;z-index:251672576;mso-width-relative:page;mso-height-relative:page;" fillcolor="#FFFFFF" filled="t" stroked="t" coordsize="21600,21600" o:gfxdata="UEsDBAoAAAAAAIdO4kAAAAAAAAAAAAAAAAAEAAAAZHJzL1BLAwQUAAAACACHTuJA/FeTpNgAAAAJ&#10;AQAADwAAAGRycy9kb3ducmV2LnhtbE2PzU7DMBCE70i8g7VIXBC1m9JCQ5wKgSKExIEUHsCNl/wQ&#10;r6PY/ePp2Z7obUczmv0mWx1cL3Y4htaThulEgUCqvG2p1vD1Wdw+gAjRkDW9J9RwxACr/PIiM6n1&#10;eypxt4614BIKqdHQxDikUoaqQWfCxA9I7H370ZnIcqylHc2ey10vE6UW0pmW+ENjBnxusPpZbx23&#10;dKTorXi6KYvyvX39dd3yo3vR+vpqqh5BRDzE/zCc8Bkdcmba+C3ZIHrWyzknNdwl9yBO/kzxtg0f&#10;apGAzDN5viD/A1BLAwQUAAAACACHTuJAycLZUSYCAABwBAAADgAAAGRycy9lMm9Eb2MueG1srVTB&#10;jtMwEL0j8Q+W7zRpYbdL1HS1alWEtMCKhQ9wHKexsD1m7DYpX8/EaUt34bAHcrDG9vj5vTfjLG57&#10;a9heYdDgSj6d5JwpJ6HWblvy7982b244C1G4WhhwquQHFfjt8vWrRecLNYMWTK2QEYgLRedL3sbo&#10;iywLslVWhAl45WizAbQi0hS3WY2iI3RrslmeX2cdYO0RpAqBVtfjJj8i4ksAoWm0VGuQO6tcHFFR&#10;GRFJUmi1D3yZ2DaNkvFL0wQVmSk5KY1ppEsoroYxWy5EsUXhWy2PFMRLKDzTZIV2dOkZai2iYDvU&#10;f0FZLRECNHEiwWajkOQIqZjmz7x5bIVXSQtZHfzZ9PD/YOXn/QMyXVMnvJ9z5oSlkn8l24TbGsVm&#10;V4NDnQ8FJT76Bxw0Bn8P8kdgDlYtpak7ROhaJWriNR3ysycHhkmgo6zqPkFN8GIXIZnVN2gHQLKB&#10;9akmh3NNVB+ZpMV5Pr2eX3Emaetd/nY2MspEcTrsMcQPCiwbgpIjcU/gYn8f4kBGFKeURB6Mrjfa&#10;mDTBbbUyyPaC2mOTvsSfNF6mGcc6kjab53mCfrIZLjHy9P0Lw+pIz8ZoW/KbyyTjjn4NFo1Wx77q&#10;j65XUB/IOYSxcenZUtAC/uKso6Ytefi5E6g4Mx8duT90+CnAU1CdAuEkHS155GwMV3F8CTuPetsS&#10;8jTJc3BHFWp0cm+o3sjiyJMaMZl6fDRDp1/OU9afH8Xy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PxXk6TYAAAACQEAAA8AAAAAAAAAAQAgAAAAIgAAAGRycy9kb3ducmV2LnhtbFBLAQIUABQAAAAI&#10;AIdO4kDJwtlRJgIAAHAEAAAOAAAAAAAAAAEAIAAAACcBAABkcnMvZTJvRG9jLnhtbFBLBQYAAAAA&#10;BgAGAFkBAAC/BQAAAAA=&#10;">
                <v:fill on="t" focussize="0,0"/>
                <v:stroke weight="1pt" color="#000000" miterlimit="8" joinstyle="miter"/>
                <v:imagedata o:title=""/>
                <o:lock v:ext="edit" aspectratio="f"/>
                <v:textbox inset="0mm,0mm,0mm,0mm">
                  <w:txbxContent>
                    <w:p>
                      <w:pPr>
                        <w:spacing w:line="300" w:lineRule="exact"/>
                        <w:jc w:val="center"/>
                      </w:pPr>
                      <w:r>
                        <w:rPr>
                          <w:rFonts w:hint="eastAsia"/>
                        </w:rPr>
                        <w:t>黎河引滦</w:t>
                      </w:r>
                    </w:p>
                    <w:p>
                      <w:pPr>
                        <w:spacing w:line="300" w:lineRule="exact"/>
                        <w:jc w:val="center"/>
                      </w:pPr>
                      <w:r>
                        <w:rPr>
                          <w:rFonts w:hint="eastAsia"/>
                        </w:rPr>
                        <w:t>输水</w:t>
                      </w:r>
                    </w:p>
                  </w:txbxContent>
                </v:textbox>
              </v:rect>
            </w:pict>
          </mc:Fallback>
        </mc:AlternateContent>
      </w:r>
      <w:r>
        <w:rPr>
          <w:kern w:val="0"/>
          <w:sz w:val="24"/>
          <w:highlight w:val="none"/>
        </w:rPr>
        <mc:AlternateContent>
          <mc:Choice Requires="wps">
            <w:drawing>
              <wp:anchor distT="0" distB="0" distL="114300" distR="114300" simplePos="0" relativeHeight="251681792" behindDoc="0" locked="0" layoutInCell="1" allowOverlap="1">
                <wp:simplePos x="0" y="0"/>
                <wp:positionH relativeFrom="column">
                  <wp:posOffset>3258820</wp:posOffset>
                </wp:positionH>
                <wp:positionV relativeFrom="paragraph">
                  <wp:posOffset>95250</wp:posOffset>
                </wp:positionV>
                <wp:extent cx="635" cy="216535"/>
                <wp:effectExtent l="58420" t="19050" r="55245" b="12065"/>
                <wp:wrapNone/>
                <wp:docPr id="196" name="AutoShape 39"/>
                <wp:cNvGraphicFramePr/>
                <a:graphic xmlns:a="http://schemas.openxmlformats.org/drawingml/2006/main">
                  <a:graphicData uri="http://schemas.microsoft.com/office/word/2010/wordprocessingShape">
                    <wps:wsp>
                      <wps:cNvCnPr>
                        <a:cxnSpLocks noChangeShapeType="1"/>
                      </wps:cNvCnPr>
                      <wps:spPr bwMode="auto">
                        <a:xfrm>
                          <a:off x="0" y="0"/>
                          <a:ext cx="635" cy="216535"/>
                        </a:xfrm>
                        <a:prstGeom prst="straightConnector1">
                          <a:avLst/>
                        </a:prstGeom>
                        <a:noFill/>
                        <a:ln w="9525">
                          <a:solidFill>
                            <a:srgbClr val="000000"/>
                          </a:solidFill>
                          <a:prstDash val="dash"/>
                          <a:round/>
                          <a:headEnd type="triangle" w="med" len="med"/>
                        </a:ln>
                      </wps:spPr>
                      <wps:bodyPr/>
                    </wps:wsp>
                  </a:graphicData>
                </a:graphic>
              </wp:anchor>
            </w:drawing>
          </mc:Choice>
          <mc:Fallback>
            <w:pict>
              <v:shape id="AutoShape 39" o:spid="_x0000_s1026" o:spt="32" type="#_x0000_t32" style="position:absolute;left:0pt;margin-left:256.6pt;margin-top:7.5pt;height:17.05pt;width:0.05pt;z-index:251681792;mso-width-relative:page;mso-height-relative:page;" filled="f" stroked="t" coordsize="21600,21600" o:gfxdata="UEsDBAoAAAAAAIdO4kAAAAAAAAAAAAAAAAAEAAAAZHJzL1BLAwQUAAAACACHTuJA+D/PWNcAAAAJ&#10;AQAADwAAAGRycy9kb3ducmV2LnhtbE2PS0/DMBCE70j8B2uRuFTUTkJfIU4PSCBuiBbUqxtvkwh7&#10;HcXug3/PcqLHnfk0O1OtL96JE46xD6QhmyoQSE2wPbUaPrcvD0sQMRmyxgVCDT8YYV3f3lSmtOFM&#10;H3japFZwCMXSaOhSGkopY9OhN3EaBiT2DmH0JvE5ttKO5szh3slcqbn0pif+0JkBnztsvjdHr0Ht&#10;dm95bouUXpvldjWZuMX7/Evr+7tMPYFIeEn/MPzV5+pQc6d9OJKNwmmYZUXOKBsz3sQACwWIvYbH&#10;VQayruT1gvoXUEsDBBQAAAAIAIdO4kDbS8S1/QEAAPwDAAAOAAAAZHJzL2Uyb0RvYy54bWytU8Fu&#10;2zAMvQ/YPwi6L05SJFiMOMWQrLt0W4F2H8BIsi1MEgVJiZO/HyWn6dpdepgPBiWS75GP1Pr2ZA07&#10;qhA1uobPJlPOlBMotesa/uvp7tNnzmICJ8GgUw0/q8hvNx8/rAdfqzn2aKQKjEBcrAff8D4lX1dV&#10;FL2yECfolSNni8FComPoKhlgIHRrqvl0uqwGDNIHFCpGut2NTn5BDO8BxLbVQu1QHKxyaUQNykCi&#10;lmKvfeSbUm3bKpF+tm1UiZmGU6ep/ImE7H3+V5s11F0A32txKQHeU8KbnixoR6RXqB0kYIeg/4Gy&#10;WgSM2KaJQFuNjRRFqIvZ9I02jz14VXohqaO/ih7/H6z4cXwITEvahNWSMweWRv7lkLBws5tVVmjw&#10;sabArXsIuUdxco/+HsXvyBxue3CdKtFPZ0/Js5xRvUrJh+iJZz98R0kxQARFrlMbbIYkIdipTOV8&#10;nYo6JSbocnmz4EzQ/Xy2XJCd4aF+zvQhpm8KLctGw2MKoLs+bdE5Gj6GWeGB431MY+JzQqZ1eKeN&#10;oXuojWNDw1eL+aIkRDRaZmf2xdDttyawI+QtKt+lildhGXkHsR/jJFk5CuqAByeL1SuQX51kqSiV&#10;gibtjOKZ2SrJmVH0JLM1lmrcRcks3jiGPcrzQ8juLCotRRHjssB56/4+l6iXR7v5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Pg/z1jXAAAACQEAAA8AAAAAAAAAAQAgAAAAIgAAAGRycy9kb3ducmV2&#10;LnhtbFBLAQIUABQAAAAIAIdO4kDbS8S1/QEAAPwDAAAOAAAAAAAAAAEAIAAAACYBAABkcnMvZTJv&#10;RG9jLnhtbFBLBQYAAAAABgAGAFkBAACVBQAAAAA=&#10;">
                <v:fill on="f" focussize="0,0"/>
                <v:stroke color="#000000" joinstyle="round" dashstyle="dash" startarrow="block"/>
                <v:imagedata o:title=""/>
                <o:lock v:ext="edit" aspectratio="f"/>
              </v:shape>
            </w:pict>
          </mc:Fallback>
        </mc:AlternateContent>
      </w:r>
      <w:r>
        <w:rPr>
          <w:kern w:val="0"/>
          <w:sz w:val="24"/>
          <w:highlight w:val="none"/>
        </w:rPr>
        <mc:AlternateContent>
          <mc:Choice Requires="wps">
            <w:drawing>
              <wp:anchor distT="0" distB="0" distL="114300" distR="114300" simplePos="0" relativeHeight="251685888" behindDoc="0" locked="0" layoutInCell="1" allowOverlap="1">
                <wp:simplePos x="0" y="0"/>
                <wp:positionH relativeFrom="column">
                  <wp:posOffset>2296160</wp:posOffset>
                </wp:positionH>
                <wp:positionV relativeFrom="paragraph">
                  <wp:posOffset>100330</wp:posOffset>
                </wp:positionV>
                <wp:extent cx="635" cy="215265"/>
                <wp:effectExtent l="57785" t="14605" r="55880" b="8255"/>
                <wp:wrapNone/>
                <wp:docPr id="195" name="AutoShape 21"/>
                <wp:cNvGraphicFramePr/>
                <a:graphic xmlns:a="http://schemas.openxmlformats.org/drawingml/2006/main">
                  <a:graphicData uri="http://schemas.microsoft.com/office/word/2010/wordprocessingShape">
                    <wps:wsp>
                      <wps:cNvCnPr>
                        <a:cxnSpLocks noChangeShapeType="1"/>
                      </wps:cNvCnPr>
                      <wps:spPr bwMode="auto">
                        <a:xfrm flipV="1">
                          <a:off x="0" y="0"/>
                          <a:ext cx="635" cy="215265"/>
                        </a:xfrm>
                        <a:prstGeom prst="straightConnector1">
                          <a:avLst/>
                        </a:prstGeom>
                        <a:noFill/>
                        <a:ln w="9525">
                          <a:solidFill>
                            <a:srgbClr val="000000"/>
                          </a:solidFill>
                          <a:prstDash val="dash"/>
                          <a:round/>
                          <a:tailEnd type="triangle" w="med" len="med"/>
                        </a:ln>
                      </wps:spPr>
                      <wps:bodyPr/>
                    </wps:wsp>
                  </a:graphicData>
                </a:graphic>
              </wp:anchor>
            </w:drawing>
          </mc:Choice>
          <mc:Fallback>
            <w:pict>
              <v:shape id="AutoShape 21" o:spid="_x0000_s1026" o:spt="32" type="#_x0000_t32" style="position:absolute;left:0pt;flip:y;margin-left:180.8pt;margin-top:7.9pt;height:16.95pt;width:0.05pt;z-index:251685888;mso-width-relative:page;mso-height-relative:page;" filled="f" stroked="t" coordsize="21600,21600" o:gfxdata="UEsDBAoAAAAAAIdO4kAAAAAAAAAAAAAAAAAEAAAAZHJzL1BLAwQUAAAACACHTuJAhbX60NQAAAAJ&#10;AQAADwAAAGRycy9kb3ducmV2LnhtbE2PvU7EMBCEeyTewVokOs4JP8kR4lyBREFJkgdw4r04Il5H&#10;tu9y8PQsFZQ782l2pj5c3CLOGOLsSUG+y0Agjd7MNCnou7e7PYiYNBm9eEIFXxjh0Fxf1boyfqMP&#10;PLdpEhxCsdIKbEprJWUcLTodd35FYu/og9OJzzBJE/TG4W6R91lWSKdn4g9Wr/hqcfxsT06BHCyF&#10;72PXF1v2vvZba8rOGaVub/LsBUTCS/qD4bc+V4eGOw3+RCaKRcFDkReMsvHEExhgoQQxKHh8LkE2&#10;tfy/oPkBUEsDBBQAAAAIAIdO4kDkpFjiAgIAAAYEAAAOAAAAZHJzL2Uyb0RvYy54bWytU8Fu2zAM&#10;vQ/YPwi6L04yJFiNOMWQrLt0W4B2uyuSbAuTRIFS4uTvR8lpunaXHuaDIZF8j+Qjtbo9OcuOGqMB&#10;3/DZZMqZ9hKU8V3Dfz7effjEWUzCK2HB64afdeS36/fvVkOo9Rx6sEojIxIf6yE0vE8p1FUVZa+d&#10;iBMI2pOzBXQi0RW7SqEYiN3Zaj6dLqsBUAUEqWMk63Z08gsjvoUQ2tZIvQV5cNqnkRW1FYlair0J&#10;ka9LtW2rZfrRtlEnZhtOnabypyR03ud/tV6JukMReiMvJYi3lPCqJyeMp6RXqq1Igh3Q/EPljESI&#10;0KaJBFeNjRRFqIvZ9JU2D70IuvRCUsdwFT3+P1r5/bhDZhRtws2CMy8cjfzzIUHJzeazrNAQYk2B&#10;G7/D3KM8+YdwD/J3ZB42vfCdLtGP50DggqheQPIlBsqzH76BohhBCYpcpxYda60JvzIwk5Mk7FTm&#10;c77OR58Sk2RcfqQSJdnns8V8ucilVaLOHBkZMKavGhzLh4bHhMJ0fdqA97QGgCO/ON7HNAKfABns&#10;4c5YW7bBejY0/GYxX5SCIlijsjOHRez2G4vsKPI+le9SxYuwzLwVsR/jFJ3GRUM4eFWSJGHsF69Y&#10;KpolNKSi1TxndlpxZjU9znwaS7WeWn2ScRzIHtR5h9md7bQeRYzLKuf9+/teop6f7/o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hbX60NQAAAAJAQAADwAAAAAAAAABACAAAAAiAAAAZHJzL2Rvd25y&#10;ZXYueG1sUEsBAhQAFAAAAAgAh07iQOSkWOICAgAABgQAAA4AAAAAAAAAAQAgAAAAIwEAAGRycy9l&#10;Mm9Eb2MueG1sUEsFBgAAAAAGAAYAWQEAAJcFAAAAAA==&#10;">
                <v:fill on="f" focussize="0,0"/>
                <v:stroke color="#000000" joinstyle="round" dashstyle="dash" endarrow="block"/>
                <v:imagedata o:title=""/>
                <o:lock v:ext="edit" aspectratio="f"/>
              </v:shape>
            </w:pict>
          </mc:Fallback>
        </mc:AlternateContent>
      </w:r>
    </w:p>
    <w:p>
      <w:pPr>
        <w:shd w:val="clear" w:color="auto" w:fill="FFFFFF"/>
        <w:autoSpaceDE w:val="0"/>
        <w:autoSpaceDN w:val="0"/>
        <w:adjustRightInd w:val="0"/>
        <w:spacing w:line="480" w:lineRule="exact"/>
        <w:ind w:firstLine="482"/>
        <w:rPr>
          <w:kern w:val="0"/>
          <w:sz w:val="24"/>
          <w:highlight w:val="none"/>
          <w:lang w:val="zh-CN"/>
        </w:rPr>
      </w:pPr>
      <w:r>
        <w:rPr>
          <w:kern w:val="0"/>
          <w:sz w:val="24"/>
          <w:highlight w:val="none"/>
        </w:rPr>
        <mc:AlternateContent>
          <mc:Choice Requires="wps">
            <w:drawing>
              <wp:anchor distT="0" distB="0" distL="114300" distR="114300" simplePos="0" relativeHeight="251674624" behindDoc="0" locked="0" layoutInCell="1" allowOverlap="1">
                <wp:simplePos x="0" y="0"/>
                <wp:positionH relativeFrom="column">
                  <wp:posOffset>4035425</wp:posOffset>
                </wp:positionH>
                <wp:positionV relativeFrom="paragraph">
                  <wp:posOffset>45720</wp:posOffset>
                </wp:positionV>
                <wp:extent cx="887730" cy="222250"/>
                <wp:effectExtent l="6350" t="7620" r="10795" b="8255"/>
                <wp:wrapNone/>
                <wp:docPr id="194" name="Rectangle 45"/>
                <wp:cNvGraphicFramePr/>
                <a:graphic xmlns:a="http://schemas.openxmlformats.org/drawingml/2006/main">
                  <a:graphicData uri="http://schemas.microsoft.com/office/word/2010/wordprocessingShape">
                    <wps:wsp>
                      <wps:cNvSpPr>
                        <a:spLocks noChangeArrowheads="1"/>
                      </wps:cNvSpPr>
                      <wps:spPr bwMode="auto">
                        <a:xfrm>
                          <a:off x="0" y="0"/>
                          <a:ext cx="887730" cy="222250"/>
                        </a:xfrm>
                        <a:prstGeom prst="rect">
                          <a:avLst/>
                        </a:prstGeom>
                        <a:solidFill>
                          <a:srgbClr val="FFFFFF"/>
                        </a:solidFill>
                        <a:ln w="12700">
                          <a:solidFill>
                            <a:srgbClr val="000000"/>
                          </a:solidFill>
                          <a:miter lim="800000"/>
                        </a:ln>
                      </wps:spPr>
                      <wps:txbx>
                        <w:txbxContent>
                          <w:p>
                            <w:pPr>
                              <w:jc w:val="center"/>
                            </w:pPr>
                            <w:r>
                              <w:rPr>
                                <w:rFonts w:hint="eastAsia"/>
                              </w:rPr>
                              <w:t>尾水进入黎河</w:t>
                            </w:r>
                          </w:p>
                        </w:txbxContent>
                      </wps:txbx>
                      <wps:bodyPr rot="0" vert="horz" wrap="square" lIns="0" tIns="0" rIns="0" bIns="0" anchor="t" anchorCtr="0" upright="1">
                        <a:noAutofit/>
                      </wps:bodyPr>
                    </wps:wsp>
                  </a:graphicData>
                </a:graphic>
              </wp:anchor>
            </w:drawing>
          </mc:Choice>
          <mc:Fallback>
            <w:pict>
              <v:rect id="Rectangle 45" o:spid="_x0000_s1026" o:spt="1" style="position:absolute;left:0pt;margin-left:317.75pt;margin-top:3.6pt;height:17.5pt;width:69.9pt;z-index:251674624;mso-width-relative:page;mso-height-relative:page;" fillcolor="#FFFFFF" filled="t" stroked="t" coordsize="21600,21600" o:gfxdata="UEsDBAoAAAAAAIdO4kAAAAAAAAAAAAAAAAAEAAAAZHJzL1BLAwQUAAAACACHTuJAgP35S9kAAAAI&#10;AQAADwAAAGRycy9kb3ducmV2LnhtbE2Py07DMBBF90j8gzVIbFBrNyUNhDgVAkWoEgvS8gFuMuRB&#10;PI5i9wFfz7CC5ehenXsmW5/tII44+c6RhsVcgUCqXN1Ro+F9V8zuQPhgqDaDI9TwhR7W+eVFZtLa&#10;najE4zY0giHkU6OhDWFMpfRVi9b4uRuROPtwkzWBz6mR9WRODLeDjJRaSWs64oXWjPjUYvW5PVim&#10;9KRoUzzelEX52r182/7+rX/W+vpqoR5ABDyHvzL86rM65Oy0dweqvRg0rJZxzFUNSQSC8ySJlyD2&#10;Gm6jCGSeyf8P5D9QSwMEFAAAAAgAh07iQKyVQ34lAgAAcAQAAA4AAABkcnMvZTJvRG9jLnhtbK1U&#10;wY7TMBC9I/EPlu80adllS9R0tWpVhLTAioUPcBynsbA9Zuw2LV/PxElLd+GwB3ywxvH4+b034yxu&#10;D9awvcKgwZV8Osk5U05Crd225N+/bd7MOQtRuFoYcKrkRxX47fL1q0XnCzWDFkytkBGIC0XnS97G&#10;6IssC7JVVoQJeOVoswG0ItISt1mNoiN0a7JZnr/LOsDaI0gVAn1dD5t8RMSXAELTaKnWIHdWuTig&#10;ojIikqTQah/4MrFtGiXjl6YJKjJTclIa00yXUFz1c7ZciGKLwrdajhTESyg802SFdnTpGWotomA7&#10;1H9BWS0RAjRxIsFmg5DkCKmY5s+8eWyFV0kLWR382fTw/2Dl5/0DMl1TJ7y/4swJSyX/SrYJtzWK&#10;XV33DnU+FJT46B+w1xj8PcgfgTlYtZSm7hCha5Woide0z8+eHOgXgY6yqvsENcGLXYRk1qFB2wOS&#10;DeyQanI810QdIpP0cT6/uXlL1ZK0NaNxnWqWieJ02GOIHxRY1gclR+KewMX+PsSejChOKYk8GF1v&#10;tDFpgdtqZZDtBbXHJo3EnzRephnHOpI2u8nzBP1kM1xi5Gn8C8PqSM/GaEuSLpOMG/3qLRqsjofq&#10;MLpeQX0k5xCGxqVnS0EL+Iuzjpq25OHnTqDizHx05H7f4acAT0F1CoSTdLTkkbMhXMXhJew86m1L&#10;yNMkz8EdVajRyb2+egOLkSc1YjJ1fDR9p1+uU9afH8Xy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ID9+UvZAAAACAEAAA8AAAAAAAAAAQAgAAAAIgAAAGRycy9kb3ducmV2LnhtbFBLAQIUABQAAAAI&#10;AIdO4kCslUN+JQIAAHAEAAAOAAAAAAAAAAEAIAAAACgBAABkcnMvZTJvRG9jLnhtbFBLBQYAAAAA&#10;BgAGAFkBAAC/BQAAAAA=&#10;">
                <v:fill on="t" focussize="0,0"/>
                <v:stroke weight="1pt" color="#000000" miterlimit="8" joinstyle="miter"/>
                <v:imagedata o:title=""/>
                <o:lock v:ext="edit" aspectratio="f"/>
                <v:textbox inset="0mm,0mm,0mm,0mm">
                  <w:txbxContent>
                    <w:p>
                      <w:pPr>
                        <w:jc w:val="center"/>
                      </w:pPr>
                      <w:r>
                        <w:rPr>
                          <w:rFonts w:hint="eastAsia"/>
                        </w:rPr>
                        <w:t>尾水进入黎河</w:t>
                      </w:r>
                    </w:p>
                  </w:txbxContent>
                </v:textbox>
              </v:rect>
            </w:pict>
          </mc:Fallback>
        </mc:AlternateContent>
      </w:r>
      <w:r>
        <w:rPr>
          <w:kern w:val="0"/>
          <w:sz w:val="24"/>
          <w:highlight w:val="none"/>
        </w:rPr>
        <mc:AlternateContent>
          <mc:Choice Requires="wps">
            <w:drawing>
              <wp:anchor distT="0" distB="0" distL="114300" distR="114300" simplePos="0" relativeHeight="251678720" behindDoc="0" locked="0" layoutInCell="1" allowOverlap="1">
                <wp:simplePos x="0" y="0"/>
                <wp:positionH relativeFrom="column">
                  <wp:posOffset>3648075</wp:posOffset>
                </wp:positionH>
                <wp:positionV relativeFrom="paragraph">
                  <wp:posOffset>144145</wp:posOffset>
                </wp:positionV>
                <wp:extent cx="368300" cy="635"/>
                <wp:effectExtent l="9525" t="58420" r="22225" b="55245"/>
                <wp:wrapNone/>
                <wp:docPr id="193" name="AutoShape 47"/>
                <wp:cNvGraphicFramePr/>
                <a:graphic xmlns:a="http://schemas.openxmlformats.org/drawingml/2006/main">
                  <a:graphicData uri="http://schemas.microsoft.com/office/word/2010/wordprocessingShape">
                    <wps:wsp>
                      <wps:cNvCnPr>
                        <a:cxnSpLocks noChangeShapeType="1"/>
                      </wps:cNvCnPr>
                      <wps:spPr bwMode="auto">
                        <a:xfrm>
                          <a:off x="0" y="0"/>
                          <a:ext cx="368300" cy="635"/>
                        </a:xfrm>
                        <a:prstGeom prst="straightConnector1">
                          <a:avLst/>
                        </a:prstGeom>
                        <a:noFill/>
                        <a:ln w="9525">
                          <a:solidFill>
                            <a:srgbClr val="000000"/>
                          </a:solidFill>
                          <a:round/>
                          <a:tailEnd type="triangle" w="med" len="med"/>
                        </a:ln>
                      </wps:spPr>
                      <wps:bodyPr/>
                    </wps:wsp>
                  </a:graphicData>
                </a:graphic>
              </wp:anchor>
            </w:drawing>
          </mc:Choice>
          <mc:Fallback>
            <w:pict>
              <v:shape id="AutoShape 47" o:spid="_x0000_s1026" o:spt="32" type="#_x0000_t32" style="position:absolute;left:0pt;margin-left:287.25pt;margin-top:11.35pt;height:0.05pt;width:29pt;z-index:251678720;mso-width-relative:page;mso-height-relative:page;" filled="f" stroked="t" coordsize="21600,21600" o:gfxdata="UEsDBAoAAAAAAIdO4kAAAAAAAAAAAAAAAAAEAAAAZHJzL1BLAwQUAAAACACHTuJAj+NjbdoAAAAJ&#10;AQAADwAAAGRycy9kb3ducmV2LnhtbE2PTU/DMAyG70j8h8hI3Fi6wrpRmk6CCdHLkNimiWPWmKai&#10;caom++LX453g6NePXj8u5ifXiQMOofWkYDxKQCDV3rTUKNisX+9mIELUZHTnCRWcMcC8vL4qdG78&#10;kT7wsIqN4BIKuVZgY+xzKUNt0ekw8j0S77784HTkcWikGfSRy10n0yTJpNMt8QWre3yxWH+v9k5B&#10;XHyebbatnx/b9/XbMmt/qqpaKHV7M06eQEQ8xT8YLvqsDiU77fyeTBCdgsn0YcKogjSdgmAgu085&#10;2F2CGciykP8/KH8BUEsDBBQAAAAIAIdO4kBIkZLu8wEAAOQDAAAOAAAAZHJzL2Uyb0RvYy54bWyt&#10;U01vGyEQvVfqf0Dc6/VH7SYrr6PKbnpJW0tJfwAGdhcVGDRgr/3vO2DHbdJLDuWAgJl5b+bNsLw7&#10;OssOGqMB3/DJaMyZ9hKU8V3Dfz7df7jhLCbhlbDgdcNPOvK71ft3yyHUego9WKWREYiP9RAa3qcU&#10;6qqKstdOxBEE7cnYAjqR6IpdpVAMhO5sNR2PF9UAqAKC1DHS6+Zs5BdEfAsgtK2RegNy77RPZ1TU&#10;ViQqKfYmRL4q2batlulH20admG04VZrKTiR03uW9Wi1F3aEIvZGXFMRbUnhVkxPGE+kVaiOSYHs0&#10;/0A5IxEitGkkwVXnQooiVMVk/Eqbx14EXWohqWO4ih7/H6z8ftgiM4om4XbGmReOWv55n6Bws4+f&#10;skJDiDU5rv0Wc43y6B/DA8hfkXlY98J3ung/nQIFT3JE9SIkX2Ignt3wDRT5CCIoch1bdBmShGDH&#10;0pXTtSv6mJikx9niZjamfkkyLWbzAi/q58iAMX3V4Fg+NDwmFKbr0xq8p+YDTgqPODzElPMS9XNA&#10;pvVwb6wtM2A9Gxp+O5/OS0AEa1Q2ZreI3W5tkR1EnqKyLlm8cEPYe1XAkjD2i1csFUUSGtLIap4Z&#10;nFacWU1fL5/OKVl/USyLdJZ7B+q0xWzO4lHzS+6XQc3T9fe9eP35nK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j+NjbdoAAAAJAQAADwAAAAAAAAABACAAAAAiAAAAZHJzL2Rvd25yZXYueG1sUEsB&#10;AhQAFAAAAAgAh07iQEiRku7zAQAA5AMAAA4AAAAAAAAAAQAgAAAAKQEAAGRycy9lMm9Eb2MueG1s&#10;UEsFBgAAAAAGAAYAWQEAAI4FAAAAAA==&#10;">
                <v:fill on="f" focussize="0,0"/>
                <v:stroke color="#000000" joinstyle="round" endarrow="block"/>
                <v:imagedata o:title=""/>
                <o:lock v:ext="edit" aspectratio="f"/>
              </v:shape>
            </w:pict>
          </mc:Fallback>
        </mc:AlternateContent>
      </w:r>
      <w:r>
        <w:rPr>
          <w:kern w:val="0"/>
          <w:sz w:val="24"/>
          <w:highlight w:val="none"/>
        </w:rPr>
        <mc:AlternateContent>
          <mc:Choice Requires="wps">
            <w:drawing>
              <wp:anchor distT="0" distB="0" distL="114300" distR="114300" simplePos="0" relativeHeight="251679744" behindDoc="0" locked="0" layoutInCell="1" allowOverlap="1">
                <wp:simplePos x="0" y="0"/>
                <wp:positionH relativeFrom="column">
                  <wp:posOffset>3265170</wp:posOffset>
                </wp:positionH>
                <wp:positionV relativeFrom="paragraph">
                  <wp:posOffset>279400</wp:posOffset>
                </wp:positionV>
                <wp:extent cx="3175" cy="290195"/>
                <wp:effectExtent l="55245" t="12700" r="55880" b="20955"/>
                <wp:wrapNone/>
                <wp:docPr id="192" name="AutoShape 28"/>
                <wp:cNvGraphicFramePr/>
                <a:graphic xmlns:a="http://schemas.openxmlformats.org/drawingml/2006/main">
                  <a:graphicData uri="http://schemas.microsoft.com/office/word/2010/wordprocessingShape">
                    <wps:wsp>
                      <wps:cNvCnPr>
                        <a:cxnSpLocks noChangeShapeType="1"/>
                      </wps:cNvCnPr>
                      <wps:spPr bwMode="auto">
                        <a:xfrm>
                          <a:off x="0" y="0"/>
                          <a:ext cx="3175" cy="290195"/>
                        </a:xfrm>
                        <a:prstGeom prst="straightConnector1">
                          <a:avLst/>
                        </a:prstGeom>
                        <a:noFill/>
                        <a:ln w="9525">
                          <a:solidFill>
                            <a:srgbClr val="000000"/>
                          </a:solidFill>
                          <a:round/>
                          <a:tailEnd type="triangle" w="med" len="med"/>
                        </a:ln>
                      </wps:spPr>
                      <wps:bodyPr/>
                    </wps:wsp>
                  </a:graphicData>
                </a:graphic>
              </wp:anchor>
            </w:drawing>
          </mc:Choice>
          <mc:Fallback>
            <w:pict>
              <v:shape id="AutoShape 28" o:spid="_x0000_s1026" o:spt="32" type="#_x0000_t32" style="position:absolute;left:0pt;margin-left:257.1pt;margin-top:22pt;height:22.85pt;width:0.25pt;z-index:251679744;mso-width-relative:page;mso-height-relative:page;" filled="f" stroked="t" coordsize="21600,21600" o:gfxdata="UEsDBAoAAAAAAIdO4kAAAAAAAAAAAAAAAAAEAAAAZHJzL1BLAwQUAAAACACHTuJAzOIM+doAAAAJ&#10;AQAADwAAAGRycy9kb3ducmV2LnhtbE2PTU/DMAyG70j8h8hI3FjaqXRbaToJJkQvILFNE8esMW1E&#10;41RN9sWvx5zgaPvR6+ctl2fXiyOOwXpSkE4SEEiNN5ZaBdvN890cRIiajO49oYILBlhW11elLow/&#10;0Tse17EVHEKh0Aq6GIdCytB06HSY+AGJb59+dDryOLbSjPrE4a6X0yTJpdOW+EOnB3zqsPlaH5yC&#10;uPq4dPmueVzYt83La26/67peKXV7kyYPICKe4x8Mv/qsDhU77f2BTBC9gvs0mzKqIMu4EwO8mIHY&#10;K5gvZiCrUv5vUP0AUEsDBBQAAAAIAIdO4kBR09bu9AEAAOUDAAAOAAAAZHJzL2Uyb0RvYy54bWyt&#10;U8FuGyEQvVfqPyDu9XpduY1XXkeV3fSStpaSfgAGdhcVGDRgr/33HbDjNOklh3JAwMy8N/NmWN4e&#10;nWUHjdGAb3k9mXKmvQRlfN/yX493H244i0l4JSx43fKTjvx29f7dcgyNnsEAVmlkBOJjM4aWDymF&#10;pqqiHLQTcQJBezJ2gE4kumJfKRQjoTtbzabTT9UIqAKC1DHS6+Zs5BdEfAsgdJ2RegNy77RPZ1TU&#10;ViQqKQ4mRL4q2Xadluln10WdmG05VZrKTiR03uW9Wi1F06MIg5GXFMRbUnhVkxPGE+kVaiOSYHs0&#10;/0A5IxEidGkiwVXnQooiVEU9faXNwyCCLrWQ1DFcRY//D1b+OGyRGUWTsJhx5oWjln/ZJyjcbHaT&#10;FRpDbMhx7beYa5RH/xDuQf6OzMN6EL7XxfvxFCi4zhHVi5B8iYF4duN3UOQjiKDIdezQZUgSgh1L&#10;V07XruhjYpIeP9af55xJMswW03oxL/iieQoNGNM3DY7lQ8tjQmH6Ia3Be+o+YF2IxOE+ppyYaJ4C&#10;Mq+HO2NtGQLr2djyxXw2LwERrFHZmN0i9ru1RXYQeYzKumTxwg1h71UBS8LYr16xVCRJaEgkq3lm&#10;cFpxZjX9vXw6p2T9RbKs0lnvHajTFrM5q0fdL7lfJjWP19/34vX8O1d/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MziDPnaAAAACQEAAA8AAAAAAAAAAQAgAAAAIgAAAGRycy9kb3ducmV2LnhtbFBL&#10;AQIUABQAAAAIAIdO4kBR09bu9AEAAOUDAAAOAAAAAAAAAAEAIAAAACkBAABkcnMvZTJvRG9jLnht&#10;bFBLBQYAAAAABgAGAFkBAACPBQAAAAA=&#10;">
                <v:fill on="f" focussize="0,0"/>
                <v:stroke color="#000000" joinstyle="round" endarrow="block"/>
                <v:imagedata o:title=""/>
                <o:lock v:ext="edit" aspectratio="f"/>
              </v:shape>
            </w:pict>
          </mc:Fallback>
        </mc:AlternateContent>
      </w:r>
      <w:r>
        <w:rPr>
          <w:kern w:val="0"/>
          <w:sz w:val="24"/>
          <w:highlight w:val="none"/>
        </w:rPr>
        <mc:AlternateContent>
          <mc:Choice Requires="wps">
            <w:drawing>
              <wp:anchor distT="0" distB="0" distL="114300" distR="114300" simplePos="0" relativeHeight="251675648" behindDoc="0" locked="0" layoutInCell="1" allowOverlap="1">
                <wp:simplePos x="0" y="0"/>
                <wp:positionH relativeFrom="column">
                  <wp:posOffset>2936875</wp:posOffset>
                </wp:positionH>
                <wp:positionV relativeFrom="paragraph">
                  <wp:posOffset>36195</wp:posOffset>
                </wp:positionV>
                <wp:extent cx="701040" cy="231775"/>
                <wp:effectExtent l="12700" t="7620" r="10160" b="8255"/>
                <wp:wrapNone/>
                <wp:docPr id="191" name="Rectangle 50"/>
                <wp:cNvGraphicFramePr/>
                <a:graphic xmlns:a="http://schemas.openxmlformats.org/drawingml/2006/main">
                  <a:graphicData uri="http://schemas.microsoft.com/office/word/2010/wordprocessingShape">
                    <wps:wsp>
                      <wps:cNvSpPr>
                        <a:spLocks noChangeArrowheads="1"/>
                      </wps:cNvSpPr>
                      <wps:spPr bwMode="auto">
                        <a:xfrm>
                          <a:off x="0" y="0"/>
                          <a:ext cx="701040" cy="231775"/>
                        </a:xfrm>
                        <a:prstGeom prst="rect">
                          <a:avLst/>
                        </a:prstGeom>
                        <a:solidFill>
                          <a:srgbClr val="FFFFFF"/>
                        </a:solidFill>
                        <a:ln w="12700">
                          <a:solidFill>
                            <a:srgbClr val="000000"/>
                          </a:solidFill>
                          <a:miter lim="800000"/>
                        </a:ln>
                      </wps:spPr>
                      <wps:txbx>
                        <w:txbxContent>
                          <w:p>
                            <w:r>
                              <w:rPr>
                                <w:rFonts w:hint="eastAsia"/>
                              </w:rPr>
                              <w:t>水轮发电机</w:t>
                            </w:r>
                          </w:p>
                        </w:txbxContent>
                      </wps:txbx>
                      <wps:bodyPr rot="0" vert="horz" wrap="square" lIns="0" tIns="0" rIns="0" bIns="0" anchor="t" anchorCtr="0" upright="1">
                        <a:noAutofit/>
                      </wps:bodyPr>
                    </wps:wsp>
                  </a:graphicData>
                </a:graphic>
              </wp:anchor>
            </w:drawing>
          </mc:Choice>
          <mc:Fallback>
            <w:pict>
              <v:rect id="Rectangle 50" o:spid="_x0000_s1026" o:spt="1" style="position:absolute;left:0pt;margin-left:231.25pt;margin-top:2.85pt;height:18.25pt;width:55.2pt;z-index:251675648;mso-width-relative:page;mso-height-relative:page;" fillcolor="#FFFFFF" filled="t" stroked="t" coordsize="21600,21600" o:gfxdata="UEsDBAoAAAAAAIdO4kAAAAAAAAAAAAAAAAAEAAAAZHJzL1BLAwQUAAAACACHTuJAAZEMNtgAAAAI&#10;AQAADwAAAGRycy9kb3ducmV2LnhtbE2Py07DMBBF90j8gzVIbBC1G5E+QpwKgSKExIIUPsCNp3kQ&#10;j6PYfcDXM6xgOTpX597JN2c3iCNOofOkYT5TIJBqbztqNHy8l7crECEasmbwhBq+MMCmuLzITWb9&#10;iSo8bmMjWEIhMxraGMdMylC36EyY+RGJ2d5PzkQ+p0bayZxY7gaZKLWQznTEDa0Z8bHF+nN7cGzp&#10;SdFL+XBTldVr9/zt+vVb/6T19dVc3YOIeI5/Yfidz9Oh4E07fyAbxKDhbpGkHNWQLkEwT5fJGsSO&#10;QZKALHL5/4HiB1BLAwQUAAAACACHTuJAbZtIQiUCAABwBAAADgAAAGRycy9lMm9Eb2MueG1srVTB&#10;jtMwEL0j8Q+W7zRJYekSNV2tWhUhLbBi4QNcx0ksbI8Zu03L1zNx02534bAHcrDG9vj5vTfjzG/2&#10;1rCdwqDBVbyY5JwpJ6HWrq34j+/rN9echShcLQw4VfGDCvxm8frVvPelmkIHplbICMSFsvcV72L0&#10;ZZYF2SkrwgS8crTZAFoRaYptVqPoCd2abJrn77MesPYIUoVAq6vjJh8R8SWA0DRaqhXIrVUuHlFR&#10;GRFJUui0D3yR2DaNkvFr0wQVmak4KY1ppEso3gxjtpiLskXhOy1HCuIlFJ5pskI7uvQMtRJRsC3q&#10;v6CslggBmjiRYLOjkOQIqSjyZ948dMKrpIWsDv5sevh/sPLL7h6ZrqkTPhScOWGp5N/INuFao9hV&#10;cqj3oaTEB3+Pg8bg70D+DMzBsqM0dYsIfadETbyKwdHsyYFhEugo2/SfoSZ4sY2QzNo3aAdAsoHt&#10;U00O55qofWSSFmdkyzuqlqSt6dtiNrtKN4jydNhjiB8VWDYEFUfinsDF7i7EgYwoTymJPBhdr7Ux&#10;aYLtZmmQ7QS1xzp9I3q4TDOO9SRtOsvzBP1kM1xi5On7F4bVkZ6N0bbi15dJxo1+DRYNbRvKuN/s&#10;ifgQbqA+kHMIx8alZ0tBB/ibs56atuLh11ag4sx8cuT+0OGnAE/B5hQIJ+loxSNnx3AZjy9h61G3&#10;HSEXSZ6DW6pQo5N7jyxGntSIydTx0QydfjlPWY8/isU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AZEMNtgAAAAIAQAADwAAAAAAAAABACAAAAAiAAAAZHJzL2Rvd25yZXYueG1sUEsBAhQAFAAAAAgA&#10;h07iQG2bSEIlAgAAcAQAAA4AAAAAAAAAAQAgAAAAJwEAAGRycy9lMm9Eb2MueG1sUEsFBgAAAAAG&#10;AAYAWQEAAL4FAAAAAA==&#10;">
                <v:fill on="t" focussize="0,0"/>
                <v:stroke weight="1pt" color="#000000" miterlimit="8" joinstyle="miter"/>
                <v:imagedata o:title=""/>
                <o:lock v:ext="edit" aspectratio="f"/>
                <v:textbox inset="0mm,0mm,0mm,0mm">
                  <w:txbxContent>
                    <w:p>
                      <w:r>
                        <w:rPr>
                          <w:rFonts w:hint="eastAsia"/>
                        </w:rPr>
                        <w:t>水轮发电机</w:t>
                      </w:r>
                    </w:p>
                  </w:txbxContent>
                </v:textbox>
              </v:rect>
            </w:pict>
          </mc:Fallback>
        </mc:AlternateContent>
      </w:r>
      <w:r>
        <w:rPr>
          <w:highlight w:val="none"/>
        </w:rPr>
        <mc:AlternateContent>
          <mc:Choice Requires="wps">
            <w:drawing>
              <wp:anchor distT="0" distB="0" distL="114300" distR="114300" simplePos="0" relativeHeight="251693056" behindDoc="0" locked="0" layoutInCell="1" allowOverlap="1">
                <wp:simplePos x="0" y="0"/>
                <wp:positionH relativeFrom="column">
                  <wp:posOffset>2692400</wp:posOffset>
                </wp:positionH>
                <wp:positionV relativeFrom="paragraph">
                  <wp:posOffset>153670</wp:posOffset>
                </wp:positionV>
                <wp:extent cx="234950" cy="0"/>
                <wp:effectExtent l="6350" t="58420" r="15875" b="55880"/>
                <wp:wrapNone/>
                <wp:docPr id="190" name="AutoShape 41"/>
                <wp:cNvGraphicFramePr/>
                <a:graphic xmlns:a="http://schemas.openxmlformats.org/drawingml/2006/main">
                  <a:graphicData uri="http://schemas.microsoft.com/office/word/2010/wordprocessingShape">
                    <wps:wsp>
                      <wps:cNvCnPr>
                        <a:cxnSpLocks noChangeShapeType="1"/>
                      </wps:cNvCnPr>
                      <wps:spPr bwMode="auto">
                        <a:xfrm>
                          <a:off x="0" y="0"/>
                          <a:ext cx="234950" cy="0"/>
                        </a:xfrm>
                        <a:prstGeom prst="straightConnector1">
                          <a:avLst/>
                        </a:prstGeom>
                        <a:noFill/>
                        <a:ln w="9525">
                          <a:solidFill>
                            <a:srgbClr val="000000"/>
                          </a:solidFill>
                          <a:round/>
                          <a:tailEnd type="triangle" w="med" len="med"/>
                        </a:ln>
                      </wps:spPr>
                      <wps:bodyPr/>
                    </wps:wsp>
                  </a:graphicData>
                </a:graphic>
              </wp:anchor>
            </w:drawing>
          </mc:Choice>
          <mc:Fallback>
            <w:pict>
              <v:shape id="AutoShape 41" o:spid="_x0000_s1026" o:spt="32" type="#_x0000_t32" style="position:absolute;left:0pt;margin-left:212pt;margin-top:12.1pt;height:0pt;width:18.5pt;z-index:251693056;mso-width-relative:page;mso-height-relative:page;" filled="f" stroked="t" coordsize="21600,21600" o:gfxdata="UEsDBAoAAAAAAIdO4kAAAAAAAAAAAAAAAAAEAAAAZHJzL1BLAwQUAAAACACHTuJAO7xjfNcAAAAJ&#10;AQAADwAAAGRycy9kb3ducmV2LnhtbE2PT0vEMBDF74LfIYzgzU1bStHadEEXsRcFd0U8ZpuxCTaT&#10;0mT/+ekd8aDHefN47/ea5dGPYo9zdIEU5IsMBFIfjKNBwevm4eoaREyajB4DoYITRli252eNrk04&#10;0Avu12kQHEKx1gpsSlMtZewteh0XYULi30eYvU58zoM0sz5wuB9lkWWV9NoRN1g94b3F/nO98wrS&#10;6v1kq7f+7sY9bx6fKvfVdd1KqcuLPLsFkfCY/szwg8/o0DLTNuzIRDEqKIuStyQFRVmAYENZ5Sxs&#10;fwXZNvL/gvYbUEsDBBQAAAAIAIdO4kD/0G/C7wEAAOIDAAAOAAAAZHJzL2Uyb0RvYy54bWytU01v&#10;GyEQvVfqf0Dc67XduKpXXkeR3fSStpaS/gAM7C4KMGjAXvvfd8AfadJLDt3DCpiZ93hvhsXtwVm2&#10;1xgN+IZPRmPOtJegjO8a/vvp/tNXzmISXgkLXjf8qCO/XX78sBhCrafQg1UaGYH4WA+h4X1Koa6q&#10;KHvtRBxB0J6CLaATibbYVQrFQOjOVtPx+Es1AKqAIHWMdLo+BfkZEd8DCG1rpF6D3Dnt0wkVtRWJ&#10;JMXehMiX5bZtq2X61bZRJ2YbTkpT+RMJrbf5Xy0Xou5QhN7I8xXEe67wRpMTxhPpFWotkmA7NP9A&#10;OSMRIrRpJMFVJyHFEVIxGb/x5rEXQRctZHUMV9Pj/4OVP/cbZEbRJMzJEy8ctfxul6Bws5tJdmgI&#10;sabEld9g1igP/jE8gHyOzMOqF77TJfvpGKi4VFSvSvImBuLZDj9AUY4ggmLXoUWXIckIdihdOV67&#10;og+JSTqcfr6Zz+hu8hKqRH2pCxjTdw2O5UXDY0Jhuj6twHtqPeCksIj9Q0ykgwovBZnUw72xtkyA&#10;9Wxo+Hw2nZWCCNaoHMxpEbvtyiLbizxD5cumENirNISdVwUsCWO/ecVS8SOhIYes5pnBacWZ1fTw&#10;8uqEYj2BXSw6mb0FddxgDudzan2hO49pnq2/9yXr5Wku/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7vGN81wAAAAkBAAAPAAAAAAAAAAEAIAAAACIAAABkcnMvZG93bnJldi54bWxQSwECFAAUAAAA&#10;CACHTuJA/9Bvwu8BAADiAwAADgAAAAAAAAABACAAAAAmAQAAZHJzL2Uyb0RvYy54bWxQSwUGAAAA&#10;AAYABgBZAQAAhwUAAAAA&#10;">
                <v:fill on="f" focussize="0,0"/>
                <v:stroke color="#000000" joinstyle="round" endarrow="block"/>
                <v:imagedata o:title=""/>
                <o:lock v:ext="edit" aspectratio="f"/>
              </v:shape>
            </w:pict>
          </mc:Fallback>
        </mc:AlternateContent>
      </w:r>
      <w:r>
        <w:rPr>
          <w:kern w:val="0"/>
          <w:sz w:val="24"/>
          <w:highlight w:val="none"/>
        </w:rPr>
        <mc:AlternateContent>
          <mc:Choice Requires="wps">
            <w:drawing>
              <wp:anchor distT="0" distB="0" distL="114300" distR="114300" simplePos="0" relativeHeight="251691008" behindDoc="0" locked="0" layoutInCell="1" allowOverlap="1">
                <wp:simplePos x="0" y="0"/>
                <wp:positionH relativeFrom="column">
                  <wp:posOffset>1914525</wp:posOffset>
                </wp:positionH>
                <wp:positionV relativeFrom="paragraph">
                  <wp:posOffset>33020</wp:posOffset>
                </wp:positionV>
                <wp:extent cx="758825" cy="241300"/>
                <wp:effectExtent l="9525" t="13970" r="12700" b="11430"/>
                <wp:wrapNone/>
                <wp:docPr id="189" name="Rectangle 31"/>
                <wp:cNvGraphicFramePr/>
                <a:graphic xmlns:a="http://schemas.openxmlformats.org/drawingml/2006/main">
                  <a:graphicData uri="http://schemas.microsoft.com/office/word/2010/wordprocessingShape">
                    <wps:wsp>
                      <wps:cNvSpPr>
                        <a:spLocks noChangeArrowheads="1"/>
                      </wps:cNvSpPr>
                      <wps:spPr bwMode="auto">
                        <a:xfrm>
                          <a:off x="0" y="0"/>
                          <a:ext cx="758825" cy="241300"/>
                        </a:xfrm>
                        <a:prstGeom prst="rect">
                          <a:avLst/>
                        </a:prstGeom>
                        <a:solidFill>
                          <a:srgbClr val="FFFFFF"/>
                        </a:solidFill>
                        <a:ln w="12700">
                          <a:solidFill>
                            <a:srgbClr val="000000"/>
                          </a:solidFill>
                          <a:miter lim="800000"/>
                        </a:ln>
                      </wps:spPr>
                      <wps:txbx>
                        <w:txbxContent>
                          <w:p>
                            <w:pPr>
                              <w:spacing w:line="300" w:lineRule="exact"/>
                              <w:jc w:val="center"/>
                            </w:pPr>
                            <w:r>
                              <w:rPr>
                                <w:rFonts w:hint="eastAsia"/>
                              </w:rPr>
                              <w:t>引水渠前池</w:t>
                            </w:r>
                          </w:p>
                        </w:txbxContent>
                      </wps:txbx>
                      <wps:bodyPr rot="0" vert="horz" wrap="square" lIns="0" tIns="0" rIns="0" bIns="0" anchor="t" anchorCtr="0" upright="1">
                        <a:noAutofit/>
                      </wps:bodyPr>
                    </wps:wsp>
                  </a:graphicData>
                </a:graphic>
              </wp:anchor>
            </w:drawing>
          </mc:Choice>
          <mc:Fallback>
            <w:pict>
              <v:rect id="Rectangle 31" o:spid="_x0000_s1026" o:spt="1" style="position:absolute;left:0pt;margin-left:150.75pt;margin-top:2.6pt;height:19pt;width:59.75pt;z-index:251691008;mso-width-relative:page;mso-height-relative:page;" fillcolor="#FFFFFF" filled="t" stroked="t" coordsize="21600,21600" o:gfxdata="UEsDBAoAAAAAAIdO4kAAAAAAAAAAAAAAAAAEAAAAZHJzL1BLAwQUAAAACACHTuJAYMVx/dgAAAAI&#10;AQAADwAAAGRycy9kb3ducmV2LnhtbE2PzU7DMBCE70i8g7VIXBC1k9KKhjgVAkUIiUNTeAA33uaH&#10;eB3F7g88PcsJbjua0bcz+frsBnHEKXSeNCQzBQKp9rajRsPHe3l7DyJEQ9YMnlDDFwZYF5cXucms&#10;P1GFx21sBEMoZEZDG+OYSRnqFp0JMz8isbf3kzOR5dRIO5kTw90gU6WW0pmO+ENrRnxqsf7cHhxT&#10;elL0Wj7eVGX11r18u3616Z+1vr5K1AOIiOf4F4bf+lwdCu608weyQQwa5ipZcFTDIgXB/l2a8LYd&#10;H/MUZJHL/wOKH1BLAwQUAAAACACHTuJA9OG8aSMCAABwBAAADgAAAGRycy9lMm9Eb2MueG1srVTB&#10;jtMwEL0j8Q+W7zRpl2VL1XS1alWEtMCKhQ9wHCexsD1m7DYtX8/EaUpZENoDOUTjeOb5vTfjLG8P&#10;1rC9wqDBFXw6yTlTTkKlXVPwr1+2r+achShcJQw4VfCjCvx29fLFsvMLNYMWTKWQEYgLi84XvI3R&#10;L7IsyFZZESbglaPNGtCKSEtssgpFR+jWZLM8f5N1gJVHkCoE+roZNvkJEZ8DCHWtpdqA3Fnl4oCK&#10;yohIkkKrfeCrxLaulYyf6jqoyEzBSWlMbzqE4rJ/Z6ulWDQofKvliYJ4DoUnmqzQjg49Q21EFGyH&#10;+g8oqyVCgDpOJNhsEJIcIRXT/Ik3j63wKmkhq4M/mx7+H6z8uH9ApiuahPlbzpyw1PLPZJtwjVHs&#10;ato71PmwoMRH/4C9xuDvQX4LzMG6pTR1hwhdq0RFvFJ+9ltBvwhUysruA1QEL3YRklmHGm0PSDaw&#10;Q+rJ8dwTdYhM0seb6/l8ds2ZpK3Z6+lVnnqWicVY7DHEdwos64OCI3FP4GJ/HyKRp9QxJZEHo6ut&#10;NiYtsCnXBtle0Hhs09PrpZJwmWYc60ja7IYO/zdGnp6/YVgd6doYbQs+v0wyjs4bLRqsjofycHK9&#10;hOpIziEMg0vXloIW8AdnHQ1twcP3nUDFmXnvyP1+wscAx6AcA+EklRY8cjaE6zjchJ1H3bSEPE3y&#10;HNxRh2qd3OupDSxOPGkQk0OnS9NP+uU6Zf36Uax+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DF&#10;cf3YAAAACAEAAA8AAAAAAAAAAQAgAAAAIgAAAGRycy9kb3ducmV2LnhtbFBLAQIUABQAAAAIAIdO&#10;4kD04bxpIwIAAHAEAAAOAAAAAAAAAAEAIAAAACcBAABkcnMvZTJvRG9jLnhtbFBLBQYAAAAABgAG&#10;AFkBAAC8BQAAAAA=&#10;">
                <v:fill on="t" focussize="0,0"/>
                <v:stroke weight="1pt" color="#000000" miterlimit="8" joinstyle="miter"/>
                <v:imagedata o:title=""/>
                <o:lock v:ext="edit" aspectratio="f"/>
                <v:textbox inset="0mm,0mm,0mm,0mm">
                  <w:txbxContent>
                    <w:p>
                      <w:pPr>
                        <w:spacing w:line="300" w:lineRule="exact"/>
                        <w:jc w:val="center"/>
                      </w:pPr>
                      <w:r>
                        <w:rPr>
                          <w:rFonts w:hint="eastAsia"/>
                        </w:rPr>
                        <w:t>引水渠前池</w:t>
                      </w:r>
                    </w:p>
                  </w:txbxContent>
                </v:textbox>
              </v:rect>
            </w:pict>
          </mc:Fallback>
        </mc:AlternateContent>
      </w:r>
      <w:r>
        <w:rPr>
          <w:kern w:val="0"/>
          <w:sz w:val="24"/>
          <w:highlight w:val="none"/>
        </w:rPr>
        <mc:AlternateContent>
          <mc:Choice Requires="wps">
            <w:drawing>
              <wp:anchor distT="0" distB="0" distL="114300" distR="114300" simplePos="0" relativeHeight="251692032" behindDoc="0" locked="0" layoutInCell="1" allowOverlap="1">
                <wp:simplePos x="0" y="0"/>
                <wp:positionH relativeFrom="column">
                  <wp:posOffset>1692275</wp:posOffset>
                </wp:positionH>
                <wp:positionV relativeFrom="paragraph">
                  <wp:posOffset>144145</wp:posOffset>
                </wp:positionV>
                <wp:extent cx="234950" cy="0"/>
                <wp:effectExtent l="6350" t="58420" r="15875" b="55880"/>
                <wp:wrapNone/>
                <wp:docPr id="188" name="AutoShape 32"/>
                <wp:cNvGraphicFramePr/>
                <a:graphic xmlns:a="http://schemas.openxmlformats.org/drawingml/2006/main">
                  <a:graphicData uri="http://schemas.microsoft.com/office/word/2010/wordprocessingShape">
                    <wps:wsp>
                      <wps:cNvCnPr>
                        <a:cxnSpLocks noChangeShapeType="1"/>
                      </wps:cNvCnPr>
                      <wps:spPr bwMode="auto">
                        <a:xfrm>
                          <a:off x="0" y="0"/>
                          <a:ext cx="234950" cy="0"/>
                        </a:xfrm>
                        <a:prstGeom prst="straightConnector1">
                          <a:avLst/>
                        </a:prstGeom>
                        <a:noFill/>
                        <a:ln w="9525">
                          <a:solidFill>
                            <a:srgbClr val="000000"/>
                          </a:solidFill>
                          <a:round/>
                          <a:tailEnd type="triangle" w="med" len="med"/>
                        </a:ln>
                      </wps:spPr>
                      <wps:bodyPr/>
                    </wps:wsp>
                  </a:graphicData>
                </a:graphic>
              </wp:anchor>
            </w:drawing>
          </mc:Choice>
          <mc:Fallback>
            <w:pict>
              <v:shape id="AutoShape 32" o:spid="_x0000_s1026" o:spt="32" type="#_x0000_t32" style="position:absolute;left:0pt;margin-left:133.25pt;margin-top:11.35pt;height:0pt;width:18.5pt;z-index:251692032;mso-width-relative:page;mso-height-relative:page;" filled="f" stroked="t" coordsize="21600,21600" o:gfxdata="UEsDBAoAAAAAAIdO4kAAAAAAAAAAAAAAAAAEAAAAZHJzL1BLAwQUAAAACACHTuJAKHcoYdgAAAAJ&#10;AQAADwAAAGRycy9kb3ducmV2LnhtbE2PzU7DMBCE70i8g7VI3KjdVBgIcSpBhcgFJFqEOLrxElvE&#10;dhS7fzx9F/UAt92Z0ey31Xzve7bFMbkYFEwnAhiGNhoXOgXvq6erW2Ap62B0HwMqOGCCeX1+VunS&#10;xF14w+0yd4xKQiq1ApvzUHKeWotep0kcMJD3FUevM61jx82od1Tue14IIbnXLtAFqwd8tNh+Lzde&#10;QV58Hqz8aB/u3Ovq+UW6n6ZpFkpdXkzFPbCM+/wXhl98QoeamNZxE0xivYJCymuK0lDcAKPATMxI&#10;WJ8EXlf8/wf1EVBLAwQUAAAACACHTuJADE3KOPEBAADiAwAADgAAAGRycy9lMm9Eb2MueG1srVNN&#10;b9swDL0P2H8QdF+cuMvQGnGKIVl36bYA7X6AIsm2MEkUKCVO/v0o5WNdd+lhPhiSSb7H90gv7g/O&#10;sr3GaMC3fDaZcqa9BGV83/Kfzw8fbjmLSXglLHjd8qOO/H75/t1iDI2uYQCrNDIC8bEZQ8uHlEJT&#10;VVEO2ok4gaA9BTtAJxJdsa8UipHQna3q6fRTNQKqgCB1jPR1fQryMyK+BRC6zki9Brlz2qcTKmor&#10;EkmKgwmRL0u3Xadl+tF1USdmW05KU3kTCZ23+V0tF6LpUYTByHML4i0tvNLkhPFEeoVaiyTYDs0/&#10;UM5IhAhdmkhw1UlIcYRUzKavvHkaRNBFC1kdw9X0+P9g5ff9BplRtAm3NHgvHI388y5B4WY3dXZo&#10;DLGhxJXfYNYoD/4pPIL8FZmH1SB8r0v28zFQ8SxXVH+V5EsMxLMdv4GiHEEExa5Dhy5DkhHsUKZy&#10;vE5FHxKT9LG++Xg3p3nJS6gSzaUuYExfNTiWDy2PCYXph7QC72n0gLPCIvaPMeWuRHMpyKQeHoy1&#10;ZQOsZ2PL7+b1vBREsEblYE6L2G9XFtle5B0qT5FIkZdpCDuvClgSxn7xiqXiR0JDDlnNM4PTijOr&#10;6cfLp1NL1p/9yhadzN6COm4wh7N1NPrS+3lN8269vJesP7/m8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odyhh2AAAAAkBAAAPAAAAAAAAAAEAIAAAACIAAABkcnMvZG93bnJldi54bWxQSwECFAAU&#10;AAAACACHTuJADE3KOPEBAADiAwAADgAAAAAAAAABACAAAAAnAQAAZHJzL2Uyb0RvYy54bWxQSwUG&#10;AAAAAAYABgBZAQAAigUAAAAA&#10;">
                <v:fill on="f" focussize="0,0"/>
                <v:stroke color="#000000" joinstyle="round" endarrow="block"/>
                <v:imagedata o:title=""/>
                <o:lock v:ext="edit" aspectratio="f"/>
              </v:shape>
            </w:pict>
          </mc:Fallback>
        </mc:AlternateContent>
      </w:r>
      <w:r>
        <w:rPr>
          <w:kern w:val="0"/>
          <w:sz w:val="24"/>
          <w:highlight w:val="none"/>
        </w:rPr>
        <mc:AlternateContent>
          <mc:Choice Requires="wps">
            <w:drawing>
              <wp:anchor distT="0" distB="0" distL="114300" distR="114300" simplePos="0" relativeHeight="251689984" behindDoc="0" locked="0" layoutInCell="1" allowOverlap="1">
                <wp:simplePos x="0" y="0"/>
                <wp:positionH relativeFrom="column">
                  <wp:posOffset>1057275</wp:posOffset>
                </wp:positionH>
                <wp:positionV relativeFrom="paragraph">
                  <wp:posOffset>33020</wp:posOffset>
                </wp:positionV>
                <wp:extent cx="615950" cy="241300"/>
                <wp:effectExtent l="9525" t="13970" r="12700" b="11430"/>
                <wp:wrapNone/>
                <wp:docPr id="187" name="Rectangle 30"/>
                <wp:cNvGraphicFramePr/>
                <a:graphic xmlns:a="http://schemas.openxmlformats.org/drawingml/2006/main">
                  <a:graphicData uri="http://schemas.microsoft.com/office/word/2010/wordprocessingShape">
                    <wps:wsp>
                      <wps:cNvSpPr>
                        <a:spLocks noChangeArrowheads="1"/>
                      </wps:cNvSpPr>
                      <wps:spPr bwMode="auto">
                        <a:xfrm>
                          <a:off x="0" y="0"/>
                          <a:ext cx="615950" cy="241300"/>
                        </a:xfrm>
                        <a:prstGeom prst="rect">
                          <a:avLst/>
                        </a:prstGeom>
                        <a:solidFill>
                          <a:srgbClr val="FFFFFF"/>
                        </a:solidFill>
                        <a:ln w="12700">
                          <a:solidFill>
                            <a:srgbClr val="000000"/>
                          </a:solidFill>
                          <a:miter lim="800000"/>
                        </a:ln>
                      </wps:spPr>
                      <wps:txbx>
                        <w:txbxContent>
                          <w:p>
                            <w:pPr>
                              <w:spacing w:line="300" w:lineRule="exact"/>
                              <w:jc w:val="center"/>
                            </w:pPr>
                            <w:r>
                              <w:rPr>
                                <w:rFonts w:hint="eastAsia"/>
                              </w:rPr>
                              <w:t>橡胶坝</w:t>
                            </w:r>
                          </w:p>
                        </w:txbxContent>
                      </wps:txbx>
                      <wps:bodyPr rot="0" vert="horz" wrap="square" lIns="0" tIns="0" rIns="0" bIns="0" anchor="t" anchorCtr="0" upright="1">
                        <a:noAutofit/>
                      </wps:bodyPr>
                    </wps:wsp>
                  </a:graphicData>
                </a:graphic>
              </wp:anchor>
            </w:drawing>
          </mc:Choice>
          <mc:Fallback>
            <w:pict>
              <v:rect id="Rectangle 30" o:spid="_x0000_s1026" o:spt="1" style="position:absolute;left:0pt;margin-left:83.25pt;margin-top:2.6pt;height:19pt;width:48.5pt;z-index:251689984;mso-width-relative:page;mso-height-relative:page;" fillcolor="#FFFFFF" filled="t" stroked="t" coordsize="21600,21600" o:gfxdata="UEsDBAoAAAAAAIdO4kAAAAAAAAAAAAAAAAAEAAAAZHJzL1BLAwQUAAAACACHTuJAnQQmedcAAAAI&#10;AQAADwAAAGRycy9kb3ducmV2LnhtbE2Py07DMBBF90j8gzVIbBC1m9KohDgVAkUIqQtS+gFuPORB&#10;PI5i9wFfz7CC5dW9OnMmX5/dII44hc6ThvlMgUCqve2o0bB7L29XIEI0ZM3gCTV8YYB1cXmRm8z6&#10;E1V43MZGMIRCZjS0MY6ZlKFu0Zkw8yMSdx9+ciZynBppJ3NiuBtkolQqnemIL7RmxKcW68/twTGl&#10;J0Wv5eNNVVab7uXb9fdv/bPW11dz9QAi4jn+jeFXn9WhYKe9P5ANYuCcpkuealgmILhP0gXnvYa7&#10;RQKyyOX/B4ofUEsDBBQAAAAIAIdO4kC78xK0JAIAAHAEAAAOAAAAZHJzL2Uyb0RvYy54bWytVNtu&#10;EzEQfUfiHyy/k82mtA2rbKoqURBSgYrCBzheb9bC9pixk93y9YydS0NBqA/sgzW2x8fnnBnv7Gaw&#10;hu0UBg2u5uVozJlyEhrtNjX/9nX1ZspZiMI1woBTNX9Ugd/MX7+a9b5SE+jANAoZgbhQ9b7mXYy+&#10;KoogO2VFGIFXjjZbQCsiTXFTNCh6QremmIzHV0UP2HgEqUKg1eV+kx8Q8SWA0LZaqiXIrVUu7lFR&#10;GRFJUui0D3ye2batkvFz2wYVmak5KY15pEsoXqexmM9EtUHhOy0PFMRLKDzTZIV2dOkJaimiYFvU&#10;f0BZLRECtHEkwRZ7IdkRUlGOn3nz0AmvshayOviT6eH/wcpPu3tkuqFOmF5z5oSlkn8h24TbGMUu&#10;skO9DxUlPvh7TBqDvwP5PTAHi47S1C0i9J0SDfEqk6PFbwfSJNBRtu4/QkPwYhshmzW0aBMg2cCG&#10;XJPHU03UEJmkxavy8t0lVUvS1uRteTHOjApRHQ97DPG9AstSUHMk7hlc7O5CTGREdUzJ5MHoZqWN&#10;yRPcrBcG2U5Qe6zyl/mTxvM041hP0ibXdPm/Mcb5+xuG1ZGejdG25tPzJOMOfiWLUtuGKg7rgYin&#10;cA3NIzmHsG9cerYUdIA/OeupaWsefmwFKs7MB0fupw4/BngM1sdAOElHax4524eLuH8JW4960xFy&#10;meU5uKUKtTq798TiwJMaMZt6eDSp08/nOevpRzH/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J0E&#10;JnnXAAAACAEAAA8AAAAAAAAAAQAgAAAAIgAAAGRycy9kb3ducmV2LnhtbFBLAQIUABQAAAAIAIdO&#10;4kC78xK0JAIAAHAEAAAOAAAAAAAAAAEAIAAAACYBAABkcnMvZTJvRG9jLnhtbFBLBQYAAAAABgAG&#10;AFkBAAC8BQAAAAA=&#10;">
                <v:fill on="t" focussize="0,0"/>
                <v:stroke weight="1pt" color="#000000" miterlimit="8" joinstyle="miter"/>
                <v:imagedata o:title=""/>
                <o:lock v:ext="edit" aspectratio="f"/>
                <v:textbox inset="0mm,0mm,0mm,0mm">
                  <w:txbxContent>
                    <w:p>
                      <w:pPr>
                        <w:spacing w:line="300" w:lineRule="exact"/>
                        <w:jc w:val="center"/>
                      </w:pPr>
                      <w:r>
                        <w:rPr>
                          <w:rFonts w:hint="eastAsia"/>
                        </w:rPr>
                        <w:t>橡胶坝</w:t>
                      </w:r>
                    </w:p>
                  </w:txbxContent>
                </v:textbox>
              </v:rect>
            </w:pict>
          </mc:Fallback>
        </mc:AlternateContent>
      </w:r>
      <w:r>
        <w:rPr>
          <w:kern w:val="0"/>
          <w:sz w:val="24"/>
          <w:highlight w:val="none"/>
        </w:rPr>
        <mc:AlternateContent>
          <mc:Choice Requires="wps">
            <w:drawing>
              <wp:anchor distT="0" distB="0" distL="114300" distR="114300" simplePos="0" relativeHeight="251677696" behindDoc="0" locked="0" layoutInCell="1" allowOverlap="1">
                <wp:simplePos x="0" y="0"/>
                <wp:positionH relativeFrom="column">
                  <wp:posOffset>835025</wp:posOffset>
                </wp:positionH>
                <wp:positionV relativeFrom="paragraph">
                  <wp:posOffset>153670</wp:posOffset>
                </wp:positionV>
                <wp:extent cx="234950" cy="0"/>
                <wp:effectExtent l="6350" t="58420" r="15875" b="55880"/>
                <wp:wrapNone/>
                <wp:docPr id="186" name="AutoShape 22"/>
                <wp:cNvGraphicFramePr/>
                <a:graphic xmlns:a="http://schemas.openxmlformats.org/drawingml/2006/main">
                  <a:graphicData uri="http://schemas.microsoft.com/office/word/2010/wordprocessingShape">
                    <wps:wsp>
                      <wps:cNvCnPr>
                        <a:cxnSpLocks noChangeShapeType="1"/>
                      </wps:cNvCnPr>
                      <wps:spPr bwMode="auto">
                        <a:xfrm>
                          <a:off x="0" y="0"/>
                          <a:ext cx="234950" cy="0"/>
                        </a:xfrm>
                        <a:prstGeom prst="straightConnector1">
                          <a:avLst/>
                        </a:prstGeom>
                        <a:noFill/>
                        <a:ln w="9525">
                          <a:solidFill>
                            <a:srgbClr val="000000"/>
                          </a:solidFill>
                          <a:round/>
                          <a:tailEnd type="triangle" w="med" len="med"/>
                        </a:ln>
                      </wps:spPr>
                      <wps:bodyPr/>
                    </wps:wsp>
                  </a:graphicData>
                </a:graphic>
              </wp:anchor>
            </w:drawing>
          </mc:Choice>
          <mc:Fallback>
            <w:pict>
              <v:shape id="AutoShape 22" o:spid="_x0000_s1026" o:spt="32" type="#_x0000_t32" style="position:absolute;left:0pt;margin-left:65.75pt;margin-top:12.1pt;height:0pt;width:18.5pt;z-index:251677696;mso-width-relative:page;mso-height-relative:page;" filled="f" stroked="t" coordsize="21600,21600" o:gfxdata="UEsDBAoAAAAAAIdO4kAAAAAAAAAAAAAAAAAEAAAAZHJzL1BLAwQUAAAACACHTuJAlFenGNcAAAAJ&#10;AQAADwAAAGRycy9kb3ducmV2LnhtbE2PzU7DMBCE70i8g7VI3KiTAFEb4lSCCpELlWhRxdFNltgi&#10;Xkex+8fTsxUHOM7sp9mZcn50vdjjGKwnBekkAYHU+NZSp+B9/XwzBRGiplb3nlDBCQPMq8uLUhet&#10;P9Ab7lexExxCodAKTIxDIWVoDDodJn5A4tunH52OLMdOtqM+cLjrZZYkuXTaEn8wesAng83XaucU&#10;xMXHyeSb5nFml+uX19x+13W9UOr6Kk0eQEQ8xj8YzvW5OlTcaet31AbRs75N7xlVkN1lIM5APmVj&#10;+2vIqpT/F1Q/UEsDBBQAAAAIAIdO4kCZ+I9D8QEAAOIDAAAOAAAAZHJzL2Uyb0RvYy54bWytU01v&#10;2zAMvQ/YfxB0X5x4S9EacYohWXfptgDtfoAiybYwSRQoJU7+/SjlY1136WE+GJJJvsf3SC/uD86y&#10;vcZowLd8Nplypr0EZXzf8p/PDx9uOYtJeCUseN3yo478fvn+3WIMja5hAKs0MgLxsRlDy4eUQlNV&#10;UQ7aiTiBoD0FO0AnEl2xrxSKkdCdrerp9KYaAVVAkDpG+ro+BfkZEd8CCF1npF6D3Dnt0wkVtRWJ&#10;JMXBhMiXpduu0zL96LqoE7MtJ6WpvImEztv8rpYL0fQowmDkuQXxlhZeaXLCeCK9Qq1FEmyH5h8o&#10;ZyRChC5NJLjqJKQ4Qipm01fePA0i6KKFrI7hanr8f7Dy+36DzCjahNsbzrxwNPLPuwSFm9V1dmgM&#10;saHEld9g1igP/ik8gvwVmYfVIHyvS/bzMVDxLFdUf5XkSwzEsx2/gaIcQQTFrkOHLkOSEexQpnK8&#10;TkUfEpP0sf746W5O85KXUCWaS13AmL5qcCwfWh4TCtMPaQXe0+gBZ4VF7B9jyl2J5lKQST08GGvL&#10;BljPxpbfzet5KYhgjcrBnBax364ssr3IO1SeIpEiL9MQdl4VsCSM/eIVS8WPhIYcsppnBqcVZ1bT&#10;j5dPp5asP/uVLTqZvQV13GAOZ+to9KX385rm3Xp5L1l/fs3l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JRXpxjXAAAACQEAAA8AAAAAAAAAAQAgAAAAIgAAAGRycy9kb3ducmV2LnhtbFBLAQIUABQA&#10;AAAIAIdO4kCZ+I9D8QEAAOIDAAAOAAAAAAAAAAEAIAAAACYBAABkcnMvZTJvRG9jLnhtbFBLBQYA&#10;AAAABgAGAFkBAACJBQAAAAA=&#10;">
                <v:fill on="f" focussize="0,0"/>
                <v:stroke color="#000000" joinstyle="round" endarrow="block"/>
                <v:imagedata o:title=""/>
                <o:lock v:ext="edit" aspectratio="f"/>
              </v:shape>
            </w:pict>
          </mc:Fallback>
        </mc:AlternateContent>
      </w:r>
    </w:p>
    <w:p>
      <w:pPr>
        <w:shd w:val="clear" w:color="auto" w:fill="FFFFFF"/>
        <w:autoSpaceDE w:val="0"/>
        <w:autoSpaceDN w:val="0"/>
        <w:adjustRightInd w:val="0"/>
        <w:spacing w:line="480" w:lineRule="exact"/>
        <w:ind w:firstLine="482"/>
        <w:rPr>
          <w:kern w:val="0"/>
          <w:sz w:val="24"/>
          <w:highlight w:val="none"/>
          <w:lang w:val="zh-CN"/>
        </w:rPr>
      </w:pPr>
      <w:r>
        <w:rPr>
          <w:kern w:val="0"/>
          <w:sz w:val="24"/>
          <w:highlight w:val="none"/>
        </w:rPr>
        <mc:AlternateContent>
          <mc:Choice Requires="wps">
            <w:drawing>
              <wp:anchor distT="0" distB="0" distL="114300" distR="114300" simplePos="0" relativeHeight="251684864" behindDoc="0" locked="0" layoutInCell="1" allowOverlap="1">
                <wp:simplePos x="0" y="0"/>
                <wp:positionH relativeFrom="column">
                  <wp:posOffset>3874770</wp:posOffset>
                </wp:positionH>
                <wp:positionV relativeFrom="paragraph">
                  <wp:posOffset>260350</wp:posOffset>
                </wp:positionV>
                <wp:extent cx="1171575" cy="222250"/>
                <wp:effectExtent l="0" t="3175" r="1905" b="3175"/>
                <wp:wrapNone/>
                <wp:docPr id="185" name="Rectangle 37"/>
                <wp:cNvGraphicFramePr/>
                <a:graphic xmlns:a="http://schemas.openxmlformats.org/drawingml/2006/main">
                  <a:graphicData uri="http://schemas.microsoft.com/office/word/2010/wordprocessingShape">
                    <wps:wsp>
                      <wps:cNvSpPr>
                        <a:spLocks noChangeArrowheads="1"/>
                      </wps:cNvSpPr>
                      <wps:spPr bwMode="auto">
                        <a:xfrm>
                          <a:off x="0" y="0"/>
                          <a:ext cx="1171575" cy="222250"/>
                        </a:xfrm>
                        <a:prstGeom prst="rect">
                          <a:avLst/>
                        </a:prstGeom>
                        <a:noFill/>
                        <a:ln>
                          <a:noFill/>
                        </a:ln>
                      </wps:spPr>
                      <wps:txbx>
                        <w:txbxContent>
                          <w:p>
                            <w:r>
                              <w:rPr>
                                <w:rFonts w:hint="eastAsia"/>
                                <w:highlight w:val="none"/>
                              </w:rPr>
                              <w:t>噪声、废变压器油</w:t>
                            </w:r>
                          </w:p>
                        </w:txbxContent>
                      </wps:txbx>
                      <wps:bodyPr rot="0" vert="horz" wrap="square" lIns="0" tIns="0" rIns="0" bIns="0" anchor="t" anchorCtr="0" upright="1">
                        <a:noAutofit/>
                      </wps:bodyPr>
                    </wps:wsp>
                  </a:graphicData>
                </a:graphic>
              </wp:anchor>
            </w:drawing>
          </mc:Choice>
          <mc:Fallback>
            <w:pict>
              <v:rect id="Rectangle 37" o:spid="_x0000_s1026" o:spt="1" style="position:absolute;left:0pt;margin-left:305.1pt;margin-top:20.5pt;height:17.5pt;width:92.25pt;z-index:251684864;mso-width-relative:page;mso-height-relative:page;" filled="f" stroked="f" coordsize="21600,21600" o:gfxdata="UEsDBAoAAAAAAIdO4kAAAAAAAAAAAAAAAAAEAAAAZHJzL1BLAwQUAAAACACHTuJALjk2nNoAAAAJ&#10;AQAADwAAAGRycy9kb3ducmV2LnhtbE2PTU/DMAyG70j8h8hI3FjSaerWrumE+NA4sg1p7Ja1pq1I&#10;nKrJ1sGvx5zgZsuPXj9vsbo4K844hM6ThmSiQCBVvu6o0fC2e75bgAjRUG2sJ9TwhQFW5fVVYfLa&#10;j7TB8zY2gkMo5EZDG2OfSxmqFp0JE98j8e3DD85EXodG1oMZOdxZOVUqlc50xB9a0+NDi9Xn9uQ0&#10;rBf9/fuL/x4b+3RY71/32eMui1rf3iRqCSLiJf7B8KvP6lCy09GfqA7CakgTNWVUwyzhTgzMs9kc&#10;xJGHVIEsC/m/QfkDUEsDBBQAAAAIAIdO4kBtkZaA+gEAAP4DAAAOAAAAZHJzL2Uyb0RvYy54bWyt&#10;U8Fu2zAMvQ/YPwi6L44zZCmMOEXRoMOAbiva7QMUWY6FSaJGKbGzrx8lx9naXXqYDwYlkU/vPVLr&#10;68EadlQYNLial7M5Z8pJaLTb1/z7t7t3V5yFKFwjDDhV85MK/Hrz9s2695VaQAemUcgIxIWq9zXv&#10;YvRVUQTZKSvCDLxydNgCWhFpifuiQdETujXFYj7/UPSAjUeQKgTa3Y6H/IyIrwGEttVSbUEerHJx&#10;REVlRCRJodM+8E1m27ZKxq9tG1RkpuakNOY/XULxLv2LzVpUexS+0/JMQbyGwgtNVmhHl16gtiIK&#10;dkD9D5TVEiFAG2cSbDEKyY6QinL+wpunTniVtZDVwV9MD/8PVn45PiDTDU3C1ZIzJyy1/JFsE25v&#10;FHu/Sg71PlSU+OQfMGkM/h7kj8Ac3HaUpm4Qoe+UaIhXmfKLZwVpEaiU7frP0BC8OETIZg0t2gRI&#10;NrAh9+R06YkaIpO0WZarcrkiapLOFvQtc9MKUU3VHkP8qMCyFNQciXxGF8f7EBMbUU0p6TIHd9qY&#10;3Hfjnm1QYtrJ7BPhUXgcdsPZgx00J9KBMI4RPSIKOsBfnPU0QjUPPw8CFWfmkyMv0rxNAU7BbgqE&#10;k1Ra88jZGN7GcS4PHvW+I+Qyy3BwQ361OktJXo4szjxpLLLC8winuft7nbP+PNvN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C45NpzaAAAACQEAAA8AAAAAAAAAAQAgAAAAIgAAAGRycy9kb3ducmV2&#10;LnhtbFBLAQIUABQAAAAIAIdO4kBtkZaA+gEAAP4DAAAOAAAAAAAAAAEAIAAAACkBAABkcnMvZTJv&#10;RG9jLnhtbFBLBQYAAAAABgAGAFkBAACVBQAAAAA=&#10;">
                <v:fill on="f" focussize="0,0"/>
                <v:stroke on="f"/>
                <v:imagedata o:title=""/>
                <o:lock v:ext="edit" aspectratio="f"/>
                <v:textbox inset="0mm,0mm,0mm,0mm">
                  <w:txbxContent>
                    <w:p>
                      <w:r>
                        <w:rPr>
                          <w:rFonts w:hint="eastAsia"/>
                          <w:highlight w:val="none"/>
                        </w:rPr>
                        <w:t>噪声、废变压器油</w:t>
                      </w:r>
                    </w:p>
                  </w:txbxContent>
                </v:textbox>
              </v:rect>
            </w:pict>
          </mc:Fallback>
        </mc:AlternateContent>
      </w:r>
      <w:r>
        <w:rPr>
          <w:kern w:val="0"/>
          <w:sz w:val="24"/>
          <w:highlight w:val="none"/>
        </w:rPr>
        <mc:AlternateContent>
          <mc:Choice Requires="wps">
            <w:drawing>
              <wp:anchor distT="0" distB="0" distL="114300" distR="114300" simplePos="0" relativeHeight="251676672" behindDoc="0" locked="0" layoutInCell="1" allowOverlap="1">
                <wp:simplePos x="0" y="0"/>
                <wp:positionH relativeFrom="column">
                  <wp:posOffset>2009775</wp:posOffset>
                </wp:positionH>
                <wp:positionV relativeFrom="paragraph">
                  <wp:posOffset>261620</wp:posOffset>
                </wp:positionV>
                <wp:extent cx="654050" cy="231775"/>
                <wp:effectExtent l="9525" t="13970" r="12700" b="11430"/>
                <wp:wrapNone/>
                <wp:docPr id="184" name="Rectangle 26"/>
                <wp:cNvGraphicFramePr/>
                <a:graphic xmlns:a="http://schemas.openxmlformats.org/drawingml/2006/main">
                  <a:graphicData uri="http://schemas.microsoft.com/office/word/2010/wordprocessingShape">
                    <wps:wsp>
                      <wps:cNvSpPr>
                        <a:spLocks noChangeArrowheads="1"/>
                      </wps:cNvSpPr>
                      <wps:spPr bwMode="auto">
                        <a:xfrm>
                          <a:off x="0" y="0"/>
                          <a:ext cx="654050" cy="231775"/>
                        </a:xfrm>
                        <a:prstGeom prst="rect">
                          <a:avLst/>
                        </a:prstGeom>
                        <a:solidFill>
                          <a:srgbClr val="FFFFFF"/>
                        </a:solidFill>
                        <a:ln w="12700">
                          <a:solidFill>
                            <a:srgbClr val="000000"/>
                          </a:solidFill>
                          <a:miter lim="800000"/>
                        </a:ln>
                      </wps:spPr>
                      <wps:txbx>
                        <w:txbxContent>
                          <w:p>
                            <w:pPr>
                              <w:ind w:firstLine="105" w:firstLineChars="50"/>
                            </w:pPr>
                            <w:r>
                              <w:rPr>
                                <w:rFonts w:hint="eastAsia"/>
                              </w:rPr>
                              <w:t>并入电网</w:t>
                            </w:r>
                          </w:p>
                        </w:txbxContent>
                      </wps:txbx>
                      <wps:bodyPr rot="0" vert="horz" wrap="square" lIns="0" tIns="0" rIns="0" bIns="0" anchor="t" anchorCtr="0" upright="1">
                        <a:noAutofit/>
                      </wps:bodyPr>
                    </wps:wsp>
                  </a:graphicData>
                </a:graphic>
              </wp:anchor>
            </w:drawing>
          </mc:Choice>
          <mc:Fallback>
            <w:pict>
              <v:rect id="Rectangle 26" o:spid="_x0000_s1026" o:spt="1" style="position:absolute;left:0pt;margin-left:158.25pt;margin-top:20.6pt;height:18.25pt;width:51.5pt;z-index:251676672;mso-width-relative:page;mso-height-relative:page;" fillcolor="#FFFFFF" filled="t" stroked="t" coordsize="21600,21600" o:gfxdata="UEsDBAoAAAAAAIdO4kAAAAAAAAAAAAAAAAAEAAAAZHJzL1BLAwQUAAAACACHTuJAROY1n9oAAAAJ&#10;AQAADwAAAGRycy9kb3ducmV2LnhtbE2Py07DMBBF90j8gzVIbBC1XUpDQ5wKgSJUiQUpfICbDHkQ&#10;j6PYfcDXM6xgOTNXZ87N1ic3iANOofNkQM8UCKTK1x01Bt7fius7ECFaqu3gCQ18YYB1fn6W2bT2&#10;RyrxsI2NYAiF1BpoYxxTKUPVorNh5kckvn34ydnI49TIerJHhrtBzpVaSmc74g+tHfGxxepzu3dM&#10;6UnRpni4KovypXv+dv3qtX8y5vJCq3sQEU/xLwy/+qwOOTvt/J7qIAYDN3p5y1EDCz0HwYGFXvFi&#10;ZyBJEpB5Jv83yH8AUEsDBBQAAAAIAIdO4kAKiSGiJgIAAHAEAAAOAAAAZHJzL2Uyb0RvYy54bWyt&#10;VMGO2yAQvVfqPyDujZ10k42sOKtVolSVtu2q234AwThGBYYOJE769R1jJ81ue9hDfUADDI/33gxe&#10;3B2tYQeFQYMr+XiUc6achEq7Xcm/f9u8m3MWonCVMOBUyU8q8Lvl2zeL1hdqAg2YSiEjEBeK1pe8&#10;idEXWRZko6wII/DK0WYNaEWkKe6yCkVL6NZkkzyfZS1g5RGkCoFW1/0mHxDxNYBQ11qqNci9VS72&#10;qKiMiCQpNNoHvkxs61rJ+KWug4rMlJyUxjTSJRRvuzFbLkSxQ+EbLQcK4jUUXmiyQju69AK1FlGw&#10;Peq/oKyWCAHqOJJgs15IcoRUjPMX3jw1wqukhawO/mJ6+H+w8vPhEZmuqBPmN5w5YankX8k24XZG&#10;scmsc6j1oaDEJ/+IncbgH0D+CMzBqqE0dY8IbaNERbzGXX727EA3CXSUbdtPUBG82EdIZh1rtB0g&#10;2cCOqSanS03UMTJJi7PpTT6laknamrwf395O0w2iOB/2GOIHBZZ1QcmRuCdwcXgIsSMjinNKIg9G&#10;VxttTJrgbrsyyA6C2mOTvgE9XKcZx1qSNrnN8wT9bDNcY+Tp+xeG1ZGejdG25PPrJOMGvzqLeqvj&#10;cXscXN9CdSLnEPrGpWdLQQP4i7OWmrbk4edeoOLMfHTkftfh5wDPwfYcCCfpaMkjZ324iv1L2HvU&#10;u4aQx0meg3uqUK2Te131ehYDT2rEZOrwaLpOv56nrD8/iuV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ROY1n9oAAAAJAQAADwAAAAAAAAABACAAAAAiAAAAZHJzL2Rvd25yZXYueG1sUEsBAhQAFAAA&#10;AAgAh07iQAqJIaImAgAAcAQAAA4AAAAAAAAAAQAgAAAAKQEAAGRycy9lMm9Eb2MueG1sUEsFBgAA&#10;AAAGAAYAWQEAAMEFAAAAAA==&#10;">
                <v:fill on="t" focussize="0,0"/>
                <v:stroke weight="1pt" color="#000000" miterlimit="8" joinstyle="miter"/>
                <v:imagedata o:title=""/>
                <o:lock v:ext="edit" aspectratio="f"/>
                <v:textbox inset="0mm,0mm,0mm,0mm">
                  <w:txbxContent>
                    <w:p>
                      <w:pPr>
                        <w:ind w:firstLine="105" w:firstLineChars="50"/>
                      </w:pPr>
                      <w:r>
                        <w:rPr>
                          <w:rFonts w:hint="eastAsia"/>
                        </w:rPr>
                        <w:t>并入电网</w:t>
                      </w:r>
                    </w:p>
                  </w:txbxContent>
                </v:textbox>
              </v:rect>
            </w:pict>
          </mc:Fallback>
        </mc:AlternateContent>
      </w:r>
      <w:r>
        <w:rPr>
          <w:kern w:val="0"/>
          <w:sz w:val="24"/>
          <w:highlight w:val="none"/>
        </w:rPr>
        <mc:AlternateContent>
          <mc:Choice Requires="wps">
            <w:drawing>
              <wp:anchor distT="0" distB="0" distL="114300" distR="114300" simplePos="0" relativeHeight="251673600" behindDoc="0" locked="0" layoutInCell="1" allowOverlap="1">
                <wp:simplePos x="0" y="0"/>
                <wp:positionH relativeFrom="column">
                  <wp:posOffset>3038475</wp:posOffset>
                </wp:positionH>
                <wp:positionV relativeFrom="paragraph">
                  <wp:posOffset>245745</wp:posOffset>
                </wp:positionV>
                <wp:extent cx="520065" cy="260350"/>
                <wp:effectExtent l="9525" t="7620" r="13335" b="8255"/>
                <wp:wrapNone/>
                <wp:docPr id="183" name="Rectangle 27"/>
                <wp:cNvGraphicFramePr/>
                <a:graphic xmlns:a="http://schemas.openxmlformats.org/drawingml/2006/main">
                  <a:graphicData uri="http://schemas.microsoft.com/office/word/2010/wordprocessingShape">
                    <wps:wsp>
                      <wps:cNvSpPr>
                        <a:spLocks noChangeArrowheads="1"/>
                      </wps:cNvSpPr>
                      <wps:spPr bwMode="auto">
                        <a:xfrm>
                          <a:off x="0" y="0"/>
                          <a:ext cx="520065" cy="260350"/>
                        </a:xfrm>
                        <a:prstGeom prst="rect">
                          <a:avLst/>
                        </a:prstGeom>
                        <a:solidFill>
                          <a:srgbClr val="FFFFFF"/>
                        </a:solidFill>
                        <a:ln w="12700">
                          <a:solidFill>
                            <a:srgbClr val="000000"/>
                          </a:solidFill>
                          <a:miter lim="800000"/>
                        </a:ln>
                      </wps:spPr>
                      <wps:txbx>
                        <w:txbxContent>
                          <w:p>
                            <w:pPr>
                              <w:spacing w:line="300" w:lineRule="exact"/>
                              <w:jc w:val="center"/>
                            </w:pPr>
                            <w:r>
                              <w:rPr>
                                <w:rFonts w:hint="eastAsia"/>
                              </w:rPr>
                              <w:t>变压器</w:t>
                            </w:r>
                          </w:p>
                        </w:txbxContent>
                      </wps:txbx>
                      <wps:bodyPr rot="0" vert="horz" wrap="square" lIns="0" tIns="0" rIns="0" bIns="0" anchor="t" anchorCtr="0" upright="1">
                        <a:noAutofit/>
                      </wps:bodyPr>
                    </wps:wsp>
                  </a:graphicData>
                </a:graphic>
              </wp:anchor>
            </w:drawing>
          </mc:Choice>
          <mc:Fallback>
            <w:pict>
              <v:rect id="Rectangle 27" o:spid="_x0000_s1026" o:spt="1" style="position:absolute;left:0pt;margin-left:239.25pt;margin-top:19.35pt;height:20.5pt;width:40.95pt;z-index:251673600;mso-width-relative:page;mso-height-relative:page;" fillcolor="#FFFFFF" filled="t" stroked="t" coordsize="21600,21600" o:gfxdata="UEsDBAoAAAAAAIdO4kAAAAAAAAAAAAAAAAAEAAAAZHJzL1BLAwQUAAAACACHTuJAsUfZsNkAAAAJ&#10;AQAADwAAAGRycy9kb3ducmV2LnhtbE2Py07DMBAA70j8g7VIXBC1C22ThjgVAkUIiQMpfIAbL3kQ&#10;r6PYfcDXs5zguNrR7Gy+OblBHHAKnScN85kCgVR721Gj4f2tvE5BhGjImsETavjCAJvi/Cw3mfVH&#10;qvCwjY1gCYXMaGhjHDMpQ92iM2HmRyTeffjJmcjj1Eg7mSPL3SBvlFpJZzriC60Z8aHF+nO7d2zp&#10;SdFzeX9VldVL9/Tt+vVr/6j15cVc3YGIeIp/MPzmczoU3LTze7JBDBoWSbpkVMNtmoBgYLlSCxA7&#10;Dck6AVnk8v8HxQ9QSwMEFAAAAAgAh07iQFsNEqomAgAAcAQAAA4AAABkcnMvZTJvRG9jLnhtbK1U&#10;wW4bIRC9V+o/IO71rh05iVZeR5EtV5XSNkraD8As60UFhg7Ya/frO7C266Q95NA9oAGGx3tvhp3d&#10;7a1hO4VBg6v5eFRyppyERrtNzb9/W3245SxE4RphwKmaH1Tgd/P372a9r9QEOjCNQkYgLlS9r3kX&#10;o6+KIshOWRFG4JWjzRbQikhT3BQNip7QrSkmZXld9ICNR5AqBFpdDpv8iIhvAYS21VItQW6tcnFA&#10;RWVEJEmh0z7weWbbtkrGr20bVGSm5qQ05pEuoXidxmI+E9UGhe+0PFIQb6HwSpMV2tGlZ6iliIJt&#10;Uf8FZbVECNDGkQRbDEKyI6RiXL7y5rkTXmUtZHXwZ9PD/4OVX3aPyHRDnXB7xZkTlkr+RLYJtzGK&#10;TW6SQ70PFSU++0dMGoN/APkjMAeLjtLUPSL0nRIN8Rqn/OLFgTQJdJSt+8/QELzYRshm7Vu0CZBs&#10;YPtck8O5JmofmaTFaeqZKWeStibX5dU016wQ1emwxxA/KrAsBTVH4p7Bxe4hxERGVKeUTB6Mblba&#10;mDzBzXphkO0Etccqf5k/abxMM471JG1yU5YZ+sVmuMQo8/cvDKsjPRujbc1vL5OMO/qVLBqsjvv1&#10;/uj6GpoDOYcwNC49Wwo6wF+c9dS0NQ8/twIVZ+aTI/dTh58CPAXrUyCcpKM1j5wN4SIOL2HrUW86&#10;Qh5neQ7uqUKtzu6l6g0sjjypEbOpx0eTOv1ynrP+/Cjm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xR9mw2QAAAAkBAAAPAAAAAAAAAAEAIAAAACIAAABkcnMvZG93bnJldi54bWxQSwECFAAUAAAA&#10;CACHTuJAWw0SqiYCAABwBAAADgAAAAAAAAABACAAAAAoAQAAZHJzL2Uyb0RvYy54bWxQSwUGAAAA&#10;AAYABgBZAQAAwAUAAAAA&#10;">
                <v:fill on="t" focussize="0,0"/>
                <v:stroke weight="1pt" color="#000000" miterlimit="8" joinstyle="miter"/>
                <v:imagedata o:title=""/>
                <o:lock v:ext="edit" aspectratio="f"/>
                <v:textbox inset="0mm,0mm,0mm,0mm">
                  <w:txbxContent>
                    <w:p>
                      <w:pPr>
                        <w:spacing w:line="300" w:lineRule="exact"/>
                        <w:jc w:val="center"/>
                      </w:pPr>
                      <w:r>
                        <w:rPr>
                          <w:rFonts w:hint="eastAsia"/>
                        </w:rPr>
                        <w:t>变压器</w:t>
                      </w:r>
                    </w:p>
                  </w:txbxContent>
                </v:textbox>
              </v:rect>
            </w:pict>
          </mc:Fallback>
        </mc:AlternateContent>
      </w:r>
    </w:p>
    <w:p>
      <w:pPr>
        <w:shd w:val="clear" w:color="auto" w:fill="FFFFFF"/>
        <w:autoSpaceDE w:val="0"/>
        <w:autoSpaceDN w:val="0"/>
        <w:adjustRightInd w:val="0"/>
        <w:spacing w:line="480" w:lineRule="exact"/>
        <w:ind w:firstLine="482"/>
        <w:rPr>
          <w:kern w:val="0"/>
          <w:sz w:val="24"/>
          <w:highlight w:val="none"/>
        </w:rPr>
      </w:pPr>
      <w:r>
        <w:rPr>
          <w:kern w:val="0"/>
          <w:sz w:val="24"/>
          <w:highlight w:val="none"/>
        </w:rPr>
        <mc:AlternateContent>
          <mc:Choice Requires="wps">
            <w:drawing>
              <wp:anchor distT="0" distB="0" distL="114300" distR="114300" simplePos="0" relativeHeight="251682816" behindDoc="0" locked="0" layoutInCell="1" allowOverlap="1">
                <wp:simplePos x="0" y="0"/>
                <wp:positionH relativeFrom="column">
                  <wp:posOffset>3557905</wp:posOffset>
                </wp:positionH>
                <wp:positionV relativeFrom="paragraph">
                  <wp:posOffset>64770</wp:posOffset>
                </wp:positionV>
                <wp:extent cx="310515" cy="2540"/>
                <wp:effectExtent l="5080" t="55245" r="17780" b="56515"/>
                <wp:wrapNone/>
                <wp:docPr id="182" name="AutoShape 40"/>
                <wp:cNvGraphicFramePr/>
                <a:graphic xmlns:a="http://schemas.openxmlformats.org/drawingml/2006/main">
                  <a:graphicData uri="http://schemas.microsoft.com/office/word/2010/wordprocessingShape">
                    <wps:wsp>
                      <wps:cNvCnPr>
                        <a:cxnSpLocks noChangeShapeType="1"/>
                      </wps:cNvCnPr>
                      <wps:spPr bwMode="auto">
                        <a:xfrm flipH="1">
                          <a:off x="0" y="0"/>
                          <a:ext cx="310515" cy="2540"/>
                        </a:xfrm>
                        <a:prstGeom prst="straightConnector1">
                          <a:avLst/>
                        </a:prstGeom>
                        <a:noFill/>
                        <a:ln w="9525">
                          <a:solidFill>
                            <a:srgbClr val="000000"/>
                          </a:solidFill>
                          <a:prstDash val="dash"/>
                          <a:round/>
                          <a:headEnd type="triangle" w="med" len="med"/>
                        </a:ln>
                      </wps:spPr>
                      <wps:bodyPr/>
                    </wps:wsp>
                  </a:graphicData>
                </a:graphic>
              </wp:anchor>
            </w:drawing>
          </mc:Choice>
          <mc:Fallback>
            <w:pict>
              <v:shape id="AutoShape 40" o:spid="_x0000_s1026" o:spt="32" type="#_x0000_t32" style="position:absolute;left:0pt;flip:x;margin-left:280.15pt;margin-top:5.1pt;height:0.2pt;width:24.45pt;z-index:251682816;mso-width-relative:page;mso-height-relative:page;" filled="f" stroked="t" coordsize="21600,21600" o:gfxdata="UEsDBAoAAAAAAIdO4kAAAAAAAAAAAAAAAAAEAAAAZHJzL1BLAwQUAAAACACHTuJAJTEuVdcAAAAJ&#10;AQAADwAAAGRycy9kb3ducmV2LnhtbE2PMU/DMBCFdyT+g3VIbNRugAAhTodIDGWCAoJubnwkUe1z&#10;FLtp+++5TmW7u/f07nvl4uCdmHCMfSAN85kCgdQE21Or4fPj5eYRREyGrHGBUMMRIyyqy4vSFDbs&#10;6R2nVWoFh1AsjIYupaGQMjYdehNnYUBi7TeM3iRex1ba0ew53DuZKZVLb3riD50ZsO6w2a52XsNy&#10;mdVvD1/9pOotrn+Or+Tu1t9aX1/N1TOIhId0NsMJn9GhYqZN2JGNwmm4z9UtW1lQGQg25OqJh83p&#10;kIOsSvm/QfUHUEsDBBQAAAAIAIdO4kCY6RsmBQIAAAcEAAAOAAAAZHJzL2Uyb0RvYy54bWytU8GO&#10;0zAQvSPxD5bvNG2gaImarlDLwmGBSrt8gGs7iYXtsTxu0/49Y6fqLstlD+QQ2Z6ZN/Oen1e3J2fZ&#10;UUc04Fu+mM05016CMr5v+a/Hu3c3nGESXgkLXrf8rJHfrt++WY2h0TUMYJWOjEA8NmNo+ZBSaKoK&#10;5aCdwBkE7SnYQXQi0Tb2lYpiJHRnq3o+/1iNEFWIIDUinW6nIL8gxtcAQtcZqbcgD077NKFGbUUi&#10;SjiYgHxdpu06LdPPrkOdmG05MU3lT01ovc//ar0STR9FGIy8jCBeM8ILTk4YT02vUFuRBDtE8w+U&#10;MzICQpdmElw1ESmKEIvF/IU2D4MIunAhqTFcRcf/Byt/HHeRGUVOuKk588LRlX8+JCi92Yei0Biw&#10;ocSN38XMUZ78Q7gH+RuZh80gfK9L9uM5UPEia1r9VZI3GKjPfvwOinIENShynbroWGdN+JYLMzhJ&#10;wk7lfs7X+9GnxCQdvl/Ml4slZ5JC9XKarRJNBsmlIWL6qsGxvGg5pihMP6QNeE8+gDg1EMd7THnE&#10;p4Jc7OHOWFvsYD0bW/5pWS/LRAjWqBzMaRj7/cZGdhTZUOUrfCnyPC1PsBU4THmKVpPTIhy8Kk0G&#10;LdQXr1gqoqVoSEaree7stOLManqdeTWNav1F1Kxjdjc2e1DnXczhvCN/FE4XL2cDPt+XrKf3u/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JTEuVdcAAAAJAQAADwAAAAAAAAABACAAAAAiAAAAZHJz&#10;L2Rvd25yZXYueG1sUEsBAhQAFAAAAAgAh07iQJjpGyYFAgAABwQAAA4AAAAAAAAAAQAgAAAAJgEA&#10;AGRycy9lMm9Eb2MueG1sUEsFBgAAAAAGAAYAWQEAAJ0FAAAAAA==&#10;">
                <v:fill on="f" focussize="0,0"/>
                <v:stroke color="#000000" joinstyle="round" dashstyle="dash" startarrow="block"/>
                <v:imagedata o:title=""/>
                <o:lock v:ext="edit" aspectratio="f"/>
              </v:shape>
            </w:pict>
          </mc:Fallback>
        </mc:AlternateContent>
      </w:r>
      <w:r>
        <w:rPr>
          <w:kern w:val="0"/>
          <w:sz w:val="24"/>
          <w:highlight w:val="none"/>
        </w:rPr>
        <mc:AlternateContent>
          <mc:Choice Requires="wps">
            <w:drawing>
              <wp:anchor distT="0" distB="0" distL="114300" distR="114300" simplePos="0" relativeHeight="251680768" behindDoc="0" locked="0" layoutInCell="1" allowOverlap="1">
                <wp:simplePos x="0" y="0"/>
                <wp:positionH relativeFrom="column">
                  <wp:posOffset>2684145</wp:posOffset>
                </wp:positionH>
                <wp:positionV relativeFrom="paragraph">
                  <wp:posOffset>85725</wp:posOffset>
                </wp:positionV>
                <wp:extent cx="368300" cy="635"/>
                <wp:effectExtent l="17145" t="57150" r="5080" b="56515"/>
                <wp:wrapNone/>
                <wp:docPr id="181" name="AutoShape 29"/>
                <wp:cNvGraphicFramePr/>
                <a:graphic xmlns:a="http://schemas.openxmlformats.org/drawingml/2006/main">
                  <a:graphicData uri="http://schemas.microsoft.com/office/word/2010/wordprocessingShape">
                    <wps:wsp>
                      <wps:cNvCnPr>
                        <a:cxnSpLocks noChangeShapeType="1"/>
                      </wps:cNvCnPr>
                      <wps:spPr bwMode="auto">
                        <a:xfrm>
                          <a:off x="0" y="0"/>
                          <a:ext cx="368300" cy="635"/>
                        </a:xfrm>
                        <a:prstGeom prst="straightConnector1">
                          <a:avLst/>
                        </a:prstGeom>
                        <a:noFill/>
                        <a:ln w="9525">
                          <a:solidFill>
                            <a:srgbClr val="000000"/>
                          </a:solidFill>
                          <a:round/>
                          <a:headEnd type="triangle" w="med" len="med"/>
                        </a:ln>
                      </wps:spPr>
                      <wps:bodyPr/>
                    </wps:wsp>
                  </a:graphicData>
                </a:graphic>
              </wp:anchor>
            </w:drawing>
          </mc:Choice>
          <mc:Fallback>
            <w:pict>
              <v:shape id="AutoShape 29" o:spid="_x0000_s1026" o:spt="32" type="#_x0000_t32" style="position:absolute;left:0pt;margin-left:211.35pt;margin-top:6.75pt;height:0.05pt;width:29pt;z-index:251680768;mso-width-relative:page;mso-height-relative:page;" filled="f" stroked="t" coordsize="21600,21600" o:gfxdata="UEsDBAoAAAAAAIdO4kAAAAAAAAAAAAAAAAAEAAAAZHJzL1BLAwQUAAAACACHTuJAZ571e9UAAAAJ&#10;AQAADwAAAGRycy9kb3ducmV2LnhtbE2PzU7DMBCE70i8g7VIvVE7aQlViFMBUnunRYjjJl6SqLEd&#10;xe5P+vRsT3DcmU+zM8X6YntxojF03mlI5goEudqbzjUaPvebxxWIENEZ7L0jDRMFWJf3dwXmxp/d&#10;B512sREc4kKOGtoYh1zKULdkMcz9QI69Hz9ajHyOjTQjnjnc9jJVKpMWO8cfWhzovaX6sDtaDZss&#10;DMn+oN6+yG6vVfieDL5OWs8eEvUCItIl/sFwq8/VoeROlT86E0SvYZmmz4yysXgCwcBypViobkIG&#10;sizk/wXlL1BLAwQUAAAACACHTuJA7HtgcvMBAADkAwAADgAAAGRycy9lMm9Eb2MueG1srVNNbxsh&#10;EL1X6n9A3Ov1h2w5K6+jym56SVtLSX8ABnYXFRg0YK/97ztgx23SSw7lgICZeW/mzbC6PznLjhqj&#10;Ad/wyWjMmfYSlPFdw38+P3xachaT8EpY8LrhZx35/frjh9UQaj2FHqzSyAjEx3oIDe9TCnVVRdlr&#10;J+IIgvZkbAGdSHTFrlIoBkJ3tpqOx4tqAFQBQeoY6XV7MfIrIr4HENrWSL0FeXDapwsqaisSlRR7&#10;EyJfl2zbVsv0o22jTsw2nCpNZScSOu/zXq1Xou5QhN7IawriPSm8qckJ44n0BrUVSbADmn+gnJEI&#10;Edo0kuCqSyFFEapiMn6jzVMvgi61kNQx3ESP/w9Wfj/ukBlFk7CccOaFo5Z/PiQo3Gx6lxUaQqzJ&#10;ceN3mGuUJ/8UHkH+iszDphe+08X7+RwoeJIjqlch+RID8eyHb6DIRxBBkevUosuQJAQ7la6cb13R&#10;p8QkPc4Wy9mY+iXJtJjNC7yoXyIDxvRVg2P50PCYUJiuTxvwnpoPOCk84vgYU85L1C8BmdbDg7G2&#10;zID1bGj43Xw6LwERrFHZmN0idvuNRXYUeYrKumbxyg3h4FUB67VQX7xiqSiS0JBGVvPM4LTizGr6&#10;evl0Scn6q2JZpIvce1DnHWZzFo+aX3K/Dmqerr/vxevP51z/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Gee9XvVAAAACQEAAA8AAAAAAAAAAQAgAAAAIgAAAGRycy9kb3ducmV2LnhtbFBLAQIUABQA&#10;AAAIAIdO4kDse2By8wEAAOQDAAAOAAAAAAAAAAEAIAAAACQBAABkcnMvZTJvRG9jLnhtbFBLBQYA&#10;AAAABgAGAFkBAACJBQAAAAA=&#10;">
                <v:fill on="f" focussize="0,0"/>
                <v:stroke color="#000000" joinstyle="round" startarrow="block"/>
                <v:imagedata o:title=""/>
                <o:lock v:ext="edit" aspectratio="f"/>
              </v:shape>
            </w:pict>
          </mc:Fallback>
        </mc:AlternateContent>
      </w:r>
    </w:p>
    <w:p>
      <w:pPr>
        <w:shd w:val="clear" w:color="auto" w:fill="FFFFFF"/>
        <w:autoSpaceDE w:val="0"/>
        <w:autoSpaceDN w:val="0"/>
        <w:adjustRightInd w:val="0"/>
        <w:spacing w:line="480" w:lineRule="exact"/>
        <w:ind w:firstLine="2400" w:firstLineChars="1000"/>
        <w:jc w:val="both"/>
        <w:rPr>
          <w:b/>
          <w:kern w:val="0"/>
          <w:sz w:val="24"/>
          <w:highlight w:val="none"/>
        </w:rPr>
      </w:pPr>
      <w:r>
        <w:rPr>
          <w:sz w:val="24"/>
          <w:highlight w:val="none"/>
        </w:rPr>
        <mc:AlternateContent>
          <mc:Choice Requires="wps">
            <w:drawing>
              <wp:anchor distT="0" distB="0" distL="114300" distR="114300" simplePos="0" relativeHeight="251688960" behindDoc="0" locked="0" layoutInCell="1" allowOverlap="1">
                <wp:simplePos x="0" y="0"/>
                <wp:positionH relativeFrom="column">
                  <wp:posOffset>1877695</wp:posOffset>
                </wp:positionH>
                <wp:positionV relativeFrom="paragraph">
                  <wp:posOffset>183515</wp:posOffset>
                </wp:positionV>
                <wp:extent cx="9525" cy="9525"/>
                <wp:effectExtent l="67945" t="59690" r="36830" b="45085"/>
                <wp:wrapNone/>
                <wp:docPr id="180" name="Line 42"/>
                <wp:cNvGraphicFramePr/>
                <a:graphic xmlns:a="http://schemas.openxmlformats.org/drawingml/2006/main">
                  <a:graphicData uri="http://schemas.microsoft.com/office/word/2010/wordprocessingShape">
                    <wps:wsp>
                      <wps:cNvCnPr>
                        <a:cxnSpLocks noChangeShapeType="1"/>
                      </wps:cNvCnPr>
                      <wps:spPr bwMode="auto">
                        <a:xfrm flipH="1" flipV="1">
                          <a:off x="0" y="0"/>
                          <a:ext cx="9525" cy="9525"/>
                        </a:xfrm>
                        <a:prstGeom prst="line">
                          <a:avLst/>
                        </a:prstGeom>
                        <a:noFill/>
                        <a:ln w="9525">
                          <a:solidFill>
                            <a:srgbClr val="000000"/>
                          </a:solidFill>
                          <a:round/>
                          <a:tailEnd type="arrow" w="med" len="med"/>
                        </a:ln>
                      </wps:spPr>
                      <wps:bodyPr/>
                    </wps:wsp>
                  </a:graphicData>
                </a:graphic>
              </wp:anchor>
            </w:drawing>
          </mc:Choice>
          <mc:Fallback>
            <w:pict>
              <v:line id="Line 42" o:spid="_x0000_s1026" o:spt="20" style="position:absolute;left:0pt;flip:x y;margin-left:147.85pt;margin-top:14.45pt;height:0.75pt;width:0.75pt;z-index:251688960;mso-width-relative:page;mso-height-relative:page;" filled="f" stroked="t" coordsize="21600,21600" o:gfxdata="UEsDBAoAAAAAAIdO4kAAAAAAAAAAAAAAAAAEAAAAZHJzL1BLAwQUAAAACACHTuJAOxiSUNkAAAAJ&#10;AQAADwAAAGRycy9kb3ducmV2LnhtbE2PwU7DMAyG70i8Q2QkbixZGWwtTScxxgEhDoxp56wxTaFx&#10;qibbCk+POcHNlj/9/v5yOfpOHHGIbSAN04kCgVQH21KjYfv2eLUAEZMha7pAqOELIyyr87PSFDac&#10;6BWPm9QIDqFYGA0upb6QMtYOvYmT0CPx7T0M3iReh0bawZw43HcyU+pWetMSf3Cmx5XD+nNz8Bqk&#10;9zu13n1s18Y9r8LL7PtpvH/Q+vJiqu5AJBzTHwy/+qwOFTvtw4FsFJ2GLL+ZM8rDIgfBQJbPMxB7&#10;DddqBrIq5f8G1Q9QSwMEFAAAAAgAh07iQIr+udXoAQAA4QMAAA4AAABkcnMvZTJvRG9jLnhtbK1T&#10;wY7TMBC9I/EPlu80bcWiJWq6h5aFQ4FKu3B3bSexsD3W2G3av2fshALlsgdyiGY8M2/mvbFXD2dn&#10;2UljNOAbvpjNOdNegjK+a/i358c395zFJLwSFrxu+EVH/rB+/Wo1hFovoQerNDIC8bEeQsP7lEJd&#10;VVH22ok4g6A9BVtAJxK52FUKxUDozlbL+fxdNQCqgCB1jHS6HYN8QsSXAELbGqm3II9O+zSiorYi&#10;EaXYmxD5ukzbtlqmr20bdWK24cQ0lT81IfuQ/9V6JeoOReiNnEYQLxnhhpMTxlPTK9RWJMGOaP6B&#10;ckYiRGjTTIKrRiJFEWKxmN9o89SLoAsXkjqGq+jx/8HKL6c9MqPoJtyTJl44WvnOeM3eLrM4Q4g1&#10;5Wz8HjM9efZPYQfyR2QeNr3wnS5DPl8C1S1yRfVXSXZioBaH4TMoyhHHBEWpc4uOtdaET7mwWN+z&#10;lduQLuxclnS5LkmfE5N0+P5ueceZpECxckdRZ7BcGDCmjxocy0bDLREpgOK0i2lM/ZWS0z08Gmvp&#10;XNTWs2GCzG4Ea1QOFge7w8YiO4l8i8pXmN6kIRy9KmBJGPvBK5aKLAIRBp7hnVacWU3vLlvjPNZP&#10;mmWZRsEPoC57zOEsH22+cJxuab5af/ol6/fLXP8E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OxiS&#10;UNkAAAAJAQAADwAAAAAAAAABACAAAAAiAAAAZHJzL2Rvd25yZXYueG1sUEsBAhQAFAAAAAgAh07i&#10;QIr+udXoAQAA4QMAAA4AAAAAAAAAAQAgAAAAKAEAAGRycy9lMm9Eb2MueG1sUEsFBgAAAAAGAAYA&#10;WQEAAIIFAAAAAA==&#10;">
                <v:fill on="f" focussize="0,0"/>
                <v:stroke color="#000000" joinstyle="round" endarrow="open"/>
                <v:imagedata o:title=""/>
                <o:lock v:ext="edit" aspectratio="f"/>
              </v:line>
            </w:pict>
          </mc:Fallback>
        </mc:AlternateContent>
      </w:r>
      <w:r>
        <w:rPr>
          <w:b/>
          <w:kern w:val="0"/>
          <w:sz w:val="24"/>
          <w:highlight w:val="none"/>
        </w:rPr>
        <w:t xml:space="preserve">图 </w:t>
      </w:r>
      <w:r>
        <w:rPr>
          <w:rFonts w:hint="eastAsia"/>
          <w:b/>
          <w:kern w:val="0"/>
          <w:sz w:val="24"/>
          <w:highlight w:val="none"/>
          <w:lang w:val="en-US" w:eastAsia="zh-CN"/>
        </w:rPr>
        <w:t>3.2-1</w:t>
      </w:r>
      <w:r>
        <w:rPr>
          <w:b/>
          <w:kern w:val="0"/>
          <w:sz w:val="24"/>
          <w:highlight w:val="none"/>
        </w:rPr>
        <w:t>水电站发电工艺流程图</w:t>
      </w:r>
    </w:p>
    <w:p>
      <w:pPr>
        <w:shd w:val="clear" w:color="auto" w:fill="FFFFFF"/>
        <w:autoSpaceDE w:val="0"/>
        <w:autoSpaceDN w:val="0"/>
        <w:adjustRightInd w:val="0"/>
        <w:spacing w:line="480" w:lineRule="exact"/>
        <w:ind w:firstLine="482"/>
        <w:rPr>
          <w:kern w:val="0"/>
          <w:sz w:val="24"/>
          <w:highlight w:val="none"/>
          <w:lang w:val="zh-CN"/>
        </w:rPr>
      </w:pPr>
      <w:r>
        <w:rPr>
          <w:kern w:val="0"/>
          <w:sz w:val="24"/>
          <w:highlight w:val="none"/>
          <w:lang w:val="zh-CN"/>
        </w:rPr>
        <w:t>本项目采用橡胶坝拦水</w:t>
      </w:r>
      <w:r>
        <w:rPr>
          <w:rFonts w:hint="eastAsia"/>
          <w:kern w:val="0"/>
          <w:sz w:val="24"/>
          <w:highlight w:val="none"/>
          <w:lang w:val="zh-CN"/>
        </w:rPr>
        <w:t>→</w:t>
      </w:r>
      <w:r>
        <w:rPr>
          <w:kern w:val="0"/>
          <w:sz w:val="24"/>
          <w:highlight w:val="none"/>
          <w:lang w:val="zh-CN"/>
        </w:rPr>
        <w:t>引水渠</w:t>
      </w:r>
      <w:r>
        <w:rPr>
          <w:rFonts w:hint="eastAsia"/>
          <w:kern w:val="0"/>
          <w:sz w:val="24"/>
          <w:highlight w:val="none"/>
          <w:lang w:val="zh-CN"/>
        </w:rPr>
        <w:t>→</w:t>
      </w:r>
      <w:r>
        <w:rPr>
          <w:kern w:val="0"/>
          <w:sz w:val="24"/>
          <w:highlight w:val="none"/>
          <w:lang w:val="zh-CN"/>
        </w:rPr>
        <w:t>前池</w:t>
      </w:r>
      <w:r>
        <w:rPr>
          <w:rFonts w:hint="eastAsia"/>
          <w:kern w:val="0"/>
          <w:sz w:val="24"/>
          <w:highlight w:val="none"/>
          <w:lang w:val="zh-CN"/>
        </w:rPr>
        <w:t>→</w:t>
      </w:r>
      <w:r>
        <w:rPr>
          <w:kern w:val="0"/>
          <w:sz w:val="24"/>
          <w:highlight w:val="none"/>
          <w:lang w:val="zh-CN"/>
        </w:rPr>
        <w:t>压力管道得到水头，将水流送入水轮机，水轮机为封闭式，只有叶轮与水接触（具体方式见图</w:t>
      </w:r>
      <w:r>
        <w:rPr>
          <w:rFonts w:hint="eastAsia"/>
          <w:kern w:val="0"/>
          <w:sz w:val="24"/>
          <w:highlight w:val="none"/>
          <w:lang w:val="en-US" w:eastAsia="zh-CN"/>
        </w:rPr>
        <w:t>3.2</w:t>
      </w:r>
      <w:r>
        <w:rPr>
          <w:rFonts w:hint="eastAsia"/>
          <w:kern w:val="0"/>
          <w:sz w:val="24"/>
          <w:highlight w:val="none"/>
        </w:rPr>
        <w:t>-</w:t>
      </w:r>
      <w:r>
        <w:rPr>
          <w:rFonts w:hint="eastAsia"/>
          <w:kern w:val="0"/>
          <w:sz w:val="24"/>
          <w:highlight w:val="none"/>
          <w:lang w:val="en-US" w:eastAsia="zh-CN"/>
        </w:rPr>
        <w:t>2</w:t>
      </w:r>
      <w:r>
        <w:rPr>
          <w:kern w:val="0"/>
          <w:sz w:val="24"/>
          <w:highlight w:val="none"/>
          <w:lang w:val="zh-CN"/>
        </w:rPr>
        <w:t>），河水冲击水轮机叶轮转动，带动电机转动发电，其将水势能变为机械能，再将机械能通过发电机变为电能。整个生产过程基本没有大气、水污染物产生，不会改变水的物化性质。主要为水轮机和发电机运行噪声，设备全部位于地下可有效减少噪声污染排放。</w:t>
      </w:r>
    </w:p>
    <w:p>
      <w:pPr>
        <w:shd w:val="clear" w:color="auto" w:fill="FFFFFF"/>
        <w:autoSpaceDE w:val="0"/>
        <w:autoSpaceDN w:val="0"/>
        <w:adjustRightInd w:val="0"/>
        <w:spacing w:line="480" w:lineRule="exact"/>
        <w:ind w:firstLine="482"/>
        <w:rPr>
          <w:kern w:val="0"/>
          <w:sz w:val="24"/>
          <w:highlight w:val="none"/>
          <w:lang w:val="zh-CN"/>
        </w:rPr>
      </w:pPr>
    </w:p>
    <w:tbl>
      <w:tblPr>
        <w:tblStyle w:val="5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48"/>
        <w:gridCol w:w="42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8" w:type="dxa"/>
          </w:tcPr>
          <w:p>
            <w:pPr>
              <w:autoSpaceDE w:val="0"/>
              <w:autoSpaceDN w:val="0"/>
              <w:adjustRightInd w:val="0"/>
              <w:spacing w:line="240" w:lineRule="exact"/>
              <w:rPr>
                <w:kern w:val="0"/>
                <w:sz w:val="24"/>
                <w:highlight w:val="none"/>
                <w:lang w:val="zh-CN"/>
              </w:rPr>
            </w:pPr>
            <w:r>
              <w:rPr>
                <w:kern w:val="0"/>
                <w:sz w:val="24"/>
                <w:highlight w:val="none"/>
              </w:rPr>
              <w:drawing>
                <wp:anchor distT="0" distB="0" distL="114300" distR="114300" simplePos="0" relativeHeight="251660288" behindDoc="0" locked="0" layoutInCell="1" allowOverlap="1">
                  <wp:simplePos x="0" y="0"/>
                  <wp:positionH relativeFrom="column">
                    <wp:posOffset>-66675</wp:posOffset>
                  </wp:positionH>
                  <wp:positionV relativeFrom="paragraph">
                    <wp:posOffset>98425</wp:posOffset>
                  </wp:positionV>
                  <wp:extent cx="2524760" cy="1914525"/>
                  <wp:effectExtent l="0" t="0" r="8890" b="9525"/>
                  <wp:wrapTopAndBottom/>
                  <wp:docPr id="3" name="图片 2" descr="E:\韩志江\我的资料\2018年工作内容(环评)\2018-4-4遵化市黎河虹凤水电有限公司（完成，发给马工）\C46784DB58A54E4DE35C9A0AD15B34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E:\韩志江\我的资料\2018年工作内容(环评)\2018-4-4遵化市黎河虹凤水电有限公司（完成，发给马工）\C46784DB58A54E4DE35C9A0AD15B34E5.jpg"/>
                          <pic:cNvPicPr>
                            <a:picLocks noChangeAspect="1" noChangeArrowheads="1"/>
                          </pic:cNvPicPr>
                        </pic:nvPicPr>
                        <pic:blipFill>
                          <a:blip r:embed="rId44" cstate="print"/>
                          <a:srcRect/>
                          <a:stretch>
                            <a:fillRect/>
                          </a:stretch>
                        </pic:blipFill>
                        <pic:spPr>
                          <a:xfrm>
                            <a:off x="0" y="0"/>
                            <a:ext cx="2524760" cy="1914525"/>
                          </a:xfrm>
                          <a:prstGeom prst="rect">
                            <a:avLst/>
                          </a:prstGeom>
                          <a:noFill/>
                          <a:ln w="9525">
                            <a:noFill/>
                            <a:miter lim="800000"/>
                            <a:headEnd/>
                            <a:tailEnd/>
                          </a:ln>
                        </pic:spPr>
                      </pic:pic>
                    </a:graphicData>
                  </a:graphic>
                </wp:anchor>
              </w:drawing>
            </w:r>
          </w:p>
        </w:tc>
        <w:tc>
          <w:tcPr>
            <w:tcW w:w="4248" w:type="dxa"/>
          </w:tcPr>
          <w:p>
            <w:pPr>
              <w:autoSpaceDE w:val="0"/>
              <w:autoSpaceDN w:val="0"/>
              <w:adjustRightInd w:val="0"/>
              <w:spacing w:line="240" w:lineRule="exact"/>
              <w:rPr>
                <w:kern w:val="0"/>
                <w:sz w:val="24"/>
                <w:highlight w:val="none"/>
                <w:lang w:val="zh-CN"/>
              </w:rPr>
            </w:pPr>
            <w:r>
              <w:rPr>
                <w:kern w:val="0"/>
                <w:sz w:val="24"/>
                <w:highlight w:val="none"/>
              </w:rPr>
              <w:drawing>
                <wp:anchor distT="0" distB="0" distL="114300" distR="114300" simplePos="0" relativeHeight="251661312" behindDoc="0" locked="0" layoutInCell="1" allowOverlap="1">
                  <wp:simplePos x="0" y="0"/>
                  <wp:positionH relativeFrom="column">
                    <wp:posOffset>-15240</wp:posOffset>
                  </wp:positionH>
                  <wp:positionV relativeFrom="paragraph">
                    <wp:posOffset>98425</wp:posOffset>
                  </wp:positionV>
                  <wp:extent cx="2738120" cy="1847850"/>
                  <wp:effectExtent l="0" t="0" r="5080" b="0"/>
                  <wp:wrapTopAndBottom/>
                  <wp:docPr id="4" name="图片 3" descr="E:\韩志江\我的资料\2018年工作内容(环评)\2018-4-4遵化市黎河虹凤水电有限公司（完成，发给马工）\05A43C4FE61A48DAB7F49F740A96FA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E:\韩志江\我的资料\2018年工作内容(环评)\2018-4-4遵化市黎河虹凤水电有限公司（完成，发给马工）\05A43C4FE61A48DAB7F49F740A96FA61.jpg"/>
                          <pic:cNvPicPr>
                            <a:picLocks noChangeAspect="1" noChangeArrowheads="1"/>
                          </pic:cNvPicPr>
                        </pic:nvPicPr>
                        <pic:blipFill>
                          <a:blip r:embed="rId45" cstate="print"/>
                          <a:srcRect/>
                          <a:stretch>
                            <a:fillRect/>
                          </a:stretch>
                        </pic:blipFill>
                        <pic:spPr>
                          <a:xfrm>
                            <a:off x="0" y="0"/>
                            <a:ext cx="2738120" cy="1847850"/>
                          </a:xfrm>
                          <a:prstGeom prst="rect">
                            <a:avLst/>
                          </a:prstGeom>
                          <a:noFill/>
                          <a:ln w="9525">
                            <a:noFill/>
                            <a:miter lim="800000"/>
                            <a:headEnd/>
                            <a:tailEnd/>
                          </a:ln>
                        </pic:spPr>
                      </pic:pic>
                    </a:graphicData>
                  </a:graphic>
                </wp:anchor>
              </w:drawing>
            </w:r>
          </w:p>
        </w:tc>
      </w:tr>
    </w:tbl>
    <w:p>
      <w:pPr>
        <w:shd w:val="clear" w:color="auto" w:fill="FFFFFF"/>
        <w:autoSpaceDE w:val="0"/>
        <w:autoSpaceDN w:val="0"/>
        <w:adjustRightInd w:val="0"/>
        <w:spacing w:line="480" w:lineRule="exact"/>
        <w:ind w:firstLine="482"/>
        <w:jc w:val="center"/>
        <w:rPr>
          <w:b/>
          <w:kern w:val="0"/>
          <w:sz w:val="24"/>
          <w:highlight w:val="none"/>
        </w:rPr>
      </w:pPr>
      <w:r>
        <w:rPr>
          <w:b/>
          <w:kern w:val="0"/>
          <w:sz w:val="24"/>
          <w:highlight w:val="none"/>
        </w:rPr>
        <w:t>图</w:t>
      </w:r>
      <w:r>
        <w:rPr>
          <w:rFonts w:hint="eastAsia"/>
          <w:b/>
          <w:kern w:val="0"/>
          <w:sz w:val="24"/>
          <w:highlight w:val="none"/>
          <w:lang w:val="en-US" w:eastAsia="zh-CN"/>
        </w:rPr>
        <w:t xml:space="preserve"> </w:t>
      </w:r>
      <w:r>
        <w:rPr>
          <w:rFonts w:hint="eastAsia"/>
          <w:b/>
          <w:kern w:val="0"/>
          <w:sz w:val="24"/>
          <w:highlight w:val="none"/>
        </w:rPr>
        <w:t>3.2-</w:t>
      </w:r>
      <w:r>
        <w:rPr>
          <w:rFonts w:hint="eastAsia"/>
          <w:b/>
          <w:kern w:val="0"/>
          <w:sz w:val="24"/>
          <w:highlight w:val="none"/>
          <w:lang w:val="en-US" w:eastAsia="zh-CN"/>
        </w:rPr>
        <w:t>2</w:t>
      </w:r>
      <w:r>
        <w:rPr>
          <w:b/>
          <w:kern w:val="0"/>
          <w:sz w:val="24"/>
          <w:highlight w:val="none"/>
        </w:rPr>
        <w:t xml:space="preserve">   水轮机示意图</w:t>
      </w:r>
    </w:p>
    <w:p>
      <w:pPr>
        <w:pStyle w:val="290"/>
        <w:spacing w:before="0" w:after="0" w:line="480" w:lineRule="exact"/>
        <w:ind w:firstLine="480"/>
        <w:rPr>
          <w:highlight w:val="none"/>
        </w:rPr>
      </w:pPr>
      <w:r>
        <w:rPr>
          <w:highlight w:val="none"/>
        </w:rPr>
        <w:t>水轮机主轴密封采用美国戈尔盘根密封材料，运行时水轮机主轴密封采用水压平衡方式；非运行期采用空气围带充气密封。采取上述密封措施后，黎河水不会接触到设备内部。</w:t>
      </w:r>
    </w:p>
    <w:p>
      <w:pPr>
        <w:pStyle w:val="290"/>
        <w:spacing w:before="0" w:after="0" w:line="480" w:lineRule="exact"/>
        <w:ind w:firstLine="0" w:firstLineChars="0"/>
        <w:rPr>
          <w:rFonts w:ascii="Times New Roman" w:hAnsi="Times New Roman"/>
          <w:b/>
          <w:bCs/>
          <w:highlight w:val="none"/>
        </w:rPr>
      </w:pPr>
      <w:r>
        <w:rPr>
          <w:rFonts w:hint="eastAsia" w:ascii="Times New Roman" w:hAnsi="Times New Roman"/>
          <w:b/>
          <w:bCs/>
          <w:highlight w:val="none"/>
        </w:rPr>
        <w:t>3</w:t>
      </w:r>
      <w:r>
        <w:rPr>
          <w:rFonts w:ascii="Times New Roman" w:hAnsi="Times New Roman"/>
          <w:b/>
          <w:bCs/>
          <w:highlight w:val="none"/>
        </w:rPr>
        <w:t>.2.</w:t>
      </w:r>
      <w:r>
        <w:rPr>
          <w:rFonts w:hint="eastAsia" w:ascii="Times New Roman" w:hAnsi="Times New Roman"/>
          <w:b/>
          <w:bCs/>
          <w:highlight w:val="none"/>
        </w:rPr>
        <w:t>2</w:t>
      </w:r>
      <w:r>
        <w:rPr>
          <w:rFonts w:ascii="Times New Roman" w:hAnsi="Times New Roman"/>
          <w:b/>
          <w:bCs/>
          <w:highlight w:val="none"/>
        </w:rPr>
        <w:t xml:space="preserve"> 污染源强分析</w:t>
      </w:r>
    </w:p>
    <w:p>
      <w:pPr>
        <w:shd w:val="clear" w:color="auto" w:fill="FFFFFF"/>
        <w:autoSpaceDE w:val="0"/>
        <w:autoSpaceDN w:val="0"/>
        <w:adjustRightInd w:val="0"/>
        <w:spacing w:line="480" w:lineRule="exact"/>
        <w:rPr>
          <w:kern w:val="0"/>
          <w:sz w:val="24"/>
          <w:highlight w:val="none"/>
        </w:rPr>
      </w:pPr>
      <w:r>
        <w:rPr>
          <w:rFonts w:hint="eastAsia"/>
          <w:kern w:val="0"/>
          <w:sz w:val="24"/>
          <w:highlight w:val="none"/>
        </w:rPr>
        <w:t xml:space="preserve">   电站运行期间对环境的影响主要体现在水文情势的改变对流域内生态环境的影响。“三废”产生量极少，现将电站运营期“三废”及噪声源强简述如下。</w:t>
      </w:r>
    </w:p>
    <w:p>
      <w:pPr>
        <w:shd w:val="clear" w:color="auto" w:fill="FFFFFF"/>
        <w:autoSpaceDE w:val="0"/>
        <w:autoSpaceDN w:val="0"/>
        <w:adjustRightInd w:val="0"/>
        <w:spacing w:line="480" w:lineRule="exact"/>
        <w:rPr>
          <w:b/>
          <w:bCs/>
          <w:kern w:val="0"/>
          <w:sz w:val="24"/>
          <w:highlight w:val="none"/>
        </w:rPr>
      </w:pPr>
      <w:r>
        <w:rPr>
          <w:rFonts w:hint="eastAsia"/>
          <w:b/>
          <w:bCs/>
          <w:kern w:val="0"/>
          <w:sz w:val="24"/>
          <w:highlight w:val="none"/>
        </w:rPr>
        <w:t>3.2.2.1 “三废”及噪声源强</w:t>
      </w:r>
    </w:p>
    <w:p>
      <w:pPr>
        <w:pStyle w:val="290"/>
        <w:spacing w:before="0" w:after="0" w:line="480" w:lineRule="exact"/>
        <w:ind w:firstLine="480"/>
        <w:rPr>
          <w:rFonts w:ascii="Times New Roman" w:hAnsi="Times New Roman"/>
          <w:highlight w:val="none"/>
          <w:lang w:val="zh-CN"/>
        </w:rPr>
      </w:pPr>
      <w:r>
        <w:rPr>
          <w:rFonts w:hint="eastAsia" w:ascii="Times New Roman" w:hAnsi="Times New Roman"/>
          <w:highlight w:val="none"/>
          <w:lang w:val="zh-CN"/>
        </w:rPr>
        <w:t>（</w:t>
      </w:r>
      <w:r>
        <w:rPr>
          <w:rFonts w:hint="eastAsia" w:ascii="Times New Roman" w:hAnsi="Times New Roman"/>
          <w:highlight w:val="none"/>
        </w:rPr>
        <w:t>1</w:t>
      </w:r>
      <w:r>
        <w:rPr>
          <w:rFonts w:hint="eastAsia" w:ascii="Times New Roman" w:hAnsi="Times New Roman"/>
          <w:highlight w:val="none"/>
          <w:lang w:val="zh-CN"/>
        </w:rPr>
        <w:t>）废气</w:t>
      </w:r>
    </w:p>
    <w:p>
      <w:pPr>
        <w:pStyle w:val="290"/>
        <w:spacing w:before="0" w:after="0" w:line="480" w:lineRule="exact"/>
        <w:ind w:firstLine="480"/>
        <w:rPr>
          <w:rFonts w:hint="default" w:ascii="Times New Roman" w:hAnsi="Times New Roman" w:eastAsia="宋体"/>
          <w:color w:val="auto"/>
          <w:highlight w:val="none"/>
          <w:lang w:val="en-US" w:eastAsia="zh-CN"/>
        </w:rPr>
      </w:pPr>
      <w:r>
        <w:rPr>
          <w:rFonts w:hint="eastAsia" w:ascii="Times New Roman" w:hAnsi="Times New Roman"/>
          <w:color w:val="auto"/>
          <w:highlight w:val="none"/>
          <w:lang w:val="zh-CN"/>
        </w:rPr>
        <w:t>水电站营运期没有废气排放源。职工生活以电为主能源，项目不设食堂，没有废气产生。水电站距离最近东南方向180m的庄户沟村</w:t>
      </w:r>
      <w:r>
        <w:rPr>
          <w:rFonts w:hint="eastAsia" w:ascii="Times New Roman" w:hAnsi="Times New Roman"/>
          <w:color w:val="auto"/>
          <w:highlight w:val="none"/>
          <w:lang w:val="en-US" w:eastAsia="zh-CN"/>
        </w:rPr>
        <w:t>，不会对村庄大气环境产生影响。</w:t>
      </w:r>
    </w:p>
    <w:p>
      <w:pPr>
        <w:pStyle w:val="290"/>
        <w:spacing w:before="0" w:after="0" w:line="480" w:lineRule="exact"/>
        <w:ind w:firstLine="480"/>
        <w:rPr>
          <w:rFonts w:ascii="Times New Roman" w:hAnsi="Times New Roman"/>
          <w:color w:val="auto"/>
          <w:highlight w:val="none"/>
          <w:lang w:val="zh-CN"/>
        </w:rPr>
      </w:pPr>
      <w:r>
        <w:rPr>
          <w:rFonts w:hint="eastAsia" w:ascii="Times New Roman" w:hAnsi="Times New Roman"/>
          <w:color w:val="auto"/>
          <w:highlight w:val="none"/>
          <w:lang w:val="zh-CN"/>
        </w:rPr>
        <w:t>（</w:t>
      </w:r>
      <w:r>
        <w:rPr>
          <w:rFonts w:hint="eastAsia" w:ascii="Times New Roman" w:hAnsi="Times New Roman"/>
          <w:color w:val="auto"/>
          <w:highlight w:val="none"/>
        </w:rPr>
        <w:t>2</w:t>
      </w:r>
      <w:r>
        <w:rPr>
          <w:rFonts w:hint="eastAsia" w:ascii="Times New Roman" w:hAnsi="Times New Roman"/>
          <w:color w:val="auto"/>
          <w:highlight w:val="none"/>
          <w:lang w:val="zh-CN"/>
        </w:rPr>
        <w:t>）废水</w:t>
      </w:r>
    </w:p>
    <w:p>
      <w:pPr>
        <w:pStyle w:val="290"/>
        <w:spacing w:before="0" w:after="0" w:line="480" w:lineRule="exact"/>
        <w:ind w:firstLine="480"/>
        <w:rPr>
          <w:rFonts w:hint="eastAsia" w:ascii="Times New Roman" w:hAnsi="Times New Roman" w:eastAsia="宋体"/>
          <w:color w:val="auto"/>
          <w:highlight w:val="none"/>
          <w:lang w:eastAsia="zh-CN"/>
        </w:rPr>
      </w:pPr>
      <w:r>
        <w:rPr>
          <w:rFonts w:hint="eastAsia" w:ascii="Times New Roman" w:hAnsi="Times New Roman"/>
          <w:color w:val="auto"/>
          <w:highlight w:val="none"/>
          <w:lang w:val="zh-CN"/>
        </w:rPr>
        <w:t>营运期不产生生产废水，废水主要是职工生活污水。</w:t>
      </w:r>
      <w:r>
        <w:rPr>
          <w:rFonts w:ascii="Times New Roman" w:hAnsi="Times New Roman"/>
          <w:color w:val="auto"/>
          <w:highlight w:val="none"/>
        </w:rPr>
        <w:t>本项目不设洗浴</w:t>
      </w:r>
      <w:r>
        <w:rPr>
          <w:rFonts w:hint="eastAsia" w:ascii="Times New Roman" w:hAnsi="Times New Roman"/>
          <w:color w:val="auto"/>
          <w:highlight w:val="none"/>
          <w:lang w:eastAsia="zh-CN"/>
        </w:rPr>
        <w:t>、</w:t>
      </w:r>
      <w:r>
        <w:rPr>
          <w:rFonts w:ascii="Times New Roman" w:hAnsi="Times New Roman"/>
          <w:color w:val="auto"/>
          <w:highlight w:val="none"/>
        </w:rPr>
        <w:t>设餐厅（不做饭，仅</w:t>
      </w:r>
      <w:r>
        <w:rPr>
          <w:rFonts w:hint="eastAsia" w:ascii="Times New Roman" w:hAnsi="Times New Roman"/>
          <w:color w:val="auto"/>
          <w:highlight w:val="none"/>
          <w:lang w:val="en-US" w:eastAsia="zh-CN"/>
        </w:rPr>
        <w:t>供职工</w:t>
      </w:r>
      <w:r>
        <w:rPr>
          <w:rFonts w:ascii="Times New Roman" w:hAnsi="Times New Roman"/>
          <w:color w:val="auto"/>
          <w:highlight w:val="none"/>
        </w:rPr>
        <w:t>用餐使用）、防渗厕所，饮用水外购桶装水，全年按1</w:t>
      </w:r>
      <w:r>
        <w:rPr>
          <w:rFonts w:hint="eastAsia" w:ascii="Times New Roman" w:hAnsi="Times New Roman"/>
          <w:color w:val="auto"/>
          <w:highlight w:val="none"/>
          <w:lang w:val="en-US" w:eastAsia="zh-CN"/>
        </w:rPr>
        <w:t>12</w:t>
      </w:r>
      <w:r>
        <w:rPr>
          <w:rFonts w:ascii="Times New Roman" w:hAnsi="Times New Roman"/>
          <w:color w:val="auto"/>
          <w:highlight w:val="none"/>
        </w:rPr>
        <w:t>天计算，年生活用水量2</w:t>
      </w:r>
      <w:r>
        <w:rPr>
          <w:rFonts w:hint="eastAsia" w:ascii="Times New Roman" w:hAnsi="Times New Roman"/>
          <w:color w:val="auto"/>
          <w:highlight w:val="none"/>
          <w:lang w:val="en-US" w:eastAsia="zh-CN"/>
        </w:rPr>
        <w:t>2.4</w:t>
      </w:r>
      <w:r>
        <w:rPr>
          <w:rFonts w:ascii="Times New Roman" w:hAnsi="Times New Roman"/>
          <w:color w:val="auto"/>
          <w:highlight w:val="none"/>
        </w:rPr>
        <w:t>m</w:t>
      </w:r>
      <w:r>
        <w:rPr>
          <w:rFonts w:ascii="Times New Roman" w:hAnsi="Times New Roman"/>
          <w:color w:val="auto"/>
          <w:highlight w:val="none"/>
          <w:vertAlign w:val="superscript"/>
        </w:rPr>
        <w:t>3</w:t>
      </w:r>
      <w:r>
        <w:rPr>
          <w:rFonts w:ascii="Times New Roman" w:hAnsi="Times New Roman"/>
          <w:color w:val="auto"/>
          <w:highlight w:val="none"/>
        </w:rPr>
        <w:t>/a。生活污水量按用水量的80%计算，生活污水产生量为0.16m</w:t>
      </w:r>
      <w:r>
        <w:rPr>
          <w:rFonts w:ascii="Times New Roman" w:hAnsi="Times New Roman"/>
          <w:color w:val="auto"/>
          <w:highlight w:val="none"/>
          <w:vertAlign w:val="superscript"/>
        </w:rPr>
        <w:t>3</w:t>
      </w:r>
      <w:r>
        <w:rPr>
          <w:rFonts w:ascii="Times New Roman" w:hAnsi="Times New Roman"/>
          <w:color w:val="auto"/>
          <w:highlight w:val="none"/>
        </w:rPr>
        <w:t>/d，年生活</w:t>
      </w:r>
      <w:r>
        <w:rPr>
          <w:rFonts w:hint="eastAsia" w:ascii="Times New Roman" w:hAnsi="Times New Roman"/>
          <w:color w:val="auto"/>
          <w:highlight w:val="none"/>
          <w:lang w:eastAsia="zh-CN"/>
        </w:rPr>
        <w:t>污</w:t>
      </w:r>
      <w:r>
        <w:rPr>
          <w:rFonts w:ascii="Times New Roman" w:hAnsi="Times New Roman"/>
          <w:color w:val="auto"/>
          <w:highlight w:val="none"/>
        </w:rPr>
        <w:t>水量</w:t>
      </w:r>
      <w:r>
        <w:rPr>
          <w:rFonts w:hint="eastAsia" w:ascii="Times New Roman" w:hAnsi="Times New Roman"/>
          <w:color w:val="auto"/>
          <w:highlight w:val="none"/>
          <w:lang w:val="en-US" w:eastAsia="zh-CN"/>
        </w:rPr>
        <w:t>17.92</w:t>
      </w:r>
      <w:r>
        <w:rPr>
          <w:rFonts w:ascii="Times New Roman" w:hAnsi="Times New Roman"/>
          <w:color w:val="auto"/>
          <w:highlight w:val="none"/>
        </w:rPr>
        <w:t>m</w:t>
      </w:r>
      <w:r>
        <w:rPr>
          <w:rFonts w:ascii="Times New Roman" w:hAnsi="Times New Roman"/>
          <w:color w:val="auto"/>
          <w:highlight w:val="none"/>
          <w:vertAlign w:val="superscript"/>
        </w:rPr>
        <w:t>3</w:t>
      </w:r>
      <w:r>
        <w:rPr>
          <w:rFonts w:ascii="Times New Roman" w:hAnsi="Times New Roman"/>
          <w:color w:val="auto"/>
          <w:highlight w:val="none"/>
        </w:rPr>
        <w:t>/a，生活污水简单，排入站区化粪池，</w:t>
      </w:r>
      <w:r>
        <w:rPr>
          <w:rFonts w:hint="eastAsia" w:ascii="Times New Roman" w:hAnsi="Times New Roman"/>
          <w:color w:val="auto"/>
          <w:highlight w:val="none"/>
          <w:lang w:eastAsia="zh-CN"/>
        </w:rPr>
        <w:t>由环卫部门定期清掏</w:t>
      </w:r>
      <w:r>
        <w:rPr>
          <w:rFonts w:ascii="Times New Roman" w:hAnsi="Times New Roman"/>
          <w:color w:val="auto"/>
          <w:highlight w:val="none"/>
        </w:rPr>
        <w:t>。</w:t>
      </w:r>
      <w:r>
        <w:rPr>
          <w:rFonts w:hint="eastAsia" w:ascii="Times New Roman" w:hAnsi="Times New Roman"/>
          <w:color w:val="auto"/>
          <w:highlight w:val="none"/>
          <w:lang w:eastAsia="zh-CN"/>
        </w:rPr>
        <w:t>因此项目废水排放不会对地表水和地下水产生影响。</w:t>
      </w:r>
    </w:p>
    <w:p>
      <w:pPr>
        <w:shd w:val="clear" w:color="auto" w:fill="FFFFFF"/>
        <w:autoSpaceDE w:val="0"/>
        <w:autoSpaceDN w:val="0"/>
        <w:adjustRightInd w:val="0"/>
        <w:spacing w:line="480" w:lineRule="exact"/>
        <w:ind w:firstLine="482"/>
        <w:rPr>
          <w:b/>
          <w:highlight w:val="none"/>
        </w:rPr>
      </w:pPr>
      <w:r>
        <w:rPr>
          <w:rFonts w:hint="eastAsia"/>
          <w:kern w:val="0"/>
          <w:sz w:val="24"/>
          <w:highlight w:val="none"/>
        </w:rPr>
        <w:t>（3）</w:t>
      </w:r>
      <w:r>
        <w:rPr>
          <w:sz w:val="24"/>
          <w:highlight w:val="none"/>
        </w:rPr>
        <w:t>噪声</w:t>
      </w:r>
    </w:p>
    <w:p>
      <w:pPr>
        <w:pStyle w:val="290"/>
        <w:spacing w:before="0" w:after="0" w:line="480" w:lineRule="exact"/>
        <w:ind w:firstLine="480"/>
        <w:rPr>
          <w:rFonts w:ascii="Times New Roman" w:hAnsi="Times New Roman"/>
          <w:color w:val="000000" w:themeColor="text1"/>
          <w:szCs w:val="24"/>
          <w:highlight w:val="none"/>
          <w14:textFill>
            <w14:solidFill>
              <w14:schemeClr w14:val="tx1"/>
            </w14:solidFill>
          </w14:textFill>
        </w:rPr>
      </w:pPr>
      <w:r>
        <w:rPr>
          <w:rFonts w:ascii="Times New Roman" w:hAnsi="Times New Roman"/>
          <w:color w:val="000000" w:themeColor="text1"/>
          <w:szCs w:val="24"/>
          <w:highlight w:val="none"/>
          <w14:textFill>
            <w14:solidFill>
              <w14:schemeClr w14:val="tx1"/>
            </w14:solidFill>
          </w14:textFill>
        </w:rPr>
        <w:t>电站在运行过程中，发电机、各类泵等生产设备均将产生一定的机械噪声，噪声强度 65~90dB(A)。采取减振、隔声等降噪措施，可使厂界噪声降至 50dB(A)以下，满足《工业企业厂界环境噪声排放标准》（GB12348-2008）2 类标准。</w:t>
      </w:r>
    </w:p>
    <w:p>
      <w:pPr>
        <w:pStyle w:val="290"/>
        <w:spacing w:before="0" w:after="0" w:line="480" w:lineRule="exact"/>
        <w:ind w:firstLine="480"/>
        <w:rPr>
          <w:rFonts w:ascii="Times New Roman" w:hAnsi="Times New Roman"/>
          <w:color w:val="auto"/>
          <w:szCs w:val="24"/>
          <w:highlight w:val="none"/>
        </w:rPr>
      </w:pPr>
      <w:r>
        <w:rPr>
          <w:rFonts w:hint="eastAsia" w:ascii="Times New Roman" w:hAnsi="Times New Roman"/>
          <w:color w:val="000000" w:themeColor="text1"/>
          <w:szCs w:val="24"/>
          <w:highlight w:val="none"/>
          <w14:textFill>
            <w14:solidFill>
              <w14:schemeClr w14:val="tx1"/>
            </w14:solidFill>
          </w14:textFill>
        </w:rPr>
        <w:t>营运期污</w:t>
      </w:r>
      <w:r>
        <w:rPr>
          <w:rFonts w:hint="eastAsia" w:ascii="Times New Roman" w:hAnsi="Times New Roman"/>
          <w:color w:val="auto"/>
          <w:szCs w:val="24"/>
          <w:highlight w:val="none"/>
        </w:rPr>
        <w:t>染物产生和排放情况见表3.2-1、表3.2-2。</w:t>
      </w:r>
    </w:p>
    <w:p>
      <w:pPr>
        <w:spacing w:line="480" w:lineRule="exact"/>
        <w:jc w:val="center"/>
        <w:rPr>
          <w:b/>
          <w:color w:val="auto"/>
          <w:sz w:val="24"/>
          <w:highlight w:val="none"/>
        </w:rPr>
      </w:pPr>
      <w:r>
        <w:rPr>
          <w:b/>
          <w:color w:val="auto"/>
          <w:sz w:val="24"/>
          <w:highlight w:val="none"/>
        </w:rPr>
        <w:t>表</w:t>
      </w:r>
      <w:r>
        <w:rPr>
          <w:rFonts w:hint="eastAsia"/>
          <w:b/>
          <w:color w:val="auto"/>
          <w:sz w:val="24"/>
          <w:highlight w:val="none"/>
        </w:rPr>
        <w:t>3.2-1</w:t>
      </w:r>
      <w:r>
        <w:rPr>
          <w:b/>
          <w:color w:val="auto"/>
          <w:sz w:val="24"/>
          <w:highlight w:val="none"/>
        </w:rPr>
        <w:t xml:space="preserve">  主要设备噪声源强</w:t>
      </w:r>
    </w:p>
    <w:tbl>
      <w:tblPr>
        <w:tblStyle w:val="51"/>
        <w:tblW w:w="8291" w:type="dxa"/>
        <w:jc w:val="cente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518"/>
        <w:gridCol w:w="1088"/>
        <w:gridCol w:w="829"/>
        <w:gridCol w:w="723"/>
        <w:gridCol w:w="1125"/>
        <w:gridCol w:w="1662"/>
        <w:gridCol w:w="1125"/>
        <w:gridCol w:w="1221"/>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518" w:type="dxa"/>
            <w:vAlign w:val="center"/>
          </w:tcPr>
          <w:p>
            <w:pPr>
              <w:spacing w:line="300" w:lineRule="exact"/>
              <w:jc w:val="center"/>
              <w:rPr>
                <w:color w:val="auto"/>
                <w:szCs w:val="21"/>
                <w:highlight w:val="none"/>
                <w:lang w:val="fr-FR"/>
              </w:rPr>
            </w:pPr>
            <w:r>
              <w:rPr>
                <w:color w:val="auto"/>
                <w:szCs w:val="21"/>
                <w:highlight w:val="none"/>
                <w:lang w:val="fr-FR"/>
              </w:rPr>
              <w:t>序号</w:t>
            </w:r>
          </w:p>
        </w:tc>
        <w:tc>
          <w:tcPr>
            <w:tcW w:w="1088" w:type="dxa"/>
            <w:vAlign w:val="center"/>
          </w:tcPr>
          <w:p>
            <w:pPr>
              <w:spacing w:line="300" w:lineRule="exact"/>
              <w:jc w:val="center"/>
              <w:rPr>
                <w:color w:val="auto"/>
                <w:szCs w:val="21"/>
                <w:highlight w:val="none"/>
                <w:lang w:val="fr-FR"/>
              </w:rPr>
            </w:pPr>
            <w:r>
              <w:rPr>
                <w:color w:val="auto"/>
                <w:szCs w:val="21"/>
                <w:highlight w:val="none"/>
                <w:lang w:val="fr-FR"/>
              </w:rPr>
              <w:t>设备名称</w:t>
            </w:r>
          </w:p>
        </w:tc>
        <w:tc>
          <w:tcPr>
            <w:tcW w:w="829" w:type="dxa"/>
            <w:vAlign w:val="center"/>
          </w:tcPr>
          <w:p>
            <w:pPr>
              <w:spacing w:line="300" w:lineRule="exact"/>
              <w:jc w:val="center"/>
              <w:rPr>
                <w:color w:val="auto"/>
                <w:szCs w:val="21"/>
                <w:highlight w:val="none"/>
                <w:lang w:val="fr-FR"/>
              </w:rPr>
            </w:pPr>
            <w:r>
              <w:rPr>
                <w:color w:val="auto"/>
                <w:szCs w:val="21"/>
                <w:highlight w:val="none"/>
                <w:lang w:val="fr-FR"/>
              </w:rPr>
              <w:t>数量</w:t>
            </w:r>
          </w:p>
        </w:tc>
        <w:tc>
          <w:tcPr>
            <w:tcW w:w="723" w:type="dxa"/>
            <w:vAlign w:val="center"/>
          </w:tcPr>
          <w:p>
            <w:pPr>
              <w:spacing w:line="300" w:lineRule="exact"/>
              <w:jc w:val="center"/>
              <w:rPr>
                <w:color w:val="auto"/>
                <w:szCs w:val="21"/>
                <w:highlight w:val="none"/>
                <w:lang w:val="fr-FR"/>
              </w:rPr>
            </w:pPr>
            <w:r>
              <w:rPr>
                <w:color w:val="auto"/>
                <w:szCs w:val="21"/>
                <w:highlight w:val="none"/>
                <w:lang w:val="fr-FR"/>
              </w:rPr>
              <w:t>工况</w:t>
            </w:r>
          </w:p>
        </w:tc>
        <w:tc>
          <w:tcPr>
            <w:tcW w:w="1125" w:type="dxa"/>
            <w:vAlign w:val="center"/>
          </w:tcPr>
          <w:p>
            <w:pPr>
              <w:spacing w:line="300" w:lineRule="exact"/>
              <w:jc w:val="center"/>
              <w:rPr>
                <w:color w:val="auto"/>
                <w:szCs w:val="21"/>
                <w:highlight w:val="none"/>
                <w:lang w:val="fr-FR"/>
              </w:rPr>
            </w:pPr>
            <w:r>
              <w:rPr>
                <w:color w:val="auto"/>
                <w:szCs w:val="21"/>
                <w:highlight w:val="none"/>
                <w:lang w:val="fr-FR"/>
              </w:rPr>
              <w:t>噪声源强</w:t>
            </w:r>
          </w:p>
          <w:p>
            <w:pPr>
              <w:spacing w:line="300" w:lineRule="exact"/>
              <w:jc w:val="center"/>
              <w:rPr>
                <w:color w:val="auto"/>
                <w:szCs w:val="21"/>
                <w:highlight w:val="none"/>
                <w:lang w:val="fr-FR"/>
              </w:rPr>
            </w:pPr>
            <w:r>
              <w:rPr>
                <w:color w:val="auto"/>
                <w:szCs w:val="21"/>
                <w:highlight w:val="none"/>
                <w:lang w:val="fr-FR"/>
              </w:rPr>
              <w:t>dB(A)</w:t>
            </w:r>
          </w:p>
        </w:tc>
        <w:tc>
          <w:tcPr>
            <w:tcW w:w="1662" w:type="dxa"/>
            <w:tcBorders>
              <w:right w:val="single" w:color="auto" w:sz="4" w:space="0"/>
            </w:tcBorders>
            <w:vAlign w:val="center"/>
          </w:tcPr>
          <w:p>
            <w:pPr>
              <w:spacing w:line="300" w:lineRule="exact"/>
              <w:jc w:val="center"/>
              <w:rPr>
                <w:color w:val="auto"/>
                <w:szCs w:val="21"/>
                <w:highlight w:val="none"/>
                <w:lang w:val="fr-FR"/>
              </w:rPr>
            </w:pPr>
            <w:r>
              <w:rPr>
                <w:color w:val="auto"/>
                <w:szCs w:val="21"/>
                <w:highlight w:val="none"/>
                <w:lang w:val="fr-FR"/>
              </w:rPr>
              <w:t>治理措施</w:t>
            </w:r>
          </w:p>
        </w:tc>
        <w:tc>
          <w:tcPr>
            <w:tcW w:w="1125" w:type="dxa"/>
            <w:tcBorders>
              <w:left w:val="single" w:color="auto" w:sz="4" w:space="0"/>
              <w:right w:val="single" w:color="auto" w:sz="4" w:space="0"/>
            </w:tcBorders>
            <w:vAlign w:val="center"/>
          </w:tcPr>
          <w:p>
            <w:pPr>
              <w:pStyle w:val="92"/>
              <w:spacing w:line="300" w:lineRule="exact"/>
              <w:ind w:left="0" w:leftChars="0" w:firstLine="0" w:firstLineChars="0"/>
              <w:jc w:val="both"/>
              <w:rPr>
                <w:rFonts w:ascii="Times New Roman"/>
                <w:color w:val="auto"/>
                <w:szCs w:val="21"/>
                <w:highlight w:val="none"/>
              </w:rPr>
            </w:pPr>
            <w:r>
              <w:rPr>
                <w:rFonts w:ascii="Times New Roman"/>
                <w:color w:val="auto"/>
                <w:szCs w:val="21"/>
                <w:highlight w:val="none"/>
              </w:rPr>
              <w:t>降噪效果</w:t>
            </w:r>
          </w:p>
          <w:p>
            <w:pPr>
              <w:pStyle w:val="92"/>
              <w:spacing w:line="300" w:lineRule="exact"/>
              <w:rPr>
                <w:rFonts w:ascii="Times New Roman"/>
                <w:color w:val="auto"/>
                <w:szCs w:val="21"/>
                <w:highlight w:val="none"/>
              </w:rPr>
            </w:pPr>
            <w:r>
              <w:rPr>
                <w:rFonts w:ascii="Times New Roman"/>
                <w:color w:val="auto"/>
                <w:szCs w:val="21"/>
                <w:highlight w:val="none"/>
              </w:rPr>
              <w:t>dB(A)</w:t>
            </w:r>
          </w:p>
        </w:tc>
        <w:tc>
          <w:tcPr>
            <w:tcW w:w="1221" w:type="dxa"/>
            <w:tcBorders>
              <w:left w:val="single" w:color="auto" w:sz="4" w:space="0"/>
            </w:tcBorders>
            <w:vAlign w:val="center"/>
          </w:tcPr>
          <w:p>
            <w:pPr>
              <w:pStyle w:val="92"/>
              <w:spacing w:line="300" w:lineRule="exact"/>
              <w:ind w:left="0" w:leftChars="0" w:firstLine="0" w:firstLineChars="0"/>
              <w:jc w:val="both"/>
              <w:rPr>
                <w:rFonts w:ascii="Times New Roman"/>
                <w:color w:val="auto"/>
                <w:szCs w:val="21"/>
                <w:highlight w:val="none"/>
              </w:rPr>
            </w:pPr>
            <w:r>
              <w:rPr>
                <w:rFonts w:ascii="Times New Roman"/>
                <w:color w:val="auto"/>
                <w:szCs w:val="21"/>
                <w:highlight w:val="none"/>
              </w:rPr>
              <w:t>治理后</w:t>
            </w:r>
            <w:r>
              <w:rPr>
                <w:rFonts w:hint="eastAsia" w:ascii="Times New Roman"/>
                <w:color w:val="auto"/>
                <w:szCs w:val="21"/>
                <w:highlight w:val="none"/>
              </w:rPr>
              <w:t>噪声</w:t>
            </w:r>
            <w:r>
              <w:rPr>
                <w:rFonts w:ascii="Times New Roman"/>
                <w:color w:val="auto"/>
                <w:szCs w:val="21"/>
                <w:highlight w:val="none"/>
              </w:rPr>
              <w:t>dB(A)</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25" w:hRule="atLeast"/>
          <w:jc w:val="center"/>
        </w:trPr>
        <w:tc>
          <w:tcPr>
            <w:tcW w:w="518" w:type="dxa"/>
            <w:vAlign w:val="center"/>
          </w:tcPr>
          <w:p>
            <w:pPr>
              <w:spacing w:line="300" w:lineRule="exact"/>
              <w:jc w:val="center"/>
              <w:rPr>
                <w:color w:val="auto"/>
                <w:szCs w:val="21"/>
                <w:highlight w:val="none"/>
                <w:lang w:val="fr-FR"/>
              </w:rPr>
            </w:pPr>
            <w:r>
              <w:rPr>
                <w:color w:val="auto"/>
                <w:szCs w:val="21"/>
                <w:highlight w:val="none"/>
                <w:lang w:val="fr-FR"/>
              </w:rPr>
              <w:t>1</w:t>
            </w:r>
          </w:p>
        </w:tc>
        <w:tc>
          <w:tcPr>
            <w:tcW w:w="1088" w:type="dxa"/>
            <w:vAlign w:val="center"/>
          </w:tcPr>
          <w:p>
            <w:pPr>
              <w:pStyle w:val="33"/>
              <w:spacing w:after="0" w:line="300" w:lineRule="exact"/>
              <w:ind w:left="0" w:leftChars="0"/>
              <w:jc w:val="center"/>
              <w:rPr>
                <w:color w:val="auto"/>
                <w:highlight w:val="none"/>
              </w:rPr>
            </w:pPr>
            <w:r>
              <w:rPr>
                <w:color w:val="auto"/>
                <w:highlight w:val="none"/>
              </w:rPr>
              <w:t>水轮机</w:t>
            </w:r>
          </w:p>
        </w:tc>
        <w:tc>
          <w:tcPr>
            <w:tcW w:w="829" w:type="dxa"/>
            <w:vAlign w:val="center"/>
          </w:tcPr>
          <w:p>
            <w:pPr>
              <w:spacing w:line="300" w:lineRule="exact"/>
              <w:jc w:val="center"/>
              <w:rPr>
                <w:color w:val="auto"/>
                <w:szCs w:val="21"/>
                <w:highlight w:val="none"/>
                <w:lang w:val="fr-FR"/>
              </w:rPr>
            </w:pPr>
            <w:r>
              <w:rPr>
                <w:rFonts w:hint="eastAsia"/>
                <w:color w:val="auto"/>
                <w:szCs w:val="21"/>
                <w:highlight w:val="none"/>
                <w:lang w:val="en-US" w:eastAsia="zh-CN"/>
              </w:rPr>
              <w:t>1</w:t>
            </w:r>
            <w:r>
              <w:rPr>
                <w:color w:val="auto"/>
                <w:szCs w:val="21"/>
                <w:highlight w:val="none"/>
                <w:lang w:val="fr-FR"/>
              </w:rPr>
              <w:t>台</w:t>
            </w:r>
          </w:p>
        </w:tc>
        <w:tc>
          <w:tcPr>
            <w:tcW w:w="723" w:type="dxa"/>
            <w:vAlign w:val="center"/>
          </w:tcPr>
          <w:p>
            <w:pPr>
              <w:spacing w:line="300" w:lineRule="exact"/>
              <w:jc w:val="center"/>
              <w:rPr>
                <w:color w:val="auto"/>
                <w:szCs w:val="21"/>
                <w:highlight w:val="none"/>
                <w:lang w:val="fr-FR"/>
              </w:rPr>
            </w:pPr>
            <w:r>
              <w:rPr>
                <w:color w:val="auto"/>
                <w:szCs w:val="21"/>
                <w:highlight w:val="none"/>
                <w:lang w:val="fr-FR"/>
              </w:rPr>
              <w:t>连续</w:t>
            </w:r>
          </w:p>
        </w:tc>
        <w:tc>
          <w:tcPr>
            <w:tcW w:w="1125" w:type="dxa"/>
            <w:vAlign w:val="center"/>
          </w:tcPr>
          <w:p>
            <w:pPr>
              <w:spacing w:line="300" w:lineRule="exact"/>
              <w:jc w:val="center"/>
              <w:rPr>
                <w:color w:val="auto"/>
                <w:szCs w:val="21"/>
                <w:highlight w:val="none"/>
                <w:lang w:val="fr-FR"/>
              </w:rPr>
            </w:pPr>
            <w:r>
              <w:rPr>
                <w:color w:val="auto"/>
                <w:szCs w:val="21"/>
                <w:highlight w:val="none"/>
                <w:lang w:val="fr-FR"/>
              </w:rPr>
              <w:t>95</w:t>
            </w:r>
          </w:p>
        </w:tc>
        <w:tc>
          <w:tcPr>
            <w:tcW w:w="1662" w:type="dxa"/>
            <w:vMerge w:val="restart"/>
            <w:tcBorders>
              <w:right w:val="single" w:color="auto" w:sz="4" w:space="0"/>
            </w:tcBorders>
            <w:vAlign w:val="center"/>
          </w:tcPr>
          <w:p>
            <w:pPr>
              <w:spacing w:line="300" w:lineRule="exact"/>
              <w:jc w:val="left"/>
              <w:rPr>
                <w:color w:val="auto"/>
                <w:szCs w:val="21"/>
                <w:highlight w:val="none"/>
                <w:lang w:val="fr-FR"/>
              </w:rPr>
            </w:pPr>
            <w:r>
              <w:rPr>
                <w:color w:val="auto"/>
                <w:szCs w:val="21"/>
                <w:highlight w:val="none"/>
              </w:rPr>
              <w:t>设备基础减振、置于封闭</w:t>
            </w:r>
            <w:r>
              <w:rPr>
                <w:rFonts w:hint="eastAsia"/>
                <w:color w:val="auto"/>
                <w:szCs w:val="21"/>
                <w:highlight w:val="none"/>
              </w:rPr>
              <w:t>电站</w:t>
            </w:r>
          </w:p>
        </w:tc>
        <w:tc>
          <w:tcPr>
            <w:tcW w:w="1125" w:type="dxa"/>
            <w:tcBorders>
              <w:left w:val="single" w:color="auto" w:sz="4" w:space="0"/>
              <w:bottom w:val="single" w:color="auto" w:sz="4" w:space="0"/>
              <w:right w:val="single" w:color="auto" w:sz="4" w:space="0"/>
            </w:tcBorders>
            <w:vAlign w:val="center"/>
          </w:tcPr>
          <w:p>
            <w:pPr>
              <w:spacing w:line="300" w:lineRule="exact"/>
              <w:jc w:val="center"/>
              <w:rPr>
                <w:color w:val="auto"/>
                <w:szCs w:val="21"/>
                <w:highlight w:val="none"/>
                <w:lang w:val="fr-FR"/>
              </w:rPr>
            </w:pPr>
            <w:r>
              <w:rPr>
                <w:color w:val="auto"/>
                <w:szCs w:val="21"/>
                <w:highlight w:val="none"/>
                <w:lang w:val="fr-FR"/>
              </w:rPr>
              <w:t>30</w:t>
            </w:r>
          </w:p>
        </w:tc>
        <w:tc>
          <w:tcPr>
            <w:tcW w:w="1221" w:type="dxa"/>
            <w:vMerge w:val="restart"/>
            <w:tcBorders>
              <w:left w:val="single" w:color="auto" w:sz="4" w:space="0"/>
            </w:tcBorders>
            <w:vAlign w:val="center"/>
          </w:tcPr>
          <w:p>
            <w:pPr>
              <w:spacing w:line="300" w:lineRule="exact"/>
              <w:jc w:val="center"/>
              <w:rPr>
                <w:color w:val="auto"/>
                <w:szCs w:val="21"/>
                <w:highlight w:val="none"/>
                <w:lang w:val="fr-FR"/>
              </w:rPr>
            </w:pPr>
            <w:r>
              <w:rPr>
                <w:color w:val="auto"/>
                <w:szCs w:val="21"/>
                <w:highlight w:val="none"/>
                <w:lang w:val="fr-FR"/>
              </w:rPr>
              <w:t>68.1</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70" w:hRule="atLeast"/>
          <w:jc w:val="center"/>
        </w:trPr>
        <w:tc>
          <w:tcPr>
            <w:tcW w:w="518" w:type="dxa"/>
            <w:vAlign w:val="center"/>
          </w:tcPr>
          <w:p>
            <w:pPr>
              <w:spacing w:line="300" w:lineRule="exact"/>
              <w:jc w:val="center"/>
              <w:rPr>
                <w:color w:val="auto"/>
                <w:szCs w:val="21"/>
                <w:highlight w:val="none"/>
                <w:lang w:val="fr-FR"/>
              </w:rPr>
            </w:pPr>
            <w:r>
              <w:rPr>
                <w:color w:val="auto"/>
                <w:szCs w:val="21"/>
                <w:highlight w:val="none"/>
                <w:lang w:val="fr-FR"/>
              </w:rPr>
              <w:t>2</w:t>
            </w:r>
          </w:p>
        </w:tc>
        <w:tc>
          <w:tcPr>
            <w:tcW w:w="1088" w:type="dxa"/>
            <w:vAlign w:val="center"/>
          </w:tcPr>
          <w:p>
            <w:pPr>
              <w:pStyle w:val="33"/>
              <w:spacing w:after="0" w:line="300" w:lineRule="exact"/>
              <w:ind w:left="0" w:leftChars="0"/>
              <w:jc w:val="center"/>
              <w:rPr>
                <w:color w:val="auto"/>
                <w:highlight w:val="none"/>
              </w:rPr>
            </w:pPr>
            <w:r>
              <w:rPr>
                <w:color w:val="auto"/>
                <w:highlight w:val="none"/>
              </w:rPr>
              <w:t>发电机</w:t>
            </w:r>
          </w:p>
        </w:tc>
        <w:tc>
          <w:tcPr>
            <w:tcW w:w="829" w:type="dxa"/>
            <w:vAlign w:val="center"/>
          </w:tcPr>
          <w:p>
            <w:pPr>
              <w:spacing w:line="300" w:lineRule="exact"/>
              <w:jc w:val="center"/>
              <w:rPr>
                <w:color w:val="auto"/>
                <w:szCs w:val="21"/>
                <w:highlight w:val="none"/>
                <w:lang w:val="fr-FR"/>
              </w:rPr>
            </w:pPr>
            <w:r>
              <w:rPr>
                <w:rFonts w:hint="eastAsia"/>
                <w:color w:val="auto"/>
                <w:szCs w:val="21"/>
                <w:highlight w:val="none"/>
                <w:lang w:val="en-US" w:eastAsia="zh-CN"/>
              </w:rPr>
              <w:t>1</w:t>
            </w:r>
            <w:r>
              <w:rPr>
                <w:color w:val="auto"/>
                <w:szCs w:val="21"/>
                <w:highlight w:val="none"/>
                <w:lang w:val="fr-FR"/>
              </w:rPr>
              <w:t>台</w:t>
            </w:r>
          </w:p>
        </w:tc>
        <w:tc>
          <w:tcPr>
            <w:tcW w:w="723" w:type="dxa"/>
            <w:vAlign w:val="center"/>
          </w:tcPr>
          <w:p>
            <w:pPr>
              <w:spacing w:line="300" w:lineRule="exact"/>
              <w:jc w:val="center"/>
              <w:rPr>
                <w:color w:val="auto"/>
                <w:szCs w:val="21"/>
                <w:highlight w:val="none"/>
                <w:lang w:val="fr-FR"/>
              </w:rPr>
            </w:pPr>
            <w:r>
              <w:rPr>
                <w:color w:val="auto"/>
                <w:szCs w:val="21"/>
                <w:highlight w:val="none"/>
                <w:lang w:val="fr-FR"/>
              </w:rPr>
              <w:t>连续</w:t>
            </w:r>
          </w:p>
        </w:tc>
        <w:tc>
          <w:tcPr>
            <w:tcW w:w="1125" w:type="dxa"/>
            <w:tcBorders>
              <w:bottom w:val="single" w:color="auto" w:sz="4" w:space="0"/>
            </w:tcBorders>
            <w:vAlign w:val="center"/>
          </w:tcPr>
          <w:p>
            <w:pPr>
              <w:spacing w:line="300" w:lineRule="exact"/>
              <w:jc w:val="center"/>
              <w:rPr>
                <w:color w:val="auto"/>
                <w:szCs w:val="21"/>
                <w:highlight w:val="none"/>
                <w:lang w:val="fr-FR"/>
              </w:rPr>
            </w:pPr>
            <w:r>
              <w:rPr>
                <w:color w:val="auto"/>
                <w:szCs w:val="21"/>
                <w:highlight w:val="none"/>
                <w:lang w:val="fr-FR"/>
              </w:rPr>
              <w:t>80</w:t>
            </w:r>
          </w:p>
        </w:tc>
        <w:tc>
          <w:tcPr>
            <w:tcW w:w="1662" w:type="dxa"/>
            <w:vMerge w:val="continue"/>
            <w:tcBorders>
              <w:right w:val="single" w:color="auto" w:sz="4" w:space="0"/>
            </w:tcBorders>
            <w:vAlign w:val="center"/>
          </w:tcPr>
          <w:p>
            <w:pPr>
              <w:spacing w:line="300" w:lineRule="exact"/>
              <w:jc w:val="left"/>
              <w:rPr>
                <w:color w:val="auto"/>
                <w:szCs w:val="21"/>
                <w:highlight w:val="none"/>
              </w:rPr>
            </w:pPr>
          </w:p>
        </w:tc>
        <w:tc>
          <w:tcPr>
            <w:tcW w:w="1125" w:type="dxa"/>
            <w:tcBorders>
              <w:top w:val="single" w:color="auto" w:sz="4" w:space="0"/>
              <w:left w:val="single" w:color="auto" w:sz="4" w:space="0"/>
              <w:bottom w:val="single" w:color="auto" w:sz="4" w:space="0"/>
              <w:right w:val="single" w:color="auto" w:sz="4" w:space="0"/>
            </w:tcBorders>
            <w:vAlign w:val="center"/>
          </w:tcPr>
          <w:p>
            <w:pPr>
              <w:spacing w:line="300" w:lineRule="exact"/>
              <w:jc w:val="center"/>
              <w:rPr>
                <w:color w:val="auto"/>
                <w:szCs w:val="21"/>
                <w:highlight w:val="none"/>
              </w:rPr>
            </w:pPr>
            <w:r>
              <w:rPr>
                <w:color w:val="auto"/>
                <w:szCs w:val="21"/>
                <w:highlight w:val="none"/>
              </w:rPr>
              <w:t>30</w:t>
            </w:r>
          </w:p>
        </w:tc>
        <w:tc>
          <w:tcPr>
            <w:tcW w:w="1221" w:type="dxa"/>
            <w:vMerge w:val="continue"/>
            <w:tcBorders>
              <w:left w:val="single" w:color="auto" w:sz="4" w:space="0"/>
            </w:tcBorders>
            <w:vAlign w:val="center"/>
          </w:tcPr>
          <w:p>
            <w:pPr>
              <w:spacing w:line="300" w:lineRule="exact"/>
              <w:jc w:val="center"/>
              <w:rPr>
                <w:color w:val="auto"/>
                <w:szCs w:val="21"/>
                <w:highlight w:val="none"/>
              </w:rPr>
            </w:pPr>
          </w:p>
        </w:tc>
      </w:tr>
    </w:tbl>
    <w:p>
      <w:pPr>
        <w:spacing w:line="480" w:lineRule="exact"/>
        <w:jc w:val="center"/>
        <w:rPr>
          <w:b/>
          <w:bCs/>
          <w:color w:val="auto"/>
          <w:sz w:val="24"/>
          <w:highlight w:val="none"/>
        </w:rPr>
      </w:pPr>
      <w:r>
        <w:rPr>
          <w:rFonts w:hint="eastAsia"/>
          <w:b/>
          <w:bCs/>
          <w:color w:val="auto"/>
          <w:sz w:val="24"/>
          <w:highlight w:val="none"/>
        </w:rPr>
        <w:t>表3.2-2</w:t>
      </w:r>
      <w:r>
        <w:rPr>
          <w:b/>
          <w:bCs/>
          <w:color w:val="auto"/>
          <w:sz w:val="24"/>
          <w:highlight w:val="none"/>
        </w:rPr>
        <w:t xml:space="preserve">  发电厂房与厂界距离及</w:t>
      </w:r>
      <w:r>
        <w:rPr>
          <w:rFonts w:hint="eastAsia"/>
          <w:b/>
          <w:bCs/>
          <w:color w:val="auto"/>
          <w:sz w:val="24"/>
          <w:highlight w:val="none"/>
          <w:lang w:eastAsia="zh-CN"/>
        </w:rPr>
        <w:t>监测</w:t>
      </w:r>
      <w:r>
        <w:rPr>
          <w:b/>
          <w:bCs/>
          <w:color w:val="auto"/>
          <w:sz w:val="24"/>
          <w:highlight w:val="none"/>
        </w:rPr>
        <w:t>值</w:t>
      </w:r>
    </w:p>
    <w:tbl>
      <w:tblPr>
        <w:tblStyle w:val="51"/>
        <w:tblW w:w="8221"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907"/>
        <w:gridCol w:w="780"/>
        <w:gridCol w:w="690"/>
        <w:gridCol w:w="720"/>
        <w:gridCol w:w="735"/>
        <w:gridCol w:w="675"/>
        <w:gridCol w:w="705"/>
        <w:gridCol w:w="645"/>
        <w:gridCol w:w="6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spacing w:line="300" w:lineRule="exact"/>
              <w:jc w:val="center"/>
              <w:rPr>
                <w:color w:val="auto"/>
                <w:szCs w:val="21"/>
                <w:highlight w:val="none"/>
              </w:rPr>
            </w:pPr>
            <w:r>
              <w:rPr>
                <w:color w:val="auto"/>
                <w:szCs w:val="21"/>
                <w:highlight w:val="none"/>
                <w:lang w:val="fr-FR"/>
              </w:rPr>
              <w:t>序号</w:t>
            </w:r>
          </w:p>
        </w:tc>
        <w:tc>
          <w:tcPr>
            <w:tcW w:w="1907" w:type="dxa"/>
            <w:vAlign w:val="center"/>
          </w:tcPr>
          <w:p>
            <w:pPr>
              <w:spacing w:line="300" w:lineRule="exact"/>
              <w:jc w:val="center"/>
              <w:rPr>
                <w:color w:val="auto"/>
                <w:szCs w:val="21"/>
                <w:highlight w:val="none"/>
              </w:rPr>
            </w:pPr>
            <w:r>
              <w:rPr>
                <w:color w:val="auto"/>
                <w:szCs w:val="21"/>
                <w:highlight w:val="none"/>
              </w:rPr>
              <w:t>项目</w:t>
            </w:r>
          </w:p>
        </w:tc>
        <w:tc>
          <w:tcPr>
            <w:tcW w:w="1470" w:type="dxa"/>
            <w:gridSpan w:val="2"/>
            <w:vAlign w:val="center"/>
          </w:tcPr>
          <w:p>
            <w:pPr>
              <w:pStyle w:val="7"/>
              <w:ind w:firstLine="0"/>
              <w:jc w:val="center"/>
              <w:rPr>
                <w:color w:val="auto"/>
                <w:szCs w:val="21"/>
                <w:highlight w:val="none"/>
              </w:rPr>
            </w:pPr>
            <w:r>
              <w:rPr>
                <w:color w:val="auto"/>
                <w:szCs w:val="21"/>
                <w:highlight w:val="none"/>
              </w:rPr>
              <w:t>东厂界</w:t>
            </w:r>
          </w:p>
        </w:tc>
        <w:tc>
          <w:tcPr>
            <w:tcW w:w="1455" w:type="dxa"/>
            <w:gridSpan w:val="2"/>
            <w:vAlign w:val="center"/>
          </w:tcPr>
          <w:p>
            <w:pPr>
              <w:pStyle w:val="7"/>
              <w:ind w:firstLine="0"/>
              <w:jc w:val="center"/>
              <w:rPr>
                <w:color w:val="auto"/>
                <w:szCs w:val="21"/>
                <w:highlight w:val="none"/>
              </w:rPr>
            </w:pPr>
            <w:r>
              <w:rPr>
                <w:color w:val="auto"/>
                <w:szCs w:val="21"/>
                <w:highlight w:val="none"/>
              </w:rPr>
              <w:t>南厂界</w:t>
            </w:r>
          </w:p>
        </w:tc>
        <w:tc>
          <w:tcPr>
            <w:tcW w:w="1380" w:type="dxa"/>
            <w:gridSpan w:val="2"/>
            <w:vAlign w:val="center"/>
          </w:tcPr>
          <w:p>
            <w:pPr>
              <w:pStyle w:val="7"/>
              <w:ind w:firstLine="0"/>
              <w:jc w:val="center"/>
              <w:rPr>
                <w:color w:val="auto"/>
                <w:szCs w:val="21"/>
                <w:highlight w:val="none"/>
              </w:rPr>
            </w:pPr>
            <w:r>
              <w:rPr>
                <w:color w:val="auto"/>
                <w:szCs w:val="21"/>
                <w:highlight w:val="none"/>
              </w:rPr>
              <w:t>西厂界</w:t>
            </w:r>
          </w:p>
        </w:tc>
        <w:tc>
          <w:tcPr>
            <w:tcW w:w="1300" w:type="dxa"/>
            <w:gridSpan w:val="2"/>
            <w:vAlign w:val="center"/>
          </w:tcPr>
          <w:p>
            <w:pPr>
              <w:pStyle w:val="7"/>
              <w:ind w:firstLine="0"/>
              <w:jc w:val="center"/>
              <w:rPr>
                <w:color w:val="auto"/>
                <w:szCs w:val="21"/>
                <w:highlight w:val="none"/>
              </w:rPr>
            </w:pPr>
            <w:r>
              <w:rPr>
                <w:color w:val="auto"/>
                <w:szCs w:val="21"/>
                <w:highlight w:val="none"/>
              </w:rPr>
              <w:t>北厂界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spacing w:line="300" w:lineRule="exact"/>
              <w:jc w:val="center"/>
              <w:rPr>
                <w:color w:val="auto"/>
                <w:szCs w:val="21"/>
                <w:highlight w:val="none"/>
              </w:rPr>
            </w:pPr>
            <w:r>
              <w:rPr>
                <w:color w:val="auto"/>
                <w:szCs w:val="21"/>
                <w:highlight w:val="none"/>
                <w:lang w:val="fr-FR"/>
              </w:rPr>
              <w:t>1</w:t>
            </w:r>
          </w:p>
        </w:tc>
        <w:tc>
          <w:tcPr>
            <w:tcW w:w="1907" w:type="dxa"/>
            <w:vAlign w:val="center"/>
          </w:tcPr>
          <w:p>
            <w:pPr>
              <w:pStyle w:val="33"/>
              <w:spacing w:after="0" w:line="280" w:lineRule="exact"/>
              <w:ind w:left="0" w:leftChars="0"/>
              <w:jc w:val="center"/>
              <w:rPr>
                <w:color w:val="auto"/>
                <w:szCs w:val="21"/>
                <w:highlight w:val="none"/>
              </w:rPr>
            </w:pPr>
            <w:r>
              <w:rPr>
                <w:color w:val="auto"/>
                <w:szCs w:val="21"/>
                <w:highlight w:val="none"/>
              </w:rPr>
              <w:t>距离（m）</w:t>
            </w:r>
          </w:p>
        </w:tc>
        <w:tc>
          <w:tcPr>
            <w:tcW w:w="1470" w:type="dxa"/>
            <w:gridSpan w:val="2"/>
            <w:vAlign w:val="center"/>
          </w:tcPr>
          <w:p>
            <w:pPr>
              <w:pStyle w:val="7"/>
              <w:ind w:firstLine="0"/>
              <w:jc w:val="center"/>
              <w:rPr>
                <w:rFonts w:hint="default" w:eastAsia="宋体"/>
                <w:color w:val="auto"/>
                <w:szCs w:val="21"/>
                <w:highlight w:val="none"/>
                <w:lang w:val="en-US" w:eastAsia="zh-CN"/>
              </w:rPr>
            </w:pPr>
            <w:r>
              <w:rPr>
                <w:rFonts w:hint="eastAsia"/>
                <w:color w:val="auto"/>
                <w:szCs w:val="21"/>
                <w:highlight w:val="none"/>
                <w:lang w:val="en-US" w:eastAsia="zh-CN"/>
              </w:rPr>
              <w:t>28</w:t>
            </w:r>
          </w:p>
        </w:tc>
        <w:tc>
          <w:tcPr>
            <w:tcW w:w="1455" w:type="dxa"/>
            <w:gridSpan w:val="2"/>
            <w:vAlign w:val="center"/>
          </w:tcPr>
          <w:p>
            <w:pPr>
              <w:pStyle w:val="7"/>
              <w:ind w:firstLine="0"/>
              <w:jc w:val="center"/>
              <w:rPr>
                <w:rFonts w:hint="eastAsia" w:eastAsia="宋体"/>
                <w:color w:val="auto"/>
                <w:szCs w:val="21"/>
                <w:highlight w:val="none"/>
                <w:lang w:eastAsia="zh-CN"/>
              </w:rPr>
            </w:pPr>
            <w:r>
              <w:rPr>
                <w:rFonts w:hint="eastAsia"/>
                <w:color w:val="auto"/>
                <w:szCs w:val="21"/>
                <w:highlight w:val="none"/>
                <w:lang w:val="en-US" w:eastAsia="zh-CN"/>
              </w:rPr>
              <w:t>9</w:t>
            </w:r>
          </w:p>
        </w:tc>
        <w:tc>
          <w:tcPr>
            <w:tcW w:w="1380" w:type="dxa"/>
            <w:gridSpan w:val="2"/>
            <w:vAlign w:val="center"/>
          </w:tcPr>
          <w:p>
            <w:pPr>
              <w:pStyle w:val="7"/>
              <w:ind w:firstLine="0"/>
              <w:jc w:val="center"/>
              <w:rPr>
                <w:rFonts w:hint="default" w:eastAsia="宋体"/>
                <w:color w:val="auto"/>
                <w:szCs w:val="21"/>
                <w:highlight w:val="none"/>
                <w:lang w:val="en-US" w:eastAsia="zh-CN"/>
              </w:rPr>
            </w:pPr>
            <w:r>
              <w:rPr>
                <w:rFonts w:hint="eastAsia"/>
                <w:color w:val="auto"/>
                <w:szCs w:val="21"/>
                <w:highlight w:val="none"/>
                <w:lang w:val="en-US" w:eastAsia="zh-CN"/>
              </w:rPr>
              <w:t>25</w:t>
            </w:r>
          </w:p>
        </w:tc>
        <w:tc>
          <w:tcPr>
            <w:tcW w:w="1300" w:type="dxa"/>
            <w:gridSpan w:val="2"/>
            <w:vAlign w:val="center"/>
          </w:tcPr>
          <w:p>
            <w:pPr>
              <w:pStyle w:val="7"/>
              <w:ind w:firstLine="0"/>
              <w:jc w:val="center"/>
              <w:rPr>
                <w:rFonts w:hint="default" w:eastAsia="宋体"/>
                <w:color w:val="auto"/>
                <w:szCs w:val="21"/>
                <w:highlight w:val="none"/>
                <w:lang w:val="en-US" w:eastAsia="zh-CN"/>
              </w:rPr>
            </w:pPr>
            <w:r>
              <w:rPr>
                <w:rFonts w:hint="eastAsia"/>
                <w:color w:val="auto"/>
                <w:szCs w:val="21"/>
                <w:highlight w:val="none"/>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restart"/>
            <w:vAlign w:val="center"/>
          </w:tcPr>
          <w:p>
            <w:pPr>
              <w:spacing w:line="300" w:lineRule="exact"/>
              <w:jc w:val="center"/>
              <w:rPr>
                <w:color w:val="auto"/>
                <w:szCs w:val="21"/>
                <w:highlight w:val="none"/>
              </w:rPr>
            </w:pPr>
            <w:r>
              <w:rPr>
                <w:color w:val="auto"/>
                <w:szCs w:val="21"/>
                <w:highlight w:val="none"/>
                <w:lang w:val="fr-FR"/>
              </w:rPr>
              <w:t>2</w:t>
            </w:r>
          </w:p>
        </w:tc>
        <w:tc>
          <w:tcPr>
            <w:tcW w:w="1907" w:type="dxa"/>
            <w:vMerge w:val="restart"/>
            <w:vAlign w:val="center"/>
          </w:tcPr>
          <w:p>
            <w:pPr>
              <w:pStyle w:val="33"/>
              <w:spacing w:after="0" w:line="280" w:lineRule="exact"/>
              <w:ind w:left="0" w:leftChars="0"/>
              <w:jc w:val="center"/>
              <w:rPr>
                <w:color w:val="auto"/>
                <w:szCs w:val="21"/>
                <w:highlight w:val="none"/>
              </w:rPr>
            </w:pPr>
            <w:r>
              <w:rPr>
                <w:rFonts w:hint="eastAsia"/>
                <w:color w:val="auto"/>
                <w:szCs w:val="21"/>
                <w:highlight w:val="none"/>
                <w:lang w:eastAsia="zh-CN"/>
              </w:rPr>
              <w:t>厂界</w:t>
            </w:r>
            <w:r>
              <w:rPr>
                <w:color w:val="auto"/>
                <w:szCs w:val="21"/>
                <w:highlight w:val="none"/>
              </w:rPr>
              <w:t>噪声值dB(A)</w:t>
            </w:r>
          </w:p>
        </w:tc>
        <w:tc>
          <w:tcPr>
            <w:tcW w:w="780" w:type="dxa"/>
            <w:vAlign w:val="center"/>
          </w:tcPr>
          <w:p>
            <w:pPr>
              <w:pStyle w:val="7"/>
              <w:ind w:firstLine="0"/>
              <w:jc w:val="center"/>
              <w:rPr>
                <w:rFonts w:hint="eastAsia" w:eastAsia="宋体"/>
                <w:color w:val="auto"/>
                <w:szCs w:val="21"/>
                <w:highlight w:val="none"/>
                <w:lang w:eastAsia="zh-CN"/>
              </w:rPr>
            </w:pPr>
            <w:r>
              <w:rPr>
                <w:rFonts w:hint="eastAsia"/>
                <w:color w:val="auto"/>
                <w:szCs w:val="21"/>
                <w:highlight w:val="none"/>
                <w:lang w:eastAsia="zh-CN"/>
              </w:rPr>
              <w:t>昼间</w:t>
            </w:r>
          </w:p>
        </w:tc>
        <w:tc>
          <w:tcPr>
            <w:tcW w:w="690" w:type="dxa"/>
            <w:vAlign w:val="center"/>
          </w:tcPr>
          <w:p>
            <w:pPr>
              <w:pStyle w:val="7"/>
              <w:ind w:firstLine="0"/>
              <w:jc w:val="center"/>
              <w:rPr>
                <w:rFonts w:hint="eastAsia" w:eastAsia="宋体"/>
                <w:color w:val="auto"/>
                <w:szCs w:val="21"/>
                <w:highlight w:val="none"/>
                <w:lang w:eastAsia="zh-CN"/>
              </w:rPr>
            </w:pPr>
            <w:r>
              <w:rPr>
                <w:rFonts w:hint="eastAsia"/>
                <w:color w:val="auto"/>
                <w:szCs w:val="21"/>
                <w:highlight w:val="none"/>
                <w:lang w:eastAsia="zh-CN"/>
              </w:rPr>
              <w:t>夜间</w:t>
            </w:r>
          </w:p>
        </w:tc>
        <w:tc>
          <w:tcPr>
            <w:tcW w:w="720" w:type="dxa"/>
            <w:vAlign w:val="center"/>
          </w:tcPr>
          <w:p>
            <w:pPr>
              <w:pStyle w:val="7"/>
              <w:ind w:firstLine="0" w:firstLineChars="0"/>
              <w:jc w:val="center"/>
              <w:rPr>
                <w:color w:val="auto"/>
                <w:szCs w:val="21"/>
                <w:highlight w:val="none"/>
              </w:rPr>
            </w:pPr>
            <w:r>
              <w:rPr>
                <w:rFonts w:hint="eastAsia"/>
                <w:color w:val="auto"/>
                <w:szCs w:val="21"/>
                <w:highlight w:val="none"/>
                <w:lang w:eastAsia="zh-CN"/>
              </w:rPr>
              <w:t>昼间</w:t>
            </w:r>
          </w:p>
        </w:tc>
        <w:tc>
          <w:tcPr>
            <w:tcW w:w="735" w:type="dxa"/>
            <w:vAlign w:val="center"/>
          </w:tcPr>
          <w:p>
            <w:pPr>
              <w:pStyle w:val="7"/>
              <w:ind w:firstLine="0" w:firstLineChars="0"/>
              <w:jc w:val="center"/>
              <w:rPr>
                <w:color w:val="auto"/>
                <w:szCs w:val="21"/>
                <w:highlight w:val="none"/>
              </w:rPr>
            </w:pPr>
            <w:r>
              <w:rPr>
                <w:rFonts w:hint="eastAsia"/>
                <w:color w:val="auto"/>
                <w:szCs w:val="21"/>
                <w:highlight w:val="none"/>
                <w:lang w:eastAsia="zh-CN"/>
              </w:rPr>
              <w:t>夜间</w:t>
            </w:r>
          </w:p>
        </w:tc>
        <w:tc>
          <w:tcPr>
            <w:tcW w:w="675" w:type="dxa"/>
            <w:vAlign w:val="center"/>
          </w:tcPr>
          <w:p>
            <w:pPr>
              <w:pStyle w:val="7"/>
              <w:ind w:firstLine="0" w:firstLineChars="0"/>
              <w:jc w:val="center"/>
              <w:rPr>
                <w:color w:val="auto"/>
                <w:szCs w:val="21"/>
                <w:highlight w:val="none"/>
              </w:rPr>
            </w:pPr>
            <w:r>
              <w:rPr>
                <w:rFonts w:hint="eastAsia"/>
                <w:color w:val="auto"/>
                <w:szCs w:val="21"/>
                <w:highlight w:val="none"/>
                <w:lang w:eastAsia="zh-CN"/>
              </w:rPr>
              <w:t>昼间</w:t>
            </w:r>
          </w:p>
        </w:tc>
        <w:tc>
          <w:tcPr>
            <w:tcW w:w="705" w:type="dxa"/>
            <w:vAlign w:val="center"/>
          </w:tcPr>
          <w:p>
            <w:pPr>
              <w:pStyle w:val="7"/>
              <w:ind w:firstLine="0" w:firstLineChars="0"/>
              <w:jc w:val="center"/>
              <w:rPr>
                <w:color w:val="auto"/>
                <w:szCs w:val="21"/>
                <w:highlight w:val="none"/>
              </w:rPr>
            </w:pPr>
            <w:r>
              <w:rPr>
                <w:rFonts w:hint="eastAsia"/>
                <w:color w:val="auto"/>
                <w:szCs w:val="21"/>
                <w:highlight w:val="none"/>
                <w:lang w:eastAsia="zh-CN"/>
              </w:rPr>
              <w:t>夜间</w:t>
            </w:r>
          </w:p>
        </w:tc>
        <w:tc>
          <w:tcPr>
            <w:tcW w:w="645" w:type="dxa"/>
            <w:vAlign w:val="center"/>
          </w:tcPr>
          <w:p>
            <w:pPr>
              <w:pStyle w:val="7"/>
              <w:ind w:firstLine="0" w:firstLineChars="0"/>
              <w:jc w:val="center"/>
              <w:rPr>
                <w:color w:val="auto"/>
                <w:szCs w:val="21"/>
                <w:highlight w:val="none"/>
              </w:rPr>
            </w:pPr>
            <w:r>
              <w:rPr>
                <w:rFonts w:hint="eastAsia"/>
                <w:color w:val="auto"/>
                <w:szCs w:val="21"/>
                <w:highlight w:val="none"/>
                <w:lang w:eastAsia="zh-CN"/>
              </w:rPr>
              <w:t>昼间</w:t>
            </w:r>
          </w:p>
        </w:tc>
        <w:tc>
          <w:tcPr>
            <w:tcW w:w="655" w:type="dxa"/>
            <w:vAlign w:val="center"/>
          </w:tcPr>
          <w:p>
            <w:pPr>
              <w:pStyle w:val="7"/>
              <w:ind w:firstLine="0" w:firstLineChars="0"/>
              <w:jc w:val="center"/>
              <w:rPr>
                <w:color w:val="auto"/>
                <w:szCs w:val="21"/>
                <w:highlight w:val="none"/>
              </w:rPr>
            </w:pPr>
            <w:r>
              <w:rPr>
                <w:rFonts w:hint="eastAsia"/>
                <w:color w:val="auto"/>
                <w:szCs w:val="21"/>
                <w:highlight w:val="none"/>
                <w:lang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vAlign w:val="center"/>
          </w:tcPr>
          <w:p>
            <w:pPr>
              <w:spacing w:line="300" w:lineRule="exact"/>
              <w:jc w:val="center"/>
              <w:rPr>
                <w:color w:val="auto"/>
                <w:szCs w:val="21"/>
                <w:highlight w:val="none"/>
                <w:lang w:val="fr-FR"/>
              </w:rPr>
            </w:pPr>
          </w:p>
        </w:tc>
        <w:tc>
          <w:tcPr>
            <w:tcW w:w="1907" w:type="dxa"/>
            <w:vMerge w:val="continue"/>
            <w:vAlign w:val="center"/>
          </w:tcPr>
          <w:p>
            <w:pPr>
              <w:pStyle w:val="33"/>
              <w:spacing w:after="0" w:line="280" w:lineRule="exact"/>
              <w:ind w:left="0" w:leftChars="0"/>
              <w:jc w:val="center"/>
              <w:rPr>
                <w:rFonts w:hint="eastAsia"/>
                <w:color w:val="auto"/>
                <w:szCs w:val="21"/>
                <w:highlight w:val="none"/>
                <w:lang w:eastAsia="zh-CN"/>
              </w:rPr>
            </w:pPr>
          </w:p>
        </w:tc>
        <w:tc>
          <w:tcPr>
            <w:tcW w:w="780" w:type="dxa"/>
            <w:vAlign w:val="center"/>
          </w:tcPr>
          <w:p>
            <w:pPr>
              <w:pStyle w:val="7"/>
              <w:ind w:firstLine="0"/>
              <w:jc w:val="center"/>
              <w:rPr>
                <w:rFonts w:hint="default" w:eastAsia="宋体"/>
                <w:color w:val="auto"/>
                <w:szCs w:val="21"/>
                <w:highlight w:val="none"/>
                <w:lang w:val="en-US" w:eastAsia="zh-CN"/>
              </w:rPr>
            </w:pPr>
            <w:r>
              <w:rPr>
                <w:rFonts w:hint="eastAsia"/>
                <w:color w:val="auto"/>
                <w:szCs w:val="21"/>
                <w:highlight w:val="none"/>
                <w:lang w:val="en-US" w:eastAsia="zh-CN"/>
              </w:rPr>
              <w:t>54</w:t>
            </w:r>
          </w:p>
        </w:tc>
        <w:tc>
          <w:tcPr>
            <w:tcW w:w="690" w:type="dxa"/>
            <w:vAlign w:val="center"/>
          </w:tcPr>
          <w:p>
            <w:pPr>
              <w:pStyle w:val="7"/>
              <w:ind w:firstLine="0"/>
              <w:jc w:val="center"/>
              <w:rPr>
                <w:rFonts w:hint="default" w:eastAsia="宋体"/>
                <w:color w:val="auto"/>
                <w:szCs w:val="21"/>
                <w:highlight w:val="none"/>
                <w:lang w:val="en-US" w:eastAsia="zh-CN"/>
              </w:rPr>
            </w:pPr>
            <w:r>
              <w:rPr>
                <w:rFonts w:hint="eastAsia"/>
                <w:color w:val="auto"/>
                <w:szCs w:val="21"/>
                <w:highlight w:val="none"/>
                <w:lang w:val="en-US" w:eastAsia="zh-CN"/>
              </w:rPr>
              <w:t>43</w:t>
            </w:r>
          </w:p>
        </w:tc>
        <w:tc>
          <w:tcPr>
            <w:tcW w:w="720" w:type="dxa"/>
            <w:vAlign w:val="center"/>
          </w:tcPr>
          <w:p>
            <w:pPr>
              <w:pStyle w:val="7"/>
              <w:ind w:firstLine="0"/>
              <w:jc w:val="center"/>
              <w:rPr>
                <w:rFonts w:hint="default" w:eastAsia="宋体"/>
                <w:color w:val="auto"/>
                <w:szCs w:val="21"/>
                <w:highlight w:val="none"/>
                <w:lang w:val="en-US" w:eastAsia="zh-CN"/>
              </w:rPr>
            </w:pPr>
            <w:r>
              <w:rPr>
                <w:rFonts w:hint="eastAsia"/>
                <w:color w:val="auto"/>
                <w:szCs w:val="21"/>
                <w:highlight w:val="none"/>
                <w:lang w:val="en-US" w:eastAsia="zh-CN"/>
              </w:rPr>
              <w:t>53</w:t>
            </w:r>
          </w:p>
        </w:tc>
        <w:tc>
          <w:tcPr>
            <w:tcW w:w="735" w:type="dxa"/>
            <w:vAlign w:val="center"/>
          </w:tcPr>
          <w:p>
            <w:pPr>
              <w:pStyle w:val="7"/>
              <w:ind w:firstLine="0"/>
              <w:jc w:val="center"/>
              <w:rPr>
                <w:rFonts w:hint="default" w:eastAsia="宋体"/>
                <w:color w:val="auto"/>
                <w:szCs w:val="21"/>
                <w:highlight w:val="none"/>
                <w:lang w:val="en-US" w:eastAsia="zh-CN"/>
              </w:rPr>
            </w:pPr>
            <w:r>
              <w:rPr>
                <w:rFonts w:hint="eastAsia"/>
                <w:color w:val="auto"/>
                <w:szCs w:val="21"/>
                <w:highlight w:val="none"/>
                <w:lang w:val="en-US" w:eastAsia="zh-CN"/>
              </w:rPr>
              <w:t>44</w:t>
            </w:r>
          </w:p>
        </w:tc>
        <w:tc>
          <w:tcPr>
            <w:tcW w:w="675" w:type="dxa"/>
            <w:vAlign w:val="center"/>
          </w:tcPr>
          <w:p>
            <w:pPr>
              <w:pStyle w:val="7"/>
              <w:ind w:firstLine="0"/>
              <w:jc w:val="center"/>
              <w:rPr>
                <w:rFonts w:hint="default" w:eastAsia="宋体"/>
                <w:color w:val="auto"/>
                <w:szCs w:val="21"/>
                <w:highlight w:val="none"/>
                <w:lang w:val="en-US" w:eastAsia="zh-CN"/>
              </w:rPr>
            </w:pPr>
            <w:r>
              <w:rPr>
                <w:rFonts w:hint="eastAsia"/>
                <w:color w:val="auto"/>
                <w:szCs w:val="21"/>
                <w:highlight w:val="none"/>
                <w:lang w:val="en-US" w:eastAsia="zh-CN"/>
              </w:rPr>
              <w:t>54</w:t>
            </w:r>
          </w:p>
        </w:tc>
        <w:tc>
          <w:tcPr>
            <w:tcW w:w="705" w:type="dxa"/>
            <w:vAlign w:val="center"/>
          </w:tcPr>
          <w:p>
            <w:pPr>
              <w:pStyle w:val="7"/>
              <w:ind w:firstLine="0"/>
              <w:jc w:val="center"/>
              <w:rPr>
                <w:rFonts w:hint="default" w:eastAsia="宋体"/>
                <w:color w:val="auto"/>
                <w:szCs w:val="21"/>
                <w:highlight w:val="none"/>
                <w:lang w:val="en-US" w:eastAsia="zh-CN"/>
              </w:rPr>
            </w:pPr>
            <w:r>
              <w:rPr>
                <w:rFonts w:hint="eastAsia"/>
                <w:color w:val="auto"/>
                <w:szCs w:val="21"/>
                <w:highlight w:val="none"/>
                <w:lang w:val="en-US" w:eastAsia="zh-CN"/>
              </w:rPr>
              <w:t>44</w:t>
            </w:r>
          </w:p>
        </w:tc>
        <w:tc>
          <w:tcPr>
            <w:tcW w:w="645" w:type="dxa"/>
            <w:vAlign w:val="center"/>
          </w:tcPr>
          <w:p>
            <w:pPr>
              <w:pStyle w:val="7"/>
              <w:ind w:firstLine="0"/>
              <w:jc w:val="center"/>
              <w:rPr>
                <w:rFonts w:hint="default" w:eastAsia="宋体"/>
                <w:color w:val="auto"/>
                <w:szCs w:val="21"/>
                <w:highlight w:val="none"/>
                <w:lang w:val="en-US" w:eastAsia="zh-CN"/>
              </w:rPr>
            </w:pPr>
            <w:r>
              <w:rPr>
                <w:rFonts w:hint="eastAsia"/>
                <w:color w:val="auto"/>
                <w:szCs w:val="21"/>
                <w:highlight w:val="none"/>
                <w:lang w:val="en-US" w:eastAsia="zh-CN"/>
              </w:rPr>
              <w:t>53</w:t>
            </w:r>
          </w:p>
        </w:tc>
        <w:tc>
          <w:tcPr>
            <w:tcW w:w="655" w:type="dxa"/>
            <w:vAlign w:val="center"/>
          </w:tcPr>
          <w:p>
            <w:pPr>
              <w:pStyle w:val="7"/>
              <w:ind w:firstLine="0"/>
              <w:jc w:val="center"/>
              <w:rPr>
                <w:rFonts w:hint="default" w:eastAsia="宋体"/>
                <w:color w:val="auto"/>
                <w:szCs w:val="21"/>
                <w:highlight w:val="none"/>
                <w:lang w:val="en-US" w:eastAsia="zh-CN"/>
              </w:rPr>
            </w:pPr>
            <w:r>
              <w:rPr>
                <w:rFonts w:hint="eastAsia"/>
                <w:color w:val="auto"/>
                <w:szCs w:val="21"/>
                <w:highlight w:val="none"/>
                <w:lang w:val="en-US" w:eastAsia="zh-CN"/>
              </w:rPr>
              <w:t>44</w:t>
            </w:r>
          </w:p>
        </w:tc>
      </w:tr>
    </w:tbl>
    <w:p>
      <w:pPr>
        <w:adjustRightInd w:val="0"/>
        <w:spacing w:line="480" w:lineRule="exact"/>
        <w:ind w:firstLine="480" w:firstLineChars="200"/>
        <w:jc w:val="left"/>
        <w:rPr>
          <w:rFonts w:hint="default" w:eastAsia="宋体"/>
          <w:b/>
          <w:color w:val="auto"/>
          <w:kern w:val="0"/>
          <w:sz w:val="24"/>
          <w:highlight w:val="none"/>
          <w:lang w:val="en-US" w:eastAsia="zh-CN"/>
        </w:rPr>
      </w:pPr>
      <w:r>
        <w:rPr>
          <w:color w:val="auto"/>
          <w:sz w:val="24"/>
          <w:highlight w:val="none"/>
          <w:lang w:val="zh-CN"/>
        </w:rPr>
        <w:t>经采取上措施和距离衰减后，厂界噪声满足《工业企业厂界环境噪声排放标准》(GB12348-2008)2类标准要求。昼间和夜间厂界处均可达标</w:t>
      </w:r>
      <w:r>
        <w:rPr>
          <w:rFonts w:hint="eastAsia"/>
          <w:color w:val="auto"/>
          <w:sz w:val="24"/>
          <w:highlight w:val="none"/>
          <w:lang w:val="zh-CN"/>
        </w:rPr>
        <w:t>。见附件</w:t>
      </w:r>
      <w:r>
        <w:rPr>
          <w:rFonts w:hint="eastAsia"/>
          <w:color w:val="auto"/>
          <w:sz w:val="24"/>
          <w:highlight w:val="none"/>
          <w:lang w:val="en-US" w:eastAsia="zh-CN"/>
        </w:rPr>
        <w:t>17。</w:t>
      </w:r>
    </w:p>
    <w:p>
      <w:pPr>
        <w:shd w:val="clear" w:color="auto" w:fill="FFFFFF"/>
        <w:autoSpaceDE w:val="0"/>
        <w:autoSpaceDN w:val="0"/>
        <w:adjustRightInd w:val="0"/>
        <w:spacing w:line="480" w:lineRule="exact"/>
        <w:ind w:firstLine="482"/>
        <w:rPr>
          <w:rFonts w:hint="default" w:eastAsia="宋体"/>
          <w:color w:val="auto"/>
          <w:kern w:val="0"/>
          <w:sz w:val="24"/>
          <w:highlight w:val="none"/>
          <w:lang w:val="en-US" w:eastAsia="zh-CN"/>
        </w:rPr>
      </w:pPr>
      <w:r>
        <w:rPr>
          <w:rFonts w:hint="eastAsia"/>
          <w:color w:val="auto"/>
          <w:kern w:val="0"/>
          <w:sz w:val="24"/>
          <w:highlight w:val="none"/>
          <w:lang w:eastAsia="zh-CN"/>
        </w:rPr>
        <w:t>电站周围</w:t>
      </w:r>
      <w:r>
        <w:rPr>
          <w:rFonts w:hint="eastAsia"/>
          <w:color w:val="auto"/>
          <w:kern w:val="0"/>
          <w:sz w:val="24"/>
          <w:highlight w:val="none"/>
          <w:lang w:val="en-US" w:eastAsia="zh-CN"/>
        </w:rPr>
        <w:t>50m范围内没有声环境敏感目标，电站运行噪声不会对外界产生影响。</w:t>
      </w:r>
    </w:p>
    <w:p>
      <w:pPr>
        <w:shd w:val="clear" w:color="auto" w:fill="FFFFFF"/>
        <w:autoSpaceDE w:val="0"/>
        <w:autoSpaceDN w:val="0"/>
        <w:adjustRightInd w:val="0"/>
        <w:spacing w:line="480" w:lineRule="exact"/>
        <w:ind w:firstLine="482"/>
        <w:rPr>
          <w:kern w:val="0"/>
          <w:sz w:val="24"/>
          <w:highlight w:val="none"/>
        </w:rPr>
      </w:pPr>
      <w:r>
        <w:rPr>
          <w:rFonts w:hint="eastAsia"/>
          <w:kern w:val="0"/>
          <w:sz w:val="24"/>
          <w:highlight w:val="none"/>
        </w:rPr>
        <w:t>（4）一般固废</w:t>
      </w:r>
    </w:p>
    <w:p>
      <w:pPr>
        <w:shd w:val="clear" w:color="auto" w:fill="FFFFFF"/>
        <w:autoSpaceDE w:val="0"/>
        <w:autoSpaceDN w:val="0"/>
        <w:adjustRightInd w:val="0"/>
        <w:spacing w:line="480" w:lineRule="exact"/>
        <w:ind w:firstLine="482"/>
        <w:rPr>
          <w:sz w:val="24"/>
          <w:highlight w:val="none"/>
          <w:lang w:val="zh-CN"/>
        </w:rPr>
      </w:pPr>
      <w:r>
        <w:rPr>
          <w:rFonts w:hint="eastAsia"/>
          <w:sz w:val="24"/>
          <w:highlight w:val="none"/>
          <w:lang w:val="zh-CN"/>
        </w:rPr>
        <w:t>一般固废主要来自水电站工作人员生活垃圾、水电站格栅打捞垃圾。</w:t>
      </w:r>
    </w:p>
    <w:p>
      <w:pPr>
        <w:shd w:val="clear" w:color="auto" w:fill="FFFFFF"/>
        <w:autoSpaceDE w:val="0"/>
        <w:autoSpaceDN w:val="0"/>
        <w:adjustRightInd w:val="0"/>
        <w:spacing w:line="480" w:lineRule="exact"/>
        <w:ind w:firstLine="482"/>
        <w:rPr>
          <w:sz w:val="24"/>
          <w:highlight w:val="none"/>
          <w:lang w:val="zh-CN"/>
        </w:rPr>
      </w:pPr>
      <w:r>
        <w:rPr>
          <w:sz w:val="24"/>
          <w:highlight w:val="none"/>
          <w:lang w:val="zh-CN"/>
        </w:rPr>
        <w:fldChar w:fldCharType="begin"/>
      </w:r>
      <w:r>
        <w:rPr>
          <w:sz w:val="24"/>
          <w:highlight w:val="none"/>
          <w:lang w:val="zh-CN"/>
        </w:rPr>
        <w:instrText xml:space="preserve"> </w:instrText>
      </w:r>
      <w:r>
        <w:rPr>
          <w:rFonts w:hint="eastAsia"/>
          <w:sz w:val="24"/>
          <w:highlight w:val="none"/>
          <w:lang w:val="zh-CN"/>
        </w:rPr>
        <w:instrText xml:space="preserve">= 1 \* GB3</w:instrText>
      </w:r>
      <w:r>
        <w:rPr>
          <w:sz w:val="24"/>
          <w:highlight w:val="none"/>
          <w:lang w:val="zh-CN"/>
        </w:rPr>
        <w:instrText xml:space="preserve"> </w:instrText>
      </w:r>
      <w:r>
        <w:rPr>
          <w:sz w:val="24"/>
          <w:highlight w:val="none"/>
          <w:lang w:val="zh-CN"/>
        </w:rPr>
        <w:fldChar w:fldCharType="separate"/>
      </w:r>
      <w:r>
        <w:rPr>
          <w:rFonts w:hint="eastAsia"/>
          <w:sz w:val="24"/>
          <w:highlight w:val="none"/>
          <w:lang w:val="zh-CN"/>
        </w:rPr>
        <w:t>①</w:t>
      </w:r>
      <w:r>
        <w:rPr>
          <w:sz w:val="24"/>
          <w:highlight w:val="none"/>
          <w:lang w:val="zh-CN"/>
        </w:rPr>
        <w:fldChar w:fldCharType="end"/>
      </w:r>
      <w:r>
        <w:rPr>
          <w:rFonts w:hint="eastAsia"/>
          <w:sz w:val="24"/>
          <w:highlight w:val="none"/>
          <w:lang w:val="zh-CN"/>
        </w:rPr>
        <w:t>生活垃圾</w:t>
      </w:r>
    </w:p>
    <w:p>
      <w:pPr>
        <w:shd w:val="clear" w:color="auto" w:fill="FFFFFF"/>
        <w:autoSpaceDE w:val="0"/>
        <w:autoSpaceDN w:val="0"/>
        <w:adjustRightInd w:val="0"/>
        <w:spacing w:line="480" w:lineRule="exact"/>
        <w:ind w:firstLine="482"/>
        <w:rPr>
          <w:sz w:val="24"/>
          <w:highlight w:val="none"/>
        </w:rPr>
      </w:pPr>
      <w:r>
        <w:rPr>
          <w:sz w:val="24"/>
          <w:highlight w:val="none"/>
          <w:lang w:val="zh-CN"/>
        </w:rPr>
        <w:t>本电站职工在岗总人数按照</w:t>
      </w:r>
      <w:r>
        <w:rPr>
          <w:sz w:val="24"/>
          <w:highlight w:val="none"/>
        </w:rPr>
        <w:t>5</w:t>
      </w:r>
      <w:r>
        <w:rPr>
          <w:sz w:val="24"/>
          <w:highlight w:val="none"/>
          <w:lang w:val="zh-CN"/>
        </w:rPr>
        <w:t>人</w:t>
      </w:r>
      <w:r>
        <w:rPr>
          <w:sz w:val="24"/>
          <w:highlight w:val="none"/>
        </w:rPr>
        <w:t>计算（共1</w:t>
      </w:r>
      <w:r>
        <w:rPr>
          <w:rFonts w:hint="eastAsia"/>
          <w:sz w:val="24"/>
          <w:highlight w:val="none"/>
          <w:lang w:val="en-US" w:eastAsia="zh-CN"/>
        </w:rPr>
        <w:t>0</w:t>
      </w:r>
      <w:r>
        <w:rPr>
          <w:sz w:val="24"/>
          <w:highlight w:val="none"/>
        </w:rPr>
        <w:t>人三班）。</w:t>
      </w:r>
      <w:r>
        <w:rPr>
          <w:sz w:val="24"/>
          <w:highlight w:val="none"/>
          <w:lang w:val="zh-CN"/>
        </w:rPr>
        <w:t>每人每天生产垃圾</w:t>
      </w:r>
      <w:r>
        <w:rPr>
          <w:sz w:val="24"/>
          <w:highlight w:val="none"/>
        </w:rPr>
        <w:t>0.5kg</w:t>
      </w:r>
      <w:r>
        <w:rPr>
          <w:sz w:val="24"/>
          <w:highlight w:val="none"/>
          <w:lang w:val="zh-CN"/>
        </w:rPr>
        <w:t>计，则运行期日产垃圾量约</w:t>
      </w:r>
      <w:r>
        <w:rPr>
          <w:sz w:val="24"/>
          <w:highlight w:val="none"/>
        </w:rPr>
        <w:t>2.5kg</w:t>
      </w:r>
      <w:r>
        <w:rPr>
          <w:sz w:val="24"/>
          <w:highlight w:val="none"/>
          <w:lang w:val="zh-CN"/>
        </w:rPr>
        <w:t>，年产生活垃圾量约</w:t>
      </w:r>
      <w:r>
        <w:rPr>
          <w:sz w:val="24"/>
          <w:highlight w:val="none"/>
        </w:rPr>
        <w:t>0.</w:t>
      </w:r>
      <w:r>
        <w:rPr>
          <w:rFonts w:hint="eastAsia"/>
          <w:sz w:val="24"/>
          <w:highlight w:val="none"/>
          <w:lang w:val="en-US" w:eastAsia="zh-CN"/>
        </w:rPr>
        <w:t>280</w:t>
      </w:r>
      <w:r>
        <w:rPr>
          <w:sz w:val="24"/>
          <w:highlight w:val="none"/>
        </w:rPr>
        <w:t>t</w:t>
      </w:r>
      <w:r>
        <w:rPr>
          <w:sz w:val="24"/>
          <w:highlight w:val="none"/>
          <w:lang w:val="zh-CN"/>
        </w:rPr>
        <w:t>。集中收集后</w:t>
      </w:r>
      <w:r>
        <w:rPr>
          <w:color w:val="000000" w:themeColor="text1"/>
          <w:sz w:val="24"/>
          <w:highlight w:val="none"/>
          <w14:textFill>
            <w14:solidFill>
              <w14:schemeClr w14:val="tx1"/>
            </w14:solidFill>
          </w14:textFill>
        </w:rPr>
        <w:t>送当地环卫部门指定地点统一</w:t>
      </w:r>
      <w:r>
        <w:rPr>
          <w:sz w:val="24"/>
          <w:highlight w:val="none"/>
          <w:lang w:val="zh-CN"/>
        </w:rPr>
        <w:t>由环卫部门处置。</w:t>
      </w:r>
    </w:p>
    <w:p>
      <w:pPr>
        <w:shd w:val="clear" w:color="auto" w:fill="FFFFFF"/>
        <w:autoSpaceDE w:val="0"/>
        <w:autoSpaceDN w:val="0"/>
        <w:adjustRightInd w:val="0"/>
        <w:spacing w:line="480" w:lineRule="exact"/>
        <w:ind w:firstLine="482"/>
        <w:rPr>
          <w:sz w:val="24"/>
          <w:highlight w:val="none"/>
          <w:lang w:val="zh-CN"/>
        </w:rPr>
      </w:pPr>
      <w:r>
        <w:rPr>
          <w:kern w:val="0"/>
          <w:sz w:val="24"/>
          <w:highlight w:val="none"/>
        </w:rPr>
        <w:fldChar w:fldCharType="begin"/>
      </w:r>
      <w:r>
        <w:rPr>
          <w:kern w:val="0"/>
          <w:sz w:val="24"/>
          <w:highlight w:val="none"/>
        </w:rPr>
        <w:instrText xml:space="preserve"> </w:instrText>
      </w:r>
      <w:r>
        <w:rPr>
          <w:rFonts w:hint="eastAsia"/>
          <w:kern w:val="0"/>
          <w:sz w:val="24"/>
          <w:highlight w:val="none"/>
        </w:rPr>
        <w:instrText xml:space="preserve">= 2 \* GB3</w:instrText>
      </w:r>
      <w:r>
        <w:rPr>
          <w:kern w:val="0"/>
          <w:sz w:val="24"/>
          <w:highlight w:val="none"/>
        </w:rPr>
        <w:instrText xml:space="preserve"> </w:instrText>
      </w:r>
      <w:r>
        <w:rPr>
          <w:kern w:val="0"/>
          <w:sz w:val="24"/>
          <w:highlight w:val="none"/>
        </w:rPr>
        <w:fldChar w:fldCharType="separate"/>
      </w:r>
      <w:r>
        <w:rPr>
          <w:rFonts w:hint="eastAsia"/>
          <w:kern w:val="0"/>
          <w:sz w:val="24"/>
          <w:highlight w:val="none"/>
        </w:rPr>
        <w:t>②</w:t>
      </w:r>
      <w:r>
        <w:rPr>
          <w:kern w:val="0"/>
          <w:sz w:val="24"/>
          <w:highlight w:val="none"/>
        </w:rPr>
        <w:fldChar w:fldCharType="end"/>
      </w:r>
      <w:r>
        <w:rPr>
          <w:rFonts w:hint="eastAsia"/>
          <w:sz w:val="24"/>
          <w:highlight w:val="none"/>
          <w:lang w:val="zh-CN"/>
        </w:rPr>
        <w:t>格栅打捞垃圾</w:t>
      </w:r>
    </w:p>
    <w:p>
      <w:pPr>
        <w:shd w:val="clear" w:color="auto" w:fill="FFFFFF"/>
        <w:autoSpaceDE w:val="0"/>
        <w:autoSpaceDN w:val="0"/>
        <w:adjustRightInd w:val="0"/>
        <w:spacing w:line="480" w:lineRule="exact"/>
        <w:ind w:firstLine="482"/>
        <w:rPr>
          <w:sz w:val="24"/>
          <w:highlight w:val="none"/>
          <w:lang w:val="zh-CN"/>
        </w:rPr>
      </w:pPr>
      <w:r>
        <w:rPr>
          <w:rFonts w:hint="eastAsia"/>
          <w:sz w:val="24"/>
          <w:highlight w:val="none"/>
          <w:lang w:val="zh-CN"/>
        </w:rPr>
        <w:t>水电站进水室前设置有格栅阻隔河流中漂浮的垃圾，格栅处打捞垃圾约3.0t/a，这些垃圾以沿岸居民丢入河流中的生活垃圾，以及掉落进河流中的树枝，不涉及危险废物。</w:t>
      </w:r>
    </w:p>
    <w:p>
      <w:pPr>
        <w:shd w:val="clear" w:color="auto" w:fill="FFFFFF"/>
        <w:autoSpaceDE w:val="0"/>
        <w:autoSpaceDN w:val="0"/>
        <w:adjustRightInd w:val="0"/>
        <w:spacing w:line="480" w:lineRule="exact"/>
        <w:ind w:firstLine="482"/>
        <w:rPr>
          <w:kern w:val="0"/>
          <w:sz w:val="24"/>
          <w:highlight w:val="none"/>
        </w:rPr>
      </w:pPr>
      <w:r>
        <w:rPr>
          <w:rFonts w:hint="eastAsia"/>
          <w:kern w:val="0"/>
          <w:sz w:val="24"/>
          <w:highlight w:val="none"/>
        </w:rPr>
        <w:t>（5）危险废物</w:t>
      </w:r>
    </w:p>
    <w:p>
      <w:pPr>
        <w:shd w:val="clear" w:color="auto" w:fill="FFFFFF"/>
        <w:autoSpaceDE w:val="0"/>
        <w:autoSpaceDN w:val="0"/>
        <w:adjustRightInd w:val="0"/>
        <w:spacing w:line="480" w:lineRule="exact"/>
        <w:ind w:firstLine="482"/>
        <w:rPr>
          <w:sz w:val="24"/>
          <w:highlight w:val="none"/>
          <w:lang w:val="zh-CN"/>
        </w:rPr>
      </w:pPr>
      <w:r>
        <w:rPr>
          <w:rFonts w:hint="eastAsia"/>
          <w:sz w:val="24"/>
          <w:highlight w:val="none"/>
          <w:lang w:val="zh-CN"/>
        </w:rPr>
        <w:t>废润滑油：</w:t>
      </w:r>
      <w:r>
        <w:rPr>
          <w:sz w:val="24"/>
          <w:highlight w:val="none"/>
          <w:lang w:val="zh-CN"/>
        </w:rPr>
        <w:t>本项目营运期间电站设备维修及维护过程中会产生少量的废</w:t>
      </w:r>
      <w:r>
        <w:rPr>
          <w:rFonts w:hint="eastAsia"/>
          <w:sz w:val="24"/>
          <w:highlight w:val="none"/>
          <w:lang w:val="zh-CN"/>
        </w:rPr>
        <w:t>润滑油</w:t>
      </w:r>
      <w:r>
        <w:rPr>
          <w:sz w:val="24"/>
          <w:highlight w:val="none"/>
          <w:lang w:val="zh-CN"/>
        </w:rPr>
        <w:t>等危险废物</w:t>
      </w:r>
      <w:r>
        <w:rPr>
          <w:rFonts w:hint="eastAsia"/>
          <w:sz w:val="24"/>
          <w:highlight w:val="none"/>
          <w:lang w:val="zh-CN"/>
        </w:rPr>
        <w:t>。</w:t>
      </w:r>
    </w:p>
    <w:p>
      <w:pPr>
        <w:shd w:val="clear" w:color="auto" w:fill="FFFFFF"/>
        <w:autoSpaceDE w:val="0"/>
        <w:autoSpaceDN w:val="0"/>
        <w:adjustRightInd w:val="0"/>
        <w:spacing w:line="480" w:lineRule="exact"/>
        <w:ind w:firstLine="482"/>
        <w:rPr>
          <w:sz w:val="24"/>
          <w:highlight w:val="none"/>
          <w:lang w:val="zh-CN"/>
        </w:rPr>
      </w:pPr>
      <w:r>
        <w:rPr>
          <w:rFonts w:hint="eastAsia"/>
          <w:sz w:val="24"/>
          <w:highlight w:val="none"/>
          <w:lang w:val="zh-CN"/>
        </w:rPr>
        <w:t>废润滑油产生量为 0.</w:t>
      </w:r>
      <w:r>
        <w:rPr>
          <w:rFonts w:hint="eastAsia"/>
          <w:sz w:val="24"/>
          <w:highlight w:val="none"/>
        </w:rPr>
        <w:t>09</w:t>
      </w:r>
      <w:r>
        <w:rPr>
          <w:rFonts w:hint="eastAsia"/>
          <w:sz w:val="24"/>
          <w:highlight w:val="none"/>
          <w:lang w:val="zh-CN"/>
        </w:rPr>
        <w:t>t/a，危废类别 HW08，采用耐腐蚀容器收集，在危废间暂存，定期交有资质单位处理。根据《国家危险废物名录》，设备定期更换的废机油类别为 HW08，废物代码为 900-214-08，危险特性为毒性（Toxicity，T）、易燃性（Ignitability，I）。</w:t>
      </w:r>
    </w:p>
    <w:p>
      <w:pPr>
        <w:shd w:val="clear" w:color="auto" w:fill="FFFFFF"/>
        <w:autoSpaceDE w:val="0"/>
        <w:autoSpaceDN w:val="0"/>
        <w:adjustRightInd w:val="0"/>
        <w:spacing w:line="480" w:lineRule="exact"/>
        <w:ind w:firstLine="482"/>
        <w:rPr>
          <w:sz w:val="24"/>
          <w:highlight w:val="none"/>
          <w:lang w:val="zh-CN"/>
        </w:rPr>
      </w:pPr>
      <w:r>
        <w:rPr>
          <w:rFonts w:hint="eastAsia"/>
          <w:sz w:val="24"/>
          <w:highlight w:val="none"/>
          <w:lang w:val="zh-CN"/>
        </w:rPr>
        <w:t>废变压器油：更换后由厂家直接回收。根据《国家危险废物名录》，设备定期更换的废润滑油类别为 HW08，废物代码为 900-2</w:t>
      </w:r>
      <w:r>
        <w:rPr>
          <w:rFonts w:hint="eastAsia"/>
          <w:sz w:val="24"/>
          <w:highlight w:val="none"/>
          <w:lang w:val="en-US" w:eastAsia="zh-CN"/>
        </w:rPr>
        <w:t>00</w:t>
      </w:r>
      <w:r>
        <w:rPr>
          <w:rFonts w:hint="eastAsia"/>
          <w:sz w:val="24"/>
          <w:highlight w:val="none"/>
          <w:lang w:val="zh-CN"/>
        </w:rPr>
        <w:t>-08，危险特性为毒性（Toxicity，T）、易燃性（Ignitability，I）。</w:t>
      </w:r>
    </w:p>
    <w:p>
      <w:pPr>
        <w:shd w:val="clear" w:color="auto" w:fill="FFFFFF"/>
        <w:autoSpaceDE w:val="0"/>
        <w:autoSpaceDN w:val="0"/>
        <w:adjustRightInd w:val="0"/>
        <w:spacing w:line="480" w:lineRule="exact"/>
        <w:ind w:firstLine="482"/>
        <w:rPr>
          <w:color w:val="auto"/>
          <w:sz w:val="24"/>
          <w:highlight w:val="none"/>
          <w:lang w:val="zh-CN"/>
        </w:rPr>
      </w:pPr>
      <w:r>
        <w:rPr>
          <w:rFonts w:hint="eastAsia"/>
          <w:sz w:val="24"/>
          <w:highlight w:val="none"/>
          <w:lang w:val="zh-CN"/>
        </w:rPr>
        <w:t>综上，本项目产生的固废均得到了合理有处置，对环境影响较小。固废产生量、类别及处置措</w:t>
      </w:r>
      <w:r>
        <w:rPr>
          <w:rFonts w:hint="eastAsia"/>
          <w:color w:val="auto"/>
          <w:sz w:val="24"/>
          <w:highlight w:val="none"/>
          <w:lang w:val="zh-CN"/>
        </w:rPr>
        <w:t>施见表</w:t>
      </w:r>
      <w:r>
        <w:rPr>
          <w:rFonts w:hint="eastAsia"/>
          <w:color w:val="auto"/>
          <w:sz w:val="24"/>
          <w:highlight w:val="none"/>
        </w:rPr>
        <w:t>3.2-3</w:t>
      </w:r>
      <w:r>
        <w:rPr>
          <w:rFonts w:hint="eastAsia"/>
          <w:color w:val="auto"/>
          <w:sz w:val="24"/>
          <w:highlight w:val="none"/>
          <w:lang w:val="zh-CN"/>
        </w:rPr>
        <w:t>、表</w:t>
      </w:r>
      <w:r>
        <w:rPr>
          <w:rFonts w:hint="eastAsia"/>
          <w:color w:val="auto"/>
          <w:sz w:val="24"/>
          <w:highlight w:val="none"/>
        </w:rPr>
        <w:t>3.2-4</w:t>
      </w:r>
      <w:r>
        <w:rPr>
          <w:rFonts w:hint="eastAsia"/>
          <w:color w:val="auto"/>
          <w:sz w:val="24"/>
          <w:highlight w:val="none"/>
          <w:lang w:val="zh-CN"/>
        </w:rPr>
        <w:t>。</w:t>
      </w:r>
    </w:p>
    <w:p>
      <w:pPr>
        <w:shd w:val="clear" w:color="auto" w:fill="FFFFFF"/>
        <w:autoSpaceDE w:val="0"/>
        <w:autoSpaceDN w:val="0"/>
        <w:adjustRightInd w:val="0"/>
        <w:spacing w:line="480" w:lineRule="exact"/>
        <w:jc w:val="center"/>
        <w:rPr>
          <w:rFonts w:hint="eastAsia"/>
          <w:b/>
          <w:bCs/>
          <w:color w:val="auto"/>
          <w:sz w:val="24"/>
          <w:highlight w:val="none"/>
          <w:lang w:val="zh-CN"/>
        </w:rPr>
      </w:pPr>
    </w:p>
    <w:p>
      <w:pPr>
        <w:shd w:val="clear" w:color="auto" w:fill="FFFFFF"/>
        <w:autoSpaceDE w:val="0"/>
        <w:autoSpaceDN w:val="0"/>
        <w:adjustRightInd w:val="0"/>
        <w:spacing w:line="480" w:lineRule="exact"/>
        <w:jc w:val="center"/>
        <w:rPr>
          <w:rFonts w:hint="eastAsia"/>
          <w:b/>
          <w:bCs/>
          <w:color w:val="auto"/>
          <w:sz w:val="24"/>
          <w:highlight w:val="none"/>
          <w:lang w:val="zh-CN"/>
        </w:rPr>
      </w:pPr>
    </w:p>
    <w:p>
      <w:pPr>
        <w:shd w:val="clear" w:color="auto" w:fill="FFFFFF"/>
        <w:autoSpaceDE w:val="0"/>
        <w:autoSpaceDN w:val="0"/>
        <w:adjustRightInd w:val="0"/>
        <w:spacing w:line="480" w:lineRule="exact"/>
        <w:jc w:val="center"/>
        <w:rPr>
          <w:rFonts w:hint="eastAsia"/>
          <w:b/>
          <w:bCs/>
          <w:color w:val="auto"/>
          <w:sz w:val="24"/>
          <w:highlight w:val="none"/>
          <w:lang w:val="zh-CN"/>
        </w:rPr>
      </w:pPr>
    </w:p>
    <w:p>
      <w:pPr>
        <w:shd w:val="clear" w:color="auto" w:fill="FFFFFF"/>
        <w:autoSpaceDE w:val="0"/>
        <w:autoSpaceDN w:val="0"/>
        <w:adjustRightInd w:val="0"/>
        <w:spacing w:line="480" w:lineRule="exact"/>
        <w:jc w:val="center"/>
        <w:rPr>
          <w:b/>
          <w:bCs/>
          <w:color w:val="auto"/>
          <w:sz w:val="24"/>
          <w:highlight w:val="none"/>
          <w:lang w:val="zh-CN"/>
        </w:rPr>
      </w:pPr>
      <w:r>
        <w:rPr>
          <w:rFonts w:hint="eastAsia"/>
          <w:b/>
          <w:bCs/>
          <w:color w:val="auto"/>
          <w:sz w:val="24"/>
          <w:highlight w:val="none"/>
          <w:lang w:val="zh-CN"/>
        </w:rPr>
        <w:t>表</w:t>
      </w:r>
      <w:r>
        <w:rPr>
          <w:rFonts w:hint="eastAsia"/>
          <w:b/>
          <w:bCs/>
          <w:color w:val="auto"/>
          <w:sz w:val="24"/>
          <w:highlight w:val="none"/>
          <w:lang w:val="en-US" w:eastAsia="zh-CN"/>
        </w:rPr>
        <w:t xml:space="preserve"> </w:t>
      </w:r>
      <w:r>
        <w:rPr>
          <w:rFonts w:hint="eastAsia"/>
          <w:b/>
          <w:bCs/>
          <w:color w:val="auto"/>
          <w:sz w:val="24"/>
          <w:highlight w:val="none"/>
        </w:rPr>
        <w:t>3.2-3</w:t>
      </w:r>
      <w:r>
        <w:rPr>
          <w:rFonts w:hint="eastAsia"/>
          <w:b/>
          <w:bCs/>
          <w:color w:val="auto"/>
          <w:sz w:val="24"/>
          <w:highlight w:val="none"/>
          <w:lang w:val="zh-CN"/>
        </w:rPr>
        <w:t xml:space="preserve">   固体废物处置措施一览表</w:t>
      </w:r>
    </w:p>
    <w:tbl>
      <w:tblPr>
        <w:tblStyle w:val="51"/>
        <w:tblW w:w="8528"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54"/>
        <w:gridCol w:w="1520"/>
        <w:gridCol w:w="1035"/>
        <w:gridCol w:w="1030"/>
        <w:gridCol w:w="938"/>
        <w:gridCol w:w="1125"/>
        <w:gridCol w:w="242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5" w:hRule="atLeast"/>
        </w:trPr>
        <w:tc>
          <w:tcPr>
            <w:tcW w:w="4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r>
              <w:rPr>
                <w:color w:val="auto"/>
                <w:szCs w:val="21"/>
                <w:highlight w:val="none"/>
              </w:rPr>
              <w:t>序号</w:t>
            </w:r>
          </w:p>
        </w:tc>
        <w:tc>
          <w:tcPr>
            <w:tcW w:w="1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r>
              <w:rPr>
                <w:color w:val="auto"/>
                <w:szCs w:val="21"/>
                <w:highlight w:val="none"/>
              </w:rPr>
              <w:t>名称</w:t>
            </w:r>
          </w:p>
        </w:tc>
        <w:tc>
          <w:tcPr>
            <w:tcW w:w="10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r>
              <w:rPr>
                <w:color w:val="auto"/>
                <w:szCs w:val="21"/>
                <w:highlight w:val="none"/>
              </w:rPr>
              <w:t>产生工序</w:t>
            </w:r>
          </w:p>
        </w:tc>
        <w:tc>
          <w:tcPr>
            <w:tcW w:w="10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r>
              <w:rPr>
                <w:color w:val="auto"/>
                <w:szCs w:val="21"/>
                <w:highlight w:val="none"/>
              </w:rPr>
              <w:t>产生量（t/a）</w:t>
            </w:r>
          </w:p>
        </w:tc>
        <w:tc>
          <w:tcPr>
            <w:tcW w:w="93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r>
              <w:rPr>
                <w:color w:val="auto"/>
                <w:szCs w:val="21"/>
                <w:highlight w:val="none"/>
              </w:rPr>
              <w:t>排放量（t/a）</w:t>
            </w: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r>
              <w:rPr>
                <w:rFonts w:hint="eastAsia"/>
                <w:color w:val="auto"/>
                <w:szCs w:val="21"/>
                <w:highlight w:val="none"/>
              </w:rPr>
              <w:t>类别</w:t>
            </w:r>
          </w:p>
        </w:tc>
        <w:tc>
          <w:tcPr>
            <w:tcW w:w="2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r>
              <w:rPr>
                <w:color w:val="auto"/>
                <w:szCs w:val="21"/>
                <w:highlight w:val="none"/>
              </w:rPr>
              <w:t>处置措施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60" w:hRule="atLeast"/>
        </w:trPr>
        <w:tc>
          <w:tcPr>
            <w:tcW w:w="4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r>
              <w:rPr>
                <w:rFonts w:hint="eastAsia"/>
                <w:color w:val="auto"/>
                <w:szCs w:val="21"/>
                <w:highlight w:val="none"/>
              </w:rPr>
              <w:t>1</w:t>
            </w:r>
          </w:p>
        </w:tc>
        <w:tc>
          <w:tcPr>
            <w:tcW w:w="1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r>
              <w:rPr>
                <w:color w:val="auto"/>
                <w:szCs w:val="21"/>
                <w:highlight w:val="none"/>
              </w:rPr>
              <w:t>生活垃圾</w:t>
            </w:r>
          </w:p>
        </w:tc>
        <w:tc>
          <w:tcPr>
            <w:tcW w:w="10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r>
              <w:rPr>
                <w:color w:val="auto"/>
                <w:szCs w:val="21"/>
                <w:highlight w:val="none"/>
              </w:rPr>
              <w:t>职工生活</w:t>
            </w:r>
          </w:p>
        </w:tc>
        <w:tc>
          <w:tcPr>
            <w:tcW w:w="10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eastAsia="宋体"/>
                <w:color w:val="auto"/>
                <w:szCs w:val="21"/>
                <w:highlight w:val="none"/>
                <w:lang w:val="en-US" w:eastAsia="zh-CN"/>
              </w:rPr>
            </w:pPr>
            <w:r>
              <w:rPr>
                <w:rFonts w:hint="eastAsia"/>
                <w:color w:val="auto"/>
                <w:szCs w:val="21"/>
                <w:highlight w:val="none"/>
              </w:rPr>
              <w:t>0.</w:t>
            </w:r>
            <w:r>
              <w:rPr>
                <w:rFonts w:hint="eastAsia"/>
                <w:color w:val="auto"/>
                <w:szCs w:val="21"/>
                <w:highlight w:val="none"/>
                <w:lang w:val="en-US" w:eastAsia="zh-CN"/>
              </w:rPr>
              <w:t>280</w:t>
            </w:r>
          </w:p>
        </w:tc>
        <w:tc>
          <w:tcPr>
            <w:tcW w:w="93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r>
              <w:rPr>
                <w:rFonts w:hint="eastAsia"/>
                <w:color w:val="auto"/>
                <w:szCs w:val="21"/>
                <w:highlight w:val="none"/>
              </w:rPr>
              <w:t>0</w:t>
            </w: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r>
              <w:rPr>
                <w:rFonts w:hint="eastAsia"/>
                <w:color w:val="auto"/>
                <w:szCs w:val="21"/>
                <w:highlight w:val="none"/>
              </w:rPr>
              <w:t>一般固废</w:t>
            </w:r>
          </w:p>
        </w:tc>
        <w:tc>
          <w:tcPr>
            <w:tcW w:w="242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r>
              <w:rPr>
                <w:color w:val="auto"/>
                <w:szCs w:val="21"/>
                <w:highlight w:val="none"/>
              </w:rPr>
              <w:t>集中收集，环卫部门</w:t>
            </w:r>
            <w:r>
              <w:rPr>
                <w:rFonts w:hint="eastAsia"/>
                <w:color w:val="auto"/>
                <w:szCs w:val="21"/>
                <w:highlight w:val="none"/>
              </w:rPr>
              <w:t>处置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15" w:hRule="atLeast"/>
        </w:trPr>
        <w:tc>
          <w:tcPr>
            <w:tcW w:w="4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r>
              <w:rPr>
                <w:rFonts w:hint="eastAsia"/>
                <w:color w:val="auto"/>
                <w:szCs w:val="21"/>
                <w:highlight w:val="none"/>
              </w:rPr>
              <w:t>2</w:t>
            </w:r>
          </w:p>
        </w:tc>
        <w:tc>
          <w:tcPr>
            <w:tcW w:w="1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r>
              <w:rPr>
                <w:rFonts w:hint="eastAsia"/>
                <w:color w:val="auto"/>
                <w:szCs w:val="21"/>
                <w:highlight w:val="none"/>
              </w:rPr>
              <w:t>格栅打捞垃圾</w:t>
            </w:r>
          </w:p>
        </w:tc>
        <w:tc>
          <w:tcPr>
            <w:tcW w:w="10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r>
              <w:rPr>
                <w:rFonts w:hint="eastAsia"/>
                <w:color w:val="auto"/>
                <w:szCs w:val="21"/>
                <w:highlight w:val="none"/>
              </w:rPr>
              <w:t>引水渠</w:t>
            </w:r>
          </w:p>
        </w:tc>
        <w:tc>
          <w:tcPr>
            <w:tcW w:w="10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r>
              <w:rPr>
                <w:rFonts w:hint="eastAsia"/>
                <w:color w:val="auto"/>
                <w:szCs w:val="21"/>
                <w:highlight w:val="none"/>
              </w:rPr>
              <w:t>3.0</w:t>
            </w:r>
          </w:p>
        </w:tc>
        <w:tc>
          <w:tcPr>
            <w:tcW w:w="93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r>
              <w:rPr>
                <w:rFonts w:hint="eastAsia"/>
                <w:color w:val="auto"/>
                <w:szCs w:val="21"/>
                <w:highlight w:val="none"/>
              </w:rPr>
              <w:t>0</w:t>
            </w: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r>
              <w:rPr>
                <w:rFonts w:hint="eastAsia"/>
                <w:color w:val="auto"/>
                <w:szCs w:val="21"/>
                <w:highlight w:val="none"/>
              </w:rPr>
              <w:t>一般固废</w:t>
            </w:r>
          </w:p>
        </w:tc>
        <w:tc>
          <w:tcPr>
            <w:tcW w:w="242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5" w:hRule="atLeast"/>
        </w:trPr>
        <w:tc>
          <w:tcPr>
            <w:tcW w:w="4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r>
              <w:rPr>
                <w:rFonts w:hint="eastAsia"/>
                <w:color w:val="auto"/>
                <w:szCs w:val="21"/>
                <w:highlight w:val="none"/>
              </w:rPr>
              <w:t>3</w:t>
            </w:r>
          </w:p>
        </w:tc>
        <w:tc>
          <w:tcPr>
            <w:tcW w:w="1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r>
              <w:rPr>
                <w:rFonts w:hint="eastAsia"/>
                <w:color w:val="auto"/>
                <w:szCs w:val="21"/>
                <w:highlight w:val="none"/>
              </w:rPr>
              <w:t>废</w:t>
            </w:r>
            <w:r>
              <w:rPr>
                <w:rFonts w:hint="eastAsia"/>
                <w:color w:val="auto"/>
                <w:szCs w:val="21"/>
                <w:highlight w:val="none"/>
                <w:lang w:eastAsia="zh-CN"/>
              </w:rPr>
              <w:t>润滑</w:t>
            </w:r>
            <w:r>
              <w:rPr>
                <w:rFonts w:hint="eastAsia"/>
                <w:color w:val="auto"/>
                <w:szCs w:val="21"/>
                <w:highlight w:val="none"/>
              </w:rPr>
              <w:t>油</w:t>
            </w:r>
          </w:p>
        </w:tc>
        <w:tc>
          <w:tcPr>
            <w:tcW w:w="103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eastAsia="宋体"/>
                <w:color w:val="auto"/>
                <w:szCs w:val="21"/>
                <w:highlight w:val="none"/>
                <w:lang w:eastAsia="zh-CN"/>
              </w:rPr>
            </w:pPr>
            <w:r>
              <w:rPr>
                <w:rFonts w:hint="eastAsia"/>
                <w:color w:val="auto"/>
                <w:szCs w:val="21"/>
                <w:highlight w:val="none"/>
                <w:lang w:eastAsia="zh-CN"/>
              </w:rPr>
              <w:t>维修</w:t>
            </w:r>
          </w:p>
        </w:tc>
        <w:tc>
          <w:tcPr>
            <w:tcW w:w="10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r>
              <w:rPr>
                <w:rFonts w:hint="eastAsia"/>
                <w:color w:val="auto"/>
                <w:szCs w:val="21"/>
                <w:highlight w:val="none"/>
              </w:rPr>
              <w:t>0.09</w:t>
            </w:r>
          </w:p>
        </w:tc>
        <w:tc>
          <w:tcPr>
            <w:tcW w:w="93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r>
              <w:rPr>
                <w:rFonts w:hint="eastAsia"/>
                <w:color w:val="auto"/>
                <w:szCs w:val="21"/>
                <w:highlight w:val="none"/>
              </w:rPr>
              <w:t>0</w:t>
            </w:r>
          </w:p>
        </w:tc>
        <w:tc>
          <w:tcPr>
            <w:tcW w:w="112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Cs w:val="21"/>
                <w:highlight w:val="none"/>
              </w:rPr>
            </w:pPr>
            <w:r>
              <w:rPr>
                <w:rFonts w:hint="eastAsia"/>
                <w:color w:val="auto"/>
                <w:szCs w:val="21"/>
                <w:highlight w:val="none"/>
              </w:rPr>
              <w:t>危废</w:t>
            </w:r>
          </w:p>
        </w:tc>
        <w:tc>
          <w:tcPr>
            <w:tcW w:w="242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color w:val="auto"/>
                <w:szCs w:val="21"/>
                <w:highlight w:val="none"/>
              </w:rPr>
            </w:pPr>
            <w:r>
              <w:rPr>
                <w:color w:val="auto"/>
                <w:szCs w:val="21"/>
                <w:highlight w:val="none"/>
              </w:rPr>
              <w:t>危废间暂存，定期交有资质单位处理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5" w:hRule="atLeast"/>
        </w:trPr>
        <w:tc>
          <w:tcPr>
            <w:tcW w:w="4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4</w:t>
            </w:r>
          </w:p>
        </w:tc>
        <w:tc>
          <w:tcPr>
            <w:tcW w:w="1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eastAsia="宋体"/>
                <w:color w:val="auto"/>
                <w:szCs w:val="21"/>
                <w:highlight w:val="none"/>
                <w:lang w:eastAsia="zh-CN"/>
              </w:rPr>
            </w:pPr>
            <w:r>
              <w:rPr>
                <w:rFonts w:hint="eastAsia"/>
                <w:color w:val="auto"/>
                <w:szCs w:val="21"/>
                <w:highlight w:val="none"/>
                <w:lang w:eastAsia="zh-CN"/>
              </w:rPr>
              <w:t>含油废棉丝</w:t>
            </w:r>
          </w:p>
        </w:tc>
        <w:tc>
          <w:tcPr>
            <w:tcW w:w="103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eastAsia="宋体"/>
                <w:color w:val="auto"/>
                <w:szCs w:val="21"/>
                <w:highlight w:val="none"/>
                <w:lang w:eastAsia="zh-CN"/>
              </w:rPr>
            </w:pPr>
          </w:p>
        </w:tc>
        <w:tc>
          <w:tcPr>
            <w:tcW w:w="10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0.005</w:t>
            </w:r>
          </w:p>
        </w:tc>
        <w:tc>
          <w:tcPr>
            <w:tcW w:w="93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0</w:t>
            </w:r>
          </w:p>
        </w:tc>
        <w:tc>
          <w:tcPr>
            <w:tcW w:w="11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color w:val="auto"/>
                <w:szCs w:val="21"/>
                <w:highlight w:val="none"/>
              </w:rPr>
            </w:pPr>
          </w:p>
        </w:tc>
        <w:tc>
          <w:tcPr>
            <w:tcW w:w="242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eastAsia" w:eastAsia="宋体"/>
                <w:color w:val="auto"/>
                <w:szCs w:val="21"/>
                <w:highlight w:val="none"/>
                <w:lang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5" w:hRule="atLeast"/>
        </w:trPr>
        <w:tc>
          <w:tcPr>
            <w:tcW w:w="4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color w:val="auto"/>
                <w:szCs w:val="21"/>
                <w:highlight w:val="none"/>
                <w:lang w:val="en-US" w:eastAsia="zh-CN"/>
              </w:rPr>
            </w:pPr>
            <w:r>
              <w:rPr>
                <w:rFonts w:hint="eastAsia"/>
                <w:color w:val="auto"/>
                <w:szCs w:val="21"/>
                <w:highlight w:val="none"/>
                <w:lang w:val="en-US" w:eastAsia="zh-CN"/>
              </w:rPr>
              <w:t>5</w:t>
            </w:r>
          </w:p>
        </w:tc>
        <w:tc>
          <w:tcPr>
            <w:tcW w:w="1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color w:val="auto"/>
                <w:szCs w:val="21"/>
                <w:highlight w:val="none"/>
                <w:lang w:eastAsia="zh-CN"/>
              </w:rPr>
            </w:pPr>
            <w:r>
              <w:rPr>
                <w:rFonts w:hint="eastAsia"/>
                <w:color w:val="auto"/>
                <w:szCs w:val="21"/>
                <w:highlight w:val="none"/>
                <w:lang w:eastAsia="zh-CN"/>
              </w:rPr>
              <w:t>废油桶</w:t>
            </w:r>
          </w:p>
        </w:tc>
        <w:tc>
          <w:tcPr>
            <w:tcW w:w="103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eastAsia="宋体"/>
                <w:color w:val="auto"/>
                <w:szCs w:val="21"/>
                <w:highlight w:val="none"/>
                <w:lang w:eastAsia="zh-CN"/>
              </w:rPr>
            </w:pPr>
          </w:p>
        </w:tc>
        <w:tc>
          <w:tcPr>
            <w:tcW w:w="10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color w:val="auto"/>
                <w:szCs w:val="21"/>
                <w:highlight w:val="none"/>
                <w:lang w:val="en-US" w:eastAsia="zh-CN"/>
              </w:rPr>
            </w:pPr>
            <w:r>
              <w:rPr>
                <w:rFonts w:hint="eastAsia"/>
                <w:color w:val="auto"/>
                <w:szCs w:val="21"/>
                <w:highlight w:val="none"/>
                <w:lang w:val="en-US" w:eastAsia="zh-CN"/>
              </w:rPr>
              <w:t>0.03</w:t>
            </w:r>
          </w:p>
        </w:tc>
        <w:tc>
          <w:tcPr>
            <w:tcW w:w="93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color w:val="auto"/>
                <w:szCs w:val="21"/>
                <w:highlight w:val="none"/>
                <w:lang w:val="en-US" w:eastAsia="zh-CN"/>
              </w:rPr>
            </w:pPr>
            <w:r>
              <w:rPr>
                <w:rFonts w:hint="eastAsia"/>
                <w:color w:val="auto"/>
                <w:szCs w:val="21"/>
                <w:highlight w:val="none"/>
                <w:lang w:val="en-US" w:eastAsia="zh-CN"/>
              </w:rPr>
              <w:t>0</w:t>
            </w:r>
          </w:p>
        </w:tc>
        <w:tc>
          <w:tcPr>
            <w:tcW w:w="112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color w:val="auto"/>
                <w:szCs w:val="21"/>
                <w:highlight w:val="none"/>
              </w:rPr>
            </w:pPr>
          </w:p>
        </w:tc>
        <w:tc>
          <w:tcPr>
            <w:tcW w:w="242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eastAsia" w:eastAsia="宋体"/>
                <w:color w:val="auto"/>
                <w:szCs w:val="21"/>
                <w:highlight w:val="none"/>
                <w:lang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5" w:hRule="atLeast"/>
        </w:trPr>
        <w:tc>
          <w:tcPr>
            <w:tcW w:w="4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color w:val="auto"/>
                <w:szCs w:val="21"/>
                <w:highlight w:val="none"/>
                <w:lang w:val="en-US" w:eastAsia="zh-CN"/>
              </w:rPr>
            </w:pPr>
            <w:r>
              <w:rPr>
                <w:rFonts w:hint="eastAsia"/>
                <w:color w:val="auto"/>
                <w:szCs w:val="21"/>
                <w:highlight w:val="none"/>
                <w:lang w:val="en-US" w:eastAsia="zh-CN"/>
              </w:rPr>
              <w:t>6</w:t>
            </w:r>
          </w:p>
        </w:tc>
        <w:tc>
          <w:tcPr>
            <w:tcW w:w="15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color w:val="auto"/>
                <w:szCs w:val="21"/>
                <w:highlight w:val="none"/>
                <w:lang w:eastAsia="zh-CN"/>
              </w:rPr>
            </w:pPr>
            <w:r>
              <w:rPr>
                <w:rFonts w:hint="eastAsia"/>
                <w:color w:val="auto"/>
                <w:szCs w:val="21"/>
                <w:highlight w:val="none"/>
                <w:lang w:eastAsia="zh-CN"/>
              </w:rPr>
              <w:t>废变压器油</w:t>
            </w:r>
          </w:p>
        </w:tc>
        <w:tc>
          <w:tcPr>
            <w:tcW w:w="10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color w:val="auto"/>
                <w:szCs w:val="21"/>
                <w:highlight w:val="none"/>
                <w:lang w:eastAsia="zh-CN"/>
              </w:rPr>
            </w:pPr>
            <w:r>
              <w:rPr>
                <w:rFonts w:hint="eastAsia"/>
                <w:color w:val="auto"/>
                <w:szCs w:val="21"/>
                <w:highlight w:val="none"/>
                <w:lang w:eastAsia="zh-CN"/>
              </w:rPr>
              <w:t>变压器</w:t>
            </w:r>
          </w:p>
        </w:tc>
        <w:tc>
          <w:tcPr>
            <w:tcW w:w="10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color w:val="auto"/>
                <w:szCs w:val="21"/>
                <w:highlight w:val="none"/>
                <w:lang w:val="en-US" w:eastAsia="zh-CN"/>
              </w:rPr>
            </w:pPr>
            <w:r>
              <w:rPr>
                <w:rFonts w:hint="eastAsia"/>
                <w:color w:val="auto"/>
                <w:szCs w:val="21"/>
                <w:highlight w:val="none"/>
                <w:lang w:val="en-US" w:eastAsia="zh-CN"/>
              </w:rPr>
              <w:t>0.08t/5a</w:t>
            </w:r>
          </w:p>
        </w:tc>
        <w:tc>
          <w:tcPr>
            <w:tcW w:w="93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color w:val="auto"/>
                <w:szCs w:val="21"/>
                <w:highlight w:val="none"/>
                <w:lang w:val="en-US" w:eastAsia="zh-CN"/>
              </w:rPr>
            </w:pPr>
            <w:r>
              <w:rPr>
                <w:rFonts w:hint="eastAsia"/>
                <w:color w:val="auto"/>
                <w:szCs w:val="21"/>
                <w:highlight w:val="none"/>
                <w:lang w:val="en-US" w:eastAsia="zh-CN"/>
              </w:rPr>
              <w:t>0</w:t>
            </w:r>
          </w:p>
        </w:tc>
        <w:tc>
          <w:tcPr>
            <w:tcW w:w="112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color w:val="auto"/>
                <w:szCs w:val="21"/>
                <w:highlight w:val="none"/>
              </w:rPr>
            </w:pPr>
            <w:r>
              <w:rPr>
                <w:rFonts w:hint="eastAsia"/>
                <w:color w:val="auto"/>
                <w:szCs w:val="21"/>
                <w:highlight w:val="none"/>
              </w:rPr>
              <w:t>危废</w:t>
            </w:r>
          </w:p>
        </w:tc>
        <w:tc>
          <w:tcPr>
            <w:tcW w:w="24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eastAsia"/>
                <w:color w:val="auto"/>
                <w:szCs w:val="21"/>
                <w:highlight w:val="none"/>
                <w:lang w:eastAsia="zh-CN"/>
              </w:rPr>
            </w:pPr>
            <w:r>
              <w:rPr>
                <w:rFonts w:hint="eastAsia"/>
                <w:color w:val="auto"/>
                <w:szCs w:val="21"/>
                <w:highlight w:val="none"/>
                <w:lang w:eastAsia="zh-CN"/>
              </w:rPr>
              <w:t>更换后厂家直接带走</w:t>
            </w:r>
          </w:p>
        </w:tc>
      </w:tr>
    </w:tbl>
    <w:p>
      <w:pPr>
        <w:spacing w:line="480" w:lineRule="exact"/>
        <w:jc w:val="center"/>
        <w:rPr>
          <w:rFonts w:hint="eastAsia"/>
          <w:b/>
          <w:sz w:val="24"/>
          <w:highlight w:val="none"/>
        </w:rPr>
      </w:pPr>
    </w:p>
    <w:p>
      <w:pPr>
        <w:spacing w:line="480" w:lineRule="exact"/>
        <w:jc w:val="center"/>
        <w:rPr>
          <w:b/>
          <w:color w:val="auto"/>
          <w:sz w:val="24"/>
          <w:highlight w:val="none"/>
        </w:rPr>
      </w:pPr>
      <w:r>
        <w:rPr>
          <w:rFonts w:hint="eastAsia"/>
          <w:b/>
          <w:color w:val="auto"/>
          <w:sz w:val="24"/>
          <w:highlight w:val="none"/>
        </w:rPr>
        <w:t>表3.2-4  危险废物特征表</w:t>
      </w:r>
    </w:p>
    <w:tbl>
      <w:tblPr>
        <w:tblStyle w:val="51"/>
        <w:tblW w:w="83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3"/>
        <w:gridCol w:w="775"/>
        <w:gridCol w:w="1087"/>
        <w:gridCol w:w="713"/>
        <w:gridCol w:w="862"/>
        <w:gridCol w:w="500"/>
        <w:gridCol w:w="613"/>
        <w:gridCol w:w="687"/>
        <w:gridCol w:w="613"/>
        <w:gridCol w:w="637"/>
        <w:gridCol w:w="9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0" w:hRule="atLeast"/>
        </w:trPr>
        <w:tc>
          <w:tcPr>
            <w:tcW w:w="8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危险废物名称</w:t>
            </w:r>
          </w:p>
        </w:tc>
        <w:tc>
          <w:tcPr>
            <w:tcW w:w="7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危险废物类别</w:t>
            </w:r>
          </w:p>
        </w:tc>
        <w:tc>
          <w:tcPr>
            <w:tcW w:w="10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危险废物代码</w:t>
            </w:r>
          </w:p>
        </w:tc>
        <w:tc>
          <w:tcPr>
            <w:tcW w:w="7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产生量（t/a）</w:t>
            </w:r>
          </w:p>
        </w:tc>
        <w:tc>
          <w:tcPr>
            <w:tcW w:w="86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产生工序及装置</w:t>
            </w:r>
          </w:p>
        </w:tc>
        <w:tc>
          <w:tcPr>
            <w:tcW w:w="5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形态</w:t>
            </w:r>
          </w:p>
        </w:tc>
        <w:tc>
          <w:tcPr>
            <w:tcW w:w="6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主要成分</w:t>
            </w:r>
          </w:p>
        </w:tc>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有害成分</w:t>
            </w:r>
          </w:p>
        </w:tc>
        <w:tc>
          <w:tcPr>
            <w:tcW w:w="6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产废周期</w:t>
            </w:r>
          </w:p>
        </w:tc>
        <w:tc>
          <w:tcPr>
            <w:tcW w:w="6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危险特性</w:t>
            </w:r>
          </w:p>
        </w:tc>
        <w:tc>
          <w:tcPr>
            <w:tcW w:w="994" w:type="dxa"/>
            <w:tcBorders>
              <w:tl2br w:val="nil"/>
              <w:tr2bl w:val="nil"/>
            </w:tcBorders>
            <w:vAlign w:val="center"/>
          </w:tcPr>
          <w:p>
            <w:pPr>
              <w:spacing w:line="280" w:lineRule="exact"/>
              <w:jc w:val="center"/>
              <w:rPr>
                <w:color w:val="auto"/>
                <w:sz w:val="18"/>
                <w:szCs w:val="18"/>
                <w:highlight w:val="none"/>
              </w:rPr>
            </w:pPr>
            <w:r>
              <w:rPr>
                <w:color w:val="auto"/>
                <w:sz w:val="18"/>
                <w:szCs w:val="18"/>
                <w:highlight w:val="none"/>
              </w:rPr>
              <w:t>污染防治</w:t>
            </w:r>
          </w:p>
          <w:p>
            <w:pPr>
              <w:spacing w:line="280" w:lineRule="exact"/>
              <w:jc w:val="center"/>
              <w:rPr>
                <w:color w:val="auto"/>
                <w:sz w:val="18"/>
                <w:szCs w:val="18"/>
                <w:highlight w:val="none"/>
              </w:rPr>
            </w:pPr>
            <w:r>
              <w:rPr>
                <w:color w:val="auto"/>
                <w:sz w:val="18"/>
                <w:szCs w:val="18"/>
                <w:highlight w:val="none"/>
              </w:rPr>
              <w:t>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trPr>
        <w:tc>
          <w:tcPr>
            <w:tcW w:w="8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rFonts w:hint="eastAsia"/>
                <w:color w:val="auto"/>
                <w:sz w:val="18"/>
                <w:szCs w:val="18"/>
                <w:highlight w:val="none"/>
              </w:rPr>
              <w:t>废</w:t>
            </w:r>
            <w:r>
              <w:rPr>
                <w:rFonts w:hint="eastAsia"/>
                <w:color w:val="auto"/>
                <w:sz w:val="18"/>
                <w:szCs w:val="18"/>
                <w:highlight w:val="none"/>
                <w:lang w:eastAsia="zh-CN"/>
              </w:rPr>
              <w:t>润滑</w:t>
            </w:r>
            <w:r>
              <w:rPr>
                <w:rFonts w:hint="eastAsia"/>
                <w:color w:val="auto"/>
                <w:sz w:val="18"/>
                <w:szCs w:val="18"/>
                <w:highlight w:val="none"/>
              </w:rPr>
              <w:t>油</w:t>
            </w:r>
          </w:p>
        </w:tc>
        <w:tc>
          <w:tcPr>
            <w:tcW w:w="7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rFonts w:hint="eastAsia"/>
                <w:color w:val="auto"/>
                <w:sz w:val="18"/>
                <w:szCs w:val="18"/>
                <w:highlight w:val="none"/>
              </w:rPr>
              <w:t>HW08</w:t>
            </w:r>
          </w:p>
        </w:tc>
        <w:tc>
          <w:tcPr>
            <w:tcW w:w="10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900-214-08</w:t>
            </w:r>
          </w:p>
        </w:tc>
        <w:tc>
          <w:tcPr>
            <w:tcW w:w="7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rFonts w:hint="eastAsia"/>
                <w:color w:val="auto"/>
                <w:sz w:val="18"/>
                <w:szCs w:val="18"/>
                <w:highlight w:val="none"/>
              </w:rPr>
              <w:t>0.09</w:t>
            </w:r>
          </w:p>
        </w:tc>
        <w:tc>
          <w:tcPr>
            <w:tcW w:w="86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eastAsia="宋体"/>
                <w:color w:val="auto"/>
                <w:sz w:val="18"/>
                <w:szCs w:val="18"/>
                <w:highlight w:val="none"/>
                <w:lang w:eastAsia="zh-CN"/>
              </w:rPr>
            </w:pPr>
            <w:r>
              <w:rPr>
                <w:rFonts w:hint="eastAsia"/>
                <w:color w:val="auto"/>
                <w:sz w:val="18"/>
                <w:szCs w:val="18"/>
                <w:highlight w:val="none"/>
                <w:lang w:eastAsia="zh-CN"/>
              </w:rPr>
              <w:t>维修</w:t>
            </w:r>
          </w:p>
        </w:tc>
        <w:tc>
          <w:tcPr>
            <w:tcW w:w="5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液态</w:t>
            </w:r>
          </w:p>
        </w:tc>
        <w:tc>
          <w:tcPr>
            <w:tcW w:w="6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废矿物油</w:t>
            </w:r>
          </w:p>
        </w:tc>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废矿物油</w:t>
            </w:r>
          </w:p>
        </w:tc>
        <w:tc>
          <w:tcPr>
            <w:tcW w:w="6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1年</w:t>
            </w:r>
          </w:p>
        </w:tc>
        <w:tc>
          <w:tcPr>
            <w:tcW w:w="6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T，I</w:t>
            </w:r>
          </w:p>
        </w:tc>
        <w:tc>
          <w:tcPr>
            <w:tcW w:w="994" w:type="dxa"/>
            <w:vMerge w:val="restart"/>
            <w:tcBorders>
              <w:tl2br w:val="nil"/>
              <w:tr2bl w:val="nil"/>
            </w:tcBorders>
            <w:vAlign w:val="center"/>
          </w:tcPr>
          <w:p>
            <w:pPr>
              <w:spacing w:line="280" w:lineRule="exact"/>
              <w:jc w:val="center"/>
              <w:rPr>
                <w:color w:val="auto"/>
                <w:sz w:val="18"/>
                <w:szCs w:val="18"/>
                <w:highlight w:val="none"/>
              </w:rPr>
            </w:pPr>
            <w:r>
              <w:rPr>
                <w:color w:val="auto"/>
                <w:sz w:val="18"/>
                <w:szCs w:val="18"/>
                <w:highlight w:val="none"/>
              </w:rPr>
              <w:t>耐腐蚀容器收集，定期交有资质单位处理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trPr>
        <w:tc>
          <w:tcPr>
            <w:tcW w:w="8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eastAsia="宋体"/>
                <w:color w:val="auto"/>
                <w:sz w:val="18"/>
                <w:szCs w:val="18"/>
                <w:highlight w:val="none"/>
                <w:lang w:eastAsia="zh-CN"/>
              </w:rPr>
            </w:pPr>
            <w:r>
              <w:rPr>
                <w:rFonts w:hint="eastAsia"/>
                <w:color w:val="auto"/>
                <w:sz w:val="18"/>
                <w:szCs w:val="18"/>
                <w:highlight w:val="none"/>
                <w:lang w:eastAsia="zh-CN"/>
              </w:rPr>
              <w:t>含油废棉丝</w:t>
            </w:r>
          </w:p>
        </w:tc>
        <w:tc>
          <w:tcPr>
            <w:tcW w:w="7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HW</w:t>
            </w:r>
            <w:r>
              <w:rPr>
                <w:rFonts w:hint="eastAsia"/>
                <w:color w:val="auto"/>
                <w:sz w:val="18"/>
                <w:szCs w:val="18"/>
                <w:highlight w:val="none"/>
                <w:lang w:val="en-US" w:eastAsia="zh-CN"/>
              </w:rPr>
              <w:t>49</w:t>
            </w:r>
          </w:p>
        </w:tc>
        <w:tc>
          <w:tcPr>
            <w:tcW w:w="10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r>
              <w:rPr>
                <w:color w:val="auto"/>
                <w:sz w:val="18"/>
                <w:szCs w:val="18"/>
                <w:highlight w:val="none"/>
              </w:rPr>
              <w:t>900-</w:t>
            </w:r>
            <w:r>
              <w:rPr>
                <w:rFonts w:hint="eastAsia"/>
                <w:color w:val="auto"/>
                <w:sz w:val="18"/>
                <w:szCs w:val="18"/>
                <w:highlight w:val="none"/>
                <w:lang w:val="en-US" w:eastAsia="zh-CN"/>
              </w:rPr>
              <w:t>041</w:t>
            </w:r>
            <w:r>
              <w:rPr>
                <w:color w:val="auto"/>
                <w:sz w:val="18"/>
                <w:szCs w:val="18"/>
                <w:highlight w:val="none"/>
              </w:rPr>
              <w:t>-</w:t>
            </w:r>
            <w:r>
              <w:rPr>
                <w:rFonts w:hint="eastAsia"/>
                <w:color w:val="auto"/>
                <w:sz w:val="18"/>
                <w:szCs w:val="18"/>
                <w:highlight w:val="none"/>
                <w:lang w:val="en-US" w:eastAsia="zh-CN"/>
              </w:rPr>
              <w:t>49</w:t>
            </w:r>
          </w:p>
        </w:tc>
        <w:tc>
          <w:tcPr>
            <w:tcW w:w="7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0.0</w:t>
            </w:r>
            <w:r>
              <w:rPr>
                <w:rFonts w:hint="eastAsia"/>
                <w:color w:val="auto"/>
                <w:sz w:val="18"/>
                <w:szCs w:val="18"/>
                <w:highlight w:val="none"/>
                <w:lang w:val="en-US" w:eastAsia="zh-CN"/>
              </w:rPr>
              <w:t>05</w:t>
            </w:r>
          </w:p>
        </w:tc>
        <w:tc>
          <w:tcPr>
            <w:tcW w:w="86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eastAsia="zh-CN"/>
              </w:rPr>
              <w:t>维修</w:t>
            </w:r>
          </w:p>
        </w:tc>
        <w:tc>
          <w:tcPr>
            <w:tcW w:w="5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rFonts w:hint="eastAsia"/>
                <w:color w:val="auto"/>
                <w:sz w:val="18"/>
                <w:szCs w:val="18"/>
                <w:highlight w:val="none"/>
              </w:rPr>
              <w:t>固</w:t>
            </w:r>
            <w:r>
              <w:rPr>
                <w:color w:val="auto"/>
                <w:sz w:val="18"/>
                <w:szCs w:val="18"/>
                <w:highlight w:val="none"/>
              </w:rPr>
              <w:t>态</w:t>
            </w:r>
          </w:p>
        </w:tc>
        <w:tc>
          <w:tcPr>
            <w:tcW w:w="6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废矿物油</w:t>
            </w:r>
          </w:p>
        </w:tc>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废矿物油</w:t>
            </w:r>
          </w:p>
        </w:tc>
        <w:tc>
          <w:tcPr>
            <w:tcW w:w="6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1年</w:t>
            </w:r>
          </w:p>
        </w:tc>
        <w:tc>
          <w:tcPr>
            <w:tcW w:w="6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eastAsia="宋体"/>
                <w:color w:val="auto"/>
                <w:sz w:val="18"/>
                <w:szCs w:val="18"/>
                <w:highlight w:val="none"/>
                <w:lang w:val="en-US" w:eastAsia="zh-CN"/>
              </w:rPr>
            </w:pPr>
            <w:r>
              <w:rPr>
                <w:color w:val="auto"/>
                <w:sz w:val="18"/>
                <w:szCs w:val="18"/>
                <w:highlight w:val="none"/>
              </w:rPr>
              <w:t>T，I</w:t>
            </w:r>
            <w:r>
              <w:rPr>
                <w:rFonts w:hint="eastAsia"/>
                <w:color w:val="auto"/>
                <w:sz w:val="18"/>
                <w:szCs w:val="18"/>
                <w:highlight w:val="none"/>
                <w:lang w:val="en-US" w:eastAsia="zh-CN"/>
              </w:rPr>
              <w:t>n</w:t>
            </w:r>
          </w:p>
        </w:tc>
        <w:tc>
          <w:tcPr>
            <w:tcW w:w="994" w:type="dxa"/>
            <w:vMerge w:val="continue"/>
            <w:tcBorders>
              <w:tl2br w:val="nil"/>
              <w:tr2bl w:val="nil"/>
            </w:tcBorders>
            <w:vAlign w:val="center"/>
          </w:tcPr>
          <w:p>
            <w:pPr>
              <w:spacing w:line="280" w:lineRule="exact"/>
              <w:jc w:val="center"/>
              <w:rPr>
                <w:color w:val="auto"/>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rFonts w:hint="eastAsia"/>
                <w:color w:val="auto"/>
                <w:sz w:val="18"/>
                <w:szCs w:val="18"/>
                <w:highlight w:val="none"/>
              </w:rPr>
              <w:t>废油桶</w:t>
            </w:r>
          </w:p>
        </w:tc>
        <w:tc>
          <w:tcPr>
            <w:tcW w:w="7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rFonts w:hint="eastAsia"/>
                <w:color w:val="auto"/>
                <w:sz w:val="18"/>
                <w:szCs w:val="18"/>
                <w:highlight w:val="none"/>
              </w:rPr>
              <w:t>HW08</w:t>
            </w:r>
          </w:p>
        </w:tc>
        <w:tc>
          <w:tcPr>
            <w:tcW w:w="10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900-2</w:t>
            </w:r>
            <w:r>
              <w:rPr>
                <w:rFonts w:hint="eastAsia"/>
                <w:color w:val="auto"/>
                <w:sz w:val="18"/>
                <w:szCs w:val="18"/>
                <w:highlight w:val="none"/>
              </w:rPr>
              <w:t>49</w:t>
            </w:r>
            <w:r>
              <w:rPr>
                <w:color w:val="auto"/>
                <w:sz w:val="18"/>
                <w:szCs w:val="18"/>
                <w:highlight w:val="none"/>
              </w:rPr>
              <w:t>-08</w:t>
            </w:r>
          </w:p>
        </w:tc>
        <w:tc>
          <w:tcPr>
            <w:tcW w:w="7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rFonts w:hint="eastAsia"/>
                <w:color w:val="auto"/>
                <w:sz w:val="18"/>
                <w:szCs w:val="18"/>
                <w:highlight w:val="none"/>
              </w:rPr>
              <w:t>0.03</w:t>
            </w:r>
          </w:p>
        </w:tc>
        <w:tc>
          <w:tcPr>
            <w:tcW w:w="86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rFonts w:hint="eastAsia"/>
                <w:color w:val="auto"/>
                <w:sz w:val="18"/>
                <w:szCs w:val="18"/>
                <w:highlight w:val="none"/>
              </w:rPr>
              <w:t>储存废油</w:t>
            </w:r>
          </w:p>
        </w:tc>
        <w:tc>
          <w:tcPr>
            <w:tcW w:w="5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rFonts w:hint="eastAsia"/>
                <w:color w:val="auto"/>
                <w:sz w:val="18"/>
                <w:szCs w:val="18"/>
                <w:highlight w:val="none"/>
              </w:rPr>
              <w:t>固</w:t>
            </w:r>
            <w:r>
              <w:rPr>
                <w:color w:val="auto"/>
                <w:sz w:val="18"/>
                <w:szCs w:val="18"/>
                <w:highlight w:val="none"/>
              </w:rPr>
              <w:t>态</w:t>
            </w:r>
          </w:p>
        </w:tc>
        <w:tc>
          <w:tcPr>
            <w:tcW w:w="6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rFonts w:hint="eastAsia"/>
                <w:color w:val="auto"/>
                <w:sz w:val="18"/>
                <w:szCs w:val="18"/>
                <w:highlight w:val="none"/>
              </w:rPr>
              <w:t>铁</w:t>
            </w:r>
          </w:p>
        </w:tc>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废</w:t>
            </w:r>
            <w:r>
              <w:rPr>
                <w:rFonts w:hint="eastAsia"/>
                <w:color w:val="auto"/>
                <w:sz w:val="18"/>
                <w:szCs w:val="18"/>
                <w:highlight w:val="none"/>
              </w:rPr>
              <w:t>矿物</w:t>
            </w:r>
            <w:r>
              <w:rPr>
                <w:color w:val="auto"/>
                <w:sz w:val="18"/>
                <w:szCs w:val="18"/>
                <w:highlight w:val="none"/>
              </w:rPr>
              <w:t>油</w:t>
            </w:r>
          </w:p>
        </w:tc>
        <w:tc>
          <w:tcPr>
            <w:tcW w:w="6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1年</w:t>
            </w:r>
          </w:p>
        </w:tc>
        <w:tc>
          <w:tcPr>
            <w:tcW w:w="6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T，I</w:t>
            </w:r>
          </w:p>
        </w:tc>
        <w:tc>
          <w:tcPr>
            <w:tcW w:w="994" w:type="dxa"/>
            <w:vMerge w:val="continue"/>
            <w:tcBorders>
              <w:tl2br w:val="nil"/>
              <w:tr2bl w:val="nil"/>
            </w:tcBorders>
            <w:vAlign w:val="center"/>
          </w:tcPr>
          <w:p>
            <w:pPr>
              <w:spacing w:line="280" w:lineRule="exact"/>
              <w:jc w:val="center"/>
              <w:rPr>
                <w:color w:val="auto"/>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color w:val="auto"/>
                <w:sz w:val="18"/>
                <w:szCs w:val="18"/>
                <w:highlight w:val="none"/>
              </w:rPr>
            </w:pPr>
            <w:r>
              <w:rPr>
                <w:rFonts w:hint="eastAsia"/>
                <w:color w:val="auto"/>
                <w:sz w:val="18"/>
                <w:szCs w:val="18"/>
                <w:highlight w:val="none"/>
                <w:lang w:eastAsia="zh-CN"/>
              </w:rPr>
              <w:t>废变压器油</w:t>
            </w:r>
          </w:p>
        </w:tc>
        <w:tc>
          <w:tcPr>
            <w:tcW w:w="7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color w:val="auto"/>
                <w:sz w:val="18"/>
                <w:szCs w:val="18"/>
                <w:highlight w:val="none"/>
              </w:rPr>
            </w:pPr>
            <w:r>
              <w:rPr>
                <w:rFonts w:hint="eastAsia"/>
                <w:color w:val="auto"/>
                <w:sz w:val="18"/>
                <w:szCs w:val="18"/>
                <w:highlight w:val="none"/>
              </w:rPr>
              <w:t>HW08</w:t>
            </w:r>
          </w:p>
        </w:tc>
        <w:tc>
          <w:tcPr>
            <w:tcW w:w="10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900-</w:t>
            </w:r>
            <w:r>
              <w:rPr>
                <w:rFonts w:hint="eastAsia"/>
                <w:color w:val="auto"/>
                <w:sz w:val="18"/>
                <w:szCs w:val="18"/>
                <w:highlight w:val="none"/>
                <w:lang w:val="en-US" w:eastAsia="zh-CN"/>
              </w:rPr>
              <w:t>200</w:t>
            </w:r>
            <w:r>
              <w:rPr>
                <w:color w:val="auto"/>
                <w:sz w:val="18"/>
                <w:szCs w:val="18"/>
                <w:highlight w:val="none"/>
              </w:rPr>
              <w:t>-08</w:t>
            </w:r>
          </w:p>
        </w:tc>
        <w:tc>
          <w:tcPr>
            <w:tcW w:w="7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0.08t/</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5a</w:t>
            </w:r>
          </w:p>
        </w:tc>
        <w:tc>
          <w:tcPr>
            <w:tcW w:w="86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eastAsia="宋体"/>
                <w:color w:val="auto"/>
                <w:sz w:val="18"/>
                <w:szCs w:val="18"/>
                <w:highlight w:val="none"/>
                <w:lang w:eastAsia="zh-CN"/>
              </w:rPr>
            </w:pPr>
            <w:r>
              <w:rPr>
                <w:rFonts w:hint="eastAsia"/>
                <w:color w:val="auto"/>
                <w:sz w:val="18"/>
                <w:szCs w:val="18"/>
                <w:highlight w:val="none"/>
                <w:lang w:eastAsia="zh-CN"/>
              </w:rPr>
              <w:t>变压器</w:t>
            </w:r>
          </w:p>
        </w:tc>
        <w:tc>
          <w:tcPr>
            <w:tcW w:w="5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color w:val="auto"/>
                <w:sz w:val="18"/>
                <w:szCs w:val="18"/>
                <w:highlight w:val="none"/>
              </w:rPr>
            </w:pPr>
            <w:r>
              <w:rPr>
                <w:color w:val="auto"/>
                <w:sz w:val="18"/>
                <w:szCs w:val="18"/>
                <w:highlight w:val="none"/>
              </w:rPr>
              <w:t>液态</w:t>
            </w:r>
          </w:p>
        </w:tc>
        <w:tc>
          <w:tcPr>
            <w:tcW w:w="6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color w:val="auto"/>
                <w:sz w:val="18"/>
                <w:szCs w:val="18"/>
                <w:highlight w:val="none"/>
              </w:rPr>
            </w:pPr>
            <w:r>
              <w:rPr>
                <w:color w:val="auto"/>
                <w:sz w:val="18"/>
                <w:szCs w:val="18"/>
                <w:highlight w:val="none"/>
              </w:rPr>
              <w:t>废</w:t>
            </w:r>
            <w:r>
              <w:rPr>
                <w:rFonts w:hint="eastAsia"/>
                <w:color w:val="auto"/>
                <w:sz w:val="18"/>
                <w:szCs w:val="18"/>
                <w:highlight w:val="none"/>
              </w:rPr>
              <w:t>矿物</w:t>
            </w:r>
            <w:r>
              <w:rPr>
                <w:color w:val="auto"/>
                <w:sz w:val="18"/>
                <w:szCs w:val="18"/>
                <w:highlight w:val="none"/>
              </w:rPr>
              <w:t>油</w:t>
            </w:r>
          </w:p>
        </w:tc>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废</w:t>
            </w:r>
            <w:r>
              <w:rPr>
                <w:rFonts w:hint="eastAsia"/>
                <w:color w:val="auto"/>
                <w:sz w:val="18"/>
                <w:szCs w:val="18"/>
                <w:highlight w:val="none"/>
              </w:rPr>
              <w:t>矿物</w:t>
            </w:r>
            <w:r>
              <w:rPr>
                <w:color w:val="auto"/>
                <w:sz w:val="18"/>
                <w:szCs w:val="18"/>
                <w:highlight w:val="none"/>
              </w:rPr>
              <w:t>油</w:t>
            </w:r>
          </w:p>
        </w:tc>
        <w:tc>
          <w:tcPr>
            <w:tcW w:w="6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5年</w:t>
            </w:r>
          </w:p>
        </w:tc>
        <w:tc>
          <w:tcPr>
            <w:tcW w:w="63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18"/>
                <w:szCs w:val="18"/>
                <w:highlight w:val="none"/>
              </w:rPr>
            </w:pPr>
            <w:r>
              <w:rPr>
                <w:color w:val="auto"/>
                <w:sz w:val="18"/>
                <w:szCs w:val="18"/>
                <w:highlight w:val="none"/>
              </w:rPr>
              <w:t>T，I</w:t>
            </w:r>
          </w:p>
        </w:tc>
        <w:tc>
          <w:tcPr>
            <w:tcW w:w="994" w:type="dxa"/>
            <w:tcBorders>
              <w:tl2br w:val="nil"/>
              <w:tr2bl w:val="nil"/>
            </w:tcBorders>
            <w:vAlign w:val="center"/>
          </w:tcPr>
          <w:p>
            <w:pPr>
              <w:spacing w:line="280" w:lineRule="exact"/>
              <w:jc w:val="center"/>
              <w:rPr>
                <w:color w:val="auto"/>
                <w:sz w:val="18"/>
                <w:szCs w:val="18"/>
                <w:highlight w:val="none"/>
              </w:rPr>
            </w:pPr>
            <w:r>
              <w:rPr>
                <w:rFonts w:hint="eastAsia"/>
                <w:color w:val="auto"/>
                <w:sz w:val="18"/>
                <w:szCs w:val="18"/>
                <w:highlight w:val="none"/>
                <w:lang w:eastAsia="zh-CN"/>
              </w:rPr>
              <w:t>更换后厂家直接带走</w:t>
            </w:r>
          </w:p>
        </w:tc>
      </w:tr>
    </w:tbl>
    <w:p>
      <w:pPr>
        <w:spacing w:line="480" w:lineRule="exact"/>
        <w:ind w:firstLine="480" w:firstLineChars="200"/>
        <w:rPr>
          <w:color w:val="auto"/>
          <w:sz w:val="24"/>
          <w:highlight w:val="none"/>
        </w:rPr>
      </w:pPr>
      <w:r>
        <w:rPr>
          <w:rFonts w:hint="eastAsia"/>
          <w:color w:val="auto"/>
          <w:sz w:val="24"/>
          <w:highlight w:val="none"/>
        </w:rPr>
        <w:t>危险废物贮存场所基本情况表见表 3.2-5。</w:t>
      </w:r>
    </w:p>
    <w:p>
      <w:pPr>
        <w:spacing w:line="480" w:lineRule="exact"/>
        <w:jc w:val="center"/>
        <w:rPr>
          <w:b/>
          <w:bCs/>
          <w:color w:val="auto"/>
          <w:sz w:val="24"/>
          <w:highlight w:val="none"/>
        </w:rPr>
      </w:pPr>
      <w:r>
        <w:rPr>
          <w:rFonts w:hint="eastAsia"/>
          <w:b/>
          <w:bCs/>
          <w:color w:val="auto"/>
          <w:sz w:val="24"/>
          <w:highlight w:val="none"/>
        </w:rPr>
        <w:t>表3.2-5 项目危险废物贮存场所基本情况表</w:t>
      </w:r>
    </w:p>
    <w:tbl>
      <w:tblPr>
        <w:tblStyle w:val="51"/>
        <w:tblW w:w="8304"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14"/>
        <w:gridCol w:w="855"/>
        <w:gridCol w:w="807"/>
        <w:gridCol w:w="722"/>
        <w:gridCol w:w="1150"/>
        <w:gridCol w:w="633"/>
        <w:gridCol w:w="585"/>
        <w:gridCol w:w="631"/>
        <w:gridCol w:w="359"/>
        <w:gridCol w:w="570"/>
        <w:gridCol w:w="157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95" w:hRule="atLeast"/>
        </w:trPr>
        <w:tc>
          <w:tcPr>
            <w:tcW w:w="414" w:type="dxa"/>
            <w:tcBorders>
              <w:tl2br w:val="nil"/>
              <w:tr2bl w:val="nil"/>
            </w:tcBorders>
            <w:vAlign w:val="center"/>
          </w:tcPr>
          <w:p>
            <w:pPr>
              <w:spacing w:line="280" w:lineRule="exact"/>
              <w:jc w:val="center"/>
              <w:rPr>
                <w:color w:val="auto"/>
                <w:sz w:val="18"/>
                <w:szCs w:val="18"/>
                <w:highlight w:val="none"/>
              </w:rPr>
            </w:pPr>
            <w:r>
              <w:rPr>
                <w:rFonts w:hint="eastAsia"/>
                <w:color w:val="auto"/>
                <w:sz w:val="18"/>
                <w:szCs w:val="18"/>
                <w:highlight w:val="none"/>
              </w:rPr>
              <w:t>序</w:t>
            </w:r>
          </w:p>
          <w:p>
            <w:pPr>
              <w:spacing w:line="280" w:lineRule="exact"/>
              <w:jc w:val="center"/>
              <w:rPr>
                <w:color w:val="auto"/>
                <w:sz w:val="18"/>
                <w:szCs w:val="18"/>
                <w:highlight w:val="none"/>
              </w:rPr>
            </w:pPr>
            <w:r>
              <w:rPr>
                <w:rFonts w:hint="eastAsia"/>
                <w:color w:val="auto"/>
                <w:sz w:val="18"/>
                <w:szCs w:val="18"/>
                <w:highlight w:val="none"/>
              </w:rPr>
              <w:t>号</w:t>
            </w:r>
          </w:p>
        </w:tc>
        <w:tc>
          <w:tcPr>
            <w:tcW w:w="855" w:type="dxa"/>
            <w:tcBorders>
              <w:tl2br w:val="nil"/>
              <w:tr2bl w:val="nil"/>
            </w:tcBorders>
            <w:vAlign w:val="center"/>
          </w:tcPr>
          <w:p>
            <w:pPr>
              <w:spacing w:line="280" w:lineRule="exact"/>
              <w:jc w:val="center"/>
              <w:rPr>
                <w:color w:val="auto"/>
                <w:sz w:val="18"/>
                <w:szCs w:val="18"/>
                <w:highlight w:val="none"/>
              </w:rPr>
            </w:pPr>
            <w:r>
              <w:rPr>
                <w:rFonts w:hint="eastAsia"/>
                <w:color w:val="auto"/>
                <w:sz w:val="18"/>
                <w:szCs w:val="18"/>
                <w:highlight w:val="none"/>
              </w:rPr>
              <w:t>贮存场所（设施） 名称</w:t>
            </w:r>
          </w:p>
        </w:tc>
        <w:tc>
          <w:tcPr>
            <w:tcW w:w="807" w:type="dxa"/>
            <w:tcBorders>
              <w:tl2br w:val="nil"/>
              <w:tr2bl w:val="nil"/>
            </w:tcBorders>
            <w:vAlign w:val="center"/>
          </w:tcPr>
          <w:p>
            <w:pPr>
              <w:spacing w:line="280" w:lineRule="exact"/>
              <w:jc w:val="center"/>
              <w:rPr>
                <w:color w:val="auto"/>
                <w:sz w:val="18"/>
                <w:szCs w:val="18"/>
                <w:highlight w:val="none"/>
              </w:rPr>
            </w:pPr>
            <w:r>
              <w:rPr>
                <w:color w:val="auto"/>
                <w:sz w:val="18"/>
                <w:szCs w:val="18"/>
                <w:highlight w:val="none"/>
              </w:rPr>
              <w:t>危险废物名称</w:t>
            </w:r>
          </w:p>
        </w:tc>
        <w:tc>
          <w:tcPr>
            <w:tcW w:w="722" w:type="dxa"/>
            <w:tcBorders>
              <w:tl2br w:val="nil"/>
              <w:tr2bl w:val="nil"/>
            </w:tcBorders>
            <w:vAlign w:val="center"/>
          </w:tcPr>
          <w:p>
            <w:pPr>
              <w:spacing w:line="280" w:lineRule="exact"/>
              <w:jc w:val="center"/>
              <w:rPr>
                <w:color w:val="auto"/>
                <w:sz w:val="18"/>
                <w:szCs w:val="18"/>
                <w:highlight w:val="none"/>
              </w:rPr>
            </w:pPr>
            <w:r>
              <w:rPr>
                <w:color w:val="auto"/>
                <w:sz w:val="18"/>
                <w:szCs w:val="18"/>
                <w:highlight w:val="none"/>
              </w:rPr>
              <w:t>危险废物类别</w:t>
            </w:r>
          </w:p>
        </w:tc>
        <w:tc>
          <w:tcPr>
            <w:tcW w:w="1150" w:type="dxa"/>
            <w:tcBorders>
              <w:tl2br w:val="nil"/>
              <w:tr2bl w:val="nil"/>
            </w:tcBorders>
            <w:vAlign w:val="center"/>
          </w:tcPr>
          <w:p>
            <w:pPr>
              <w:spacing w:line="280" w:lineRule="exact"/>
              <w:jc w:val="center"/>
              <w:rPr>
                <w:color w:val="auto"/>
                <w:sz w:val="18"/>
                <w:szCs w:val="18"/>
                <w:highlight w:val="none"/>
              </w:rPr>
            </w:pPr>
            <w:r>
              <w:rPr>
                <w:color w:val="auto"/>
                <w:sz w:val="18"/>
                <w:szCs w:val="18"/>
                <w:highlight w:val="none"/>
              </w:rPr>
              <w:t>危险废物代码</w:t>
            </w:r>
          </w:p>
        </w:tc>
        <w:tc>
          <w:tcPr>
            <w:tcW w:w="633" w:type="dxa"/>
            <w:tcBorders>
              <w:tl2br w:val="nil"/>
              <w:tr2bl w:val="nil"/>
            </w:tcBorders>
            <w:vAlign w:val="center"/>
          </w:tcPr>
          <w:p>
            <w:pPr>
              <w:spacing w:line="280" w:lineRule="exact"/>
              <w:jc w:val="center"/>
              <w:rPr>
                <w:color w:val="auto"/>
                <w:sz w:val="18"/>
                <w:szCs w:val="18"/>
                <w:highlight w:val="none"/>
              </w:rPr>
            </w:pPr>
            <w:r>
              <w:rPr>
                <w:rFonts w:hint="eastAsia"/>
                <w:color w:val="auto"/>
                <w:sz w:val="18"/>
                <w:szCs w:val="18"/>
                <w:highlight w:val="none"/>
              </w:rPr>
              <w:t>位置</w:t>
            </w:r>
          </w:p>
        </w:tc>
        <w:tc>
          <w:tcPr>
            <w:tcW w:w="585" w:type="dxa"/>
            <w:tcBorders>
              <w:tl2br w:val="nil"/>
              <w:tr2bl w:val="nil"/>
            </w:tcBorders>
            <w:vAlign w:val="center"/>
          </w:tcPr>
          <w:p>
            <w:pPr>
              <w:spacing w:line="280" w:lineRule="exact"/>
              <w:jc w:val="center"/>
              <w:rPr>
                <w:color w:val="auto"/>
                <w:sz w:val="18"/>
                <w:szCs w:val="18"/>
                <w:highlight w:val="none"/>
              </w:rPr>
            </w:pPr>
            <w:r>
              <w:rPr>
                <w:rFonts w:hint="eastAsia"/>
                <w:color w:val="auto"/>
                <w:sz w:val="18"/>
                <w:szCs w:val="18"/>
                <w:highlight w:val="none"/>
              </w:rPr>
              <w:t>占地面积</w:t>
            </w:r>
          </w:p>
        </w:tc>
        <w:tc>
          <w:tcPr>
            <w:tcW w:w="631" w:type="dxa"/>
            <w:tcBorders>
              <w:tl2br w:val="nil"/>
              <w:tr2bl w:val="nil"/>
            </w:tcBorders>
            <w:vAlign w:val="center"/>
          </w:tcPr>
          <w:p>
            <w:pPr>
              <w:spacing w:line="280" w:lineRule="exact"/>
              <w:jc w:val="center"/>
              <w:rPr>
                <w:color w:val="auto"/>
                <w:sz w:val="18"/>
                <w:szCs w:val="18"/>
                <w:highlight w:val="none"/>
              </w:rPr>
            </w:pPr>
            <w:r>
              <w:rPr>
                <w:rFonts w:hint="eastAsia"/>
                <w:color w:val="auto"/>
                <w:sz w:val="18"/>
                <w:szCs w:val="18"/>
                <w:highlight w:val="none"/>
              </w:rPr>
              <w:t>贮存</w:t>
            </w:r>
          </w:p>
          <w:p>
            <w:pPr>
              <w:spacing w:line="280" w:lineRule="exact"/>
              <w:jc w:val="center"/>
              <w:rPr>
                <w:color w:val="auto"/>
                <w:sz w:val="18"/>
                <w:szCs w:val="18"/>
                <w:highlight w:val="none"/>
              </w:rPr>
            </w:pPr>
            <w:r>
              <w:rPr>
                <w:rFonts w:hint="eastAsia"/>
                <w:color w:val="auto"/>
                <w:sz w:val="18"/>
                <w:szCs w:val="18"/>
                <w:highlight w:val="none"/>
              </w:rPr>
              <w:t>方式</w:t>
            </w:r>
          </w:p>
        </w:tc>
        <w:tc>
          <w:tcPr>
            <w:tcW w:w="359" w:type="dxa"/>
            <w:tcBorders>
              <w:tl2br w:val="nil"/>
              <w:tr2bl w:val="nil"/>
            </w:tcBorders>
            <w:vAlign w:val="center"/>
          </w:tcPr>
          <w:p>
            <w:pPr>
              <w:spacing w:line="280" w:lineRule="exact"/>
              <w:jc w:val="center"/>
              <w:rPr>
                <w:color w:val="auto"/>
                <w:sz w:val="18"/>
                <w:szCs w:val="18"/>
                <w:highlight w:val="none"/>
              </w:rPr>
            </w:pPr>
            <w:r>
              <w:rPr>
                <w:rFonts w:hint="eastAsia"/>
                <w:color w:val="auto"/>
                <w:sz w:val="18"/>
                <w:szCs w:val="18"/>
                <w:highlight w:val="none"/>
              </w:rPr>
              <w:t>储存能力</w:t>
            </w:r>
          </w:p>
        </w:tc>
        <w:tc>
          <w:tcPr>
            <w:tcW w:w="570" w:type="dxa"/>
            <w:tcBorders>
              <w:tl2br w:val="nil"/>
              <w:tr2bl w:val="nil"/>
            </w:tcBorders>
            <w:vAlign w:val="center"/>
          </w:tcPr>
          <w:p>
            <w:pPr>
              <w:spacing w:line="280" w:lineRule="exact"/>
              <w:jc w:val="center"/>
              <w:rPr>
                <w:color w:val="auto"/>
                <w:sz w:val="18"/>
                <w:szCs w:val="18"/>
                <w:highlight w:val="none"/>
              </w:rPr>
            </w:pPr>
            <w:r>
              <w:rPr>
                <w:rFonts w:hint="eastAsia"/>
                <w:color w:val="auto"/>
                <w:sz w:val="18"/>
                <w:szCs w:val="18"/>
                <w:highlight w:val="none"/>
              </w:rPr>
              <w:t>贮存</w:t>
            </w:r>
          </w:p>
          <w:p>
            <w:pPr>
              <w:spacing w:line="280" w:lineRule="exact"/>
              <w:jc w:val="center"/>
              <w:rPr>
                <w:color w:val="auto"/>
                <w:sz w:val="18"/>
                <w:szCs w:val="18"/>
                <w:highlight w:val="none"/>
              </w:rPr>
            </w:pPr>
            <w:r>
              <w:rPr>
                <w:rFonts w:hint="eastAsia"/>
                <w:color w:val="auto"/>
                <w:sz w:val="18"/>
                <w:szCs w:val="18"/>
                <w:highlight w:val="none"/>
              </w:rPr>
              <w:t>周期</w:t>
            </w:r>
          </w:p>
        </w:tc>
        <w:tc>
          <w:tcPr>
            <w:tcW w:w="1578" w:type="dxa"/>
            <w:tcBorders>
              <w:tl2br w:val="nil"/>
              <w:tr2bl w:val="nil"/>
            </w:tcBorders>
            <w:vAlign w:val="center"/>
          </w:tcPr>
          <w:p>
            <w:pPr>
              <w:spacing w:line="280" w:lineRule="exact"/>
              <w:jc w:val="center"/>
              <w:rPr>
                <w:color w:val="auto"/>
                <w:sz w:val="18"/>
                <w:szCs w:val="18"/>
                <w:highlight w:val="none"/>
              </w:rPr>
            </w:pPr>
            <w:r>
              <w:rPr>
                <w:rFonts w:hint="eastAsia"/>
                <w:color w:val="auto"/>
                <w:sz w:val="18"/>
                <w:szCs w:val="18"/>
                <w:highlight w:val="none"/>
              </w:rPr>
              <w:t>防渗要求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414" w:type="dxa"/>
            <w:vMerge w:val="restart"/>
            <w:tcBorders>
              <w:tl2br w:val="nil"/>
              <w:tr2bl w:val="nil"/>
            </w:tcBorders>
            <w:vAlign w:val="center"/>
          </w:tcPr>
          <w:p>
            <w:pPr>
              <w:spacing w:line="280" w:lineRule="exact"/>
              <w:jc w:val="center"/>
              <w:rPr>
                <w:rFonts w:hint="default" w:eastAsia="宋体"/>
                <w:color w:val="auto"/>
                <w:sz w:val="18"/>
                <w:szCs w:val="18"/>
                <w:highlight w:val="none"/>
                <w:lang w:val="en-US" w:eastAsia="zh-CN"/>
              </w:rPr>
            </w:pPr>
            <w:r>
              <w:rPr>
                <w:rFonts w:hint="eastAsia"/>
                <w:color w:val="auto"/>
                <w:sz w:val="18"/>
                <w:szCs w:val="18"/>
                <w:highlight w:val="none"/>
              </w:rPr>
              <w:t>1</w:t>
            </w:r>
          </w:p>
        </w:tc>
        <w:tc>
          <w:tcPr>
            <w:tcW w:w="855" w:type="dxa"/>
            <w:vMerge w:val="restart"/>
            <w:tcBorders>
              <w:tl2br w:val="nil"/>
              <w:tr2bl w:val="nil"/>
            </w:tcBorders>
            <w:vAlign w:val="center"/>
          </w:tcPr>
          <w:p>
            <w:pPr>
              <w:spacing w:line="280" w:lineRule="exact"/>
              <w:jc w:val="center"/>
              <w:rPr>
                <w:color w:val="auto"/>
                <w:sz w:val="18"/>
                <w:szCs w:val="18"/>
                <w:highlight w:val="none"/>
              </w:rPr>
            </w:pPr>
            <w:r>
              <w:rPr>
                <w:rFonts w:hint="eastAsia"/>
                <w:color w:val="auto"/>
                <w:sz w:val="18"/>
                <w:szCs w:val="18"/>
                <w:highlight w:val="none"/>
              </w:rPr>
              <w:t>危废间</w:t>
            </w:r>
          </w:p>
        </w:tc>
        <w:tc>
          <w:tcPr>
            <w:tcW w:w="807" w:type="dxa"/>
            <w:tcBorders>
              <w:tl2br w:val="nil"/>
              <w:tr2bl w:val="nil"/>
            </w:tcBorders>
            <w:vAlign w:val="center"/>
          </w:tcPr>
          <w:p>
            <w:pPr>
              <w:spacing w:line="280" w:lineRule="exact"/>
              <w:jc w:val="center"/>
              <w:rPr>
                <w:color w:val="auto"/>
                <w:sz w:val="18"/>
                <w:szCs w:val="18"/>
                <w:highlight w:val="none"/>
              </w:rPr>
            </w:pPr>
            <w:r>
              <w:rPr>
                <w:rFonts w:hint="eastAsia"/>
                <w:color w:val="auto"/>
                <w:sz w:val="18"/>
                <w:szCs w:val="18"/>
                <w:highlight w:val="none"/>
              </w:rPr>
              <w:t>废</w:t>
            </w:r>
            <w:r>
              <w:rPr>
                <w:rFonts w:hint="eastAsia"/>
                <w:color w:val="auto"/>
                <w:sz w:val="18"/>
                <w:szCs w:val="18"/>
                <w:highlight w:val="none"/>
                <w:lang w:eastAsia="zh-CN"/>
              </w:rPr>
              <w:t>润滑</w:t>
            </w:r>
            <w:r>
              <w:rPr>
                <w:rFonts w:hint="eastAsia"/>
                <w:color w:val="auto"/>
                <w:sz w:val="18"/>
                <w:szCs w:val="18"/>
                <w:highlight w:val="none"/>
              </w:rPr>
              <w:t>油</w:t>
            </w:r>
          </w:p>
        </w:tc>
        <w:tc>
          <w:tcPr>
            <w:tcW w:w="722" w:type="dxa"/>
            <w:tcBorders>
              <w:tl2br w:val="nil"/>
              <w:tr2bl w:val="nil"/>
            </w:tcBorders>
            <w:vAlign w:val="center"/>
          </w:tcPr>
          <w:p>
            <w:pPr>
              <w:spacing w:line="280" w:lineRule="exact"/>
              <w:jc w:val="center"/>
              <w:rPr>
                <w:color w:val="auto"/>
                <w:sz w:val="18"/>
                <w:szCs w:val="18"/>
                <w:highlight w:val="none"/>
              </w:rPr>
            </w:pPr>
            <w:r>
              <w:rPr>
                <w:rFonts w:hint="eastAsia"/>
                <w:color w:val="auto"/>
                <w:sz w:val="18"/>
                <w:szCs w:val="18"/>
                <w:highlight w:val="none"/>
              </w:rPr>
              <w:t>HW08</w:t>
            </w:r>
          </w:p>
        </w:tc>
        <w:tc>
          <w:tcPr>
            <w:tcW w:w="1150" w:type="dxa"/>
            <w:tcBorders>
              <w:tl2br w:val="nil"/>
              <w:tr2bl w:val="nil"/>
            </w:tcBorders>
            <w:vAlign w:val="center"/>
          </w:tcPr>
          <w:p>
            <w:pPr>
              <w:spacing w:line="280" w:lineRule="exact"/>
              <w:jc w:val="center"/>
              <w:rPr>
                <w:color w:val="auto"/>
                <w:sz w:val="18"/>
                <w:szCs w:val="18"/>
                <w:highlight w:val="none"/>
              </w:rPr>
            </w:pPr>
            <w:r>
              <w:rPr>
                <w:color w:val="auto"/>
                <w:sz w:val="18"/>
                <w:szCs w:val="18"/>
                <w:highlight w:val="none"/>
              </w:rPr>
              <w:t>900-214-08</w:t>
            </w:r>
          </w:p>
        </w:tc>
        <w:tc>
          <w:tcPr>
            <w:tcW w:w="633" w:type="dxa"/>
            <w:vMerge w:val="restart"/>
            <w:tcBorders>
              <w:tl2br w:val="nil"/>
              <w:tr2bl w:val="nil"/>
            </w:tcBorders>
            <w:vAlign w:val="center"/>
          </w:tcPr>
          <w:p>
            <w:pPr>
              <w:spacing w:line="280" w:lineRule="exact"/>
              <w:jc w:val="center"/>
              <w:rPr>
                <w:color w:val="auto"/>
                <w:sz w:val="18"/>
                <w:szCs w:val="18"/>
                <w:highlight w:val="none"/>
              </w:rPr>
            </w:pPr>
            <w:r>
              <w:rPr>
                <w:rFonts w:hint="eastAsia"/>
                <w:color w:val="auto"/>
                <w:sz w:val="18"/>
                <w:szCs w:val="18"/>
                <w:highlight w:val="none"/>
              </w:rPr>
              <w:t>厂区</w:t>
            </w:r>
            <w:r>
              <w:rPr>
                <w:rFonts w:hint="eastAsia"/>
                <w:color w:val="auto"/>
                <w:sz w:val="18"/>
                <w:szCs w:val="18"/>
                <w:highlight w:val="none"/>
                <w:lang w:eastAsia="zh-CN"/>
              </w:rPr>
              <w:t>西侧</w:t>
            </w:r>
          </w:p>
        </w:tc>
        <w:tc>
          <w:tcPr>
            <w:tcW w:w="585" w:type="dxa"/>
            <w:vMerge w:val="restart"/>
            <w:tcBorders>
              <w:tl2br w:val="nil"/>
              <w:tr2bl w:val="nil"/>
            </w:tcBorders>
            <w:vAlign w:val="center"/>
          </w:tcPr>
          <w:p>
            <w:pPr>
              <w:spacing w:line="280" w:lineRule="exact"/>
              <w:jc w:val="center"/>
              <w:rPr>
                <w:color w:val="auto"/>
                <w:sz w:val="18"/>
                <w:szCs w:val="18"/>
                <w:highlight w:val="none"/>
              </w:rPr>
            </w:pPr>
            <w:r>
              <w:rPr>
                <w:rFonts w:hint="eastAsia"/>
                <w:color w:val="auto"/>
                <w:sz w:val="18"/>
                <w:szCs w:val="18"/>
                <w:highlight w:val="none"/>
              </w:rPr>
              <w:t>6m</w:t>
            </w:r>
            <w:r>
              <w:rPr>
                <w:rFonts w:hint="eastAsia"/>
                <w:color w:val="auto"/>
                <w:sz w:val="18"/>
                <w:szCs w:val="18"/>
                <w:highlight w:val="none"/>
                <w:vertAlign w:val="superscript"/>
              </w:rPr>
              <w:t>2</w:t>
            </w:r>
          </w:p>
        </w:tc>
        <w:tc>
          <w:tcPr>
            <w:tcW w:w="631" w:type="dxa"/>
            <w:vMerge w:val="restart"/>
            <w:tcBorders>
              <w:tl2br w:val="nil"/>
              <w:tr2bl w:val="nil"/>
            </w:tcBorders>
            <w:vAlign w:val="center"/>
          </w:tcPr>
          <w:p>
            <w:pPr>
              <w:spacing w:line="280" w:lineRule="exact"/>
              <w:jc w:val="center"/>
              <w:rPr>
                <w:color w:val="auto"/>
                <w:sz w:val="18"/>
                <w:szCs w:val="18"/>
                <w:highlight w:val="none"/>
              </w:rPr>
            </w:pPr>
            <w:r>
              <w:rPr>
                <w:rFonts w:hint="eastAsia"/>
                <w:color w:val="auto"/>
                <w:sz w:val="18"/>
                <w:szCs w:val="18"/>
                <w:highlight w:val="none"/>
              </w:rPr>
              <w:t>耐磨蚀容器收集</w:t>
            </w:r>
          </w:p>
        </w:tc>
        <w:tc>
          <w:tcPr>
            <w:tcW w:w="359" w:type="dxa"/>
            <w:vMerge w:val="restart"/>
            <w:tcBorders>
              <w:tl2br w:val="nil"/>
              <w:tr2bl w:val="nil"/>
            </w:tcBorders>
            <w:vAlign w:val="center"/>
          </w:tcPr>
          <w:p>
            <w:pPr>
              <w:spacing w:line="280" w:lineRule="exact"/>
              <w:jc w:val="center"/>
              <w:rPr>
                <w:color w:val="auto"/>
                <w:sz w:val="18"/>
                <w:szCs w:val="18"/>
                <w:highlight w:val="none"/>
              </w:rPr>
            </w:pPr>
            <w:r>
              <w:rPr>
                <w:rFonts w:hint="eastAsia"/>
                <w:color w:val="auto"/>
                <w:sz w:val="18"/>
                <w:szCs w:val="18"/>
                <w:highlight w:val="none"/>
              </w:rPr>
              <w:t>1t</w:t>
            </w:r>
          </w:p>
        </w:tc>
        <w:tc>
          <w:tcPr>
            <w:tcW w:w="570" w:type="dxa"/>
            <w:vMerge w:val="restart"/>
            <w:tcBorders>
              <w:tl2br w:val="nil"/>
              <w:tr2bl w:val="nil"/>
            </w:tcBorders>
            <w:vAlign w:val="center"/>
          </w:tcPr>
          <w:p>
            <w:pPr>
              <w:spacing w:line="280" w:lineRule="exact"/>
              <w:jc w:val="center"/>
              <w:rPr>
                <w:color w:val="auto"/>
                <w:sz w:val="18"/>
                <w:szCs w:val="18"/>
                <w:highlight w:val="none"/>
              </w:rPr>
            </w:pPr>
            <w:r>
              <w:rPr>
                <w:rFonts w:hint="eastAsia"/>
                <w:color w:val="auto"/>
                <w:sz w:val="18"/>
                <w:szCs w:val="18"/>
                <w:highlight w:val="none"/>
                <w:lang w:val="en-US" w:eastAsia="zh-CN"/>
              </w:rPr>
              <w:t>0.5</w:t>
            </w:r>
            <w:r>
              <w:rPr>
                <w:color w:val="auto"/>
                <w:sz w:val="18"/>
                <w:szCs w:val="18"/>
                <w:highlight w:val="none"/>
              </w:rPr>
              <w:t>年</w:t>
            </w:r>
          </w:p>
        </w:tc>
        <w:tc>
          <w:tcPr>
            <w:tcW w:w="1578" w:type="dxa"/>
            <w:vMerge w:val="restart"/>
            <w:tcBorders>
              <w:tl2br w:val="nil"/>
              <w:tr2bl w:val="nil"/>
            </w:tcBorders>
            <w:vAlign w:val="center"/>
          </w:tcPr>
          <w:p>
            <w:pPr>
              <w:spacing w:line="280" w:lineRule="exact"/>
              <w:rPr>
                <w:color w:val="auto"/>
                <w:sz w:val="18"/>
                <w:szCs w:val="18"/>
                <w:highlight w:val="none"/>
              </w:rPr>
            </w:pPr>
            <w:r>
              <w:rPr>
                <w:rFonts w:hint="eastAsia"/>
                <w:color w:val="auto"/>
                <w:sz w:val="18"/>
                <w:szCs w:val="18"/>
                <w:highlight w:val="none"/>
              </w:rPr>
              <w:t xml:space="preserve">地面采取2 mm厚高密度聚乙烯防渗，渗透系数≤1.0×10 </w:t>
            </w:r>
            <w:r>
              <w:rPr>
                <w:rFonts w:hint="eastAsia"/>
                <w:color w:val="auto"/>
                <w:sz w:val="18"/>
                <w:szCs w:val="18"/>
                <w:highlight w:val="none"/>
                <w:vertAlign w:val="superscript"/>
              </w:rPr>
              <w:t>-10</w:t>
            </w:r>
            <w:r>
              <w:rPr>
                <w:rFonts w:hint="eastAsia"/>
                <w:color w:val="auto"/>
                <w:sz w:val="18"/>
                <w:szCs w:val="18"/>
                <w:highlight w:val="none"/>
              </w:rPr>
              <w:t xml:space="preserve"> cm/s（或采取其他具有同等防渗效力的防渗材料）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414" w:type="dxa"/>
            <w:vMerge w:val="continue"/>
            <w:tcBorders>
              <w:tl2br w:val="nil"/>
              <w:tr2bl w:val="nil"/>
            </w:tcBorders>
            <w:vAlign w:val="center"/>
          </w:tcPr>
          <w:p>
            <w:pPr>
              <w:spacing w:line="280" w:lineRule="exact"/>
              <w:jc w:val="center"/>
              <w:rPr>
                <w:rFonts w:hint="eastAsia"/>
                <w:color w:val="auto"/>
                <w:sz w:val="18"/>
                <w:szCs w:val="18"/>
                <w:highlight w:val="none"/>
              </w:rPr>
            </w:pPr>
          </w:p>
        </w:tc>
        <w:tc>
          <w:tcPr>
            <w:tcW w:w="855" w:type="dxa"/>
            <w:vMerge w:val="continue"/>
            <w:tcBorders>
              <w:tl2br w:val="nil"/>
              <w:tr2bl w:val="nil"/>
            </w:tcBorders>
            <w:vAlign w:val="center"/>
          </w:tcPr>
          <w:p>
            <w:pPr>
              <w:spacing w:line="280" w:lineRule="exact"/>
              <w:jc w:val="center"/>
              <w:rPr>
                <w:rFonts w:hint="eastAsia"/>
                <w:color w:val="auto"/>
                <w:sz w:val="18"/>
                <w:szCs w:val="18"/>
                <w:highlight w:val="none"/>
              </w:rPr>
            </w:pPr>
          </w:p>
        </w:tc>
        <w:tc>
          <w:tcPr>
            <w:tcW w:w="807" w:type="dxa"/>
            <w:tcBorders>
              <w:tl2br w:val="nil"/>
              <w:tr2bl w:val="nil"/>
            </w:tcBorders>
            <w:vAlign w:val="center"/>
          </w:tcPr>
          <w:p>
            <w:pPr>
              <w:spacing w:line="280" w:lineRule="exact"/>
              <w:jc w:val="center"/>
              <w:rPr>
                <w:rFonts w:hint="eastAsia"/>
                <w:color w:val="auto"/>
                <w:sz w:val="18"/>
                <w:szCs w:val="18"/>
                <w:highlight w:val="none"/>
              </w:rPr>
            </w:pPr>
            <w:r>
              <w:rPr>
                <w:rFonts w:hint="eastAsia"/>
                <w:color w:val="auto"/>
                <w:sz w:val="18"/>
                <w:szCs w:val="18"/>
                <w:highlight w:val="none"/>
                <w:lang w:eastAsia="zh-CN"/>
              </w:rPr>
              <w:t>含油废棉丝</w:t>
            </w:r>
          </w:p>
        </w:tc>
        <w:tc>
          <w:tcPr>
            <w:tcW w:w="722" w:type="dxa"/>
            <w:tcBorders>
              <w:tl2br w:val="nil"/>
              <w:tr2bl w:val="nil"/>
            </w:tcBorders>
            <w:vAlign w:val="center"/>
          </w:tcPr>
          <w:p>
            <w:pPr>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HW</w:t>
            </w:r>
            <w:r>
              <w:rPr>
                <w:rFonts w:hint="eastAsia"/>
                <w:color w:val="auto"/>
                <w:sz w:val="18"/>
                <w:szCs w:val="18"/>
                <w:highlight w:val="none"/>
                <w:lang w:val="en-US" w:eastAsia="zh-CN"/>
              </w:rPr>
              <w:t>49</w:t>
            </w:r>
          </w:p>
        </w:tc>
        <w:tc>
          <w:tcPr>
            <w:tcW w:w="1150" w:type="dxa"/>
            <w:tcBorders>
              <w:tl2br w:val="nil"/>
              <w:tr2bl w:val="nil"/>
            </w:tcBorders>
            <w:vAlign w:val="center"/>
          </w:tcPr>
          <w:p>
            <w:pPr>
              <w:spacing w:line="280" w:lineRule="exact"/>
              <w:jc w:val="center"/>
              <w:rPr>
                <w:rFonts w:hint="default" w:ascii="Times New Roman" w:hAnsi="Times New Roman" w:eastAsia="宋体" w:cs="Times New Roman"/>
                <w:color w:val="auto"/>
                <w:kern w:val="2"/>
                <w:sz w:val="18"/>
                <w:szCs w:val="18"/>
                <w:highlight w:val="none"/>
                <w:lang w:val="en-US" w:eastAsia="zh-CN" w:bidi="ar-SA"/>
              </w:rPr>
            </w:pPr>
            <w:r>
              <w:rPr>
                <w:color w:val="auto"/>
                <w:sz w:val="18"/>
                <w:szCs w:val="18"/>
                <w:highlight w:val="none"/>
              </w:rPr>
              <w:t>900-</w:t>
            </w:r>
            <w:r>
              <w:rPr>
                <w:rFonts w:hint="eastAsia"/>
                <w:color w:val="auto"/>
                <w:sz w:val="18"/>
                <w:szCs w:val="18"/>
                <w:highlight w:val="none"/>
                <w:lang w:val="en-US" w:eastAsia="zh-CN"/>
              </w:rPr>
              <w:t>041</w:t>
            </w:r>
            <w:r>
              <w:rPr>
                <w:color w:val="auto"/>
                <w:sz w:val="18"/>
                <w:szCs w:val="18"/>
                <w:highlight w:val="none"/>
              </w:rPr>
              <w:t>-</w:t>
            </w:r>
            <w:r>
              <w:rPr>
                <w:rFonts w:hint="eastAsia"/>
                <w:color w:val="auto"/>
                <w:sz w:val="18"/>
                <w:szCs w:val="18"/>
                <w:highlight w:val="none"/>
                <w:lang w:val="en-US" w:eastAsia="zh-CN"/>
              </w:rPr>
              <w:t>49</w:t>
            </w:r>
          </w:p>
        </w:tc>
        <w:tc>
          <w:tcPr>
            <w:tcW w:w="633" w:type="dxa"/>
            <w:vMerge w:val="continue"/>
            <w:tcBorders>
              <w:tl2br w:val="nil"/>
              <w:tr2bl w:val="nil"/>
            </w:tcBorders>
            <w:vAlign w:val="center"/>
          </w:tcPr>
          <w:p>
            <w:pPr>
              <w:spacing w:line="280" w:lineRule="exact"/>
              <w:jc w:val="center"/>
              <w:rPr>
                <w:rFonts w:hint="eastAsia"/>
                <w:color w:val="auto"/>
                <w:sz w:val="18"/>
                <w:szCs w:val="18"/>
                <w:highlight w:val="none"/>
              </w:rPr>
            </w:pPr>
          </w:p>
        </w:tc>
        <w:tc>
          <w:tcPr>
            <w:tcW w:w="585" w:type="dxa"/>
            <w:vMerge w:val="continue"/>
            <w:tcBorders>
              <w:tl2br w:val="nil"/>
              <w:tr2bl w:val="nil"/>
            </w:tcBorders>
            <w:vAlign w:val="center"/>
          </w:tcPr>
          <w:p>
            <w:pPr>
              <w:spacing w:line="280" w:lineRule="exact"/>
              <w:jc w:val="center"/>
              <w:rPr>
                <w:rFonts w:hint="eastAsia"/>
                <w:color w:val="auto"/>
                <w:sz w:val="18"/>
                <w:szCs w:val="18"/>
                <w:highlight w:val="none"/>
              </w:rPr>
            </w:pPr>
          </w:p>
        </w:tc>
        <w:tc>
          <w:tcPr>
            <w:tcW w:w="631" w:type="dxa"/>
            <w:vMerge w:val="continue"/>
            <w:tcBorders>
              <w:tl2br w:val="nil"/>
              <w:tr2bl w:val="nil"/>
            </w:tcBorders>
            <w:vAlign w:val="center"/>
          </w:tcPr>
          <w:p>
            <w:pPr>
              <w:spacing w:line="280" w:lineRule="exact"/>
              <w:jc w:val="center"/>
              <w:rPr>
                <w:rFonts w:hint="eastAsia"/>
                <w:color w:val="auto"/>
                <w:sz w:val="18"/>
                <w:szCs w:val="18"/>
                <w:highlight w:val="none"/>
              </w:rPr>
            </w:pPr>
          </w:p>
        </w:tc>
        <w:tc>
          <w:tcPr>
            <w:tcW w:w="359" w:type="dxa"/>
            <w:vMerge w:val="continue"/>
            <w:tcBorders>
              <w:tl2br w:val="nil"/>
              <w:tr2bl w:val="nil"/>
            </w:tcBorders>
            <w:vAlign w:val="center"/>
          </w:tcPr>
          <w:p>
            <w:pPr>
              <w:spacing w:line="280" w:lineRule="exact"/>
              <w:jc w:val="center"/>
              <w:rPr>
                <w:rFonts w:hint="eastAsia"/>
                <w:color w:val="auto"/>
                <w:sz w:val="18"/>
                <w:szCs w:val="18"/>
                <w:highlight w:val="none"/>
              </w:rPr>
            </w:pPr>
          </w:p>
        </w:tc>
        <w:tc>
          <w:tcPr>
            <w:tcW w:w="570" w:type="dxa"/>
            <w:vMerge w:val="continue"/>
            <w:tcBorders>
              <w:tl2br w:val="nil"/>
              <w:tr2bl w:val="nil"/>
            </w:tcBorders>
            <w:vAlign w:val="center"/>
          </w:tcPr>
          <w:p>
            <w:pPr>
              <w:spacing w:line="280" w:lineRule="exact"/>
              <w:jc w:val="center"/>
              <w:rPr>
                <w:color w:val="auto"/>
                <w:sz w:val="18"/>
                <w:szCs w:val="18"/>
                <w:highlight w:val="none"/>
              </w:rPr>
            </w:pPr>
          </w:p>
        </w:tc>
        <w:tc>
          <w:tcPr>
            <w:tcW w:w="1578" w:type="dxa"/>
            <w:vMerge w:val="continue"/>
            <w:tcBorders>
              <w:tl2br w:val="nil"/>
              <w:tr2bl w:val="nil"/>
            </w:tcBorders>
            <w:vAlign w:val="center"/>
          </w:tcPr>
          <w:p>
            <w:pPr>
              <w:spacing w:line="280" w:lineRule="exact"/>
              <w:rPr>
                <w:rFonts w:hint="eastAsia"/>
                <w:color w:val="auto"/>
                <w:sz w:val="18"/>
                <w:szCs w:val="18"/>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14" w:type="dxa"/>
            <w:vMerge w:val="continue"/>
            <w:tcBorders>
              <w:tl2br w:val="nil"/>
              <w:tr2bl w:val="nil"/>
            </w:tcBorders>
            <w:vAlign w:val="center"/>
          </w:tcPr>
          <w:p>
            <w:pPr>
              <w:spacing w:line="280" w:lineRule="exact"/>
              <w:jc w:val="center"/>
              <w:rPr>
                <w:rFonts w:hint="default" w:eastAsia="宋体"/>
                <w:color w:val="auto"/>
                <w:sz w:val="18"/>
                <w:szCs w:val="18"/>
                <w:highlight w:val="none"/>
                <w:lang w:val="en-US" w:eastAsia="zh-CN"/>
              </w:rPr>
            </w:pPr>
          </w:p>
        </w:tc>
        <w:tc>
          <w:tcPr>
            <w:tcW w:w="855" w:type="dxa"/>
            <w:vMerge w:val="continue"/>
            <w:tcBorders>
              <w:tl2br w:val="nil"/>
              <w:tr2bl w:val="nil"/>
            </w:tcBorders>
            <w:vAlign w:val="center"/>
          </w:tcPr>
          <w:p>
            <w:pPr>
              <w:spacing w:line="280" w:lineRule="exact"/>
              <w:jc w:val="center"/>
              <w:rPr>
                <w:color w:val="auto"/>
                <w:sz w:val="18"/>
                <w:szCs w:val="18"/>
                <w:highlight w:val="none"/>
              </w:rPr>
            </w:pPr>
          </w:p>
        </w:tc>
        <w:tc>
          <w:tcPr>
            <w:tcW w:w="807" w:type="dxa"/>
            <w:tcBorders>
              <w:tl2br w:val="nil"/>
              <w:tr2bl w:val="nil"/>
            </w:tcBorders>
            <w:vAlign w:val="center"/>
          </w:tcPr>
          <w:p>
            <w:pPr>
              <w:spacing w:line="280" w:lineRule="exact"/>
              <w:jc w:val="center"/>
              <w:rPr>
                <w:color w:val="auto"/>
                <w:sz w:val="18"/>
                <w:szCs w:val="18"/>
                <w:highlight w:val="none"/>
              </w:rPr>
            </w:pPr>
            <w:r>
              <w:rPr>
                <w:rFonts w:hint="eastAsia"/>
                <w:color w:val="auto"/>
                <w:sz w:val="18"/>
                <w:szCs w:val="18"/>
                <w:highlight w:val="none"/>
              </w:rPr>
              <w:t>废油桶</w:t>
            </w:r>
          </w:p>
        </w:tc>
        <w:tc>
          <w:tcPr>
            <w:tcW w:w="722" w:type="dxa"/>
            <w:tcBorders>
              <w:tl2br w:val="nil"/>
              <w:tr2bl w:val="nil"/>
            </w:tcBorders>
            <w:vAlign w:val="center"/>
          </w:tcPr>
          <w:p>
            <w:pPr>
              <w:spacing w:line="280" w:lineRule="exact"/>
              <w:jc w:val="center"/>
              <w:rPr>
                <w:color w:val="auto"/>
                <w:sz w:val="18"/>
                <w:szCs w:val="18"/>
                <w:highlight w:val="none"/>
              </w:rPr>
            </w:pPr>
            <w:r>
              <w:rPr>
                <w:rFonts w:hint="eastAsia"/>
                <w:color w:val="auto"/>
                <w:sz w:val="18"/>
                <w:szCs w:val="18"/>
                <w:highlight w:val="none"/>
              </w:rPr>
              <w:t>HW08</w:t>
            </w:r>
          </w:p>
        </w:tc>
        <w:tc>
          <w:tcPr>
            <w:tcW w:w="1150" w:type="dxa"/>
            <w:tcBorders>
              <w:tl2br w:val="nil"/>
              <w:tr2bl w:val="nil"/>
            </w:tcBorders>
            <w:vAlign w:val="center"/>
          </w:tcPr>
          <w:p>
            <w:pPr>
              <w:spacing w:line="280" w:lineRule="exact"/>
              <w:jc w:val="center"/>
              <w:rPr>
                <w:color w:val="auto"/>
                <w:sz w:val="18"/>
                <w:szCs w:val="18"/>
                <w:highlight w:val="none"/>
              </w:rPr>
            </w:pPr>
            <w:r>
              <w:rPr>
                <w:color w:val="auto"/>
                <w:sz w:val="18"/>
                <w:szCs w:val="18"/>
                <w:highlight w:val="none"/>
              </w:rPr>
              <w:t>900-2</w:t>
            </w:r>
            <w:r>
              <w:rPr>
                <w:rFonts w:hint="eastAsia"/>
                <w:color w:val="auto"/>
                <w:sz w:val="18"/>
                <w:szCs w:val="18"/>
                <w:highlight w:val="none"/>
              </w:rPr>
              <w:t>49</w:t>
            </w:r>
            <w:r>
              <w:rPr>
                <w:color w:val="auto"/>
                <w:sz w:val="18"/>
                <w:szCs w:val="18"/>
                <w:highlight w:val="none"/>
              </w:rPr>
              <w:t>-08</w:t>
            </w:r>
          </w:p>
        </w:tc>
        <w:tc>
          <w:tcPr>
            <w:tcW w:w="633" w:type="dxa"/>
            <w:vMerge w:val="continue"/>
            <w:tcBorders>
              <w:tl2br w:val="nil"/>
              <w:tr2bl w:val="nil"/>
            </w:tcBorders>
            <w:vAlign w:val="center"/>
          </w:tcPr>
          <w:p>
            <w:pPr>
              <w:spacing w:line="280" w:lineRule="exact"/>
              <w:jc w:val="center"/>
              <w:rPr>
                <w:color w:val="auto"/>
                <w:sz w:val="18"/>
                <w:szCs w:val="18"/>
                <w:highlight w:val="none"/>
              </w:rPr>
            </w:pPr>
          </w:p>
        </w:tc>
        <w:tc>
          <w:tcPr>
            <w:tcW w:w="585" w:type="dxa"/>
            <w:vMerge w:val="continue"/>
            <w:tcBorders>
              <w:tl2br w:val="nil"/>
              <w:tr2bl w:val="nil"/>
            </w:tcBorders>
            <w:vAlign w:val="center"/>
          </w:tcPr>
          <w:p>
            <w:pPr>
              <w:spacing w:line="280" w:lineRule="exact"/>
              <w:jc w:val="center"/>
              <w:rPr>
                <w:color w:val="auto"/>
                <w:sz w:val="18"/>
                <w:szCs w:val="18"/>
                <w:highlight w:val="none"/>
              </w:rPr>
            </w:pPr>
          </w:p>
        </w:tc>
        <w:tc>
          <w:tcPr>
            <w:tcW w:w="631" w:type="dxa"/>
            <w:vMerge w:val="continue"/>
            <w:tcBorders>
              <w:tl2br w:val="nil"/>
              <w:tr2bl w:val="nil"/>
            </w:tcBorders>
            <w:vAlign w:val="center"/>
          </w:tcPr>
          <w:p>
            <w:pPr>
              <w:spacing w:line="280" w:lineRule="exact"/>
              <w:jc w:val="center"/>
              <w:rPr>
                <w:color w:val="auto"/>
                <w:sz w:val="18"/>
                <w:szCs w:val="18"/>
                <w:highlight w:val="none"/>
              </w:rPr>
            </w:pPr>
          </w:p>
        </w:tc>
        <w:tc>
          <w:tcPr>
            <w:tcW w:w="359" w:type="dxa"/>
            <w:vMerge w:val="continue"/>
            <w:tcBorders>
              <w:tl2br w:val="nil"/>
              <w:tr2bl w:val="nil"/>
            </w:tcBorders>
            <w:vAlign w:val="center"/>
          </w:tcPr>
          <w:p>
            <w:pPr>
              <w:spacing w:line="280" w:lineRule="exact"/>
              <w:jc w:val="center"/>
              <w:rPr>
                <w:color w:val="auto"/>
                <w:sz w:val="18"/>
                <w:szCs w:val="18"/>
                <w:highlight w:val="none"/>
              </w:rPr>
            </w:pPr>
          </w:p>
        </w:tc>
        <w:tc>
          <w:tcPr>
            <w:tcW w:w="570" w:type="dxa"/>
            <w:vMerge w:val="continue"/>
            <w:tcBorders>
              <w:tl2br w:val="nil"/>
              <w:tr2bl w:val="nil"/>
            </w:tcBorders>
            <w:vAlign w:val="center"/>
          </w:tcPr>
          <w:p>
            <w:pPr>
              <w:spacing w:line="280" w:lineRule="exact"/>
              <w:jc w:val="center"/>
              <w:rPr>
                <w:color w:val="auto"/>
                <w:sz w:val="18"/>
                <w:szCs w:val="18"/>
                <w:highlight w:val="none"/>
              </w:rPr>
            </w:pPr>
          </w:p>
        </w:tc>
        <w:tc>
          <w:tcPr>
            <w:tcW w:w="1578" w:type="dxa"/>
            <w:vMerge w:val="continue"/>
            <w:tcBorders>
              <w:tl2br w:val="nil"/>
              <w:tr2bl w:val="nil"/>
            </w:tcBorders>
            <w:vAlign w:val="center"/>
          </w:tcPr>
          <w:p>
            <w:pPr>
              <w:spacing w:line="280" w:lineRule="exact"/>
              <w:jc w:val="center"/>
              <w:rPr>
                <w:color w:val="auto"/>
                <w:sz w:val="18"/>
                <w:szCs w:val="18"/>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14" w:type="dxa"/>
            <w:tcBorders>
              <w:tl2br w:val="nil"/>
              <w:tr2bl w:val="nil"/>
            </w:tcBorders>
            <w:vAlign w:val="center"/>
          </w:tcPr>
          <w:p>
            <w:pPr>
              <w:spacing w:line="280" w:lineRule="exact"/>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2</w:t>
            </w:r>
          </w:p>
        </w:tc>
        <w:tc>
          <w:tcPr>
            <w:tcW w:w="855" w:type="dxa"/>
            <w:tcBorders>
              <w:tl2br w:val="nil"/>
              <w:tr2bl w:val="nil"/>
            </w:tcBorders>
            <w:vAlign w:val="center"/>
          </w:tcPr>
          <w:p>
            <w:pPr>
              <w:spacing w:line="280" w:lineRule="exact"/>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c>
          <w:tcPr>
            <w:tcW w:w="807" w:type="dxa"/>
            <w:tcBorders>
              <w:tl2br w:val="nil"/>
              <w:tr2bl w:val="nil"/>
            </w:tcBorders>
            <w:vAlign w:val="center"/>
          </w:tcPr>
          <w:p>
            <w:pPr>
              <w:spacing w:line="280" w:lineRule="exact"/>
              <w:jc w:val="center"/>
              <w:rPr>
                <w:rFonts w:hint="eastAsia" w:eastAsia="宋体"/>
                <w:color w:val="auto"/>
                <w:sz w:val="18"/>
                <w:szCs w:val="18"/>
                <w:highlight w:val="none"/>
                <w:lang w:eastAsia="zh-CN"/>
              </w:rPr>
            </w:pPr>
            <w:r>
              <w:rPr>
                <w:rFonts w:hint="eastAsia"/>
                <w:color w:val="auto"/>
                <w:sz w:val="18"/>
                <w:szCs w:val="18"/>
                <w:highlight w:val="none"/>
                <w:lang w:eastAsia="zh-CN"/>
              </w:rPr>
              <w:t>废变压器油</w:t>
            </w:r>
          </w:p>
        </w:tc>
        <w:tc>
          <w:tcPr>
            <w:tcW w:w="722" w:type="dxa"/>
            <w:tcBorders>
              <w:tl2br w:val="nil"/>
              <w:tr2bl w:val="nil"/>
            </w:tcBorders>
            <w:vAlign w:val="center"/>
          </w:tcPr>
          <w:p>
            <w:pPr>
              <w:spacing w:line="280" w:lineRule="exact"/>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HW08</w:t>
            </w:r>
          </w:p>
        </w:tc>
        <w:tc>
          <w:tcPr>
            <w:tcW w:w="1150" w:type="dxa"/>
            <w:tcBorders>
              <w:tl2br w:val="nil"/>
              <w:tr2bl w:val="nil"/>
            </w:tcBorders>
            <w:vAlign w:val="center"/>
          </w:tcPr>
          <w:p>
            <w:pPr>
              <w:spacing w:line="280" w:lineRule="exact"/>
              <w:jc w:val="center"/>
              <w:rPr>
                <w:rFonts w:ascii="Times New Roman" w:hAnsi="Times New Roman" w:eastAsia="宋体" w:cs="Times New Roman"/>
                <w:color w:val="auto"/>
                <w:kern w:val="2"/>
                <w:sz w:val="18"/>
                <w:szCs w:val="18"/>
                <w:highlight w:val="none"/>
                <w:lang w:val="en-US" w:eastAsia="zh-CN" w:bidi="ar-SA"/>
              </w:rPr>
            </w:pPr>
            <w:r>
              <w:rPr>
                <w:color w:val="auto"/>
                <w:sz w:val="18"/>
                <w:szCs w:val="18"/>
                <w:highlight w:val="none"/>
              </w:rPr>
              <w:t>900-2</w:t>
            </w:r>
            <w:r>
              <w:rPr>
                <w:rFonts w:hint="eastAsia"/>
                <w:color w:val="auto"/>
                <w:sz w:val="18"/>
                <w:szCs w:val="18"/>
                <w:highlight w:val="none"/>
                <w:lang w:val="en-US" w:eastAsia="zh-CN"/>
              </w:rPr>
              <w:t>00</w:t>
            </w:r>
            <w:r>
              <w:rPr>
                <w:color w:val="auto"/>
                <w:sz w:val="18"/>
                <w:szCs w:val="18"/>
                <w:highlight w:val="none"/>
              </w:rPr>
              <w:t>-08</w:t>
            </w:r>
          </w:p>
        </w:tc>
        <w:tc>
          <w:tcPr>
            <w:tcW w:w="633" w:type="dxa"/>
            <w:tcBorders>
              <w:tl2br w:val="nil"/>
              <w:tr2bl w:val="nil"/>
            </w:tcBorders>
            <w:vAlign w:val="center"/>
          </w:tcPr>
          <w:p>
            <w:pPr>
              <w:spacing w:line="280" w:lineRule="exact"/>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c>
          <w:tcPr>
            <w:tcW w:w="585" w:type="dxa"/>
            <w:tcBorders>
              <w:tl2br w:val="nil"/>
              <w:tr2bl w:val="nil"/>
            </w:tcBorders>
            <w:vAlign w:val="center"/>
          </w:tcPr>
          <w:p>
            <w:pPr>
              <w:spacing w:line="280" w:lineRule="exact"/>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c>
          <w:tcPr>
            <w:tcW w:w="631" w:type="dxa"/>
            <w:tcBorders>
              <w:tl2br w:val="nil"/>
              <w:tr2bl w:val="nil"/>
            </w:tcBorders>
            <w:vAlign w:val="center"/>
          </w:tcPr>
          <w:p>
            <w:pPr>
              <w:spacing w:line="280" w:lineRule="exact"/>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c>
          <w:tcPr>
            <w:tcW w:w="359" w:type="dxa"/>
            <w:tcBorders>
              <w:tl2br w:val="nil"/>
              <w:tr2bl w:val="nil"/>
            </w:tcBorders>
            <w:vAlign w:val="center"/>
          </w:tcPr>
          <w:p>
            <w:pPr>
              <w:spacing w:line="280" w:lineRule="exact"/>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c>
          <w:tcPr>
            <w:tcW w:w="2148" w:type="dxa"/>
            <w:gridSpan w:val="2"/>
            <w:tcBorders>
              <w:tl2br w:val="nil"/>
              <w:tr2bl w:val="nil"/>
            </w:tcBorders>
            <w:vAlign w:val="center"/>
          </w:tcPr>
          <w:p>
            <w:pPr>
              <w:spacing w:line="280" w:lineRule="exact"/>
              <w:jc w:val="center"/>
              <w:rPr>
                <w:rFonts w:hint="eastAsia" w:eastAsia="宋体"/>
                <w:color w:val="auto"/>
                <w:sz w:val="18"/>
                <w:szCs w:val="18"/>
                <w:highlight w:val="none"/>
                <w:lang w:val="en-US" w:eastAsia="zh-CN"/>
              </w:rPr>
            </w:pPr>
            <w:r>
              <w:rPr>
                <w:rFonts w:hint="eastAsia"/>
                <w:color w:val="auto"/>
                <w:sz w:val="18"/>
                <w:szCs w:val="18"/>
                <w:highlight w:val="none"/>
                <w:lang w:eastAsia="zh-CN"/>
              </w:rPr>
              <w:t>更换后厂家直接带走</w:t>
            </w:r>
            <w:r>
              <w:rPr>
                <w:rFonts w:hint="eastAsia"/>
                <w:color w:val="auto"/>
                <w:sz w:val="18"/>
                <w:szCs w:val="18"/>
                <w:highlight w:val="none"/>
                <w:lang w:val="en-US" w:eastAsia="zh-CN"/>
              </w:rPr>
              <w:t>/</w:t>
            </w:r>
          </w:p>
        </w:tc>
      </w:tr>
    </w:tbl>
    <w:p>
      <w:pPr>
        <w:spacing w:line="480" w:lineRule="exact"/>
        <w:rPr>
          <w:color w:val="auto"/>
          <w:sz w:val="24"/>
          <w:highlight w:val="none"/>
        </w:rPr>
      </w:pPr>
      <w:r>
        <w:rPr>
          <w:rFonts w:hint="eastAsia"/>
          <w:b/>
          <w:bCs/>
          <w:color w:val="auto"/>
          <w:sz w:val="24"/>
          <w:highlight w:val="none"/>
        </w:rPr>
        <w:t xml:space="preserve">   </w:t>
      </w:r>
      <w:r>
        <w:rPr>
          <w:rFonts w:hint="eastAsia"/>
          <w:color w:val="auto"/>
          <w:sz w:val="24"/>
          <w:highlight w:val="none"/>
        </w:rPr>
        <w:t xml:space="preserve"> （6）</w:t>
      </w:r>
      <w:r>
        <w:rPr>
          <w:color w:val="auto"/>
          <w:sz w:val="24"/>
          <w:highlight w:val="none"/>
        </w:rPr>
        <w:t>危废间</w:t>
      </w:r>
      <w:r>
        <w:rPr>
          <w:rFonts w:hint="eastAsia"/>
          <w:color w:val="auto"/>
          <w:sz w:val="24"/>
          <w:highlight w:val="none"/>
          <w:lang w:eastAsia="zh-CN"/>
        </w:rPr>
        <w:t>、溢油池</w:t>
      </w:r>
      <w:r>
        <w:rPr>
          <w:color w:val="auto"/>
          <w:sz w:val="24"/>
          <w:highlight w:val="none"/>
        </w:rPr>
        <w:t>建设及管理要求</w:t>
      </w:r>
    </w:p>
    <w:p>
      <w:pPr>
        <w:spacing w:line="480" w:lineRule="exact"/>
        <w:ind w:firstLine="480" w:firstLineChars="200"/>
        <w:rPr>
          <w:rFonts w:hint="eastAsia"/>
          <w:color w:val="auto"/>
          <w:sz w:val="24"/>
          <w:highlight w:val="none"/>
          <w:lang w:eastAsia="zh-CN"/>
        </w:rPr>
      </w:pPr>
      <w:r>
        <w:rPr>
          <w:rFonts w:hint="eastAsia"/>
          <w:color w:val="auto"/>
          <w:sz w:val="24"/>
          <w:highlight w:val="none"/>
          <w:lang w:eastAsia="zh-CN"/>
        </w:rPr>
        <w:t>在</w:t>
      </w:r>
      <w:r>
        <w:rPr>
          <w:rFonts w:hint="eastAsia"/>
          <w:color w:val="auto"/>
          <w:sz w:val="24"/>
          <w:highlight w:val="none"/>
        </w:rPr>
        <w:t>本项目</w:t>
      </w:r>
      <w:r>
        <w:rPr>
          <w:rFonts w:hint="eastAsia"/>
          <w:color w:val="auto"/>
          <w:sz w:val="24"/>
          <w:highlight w:val="none"/>
          <w:lang w:eastAsia="zh-CN"/>
        </w:rPr>
        <w:t>西</w:t>
      </w:r>
      <w:r>
        <w:rPr>
          <w:color w:val="auto"/>
          <w:sz w:val="24"/>
          <w:highlight w:val="none"/>
        </w:rPr>
        <w:t>侧</w:t>
      </w:r>
      <w:r>
        <w:rPr>
          <w:rFonts w:hint="eastAsia"/>
          <w:color w:val="auto"/>
          <w:sz w:val="24"/>
          <w:highlight w:val="none"/>
          <w:lang w:eastAsia="zh-CN"/>
        </w:rPr>
        <w:t>新建</w:t>
      </w:r>
      <w:r>
        <w:rPr>
          <w:rFonts w:hint="eastAsia"/>
          <w:color w:val="auto"/>
          <w:sz w:val="24"/>
          <w:highlight w:val="none"/>
        </w:rPr>
        <w:t>6</w:t>
      </w:r>
      <w:r>
        <w:rPr>
          <w:color w:val="auto"/>
          <w:sz w:val="24"/>
          <w:highlight w:val="none"/>
        </w:rPr>
        <w:t>m</w:t>
      </w:r>
      <w:r>
        <w:rPr>
          <w:color w:val="auto"/>
          <w:sz w:val="24"/>
          <w:highlight w:val="none"/>
          <w:vertAlign w:val="superscript"/>
        </w:rPr>
        <w:t>2</w:t>
      </w:r>
      <w:r>
        <w:rPr>
          <w:color w:val="auto"/>
          <w:sz w:val="24"/>
          <w:highlight w:val="none"/>
        </w:rPr>
        <w:t>危废间1座</w:t>
      </w:r>
      <w:r>
        <w:rPr>
          <w:rFonts w:hint="eastAsia"/>
          <w:color w:val="auto"/>
          <w:sz w:val="24"/>
          <w:highlight w:val="none"/>
          <w:lang w:eastAsia="zh-CN"/>
        </w:rPr>
        <w:t>。已有</w:t>
      </w:r>
      <w:r>
        <w:rPr>
          <w:rFonts w:hint="eastAsia"/>
          <w:color w:val="auto"/>
          <w:sz w:val="24"/>
          <w:highlight w:val="none"/>
          <w:lang w:val="en-US" w:eastAsia="zh-CN"/>
        </w:rPr>
        <w:t>30m</w:t>
      </w:r>
      <w:r>
        <w:rPr>
          <w:rFonts w:hint="eastAsia"/>
          <w:color w:val="auto"/>
          <w:sz w:val="24"/>
          <w:highlight w:val="none"/>
          <w:vertAlign w:val="superscript"/>
          <w:lang w:val="en-US" w:eastAsia="zh-CN"/>
        </w:rPr>
        <w:t>2</w:t>
      </w:r>
      <w:r>
        <w:rPr>
          <w:rFonts w:hint="eastAsia"/>
          <w:color w:val="auto"/>
          <w:sz w:val="24"/>
          <w:highlight w:val="none"/>
          <w:lang w:eastAsia="zh-CN"/>
        </w:rPr>
        <w:t>溢油池一座。</w:t>
      </w:r>
    </w:p>
    <w:p>
      <w:pPr>
        <w:spacing w:line="480" w:lineRule="exact"/>
        <w:ind w:firstLine="480" w:firstLineChars="200"/>
        <w:rPr>
          <w:bCs/>
          <w:color w:val="auto"/>
          <w:sz w:val="24"/>
          <w:highlight w:val="none"/>
        </w:rPr>
      </w:pPr>
      <w:r>
        <w:rPr>
          <w:color w:val="auto"/>
          <w:sz w:val="24"/>
          <w:highlight w:val="none"/>
        </w:rPr>
        <w:t>危险废物在危废间暂存期间严格按照</w:t>
      </w:r>
      <w:r>
        <w:rPr>
          <w:bCs/>
          <w:color w:val="auto"/>
          <w:sz w:val="24"/>
          <w:highlight w:val="none"/>
        </w:rPr>
        <w:t>《危险废物贮存污染控制标准》（GB18597-20</w:t>
      </w:r>
      <w:r>
        <w:rPr>
          <w:rFonts w:hint="eastAsia"/>
          <w:bCs/>
          <w:color w:val="auto"/>
          <w:sz w:val="24"/>
          <w:highlight w:val="none"/>
          <w:lang w:val="en-US" w:eastAsia="zh-CN"/>
        </w:rPr>
        <w:t>23</w:t>
      </w:r>
      <w:r>
        <w:rPr>
          <w:bCs/>
          <w:color w:val="auto"/>
          <w:sz w:val="24"/>
          <w:highlight w:val="none"/>
        </w:rPr>
        <w:t>）相关要求：</w:t>
      </w:r>
    </w:p>
    <w:p>
      <w:pPr>
        <w:spacing w:line="480" w:lineRule="exact"/>
        <w:ind w:firstLine="480" w:firstLineChars="200"/>
        <w:rPr>
          <w:color w:val="auto"/>
          <w:sz w:val="24"/>
          <w:highlight w:val="none"/>
        </w:rPr>
      </w:pPr>
      <w:r>
        <w:rPr>
          <w:bCs/>
          <w:color w:val="auto"/>
          <w:sz w:val="24"/>
          <w:highlight w:val="none"/>
        </w:rPr>
        <w:t>①</w:t>
      </w:r>
      <w:r>
        <w:rPr>
          <w:color w:val="auto"/>
          <w:sz w:val="24"/>
          <w:highlight w:val="none"/>
        </w:rPr>
        <w:t>地面与裙脚采用防渗材料进行防渗，且表面无裂隙，使渗透系数小于1×10</w:t>
      </w:r>
      <w:r>
        <w:rPr>
          <w:color w:val="auto"/>
          <w:sz w:val="24"/>
          <w:highlight w:val="none"/>
          <w:vertAlign w:val="superscript"/>
        </w:rPr>
        <w:t>-10</w:t>
      </w:r>
      <w:r>
        <w:rPr>
          <w:color w:val="auto"/>
          <w:sz w:val="24"/>
          <w:highlight w:val="none"/>
        </w:rPr>
        <w:t>cm/s。同时设置泄漏液体的收集装置。危废间设有隔离设施和防风、防晒、防雨等安全设施。</w:t>
      </w:r>
    </w:p>
    <w:p>
      <w:pPr>
        <w:spacing w:line="480" w:lineRule="exact"/>
        <w:ind w:firstLine="480" w:firstLineChars="200"/>
        <w:rPr>
          <w:color w:val="auto"/>
          <w:sz w:val="24"/>
          <w:highlight w:val="none"/>
        </w:rPr>
      </w:pPr>
      <w:r>
        <w:rPr>
          <w:color w:val="auto"/>
          <w:sz w:val="24"/>
          <w:highlight w:val="none"/>
        </w:rPr>
        <w:t>②有泄漏液体收集装置；设施内有安全照明装置和观察窗口；并设置环保专用标志。</w:t>
      </w:r>
    </w:p>
    <w:p>
      <w:pPr>
        <w:spacing w:line="480" w:lineRule="exact"/>
        <w:ind w:firstLine="480" w:firstLineChars="200"/>
        <w:rPr>
          <w:bCs/>
          <w:sz w:val="24"/>
          <w:highlight w:val="none"/>
        </w:rPr>
      </w:pPr>
      <w:r>
        <w:rPr>
          <w:color w:val="auto"/>
          <w:sz w:val="24"/>
          <w:highlight w:val="none"/>
        </w:rPr>
        <w:t>③</w:t>
      </w:r>
      <w:r>
        <w:rPr>
          <w:bCs/>
          <w:color w:val="auto"/>
          <w:sz w:val="24"/>
          <w:highlight w:val="none"/>
        </w:rPr>
        <w:t>做好危险废物情况记录，记录上注明危险废物的名称、来源、数量、特性、包装容器的类别、入库日期、存放</w:t>
      </w:r>
      <w:r>
        <w:rPr>
          <w:bCs/>
          <w:sz w:val="24"/>
          <w:highlight w:val="none"/>
        </w:rPr>
        <w:t>位置、出库日期、接收单位名称等。</w:t>
      </w:r>
    </w:p>
    <w:p>
      <w:pPr>
        <w:spacing w:line="480" w:lineRule="exact"/>
        <w:ind w:firstLine="480" w:firstLineChars="200"/>
        <w:rPr>
          <w:bCs/>
          <w:sz w:val="24"/>
          <w:highlight w:val="none"/>
        </w:rPr>
      </w:pPr>
      <w:r>
        <w:rPr>
          <w:bCs/>
          <w:sz w:val="24"/>
          <w:highlight w:val="none"/>
        </w:rPr>
        <w:t>④定期对所贮存的危险废物包装容器及贮存设施进行检查，发现漏损及时清理更换。</w:t>
      </w:r>
    </w:p>
    <w:p>
      <w:pPr>
        <w:spacing w:line="480" w:lineRule="exact"/>
        <w:ind w:firstLine="482" w:firstLineChars="200"/>
        <w:jc w:val="center"/>
        <w:rPr>
          <w:b/>
          <w:sz w:val="24"/>
          <w:highlight w:val="none"/>
        </w:rPr>
      </w:pPr>
      <w:r>
        <w:rPr>
          <w:b/>
          <w:sz w:val="24"/>
          <w:highlight w:val="none"/>
        </w:rPr>
        <w:t>表</w:t>
      </w:r>
      <w:r>
        <w:rPr>
          <w:rFonts w:hint="eastAsia"/>
          <w:b/>
          <w:sz w:val="24"/>
          <w:highlight w:val="none"/>
        </w:rPr>
        <w:t>3.2-6</w:t>
      </w:r>
      <w:r>
        <w:rPr>
          <w:b/>
          <w:sz w:val="24"/>
          <w:highlight w:val="none"/>
        </w:rPr>
        <w:t xml:space="preserve">  危废规范化表</w:t>
      </w:r>
    </w:p>
    <w:tbl>
      <w:tblPr>
        <w:tblStyle w:val="51"/>
        <w:tblW w:w="856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3128"/>
        <w:gridCol w:w="543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885" w:hRule="atLeast"/>
          <w:jc w:val="center"/>
        </w:trPr>
        <w:tc>
          <w:tcPr>
            <w:tcW w:w="3128" w:type="dxa"/>
            <w:tcBorders>
              <w:tl2br w:val="nil"/>
              <w:tr2bl w:val="nil"/>
            </w:tcBorders>
            <w:vAlign w:val="center"/>
          </w:tcPr>
          <w:p>
            <w:pPr>
              <w:jc w:val="center"/>
              <w:rPr>
                <w:rFonts w:eastAsia="仿宋_GB2312"/>
                <w:sz w:val="32"/>
                <w:szCs w:val="32"/>
                <w:highlight w:val="none"/>
              </w:rPr>
            </w:pPr>
            <w:r>
              <w:rPr>
                <w:highlight w:val="none"/>
              </w:rPr>
              <w:drawing>
                <wp:inline distT="0" distB="0" distL="114300" distR="114300">
                  <wp:extent cx="1440815" cy="1376045"/>
                  <wp:effectExtent l="0" t="0" r="6985" b="14605"/>
                  <wp:docPr id="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8"/>
                          <pic:cNvPicPr>
                            <a:picLocks noChangeAspect="1"/>
                          </pic:cNvPicPr>
                        </pic:nvPicPr>
                        <pic:blipFill>
                          <a:blip r:embed="rId46"/>
                          <a:stretch>
                            <a:fillRect/>
                          </a:stretch>
                        </pic:blipFill>
                        <pic:spPr>
                          <a:xfrm>
                            <a:off x="0" y="0"/>
                            <a:ext cx="1440815" cy="1376045"/>
                          </a:xfrm>
                          <a:prstGeom prst="rect">
                            <a:avLst/>
                          </a:prstGeom>
                          <a:noFill/>
                          <a:ln>
                            <a:noFill/>
                          </a:ln>
                        </pic:spPr>
                      </pic:pic>
                    </a:graphicData>
                  </a:graphic>
                </wp:inline>
              </w:drawing>
            </w:r>
          </w:p>
        </w:tc>
        <w:tc>
          <w:tcPr>
            <w:tcW w:w="5432" w:type="dxa"/>
            <w:tcBorders>
              <w:tl2br w:val="nil"/>
              <w:tr2bl w:val="nil"/>
            </w:tcBorders>
          </w:tcPr>
          <w:p>
            <w:pPr>
              <w:spacing w:line="320" w:lineRule="exact"/>
              <w:ind w:left="-2" w:leftChars="-1" w:firstLine="365" w:firstLineChars="174"/>
              <w:rPr>
                <w:szCs w:val="21"/>
                <w:highlight w:val="none"/>
              </w:rPr>
            </w:pPr>
            <w:r>
              <w:rPr>
                <w:szCs w:val="21"/>
                <w:highlight w:val="none"/>
              </w:rPr>
              <w:t>说明：1、危险废物警告标志规格颜色</w:t>
            </w:r>
            <w:r>
              <w:rPr>
                <w:rFonts w:hint="eastAsia"/>
                <w:szCs w:val="21"/>
                <w:highlight w:val="none"/>
              </w:rPr>
              <w:t>；</w:t>
            </w:r>
            <w:r>
              <w:rPr>
                <w:szCs w:val="21"/>
                <w:highlight w:val="none"/>
              </w:rPr>
              <w:t>形状：等边三角形，边长40cm 颜色：背景为黄色，图形为黑色</w:t>
            </w:r>
          </w:p>
          <w:p>
            <w:pPr>
              <w:spacing w:line="320" w:lineRule="exact"/>
              <w:ind w:left="-2" w:leftChars="-1" w:firstLine="365" w:firstLineChars="174"/>
              <w:rPr>
                <w:szCs w:val="21"/>
                <w:highlight w:val="none"/>
              </w:rPr>
            </w:pPr>
            <w:r>
              <w:rPr>
                <w:szCs w:val="21"/>
                <w:highlight w:val="none"/>
              </w:rPr>
              <w:t>2、警告标志外檐2.5cm</w:t>
            </w:r>
          </w:p>
          <w:p>
            <w:pPr>
              <w:spacing w:line="320" w:lineRule="exact"/>
              <w:ind w:left="-2" w:leftChars="-1" w:firstLine="365" w:firstLineChars="174"/>
              <w:rPr>
                <w:rFonts w:eastAsia="仿宋_GB2312"/>
                <w:szCs w:val="21"/>
                <w:highlight w:val="none"/>
              </w:rPr>
            </w:pPr>
            <w:r>
              <w:rPr>
                <w:szCs w:val="21"/>
                <w:highlight w:val="none"/>
              </w:rPr>
              <w:t>3、使用于：危险废物贮存设施为房屋的，建有围墙或防护栅栏，且高度高于100CM时；部分危险废物利用、处置场所。</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158" w:hRule="atLeast"/>
          <w:jc w:val="center"/>
        </w:trPr>
        <w:tc>
          <w:tcPr>
            <w:tcW w:w="3128" w:type="dxa"/>
            <w:tcBorders>
              <w:tl2br w:val="nil"/>
              <w:tr2bl w:val="nil"/>
            </w:tcBorders>
            <w:vAlign w:val="center"/>
          </w:tcPr>
          <w:p>
            <w:pPr>
              <w:jc w:val="center"/>
              <w:rPr>
                <w:sz w:val="32"/>
                <w:szCs w:val="32"/>
                <w:highlight w:val="none"/>
              </w:rPr>
            </w:pPr>
            <w:r>
              <w:rPr>
                <w:highlight w:val="none"/>
              </w:rPr>
              <w:drawing>
                <wp:inline distT="0" distB="0" distL="0" distR="0">
                  <wp:extent cx="1764665" cy="1339850"/>
                  <wp:effectExtent l="0" t="0" r="6985" b="12700"/>
                  <wp:docPr id="14" name="图片 141" descr="20934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1" descr="209342218"/>
                          <pic:cNvPicPr>
                            <a:picLocks noChangeAspect="1" noChangeArrowheads="1"/>
                          </pic:cNvPicPr>
                        </pic:nvPicPr>
                        <pic:blipFill>
                          <a:blip r:embed="rId47" cstate="print"/>
                          <a:srcRect/>
                          <a:stretch>
                            <a:fillRect/>
                          </a:stretch>
                        </pic:blipFill>
                        <pic:spPr>
                          <a:xfrm>
                            <a:off x="0" y="0"/>
                            <a:ext cx="1764665" cy="1339850"/>
                          </a:xfrm>
                          <a:prstGeom prst="rect">
                            <a:avLst/>
                          </a:prstGeom>
                          <a:noFill/>
                          <a:ln w="9525">
                            <a:noFill/>
                            <a:miter lim="800000"/>
                            <a:headEnd/>
                            <a:tailEnd/>
                          </a:ln>
                        </pic:spPr>
                      </pic:pic>
                    </a:graphicData>
                  </a:graphic>
                </wp:inline>
              </w:drawing>
            </w:r>
          </w:p>
        </w:tc>
        <w:tc>
          <w:tcPr>
            <w:tcW w:w="5432" w:type="dxa"/>
            <w:tcBorders>
              <w:tl2br w:val="nil"/>
              <w:tr2bl w:val="nil"/>
            </w:tcBorders>
          </w:tcPr>
          <w:p>
            <w:pPr>
              <w:spacing w:line="320" w:lineRule="exact"/>
              <w:ind w:left="-2" w:leftChars="-1" w:firstLine="365" w:firstLineChars="174"/>
              <w:rPr>
                <w:szCs w:val="21"/>
                <w:highlight w:val="none"/>
              </w:rPr>
            </w:pPr>
            <w:r>
              <w:rPr>
                <w:szCs w:val="21"/>
                <w:highlight w:val="none"/>
              </w:rPr>
              <w:t>说明：1、危险废物标签尺寸颜色</w:t>
            </w:r>
          </w:p>
          <w:p>
            <w:pPr>
              <w:spacing w:line="320" w:lineRule="exact"/>
              <w:ind w:left="-2" w:leftChars="-1" w:firstLine="365" w:firstLineChars="174"/>
              <w:rPr>
                <w:szCs w:val="21"/>
                <w:highlight w:val="none"/>
              </w:rPr>
            </w:pPr>
            <w:r>
              <w:rPr>
                <w:szCs w:val="21"/>
                <w:highlight w:val="none"/>
              </w:rPr>
              <w:t>尺寸：40×40cm；底色：醒目的橘黄色；字体：黑体字；字体颜色：黑色。</w:t>
            </w:r>
          </w:p>
          <w:p>
            <w:pPr>
              <w:spacing w:line="320" w:lineRule="exact"/>
              <w:ind w:left="-2" w:leftChars="-1" w:firstLine="365" w:firstLineChars="174"/>
              <w:rPr>
                <w:szCs w:val="21"/>
                <w:highlight w:val="none"/>
              </w:rPr>
            </w:pPr>
            <w:r>
              <w:rPr>
                <w:szCs w:val="21"/>
                <w:highlight w:val="none"/>
              </w:rPr>
              <w:t>2、危险类别：按危险废物种类选择。</w:t>
            </w:r>
          </w:p>
          <w:p>
            <w:pPr>
              <w:spacing w:line="320" w:lineRule="exact"/>
              <w:ind w:left="-2" w:leftChars="-1" w:firstLine="365" w:firstLineChars="174"/>
              <w:rPr>
                <w:szCs w:val="21"/>
                <w:highlight w:val="none"/>
              </w:rPr>
            </w:pPr>
            <w:r>
              <w:rPr>
                <w:szCs w:val="21"/>
                <w:highlight w:val="none"/>
              </w:rPr>
              <w:t>3、使用于：危险废物贮存设施为房屋的；或建有围墙或防护栅栏，且高度高于100CM时。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30" w:hRule="atLeast"/>
          <w:jc w:val="center"/>
        </w:trPr>
        <w:tc>
          <w:tcPr>
            <w:tcW w:w="3128" w:type="dxa"/>
            <w:tcBorders>
              <w:tl2br w:val="nil"/>
              <w:tr2bl w:val="nil"/>
            </w:tcBorders>
            <w:vAlign w:val="center"/>
          </w:tcPr>
          <w:p>
            <w:pPr>
              <w:jc w:val="center"/>
              <w:rPr>
                <w:highlight w:val="none"/>
              </w:rPr>
            </w:pPr>
            <w:r>
              <w:rPr>
                <w:highlight w:val="none"/>
              </w:rPr>
              <w:drawing>
                <wp:inline distT="0" distB="0" distL="0" distR="0">
                  <wp:extent cx="1696720" cy="1288415"/>
                  <wp:effectExtent l="0" t="0" r="17780" b="6985"/>
                  <wp:docPr id="11" name="图片 142" descr="20934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42" descr="209342218"/>
                          <pic:cNvPicPr>
                            <a:picLocks noChangeAspect="1" noChangeArrowheads="1"/>
                          </pic:cNvPicPr>
                        </pic:nvPicPr>
                        <pic:blipFill>
                          <a:blip r:embed="rId47" cstate="print"/>
                          <a:srcRect/>
                          <a:stretch>
                            <a:fillRect/>
                          </a:stretch>
                        </pic:blipFill>
                        <pic:spPr>
                          <a:xfrm>
                            <a:off x="0" y="0"/>
                            <a:ext cx="1696720" cy="1288415"/>
                          </a:xfrm>
                          <a:prstGeom prst="rect">
                            <a:avLst/>
                          </a:prstGeom>
                          <a:noFill/>
                          <a:ln w="9525">
                            <a:noFill/>
                            <a:miter lim="800000"/>
                            <a:headEnd/>
                            <a:tailEnd/>
                          </a:ln>
                        </pic:spPr>
                      </pic:pic>
                    </a:graphicData>
                  </a:graphic>
                </wp:inline>
              </w:drawing>
            </w:r>
          </w:p>
        </w:tc>
        <w:tc>
          <w:tcPr>
            <w:tcW w:w="5432" w:type="dxa"/>
            <w:tcBorders>
              <w:tl2br w:val="nil"/>
              <w:tr2bl w:val="nil"/>
            </w:tcBorders>
          </w:tcPr>
          <w:p>
            <w:pPr>
              <w:spacing w:line="320" w:lineRule="exact"/>
              <w:ind w:left="-2" w:leftChars="-1" w:firstLine="365" w:firstLineChars="174"/>
              <w:rPr>
                <w:szCs w:val="21"/>
                <w:highlight w:val="none"/>
              </w:rPr>
            </w:pPr>
            <w:r>
              <w:rPr>
                <w:szCs w:val="21"/>
                <w:highlight w:val="none"/>
              </w:rPr>
              <w:t>说明：1、危险废物标签尺寸颜色</w:t>
            </w:r>
          </w:p>
          <w:p>
            <w:pPr>
              <w:spacing w:line="320" w:lineRule="exact"/>
              <w:ind w:left="-2" w:leftChars="-1" w:firstLine="365" w:firstLineChars="174"/>
              <w:rPr>
                <w:szCs w:val="21"/>
                <w:highlight w:val="none"/>
              </w:rPr>
            </w:pPr>
            <w:r>
              <w:rPr>
                <w:szCs w:val="21"/>
                <w:highlight w:val="none"/>
              </w:rPr>
              <w:t>尺寸：20×20cm；底色：醒目的橘黄色；字体：黑体字；字体颜色：黑色。</w:t>
            </w:r>
          </w:p>
          <w:p>
            <w:pPr>
              <w:spacing w:line="320" w:lineRule="exact"/>
              <w:ind w:left="-2" w:leftChars="-1" w:firstLine="365" w:firstLineChars="174"/>
              <w:rPr>
                <w:szCs w:val="21"/>
                <w:highlight w:val="none"/>
              </w:rPr>
            </w:pPr>
            <w:r>
              <w:rPr>
                <w:szCs w:val="21"/>
                <w:highlight w:val="none"/>
              </w:rPr>
              <w:t>2、危险类别：按危险废物种类选择。</w:t>
            </w:r>
          </w:p>
          <w:p>
            <w:pPr>
              <w:spacing w:line="320" w:lineRule="exact"/>
              <w:ind w:left="-2" w:leftChars="-1" w:firstLine="365" w:firstLineChars="174"/>
              <w:rPr>
                <w:szCs w:val="21"/>
                <w:highlight w:val="none"/>
              </w:rPr>
            </w:pPr>
            <w:r>
              <w:rPr>
                <w:szCs w:val="21"/>
                <w:highlight w:val="none"/>
              </w:rPr>
              <w:t>3、材料为印刷品。</w:t>
            </w:r>
          </w:p>
          <w:p>
            <w:pPr>
              <w:spacing w:line="320" w:lineRule="exact"/>
              <w:ind w:left="-2" w:leftChars="-1" w:firstLine="365" w:firstLineChars="174"/>
              <w:rPr>
                <w:szCs w:val="21"/>
                <w:highlight w:val="none"/>
              </w:rPr>
            </w:pPr>
            <w:r>
              <w:rPr>
                <w:szCs w:val="21"/>
                <w:highlight w:val="none"/>
              </w:rPr>
              <w:t>4、使用于：系挂于袋装危险废物包装物上的危险废物标签</w:t>
            </w:r>
          </w:p>
        </w:tc>
      </w:tr>
    </w:tbl>
    <w:p>
      <w:pPr>
        <w:pStyle w:val="309"/>
        <w:rPr>
          <w:highlight w:val="none"/>
        </w:rPr>
      </w:pPr>
      <w:r>
        <w:rPr>
          <w:rFonts w:hint="eastAsia"/>
          <w:highlight w:val="none"/>
        </w:rPr>
        <w:t>（7）</w:t>
      </w:r>
      <w:r>
        <w:rPr>
          <w:highlight w:val="none"/>
        </w:rPr>
        <w:t>防渗工程</w:t>
      </w:r>
    </w:p>
    <w:p>
      <w:pPr>
        <w:spacing w:line="480" w:lineRule="exact"/>
        <w:ind w:firstLine="480" w:firstLineChars="200"/>
        <w:rPr>
          <w:bCs/>
          <w:sz w:val="24"/>
          <w:highlight w:val="none"/>
        </w:rPr>
      </w:pPr>
      <w:r>
        <w:rPr>
          <w:bCs/>
          <w:sz w:val="24"/>
          <w:highlight w:val="none"/>
        </w:rPr>
        <w:t>根据建设项目所在区域水文地质条件和建设项目各污染源类型及分布情况，参照《环境影响评价技术导则—地下水环境》（HJ610-2016）、《危险废物贮存污染控制标准》（GB18597-20</w:t>
      </w:r>
      <w:r>
        <w:rPr>
          <w:rFonts w:hint="eastAsia"/>
          <w:bCs/>
          <w:sz w:val="24"/>
          <w:highlight w:val="none"/>
          <w:lang w:val="en-US" w:eastAsia="zh-CN"/>
        </w:rPr>
        <w:t>23</w:t>
      </w:r>
      <w:r>
        <w:rPr>
          <w:bCs/>
          <w:sz w:val="24"/>
          <w:highlight w:val="none"/>
        </w:rPr>
        <w:t>）、《一般工业固体废物贮存、处置场污染控制标准》（GB18599-20</w:t>
      </w:r>
      <w:r>
        <w:rPr>
          <w:rFonts w:hint="eastAsia"/>
          <w:bCs/>
          <w:sz w:val="24"/>
          <w:highlight w:val="none"/>
          <w:lang w:val="en-US" w:eastAsia="zh-CN"/>
        </w:rPr>
        <w:t>20</w:t>
      </w:r>
      <w:r>
        <w:rPr>
          <w:bCs/>
          <w:sz w:val="24"/>
          <w:highlight w:val="none"/>
        </w:rPr>
        <w:t>）、《</w:t>
      </w:r>
      <w:r>
        <w:rPr>
          <w:rFonts w:hint="eastAsia"/>
          <w:bCs/>
          <w:sz w:val="24"/>
          <w:highlight w:val="none"/>
        </w:rPr>
        <w:t>排污</w:t>
      </w:r>
      <w:r>
        <w:rPr>
          <w:bCs/>
          <w:sz w:val="24"/>
          <w:highlight w:val="none"/>
        </w:rPr>
        <w:t>许可证申请与</w:t>
      </w:r>
      <w:r>
        <w:rPr>
          <w:rFonts w:hint="eastAsia"/>
          <w:bCs/>
          <w:sz w:val="24"/>
          <w:highlight w:val="none"/>
        </w:rPr>
        <w:t>核发</w:t>
      </w:r>
      <w:r>
        <w:rPr>
          <w:bCs/>
          <w:sz w:val="24"/>
          <w:highlight w:val="none"/>
        </w:rPr>
        <w:t>技术规范</w:t>
      </w:r>
      <w:r>
        <w:rPr>
          <w:rFonts w:hint="eastAsia"/>
          <w:bCs/>
          <w:sz w:val="24"/>
          <w:highlight w:val="none"/>
        </w:rPr>
        <w:t>工业固体废物（试行）</w:t>
      </w:r>
      <w:r>
        <w:rPr>
          <w:bCs/>
          <w:sz w:val="24"/>
          <w:highlight w:val="none"/>
        </w:rPr>
        <w:t>》，评价提出在建设项目区域内采取分区防渗措施，避免厂区项目区域内各类废水和污染物对地下水的污染。</w:t>
      </w:r>
    </w:p>
    <w:p>
      <w:pPr>
        <w:spacing w:line="480" w:lineRule="exact"/>
        <w:ind w:firstLine="480" w:firstLineChars="200"/>
        <w:rPr>
          <w:bCs/>
          <w:sz w:val="24"/>
          <w:highlight w:val="none"/>
        </w:rPr>
      </w:pPr>
      <w:r>
        <w:rPr>
          <w:bCs/>
          <w:sz w:val="24"/>
          <w:highlight w:val="none"/>
        </w:rPr>
        <w:t>建设项目根据各装置区及生产单元可能泄漏至地面污染物的性质、种类、浓度不同，将生产区域划分为简单防渗区、一般防渗区、重点防渗区，分别进行不同等级和要求的防渗措施。建设项目防渗分区如下：</w:t>
      </w:r>
    </w:p>
    <w:p>
      <w:pPr>
        <w:spacing w:line="480" w:lineRule="exact"/>
        <w:ind w:firstLine="480" w:firstLineChars="200"/>
        <w:rPr>
          <w:bCs/>
          <w:color w:val="auto"/>
          <w:sz w:val="24"/>
          <w:highlight w:val="none"/>
        </w:rPr>
      </w:pPr>
      <w:r>
        <w:rPr>
          <w:rFonts w:hint="eastAsia"/>
          <w:bCs/>
          <w:sz w:val="24"/>
          <w:highlight w:val="none"/>
        </w:rPr>
        <w:fldChar w:fldCharType="begin"/>
      </w:r>
      <w:r>
        <w:rPr>
          <w:rFonts w:hint="eastAsia"/>
          <w:bCs/>
          <w:sz w:val="24"/>
          <w:highlight w:val="none"/>
        </w:rPr>
        <w:instrText xml:space="preserve"> = 1 \* GB3 \* MERGEFORMAT </w:instrText>
      </w:r>
      <w:r>
        <w:rPr>
          <w:rFonts w:hint="eastAsia"/>
          <w:bCs/>
          <w:sz w:val="24"/>
          <w:highlight w:val="none"/>
        </w:rPr>
        <w:fldChar w:fldCharType="separate"/>
      </w:r>
      <w:r>
        <w:rPr>
          <w:highlight w:val="none"/>
        </w:rPr>
        <w:t>①</w:t>
      </w:r>
      <w:r>
        <w:rPr>
          <w:rFonts w:hint="eastAsia"/>
          <w:bCs/>
          <w:sz w:val="24"/>
          <w:highlight w:val="none"/>
        </w:rPr>
        <w:fldChar w:fldCharType="end"/>
      </w:r>
      <w:r>
        <w:rPr>
          <w:bCs/>
          <w:sz w:val="24"/>
          <w:highlight w:val="none"/>
        </w:rPr>
        <w:t>重点防渗区</w:t>
      </w:r>
      <w:r>
        <w:rPr>
          <w:rFonts w:hint="eastAsia"/>
          <w:bCs/>
          <w:color w:val="auto"/>
          <w:sz w:val="24"/>
          <w:highlight w:val="none"/>
        </w:rPr>
        <w:t>：</w:t>
      </w:r>
      <w:r>
        <w:rPr>
          <w:bCs/>
          <w:color w:val="auto"/>
          <w:sz w:val="24"/>
          <w:highlight w:val="none"/>
        </w:rPr>
        <w:t>危废暂存间、</w:t>
      </w:r>
      <w:r>
        <w:rPr>
          <w:rFonts w:hint="eastAsia"/>
          <w:bCs/>
          <w:color w:val="auto"/>
          <w:sz w:val="24"/>
          <w:highlight w:val="none"/>
        </w:rPr>
        <w:t>溢油</w:t>
      </w:r>
      <w:r>
        <w:rPr>
          <w:bCs/>
          <w:color w:val="auto"/>
          <w:sz w:val="24"/>
          <w:highlight w:val="none"/>
        </w:rPr>
        <w:t>池</w:t>
      </w:r>
      <w:r>
        <w:rPr>
          <w:rFonts w:hint="eastAsia"/>
          <w:bCs/>
          <w:color w:val="auto"/>
          <w:sz w:val="24"/>
          <w:highlight w:val="none"/>
          <w:lang w:eastAsia="zh-CN"/>
        </w:rPr>
        <w:t>、化粪池</w:t>
      </w:r>
      <w:r>
        <w:rPr>
          <w:rFonts w:hint="eastAsia"/>
          <w:bCs/>
          <w:color w:val="auto"/>
          <w:sz w:val="24"/>
          <w:highlight w:val="none"/>
        </w:rPr>
        <w:t>：</w:t>
      </w:r>
      <w:r>
        <w:rPr>
          <w:bCs/>
          <w:color w:val="auto"/>
          <w:sz w:val="24"/>
          <w:highlight w:val="none"/>
        </w:rPr>
        <w:t>危废暂存间按《危险废物贮存污染控制标准》（GB18597-20</w:t>
      </w:r>
      <w:r>
        <w:rPr>
          <w:rFonts w:hint="eastAsia"/>
          <w:bCs/>
          <w:color w:val="auto"/>
          <w:sz w:val="24"/>
          <w:highlight w:val="none"/>
          <w:lang w:val="en-US" w:eastAsia="zh-CN"/>
        </w:rPr>
        <w:t>23</w:t>
      </w:r>
      <w:r>
        <w:rPr>
          <w:bCs/>
          <w:color w:val="auto"/>
          <w:sz w:val="24"/>
          <w:highlight w:val="none"/>
        </w:rPr>
        <w:t>）要求处理：地面与裙脚采用土工膜（2mm）防渗，</w:t>
      </w:r>
      <w:r>
        <w:rPr>
          <w:bCs/>
          <w:color w:val="auto"/>
          <w:kern w:val="24"/>
          <w:sz w:val="24"/>
          <w:highlight w:val="none"/>
        </w:rPr>
        <w:t>地面及裙角均采取抗渗水泥防渗，地面水泥厚度为20cm；</w:t>
      </w:r>
      <w:r>
        <w:rPr>
          <w:bCs/>
          <w:color w:val="auto"/>
          <w:sz w:val="24"/>
          <w:highlight w:val="none"/>
        </w:rPr>
        <w:t>裙角高度1.5m</w:t>
      </w:r>
      <w:r>
        <w:rPr>
          <w:bCs/>
          <w:color w:val="auto"/>
          <w:kern w:val="24"/>
          <w:sz w:val="24"/>
          <w:highlight w:val="none"/>
        </w:rPr>
        <w:t>，厚度20cm</w:t>
      </w:r>
      <w:r>
        <w:rPr>
          <w:bCs/>
          <w:color w:val="auto"/>
          <w:sz w:val="24"/>
          <w:highlight w:val="none"/>
        </w:rPr>
        <w:t>，地面及四周裙脚均应耐腐蚀，耐热且表面无裂隙，同时设置泄漏液体的收集装置。防渗层渗透系数小于10</w:t>
      </w:r>
      <w:r>
        <w:rPr>
          <w:bCs/>
          <w:color w:val="auto"/>
          <w:sz w:val="24"/>
          <w:highlight w:val="none"/>
          <w:vertAlign w:val="superscript"/>
        </w:rPr>
        <w:t>-10</w:t>
      </w:r>
      <w:r>
        <w:rPr>
          <w:bCs/>
          <w:color w:val="auto"/>
          <w:sz w:val="24"/>
          <w:highlight w:val="none"/>
        </w:rPr>
        <w:t>cm/s。</w:t>
      </w:r>
      <w:r>
        <w:rPr>
          <w:rFonts w:hint="eastAsia"/>
          <w:bCs/>
          <w:color w:val="auto"/>
          <w:sz w:val="24"/>
          <w:highlight w:val="none"/>
        </w:rPr>
        <w:t>溢油</w:t>
      </w:r>
      <w:r>
        <w:rPr>
          <w:bCs/>
          <w:color w:val="auto"/>
          <w:sz w:val="24"/>
          <w:highlight w:val="none"/>
        </w:rPr>
        <w:t>池</w:t>
      </w:r>
      <w:r>
        <w:rPr>
          <w:rFonts w:hint="eastAsia"/>
          <w:bCs/>
          <w:color w:val="auto"/>
          <w:sz w:val="24"/>
          <w:highlight w:val="none"/>
          <w:lang w:eastAsia="zh-CN"/>
        </w:rPr>
        <w:t>、化粪池（现有）</w:t>
      </w:r>
      <w:r>
        <w:rPr>
          <w:bCs/>
          <w:color w:val="auto"/>
          <w:sz w:val="24"/>
          <w:highlight w:val="none"/>
        </w:rPr>
        <w:t>防渗层渗透系数小于10</w:t>
      </w:r>
      <w:r>
        <w:rPr>
          <w:bCs/>
          <w:color w:val="auto"/>
          <w:sz w:val="24"/>
          <w:highlight w:val="none"/>
          <w:vertAlign w:val="superscript"/>
        </w:rPr>
        <w:t>-10</w:t>
      </w:r>
      <w:r>
        <w:rPr>
          <w:bCs/>
          <w:color w:val="auto"/>
          <w:sz w:val="24"/>
          <w:highlight w:val="none"/>
        </w:rPr>
        <w:t>cm/s。</w:t>
      </w:r>
    </w:p>
    <w:p>
      <w:pPr>
        <w:spacing w:line="480" w:lineRule="exact"/>
        <w:ind w:firstLine="480" w:firstLineChars="200"/>
        <w:rPr>
          <w:bCs/>
          <w:color w:val="auto"/>
          <w:sz w:val="24"/>
          <w:highlight w:val="none"/>
          <w:lang w:val="zh-CN"/>
        </w:rPr>
      </w:pPr>
      <w:r>
        <w:rPr>
          <w:rFonts w:hint="eastAsia"/>
          <w:bCs/>
          <w:color w:val="auto"/>
          <w:sz w:val="24"/>
          <w:highlight w:val="none"/>
        </w:rPr>
        <w:fldChar w:fldCharType="begin"/>
      </w:r>
      <w:r>
        <w:rPr>
          <w:rFonts w:hint="eastAsia"/>
          <w:bCs/>
          <w:color w:val="auto"/>
          <w:sz w:val="24"/>
          <w:highlight w:val="none"/>
        </w:rPr>
        <w:instrText xml:space="preserve"> = 2 \* GB3 \* MERGEFORMAT </w:instrText>
      </w:r>
      <w:r>
        <w:rPr>
          <w:rFonts w:hint="eastAsia"/>
          <w:bCs/>
          <w:color w:val="auto"/>
          <w:sz w:val="24"/>
          <w:highlight w:val="none"/>
        </w:rPr>
        <w:fldChar w:fldCharType="separate"/>
      </w:r>
      <w:r>
        <w:rPr>
          <w:color w:val="auto"/>
          <w:highlight w:val="none"/>
        </w:rPr>
        <w:t>②</w:t>
      </w:r>
      <w:r>
        <w:rPr>
          <w:rFonts w:hint="eastAsia"/>
          <w:bCs/>
          <w:color w:val="auto"/>
          <w:sz w:val="24"/>
          <w:highlight w:val="none"/>
        </w:rPr>
        <w:fldChar w:fldCharType="end"/>
      </w:r>
      <w:r>
        <w:rPr>
          <w:bCs/>
          <w:color w:val="auto"/>
          <w:sz w:val="24"/>
          <w:highlight w:val="none"/>
        </w:rPr>
        <w:t>一般防渗区</w:t>
      </w:r>
      <w:r>
        <w:rPr>
          <w:rFonts w:hint="eastAsia"/>
          <w:bCs/>
          <w:color w:val="auto"/>
          <w:sz w:val="24"/>
          <w:highlight w:val="none"/>
        </w:rPr>
        <w:t>：</w:t>
      </w:r>
      <w:r>
        <w:rPr>
          <w:rFonts w:hint="eastAsia"/>
          <w:bCs/>
          <w:color w:val="auto"/>
          <w:sz w:val="24"/>
          <w:highlight w:val="none"/>
          <w:lang w:eastAsia="zh-CN"/>
        </w:rPr>
        <w:t>厂房</w:t>
      </w:r>
      <w:r>
        <w:rPr>
          <w:bCs/>
          <w:color w:val="auto"/>
          <w:sz w:val="24"/>
          <w:highlight w:val="none"/>
        </w:rPr>
        <w:t>地面采用防渗混凝土浇筑，厚度为20cm，</w:t>
      </w:r>
      <w:r>
        <w:rPr>
          <w:bCs/>
          <w:snapToGrid w:val="0"/>
          <w:color w:val="auto"/>
          <w:sz w:val="24"/>
          <w:highlight w:val="none"/>
        </w:rPr>
        <w:t>渗透系数</w:t>
      </w:r>
      <w:r>
        <w:rPr>
          <w:bCs/>
          <w:color w:val="auto"/>
          <w:kern w:val="24"/>
          <w:sz w:val="24"/>
          <w:highlight w:val="none"/>
        </w:rPr>
        <w:t>小于10</w:t>
      </w:r>
      <w:r>
        <w:rPr>
          <w:bCs/>
          <w:color w:val="auto"/>
          <w:kern w:val="24"/>
          <w:sz w:val="24"/>
          <w:highlight w:val="none"/>
          <w:vertAlign w:val="superscript"/>
        </w:rPr>
        <w:t>-7</w:t>
      </w:r>
      <w:r>
        <w:rPr>
          <w:bCs/>
          <w:color w:val="auto"/>
          <w:kern w:val="24"/>
          <w:sz w:val="24"/>
          <w:highlight w:val="none"/>
        </w:rPr>
        <w:t>cm/s</w:t>
      </w:r>
      <w:r>
        <w:rPr>
          <w:bCs/>
          <w:color w:val="auto"/>
          <w:sz w:val="24"/>
          <w:highlight w:val="none"/>
          <w:lang w:val="zh-CN"/>
        </w:rPr>
        <w:t>。</w:t>
      </w:r>
    </w:p>
    <w:p>
      <w:pPr>
        <w:spacing w:line="480" w:lineRule="exact"/>
        <w:ind w:firstLine="480" w:firstLineChars="200"/>
        <w:rPr>
          <w:color w:val="auto"/>
          <w:sz w:val="24"/>
          <w:highlight w:val="none"/>
        </w:rPr>
      </w:pPr>
      <w:r>
        <w:rPr>
          <w:rFonts w:hint="eastAsia"/>
          <w:bCs/>
          <w:color w:val="auto"/>
          <w:sz w:val="24"/>
          <w:highlight w:val="none"/>
        </w:rPr>
        <w:fldChar w:fldCharType="begin"/>
      </w:r>
      <w:r>
        <w:rPr>
          <w:rFonts w:hint="eastAsia"/>
          <w:bCs/>
          <w:color w:val="auto"/>
          <w:sz w:val="24"/>
          <w:highlight w:val="none"/>
        </w:rPr>
        <w:instrText xml:space="preserve"> = 3 \* GB3 \* MERGEFORMAT </w:instrText>
      </w:r>
      <w:r>
        <w:rPr>
          <w:rFonts w:hint="eastAsia"/>
          <w:bCs/>
          <w:color w:val="auto"/>
          <w:sz w:val="24"/>
          <w:highlight w:val="none"/>
        </w:rPr>
        <w:fldChar w:fldCharType="separate"/>
      </w:r>
      <w:r>
        <w:rPr>
          <w:color w:val="auto"/>
          <w:highlight w:val="none"/>
        </w:rPr>
        <w:t>③</w:t>
      </w:r>
      <w:r>
        <w:rPr>
          <w:rFonts w:hint="eastAsia"/>
          <w:bCs/>
          <w:color w:val="auto"/>
          <w:sz w:val="24"/>
          <w:highlight w:val="none"/>
        </w:rPr>
        <w:fldChar w:fldCharType="end"/>
      </w:r>
      <w:r>
        <w:rPr>
          <w:bCs/>
          <w:color w:val="auto"/>
          <w:sz w:val="24"/>
          <w:highlight w:val="none"/>
        </w:rPr>
        <w:t>简单防渗区</w:t>
      </w:r>
      <w:r>
        <w:rPr>
          <w:rFonts w:hint="eastAsia"/>
          <w:bCs/>
          <w:color w:val="auto"/>
          <w:sz w:val="24"/>
          <w:highlight w:val="none"/>
        </w:rPr>
        <w:t>：</w:t>
      </w:r>
      <w:r>
        <w:rPr>
          <w:color w:val="auto"/>
          <w:sz w:val="24"/>
          <w:highlight w:val="none"/>
        </w:rPr>
        <w:t>重点防渗区、一般防渗区以外的其他区域为简单防渗区，采用水泥硬化。</w:t>
      </w:r>
    </w:p>
    <w:p>
      <w:pPr>
        <w:spacing w:line="480" w:lineRule="exact"/>
        <w:rPr>
          <w:b/>
          <w:bCs/>
          <w:color w:val="auto"/>
          <w:sz w:val="24"/>
          <w:highlight w:val="none"/>
        </w:rPr>
      </w:pPr>
      <w:r>
        <w:rPr>
          <w:rFonts w:hint="eastAsia"/>
          <w:b/>
          <w:bCs/>
          <w:color w:val="auto"/>
          <w:sz w:val="24"/>
          <w:highlight w:val="none"/>
        </w:rPr>
        <w:t>3.2.3 生态环境影响源</w:t>
      </w:r>
    </w:p>
    <w:p>
      <w:pPr>
        <w:shd w:val="clear" w:color="auto" w:fill="FFFFFF"/>
        <w:autoSpaceDE w:val="0"/>
        <w:autoSpaceDN w:val="0"/>
        <w:adjustRightInd w:val="0"/>
        <w:spacing w:line="480" w:lineRule="exact"/>
        <w:ind w:firstLine="482"/>
        <w:rPr>
          <w:color w:val="auto"/>
          <w:kern w:val="0"/>
          <w:sz w:val="24"/>
          <w:highlight w:val="none"/>
          <w:lang w:val="zh-CN"/>
        </w:rPr>
      </w:pPr>
      <w:r>
        <w:rPr>
          <w:color w:val="auto"/>
          <w:kern w:val="0"/>
          <w:sz w:val="24"/>
          <w:highlight w:val="none"/>
          <w:lang w:val="zh-CN"/>
        </w:rPr>
        <w:t>（1）</w:t>
      </w:r>
      <w:r>
        <w:rPr>
          <w:rFonts w:hint="eastAsia"/>
          <w:color w:val="auto"/>
          <w:kern w:val="0"/>
          <w:sz w:val="24"/>
          <w:highlight w:val="none"/>
          <w:lang w:val="zh-CN"/>
        </w:rPr>
        <w:t>水文情势变化</w:t>
      </w:r>
    </w:p>
    <w:p>
      <w:pPr>
        <w:spacing w:line="480" w:lineRule="exact"/>
        <w:ind w:firstLine="480" w:firstLineChars="200"/>
        <w:jc w:val="left"/>
        <w:rPr>
          <w:bCs/>
          <w:color w:val="auto"/>
          <w:kern w:val="0"/>
          <w:sz w:val="24"/>
          <w:highlight w:val="none"/>
        </w:rPr>
      </w:pPr>
      <w:r>
        <w:rPr>
          <w:rFonts w:hint="eastAsia"/>
          <w:bCs/>
          <w:color w:val="auto"/>
          <w:kern w:val="0"/>
          <w:sz w:val="24"/>
          <w:highlight w:val="none"/>
          <w:lang w:eastAsia="zh-CN"/>
        </w:rPr>
        <w:t>黎河是季节性河流，原为天然行洪河道。夏季季风是黎河流域降水主要原因。</w:t>
      </w:r>
      <w:r>
        <w:rPr>
          <w:rFonts w:hint="eastAsia"/>
          <w:bCs/>
          <w:color w:val="auto"/>
          <w:kern w:val="0"/>
          <w:sz w:val="24"/>
          <w:highlight w:val="none"/>
        </w:rPr>
        <w:t>黎河多年平均径流量为1.4亿m</w:t>
      </w:r>
      <w:r>
        <w:rPr>
          <w:rFonts w:hint="eastAsia"/>
          <w:bCs/>
          <w:color w:val="auto"/>
          <w:kern w:val="0"/>
          <w:sz w:val="24"/>
          <w:highlight w:val="none"/>
          <w:vertAlign w:val="superscript"/>
        </w:rPr>
        <w:t>3</w:t>
      </w:r>
      <w:r>
        <w:rPr>
          <w:rFonts w:hint="eastAsia"/>
          <w:bCs/>
          <w:color w:val="auto"/>
          <w:kern w:val="0"/>
          <w:sz w:val="24"/>
          <w:highlight w:val="none"/>
        </w:rPr>
        <w:t>/a，平均4.44m</w:t>
      </w:r>
      <w:r>
        <w:rPr>
          <w:rFonts w:hint="eastAsia"/>
          <w:bCs/>
          <w:color w:val="auto"/>
          <w:kern w:val="0"/>
          <w:sz w:val="24"/>
          <w:highlight w:val="none"/>
          <w:vertAlign w:val="superscript"/>
        </w:rPr>
        <w:t>3</w:t>
      </w:r>
      <w:r>
        <w:rPr>
          <w:rFonts w:hint="eastAsia"/>
          <w:bCs/>
          <w:color w:val="auto"/>
          <w:kern w:val="0"/>
          <w:sz w:val="24"/>
          <w:highlight w:val="none"/>
        </w:rPr>
        <w:t>/s；径流深256mm，多年平均径流系数0.32，径流模数7.36×10</w:t>
      </w:r>
      <w:r>
        <w:rPr>
          <w:rFonts w:hint="eastAsia"/>
          <w:bCs/>
          <w:color w:val="auto"/>
          <w:kern w:val="0"/>
          <w:sz w:val="24"/>
          <w:highlight w:val="none"/>
          <w:vertAlign w:val="superscript"/>
        </w:rPr>
        <w:t>-3</w:t>
      </w:r>
      <w:r>
        <w:rPr>
          <w:rFonts w:hint="eastAsia"/>
          <w:bCs/>
          <w:color w:val="auto"/>
          <w:kern w:val="0"/>
          <w:sz w:val="24"/>
          <w:highlight w:val="none"/>
        </w:rPr>
        <w:t>。</w:t>
      </w:r>
      <w:r>
        <w:rPr>
          <w:rFonts w:hint="eastAsia"/>
          <w:bCs/>
          <w:color w:val="auto"/>
          <w:kern w:val="0"/>
          <w:sz w:val="24"/>
          <w:highlight w:val="none"/>
          <w:lang w:eastAsia="zh-CN"/>
        </w:rPr>
        <w:t>流域内年平均降水量</w:t>
      </w:r>
      <w:r>
        <w:rPr>
          <w:rFonts w:hint="eastAsia"/>
          <w:bCs/>
          <w:color w:val="auto"/>
          <w:kern w:val="0"/>
          <w:sz w:val="24"/>
          <w:highlight w:val="none"/>
          <w:lang w:val="en-US" w:eastAsia="zh-CN"/>
        </w:rPr>
        <w:t>800mm，且分布不均，夏季暴雨集中，6-9月份降水量占全年降水量的75-85%，7-8月降水量占全年降水量的50-60%，其中7月中旬至8月中旬为最大，降水量占全年降水量的30-40%，降水量相对集中的趋势比较明显。10月份至次年5月份降水占全年的25-15%，其中11月份降水量最小，只占全年的1-2%。</w:t>
      </w:r>
      <w:r>
        <w:rPr>
          <w:rFonts w:hint="eastAsia"/>
          <w:bCs/>
          <w:color w:val="auto"/>
          <w:kern w:val="0"/>
          <w:sz w:val="24"/>
          <w:highlight w:val="none"/>
        </w:rPr>
        <w:t>全年径流量几乎全部集中在汛期，基本产生</w:t>
      </w:r>
      <w:r>
        <w:rPr>
          <w:rFonts w:hint="eastAsia"/>
          <w:bCs/>
          <w:color w:val="auto"/>
          <w:kern w:val="0"/>
          <w:sz w:val="24"/>
          <w:highlight w:val="none"/>
          <w:lang w:eastAsia="zh-CN"/>
        </w:rPr>
        <w:t>于</w:t>
      </w:r>
      <w:r>
        <w:rPr>
          <w:rFonts w:hint="eastAsia"/>
          <w:bCs/>
          <w:color w:val="auto"/>
          <w:kern w:val="0"/>
          <w:sz w:val="24"/>
          <w:highlight w:val="none"/>
        </w:rPr>
        <w:t>汛期的暴雨。枯水期经常出现断流。</w:t>
      </w:r>
    </w:p>
    <w:p>
      <w:pPr>
        <w:spacing w:line="480" w:lineRule="exact"/>
        <w:ind w:firstLine="480" w:firstLineChars="200"/>
        <w:jc w:val="left"/>
        <w:rPr>
          <w:rFonts w:hint="default" w:eastAsia="宋体"/>
          <w:bCs/>
          <w:color w:val="auto"/>
          <w:kern w:val="0"/>
          <w:sz w:val="24"/>
          <w:highlight w:val="none"/>
          <w:lang w:val="en-US" w:eastAsia="zh-CN"/>
        </w:rPr>
      </w:pPr>
      <w:r>
        <w:rPr>
          <w:rFonts w:hint="eastAsia"/>
          <w:bCs/>
          <w:color w:val="auto"/>
          <w:kern w:val="0"/>
          <w:sz w:val="24"/>
          <w:highlight w:val="none"/>
          <w:lang w:eastAsia="zh-CN"/>
        </w:rPr>
        <w:t>黎河流域降水量年际变化较大，丰枯水年降水比差可达</w:t>
      </w:r>
      <w:r>
        <w:rPr>
          <w:rFonts w:hint="eastAsia"/>
          <w:bCs/>
          <w:color w:val="auto"/>
          <w:kern w:val="0"/>
          <w:sz w:val="24"/>
          <w:highlight w:val="none"/>
          <w:lang w:val="en-US" w:eastAsia="zh-CN"/>
        </w:rPr>
        <w:t>2-3倍，丰水年降水可达1000mm，枯水年不足450mm。由于</w:t>
      </w:r>
      <w:r>
        <w:rPr>
          <w:rFonts w:hint="eastAsia"/>
          <w:bCs/>
          <w:color w:val="auto"/>
          <w:kern w:val="0"/>
          <w:sz w:val="24"/>
          <w:highlight w:val="none"/>
          <w:lang w:eastAsia="zh-CN"/>
        </w:rPr>
        <w:t>降水量年际变化较大和年内分配不均，黎河流域发生旱涝几率较多。根据前毛庄水文站建站</w:t>
      </w:r>
      <w:r>
        <w:rPr>
          <w:rFonts w:hint="eastAsia"/>
          <w:bCs/>
          <w:color w:val="auto"/>
          <w:kern w:val="0"/>
          <w:sz w:val="24"/>
          <w:highlight w:val="none"/>
          <w:lang w:val="en-US" w:eastAsia="zh-CN"/>
        </w:rPr>
        <w:t>40年来资料统计，水灾重现年8-10年，旱灾重现年3-4年，形成黎河流域夏季多雨，冬季干旱少雪，春秋干旱少雨。</w:t>
      </w:r>
    </w:p>
    <w:p>
      <w:pPr>
        <w:shd w:val="clear" w:color="auto" w:fill="FFFFFF"/>
        <w:autoSpaceDE w:val="0"/>
        <w:autoSpaceDN w:val="0"/>
        <w:adjustRightInd w:val="0"/>
        <w:spacing w:line="480" w:lineRule="exact"/>
        <w:ind w:firstLine="482"/>
        <w:rPr>
          <w:kern w:val="0"/>
          <w:sz w:val="24"/>
          <w:highlight w:val="none"/>
          <w:lang w:val="zh-CN"/>
        </w:rPr>
      </w:pPr>
      <w:r>
        <w:rPr>
          <w:rFonts w:hint="eastAsia"/>
          <w:kern w:val="0"/>
          <w:sz w:val="24"/>
          <w:highlight w:val="none"/>
          <w:lang w:val="zh-CN"/>
        </w:rPr>
        <w:t>“</w:t>
      </w:r>
      <w:r>
        <w:rPr>
          <w:kern w:val="0"/>
          <w:sz w:val="24"/>
          <w:highlight w:val="none"/>
          <w:lang w:val="zh-CN"/>
        </w:rPr>
        <w:t>引滦入津工程</w:t>
      </w:r>
      <w:r>
        <w:rPr>
          <w:rFonts w:hint="eastAsia"/>
          <w:kern w:val="0"/>
          <w:sz w:val="24"/>
          <w:highlight w:val="none"/>
          <w:lang w:val="zh-CN"/>
        </w:rPr>
        <w:t>”</w:t>
      </w:r>
      <w:r>
        <w:rPr>
          <w:kern w:val="0"/>
          <w:sz w:val="24"/>
          <w:highlight w:val="none"/>
          <w:lang w:val="zh-CN"/>
        </w:rPr>
        <w:t>属于人工输水工程，</w:t>
      </w:r>
      <w:r>
        <w:rPr>
          <w:rFonts w:hint="eastAsia"/>
          <w:kern w:val="0"/>
          <w:sz w:val="24"/>
          <w:highlight w:val="none"/>
          <w:lang w:val="zh-CN"/>
        </w:rPr>
        <w:t>利用黎河河道向天津输水。“</w:t>
      </w:r>
      <w:r>
        <w:rPr>
          <w:kern w:val="0"/>
          <w:sz w:val="24"/>
          <w:highlight w:val="none"/>
          <w:lang w:val="zh-CN"/>
        </w:rPr>
        <w:t>引滦入津工程</w:t>
      </w:r>
      <w:r>
        <w:rPr>
          <w:rFonts w:hint="eastAsia"/>
          <w:kern w:val="0"/>
          <w:sz w:val="24"/>
          <w:highlight w:val="none"/>
          <w:lang w:val="zh-CN"/>
        </w:rPr>
        <w:t>”实施后，黎河成为以输水为主兼行洪的河道。</w:t>
      </w:r>
      <w:r>
        <w:rPr>
          <w:kern w:val="0"/>
          <w:sz w:val="24"/>
          <w:highlight w:val="none"/>
          <w:lang w:val="zh-CN"/>
        </w:rPr>
        <w:t>输水时段</w:t>
      </w:r>
      <w:r>
        <w:rPr>
          <w:rFonts w:hint="eastAsia"/>
          <w:kern w:val="0"/>
          <w:sz w:val="24"/>
          <w:highlight w:val="none"/>
          <w:lang w:val="zh-CN"/>
        </w:rPr>
        <w:t>每年分</w:t>
      </w:r>
      <w:r>
        <w:rPr>
          <w:kern w:val="0"/>
          <w:sz w:val="24"/>
          <w:highlight w:val="none"/>
          <w:lang w:val="zh-CN"/>
        </w:rPr>
        <w:t>为</w:t>
      </w:r>
      <w:r>
        <w:rPr>
          <w:rFonts w:hint="eastAsia"/>
          <w:kern w:val="0"/>
          <w:sz w:val="24"/>
          <w:highlight w:val="none"/>
        </w:rPr>
        <w:t>2个时段，即：</w:t>
      </w:r>
      <w:r>
        <w:rPr>
          <w:kern w:val="0"/>
          <w:sz w:val="24"/>
          <w:highlight w:val="none"/>
          <w:lang w:val="zh-CN"/>
        </w:rPr>
        <w:t>第一个输水时段</w:t>
      </w:r>
      <w:r>
        <w:rPr>
          <w:rFonts w:hint="eastAsia"/>
          <w:kern w:val="0"/>
          <w:sz w:val="24"/>
          <w:highlight w:val="none"/>
          <w:lang w:val="zh-CN"/>
        </w:rPr>
        <w:t>（</w:t>
      </w:r>
      <w:r>
        <w:rPr>
          <w:kern w:val="0"/>
          <w:sz w:val="24"/>
          <w:highlight w:val="none"/>
          <w:lang w:val="zh-CN"/>
        </w:rPr>
        <w:t>4月至6月</w:t>
      </w:r>
      <w:r>
        <w:rPr>
          <w:rFonts w:hint="eastAsia"/>
          <w:kern w:val="0"/>
          <w:sz w:val="24"/>
          <w:highlight w:val="none"/>
          <w:lang w:val="zh-CN"/>
        </w:rPr>
        <w:t>），</w:t>
      </w:r>
      <w:r>
        <w:rPr>
          <w:kern w:val="0"/>
          <w:sz w:val="24"/>
          <w:highlight w:val="none"/>
          <w:lang w:val="zh-CN"/>
        </w:rPr>
        <w:t>第</w:t>
      </w:r>
      <w:r>
        <w:rPr>
          <w:rFonts w:hint="eastAsia"/>
          <w:kern w:val="0"/>
          <w:sz w:val="24"/>
          <w:highlight w:val="none"/>
          <w:lang w:val="zh-CN"/>
        </w:rPr>
        <w:t>二</w:t>
      </w:r>
      <w:r>
        <w:rPr>
          <w:kern w:val="0"/>
          <w:sz w:val="24"/>
          <w:highlight w:val="none"/>
          <w:lang w:val="zh-CN"/>
        </w:rPr>
        <w:t>个输水时段</w:t>
      </w:r>
      <w:r>
        <w:rPr>
          <w:rFonts w:hint="eastAsia"/>
          <w:kern w:val="0"/>
          <w:sz w:val="24"/>
          <w:highlight w:val="none"/>
          <w:lang w:val="zh-CN"/>
        </w:rPr>
        <w:t>（</w:t>
      </w:r>
      <w:r>
        <w:rPr>
          <w:kern w:val="0"/>
          <w:sz w:val="24"/>
          <w:highlight w:val="none"/>
          <w:lang w:val="zh-CN"/>
        </w:rPr>
        <w:t>9月至12月</w:t>
      </w:r>
      <w:r>
        <w:rPr>
          <w:rFonts w:hint="eastAsia"/>
          <w:kern w:val="0"/>
          <w:sz w:val="24"/>
          <w:highlight w:val="none"/>
          <w:lang w:val="zh-CN"/>
        </w:rPr>
        <w:t>）。</w:t>
      </w:r>
      <w:r>
        <w:rPr>
          <w:kern w:val="0"/>
          <w:sz w:val="24"/>
          <w:highlight w:val="none"/>
          <w:lang w:val="zh-CN"/>
        </w:rPr>
        <w:t>本项目在第一个输水时段内发电</w:t>
      </w:r>
      <w:r>
        <w:rPr>
          <w:rFonts w:hint="eastAsia"/>
          <w:kern w:val="0"/>
          <w:sz w:val="24"/>
          <w:highlight w:val="none"/>
          <w:lang w:val="zh-CN"/>
        </w:rPr>
        <w:t>时间约</w:t>
      </w:r>
      <w:r>
        <w:rPr>
          <w:kern w:val="0"/>
          <w:sz w:val="24"/>
          <w:highlight w:val="none"/>
          <w:lang w:val="zh-CN"/>
        </w:rPr>
        <w:t>60天，第二个输水时段发电</w:t>
      </w:r>
      <w:r>
        <w:rPr>
          <w:rFonts w:hint="eastAsia"/>
          <w:kern w:val="0"/>
          <w:sz w:val="24"/>
          <w:highlight w:val="none"/>
          <w:lang w:val="zh-CN"/>
        </w:rPr>
        <w:t>时间约</w:t>
      </w:r>
      <w:r>
        <w:rPr>
          <w:kern w:val="0"/>
          <w:sz w:val="24"/>
          <w:highlight w:val="none"/>
          <w:lang w:val="zh-CN"/>
        </w:rPr>
        <w:t>70天</w:t>
      </w:r>
      <w:r>
        <w:rPr>
          <w:rFonts w:hint="eastAsia"/>
          <w:kern w:val="0"/>
          <w:sz w:val="24"/>
          <w:highlight w:val="none"/>
          <w:lang w:val="zh-CN"/>
        </w:rPr>
        <w:t>。冬季（</w:t>
      </w:r>
      <w:r>
        <w:rPr>
          <w:rFonts w:hint="eastAsia"/>
          <w:kern w:val="0"/>
          <w:sz w:val="24"/>
          <w:highlight w:val="none"/>
        </w:rPr>
        <w:t>1-3月</w:t>
      </w:r>
      <w:r>
        <w:rPr>
          <w:rFonts w:hint="eastAsia"/>
          <w:kern w:val="0"/>
          <w:sz w:val="24"/>
          <w:highlight w:val="none"/>
          <w:lang w:val="zh-CN"/>
        </w:rPr>
        <w:t>）“引滦入津工程”停止使用，本项目橡胶坝上游断流。夏季（</w:t>
      </w:r>
      <w:r>
        <w:rPr>
          <w:rFonts w:hint="eastAsia"/>
          <w:kern w:val="0"/>
          <w:sz w:val="24"/>
          <w:highlight w:val="none"/>
        </w:rPr>
        <w:t>7月、8月</w:t>
      </w:r>
      <w:r>
        <w:rPr>
          <w:rFonts w:hint="eastAsia"/>
          <w:kern w:val="0"/>
          <w:sz w:val="24"/>
          <w:highlight w:val="none"/>
          <w:lang w:val="zh-CN"/>
        </w:rPr>
        <w:t>）属于汛期，河道主要是泄洪。</w:t>
      </w:r>
    </w:p>
    <w:p>
      <w:pPr>
        <w:shd w:val="clear" w:color="auto" w:fill="FFFFFF"/>
        <w:autoSpaceDE w:val="0"/>
        <w:autoSpaceDN w:val="0"/>
        <w:adjustRightInd w:val="0"/>
        <w:spacing w:line="480" w:lineRule="exact"/>
        <w:ind w:firstLine="482"/>
        <w:rPr>
          <w:color w:val="auto"/>
          <w:kern w:val="0"/>
          <w:sz w:val="24"/>
          <w:highlight w:val="none"/>
        </w:rPr>
      </w:pPr>
      <w:r>
        <w:rPr>
          <w:rFonts w:hint="eastAsia"/>
          <w:color w:val="auto"/>
          <w:kern w:val="0"/>
          <w:sz w:val="24"/>
          <w:highlight w:val="none"/>
          <w:lang w:val="zh-CN"/>
        </w:rPr>
        <w:t>本项目橡胶坝坝高</w:t>
      </w:r>
      <w:r>
        <w:rPr>
          <w:rFonts w:hint="eastAsia"/>
          <w:color w:val="auto"/>
          <w:kern w:val="0"/>
          <w:sz w:val="24"/>
          <w:highlight w:val="none"/>
          <w:lang w:val="en-US" w:eastAsia="zh-CN"/>
        </w:rPr>
        <w:t>2</w:t>
      </w:r>
      <w:r>
        <w:rPr>
          <w:rFonts w:hint="eastAsia"/>
          <w:color w:val="auto"/>
          <w:kern w:val="0"/>
          <w:sz w:val="24"/>
          <w:highlight w:val="none"/>
        </w:rPr>
        <w:t>m，</w:t>
      </w:r>
      <w:r>
        <w:rPr>
          <w:rFonts w:hint="eastAsia"/>
          <w:color w:val="auto"/>
          <w:kern w:val="0"/>
          <w:sz w:val="24"/>
          <w:highlight w:val="none"/>
          <w:lang w:val="zh-CN"/>
        </w:rPr>
        <w:t>“</w:t>
      </w:r>
      <w:r>
        <w:rPr>
          <w:color w:val="auto"/>
          <w:kern w:val="0"/>
          <w:sz w:val="24"/>
          <w:highlight w:val="none"/>
          <w:lang w:val="zh-CN"/>
        </w:rPr>
        <w:t>引滦入津工程</w:t>
      </w:r>
      <w:r>
        <w:rPr>
          <w:rFonts w:hint="eastAsia"/>
          <w:color w:val="auto"/>
          <w:kern w:val="0"/>
          <w:sz w:val="24"/>
          <w:highlight w:val="none"/>
          <w:lang w:val="zh-CN"/>
        </w:rPr>
        <w:t>”</w:t>
      </w:r>
      <w:r>
        <w:rPr>
          <w:color w:val="auto"/>
          <w:kern w:val="0"/>
          <w:sz w:val="24"/>
          <w:highlight w:val="none"/>
          <w:lang w:val="zh-CN"/>
        </w:rPr>
        <w:t>输水河道</w:t>
      </w:r>
      <w:r>
        <w:rPr>
          <w:rFonts w:hint="eastAsia"/>
          <w:color w:val="auto"/>
          <w:kern w:val="0"/>
          <w:sz w:val="24"/>
          <w:highlight w:val="none"/>
          <w:lang w:val="zh-CN"/>
        </w:rPr>
        <w:t>黎河</w:t>
      </w:r>
      <w:r>
        <w:rPr>
          <w:color w:val="auto"/>
          <w:kern w:val="0"/>
          <w:sz w:val="24"/>
          <w:highlight w:val="none"/>
          <w:lang w:val="zh-CN"/>
        </w:rPr>
        <w:t>水流流量6</w:t>
      </w:r>
      <w:r>
        <w:rPr>
          <w:rFonts w:hint="eastAsia"/>
          <w:color w:val="auto"/>
          <w:kern w:val="0"/>
          <w:sz w:val="24"/>
          <w:highlight w:val="none"/>
          <w:lang w:val="en-US" w:eastAsia="zh-CN"/>
        </w:rPr>
        <w:t>0</w:t>
      </w:r>
      <w:r>
        <w:rPr>
          <w:color w:val="auto"/>
          <w:kern w:val="0"/>
          <w:sz w:val="24"/>
          <w:highlight w:val="none"/>
          <w:lang w:val="zh-CN"/>
        </w:rPr>
        <w:t>m</w:t>
      </w:r>
      <w:r>
        <w:rPr>
          <w:color w:val="auto"/>
          <w:kern w:val="0"/>
          <w:sz w:val="24"/>
          <w:highlight w:val="none"/>
          <w:vertAlign w:val="superscript"/>
          <w:lang w:val="zh-CN"/>
        </w:rPr>
        <w:t>3</w:t>
      </w:r>
      <w:r>
        <w:rPr>
          <w:color w:val="auto"/>
          <w:kern w:val="0"/>
          <w:sz w:val="24"/>
          <w:highlight w:val="none"/>
          <w:lang w:val="zh-CN"/>
        </w:rPr>
        <w:t>/s，水轮机</w:t>
      </w:r>
      <w:r>
        <w:rPr>
          <w:rFonts w:hint="eastAsia"/>
          <w:color w:val="auto"/>
          <w:kern w:val="0"/>
          <w:sz w:val="24"/>
          <w:highlight w:val="none"/>
          <w:lang w:val="zh-CN"/>
        </w:rPr>
        <w:t>引水</w:t>
      </w:r>
      <w:r>
        <w:rPr>
          <w:color w:val="auto"/>
          <w:kern w:val="0"/>
          <w:sz w:val="24"/>
          <w:highlight w:val="none"/>
          <w:lang w:val="zh-CN"/>
        </w:rPr>
        <w:t>流量</w:t>
      </w:r>
      <w:r>
        <w:rPr>
          <w:rFonts w:hint="eastAsia"/>
          <w:color w:val="auto"/>
          <w:kern w:val="0"/>
          <w:sz w:val="24"/>
          <w:highlight w:val="none"/>
          <w:lang w:val="en-US" w:eastAsia="zh-CN"/>
        </w:rPr>
        <w:t>55.92</w:t>
      </w:r>
      <w:r>
        <w:rPr>
          <w:color w:val="auto"/>
          <w:kern w:val="0"/>
          <w:sz w:val="24"/>
          <w:highlight w:val="none"/>
          <w:lang w:val="zh-CN"/>
        </w:rPr>
        <w:t>m</w:t>
      </w:r>
      <w:r>
        <w:rPr>
          <w:color w:val="auto"/>
          <w:kern w:val="0"/>
          <w:sz w:val="24"/>
          <w:highlight w:val="none"/>
          <w:vertAlign w:val="superscript"/>
          <w:lang w:val="zh-CN"/>
        </w:rPr>
        <w:t>3</w:t>
      </w:r>
      <w:r>
        <w:rPr>
          <w:color w:val="auto"/>
          <w:kern w:val="0"/>
          <w:sz w:val="24"/>
          <w:highlight w:val="none"/>
          <w:lang w:val="zh-CN"/>
        </w:rPr>
        <w:t>/s</w:t>
      </w:r>
      <w:r>
        <w:rPr>
          <w:rFonts w:hint="eastAsia"/>
          <w:color w:val="auto"/>
          <w:kern w:val="0"/>
          <w:sz w:val="24"/>
          <w:highlight w:val="none"/>
          <w:lang w:val="zh-CN"/>
        </w:rPr>
        <w:t>，</w:t>
      </w:r>
      <w:r>
        <w:rPr>
          <w:color w:val="auto"/>
          <w:kern w:val="0"/>
          <w:sz w:val="24"/>
          <w:highlight w:val="none"/>
          <w:lang w:val="zh-CN"/>
        </w:rPr>
        <w:t>小于黎河输水流量</w:t>
      </w:r>
      <w:r>
        <w:rPr>
          <w:rFonts w:hint="eastAsia"/>
          <w:color w:val="auto"/>
          <w:kern w:val="0"/>
          <w:sz w:val="24"/>
          <w:highlight w:val="none"/>
          <w:lang w:val="zh-CN"/>
        </w:rPr>
        <w:t>。设计黎河输水量</w:t>
      </w:r>
      <w:r>
        <w:rPr>
          <w:rFonts w:hint="eastAsia"/>
          <w:color w:val="auto"/>
          <w:kern w:val="0"/>
          <w:sz w:val="24"/>
          <w:highlight w:val="none"/>
          <w:lang w:val="en-US" w:eastAsia="zh-CN"/>
        </w:rPr>
        <w:t>10亿m</w:t>
      </w:r>
      <w:r>
        <w:rPr>
          <w:rFonts w:hint="eastAsia"/>
          <w:color w:val="auto"/>
          <w:kern w:val="0"/>
          <w:sz w:val="24"/>
          <w:highlight w:val="none"/>
          <w:vertAlign w:val="superscript"/>
          <w:lang w:val="en-US" w:eastAsia="zh-CN"/>
        </w:rPr>
        <w:t>3</w:t>
      </w:r>
      <w:r>
        <w:rPr>
          <w:rFonts w:hint="eastAsia"/>
          <w:color w:val="auto"/>
          <w:kern w:val="0"/>
          <w:sz w:val="24"/>
          <w:highlight w:val="none"/>
          <w:lang w:val="en-US" w:eastAsia="zh-CN"/>
        </w:rPr>
        <w:t>/a，本电站设计用水量5.9亿m</w:t>
      </w:r>
      <w:r>
        <w:rPr>
          <w:rFonts w:hint="eastAsia"/>
          <w:color w:val="auto"/>
          <w:kern w:val="0"/>
          <w:sz w:val="24"/>
          <w:highlight w:val="none"/>
          <w:vertAlign w:val="superscript"/>
          <w:lang w:val="en-US" w:eastAsia="zh-CN"/>
        </w:rPr>
        <w:t>3</w:t>
      </w:r>
      <w:r>
        <w:rPr>
          <w:rFonts w:hint="eastAsia"/>
          <w:color w:val="auto"/>
          <w:kern w:val="0"/>
          <w:sz w:val="24"/>
          <w:highlight w:val="none"/>
          <w:lang w:val="en-US" w:eastAsia="zh-CN"/>
        </w:rPr>
        <w:t>/a，通过橡胶坝直接下泄41%，</w:t>
      </w:r>
      <w:r>
        <w:rPr>
          <w:rFonts w:hint="eastAsia"/>
          <w:color w:val="auto"/>
          <w:kern w:val="0"/>
          <w:sz w:val="24"/>
          <w:highlight w:val="none"/>
        </w:rPr>
        <w:t>输水</w:t>
      </w:r>
      <w:r>
        <w:rPr>
          <w:rFonts w:hint="eastAsia"/>
          <w:color w:val="auto"/>
          <w:kern w:val="0"/>
          <w:sz w:val="24"/>
          <w:highlight w:val="none"/>
          <w:lang w:eastAsia="zh-CN"/>
        </w:rPr>
        <w:t>期</w:t>
      </w:r>
      <w:r>
        <w:rPr>
          <w:rFonts w:hint="eastAsia"/>
          <w:color w:val="auto"/>
          <w:kern w:val="0"/>
          <w:sz w:val="24"/>
          <w:highlight w:val="none"/>
        </w:rPr>
        <w:t>直接从橡胶坝漫流</w:t>
      </w:r>
      <w:r>
        <w:rPr>
          <w:rFonts w:hint="eastAsia"/>
          <w:color w:val="auto"/>
          <w:kern w:val="0"/>
          <w:sz w:val="24"/>
          <w:highlight w:val="none"/>
          <w:lang w:eastAsia="zh-CN"/>
        </w:rPr>
        <w:t>，坝下至为水口减水段流量</w:t>
      </w:r>
      <w:r>
        <w:rPr>
          <w:rFonts w:hint="eastAsia"/>
          <w:color w:val="auto"/>
          <w:kern w:val="0"/>
          <w:sz w:val="24"/>
          <w:highlight w:val="none"/>
          <w:lang w:val="en-US" w:eastAsia="zh-CN"/>
        </w:rPr>
        <w:t>4.08</w:t>
      </w:r>
      <w:r>
        <w:rPr>
          <w:color w:val="auto"/>
          <w:kern w:val="0"/>
          <w:sz w:val="24"/>
          <w:highlight w:val="none"/>
          <w:lang w:val="zh-CN"/>
        </w:rPr>
        <w:t>m</w:t>
      </w:r>
      <w:r>
        <w:rPr>
          <w:color w:val="auto"/>
          <w:kern w:val="0"/>
          <w:sz w:val="24"/>
          <w:highlight w:val="none"/>
          <w:vertAlign w:val="superscript"/>
          <w:lang w:val="zh-CN"/>
        </w:rPr>
        <w:t>3</w:t>
      </w:r>
      <w:r>
        <w:rPr>
          <w:color w:val="auto"/>
          <w:kern w:val="0"/>
          <w:sz w:val="24"/>
          <w:highlight w:val="none"/>
          <w:lang w:val="zh-CN"/>
        </w:rPr>
        <w:t>/s</w:t>
      </w:r>
      <w:r>
        <w:rPr>
          <w:rFonts w:hint="eastAsia"/>
          <w:color w:val="auto"/>
          <w:kern w:val="0"/>
          <w:sz w:val="24"/>
          <w:highlight w:val="none"/>
          <w:lang w:val="zh-CN"/>
        </w:rPr>
        <w:t>，远远高于最低生态流量</w:t>
      </w:r>
      <w:r>
        <w:rPr>
          <w:rFonts w:hint="eastAsia"/>
          <w:color w:val="auto"/>
          <w:kern w:val="0"/>
          <w:sz w:val="24"/>
          <w:highlight w:val="none"/>
          <w:lang w:val="en-US" w:eastAsia="zh-CN"/>
        </w:rPr>
        <w:t>0.44</w:t>
      </w:r>
      <w:r>
        <w:rPr>
          <w:color w:val="auto"/>
          <w:kern w:val="0"/>
          <w:sz w:val="24"/>
          <w:highlight w:val="none"/>
          <w:lang w:val="zh-CN"/>
        </w:rPr>
        <w:t>m</w:t>
      </w:r>
      <w:r>
        <w:rPr>
          <w:color w:val="auto"/>
          <w:kern w:val="0"/>
          <w:sz w:val="24"/>
          <w:highlight w:val="none"/>
          <w:vertAlign w:val="superscript"/>
          <w:lang w:val="zh-CN"/>
        </w:rPr>
        <w:t>3</w:t>
      </w:r>
      <w:r>
        <w:rPr>
          <w:color w:val="auto"/>
          <w:kern w:val="0"/>
          <w:sz w:val="24"/>
          <w:highlight w:val="none"/>
          <w:lang w:val="zh-CN"/>
        </w:rPr>
        <w:t>/s</w:t>
      </w:r>
      <w:r>
        <w:rPr>
          <w:rFonts w:hint="eastAsia"/>
          <w:color w:val="auto"/>
          <w:kern w:val="0"/>
          <w:sz w:val="24"/>
          <w:highlight w:val="none"/>
          <w:lang w:val="zh-CN"/>
        </w:rPr>
        <w:t>要求</w:t>
      </w:r>
      <w:r>
        <w:rPr>
          <w:rFonts w:hint="eastAsia"/>
          <w:color w:val="auto"/>
          <w:kern w:val="0"/>
          <w:sz w:val="24"/>
          <w:highlight w:val="none"/>
        </w:rPr>
        <w:t>。</w:t>
      </w:r>
    </w:p>
    <w:p>
      <w:pPr>
        <w:shd w:val="clear" w:color="auto" w:fill="FFFFFF"/>
        <w:autoSpaceDE w:val="0"/>
        <w:autoSpaceDN w:val="0"/>
        <w:adjustRightInd w:val="0"/>
        <w:spacing w:line="480" w:lineRule="exact"/>
        <w:ind w:firstLine="482"/>
        <w:rPr>
          <w:color w:val="auto"/>
          <w:kern w:val="0"/>
          <w:sz w:val="24"/>
          <w:highlight w:val="none"/>
        </w:rPr>
      </w:pPr>
      <w:r>
        <w:rPr>
          <w:rFonts w:hint="eastAsia"/>
          <w:color w:val="auto"/>
          <w:kern w:val="0"/>
          <w:sz w:val="24"/>
          <w:highlight w:val="none"/>
        </w:rPr>
        <w:t>电站引水采用低橡胶坝引水方式发电，整个生产过程没有污染物产生，也不会改变水的物化性质。</w:t>
      </w:r>
      <w:r>
        <w:rPr>
          <w:rFonts w:hint="eastAsia"/>
          <w:color w:val="auto"/>
          <w:kern w:val="0"/>
          <w:sz w:val="24"/>
          <w:highlight w:val="none"/>
          <w:lang w:val="zh-CN"/>
        </w:rPr>
        <w:t>“</w:t>
      </w:r>
      <w:r>
        <w:rPr>
          <w:color w:val="auto"/>
          <w:kern w:val="0"/>
          <w:sz w:val="24"/>
          <w:highlight w:val="none"/>
          <w:lang w:val="zh-CN"/>
        </w:rPr>
        <w:t>引滦入津工程</w:t>
      </w:r>
      <w:r>
        <w:rPr>
          <w:rFonts w:hint="eastAsia"/>
          <w:color w:val="auto"/>
          <w:kern w:val="0"/>
          <w:sz w:val="24"/>
          <w:highlight w:val="none"/>
          <w:lang w:val="zh-CN"/>
        </w:rPr>
        <w:t>”输水时段</w:t>
      </w:r>
      <w:r>
        <w:rPr>
          <w:rFonts w:hint="eastAsia"/>
          <w:color w:val="auto"/>
          <w:kern w:val="0"/>
          <w:sz w:val="24"/>
          <w:highlight w:val="none"/>
        </w:rPr>
        <w:t>橡胶坝</w:t>
      </w:r>
      <w:r>
        <w:rPr>
          <w:rFonts w:hint="eastAsia"/>
          <w:color w:val="auto"/>
          <w:kern w:val="0"/>
          <w:sz w:val="24"/>
          <w:highlight w:val="none"/>
          <w:lang w:val="zh-CN"/>
        </w:rPr>
        <w:t>充气，引水节制闸开启。</w:t>
      </w:r>
      <w:r>
        <w:rPr>
          <w:rFonts w:hint="eastAsia"/>
          <w:color w:val="auto"/>
          <w:kern w:val="0"/>
          <w:sz w:val="24"/>
          <w:highlight w:val="none"/>
        </w:rPr>
        <w:t>非输水时段，橡胶坝放气</w:t>
      </w:r>
      <w:r>
        <w:rPr>
          <w:rFonts w:hint="eastAsia"/>
          <w:color w:val="auto"/>
          <w:kern w:val="0"/>
          <w:sz w:val="24"/>
          <w:highlight w:val="none"/>
          <w:lang w:eastAsia="zh-CN"/>
        </w:rPr>
        <w:t>不拦水</w:t>
      </w:r>
      <w:r>
        <w:rPr>
          <w:rFonts w:hint="eastAsia"/>
          <w:color w:val="auto"/>
          <w:kern w:val="0"/>
          <w:sz w:val="24"/>
          <w:highlight w:val="none"/>
        </w:rPr>
        <w:t>，</w:t>
      </w:r>
      <w:r>
        <w:rPr>
          <w:rFonts w:hint="eastAsia"/>
          <w:color w:val="auto"/>
          <w:kern w:val="0"/>
          <w:sz w:val="24"/>
          <w:highlight w:val="none"/>
          <w:lang w:val="zh-CN"/>
        </w:rPr>
        <w:t>引水节制闸关闭。河道处于原天然状态，对水文情势影响较小。</w:t>
      </w:r>
    </w:p>
    <w:p>
      <w:pPr>
        <w:shd w:val="clear" w:color="auto" w:fill="FFFFFF"/>
        <w:autoSpaceDE w:val="0"/>
        <w:autoSpaceDN w:val="0"/>
        <w:adjustRightInd w:val="0"/>
        <w:spacing w:line="480" w:lineRule="exact"/>
        <w:ind w:firstLine="482"/>
        <w:rPr>
          <w:color w:val="auto"/>
          <w:kern w:val="0"/>
          <w:sz w:val="24"/>
          <w:highlight w:val="none"/>
        </w:rPr>
      </w:pPr>
      <w:r>
        <w:rPr>
          <w:rFonts w:hint="eastAsia"/>
          <w:color w:val="auto"/>
          <w:kern w:val="0"/>
          <w:sz w:val="24"/>
          <w:highlight w:val="none"/>
        </w:rPr>
        <w:t>（2）水温</w:t>
      </w:r>
    </w:p>
    <w:p>
      <w:pPr>
        <w:shd w:val="clear" w:color="auto" w:fill="FFFFFF"/>
        <w:autoSpaceDE w:val="0"/>
        <w:autoSpaceDN w:val="0"/>
        <w:adjustRightInd w:val="0"/>
        <w:spacing w:line="480" w:lineRule="exact"/>
        <w:ind w:firstLine="482"/>
        <w:rPr>
          <w:color w:val="auto"/>
          <w:kern w:val="0"/>
          <w:sz w:val="24"/>
          <w:highlight w:val="none"/>
          <w:lang w:val="zh-CN"/>
        </w:rPr>
      </w:pPr>
      <w:r>
        <w:rPr>
          <w:rFonts w:hint="eastAsia"/>
          <w:color w:val="auto"/>
          <w:kern w:val="0"/>
          <w:sz w:val="24"/>
          <w:highlight w:val="none"/>
          <w:lang w:val="zh-CN"/>
        </w:rPr>
        <w:t>电站引水发电后，橡胶坝址上下游水量基本没有变化，水温分布都比较均匀，水温梯度很小，进、出水温接近自然水温，不会产生低温水下泄。</w:t>
      </w:r>
    </w:p>
    <w:p>
      <w:pPr>
        <w:shd w:val="clear" w:color="auto" w:fill="FFFFFF"/>
        <w:autoSpaceDE w:val="0"/>
        <w:autoSpaceDN w:val="0"/>
        <w:adjustRightInd w:val="0"/>
        <w:spacing w:line="480" w:lineRule="exact"/>
        <w:ind w:firstLine="482"/>
        <w:rPr>
          <w:color w:val="auto"/>
          <w:kern w:val="0"/>
          <w:sz w:val="24"/>
          <w:highlight w:val="none"/>
        </w:rPr>
      </w:pPr>
      <w:r>
        <w:rPr>
          <w:color w:val="auto"/>
          <w:kern w:val="0"/>
          <w:sz w:val="24"/>
          <w:highlight w:val="none"/>
          <w:lang w:val="zh-CN"/>
        </w:rPr>
        <w:t>（</w:t>
      </w:r>
      <w:r>
        <w:rPr>
          <w:rFonts w:hint="eastAsia"/>
          <w:color w:val="auto"/>
          <w:kern w:val="0"/>
          <w:sz w:val="24"/>
          <w:highlight w:val="none"/>
        </w:rPr>
        <w:t>3</w:t>
      </w:r>
      <w:r>
        <w:rPr>
          <w:color w:val="auto"/>
          <w:kern w:val="0"/>
          <w:sz w:val="24"/>
          <w:highlight w:val="none"/>
          <w:lang w:val="zh-CN"/>
        </w:rPr>
        <w:t>）水质变化</w:t>
      </w:r>
    </w:p>
    <w:p>
      <w:pPr>
        <w:shd w:val="clear" w:color="auto" w:fill="FFFFFF"/>
        <w:autoSpaceDE w:val="0"/>
        <w:autoSpaceDN w:val="0"/>
        <w:adjustRightInd w:val="0"/>
        <w:spacing w:line="480" w:lineRule="exact"/>
        <w:ind w:firstLine="482"/>
        <w:rPr>
          <w:color w:val="auto"/>
          <w:kern w:val="0"/>
          <w:sz w:val="24"/>
          <w:highlight w:val="none"/>
          <w:lang w:val="zh-CN"/>
        </w:rPr>
      </w:pPr>
      <w:r>
        <w:rPr>
          <w:rFonts w:hint="eastAsia"/>
          <w:color w:val="auto"/>
          <w:kern w:val="0"/>
          <w:sz w:val="24"/>
          <w:highlight w:val="none"/>
          <w:lang w:val="zh-CN"/>
        </w:rPr>
        <w:t>电站建成后，水体经过水轮机及发电机组发电后产生的尾水，水质本身不发生变化，河道水质保持原有状态，对原天然河道的水质不产生影响。此外，橡胶坝前蓄水量较少，水体交换较快。</w:t>
      </w:r>
    </w:p>
    <w:p>
      <w:pPr>
        <w:keepNext w:val="0"/>
        <w:keepLines w:val="0"/>
        <w:pageBreakBefore w:val="0"/>
        <w:widowControl w:val="0"/>
        <w:shd w:val="clear" w:color="auto" w:fill="FFFFFF"/>
        <w:kinsoku/>
        <w:wordWrap/>
        <w:overflowPunct/>
        <w:topLinePunct w:val="0"/>
        <w:autoSpaceDE w:val="0"/>
        <w:autoSpaceDN w:val="0"/>
        <w:bidi w:val="0"/>
        <w:adjustRightInd w:val="0"/>
        <w:snapToGrid/>
        <w:spacing w:line="440" w:lineRule="exact"/>
        <w:ind w:firstLine="482"/>
        <w:textAlignment w:val="auto"/>
        <w:rPr>
          <w:color w:val="000000" w:themeColor="text1"/>
          <w:sz w:val="24"/>
          <w:highlight w:val="none"/>
          <w:lang w:val="zh-CN"/>
          <w14:textFill>
            <w14:solidFill>
              <w14:schemeClr w14:val="tx1"/>
            </w14:solidFill>
          </w14:textFill>
        </w:rPr>
      </w:pPr>
      <w:r>
        <w:rPr>
          <w:rFonts w:hint="eastAsia"/>
          <w:color w:val="auto"/>
          <w:kern w:val="0"/>
          <w:sz w:val="24"/>
          <w:highlight w:val="none"/>
          <w:lang w:val="zh-CN"/>
        </w:rPr>
        <w:t>“</w:t>
      </w:r>
      <w:r>
        <w:rPr>
          <w:color w:val="auto"/>
          <w:kern w:val="0"/>
          <w:sz w:val="24"/>
          <w:highlight w:val="none"/>
          <w:lang w:val="zh-CN"/>
        </w:rPr>
        <w:t>引滦入津工程</w:t>
      </w:r>
      <w:r>
        <w:rPr>
          <w:rFonts w:hint="eastAsia"/>
          <w:color w:val="auto"/>
          <w:kern w:val="0"/>
          <w:sz w:val="24"/>
          <w:highlight w:val="none"/>
          <w:lang w:val="zh-CN"/>
        </w:rPr>
        <w:t>”输水取自上游的大黑汀水库，该输水方式为由大黑汀水库直接引水到封闭的钢筋混凝</w:t>
      </w:r>
      <w:r>
        <w:rPr>
          <w:rFonts w:hint="eastAsia"/>
          <w:kern w:val="0"/>
          <w:sz w:val="24"/>
          <w:highlight w:val="none"/>
          <w:lang w:val="zh-CN"/>
        </w:rPr>
        <w:t>土输水管道，之后经输水隧道进入黎河。大黑汀水库</w:t>
      </w:r>
      <w:r>
        <w:rPr>
          <w:rFonts w:hint="eastAsia"/>
          <w:color w:val="000000" w:themeColor="text1"/>
          <w:kern w:val="0"/>
          <w:sz w:val="24"/>
          <w:highlight w:val="none"/>
          <w:lang w:val="zh-CN"/>
          <w14:textFill>
            <w14:solidFill>
              <w14:schemeClr w14:val="tx1"/>
            </w14:solidFill>
          </w14:textFill>
        </w:rPr>
        <w:t>水质达到</w:t>
      </w:r>
      <w:r>
        <w:rPr>
          <w:color w:val="000000" w:themeColor="text1"/>
          <w:sz w:val="24"/>
          <w:highlight w:val="none"/>
          <w14:textFill>
            <w14:solidFill>
              <w14:schemeClr w14:val="tx1"/>
            </w14:solidFill>
          </w14:textFill>
        </w:rPr>
        <w:t>《环境影响评价技术导则·地表水环境》(HJ2.3-2018)</w:t>
      </w:r>
      <w:r>
        <w:rPr>
          <w:rFonts w:hint="eastAsia"/>
          <w:color w:val="000000" w:themeColor="text1"/>
          <w:sz w:val="24"/>
          <w:highlight w:val="none"/>
          <w14:textFill>
            <w14:solidFill>
              <w14:schemeClr w14:val="tx1"/>
            </w14:solidFill>
          </w14:textFill>
        </w:rPr>
        <w:t>二类水质指标，优于黎河水质。该输水在橡胶坝前雍水区停留时间较短，水体交换较快，橡胶坝坝前的营养成分和污染物停留时间较短，因此，本项目的建设引起河道富营养化的可能性较小。总的来看，电站运行对河流水质没有影响。</w:t>
      </w:r>
    </w:p>
    <w:p>
      <w:pPr>
        <w:spacing w:line="480" w:lineRule="exact"/>
        <w:ind w:firstLine="480" w:firstLineChars="200"/>
        <w:jc w:val="left"/>
        <w:rPr>
          <w:rFonts w:hint="eastAsia"/>
          <w:bCs/>
          <w:color w:val="auto"/>
          <w:kern w:val="0"/>
          <w:sz w:val="24"/>
          <w:highlight w:val="none"/>
          <w:lang w:val="en-US" w:eastAsia="zh-CN"/>
        </w:rPr>
      </w:pPr>
      <w:r>
        <w:rPr>
          <w:rFonts w:hint="eastAsia"/>
          <w:bCs/>
          <w:color w:val="auto"/>
          <w:kern w:val="0"/>
          <w:sz w:val="24"/>
          <w:highlight w:val="none"/>
          <w:lang w:eastAsia="zh-CN"/>
        </w:rPr>
        <w:t>查阅唐山市生态环境局生态环境质量公告，</w:t>
      </w:r>
      <w:r>
        <w:rPr>
          <w:rFonts w:hint="eastAsia"/>
          <w:bCs/>
          <w:color w:val="auto"/>
          <w:kern w:val="0"/>
          <w:sz w:val="24"/>
          <w:highlight w:val="none"/>
          <w:lang w:val="en-US" w:eastAsia="zh-CN"/>
        </w:rPr>
        <w:t>2002年至2022年期间，枯水期断流，丰水期监测结果为Ⅱ类水质，黎河水质标准执行</w:t>
      </w:r>
      <w:r>
        <w:rPr>
          <w:rFonts w:hint="eastAsia"/>
          <w:bCs/>
          <w:color w:val="auto"/>
          <w:kern w:val="0"/>
          <w:sz w:val="24"/>
          <w:highlight w:val="none"/>
          <w:lang w:val="en-US" w:eastAsia="zh-CN"/>
        </w:rPr>
        <w:fldChar w:fldCharType="begin"/>
      </w:r>
      <w:r>
        <w:rPr>
          <w:rFonts w:hint="eastAsia"/>
          <w:bCs/>
          <w:color w:val="auto"/>
          <w:kern w:val="0"/>
          <w:sz w:val="24"/>
          <w:highlight w:val="none"/>
          <w:lang w:val="en-US" w:eastAsia="zh-CN"/>
        </w:rPr>
        <w:instrText xml:space="preserve"> = 3 \* ROMAN \* MERGEFORMAT </w:instrText>
      </w:r>
      <w:r>
        <w:rPr>
          <w:rFonts w:hint="eastAsia"/>
          <w:bCs/>
          <w:color w:val="auto"/>
          <w:kern w:val="0"/>
          <w:sz w:val="24"/>
          <w:highlight w:val="none"/>
          <w:lang w:val="en-US" w:eastAsia="zh-CN"/>
        </w:rPr>
        <w:fldChar w:fldCharType="separate"/>
      </w:r>
      <w:r>
        <w:rPr>
          <w:color w:val="auto"/>
          <w:highlight w:val="none"/>
        </w:rPr>
        <w:t>III</w:t>
      </w:r>
      <w:r>
        <w:rPr>
          <w:rFonts w:hint="eastAsia"/>
          <w:bCs/>
          <w:color w:val="auto"/>
          <w:kern w:val="0"/>
          <w:sz w:val="24"/>
          <w:highlight w:val="none"/>
          <w:lang w:val="en-US" w:eastAsia="zh-CN"/>
        </w:rPr>
        <w:fldChar w:fldCharType="end"/>
      </w:r>
      <w:r>
        <w:rPr>
          <w:rFonts w:hint="eastAsia"/>
          <w:bCs/>
          <w:color w:val="auto"/>
          <w:kern w:val="0"/>
          <w:sz w:val="24"/>
          <w:highlight w:val="none"/>
          <w:lang w:val="en-US" w:eastAsia="zh-CN"/>
        </w:rPr>
        <w:t>类标准，满足功能区要求。</w:t>
      </w:r>
    </w:p>
    <w:p>
      <w:pPr>
        <w:keepNext w:val="0"/>
        <w:keepLines w:val="0"/>
        <w:pageBreakBefore w:val="0"/>
        <w:widowControl w:val="0"/>
        <w:shd w:val="clear" w:color="auto" w:fill="FFFFFF"/>
        <w:kinsoku/>
        <w:wordWrap/>
        <w:overflowPunct/>
        <w:topLinePunct w:val="0"/>
        <w:autoSpaceDE w:val="0"/>
        <w:autoSpaceDN w:val="0"/>
        <w:bidi w:val="0"/>
        <w:adjustRightInd w:val="0"/>
        <w:snapToGrid/>
        <w:spacing w:line="440" w:lineRule="exact"/>
        <w:ind w:firstLine="482"/>
        <w:textAlignment w:val="auto"/>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（4）泥沙淤积</w:t>
      </w:r>
    </w:p>
    <w:p>
      <w:pPr>
        <w:keepNext w:val="0"/>
        <w:keepLines w:val="0"/>
        <w:pageBreakBefore w:val="0"/>
        <w:widowControl w:val="0"/>
        <w:shd w:val="clear" w:color="auto" w:fill="FFFFFF"/>
        <w:kinsoku/>
        <w:wordWrap/>
        <w:overflowPunct/>
        <w:topLinePunct w:val="0"/>
        <w:autoSpaceDE w:val="0"/>
        <w:autoSpaceDN w:val="0"/>
        <w:bidi w:val="0"/>
        <w:adjustRightInd w:val="0"/>
        <w:snapToGrid/>
        <w:spacing w:line="440" w:lineRule="exact"/>
        <w:ind w:firstLine="482"/>
        <w:textAlignment w:val="auto"/>
        <w:rPr>
          <w:rFonts w:hint="eastAsia" w:eastAsia="宋体"/>
          <w:color w:val="auto"/>
          <w:sz w:val="24"/>
          <w:highlight w:val="none"/>
          <w:lang w:eastAsia="zh-CN"/>
        </w:rPr>
      </w:pPr>
      <w:r>
        <w:rPr>
          <w:rFonts w:hint="eastAsia"/>
          <w:color w:val="000000" w:themeColor="text1"/>
          <w:sz w:val="24"/>
          <w:highlight w:val="none"/>
          <w14:textFill>
            <w14:solidFill>
              <w14:schemeClr w14:val="tx1"/>
            </w14:solidFill>
          </w14:textFill>
        </w:rPr>
        <w:t>滦河大黑汀水库上游所在流域为山区，“引滦入津工程”受泥沙淤积影响很小，由大黑汀水库引水到本项目橡胶坝前，主要是封闭钢筋混凝土输水管道和隧道，中途无外来水注入</w:t>
      </w:r>
      <w:r>
        <w:rPr>
          <w:rFonts w:hint="eastAsia"/>
          <w:color w:val="auto"/>
          <w:sz w:val="24"/>
          <w:highlight w:val="none"/>
        </w:rPr>
        <w:t>，无泥沙注入。</w:t>
      </w:r>
      <w:r>
        <w:rPr>
          <w:rFonts w:hint="eastAsia"/>
          <w:color w:val="auto"/>
          <w:sz w:val="24"/>
          <w:highlight w:val="none"/>
          <w:lang w:eastAsia="zh-CN"/>
        </w:rPr>
        <w:t>不存在冲淤问题。</w:t>
      </w:r>
    </w:p>
    <w:p>
      <w:pPr>
        <w:keepNext w:val="0"/>
        <w:keepLines w:val="0"/>
        <w:pageBreakBefore w:val="0"/>
        <w:widowControl w:val="0"/>
        <w:shd w:val="clear" w:color="auto" w:fill="FFFFFF"/>
        <w:kinsoku/>
        <w:wordWrap/>
        <w:overflowPunct/>
        <w:topLinePunct w:val="0"/>
        <w:autoSpaceDE w:val="0"/>
        <w:autoSpaceDN w:val="0"/>
        <w:bidi w:val="0"/>
        <w:adjustRightInd w:val="0"/>
        <w:snapToGrid/>
        <w:spacing w:line="440" w:lineRule="exact"/>
        <w:ind w:firstLine="482"/>
        <w:textAlignment w:val="auto"/>
        <w:rPr>
          <w:color w:val="auto"/>
          <w:sz w:val="24"/>
          <w:highlight w:val="none"/>
        </w:rPr>
      </w:pPr>
      <w:r>
        <w:rPr>
          <w:rFonts w:hint="eastAsia"/>
          <w:color w:val="auto"/>
          <w:sz w:val="24"/>
          <w:highlight w:val="none"/>
        </w:rPr>
        <w:t>（5）陆生生物</w:t>
      </w:r>
    </w:p>
    <w:p>
      <w:pPr>
        <w:keepNext w:val="0"/>
        <w:keepLines w:val="0"/>
        <w:pageBreakBefore w:val="0"/>
        <w:widowControl w:val="0"/>
        <w:shd w:val="clear" w:color="auto" w:fill="FFFFFF"/>
        <w:kinsoku/>
        <w:wordWrap/>
        <w:overflowPunct/>
        <w:topLinePunct w:val="0"/>
        <w:autoSpaceDE w:val="0"/>
        <w:autoSpaceDN w:val="0"/>
        <w:bidi w:val="0"/>
        <w:adjustRightInd w:val="0"/>
        <w:snapToGrid/>
        <w:spacing w:line="440" w:lineRule="exact"/>
        <w:ind w:firstLine="482"/>
        <w:textAlignment w:val="auto"/>
        <w:rPr>
          <w:color w:val="auto"/>
          <w:sz w:val="24"/>
          <w:highlight w:val="none"/>
        </w:rPr>
      </w:pPr>
      <w:r>
        <w:rPr>
          <w:rFonts w:hint="eastAsia"/>
          <w:color w:val="auto"/>
          <w:sz w:val="24"/>
          <w:highlight w:val="none"/>
        </w:rPr>
        <w:t>本项目橡胶坝拦水面积在黎河原有河槽内，水深3m，河水不出河槽，不淹没陆域，对陆生动植物无影响。</w:t>
      </w:r>
    </w:p>
    <w:p>
      <w:pPr>
        <w:keepNext w:val="0"/>
        <w:keepLines w:val="0"/>
        <w:pageBreakBefore w:val="0"/>
        <w:widowControl w:val="0"/>
        <w:shd w:val="clear" w:color="auto" w:fill="FFFFFF"/>
        <w:kinsoku/>
        <w:wordWrap/>
        <w:overflowPunct/>
        <w:topLinePunct w:val="0"/>
        <w:autoSpaceDE w:val="0"/>
        <w:autoSpaceDN w:val="0"/>
        <w:bidi w:val="0"/>
        <w:adjustRightInd w:val="0"/>
        <w:snapToGrid/>
        <w:spacing w:line="440" w:lineRule="exact"/>
        <w:ind w:firstLine="482"/>
        <w:textAlignment w:val="auto"/>
        <w:rPr>
          <w:color w:val="auto"/>
          <w:sz w:val="24"/>
          <w:highlight w:val="none"/>
        </w:rPr>
      </w:pPr>
      <w:r>
        <w:rPr>
          <w:rFonts w:hint="eastAsia"/>
          <w:color w:val="auto"/>
          <w:sz w:val="24"/>
          <w:highlight w:val="none"/>
        </w:rPr>
        <w:t>（6）水生生物</w:t>
      </w:r>
    </w:p>
    <w:p>
      <w:pPr>
        <w:keepNext w:val="0"/>
        <w:keepLines w:val="0"/>
        <w:pageBreakBefore w:val="0"/>
        <w:widowControl w:val="0"/>
        <w:shd w:val="clear" w:color="auto" w:fill="FFFFFF"/>
        <w:kinsoku/>
        <w:wordWrap/>
        <w:overflowPunct/>
        <w:topLinePunct w:val="0"/>
        <w:autoSpaceDE w:val="0"/>
        <w:autoSpaceDN w:val="0"/>
        <w:bidi w:val="0"/>
        <w:adjustRightInd w:val="0"/>
        <w:snapToGrid/>
        <w:spacing w:line="440" w:lineRule="exact"/>
        <w:ind w:firstLine="482"/>
        <w:textAlignment w:val="auto"/>
        <w:rPr>
          <w:rFonts w:hint="eastAsia" w:eastAsia="宋体"/>
          <w:color w:val="auto"/>
          <w:sz w:val="24"/>
          <w:highlight w:val="none"/>
          <w:lang w:eastAsia="zh-CN"/>
        </w:rPr>
      </w:pPr>
      <w:r>
        <w:rPr>
          <w:rFonts w:hint="eastAsia"/>
          <w:color w:val="auto"/>
          <w:sz w:val="24"/>
          <w:highlight w:val="none"/>
        </w:rPr>
        <w:t>橡胶坝拦水形成雍水区，水体体积大幅度增加，输水流速减慢，水体容量增大，悬浮物沉降作用加强，水体悬浮物浓度降低，在不增加污染物排放的前提下，橡胶坝前水质将得到一定程度的改善。</w:t>
      </w:r>
      <w:r>
        <w:rPr>
          <w:rFonts w:hint="eastAsia"/>
          <w:color w:val="auto"/>
          <w:sz w:val="24"/>
          <w:highlight w:val="none"/>
          <w:lang w:eastAsia="zh-CN"/>
        </w:rPr>
        <w:t>由于输水期较短，黎河</w:t>
      </w:r>
      <w:r>
        <w:rPr>
          <w:rFonts w:hint="eastAsia"/>
          <w:color w:val="auto"/>
          <w:sz w:val="24"/>
          <w:highlight w:val="none"/>
        </w:rPr>
        <w:t>鱼类资源本身缺乏，</w:t>
      </w:r>
      <w:r>
        <w:rPr>
          <w:rFonts w:hint="eastAsia"/>
          <w:color w:val="auto"/>
          <w:sz w:val="24"/>
          <w:highlight w:val="none"/>
          <w:lang w:val="zh-CN"/>
        </w:rPr>
        <w:t>非</w:t>
      </w:r>
      <w:r>
        <w:rPr>
          <w:rFonts w:hint="eastAsia"/>
          <w:color w:val="auto"/>
          <w:sz w:val="24"/>
          <w:highlight w:val="none"/>
        </w:rPr>
        <w:t>输水期</w:t>
      </w:r>
      <w:r>
        <w:rPr>
          <w:rFonts w:hint="eastAsia"/>
          <w:color w:val="auto"/>
          <w:sz w:val="24"/>
          <w:highlight w:val="none"/>
          <w:lang w:eastAsia="zh-CN"/>
        </w:rPr>
        <w:t>非汛期</w:t>
      </w:r>
      <w:r>
        <w:rPr>
          <w:rFonts w:hint="eastAsia"/>
          <w:color w:val="auto"/>
          <w:sz w:val="24"/>
          <w:highlight w:val="none"/>
        </w:rPr>
        <w:t>河道基本断流，</w:t>
      </w:r>
      <w:r>
        <w:rPr>
          <w:rFonts w:hint="eastAsia"/>
          <w:color w:val="auto"/>
          <w:sz w:val="24"/>
          <w:highlight w:val="none"/>
          <w:lang w:eastAsia="zh-CN"/>
        </w:rPr>
        <w:t>输水期</w:t>
      </w:r>
      <w:r>
        <w:rPr>
          <w:rFonts w:hint="eastAsia"/>
          <w:color w:val="auto"/>
          <w:sz w:val="24"/>
          <w:highlight w:val="none"/>
        </w:rPr>
        <w:t>水质的改善，</w:t>
      </w:r>
      <w:r>
        <w:rPr>
          <w:rFonts w:hint="eastAsia"/>
          <w:color w:val="auto"/>
          <w:sz w:val="24"/>
          <w:highlight w:val="none"/>
          <w:lang w:eastAsia="zh-CN"/>
        </w:rPr>
        <w:t>对黎河原有</w:t>
      </w:r>
      <w:r>
        <w:rPr>
          <w:rFonts w:hint="eastAsia"/>
          <w:color w:val="auto"/>
          <w:sz w:val="24"/>
          <w:highlight w:val="none"/>
        </w:rPr>
        <w:t>水生生物</w:t>
      </w:r>
      <w:r>
        <w:rPr>
          <w:rFonts w:hint="eastAsia"/>
          <w:color w:val="auto"/>
          <w:sz w:val="24"/>
          <w:highlight w:val="none"/>
          <w:lang w:eastAsia="zh-CN"/>
        </w:rPr>
        <w:t>不会产生影响和变化。黎河内无珍稀水生生物。</w:t>
      </w:r>
    </w:p>
    <w:p>
      <w:pPr>
        <w:keepNext w:val="0"/>
        <w:keepLines w:val="0"/>
        <w:pageBreakBefore w:val="0"/>
        <w:widowControl w:val="0"/>
        <w:shd w:val="clear" w:color="auto" w:fill="FFFFFF"/>
        <w:kinsoku/>
        <w:wordWrap/>
        <w:overflowPunct/>
        <w:topLinePunct w:val="0"/>
        <w:autoSpaceDE w:val="0"/>
        <w:autoSpaceDN w:val="0"/>
        <w:bidi w:val="0"/>
        <w:adjustRightInd w:val="0"/>
        <w:snapToGrid/>
        <w:spacing w:line="440" w:lineRule="exact"/>
        <w:ind w:firstLine="482"/>
        <w:textAlignment w:val="auto"/>
        <w:rPr>
          <w:color w:val="000000" w:themeColor="text1"/>
          <w:kern w:val="0"/>
          <w:sz w:val="24"/>
          <w:highlight w:val="none"/>
          <w14:textFill>
            <w14:solidFill>
              <w14:schemeClr w14:val="tx1"/>
            </w14:solidFill>
          </w14:textFill>
        </w:rPr>
      </w:pPr>
      <w:r>
        <w:rPr>
          <w:rFonts w:hint="eastAsia"/>
          <w:color w:val="auto"/>
          <w:sz w:val="24"/>
          <w:highlight w:val="none"/>
        </w:rPr>
        <w:t>由于输水时段分为2个时段，</w:t>
      </w:r>
      <w:r>
        <w:rPr>
          <w:color w:val="auto"/>
          <w:kern w:val="0"/>
          <w:sz w:val="24"/>
          <w:highlight w:val="none"/>
          <w:lang w:val="zh-CN"/>
        </w:rPr>
        <w:t>第一个输水时段</w:t>
      </w:r>
      <w:r>
        <w:rPr>
          <w:rFonts w:hint="eastAsia"/>
          <w:color w:val="auto"/>
          <w:kern w:val="0"/>
          <w:sz w:val="24"/>
          <w:highlight w:val="none"/>
          <w:lang w:val="zh-CN"/>
        </w:rPr>
        <w:t>（</w:t>
      </w:r>
      <w:r>
        <w:rPr>
          <w:color w:val="auto"/>
          <w:kern w:val="0"/>
          <w:sz w:val="24"/>
          <w:highlight w:val="none"/>
          <w:lang w:val="zh-CN"/>
        </w:rPr>
        <w:t>4月至6月</w:t>
      </w:r>
      <w:r>
        <w:rPr>
          <w:rFonts w:hint="eastAsia"/>
          <w:color w:val="auto"/>
          <w:kern w:val="0"/>
          <w:sz w:val="24"/>
          <w:highlight w:val="none"/>
          <w:lang w:val="zh-CN"/>
        </w:rPr>
        <w:t>）</w:t>
      </w:r>
      <w:r>
        <w:rPr>
          <w:rFonts w:hint="eastAsia"/>
          <w:color w:val="auto"/>
          <w:kern w:val="0"/>
          <w:sz w:val="24"/>
          <w:highlight w:val="none"/>
        </w:rPr>
        <w:t>60天</w:t>
      </w:r>
      <w:r>
        <w:rPr>
          <w:rFonts w:hint="eastAsia"/>
          <w:color w:val="auto"/>
          <w:kern w:val="0"/>
          <w:sz w:val="24"/>
          <w:highlight w:val="none"/>
          <w:lang w:val="zh-CN"/>
        </w:rPr>
        <w:t>，</w:t>
      </w:r>
      <w:r>
        <w:rPr>
          <w:color w:val="auto"/>
          <w:kern w:val="0"/>
          <w:sz w:val="24"/>
          <w:highlight w:val="none"/>
          <w:lang w:val="zh-CN"/>
        </w:rPr>
        <w:t>第</w:t>
      </w:r>
      <w:r>
        <w:rPr>
          <w:rFonts w:hint="eastAsia"/>
          <w:color w:val="auto"/>
          <w:kern w:val="0"/>
          <w:sz w:val="24"/>
          <w:highlight w:val="none"/>
          <w:lang w:val="zh-CN"/>
        </w:rPr>
        <w:t>二</w:t>
      </w:r>
      <w:r>
        <w:rPr>
          <w:color w:val="auto"/>
          <w:kern w:val="0"/>
          <w:sz w:val="24"/>
          <w:highlight w:val="none"/>
          <w:lang w:val="zh-CN"/>
        </w:rPr>
        <w:t>个输水时段</w:t>
      </w:r>
      <w:r>
        <w:rPr>
          <w:rFonts w:hint="eastAsia"/>
          <w:color w:val="auto"/>
          <w:kern w:val="0"/>
          <w:sz w:val="24"/>
          <w:highlight w:val="none"/>
          <w:lang w:val="zh-CN"/>
        </w:rPr>
        <w:t>（</w:t>
      </w:r>
      <w:r>
        <w:rPr>
          <w:color w:val="auto"/>
          <w:kern w:val="0"/>
          <w:sz w:val="24"/>
          <w:highlight w:val="none"/>
          <w:lang w:val="zh-CN"/>
        </w:rPr>
        <w:t>9月至12月</w:t>
      </w:r>
      <w:r>
        <w:rPr>
          <w:rFonts w:hint="eastAsia"/>
          <w:color w:val="auto"/>
          <w:kern w:val="0"/>
          <w:sz w:val="24"/>
          <w:highlight w:val="none"/>
          <w:lang w:val="zh-CN"/>
        </w:rPr>
        <w:t>）</w:t>
      </w:r>
      <w:r>
        <w:rPr>
          <w:rFonts w:hint="eastAsia"/>
          <w:color w:val="auto"/>
          <w:kern w:val="0"/>
          <w:sz w:val="24"/>
          <w:highlight w:val="none"/>
        </w:rPr>
        <w:t>70天</w:t>
      </w:r>
      <w:r>
        <w:rPr>
          <w:rFonts w:hint="eastAsia"/>
          <w:color w:val="auto"/>
          <w:kern w:val="0"/>
          <w:sz w:val="24"/>
          <w:highlight w:val="none"/>
          <w:lang w:val="zh-CN"/>
        </w:rPr>
        <w:t>。雍水期</w:t>
      </w:r>
      <w:r>
        <w:rPr>
          <w:rFonts w:hint="eastAsia"/>
          <w:color w:val="000000" w:themeColor="text1"/>
          <w:kern w:val="0"/>
          <w:sz w:val="24"/>
          <w:highlight w:val="none"/>
          <w:lang w:val="zh-CN"/>
          <w14:textFill>
            <w14:solidFill>
              <w14:schemeClr w14:val="tx1"/>
            </w14:solidFill>
          </w14:textFill>
        </w:rPr>
        <w:t>时间短，对水生动物、浮游生物等影响较小。</w:t>
      </w:r>
    </w:p>
    <w:p>
      <w:pPr>
        <w:keepNext w:val="0"/>
        <w:keepLines w:val="0"/>
        <w:pageBreakBefore w:val="0"/>
        <w:widowControl w:val="0"/>
        <w:shd w:val="clear" w:color="auto" w:fill="FFFFFF"/>
        <w:kinsoku/>
        <w:wordWrap/>
        <w:overflowPunct/>
        <w:topLinePunct w:val="0"/>
        <w:autoSpaceDE w:val="0"/>
        <w:autoSpaceDN w:val="0"/>
        <w:bidi w:val="0"/>
        <w:adjustRightInd w:val="0"/>
        <w:snapToGrid/>
        <w:spacing w:line="440" w:lineRule="exact"/>
        <w:ind w:firstLine="482"/>
        <w:textAlignment w:val="auto"/>
        <w:rPr>
          <w:color w:val="auto"/>
          <w:sz w:val="24"/>
          <w:highlight w:val="none"/>
        </w:rPr>
      </w:pPr>
      <w:r>
        <w:rPr>
          <w:rFonts w:hint="eastAsia"/>
          <w:color w:val="000000" w:themeColor="text1"/>
          <w:kern w:val="0"/>
          <w:sz w:val="24"/>
          <w:highlight w:val="none"/>
          <w14:textFill>
            <w14:solidFill>
              <w14:schemeClr w14:val="tx1"/>
            </w14:solidFill>
          </w14:textFill>
        </w:rPr>
        <w:t>本项目正常运行时，水体经发电厂房及下泄过程后，水体流速变大，复氧能力増强，水体质量将向好的方向变化，故对下流水体水影响较小。</w:t>
      </w:r>
      <w:r>
        <w:rPr>
          <w:rFonts w:hint="eastAsia"/>
          <w:color w:val="000000" w:themeColor="text1"/>
          <w:sz w:val="24"/>
          <w:highlight w:val="none"/>
          <w:lang w:val="zh-CN"/>
          <w14:textFill>
            <w14:solidFill>
              <w14:schemeClr w14:val="tx1"/>
            </w14:solidFill>
          </w14:textFill>
        </w:rPr>
        <w:t>“引滦入津工程”</w:t>
      </w:r>
      <w:r>
        <w:rPr>
          <w:rFonts w:hint="eastAsia"/>
          <w:color w:val="000000" w:themeColor="text1"/>
          <w:sz w:val="24"/>
          <w:highlight w:val="none"/>
          <w14:textFill>
            <w14:solidFill>
              <w14:schemeClr w14:val="tx1"/>
            </w14:solidFill>
          </w14:textFill>
        </w:rPr>
        <w:t>输水期间，黎河水质变好，有</w:t>
      </w:r>
      <w:r>
        <w:rPr>
          <w:rFonts w:hint="eastAsia"/>
          <w:color w:val="auto"/>
          <w:sz w:val="24"/>
          <w:highlight w:val="none"/>
        </w:rPr>
        <w:t>利于仔幼鱼和浮游生物食性鱼类的生长。由于黎河长年径流较小，</w:t>
      </w:r>
      <w:r>
        <w:rPr>
          <w:rFonts w:hint="eastAsia"/>
          <w:color w:val="auto"/>
          <w:sz w:val="24"/>
          <w:highlight w:val="none"/>
          <w:lang w:val="zh-CN"/>
        </w:rPr>
        <w:t>“引滦入津工程”非</w:t>
      </w:r>
      <w:r>
        <w:rPr>
          <w:rFonts w:hint="eastAsia"/>
          <w:color w:val="auto"/>
          <w:sz w:val="24"/>
          <w:highlight w:val="none"/>
        </w:rPr>
        <w:t>输水期</w:t>
      </w:r>
      <w:r>
        <w:rPr>
          <w:rFonts w:hint="eastAsia"/>
          <w:color w:val="auto"/>
          <w:sz w:val="24"/>
          <w:highlight w:val="none"/>
          <w:lang w:eastAsia="zh-CN"/>
        </w:rPr>
        <w:t>非汛期</w:t>
      </w:r>
      <w:r>
        <w:rPr>
          <w:rFonts w:hint="eastAsia"/>
          <w:color w:val="auto"/>
          <w:sz w:val="24"/>
          <w:highlight w:val="none"/>
        </w:rPr>
        <w:t>河道基本断流，鱼类资源本身缺乏，因此项目建设对流域内的鱼类资源影响较小。</w:t>
      </w:r>
    </w:p>
    <w:p>
      <w:pPr>
        <w:keepNext w:val="0"/>
        <w:keepLines w:val="0"/>
        <w:pageBreakBefore w:val="0"/>
        <w:widowControl w:val="0"/>
        <w:shd w:val="clear" w:color="auto" w:fill="FFFFFF"/>
        <w:kinsoku/>
        <w:wordWrap/>
        <w:overflowPunct/>
        <w:topLinePunct w:val="0"/>
        <w:autoSpaceDE w:val="0"/>
        <w:autoSpaceDN w:val="0"/>
        <w:bidi w:val="0"/>
        <w:adjustRightInd w:val="0"/>
        <w:snapToGrid/>
        <w:spacing w:line="440" w:lineRule="exact"/>
        <w:ind w:firstLine="482"/>
        <w:textAlignment w:val="auto"/>
        <w:rPr>
          <w:color w:val="000000" w:themeColor="text1"/>
          <w:sz w:val="24"/>
          <w:highlight w:val="none"/>
          <w:lang w:val="zh-CN"/>
          <w14:textFill>
            <w14:solidFill>
              <w14:schemeClr w14:val="tx1"/>
            </w14:solidFill>
          </w14:textFill>
        </w:rPr>
      </w:pPr>
      <w:r>
        <w:rPr>
          <w:rFonts w:hint="eastAsia"/>
          <w:color w:val="000000" w:themeColor="text1"/>
          <w:sz w:val="24"/>
          <w:highlight w:val="none"/>
          <w14:textFill>
            <w14:solidFill>
              <w14:schemeClr w14:val="tx1"/>
            </w14:solidFill>
          </w14:textFill>
        </w:rPr>
        <w:t>（7）</w:t>
      </w:r>
      <w:r>
        <w:rPr>
          <w:rFonts w:hint="eastAsia"/>
          <w:color w:val="000000" w:themeColor="text1"/>
          <w:sz w:val="24"/>
          <w:highlight w:val="none"/>
          <w:lang w:val="zh-CN"/>
          <w14:textFill>
            <w14:solidFill>
              <w14:schemeClr w14:val="tx1"/>
            </w14:solidFill>
          </w14:textFill>
        </w:rPr>
        <w:t>对环境地质的影响</w:t>
      </w:r>
    </w:p>
    <w:p>
      <w:pPr>
        <w:keepNext w:val="0"/>
        <w:keepLines w:val="0"/>
        <w:pageBreakBefore w:val="0"/>
        <w:widowControl w:val="0"/>
        <w:shd w:val="clear" w:color="auto" w:fill="FFFFFF"/>
        <w:kinsoku/>
        <w:wordWrap/>
        <w:overflowPunct/>
        <w:topLinePunct w:val="0"/>
        <w:autoSpaceDE w:val="0"/>
        <w:autoSpaceDN w:val="0"/>
        <w:bidi w:val="0"/>
        <w:adjustRightInd w:val="0"/>
        <w:snapToGrid/>
        <w:spacing w:line="440" w:lineRule="exact"/>
        <w:ind w:firstLine="482"/>
        <w:textAlignment w:val="auto"/>
        <w:rPr>
          <w:color w:val="000000" w:themeColor="text1"/>
          <w:sz w:val="24"/>
          <w:highlight w:val="none"/>
          <w:lang w:val="zh-CN"/>
          <w14:textFill>
            <w14:solidFill>
              <w14:schemeClr w14:val="tx1"/>
            </w14:solidFill>
          </w14:textFill>
        </w:rPr>
      </w:pPr>
      <w:r>
        <w:rPr>
          <w:rFonts w:hint="eastAsia"/>
          <w:color w:val="000000" w:themeColor="text1"/>
          <w:sz w:val="24"/>
          <w:highlight w:val="none"/>
          <w:lang w:val="zh-CN"/>
          <w14:textFill>
            <w14:solidFill>
              <w14:schemeClr w14:val="tx1"/>
            </w14:solidFill>
          </w14:textFill>
        </w:rPr>
        <w:t>本项目拦水为橡胶坝，地基特征为砂卵石，不属于固定的拦水坝，对黎河环境地质无影响。</w:t>
      </w:r>
    </w:p>
    <w:p>
      <w:pPr>
        <w:keepNext w:val="0"/>
        <w:keepLines w:val="0"/>
        <w:pageBreakBefore w:val="0"/>
        <w:widowControl w:val="0"/>
        <w:kinsoku/>
        <w:wordWrap/>
        <w:overflowPunct/>
        <w:topLinePunct w:val="0"/>
        <w:bidi w:val="0"/>
        <w:snapToGrid/>
        <w:spacing w:line="440" w:lineRule="exact"/>
        <w:textAlignment w:val="auto"/>
        <w:rPr>
          <w:color w:val="000000" w:themeColor="text1"/>
          <w:sz w:val="24"/>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 xml:space="preserve">3.2.4 </w:t>
      </w:r>
      <w:r>
        <w:rPr>
          <w:rFonts w:hint="eastAsia"/>
          <w:b/>
          <w:bCs/>
          <w:color w:val="000000" w:themeColor="text1"/>
          <w:sz w:val="24"/>
          <w:highlight w:val="none"/>
          <w:lang w:val="zh-CN"/>
          <w14:textFill>
            <w14:solidFill>
              <w14:schemeClr w14:val="tx1"/>
            </w14:solidFill>
          </w14:textFill>
        </w:rPr>
        <w:t>对社会经济环境的影响分析</w:t>
      </w:r>
    </w:p>
    <w:p>
      <w:pPr>
        <w:keepNext w:val="0"/>
        <w:keepLines w:val="0"/>
        <w:pageBreakBefore w:val="0"/>
        <w:widowControl w:val="0"/>
        <w:shd w:val="clear" w:color="auto" w:fill="FFFFFF"/>
        <w:kinsoku/>
        <w:wordWrap/>
        <w:overflowPunct/>
        <w:topLinePunct w:val="0"/>
        <w:autoSpaceDE w:val="0"/>
        <w:autoSpaceDN w:val="0"/>
        <w:bidi w:val="0"/>
        <w:adjustRightInd w:val="0"/>
        <w:snapToGrid/>
        <w:spacing w:line="440" w:lineRule="exact"/>
        <w:ind w:firstLine="482"/>
        <w:textAlignment w:val="auto"/>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（1）对防洪安全的影响分析</w:t>
      </w:r>
    </w:p>
    <w:p>
      <w:pPr>
        <w:keepNext w:val="0"/>
        <w:keepLines w:val="0"/>
        <w:pageBreakBefore w:val="0"/>
        <w:widowControl w:val="0"/>
        <w:shd w:val="clear" w:color="auto" w:fill="FFFFFF"/>
        <w:kinsoku/>
        <w:wordWrap/>
        <w:overflowPunct/>
        <w:topLinePunct w:val="0"/>
        <w:autoSpaceDE w:val="0"/>
        <w:autoSpaceDN w:val="0"/>
        <w:bidi w:val="0"/>
        <w:adjustRightInd w:val="0"/>
        <w:snapToGrid/>
        <w:spacing w:line="440" w:lineRule="exact"/>
        <w:ind w:firstLine="482"/>
        <w:textAlignment w:val="auto"/>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w:t>
      </w:r>
      <w:r>
        <w:rPr>
          <w:rFonts w:hint="eastAsia"/>
          <w:color w:val="000000" w:themeColor="text1"/>
          <w:sz w:val="24"/>
          <w:highlight w:val="none"/>
          <w:lang w:val="zh-CN"/>
          <w14:textFill>
            <w14:solidFill>
              <w14:schemeClr w14:val="tx1"/>
            </w14:solidFill>
          </w14:textFill>
        </w:rPr>
        <w:t>引滦入津工程</w:t>
      </w:r>
      <w:r>
        <w:rPr>
          <w:rFonts w:hint="eastAsia"/>
          <w:color w:val="000000" w:themeColor="text1"/>
          <w:sz w:val="24"/>
          <w:highlight w:val="none"/>
          <w14:textFill>
            <w14:solidFill>
              <w14:schemeClr w14:val="tx1"/>
            </w14:solidFill>
          </w14:textFill>
        </w:rPr>
        <w:t>”在夏季汛期及冬季枯水期停止输水，本项目停止运营发电，拦水橡胶坝放</w:t>
      </w:r>
      <w:r>
        <w:rPr>
          <w:rFonts w:hint="eastAsia"/>
          <w:color w:val="000000" w:themeColor="text1"/>
          <w:sz w:val="24"/>
          <w:highlight w:val="none"/>
          <w:lang w:eastAsia="zh-CN"/>
          <w14:textFill>
            <w14:solidFill>
              <w14:schemeClr w14:val="tx1"/>
            </w14:solidFill>
          </w14:textFill>
        </w:rPr>
        <w:t>水</w:t>
      </w:r>
      <w:r>
        <w:rPr>
          <w:rFonts w:hint="eastAsia"/>
          <w:color w:val="000000" w:themeColor="text1"/>
          <w:sz w:val="24"/>
          <w:highlight w:val="none"/>
          <w14:textFill>
            <w14:solidFill>
              <w14:schemeClr w14:val="tx1"/>
            </w14:solidFill>
          </w14:textFill>
        </w:rPr>
        <w:t>停用，黎河主要承担汛期泄洪功能，本项目对黎河泄洪无影响。</w:t>
      </w:r>
    </w:p>
    <w:p>
      <w:pPr>
        <w:keepNext w:val="0"/>
        <w:keepLines w:val="0"/>
        <w:pageBreakBefore w:val="0"/>
        <w:widowControl w:val="0"/>
        <w:shd w:val="clear" w:color="auto" w:fill="FFFFFF"/>
        <w:kinsoku/>
        <w:wordWrap/>
        <w:overflowPunct/>
        <w:topLinePunct w:val="0"/>
        <w:autoSpaceDE w:val="0"/>
        <w:autoSpaceDN w:val="0"/>
        <w:bidi w:val="0"/>
        <w:adjustRightInd w:val="0"/>
        <w:snapToGrid/>
        <w:spacing w:line="440" w:lineRule="exact"/>
        <w:ind w:firstLine="482"/>
        <w:textAlignment w:val="auto"/>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（2）对区域经济的影响</w:t>
      </w:r>
    </w:p>
    <w:p>
      <w:pPr>
        <w:keepNext w:val="0"/>
        <w:keepLines w:val="0"/>
        <w:pageBreakBefore w:val="0"/>
        <w:widowControl w:val="0"/>
        <w:shd w:val="clear" w:color="auto" w:fill="FFFFFF"/>
        <w:kinsoku/>
        <w:wordWrap/>
        <w:overflowPunct/>
        <w:topLinePunct w:val="0"/>
        <w:autoSpaceDE w:val="0"/>
        <w:autoSpaceDN w:val="0"/>
        <w:bidi w:val="0"/>
        <w:adjustRightInd w:val="0"/>
        <w:snapToGrid/>
        <w:spacing w:line="440" w:lineRule="exact"/>
        <w:ind w:firstLine="482"/>
        <w:textAlignment w:val="auto"/>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本电站的建成，为遵化市电网增加装机</w:t>
      </w:r>
      <w:r>
        <w:rPr>
          <w:color w:val="000000" w:themeColor="text1"/>
          <w:sz w:val="24"/>
          <w:highlight w:val="none"/>
          <w14:textFill>
            <w14:solidFill>
              <w14:schemeClr w14:val="tx1"/>
            </w14:solidFill>
          </w14:textFill>
        </w:rPr>
        <w:t>容量</w:t>
      </w:r>
      <w:r>
        <w:rPr>
          <w:rFonts w:hint="eastAsia"/>
          <w:snapToGrid w:val="0"/>
          <w:color w:val="000000" w:themeColor="text1"/>
          <w:kern w:val="0"/>
          <w:sz w:val="24"/>
          <w:highlight w:val="none"/>
          <w:lang w:val="en-US" w:eastAsia="zh-CN"/>
          <w14:textFill>
            <w14:solidFill>
              <w14:schemeClr w14:val="tx1"/>
            </w14:solidFill>
          </w14:textFill>
        </w:rPr>
        <w:t>500</w:t>
      </w:r>
      <w:r>
        <w:rPr>
          <w:snapToGrid w:val="0"/>
          <w:color w:val="000000" w:themeColor="text1"/>
          <w:kern w:val="0"/>
          <w:sz w:val="24"/>
          <w:highlight w:val="none"/>
          <w14:textFill>
            <w14:solidFill>
              <w14:schemeClr w14:val="tx1"/>
            </w14:solidFill>
          </w14:textFill>
        </w:rPr>
        <w:t>0kw</w:t>
      </w:r>
      <w:r>
        <w:rPr>
          <w:color w:val="000000" w:themeColor="text1"/>
          <w:sz w:val="24"/>
          <w:highlight w:val="none"/>
          <w14:textFill>
            <w14:solidFill>
              <w14:schemeClr w14:val="tx1"/>
            </w14:solidFill>
          </w14:textFill>
        </w:rPr>
        <w:t>，年发电量</w:t>
      </w:r>
      <w:r>
        <w:rPr>
          <w:snapToGrid w:val="0"/>
          <w:color w:val="000000" w:themeColor="text1"/>
          <w:kern w:val="0"/>
          <w:sz w:val="24"/>
          <w:highlight w:val="none"/>
          <w14:textFill>
            <w14:solidFill>
              <w14:schemeClr w14:val="tx1"/>
            </w14:solidFill>
          </w14:textFill>
        </w:rPr>
        <w:t>1</w:t>
      </w:r>
      <w:r>
        <w:rPr>
          <w:rFonts w:hint="eastAsia"/>
          <w:snapToGrid w:val="0"/>
          <w:color w:val="000000" w:themeColor="text1"/>
          <w:kern w:val="0"/>
          <w:sz w:val="24"/>
          <w:highlight w:val="none"/>
          <w:lang w:val="en-US" w:eastAsia="zh-CN"/>
          <w14:textFill>
            <w14:solidFill>
              <w14:schemeClr w14:val="tx1"/>
            </w14:solidFill>
          </w14:textFill>
        </w:rPr>
        <w:t>465.5</w:t>
      </w:r>
      <w:r>
        <w:rPr>
          <w:color w:val="000000" w:themeColor="text1"/>
          <w:sz w:val="24"/>
          <w:highlight w:val="none"/>
          <w14:textFill>
            <w14:solidFill>
              <w14:schemeClr w14:val="tx1"/>
            </w14:solidFill>
          </w14:textFill>
        </w:rPr>
        <w:t>万kw·h</w:t>
      </w:r>
      <w:r>
        <w:rPr>
          <w:rFonts w:hint="eastAsia"/>
          <w:color w:val="000000" w:themeColor="text1"/>
          <w:sz w:val="24"/>
          <w:highlight w:val="none"/>
          <w14:textFill>
            <w14:solidFill>
              <w14:schemeClr w14:val="tx1"/>
            </w14:solidFill>
          </w14:textFill>
        </w:rPr>
        <w:t>。可为遵化市电力系统安全运行提供可靠、灵活的电力电量，对遵化市社会经济的发展具有一定的促进作用。</w:t>
      </w:r>
    </w:p>
    <w:p>
      <w:pPr>
        <w:keepNext w:val="0"/>
        <w:keepLines w:val="0"/>
        <w:pageBreakBefore w:val="0"/>
        <w:widowControl w:val="0"/>
        <w:shd w:val="clear" w:color="auto" w:fill="FFFFFF"/>
        <w:kinsoku/>
        <w:wordWrap/>
        <w:overflowPunct/>
        <w:topLinePunct w:val="0"/>
        <w:autoSpaceDE w:val="0"/>
        <w:autoSpaceDN w:val="0"/>
        <w:bidi w:val="0"/>
        <w:adjustRightInd w:val="0"/>
        <w:snapToGrid/>
        <w:spacing w:line="440" w:lineRule="exact"/>
        <w:ind w:firstLine="482"/>
        <w:textAlignment w:val="auto"/>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水电站项目属于可再生能源项目，其建设又是一种“以电代燃”的清洁生产方式，在取得相同电能的同时，可减少污染环境问题，保护生态环境，具有一定的环境效益。</w:t>
      </w:r>
    </w:p>
    <w:p>
      <w:pPr>
        <w:keepNext w:val="0"/>
        <w:keepLines w:val="0"/>
        <w:pageBreakBefore w:val="0"/>
        <w:widowControl w:val="0"/>
        <w:shd w:val="clear" w:color="auto" w:fill="FFFFFF"/>
        <w:kinsoku/>
        <w:wordWrap/>
        <w:overflowPunct/>
        <w:topLinePunct w:val="0"/>
        <w:autoSpaceDE w:val="0"/>
        <w:autoSpaceDN w:val="0"/>
        <w:bidi w:val="0"/>
        <w:adjustRightInd w:val="0"/>
        <w:snapToGrid/>
        <w:spacing w:line="440" w:lineRule="exact"/>
        <w:ind w:firstLine="482"/>
        <w:textAlignment w:val="auto"/>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（3）对景观的影响</w:t>
      </w:r>
    </w:p>
    <w:p>
      <w:pPr>
        <w:keepNext w:val="0"/>
        <w:keepLines w:val="0"/>
        <w:pageBreakBefore w:val="0"/>
        <w:widowControl w:val="0"/>
        <w:shd w:val="clear" w:color="auto" w:fill="FFFFFF"/>
        <w:kinsoku/>
        <w:wordWrap/>
        <w:overflowPunct/>
        <w:topLinePunct w:val="0"/>
        <w:autoSpaceDE w:val="0"/>
        <w:autoSpaceDN w:val="0"/>
        <w:bidi w:val="0"/>
        <w:adjustRightInd w:val="0"/>
        <w:snapToGrid/>
        <w:spacing w:line="440" w:lineRule="exact"/>
        <w:ind w:firstLine="482"/>
        <w:textAlignment w:val="auto"/>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橡胶坝拦水抬高了原河道水位，形成雍水区水面，可形成小湖泊景观，提升了黎河水面的观赏性。</w:t>
      </w:r>
    </w:p>
    <w:p>
      <w:pPr>
        <w:keepNext w:val="0"/>
        <w:keepLines w:val="0"/>
        <w:pageBreakBefore w:val="0"/>
        <w:widowControl w:val="0"/>
        <w:kinsoku/>
        <w:wordWrap/>
        <w:overflowPunct/>
        <w:topLinePunct w:val="0"/>
        <w:bidi w:val="0"/>
        <w:snapToGrid/>
        <w:spacing w:line="440" w:lineRule="exact"/>
        <w:textAlignment w:val="auto"/>
        <w:rPr>
          <w:color w:val="000000" w:themeColor="text1"/>
          <w:sz w:val="24"/>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 xml:space="preserve">3.2.5 </w:t>
      </w:r>
      <w:r>
        <w:rPr>
          <w:rFonts w:hint="eastAsia"/>
          <w:b/>
          <w:bCs/>
          <w:color w:val="000000" w:themeColor="text1"/>
          <w:sz w:val="24"/>
          <w:highlight w:val="none"/>
          <w:lang w:val="zh-CN"/>
          <w14:textFill>
            <w14:solidFill>
              <w14:schemeClr w14:val="tx1"/>
            </w14:solidFill>
          </w14:textFill>
        </w:rPr>
        <w:t>工程分析环境影响源项汇总</w:t>
      </w:r>
    </w:p>
    <w:p>
      <w:pPr>
        <w:keepNext w:val="0"/>
        <w:keepLines w:val="0"/>
        <w:pageBreakBefore w:val="0"/>
        <w:widowControl w:val="0"/>
        <w:kinsoku/>
        <w:wordWrap/>
        <w:overflowPunct/>
        <w:topLinePunct w:val="0"/>
        <w:bidi w:val="0"/>
        <w:snapToGrid/>
        <w:spacing w:line="440" w:lineRule="exact"/>
        <w:ind w:firstLine="480" w:firstLineChars="200"/>
        <w:textAlignment w:val="auto"/>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本项目施工期已经于20</w:t>
      </w:r>
      <w:r>
        <w:rPr>
          <w:rFonts w:hint="eastAsia"/>
          <w:color w:val="000000" w:themeColor="text1"/>
          <w:sz w:val="24"/>
          <w:highlight w:val="none"/>
          <w:lang w:val="en-US" w:eastAsia="zh-CN"/>
          <w14:textFill>
            <w14:solidFill>
              <w14:schemeClr w14:val="tx1"/>
            </w14:solidFill>
          </w14:textFill>
        </w:rPr>
        <w:t>06</w:t>
      </w:r>
      <w:r>
        <w:rPr>
          <w:rFonts w:hint="eastAsia"/>
          <w:color w:val="000000" w:themeColor="text1"/>
          <w:sz w:val="24"/>
          <w:highlight w:val="none"/>
          <w14:textFill>
            <w14:solidFill>
              <w14:schemeClr w14:val="tx1"/>
            </w14:solidFill>
          </w14:textFill>
        </w:rPr>
        <w:t>年结束，本次评价不在对施工期污染源进行分析，运营期污染源分析结果汇总下表。</w:t>
      </w:r>
    </w:p>
    <w:p>
      <w:pPr>
        <w:spacing w:line="480" w:lineRule="exact"/>
        <w:jc w:val="center"/>
        <w:rPr>
          <w:b/>
          <w:bCs/>
          <w:color w:val="000000" w:themeColor="text1"/>
          <w:sz w:val="24"/>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表3.2-7 本项目运营期主要污染物产生、治理措施及排放情况汇总表</w:t>
      </w:r>
    </w:p>
    <w:tbl>
      <w:tblPr>
        <w:tblStyle w:val="51"/>
        <w:tblW w:w="8389"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1123"/>
        <w:gridCol w:w="1125"/>
        <w:gridCol w:w="1065"/>
        <w:gridCol w:w="1565"/>
        <w:gridCol w:w="2425"/>
        <w:gridCol w:w="1086"/>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23"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环境要素</w:t>
            </w:r>
          </w:p>
        </w:tc>
        <w:tc>
          <w:tcPr>
            <w:tcW w:w="1125" w:type="dxa"/>
            <w:vAlign w:val="center"/>
          </w:tcPr>
          <w:p>
            <w:pPr>
              <w:spacing w:line="300" w:lineRule="exac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污染源</w:t>
            </w:r>
          </w:p>
        </w:tc>
        <w:tc>
          <w:tcPr>
            <w:tcW w:w="1065" w:type="dxa"/>
            <w:vAlign w:val="center"/>
          </w:tcPr>
          <w:p>
            <w:pPr>
              <w:spacing w:line="300" w:lineRule="exac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主要</w:t>
            </w:r>
          </w:p>
          <w:p>
            <w:pPr>
              <w:spacing w:line="300" w:lineRule="exac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污染物</w:t>
            </w:r>
          </w:p>
        </w:tc>
        <w:tc>
          <w:tcPr>
            <w:tcW w:w="1565"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产生情况</w:t>
            </w:r>
          </w:p>
        </w:tc>
        <w:tc>
          <w:tcPr>
            <w:tcW w:w="2425" w:type="dxa"/>
            <w:vAlign w:val="center"/>
          </w:tcPr>
          <w:p>
            <w:pPr>
              <w:spacing w:line="300" w:lineRule="exac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治理措施</w:t>
            </w:r>
          </w:p>
        </w:tc>
        <w:tc>
          <w:tcPr>
            <w:tcW w:w="1086"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排放情况</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1123"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大气环境</w:t>
            </w:r>
          </w:p>
        </w:tc>
        <w:tc>
          <w:tcPr>
            <w:tcW w:w="1125"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1065"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3990" w:type="dxa"/>
            <w:gridSpan w:val="2"/>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水电站无废气产生，无</w:t>
            </w:r>
            <w:r>
              <w:rPr>
                <w:rFonts w:hint="eastAsia"/>
                <w:color w:val="000000" w:themeColor="text1"/>
                <w:szCs w:val="21"/>
                <w:highlight w:val="none"/>
                <w:lang w:eastAsia="zh-CN"/>
                <w14:textFill>
                  <w14:solidFill>
                    <w14:schemeClr w14:val="tx1"/>
                  </w14:solidFill>
                </w14:textFill>
              </w:rPr>
              <w:t>做饭</w:t>
            </w:r>
            <w:r>
              <w:rPr>
                <w:rFonts w:hint="eastAsia"/>
                <w:color w:val="000000" w:themeColor="text1"/>
                <w:szCs w:val="21"/>
                <w:highlight w:val="none"/>
                <w14:textFill>
                  <w14:solidFill>
                    <w14:schemeClr w14:val="tx1"/>
                  </w14:solidFill>
                </w14:textFill>
              </w:rPr>
              <w:t>食堂</w:t>
            </w:r>
          </w:p>
        </w:tc>
        <w:tc>
          <w:tcPr>
            <w:tcW w:w="1086"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23" w:type="dxa"/>
            <w:vMerge w:val="restart"/>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水环境</w:t>
            </w:r>
          </w:p>
        </w:tc>
        <w:tc>
          <w:tcPr>
            <w:tcW w:w="1125" w:type="dxa"/>
            <w:vMerge w:val="restart"/>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职工生活污水</w:t>
            </w:r>
          </w:p>
        </w:tc>
        <w:tc>
          <w:tcPr>
            <w:tcW w:w="1065" w:type="dxa"/>
            <w:vAlign w:val="center"/>
          </w:tcPr>
          <w:p>
            <w:pPr>
              <w:tabs>
                <w:tab w:val="left" w:pos="3060"/>
              </w:tabs>
              <w:autoSpaceDE w:val="0"/>
              <w:autoSpaceDN w:val="0"/>
              <w:adjustRightInd w:val="0"/>
              <w:spacing w:line="300" w:lineRule="exact"/>
              <w:jc w:val="center"/>
              <w:rPr>
                <w:color w:val="auto"/>
                <w:szCs w:val="21"/>
                <w:highlight w:val="none"/>
              </w:rPr>
            </w:pPr>
            <w:r>
              <w:rPr>
                <w:rFonts w:hint="eastAsia"/>
                <w:color w:val="auto"/>
                <w:szCs w:val="21"/>
                <w:highlight w:val="none"/>
              </w:rPr>
              <w:t>污水量</w:t>
            </w:r>
          </w:p>
        </w:tc>
        <w:tc>
          <w:tcPr>
            <w:tcW w:w="1565" w:type="dxa"/>
            <w:vAlign w:val="center"/>
          </w:tcPr>
          <w:p>
            <w:pPr>
              <w:spacing w:line="300" w:lineRule="exact"/>
              <w:jc w:val="center"/>
              <w:rPr>
                <w:color w:val="auto"/>
                <w:szCs w:val="21"/>
                <w:highlight w:val="none"/>
              </w:rPr>
            </w:pPr>
            <w:r>
              <w:rPr>
                <w:rFonts w:hint="eastAsia"/>
                <w:color w:val="auto"/>
                <w:szCs w:val="21"/>
                <w:highlight w:val="none"/>
                <w:lang w:val="en-US" w:eastAsia="zh-CN"/>
              </w:rPr>
              <w:t>17.92</w:t>
            </w:r>
            <w:r>
              <w:rPr>
                <w:color w:val="auto"/>
                <w:highlight w:val="none"/>
              </w:rPr>
              <w:t>m</w:t>
            </w:r>
            <w:r>
              <w:rPr>
                <w:color w:val="auto"/>
                <w:highlight w:val="none"/>
                <w:vertAlign w:val="superscript"/>
              </w:rPr>
              <w:t>3</w:t>
            </w:r>
            <w:r>
              <w:rPr>
                <w:color w:val="auto"/>
                <w:highlight w:val="none"/>
              </w:rPr>
              <w:t>/a</w:t>
            </w:r>
          </w:p>
        </w:tc>
        <w:tc>
          <w:tcPr>
            <w:tcW w:w="2425" w:type="dxa"/>
            <w:vMerge w:val="restart"/>
            <w:vAlign w:val="center"/>
          </w:tcPr>
          <w:p>
            <w:pPr>
              <w:spacing w:line="300" w:lineRule="exact"/>
              <w:jc w:val="left"/>
              <w:rPr>
                <w:rFonts w:hint="eastAsia" w:eastAsia="宋体"/>
                <w:color w:val="auto"/>
                <w:szCs w:val="21"/>
                <w:highlight w:val="none"/>
                <w:lang w:eastAsia="zh-CN"/>
              </w:rPr>
            </w:pPr>
            <w:r>
              <w:rPr>
                <w:color w:val="auto"/>
                <w:szCs w:val="21"/>
                <w:highlight w:val="none"/>
              </w:rPr>
              <w:t>废水排入厂区化粪池，</w:t>
            </w:r>
            <w:r>
              <w:rPr>
                <w:rFonts w:hint="eastAsia"/>
                <w:color w:val="auto"/>
                <w:szCs w:val="21"/>
                <w:highlight w:val="none"/>
                <w:lang w:eastAsia="zh-CN"/>
              </w:rPr>
              <w:t>由环卫部门定期清掏</w:t>
            </w:r>
          </w:p>
        </w:tc>
        <w:tc>
          <w:tcPr>
            <w:tcW w:w="1086" w:type="dxa"/>
            <w:vMerge w:val="restart"/>
            <w:vAlign w:val="center"/>
          </w:tcPr>
          <w:p>
            <w:pPr>
              <w:spacing w:line="300" w:lineRule="exac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不外排</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1123" w:type="dxa"/>
            <w:vMerge w:val="continue"/>
            <w:vAlign w:val="center"/>
          </w:tcPr>
          <w:p>
            <w:pPr>
              <w:spacing w:line="300" w:lineRule="exact"/>
              <w:jc w:val="center"/>
              <w:rPr>
                <w:color w:val="000000" w:themeColor="text1"/>
                <w:szCs w:val="21"/>
                <w:highlight w:val="none"/>
                <w14:textFill>
                  <w14:solidFill>
                    <w14:schemeClr w14:val="tx1"/>
                  </w14:solidFill>
                </w14:textFill>
              </w:rPr>
            </w:pPr>
          </w:p>
        </w:tc>
        <w:tc>
          <w:tcPr>
            <w:tcW w:w="1125" w:type="dxa"/>
            <w:vMerge w:val="continue"/>
            <w:vAlign w:val="center"/>
          </w:tcPr>
          <w:p>
            <w:pPr>
              <w:spacing w:line="300" w:lineRule="exact"/>
              <w:jc w:val="center"/>
              <w:rPr>
                <w:color w:val="000000" w:themeColor="text1"/>
                <w:szCs w:val="21"/>
                <w:highlight w:val="none"/>
                <w14:textFill>
                  <w14:solidFill>
                    <w14:schemeClr w14:val="tx1"/>
                  </w14:solidFill>
                </w14:textFill>
              </w:rPr>
            </w:pPr>
          </w:p>
        </w:tc>
        <w:tc>
          <w:tcPr>
            <w:tcW w:w="1065" w:type="dxa"/>
            <w:vAlign w:val="center"/>
          </w:tcPr>
          <w:p>
            <w:pPr>
              <w:tabs>
                <w:tab w:val="left" w:pos="3060"/>
              </w:tabs>
              <w:autoSpaceDE w:val="0"/>
              <w:autoSpaceDN w:val="0"/>
              <w:adjustRightInd w:val="0"/>
              <w:spacing w:line="300" w:lineRule="exact"/>
              <w:jc w:val="center"/>
              <w:rPr>
                <w:color w:val="auto"/>
                <w:szCs w:val="21"/>
                <w:highlight w:val="none"/>
              </w:rPr>
            </w:pPr>
            <w:r>
              <w:rPr>
                <w:rFonts w:hint="eastAsia"/>
                <w:color w:val="auto"/>
                <w:szCs w:val="21"/>
                <w:highlight w:val="none"/>
              </w:rPr>
              <w:t>COD</w:t>
            </w:r>
          </w:p>
        </w:tc>
        <w:tc>
          <w:tcPr>
            <w:tcW w:w="1565" w:type="dxa"/>
            <w:vAlign w:val="center"/>
          </w:tcPr>
          <w:p>
            <w:pPr>
              <w:spacing w:line="300" w:lineRule="exact"/>
              <w:jc w:val="center"/>
              <w:rPr>
                <w:rFonts w:hint="default" w:eastAsia="宋体"/>
                <w:color w:val="auto"/>
                <w:szCs w:val="21"/>
                <w:highlight w:val="none"/>
                <w:lang w:val="en-US" w:eastAsia="zh-CN"/>
              </w:rPr>
            </w:pPr>
            <w:r>
              <w:rPr>
                <w:rFonts w:hint="eastAsia"/>
                <w:color w:val="auto"/>
                <w:szCs w:val="21"/>
                <w:highlight w:val="none"/>
                <w:lang w:val="en-US" w:eastAsia="zh-CN"/>
              </w:rPr>
              <w:t>/</w:t>
            </w:r>
          </w:p>
        </w:tc>
        <w:tc>
          <w:tcPr>
            <w:tcW w:w="2425" w:type="dxa"/>
            <w:vMerge w:val="continue"/>
            <w:vAlign w:val="center"/>
          </w:tcPr>
          <w:p>
            <w:pPr>
              <w:spacing w:line="300" w:lineRule="exact"/>
              <w:jc w:val="left"/>
              <w:rPr>
                <w:color w:val="auto"/>
                <w:szCs w:val="21"/>
                <w:highlight w:val="none"/>
              </w:rPr>
            </w:pPr>
          </w:p>
        </w:tc>
        <w:tc>
          <w:tcPr>
            <w:tcW w:w="1086" w:type="dxa"/>
            <w:vMerge w:val="continue"/>
            <w:vAlign w:val="center"/>
          </w:tcPr>
          <w:p>
            <w:pPr>
              <w:spacing w:line="300" w:lineRule="exact"/>
              <w:jc w:val="center"/>
              <w:rPr>
                <w:color w:val="000000" w:themeColor="text1"/>
                <w:szCs w:val="21"/>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65" w:hRule="atLeast"/>
          <w:jc w:val="center"/>
        </w:trPr>
        <w:tc>
          <w:tcPr>
            <w:tcW w:w="1123" w:type="dxa"/>
            <w:vMerge w:val="continue"/>
            <w:vAlign w:val="center"/>
          </w:tcPr>
          <w:p>
            <w:pPr>
              <w:spacing w:line="300" w:lineRule="exact"/>
              <w:jc w:val="center"/>
              <w:rPr>
                <w:color w:val="000000" w:themeColor="text1"/>
                <w:szCs w:val="21"/>
                <w:highlight w:val="none"/>
                <w14:textFill>
                  <w14:solidFill>
                    <w14:schemeClr w14:val="tx1"/>
                  </w14:solidFill>
                </w14:textFill>
              </w:rPr>
            </w:pPr>
          </w:p>
        </w:tc>
        <w:tc>
          <w:tcPr>
            <w:tcW w:w="1125" w:type="dxa"/>
            <w:vMerge w:val="continue"/>
            <w:vAlign w:val="center"/>
          </w:tcPr>
          <w:p>
            <w:pPr>
              <w:spacing w:line="300" w:lineRule="exact"/>
              <w:jc w:val="center"/>
              <w:rPr>
                <w:color w:val="000000" w:themeColor="text1"/>
                <w:szCs w:val="21"/>
                <w:highlight w:val="none"/>
                <w14:textFill>
                  <w14:solidFill>
                    <w14:schemeClr w14:val="tx1"/>
                  </w14:solidFill>
                </w14:textFill>
              </w:rPr>
            </w:pPr>
          </w:p>
        </w:tc>
        <w:tc>
          <w:tcPr>
            <w:tcW w:w="1065" w:type="dxa"/>
            <w:vAlign w:val="center"/>
          </w:tcPr>
          <w:p>
            <w:pPr>
              <w:tabs>
                <w:tab w:val="left" w:pos="3060"/>
              </w:tabs>
              <w:autoSpaceDE w:val="0"/>
              <w:autoSpaceDN w:val="0"/>
              <w:adjustRightInd w:val="0"/>
              <w:spacing w:line="300" w:lineRule="exact"/>
              <w:jc w:val="center"/>
              <w:rPr>
                <w:color w:val="auto"/>
                <w:szCs w:val="21"/>
                <w:highlight w:val="none"/>
              </w:rPr>
            </w:pPr>
            <w:r>
              <w:rPr>
                <w:rFonts w:hint="eastAsia"/>
                <w:color w:val="auto"/>
                <w:szCs w:val="21"/>
                <w:highlight w:val="none"/>
              </w:rPr>
              <w:t>SS</w:t>
            </w:r>
          </w:p>
        </w:tc>
        <w:tc>
          <w:tcPr>
            <w:tcW w:w="1565" w:type="dxa"/>
            <w:vAlign w:val="center"/>
          </w:tcPr>
          <w:p>
            <w:pPr>
              <w:spacing w:line="300" w:lineRule="exact"/>
              <w:jc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2425" w:type="dxa"/>
            <w:vMerge w:val="continue"/>
            <w:vAlign w:val="center"/>
          </w:tcPr>
          <w:p>
            <w:pPr>
              <w:spacing w:line="300" w:lineRule="exact"/>
              <w:jc w:val="left"/>
              <w:rPr>
                <w:color w:val="auto"/>
                <w:szCs w:val="21"/>
                <w:highlight w:val="none"/>
              </w:rPr>
            </w:pPr>
          </w:p>
        </w:tc>
        <w:tc>
          <w:tcPr>
            <w:tcW w:w="1086" w:type="dxa"/>
            <w:vMerge w:val="continue"/>
            <w:vAlign w:val="center"/>
          </w:tcPr>
          <w:p>
            <w:pPr>
              <w:spacing w:line="300" w:lineRule="exact"/>
              <w:jc w:val="center"/>
              <w:rPr>
                <w:color w:val="000000" w:themeColor="text1"/>
                <w:szCs w:val="21"/>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95" w:hRule="atLeast"/>
          <w:jc w:val="center"/>
        </w:trPr>
        <w:tc>
          <w:tcPr>
            <w:tcW w:w="1123" w:type="dxa"/>
            <w:vMerge w:val="continue"/>
            <w:vAlign w:val="center"/>
          </w:tcPr>
          <w:p>
            <w:pPr>
              <w:spacing w:line="300" w:lineRule="exact"/>
              <w:jc w:val="center"/>
              <w:rPr>
                <w:color w:val="000000" w:themeColor="text1"/>
                <w:szCs w:val="21"/>
                <w:highlight w:val="none"/>
                <w14:textFill>
                  <w14:solidFill>
                    <w14:schemeClr w14:val="tx1"/>
                  </w14:solidFill>
                </w14:textFill>
              </w:rPr>
            </w:pPr>
          </w:p>
        </w:tc>
        <w:tc>
          <w:tcPr>
            <w:tcW w:w="1125" w:type="dxa"/>
            <w:vMerge w:val="continue"/>
            <w:vAlign w:val="center"/>
          </w:tcPr>
          <w:p>
            <w:pPr>
              <w:spacing w:line="300" w:lineRule="exact"/>
              <w:jc w:val="center"/>
              <w:rPr>
                <w:color w:val="000000" w:themeColor="text1"/>
                <w:szCs w:val="21"/>
                <w:highlight w:val="none"/>
                <w14:textFill>
                  <w14:solidFill>
                    <w14:schemeClr w14:val="tx1"/>
                  </w14:solidFill>
                </w14:textFill>
              </w:rPr>
            </w:pPr>
          </w:p>
        </w:tc>
        <w:tc>
          <w:tcPr>
            <w:tcW w:w="1065" w:type="dxa"/>
            <w:vAlign w:val="center"/>
          </w:tcPr>
          <w:p>
            <w:pPr>
              <w:tabs>
                <w:tab w:val="left" w:pos="3060"/>
              </w:tabs>
              <w:autoSpaceDE w:val="0"/>
              <w:autoSpaceDN w:val="0"/>
              <w:adjustRightInd w:val="0"/>
              <w:spacing w:line="300" w:lineRule="exact"/>
              <w:jc w:val="center"/>
              <w:rPr>
                <w:color w:val="auto"/>
                <w:szCs w:val="21"/>
                <w:highlight w:val="none"/>
              </w:rPr>
            </w:pPr>
            <w:r>
              <w:rPr>
                <w:rFonts w:hint="eastAsia"/>
                <w:color w:val="auto"/>
                <w:szCs w:val="21"/>
                <w:highlight w:val="none"/>
              </w:rPr>
              <w:t>氨氮</w:t>
            </w:r>
          </w:p>
        </w:tc>
        <w:tc>
          <w:tcPr>
            <w:tcW w:w="1565" w:type="dxa"/>
            <w:vAlign w:val="center"/>
          </w:tcPr>
          <w:p>
            <w:pPr>
              <w:spacing w:line="300" w:lineRule="exact"/>
              <w:jc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2425" w:type="dxa"/>
            <w:vMerge w:val="continue"/>
            <w:vAlign w:val="center"/>
          </w:tcPr>
          <w:p>
            <w:pPr>
              <w:spacing w:line="300" w:lineRule="exact"/>
              <w:jc w:val="left"/>
              <w:rPr>
                <w:color w:val="auto"/>
                <w:szCs w:val="21"/>
                <w:highlight w:val="none"/>
              </w:rPr>
            </w:pPr>
          </w:p>
        </w:tc>
        <w:tc>
          <w:tcPr>
            <w:tcW w:w="1086" w:type="dxa"/>
            <w:vMerge w:val="continue"/>
            <w:vAlign w:val="center"/>
          </w:tcPr>
          <w:p>
            <w:pPr>
              <w:spacing w:line="300" w:lineRule="exact"/>
              <w:jc w:val="center"/>
              <w:rPr>
                <w:color w:val="000000" w:themeColor="text1"/>
                <w:szCs w:val="21"/>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1123" w:type="dxa"/>
            <w:vMerge w:val="restart"/>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声环境</w:t>
            </w:r>
          </w:p>
        </w:tc>
        <w:tc>
          <w:tcPr>
            <w:tcW w:w="1125" w:type="dxa"/>
            <w:vAlign w:val="center"/>
          </w:tcPr>
          <w:p>
            <w:pPr>
              <w:spacing w:line="300" w:lineRule="exact"/>
              <w:jc w:val="center"/>
              <w:rPr>
                <w:color w:val="000000" w:themeColor="text1"/>
                <w:szCs w:val="21"/>
                <w:highlight w:val="none"/>
                <w14:textFill>
                  <w14:solidFill>
                    <w14:schemeClr w14:val="tx1"/>
                  </w14:solidFill>
                </w14:textFill>
              </w:rPr>
            </w:pPr>
            <w:r>
              <w:rPr>
                <w:color w:val="000000" w:themeColor="text1"/>
                <w:kern w:val="24"/>
                <w:szCs w:val="21"/>
                <w:highlight w:val="none"/>
                <w14:textFill>
                  <w14:solidFill>
                    <w14:schemeClr w14:val="tx1"/>
                  </w14:solidFill>
                </w14:textFill>
              </w:rPr>
              <w:t>水轮机</w:t>
            </w:r>
          </w:p>
        </w:tc>
        <w:tc>
          <w:tcPr>
            <w:tcW w:w="1065" w:type="dxa"/>
            <w:vMerge w:val="restart"/>
            <w:vAlign w:val="center"/>
          </w:tcPr>
          <w:p>
            <w:pPr>
              <w:spacing w:line="300" w:lineRule="exact"/>
              <w:jc w:val="center"/>
              <w:rPr>
                <w:color w:val="auto"/>
                <w:kern w:val="24"/>
                <w:szCs w:val="21"/>
                <w:highlight w:val="none"/>
              </w:rPr>
            </w:pPr>
            <w:r>
              <w:rPr>
                <w:rFonts w:hint="eastAsia"/>
                <w:color w:val="auto"/>
                <w:kern w:val="24"/>
                <w:szCs w:val="21"/>
                <w:highlight w:val="none"/>
              </w:rPr>
              <w:t>机械噪声</w:t>
            </w:r>
          </w:p>
        </w:tc>
        <w:tc>
          <w:tcPr>
            <w:tcW w:w="1565" w:type="dxa"/>
            <w:vMerge w:val="restart"/>
            <w:vAlign w:val="center"/>
          </w:tcPr>
          <w:p>
            <w:pPr>
              <w:spacing w:line="300" w:lineRule="exact"/>
              <w:jc w:val="center"/>
              <w:rPr>
                <w:color w:val="auto"/>
                <w:szCs w:val="21"/>
                <w:highlight w:val="none"/>
              </w:rPr>
            </w:pPr>
            <w:r>
              <w:rPr>
                <w:rFonts w:hint="eastAsia"/>
                <w:color w:val="auto"/>
                <w:szCs w:val="21"/>
                <w:highlight w:val="none"/>
              </w:rPr>
              <w:t>80-90dB(A)</w:t>
            </w:r>
          </w:p>
        </w:tc>
        <w:tc>
          <w:tcPr>
            <w:tcW w:w="2425" w:type="dxa"/>
            <w:vMerge w:val="restart"/>
            <w:vAlign w:val="center"/>
          </w:tcPr>
          <w:p>
            <w:pPr>
              <w:spacing w:line="300" w:lineRule="exact"/>
              <w:jc w:val="center"/>
              <w:rPr>
                <w:rFonts w:hint="eastAsia" w:eastAsia="宋体"/>
                <w:color w:val="auto"/>
                <w:szCs w:val="21"/>
                <w:highlight w:val="none"/>
                <w:lang w:eastAsia="zh-CN"/>
              </w:rPr>
            </w:pPr>
            <w:r>
              <w:rPr>
                <w:rFonts w:hint="eastAsia"/>
                <w:color w:val="auto"/>
                <w:szCs w:val="21"/>
                <w:highlight w:val="none"/>
              </w:rPr>
              <w:t>水轮机</w:t>
            </w:r>
            <w:r>
              <w:rPr>
                <w:color w:val="auto"/>
                <w:szCs w:val="21"/>
                <w:highlight w:val="none"/>
              </w:rPr>
              <w:t>置于水下</w:t>
            </w:r>
            <w:r>
              <w:rPr>
                <w:rFonts w:hint="eastAsia"/>
                <w:color w:val="auto"/>
                <w:szCs w:val="21"/>
                <w:highlight w:val="none"/>
              </w:rPr>
              <w:t>，</w:t>
            </w:r>
            <w:r>
              <w:rPr>
                <w:rFonts w:hint="eastAsia"/>
                <w:color w:val="auto"/>
                <w:szCs w:val="21"/>
                <w:highlight w:val="none"/>
                <w:lang w:eastAsia="zh-CN"/>
              </w:rPr>
              <w:t>设备</w:t>
            </w:r>
            <w:r>
              <w:rPr>
                <w:color w:val="auto"/>
                <w:szCs w:val="21"/>
                <w:highlight w:val="none"/>
              </w:rPr>
              <w:t>基础减震</w:t>
            </w:r>
            <w:r>
              <w:rPr>
                <w:rFonts w:hint="eastAsia"/>
                <w:color w:val="auto"/>
                <w:szCs w:val="21"/>
                <w:highlight w:val="none"/>
                <w:lang w:eastAsia="zh-CN"/>
              </w:rPr>
              <w:t>，厂房封闭隔声</w:t>
            </w:r>
          </w:p>
        </w:tc>
        <w:tc>
          <w:tcPr>
            <w:tcW w:w="1086" w:type="dxa"/>
            <w:vMerge w:val="restart"/>
            <w:vAlign w:val="center"/>
          </w:tcPr>
          <w:p>
            <w:pPr>
              <w:spacing w:line="300" w:lineRule="exac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23" w:type="dxa"/>
            <w:vMerge w:val="continue"/>
            <w:vAlign w:val="center"/>
          </w:tcPr>
          <w:p>
            <w:pPr>
              <w:spacing w:line="300" w:lineRule="exact"/>
              <w:jc w:val="center"/>
              <w:rPr>
                <w:color w:val="000000" w:themeColor="text1"/>
                <w:szCs w:val="21"/>
                <w:highlight w:val="none"/>
                <w14:textFill>
                  <w14:solidFill>
                    <w14:schemeClr w14:val="tx1"/>
                  </w14:solidFill>
                </w14:textFill>
              </w:rPr>
            </w:pPr>
          </w:p>
        </w:tc>
        <w:tc>
          <w:tcPr>
            <w:tcW w:w="1125" w:type="dxa"/>
            <w:vAlign w:val="center"/>
          </w:tcPr>
          <w:p>
            <w:pPr>
              <w:spacing w:line="300" w:lineRule="exact"/>
              <w:jc w:val="center"/>
              <w:rPr>
                <w:color w:val="000000" w:themeColor="text1"/>
                <w:szCs w:val="21"/>
                <w:highlight w:val="none"/>
                <w14:textFill>
                  <w14:solidFill>
                    <w14:schemeClr w14:val="tx1"/>
                  </w14:solidFill>
                </w14:textFill>
              </w:rPr>
            </w:pPr>
            <w:r>
              <w:rPr>
                <w:color w:val="000000" w:themeColor="text1"/>
                <w:kern w:val="24"/>
                <w:szCs w:val="21"/>
                <w:highlight w:val="none"/>
                <w14:textFill>
                  <w14:solidFill>
                    <w14:schemeClr w14:val="tx1"/>
                  </w14:solidFill>
                </w14:textFill>
              </w:rPr>
              <w:t>发电机组</w:t>
            </w:r>
          </w:p>
        </w:tc>
        <w:tc>
          <w:tcPr>
            <w:tcW w:w="1065" w:type="dxa"/>
            <w:vMerge w:val="continue"/>
            <w:vAlign w:val="center"/>
          </w:tcPr>
          <w:p>
            <w:pPr>
              <w:spacing w:line="300" w:lineRule="exact"/>
              <w:jc w:val="center"/>
              <w:rPr>
                <w:color w:val="auto"/>
                <w:kern w:val="24"/>
                <w:szCs w:val="21"/>
                <w:highlight w:val="none"/>
              </w:rPr>
            </w:pPr>
          </w:p>
        </w:tc>
        <w:tc>
          <w:tcPr>
            <w:tcW w:w="1565" w:type="dxa"/>
            <w:vMerge w:val="continue"/>
            <w:vAlign w:val="center"/>
          </w:tcPr>
          <w:p>
            <w:pPr>
              <w:spacing w:line="300" w:lineRule="exact"/>
              <w:jc w:val="center"/>
              <w:rPr>
                <w:color w:val="auto"/>
                <w:szCs w:val="21"/>
                <w:highlight w:val="none"/>
              </w:rPr>
            </w:pPr>
          </w:p>
        </w:tc>
        <w:tc>
          <w:tcPr>
            <w:tcW w:w="2425" w:type="dxa"/>
            <w:vMerge w:val="continue"/>
            <w:vAlign w:val="center"/>
          </w:tcPr>
          <w:p>
            <w:pPr>
              <w:spacing w:line="300" w:lineRule="exact"/>
              <w:jc w:val="center"/>
              <w:rPr>
                <w:color w:val="auto"/>
                <w:szCs w:val="21"/>
                <w:highlight w:val="none"/>
              </w:rPr>
            </w:pPr>
          </w:p>
        </w:tc>
        <w:tc>
          <w:tcPr>
            <w:tcW w:w="1086" w:type="dxa"/>
            <w:vMerge w:val="continue"/>
            <w:vAlign w:val="center"/>
          </w:tcPr>
          <w:p>
            <w:pPr>
              <w:spacing w:line="300" w:lineRule="exact"/>
              <w:jc w:val="center"/>
              <w:rPr>
                <w:color w:val="000000" w:themeColor="text1"/>
                <w:szCs w:val="21"/>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02" w:hRule="atLeast"/>
          <w:jc w:val="center"/>
        </w:trPr>
        <w:tc>
          <w:tcPr>
            <w:tcW w:w="1123" w:type="dxa"/>
            <w:vMerge w:val="restart"/>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固废</w:t>
            </w:r>
          </w:p>
        </w:tc>
        <w:tc>
          <w:tcPr>
            <w:tcW w:w="1125" w:type="dxa"/>
            <w:vAlign w:val="center"/>
          </w:tcPr>
          <w:p>
            <w:pPr>
              <w:spacing w:line="300" w:lineRule="exact"/>
              <w:jc w:val="center"/>
              <w:rPr>
                <w:color w:val="000000" w:themeColor="text1"/>
                <w:szCs w:val="21"/>
                <w:highlight w:val="none"/>
                <w14:textFill>
                  <w14:solidFill>
                    <w14:schemeClr w14:val="tx1"/>
                  </w14:solidFill>
                </w14:textFill>
              </w:rPr>
            </w:pPr>
            <w:r>
              <w:rPr>
                <w:color w:val="000000" w:themeColor="text1"/>
                <w:kern w:val="24"/>
                <w:szCs w:val="21"/>
                <w:highlight w:val="none"/>
                <w14:textFill>
                  <w14:solidFill>
                    <w14:schemeClr w14:val="tx1"/>
                  </w14:solidFill>
                </w14:textFill>
              </w:rPr>
              <w:t>引水渠</w:t>
            </w:r>
            <w:r>
              <w:rPr>
                <w:rFonts w:hint="eastAsia"/>
                <w:color w:val="000000" w:themeColor="text1"/>
                <w:kern w:val="24"/>
                <w:szCs w:val="21"/>
                <w:highlight w:val="none"/>
                <w14:textFill>
                  <w14:solidFill>
                    <w14:schemeClr w14:val="tx1"/>
                  </w14:solidFill>
                </w14:textFill>
              </w:rPr>
              <w:t>格栅</w:t>
            </w:r>
          </w:p>
        </w:tc>
        <w:tc>
          <w:tcPr>
            <w:tcW w:w="1065" w:type="dxa"/>
            <w:vAlign w:val="center"/>
          </w:tcPr>
          <w:p>
            <w:pPr>
              <w:spacing w:line="300" w:lineRule="exact"/>
              <w:jc w:val="center"/>
              <w:rPr>
                <w:color w:val="auto"/>
                <w:kern w:val="24"/>
                <w:szCs w:val="21"/>
                <w:highlight w:val="none"/>
              </w:rPr>
            </w:pPr>
            <w:r>
              <w:rPr>
                <w:rFonts w:hint="eastAsia"/>
                <w:color w:val="auto"/>
                <w:kern w:val="24"/>
                <w:szCs w:val="21"/>
                <w:highlight w:val="none"/>
              </w:rPr>
              <w:t>垃圾</w:t>
            </w:r>
          </w:p>
        </w:tc>
        <w:tc>
          <w:tcPr>
            <w:tcW w:w="1565" w:type="dxa"/>
            <w:vAlign w:val="center"/>
          </w:tcPr>
          <w:p>
            <w:pPr>
              <w:spacing w:line="300" w:lineRule="exact"/>
              <w:jc w:val="center"/>
              <w:rPr>
                <w:color w:val="auto"/>
                <w:szCs w:val="21"/>
                <w:highlight w:val="none"/>
              </w:rPr>
            </w:pPr>
            <w:r>
              <w:rPr>
                <w:rFonts w:hint="eastAsia"/>
                <w:color w:val="auto"/>
                <w:szCs w:val="21"/>
                <w:highlight w:val="none"/>
              </w:rPr>
              <w:t>3.0t/a</w:t>
            </w:r>
          </w:p>
        </w:tc>
        <w:tc>
          <w:tcPr>
            <w:tcW w:w="2425" w:type="dxa"/>
            <w:vAlign w:val="center"/>
          </w:tcPr>
          <w:p>
            <w:pPr>
              <w:spacing w:line="300" w:lineRule="exact"/>
              <w:jc w:val="left"/>
              <w:rPr>
                <w:color w:val="auto"/>
                <w:szCs w:val="21"/>
                <w:highlight w:val="none"/>
              </w:rPr>
            </w:pPr>
            <w:r>
              <w:rPr>
                <w:color w:val="auto"/>
                <w:szCs w:val="21"/>
                <w:highlight w:val="none"/>
              </w:rPr>
              <w:t>人工打捞后集中收集，运送环卫部门指定地点统一处理</w:t>
            </w:r>
          </w:p>
        </w:tc>
        <w:tc>
          <w:tcPr>
            <w:tcW w:w="1086" w:type="dxa"/>
            <w:vMerge w:val="restart"/>
            <w:vAlign w:val="center"/>
          </w:tcPr>
          <w:p>
            <w:pPr>
              <w:spacing w:line="300" w:lineRule="exac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合理处置</w:t>
            </w:r>
          </w:p>
          <w:p>
            <w:pPr>
              <w:spacing w:line="300" w:lineRule="exac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不外排</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67" w:hRule="atLeast"/>
          <w:jc w:val="center"/>
        </w:trPr>
        <w:tc>
          <w:tcPr>
            <w:tcW w:w="1123" w:type="dxa"/>
            <w:vMerge w:val="continue"/>
            <w:vAlign w:val="center"/>
          </w:tcPr>
          <w:p>
            <w:pPr>
              <w:spacing w:line="300" w:lineRule="exact"/>
              <w:jc w:val="center"/>
              <w:rPr>
                <w:color w:val="000000" w:themeColor="text1"/>
                <w:szCs w:val="21"/>
                <w:highlight w:val="none"/>
                <w14:textFill>
                  <w14:solidFill>
                    <w14:schemeClr w14:val="tx1"/>
                  </w14:solidFill>
                </w14:textFill>
              </w:rPr>
            </w:pPr>
          </w:p>
        </w:tc>
        <w:tc>
          <w:tcPr>
            <w:tcW w:w="1125" w:type="dxa"/>
            <w:vMerge w:val="restart"/>
            <w:vAlign w:val="center"/>
          </w:tcPr>
          <w:p>
            <w:pPr>
              <w:spacing w:line="300" w:lineRule="exact"/>
              <w:jc w:val="center"/>
              <w:rPr>
                <w:color w:val="000000" w:themeColor="text1"/>
                <w:kern w:val="24"/>
                <w:szCs w:val="21"/>
                <w:highlight w:val="none"/>
                <w14:textFill>
                  <w14:solidFill>
                    <w14:schemeClr w14:val="tx1"/>
                  </w14:solidFill>
                </w14:textFill>
              </w:rPr>
            </w:pPr>
            <w:r>
              <w:rPr>
                <w:rFonts w:hint="eastAsia"/>
                <w:color w:val="000000" w:themeColor="text1"/>
                <w:kern w:val="24"/>
                <w:szCs w:val="21"/>
                <w:highlight w:val="none"/>
                <w14:textFill>
                  <w14:solidFill>
                    <w14:schemeClr w14:val="tx1"/>
                  </w14:solidFill>
                </w14:textFill>
              </w:rPr>
              <w:t>设备运行、维修过程</w:t>
            </w:r>
          </w:p>
        </w:tc>
        <w:tc>
          <w:tcPr>
            <w:tcW w:w="1065" w:type="dxa"/>
            <w:vAlign w:val="center"/>
          </w:tcPr>
          <w:p>
            <w:pPr>
              <w:spacing w:line="300" w:lineRule="exact"/>
              <w:jc w:val="center"/>
              <w:rPr>
                <w:color w:val="auto"/>
                <w:kern w:val="24"/>
                <w:szCs w:val="21"/>
                <w:highlight w:val="none"/>
              </w:rPr>
            </w:pPr>
            <w:r>
              <w:rPr>
                <w:color w:val="auto"/>
                <w:szCs w:val="21"/>
                <w:highlight w:val="none"/>
              </w:rPr>
              <w:t>废</w:t>
            </w:r>
            <w:r>
              <w:rPr>
                <w:rFonts w:hint="eastAsia"/>
                <w:color w:val="auto"/>
                <w:szCs w:val="21"/>
                <w:highlight w:val="none"/>
                <w:lang w:eastAsia="zh-CN"/>
              </w:rPr>
              <w:t>润滑</w:t>
            </w:r>
            <w:r>
              <w:rPr>
                <w:rFonts w:hint="eastAsia"/>
                <w:color w:val="auto"/>
                <w:szCs w:val="21"/>
                <w:highlight w:val="none"/>
              </w:rPr>
              <w:t>油</w:t>
            </w:r>
          </w:p>
        </w:tc>
        <w:tc>
          <w:tcPr>
            <w:tcW w:w="1565" w:type="dxa"/>
            <w:vAlign w:val="center"/>
          </w:tcPr>
          <w:p>
            <w:pPr>
              <w:spacing w:line="300" w:lineRule="exact"/>
              <w:jc w:val="center"/>
              <w:rPr>
                <w:color w:val="auto"/>
                <w:szCs w:val="21"/>
                <w:highlight w:val="none"/>
              </w:rPr>
            </w:pPr>
            <w:r>
              <w:rPr>
                <w:rFonts w:hint="eastAsia"/>
                <w:color w:val="auto"/>
                <w:szCs w:val="21"/>
                <w:highlight w:val="none"/>
              </w:rPr>
              <w:t>0.09t/a</w:t>
            </w:r>
          </w:p>
        </w:tc>
        <w:tc>
          <w:tcPr>
            <w:tcW w:w="2425" w:type="dxa"/>
            <w:vMerge w:val="restart"/>
            <w:vAlign w:val="center"/>
          </w:tcPr>
          <w:p>
            <w:pPr>
              <w:spacing w:line="300" w:lineRule="exact"/>
              <w:jc w:val="center"/>
              <w:rPr>
                <w:color w:val="auto"/>
                <w:szCs w:val="21"/>
                <w:highlight w:val="none"/>
              </w:rPr>
            </w:pPr>
            <w:r>
              <w:rPr>
                <w:color w:val="auto"/>
                <w:szCs w:val="21"/>
                <w:highlight w:val="none"/>
              </w:rPr>
              <w:t>危废间暂存，由具有资质单位处置</w:t>
            </w:r>
          </w:p>
        </w:tc>
        <w:tc>
          <w:tcPr>
            <w:tcW w:w="1086" w:type="dxa"/>
            <w:vMerge w:val="continue"/>
            <w:vAlign w:val="center"/>
          </w:tcPr>
          <w:p>
            <w:pPr>
              <w:spacing w:line="300" w:lineRule="exact"/>
              <w:jc w:val="center"/>
              <w:rPr>
                <w:color w:val="000000" w:themeColor="text1"/>
                <w:szCs w:val="21"/>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1123" w:type="dxa"/>
            <w:vMerge w:val="continue"/>
            <w:vAlign w:val="center"/>
          </w:tcPr>
          <w:p>
            <w:pPr>
              <w:spacing w:line="300" w:lineRule="exact"/>
              <w:jc w:val="center"/>
              <w:rPr>
                <w:color w:val="000000" w:themeColor="text1"/>
                <w:szCs w:val="21"/>
                <w:highlight w:val="none"/>
                <w14:textFill>
                  <w14:solidFill>
                    <w14:schemeClr w14:val="tx1"/>
                  </w14:solidFill>
                </w14:textFill>
              </w:rPr>
            </w:pPr>
          </w:p>
        </w:tc>
        <w:tc>
          <w:tcPr>
            <w:tcW w:w="1125" w:type="dxa"/>
            <w:vMerge w:val="continue"/>
            <w:vAlign w:val="center"/>
          </w:tcPr>
          <w:p>
            <w:pPr>
              <w:spacing w:line="300" w:lineRule="exact"/>
              <w:jc w:val="center"/>
              <w:rPr>
                <w:color w:val="000000" w:themeColor="text1"/>
                <w:kern w:val="24"/>
                <w:szCs w:val="21"/>
                <w:highlight w:val="none"/>
                <w14:textFill>
                  <w14:solidFill>
                    <w14:schemeClr w14:val="tx1"/>
                  </w14:solidFill>
                </w14:textFill>
              </w:rPr>
            </w:pPr>
          </w:p>
        </w:tc>
        <w:tc>
          <w:tcPr>
            <w:tcW w:w="1065" w:type="dxa"/>
            <w:vAlign w:val="center"/>
          </w:tcPr>
          <w:p>
            <w:pPr>
              <w:spacing w:line="300" w:lineRule="exact"/>
              <w:jc w:val="center"/>
              <w:rPr>
                <w:color w:val="auto"/>
                <w:kern w:val="24"/>
                <w:szCs w:val="21"/>
                <w:highlight w:val="none"/>
              </w:rPr>
            </w:pPr>
            <w:r>
              <w:rPr>
                <w:color w:val="auto"/>
                <w:szCs w:val="21"/>
                <w:highlight w:val="none"/>
              </w:rPr>
              <w:t>废油桶</w:t>
            </w:r>
          </w:p>
        </w:tc>
        <w:tc>
          <w:tcPr>
            <w:tcW w:w="1565" w:type="dxa"/>
            <w:vAlign w:val="center"/>
          </w:tcPr>
          <w:p>
            <w:pPr>
              <w:spacing w:line="300" w:lineRule="exact"/>
              <w:jc w:val="center"/>
              <w:rPr>
                <w:color w:val="auto"/>
                <w:szCs w:val="21"/>
                <w:highlight w:val="none"/>
              </w:rPr>
            </w:pPr>
            <w:r>
              <w:rPr>
                <w:rFonts w:hint="eastAsia"/>
                <w:color w:val="auto"/>
                <w:szCs w:val="21"/>
                <w:highlight w:val="none"/>
              </w:rPr>
              <w:t>0.03t/a</w:t>
            </w:r>
          </w:p>
        </w:tc>
        <w:tc>
          <w:tcPr>
            <w:tcW w:w="2425" w:type="dxa"/>
            <w:vMerge w:val="continue"/>
            <w:vAlign w:val="center"/>
          </w:tcPr>
          <w:p>
            <w:pPr>
              <w:spacing w:line="300" w:lineRule="exact"/>
              <w:jc w:val="center"/>
              <w:rPr>
                <w:color w:val="auto"/>
                <w:szCs w:val="21"/>
                <w:highlight w:val="none"/>
              </w:rPr>
            </w:pPr>
          </w:p>
        </w:tc>
        <w:tc>
          <w:tcPr>
            <w:tcW w:w="1086" w:type="dxa"/>
            <w:vMerge w:val="continue"/>
            <w:vAlign w:val="center"/>
          </w:tcPr>
          <w:p>
            <w:pPr>
              <w:spacing w:line="300" w:lineRule="exact"/>
              <w:jc w:val="center"/>
              <w:rPr>
                <w:color w:val="000000" w:themeColor="text1"/>
                <w:szCs w:val="21"/>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1123" w:type="dxa"/>
            <w:vMerge w:val="continue"/>
            <w:vAlign w:val="center"/>
          </w:tcPr>
          <w:p>
            <w:pPr>
              <w:spacing w:line="300" w:lineRule="exact"/>
              <w:jc w:val="center"/>
              <w:rPr>
                <w:color w:val="000000" w:themeColor="text1"/>
                <w:szCs w:val="21"/>
                <w:highlight w:val="none"/>
                <w14:textFill>
                  <w14:solidFill>
                    <w14:schemeClr w14:val="tx1"/>
                  </w14:solidFill>
                </w14:textFill>
              </w:rPr>
            </w:pPr>
          </w:p>
        </w:tc>
        <w:tc>
          <w:tcPr>
            <w:tcW w:w="1125" w:type="dxa"/>
            <w:vMerge w:val="continue"/>
            <w:vAlign w:val="center"/>
          </w:tcPr>
          <w:p>
            <w:pPr>
              <w:spacing w:line="300" w:lineRule="exact"/>
              <w:jc w:val="center"/>
              <w:rPr>
                <w:color w:val="000000" w:themeColor="text1"/>
                <w:kern w:val="24"/>
                <w:szCs w:val="21"/>
                <w:highlight w:val="none"/>
                <w14:textFill>
                  <w14:solidFill>
                    <w14:schemeClr w14:val="tx1"/>
                  </w14:solidFill>
                </w14:textFill>
              </w:rPr>
            </w:pPr>
          </w:p>
        </w:tc>
        <w:tc>
          <w:tcPr>
            <w:tcW w:w="1065" w:type="dxa"/>
            <w:vAlign w:val="center"/>
          </w:tcPr>
          <w:p>
            <w:pPr>
              <w:spacing w:line="280" w:lineRule="exact"/>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21"/>
                <w:szCs w:val="21"/>
                <w:highlight w:val="none"/>
                <w:lang w:eastAsia="zh-CN"/>
              </w:rPr>
              <w:t>含油废棉丝</w:t>
            </w:r>
          </w:p>
        </w:tc>
        <w:tc>
          <w:tcPr>
            <w:tcW w:w="1565" w:type="dxa"/>
            <w:vAlign w:val="center"/>
          </w:tcPr>
          <w:p>
            <w:pPr>
              <w:spacing w:line="300" w:lineRule="exact"/>
              <w:jc w:val="center"/>
              <w:rPr>
                <w:rFonts w:hint="eastAsia"/>
                <w:color w:val="auto"/>
                <w:szCs w:val="21"/>
                <w:highlight w:val="none"/>
              </w:rPr>
            </w:pPr>
            <w:r>
              <w:rPr>
                <w:rFonts w:hint="eastAsia"/>
                <w:color w:val="auto"/>
                <w:szCs w:val="21"/>
                <w:highlight w:val="none"/>
              </w:rPr>
              <w:t>0.0</w:t>
            </w:r>
            <w:r>
              <w:rPr>
                <w:rFonts w:hint="eastAsia"/>
                <w:color w:val="auto"/>
                <w:szCs w:val="21"/>
                <w:highlight w:val="none"/>
                <w:lang w:val="en-US" w:eastAsia="zh-CN"/>
              </w:rPr>
              <w:t>05</w:t>
            </w:r>
            <w:r>
              <w:rPr>
                <w:rFonts w:hint="eastAsia"/>
                <w:color w:val="auto"/>
                <w:szCs w:val="21"/>
                <w:highlight w:val="none"/>
              </w:rPr>
              <w:t>t/a</w:t>
            </w:r>
          </w:p>
        </w:tc>
        <w:tc>
          <w:tcPr>
            <w:tcW w:w="2425" w:type="dxa"/>
            <w:vMerge w:val="continue"/>
            <w:vAlign w:val="center"/>
          </w:tcPr>
          <w:p>
            <w:pPr>
              <w:spacing w:line="300" w:lineRule="exact"/>
              <w:jc w:val="center"/>
              <w:rPr>
                <w:color w:val="auto"/>
                <w:szCs w:val="21"/>
                <w:highlight w:val="none"/>
              </w:rPr>
            </w:pPr>
          </w:p>
        </w:tc>
        <w:tc>
          <w:tcPr>
            <w:tcW w:w="1086" w:type="dxa"/>
            <w:vMerge w:val="continue"/>
            <w:vAlign w:val="center"/>
          </w:tcPr>
          <w:p>
            <w:pPr>
              <w:spacing w:line="300" w:lineRule="exact"/>
              <w:jc w:val="center"/>
              <w:rPr>
                <w:color w:val="000000" w:themeColor="text1"/>
                <w:szCs w:val="21"/>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1123" w:type="dxa"/>
            <w:vMerge w:val="continue"/>
            <w:vAlign w:val="center"/>
          </w:tcPr>
          <w:p>
            <w:pPr>
              <w:spacing w:line="300" w:lineRule="exact"/>
              <w:jc w:val="center"/>
              <w:rPr>
                <w:color w:val="000000" w:themeColor="text1"/>
                <w:szCs w:val="21"/>
                <w:highlight w:val="none"/>
                <w14:textFill>
                  <w14:solidFill>
                    <w14:schemeClr w14:val="tx1"/>
                  </w14:solidFill>
                </w14:textFill>
              </w:rPr>
            </w:pPr>
          </w:p>
        </w:tc>
        <w:tc>
          <w:tcPr>
            <w:tcW w:w="1125" w:type="dxa"/>
            <w:vMerge w:val="continue"/>
            <w:vAlign w:val="center"/>
          </w:tcPr>
          <w:p>
            <w:pPr>
              <w:spacing w:line="300" w:lineRule="exact"/>
              <w:jc w:val="center"/>
              <w:rPr>
                <w:color w:val="000000" w:themeColor="text1"/>
                <w:kern w:val="24"/>
                <w:szCs w:val="21"/>
                <w:highlight w:val="none"/>
                <w14:textFill>
                  <w14:solidFill>
                    <w14:schemeClr w14:val="tx1"/>
                  </w14:solidFill>
                </w14:textFill>
              </w:rPr>
            </w:pPr>
          </w:p>
        </w:tc>
        <w:tc>
          <w:tcPr>
            <w:tcW w:w="1065" w:type="dxa"/>
            <w:vAlign w:val="center"/>
          </w:tcPr>
          <w:p>
            <w:pPr>
              <w:spacing w:line="300" w:lineRule="exact"/>
              <w:jc w:val="center"/>
              <w:rPr>
                <w:rFonts w:hint="default" w:eastAsia="宋体"/>
                <w:color w:val="auto"/>
                <w:szCs w:val="21"/>
                <w:highlight w:val="none"/>
                <w:lang w:val="en-US" w:eastAsia="zh-CN"/>
              </w:rPr>
            </w:pPr>
            <w:r>
              <w:rPr>
                <w:rFonts w:hint="eastAsia"/>
                <w:color w:val="auto"/>
                <w:szCs w:val="21"/>
                <w:highlight w:val="none"/>
                <w:lang w:val="en-US" w:eastAsia="zh-CN"/>
              </w:rPr>
              <w:t>废变压器油</w:t>
            </w:r>
          </w:p>
        </w:tc>
        <w:tc>
          <w:tcPr>
            <w:tcW w:w="1565" w:type="dxa"/>
            <w:vAlign w:val="center"/>
          </w:tcPr>
          <w:p>
            <w:pPr>
              <w:spacing w:line="300" w:lineRule="exact"/>
              <w:jc w:val="center"/>
              <w:rPr>
                <w:rFonts w:hint="default" w:eastAsia="宋体"/>
                <w:color w:val="auto"/>
                <w:szCs w:val="21"/>
                <w:highlight w:val="none"/>
                <w:lang w:val="en-US" w:eastAsia="zh-CN"/>
              </w:rPr>
            </w:pPr>
            <w:r>
              <w:rPr>
                <w:rFonts w:hint="eastAsia"/>
                <w:color w:val="auto"/>
                <w:szCs w:val="21"/>
                <w:highlight w:val="none"/>
                <w:lang w:val="en-US" w:eastAsia="zh-CN"/>
              </w:rPr>
              <w:t>0.08t/5a</w:t>
            </w:r>
          </w:p>
        </w:tc>
        <w:tc>
          <w:tcPr>
            <w:tcW w:w="2425" w:type="dxa"/>
            <w:vAlign w:val="center"/>
          </w:tcPr>
          <w:p>
            <w:pPr>
              <w:spacing w:line="300" w:lineRule="exact"/>
              <w:jc w:val="center"/>
              <w:rPr>
                <w:rFonts w:hint="eastAsia" w:eastAsia="宋体"/>
                <w:color w:val="auto"/>
                <w:szCs w:val="21"/>
                <w:highlight w:val="none"/>
                <w:lang w:eastAsia="zh-CN"/>
              </w:rPr>
            </w:pPr>
            <w:r>
              <w:rPr>
                <w:rFonts w:hint="eastAsia"/>
                <w:color w:val="auto"/>
                <w:szCs w:val="21"/>
                <w:highlight w:val="none"/>
                <w:lang w:eastAsia="zh-CN"/>
              </w:rPr>
              <w:t>更换后由厂家直接带走</w:t>
            </w:r>
          </w:p>
        </w:tc>
        <w:tc>
          <w:tcPr>
            <w:tcW w:w="1086" w:type="dxa"/>
            <w:vMerge w:val="continue"/>
            <w:vAlign w:val="center"/>
          </w:tcPr>
          <w:p>
            <w:pPr>
              <w:spacing w:line="300" w:lineRule="exact"/>
              <w:jc w:val="center"/>
              <w:rPr>
                <w:color w:val="000000" w:themeColor="text1"/>
                <w:szCs w:val="21"/>
                <w:highlight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2" w:hRule="atLeast"/>
          <w:jc w:val="center"/>
        </w:trPr>
        <w:tc>
          <w:tcPr>
            <w:tcW w:w="1123" w:type="dxa"/>
            <w:vMerge w:val="continue"/>
            <w:vAlign w:val="center"/>
          </w:tcPr>
          <w:p>
            <w:pPr>
              <w:spacing w:line="300" w:lineRule="exact"/>
              <w:jc w:val="center"/>
              <w:rPr>
                <w:color w:val="000000" w:themeColor="text1"/>
                <w:szCs w:val="21"/>
                <w:highlight w:val="none"/>
                <w14:textFill>
                  <w14:solidFill>
                    <w14:schemeClr w14:val="tx1"/>
                  </w14:solidFill>
                </w14:textFill>
              </w:rPr>
            </w:pPr>
          </w:p>
        </w:tc>
        <w:tc>
          <w:tcPr>
            <w:tcW w:w="1125" w:type="dxa"/>
            <w:vAlign w:val="center"/>
          </w:tcPr>
          <w:p>
            <w:pPr>
              <w:spacing w:line="300" w:lineRule="exact"/>
              <w:jc w:val="center"/>
              <w:rPr>
                <w:color w:val="000000" w:themeColor="text1"/>
                <w:szCs w:val="21"/>
                <w:highlight w:val="none"/>
                <w14:textFill>
                  <w14:solidFill>
                    <w14:schemeClr w14:val="tx1"/>
                  </w14:solidFill>
                </w14:textFill>
              </w:rPr>
            </w:pPr>
            <w:r>
              <w:rPr>
                <w:color w:val="000000" w:themeColor="text1"/>
                <w:kern w:val="24"/>
                <w:szCs w:val="21"/>
                <w:highlight w:val="none"/>
                <w14:textFill>
                  <w14:solidFill>
                    <w14:schemeClr w14:val="tx1"/>
                  </w14:solidFill>
                </w14:textFill>
              </w:rPr>
              <w:t>职工生活</w:t>
            </w:r>
          </w:p>
        </w:tc>
        <w:tc>
          <w:tcPr>
            <w:tcW w:w="1065" w:type="dxa"/>
            <w:vAlign w:val="center"/>
          </w:tcPr>
          <w:p>
            <w:pPr>
              <w:spacing w:line="300" w:lineRule="exact"/>
              <w:jc w:val="center"/>
              <w:rPr>
                <w:color w:val="auto"/>
                <w:szCs w:val="21"/>
                <w:highlight w:val="none"/>
              </w:rPr>
            </w:pPr>
            <w:r>
              <w:rPr>
                <w:color w:val="auto"/>
                <w:szCs w:val="21"/>
                <w:highlight w:val="none"/>
              </w:rPr>
              <w:t>生活垃圾</w:t>
            </w:r>
          </w:p>
        </w:tc>
        <w:tc>
          <w:tcPr>
            <w:tcW w:w="1565" w:type="dxa"/>
            <w:vAlign w:val="center"/>
          </w:tcPr>
          <w:p>
            <w:pPr>
              <w:spacing w:line="300" w:lineRule="exact"/>
              <w:jc w:val="center"/>
              <w:rPr>
                <w:color w:val="auto"/>
                <w:szCs w:val="21"/>
                <w:highlight w:val="none"/>
              </w:rPr>
            </w:pPr>
            <w:r>
              <w:rPr>
                <w:rFonts w:hint="eastAsia"/>
                <w:color w:val="auto"/>
                <w:szCs w:val="21"/>
                <w:highlight w:val="none"/>
              </w:rPr>
              <w:t>0.</w:t>
            </w:r>
            <w:r>
              <w:rPr>
                <w:rFonts w:hint="eastAsia"/>
                <w:color w:val="auto"/>
                <w:szCs w:val="21"/>
                <w:highlight w:val="none"/>
                <w:lang w:val="en-US" w:eastAsia="zh-CN"/>
              </w:rPr>
              <w:t>280</w:t>
            </w:r>
            <w:r>
              <w:rPr>
                <w:rFonts w:hint="eastAsia"/>
                <w:color w:val="auto"/>
                <w:szCs w:val="21"/>
                <w:highlight w:val="none"/>
              </w:rPr>
              <w:t>t/a</w:t>
            </w:r>
          </w:p>
        </w:tc>
        <w:tc>
          <w:tcPr>
            <w:tcW w:w="2425" w:type="dxa"/>
            <w:vAlign w:val="center"/>
          </w:tcPr>
          <w:p>
            <w:pPr>
              <w:spacing w:line="300" w:lineRule="exact"/>
              <w:jc w:val="center"/>
              <w:rPr>
                <w:color w:val="auto"/>
                <w:szCs w:val="21"/>
                <w:highlight w:val="none"/>
              </w:rPr>
            </w:pPr>
            <w:r>
              <w:rPr>
                <w:color w:val="auto"/>
                <w:szCs w:val="21"/>
                <w:highlight w:val="none"/>
              </w:rPr>
              <w:t>送当地环卫部门指定地点统一处理</w:t>
            </w:r>
          </w:p>
        </w:tc>
        <w:tc>
          <w:tcPr>
            <w:tcW w:w="1086" w:type="dxa"/>
            <w:vMerge w:val="continue"/>
            <w:vAlign w:val="center"/>
          </w:tcPr>
          <w:p>
            <w:pPr>
              <w:spacing w:line="300" w:lineRule="exact"/>
              <w:jc w:val="center"/>
              <w:rPr>
                <w:color w:val="000000" w:themeColor="text1"/>
                <w:szCs w:val="21"/>
                <w:highlight w:val="none"/>
                <w14:textFill>
                  <w14:solidFill>
                    <w14:schemeClr w14:val="tx1"/>
                  </w14:solidFill>
                </w14:textFill>
              </w:rPr>
            </w:pPr>
          </w:p>
        </w:tc>
      </w:tr>
    </w:tbl>
    <w:p>
      <w:pPr>
        <w:tabs>
          <w:tab w:val="left" w:pos="1080"/>
        </w:tabs>
        <w:spacing w:line="480" w:lineRule="exact"/>
        <w:outlineLvl w:val="1"/>
        <w:rPr>
          <w:b/>
          <w:color w:val="000000" w:themeColor="text1"/>
          <w:sz w:val="24"/>
          <w:highlight w:val="none"/>
          <w14:textFill>
            <w14:solidFill>
              <w14:schemeClr w14:val="tx1"/>
            </w14:solidFill>
          </w14:textFill>
        </w:rPr>
      </w:pPr>
      <w:bookmarkStart w:id="164" w:name="_Toc8271"/>
      <w:r>
        <w:rPr>
          <w:rFonts w:hint="eastAsia"/>
          <w:b/>
          <w:sz w:val="24"/>
          <w:highlight w:val="none"/>
        </w:rPr>
        <w:t>3</w:t>
      </w:r>
      <w:r>
        <w:rPr>
          <w:b/>
          <w:sz w:val="24"/>
          <w:highlight w:val="none"/>
        </w:rPr>
        <w:t>.</w:t>
      </w:r>
      <w:r>
        <w:rPr>
          <w:rFonts w:hint="eastAsia"/>
          <w:b/>
          <w:sz w:val="24"/>
          <w:highlight w:val="none"/>
        </w:rPr>
        <w:t>3</w:t>
      </w:r>
      <w:r>
        <w:rPr>
          <w:b/>
          <w:sz w:val="24"/>
          <w:highlight w:val="none"/>
        </w:rPr>
        <w:t xml:space="preserve"> </w:t>
      </w:r>
      <w:r>
        <w:rPr>
          <w:rFonts w:hint="eastAsia"/>
          <w:b/>
          <w:sz w:val="24"/>
          <w:highlight w:val="none"/>
        </w:rPr>
        <w:t>现</w:t>
      </w:r>
      <w:r>
        <w:rPr>
          <w:rFonts w:hint="eastAsia"/>
          <w:b/>
          <w:color w:val="000000" w:themeColor="text1"/>
          <w:sz w:val="24"/>
          <w:highlight w:val="none"/>
          <w14:textFill>
            <w14:solidFill>
              <w14:schemeClr w14:val="tx1"/>
            </w14:solidFill>
          </w14:textFill>
        </w:rPr>
        <w:t>有的环境保护措施实施情况</w:t>
      </w:r>
      <w:bookmarkEnd w:id="164"/>
    </w:p>
    <w:p>
      <w:pPr>
        <w:shd w:val="clear" w:color="auto" w:fill="FFFFFF"/>
        <w:autoSpaceDE w:val="0"/>
        <w:autoSpaceDN w:val="0"/>
        <w:adjustRightInd w:val="0"/>
        <w:spacing w:line="480" w:lineRule="exact"/>
        <w:rPr>
          <w:b/>
          <w:bCs/>
          <w:color w:val="auto"/>
          <w:kern w:val="0"/>
          <w:sz w:val="24"/>
          <w:highlight w:val="none"/>
        </w:rPr>
      </w:pPr>
      <w:r>
        <w:rPr>
          <w:rFonts w:hint="eastAsia"/>
          <w:b/>
          <w:bCs/>
          <w:snapToGrid w:val="0"/>
          <w:color w:val="000000" w:themeColor="text1"/>
          <w:sz w:val="24"/>
          <w:highlight w:val="none"/>
          <w14:textFill>
            <w14:solidFill>
              <w14:schemeClr w14:val="tx1"/>
            </w14:solidFill>
          </w14:textFill>
        </w:rPr>
        <w:t>3</w:t>
      </w:r>
      <w:r>
        <w:rPr>
          <w:b/>
          <w:bCs/>
          <w:snapToGrid w:val="0"/>
          <w:color w:val="000000" w:themeColor="text1"/>
          <w:sz w:val="24"/>
          <w:highlight w:val="none"/>
          <w14:textFill>
            <w14:solidFill>
              <w14:schemeClr w14:val="tx1"/>
            </w14:solidFill>
          </w14:textFill>
        </w:rPr>
        <w:t>.</w:t>
      </w:r>
      <w:r>
        <w:rPr>
          <w:rFonts w:hint="eastAsia"/>
          <w:b/>
          <w:bCs/>
          <w:snapToGrid w:val="0"/>
          <w:color w:val="000000" w:themeColor="text1"/>
          <w:sz w:val="24"/>
          <w:highlight w:val="none"/>
          <w14:textFill>
            <w14:solidFill>
              <w14:schemeClr w14:val="tx1"/>
            </w14:solidFill>
          </w14:textFill>
        </w:rPr>
        <w:t>3</w:t>
      </w:r>
      <w:r>
        <w:rPr>
          <w:b/>
          <w:bCs/>
          <w:snapToGrid w:val="0"/>
          <w:color w:val="000000" w:themeColor="text1"/>
          <w:sz w:val="24"/>
          <w:highlight w:val="none"/>
          <w14:textFill>
            <w14:solidFill>
              <w14:schemeClr w14:val="tx1"/>
            </w14:solidFill>
          </w14:textFill>
        </w:rPr>
        <w:t>.1</w:t>
      </w:r>
      <w:r>
        <w:rPr>
          <w:rFonts w:hint="eastAsia"/>
          <w:b/>
          <w:bCs/>
          <w:snapToGrid w:val="0"/>
          <w:color w:val="000000" w:themeColor="text1"/>
          <w:sz w:val="24"/>
          <w:highlight w:val="none"/>
          <w14:textFill>
            <w14:solidFill>
              <w14:schemeClr w14:val="tx1"/>
            </w14:solidFill>
          </w14:textFill>
        </w:rPr>
        <w:t xml:space="preserve"> </w:t>
      </w:r>
      <w:r>
        <w:rPr>
          <w:rFonts w:hint="eastAsia"/>
          <w:b/>
          <w:bCs/>
          <w:snapToGrid w:val="0"/>
          <w:color w:val="auto"/>
          <w:sz w:val="24"/>
          <w:highlight w:val="none"/>
        </w:rPr>
        <w:t>施工期环境保护措施实施情况</w:t>
      </w:r>
    </w:p>
    <w:p>
      <w:pPr>
        <w:spacing w:line="480" w:lineRule="exact"/>
        <w:ind w:firstLine="480" w:firstLineChars="200"/>
        <w:rPr>
          <w:bCs/>
          <w:color w:val="auto"/>
          <w:sz w:val="24"/>
          <w:highlight w:val="none"/>
        </w:rPr>
      </w:pPr>
      <w:r>
        <w:rPr>
          <w:rFonts w:hint="eastAsia"/>
          <w:snapToGrid w:val="0"/>
          <w:color w:val="auto"/>
          <w:sz w:val="24"/>
          <w:highlight w:val="none"/>
        </w:rPr>
        <w:t>项目施工期于</w:t>
      </w:r>
      <w:r>
        <w:rPr>
          <w:rFonts w:hint="eastAsia"/>
          <w:snapToGrid w:val="0"/>
          <w:color w:val="auto"/>
          <w:sz w:val="24"/>
          <w:highlight w:val="none"/>
          <w:lang w:val="en-US" w:eastAsia="zh-CN"/>
        </w:rPr>
        <w:t>2006年10月</w:t>
      </w:r>
      <w:r>
        <w:rPr>
          <w:rFonts w:hint="eastAsia"/>
          <w:snapToGrid w:val="0"/>
          <w:color w:val="auto"/>
          <w:sz w:val="24"/>
          <w:highlight w:val="none"/>
        </w:rPr>
        <w:t>已经完成，201</w:t>
      </w:r>
      <w:r>
        <w:rPr>
          <w:rFonts w:hint="eastAsia"/>
          <w:snapToGrid w:val="0"/>
          <w:color w:val="auto"/>
          <w:sz w:val="24"/>
          <w:highlight w:val="none"/>
          <w:lang w:val="en-US" w:eastAsia="zh-CN"/>
        </w:rPr>
        <w:t>2</w:t>
      </w:r>
      <w:r>
        <w:rPr>
          <w:rFonts w:hint="eastAsia"/>
          <w:snapToGrid w:val="0"/>
          <w:color w:val="auto"/>
          <w:sz w:val="24"/>
          <w:highlight w:val="none"/>
        </w:rPr>
        <w:t>年</w:t>
      </w:r>
      <w:r>
        <w:rPr>
          <w:rFonts w:hint="eastAsia"/>
          <w:snapToGrid w:val="0"/>
          <w:color w:val="auto"/>
          <w:sz w:val="24"/>
          <w:highlight w:val="none"/>
          <w:lang w:val="en-US" w:eastAsia="zh-CN"/>
        </w:rPr>
        <w:t>8</w:t>
      </w:r>
      <w:r>
        <w:rPr>
          <w:rFonts w:hint="eastAsia"/>
          <w:snapToGrid w:val="0"/>
          <w:color w:val="auto"/>
          <w:sz w:val="24"/>
          <w:highlight w:val="none"/>
        </w:rPr>
        <w:t>月</w:t>
      </w:r>
      <w:r>
        <w:rPr>
          <w:rFonts w:hint="eastAsia"/>
          <w:snapToGrid w:val="0"/>
          <w:color w:val="auto"/>
          <w:sz w:val="24"/>
          <w:highlight w:val="none"/>
          <w:lang w:eastAsia="zh-CN"/>
        </w:rPr>
        <w:t>全部内容</w:t>
      </w:r>
      <w:r>
        <w:rPr>
          <w:rFonts w:hint="eastAsia"/>
          <w:snapToGrid w:val="0"/>
          <w:color w:val="auto"/>
          <w:sz w:val="24"/>
          <w:highlight w:val="none"/>
        </w:rPr>
        <w:t>验收合格。后续改造主要是按要求安装设置危废间</w:t>
      </w:r>
      <w:r>
        <w:rPr>
          <w:rFonts w:hint="eastAsia"/>
          <w:snapToGrid w:val="0"/>
          <w:color w:val="auto"/>
          <w:sz w:val="24"/>
          <w:highlight w:val="none"/>
          <w:lang w:eastAsia="zh-CN"/>
        </w:rPr>
        <w:t>、</w:t>
      </w:r>
      <w:r>
        <w:rPr>
          <w:rFonts w:hint="eastAsia"/>
          <w:snapToGrid w:val="0"/>
          <w:color w:val="auto"/>
          <w:sz w:val="24"/>
          <w:highlight w:val="none"/>
        </w:rPr>
        <w:t>监控设施等，工作量较小，施工期基本不产生环境影响。本次评价主要回顾其施工期环保措施的落实情况、</w:t>
      </w:r>
      <w:r>
        <w:rPr>
          <w:rFonts w:hint="eastAsia"/>
          <w:color w:val="auto"/>
          <w:sz w:val="24"/>
          <w:highlight w:val="none"/>
        </w:rPr>
        <w:t>调查、识别施工期是否遗留有环境问题，包括施工场地的污染源是否全部清除，施工场地整治和修复是否全面、完整和有效</w:t>
      </w:r>
      <w:r>
        <w:rPr>
          <w:rFonts w:hint="eastAsia"/>
          <w:snapToGrid w:val="0"/>
          <w:color w:val="auto"/>
          <w:sz w:val="24"/>
          <w:highlight w:val="none"/>
        </w:rPr>
        <w:t>。</w:t>
      </w:r>
    </w:p>
    <w:p>
      <w:pPr>
        <w:spacing w:line="480" w:lineRule="exact"/>
        <w:ind w:firstLine="480" w:firstLineChars="200"/>
        <w:rPr>
          <w:bCs/>
          <w:color w:val="auto"/>
          <w:sz w:val="24"/>
          <w:highlight w:val="none"/>
        </w:rPr>
      </w:pPr>
      <w:r>
        <w:rPr>
          <w:rFonts w:hint="eastAsia"/>
          <w:bCs/>
          <w:color w:val="auto"/>
          <w:sz w:val="24"/>
          <w:highlight w:val="none"/>
        </w:rPr>
        <w:t>（1）施工期大气环境保护措施</w:t>
      </w:r>
    </w:p>
    <w:p>
      <w:pPr>
        <w:spacing w:line="480" w:lineRule="exact"/>
        <w:ind w:firstLine="480" w:firstLineChars="200"/>
        <w:rPr>
          <w:bCs/>
          <w:color w:val="000000" w:themeColor="text1"/>
          <w:sz w:val="24"/>
          <w:highlight w:val="none"/>
          <w14:textFill>
            <w14:solidFill>
              <w14:schemeClr w14:val="tx1"/>
            </w14:solidFill>
          </w14:textFill>
        </w:rPr>
      </w:pPr>
      <w:r>
        <w:rPr>
          <w:rFonts w:hint="eastAsia"/>
          <w:bCs/>
          <w:color w:val="auto"/>
          <w:sz w:val="24"/>
          <w:highlight w:val="none"/>
        </w:rPr>
        <w:t>项目施工期间，大气污染物主要来自混凝土搅拌粉尘，料场和渣场粉尘，施工机械排放的燃油尾气及</w:t>
      </w:r>
      <w:r>
        <w:rPr>
          <w:rFonts w:hint="eastAsia"/>
          <w:bCs/>
          <w:color w:val="000000" w:themeColor="text1"/>
          <w:sz w:val="24"/>
          <w:highlight w:val="none"/>
          <w14:textFill>
            <w14:solidFill>
              <w14:schemeClr w14:val="tx1"/>
            </w14:solidFill>
          </w14:textFill>
        </w:rPr>
        <w:t>施工交通道路扬尘等，主要污染物有 SO</w:t>
      </w:r>
      <w:r>
        <w:rPr>
          <w:rFonts w:hint="eastAsia"/>
          <w:bCs/>
          <w:color w:val="000000" w:themeColor="text1"/>
          <w:sz w:val="24"/>
          <w:highlight w:val="none"/>
          <w:vertAlign w:val="subscript"/>
          <w14:textFill>
            <w14:solidFill>
              <w14:schemeClr w14:val="tx1"/>
            </w14:solidFill>
          </w14:textFill>
        </w:rPr>
        <w:t>2</w:t>
      </w:r>
      <w:r>
        <w:rPr>
          <w:rFonts w:hint="eastAsia"/>
          <w:bCs/>
          <w:color w:val="000000" w:themeColor="text1"/>
          <w:sz w:val="24"/>
          <w:highlight w:val="none"/>
          <w14:textFill>
            <w14:solidFill>
              <w14:schemeClr w14:val="tx1"/>
            </w14:solidFill>
          </w14:textFill>
        </w:rPr>
        <w:t>、NOx及粉尘。针对运输车辆、机械设备运行废气；混凝土搅拌粉尘以及道路扬尘等，建设单位釆取了严禁随地随处乱挖乱放、运输粉状施工材料的车辆加遮盖物、经常在作业区域洒水等大气污染防治措施。据调查，施工期间未发生大气污染投诉事件。</w:t>
      </w:r>
    </w:p>
    <w:p>
      <w:pPr>
        <w:spacing w:line="480" w:lineRule="exact"/>
        <w:ind w:firstLine="480" w:firstLineChars="200"/>
        <w:rPr>
          <w:bCs/>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（2）施工期水环境保护措施落实情况</w:t>
      </w:r>
    </w:p>
    <w:p>
      <w:pPr>
        <w:spacing w:line="480" w:lineRule="exact"/>
        <w:ind w:firstLine="480" w:firstLineChars="200"/>
        <w:rPr>
          <w:bCs/>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施工期主要的水污染源来自施工生产废水和施工人员的生活污水。生产废水主要为运输车辆冲洗废水、混凝土拌和系统冲洗废水、施工机械修配冲洗废水。生活污水主要来源于施工工人生活产生的污水等。以上废水回用于施工工序处理后清水回用，不外排。施工期间未发生水污染事件。</w:t>
      </w:r>
    </w:p>
    <w:p>
      <w:pPr>
        <w:spacing w:line="480" w:lineRule="exact"/>
        <w:ind w:firstLine="480" w:firstLineChars="200"/>
        <w:rPr>
          <w:bCs/>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（3）施工期声环境保护措施</w:t>
      </w:r>
    </w:p>
    <w:p>
      <w:pPr>
        <w:spacing w:line="480" w:lineRule="exact"/>
        <w:ind w:firstLine="480" w:firstLineChars="200"/>
        <w:rPr>
          <w:bCs/>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施工期噪声主要是施工机械噪声，会对施工操作人员构成一定影响。据调查，施工单位釆取了“合理安排施工作业时间、施工人员佩戴耳塞、施工场地安装临时挡板等噪声防治措施，施工期间未发生噪声扰民、噪声污染投诉事件”。</w:t>
      </w:r>
    </w:p>
    <w:p>
      <w:pPr>
        <w:spacing w:line="480" w:lineRule="exact"/>
        <w:ind w:firstLine="480" w:firstLineChars="200"/>
        <w:rPr>
          <w:bCs/>
          <w:sz w:val="24"/>
          <w:highlight w:val="none"/>
        </w:rPr>
      </w:pPr>
      <w:r>
        <w:rPr>
          <w:rFonts w:hint="eastAsia"/>
          <w:bCs/>
          <w:color w:val="000000" w:themeColor="text1"/>
          <w:sz w:val="24"/>
          <w:highlight w:val="none"/>
          <w14:textFill>
            <w14:solidFill>
              <w14:schemeClr w14:val="tx1"/>
            </w14:solidFill>
          </w14:textFill>
        </w:rPr>
        <w:t>（4）施工</w:t>
      </w:r>
      <w:r>
        <w:rPr>
          <w:rFonts w:hint="eastAsia"/>
          <w:bCs/>
          <w:sz w:val="24"/>
          <w:highlight w:val="none"/>
        </w:rPr>
        <w:t>期固体废物污染防治措施</w:t>
      </w:r>
    </w:p>
    <w:p>
      <w:pPr>
        <w:spacing w:line="480" w:lineRule="exact"/>
        <w:ind w:firstLine="480" w:firstLineChars="200"/>
        <w:rPr>
          <w:bCs/>
          <w:sz w:val="24"/>
          <w:highlight w:val="none"/>
        </w:rPr>
      </w:pPr>
      <w:r>
        <w:rPr>
          <w:rFonts w:hint="eastAsia"/>
          <w:bCs/>
          <w:sz w:val="24"/>
          <w:highlight w:val="none"/>
        </w:rPr>
        <w:t>据调查，施工期的生活垃圾由施工单位组织人员定期清运，未在作业区设置生活垃圾处置堆存点，避免了对区域生态造成不利影响。建设单位在施工完成后，对于作业区堆放的弃渣进行了及时清运处置。运至周边其它建设项目进行填方使用。</w:t>
      </w:r>
    </w:p>
    <w:p>
      <w:pPr>
        <w:spacing w:line="480" w:lineRule="exact"/>
        <w:ind w:firstLine="480" w:firstLineChars="200"/>
        <w:rPr>
          <w:bCs/>
          <w:color w:val="auto"/>
          <w:sz w:val="24"/>
          <w:highlight w:val="none"/>
        </w:rPr>
      </w:pPr>
      <w:r>
        <w:rPr>
          <w:bCs/>
          <w:color w:val="auto"/>
          <w:sz w:val="24"/>
          <w:highlight w:val="none"/>
        </w:rPr>
        <w:t>（</w:t>
      </w:r>
      <w:r>
        <w:rPr>
          <w:rFonts w:hint="eastAsia"/>
          <w:bCs/>
          <w:color w:val="auto"/>
          <w:sz w:val="24"/>
          <w:highlight w:val="none"/>
        </w:rPr>
        <w:t>5</w:t>
      </w:r>
      <w:r>
        <w:rPr>
          <w:bCs/>
          <w:color w:val="auto"/>
          <w:sz w:val="24"/>
          <w:highlight w:val="none"/>
        </w:rPr>
        <w:t>）施工期遗留环境问题</w:t>
      </w:r>
    </w:p>
    <w:p>
      <w:pPr>
        <w:spacing w:line="480" w:lineRule="exact"/>
        <w:ind w:firstLine="480" w:firstLineChars="200"/>
        <w:rPr>
          <w:color w:val="auto"/>
          <w:sz w:val="24"/>
          <w:highlight w:val="none"/>
        </w:rPr>
      </w:pP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 1 \* GB3</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①</w:t>
      </w:r>
      <w:r>
        <w:rPr>
          <w:color w:val="auto"/>
          <w:sz w:val="24"/>
          <w:highlight w:val="none"/>
        </w:rPr>
        <w:fldChar w:fldCharType="end"/>
      </w:r>
      <w:r>
        <w:rPr>
          <w:rFonts w:hint="eastAsia"/>
          <w:color w:val="auto"/>
          <w:sz w:val="24"/>
          <w:highlight w:val="none"/>
        </w:rPr>
        <w:t>施工场地的污染源部清除：根据现场勘查，在厂区周边及橡胶坝周边无土方、建筑垃圾等堆存，无施工设备存放，厂区内地面全部绿化、硬化或铺设透水砖，未发现施工场地污染源。</w:t>
      </w:r>
    </w:p>
    <w:p>
      <w:pPr>
        <w:spacing w:line="480" w:lineRule="exact"/>
        <w:ind w:firstLine="480" w:firstLineChars="200"/>
        <w:rPr>
          <w:rFonts w:hint="eastAsia"/>
          <w:bCs/>
          <w:color w:val="auto"/>
          <w:sz w:val="24"/>
          <w:highlight w:val="none"/>
        </w:rPr>
      </w:pP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 2 \* GB3</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②</w:t>
      </w:r>
      <w:r>
        <w:rPr>
          <w:color w:val="auto"/>
          <w:sz w:val="24"/>
          <w:highlight w:val="none"/>
        </w:rPr>
        <w:fldChar w:fldCharType="end"/>
      </w:r>
      <w:r>
        <w:rPr>
          <w:rFonts w:hint="eastAsia"/>
          <w:color w:val="auto"/>
          <w:sz w:val="24"/>
          <w:highlight w:val="none"/>
        </w:rPr>
        <w:t>施工场地整治和修复的全面、完整和有效：根据询问调查及现场勘查，项目的施工场地在现厂区内、橡胶坝、引水渠和排水渠南侧，未发现施工遗留痕迹。厂区内地面全部绿化、硬化或铺设透水砖；橡胶坝、引水渠和排水渠南侧现已全部进行绿化，引水渠外南侧铺设透水砖</w:t>
      </w:r>
      <w:r>
        <w:rPr>
          <w:rFonts w:hint="eastAsia"/>
          <w:bCs/>
          <w:color w:val="auto"/>
          <w:sz w:val="24"/>
          <w:highlight w:val="none"/>
        </w:rPr>
        <w:t>。对施工场地的治理和修复较全面，并有效防止了水土流失。</w:t>
      </w:r>
    </w:p>
    <w:p>
      <w:pPr>
        <w:spacing w:line="480" w:lineRule="exact"/>
        <w:rPr>
          <w:b/>
          <w:color w:val="auto"/>
          <w:sz w:val="24"/>
          <w:highlight w:val="none"/>
        </w:rPr>
      </w:pPr>
      <w:r>
        <w:rPr>
          <w:rFonts w:hint="eastAsia"/>
          <w:b/>
          <w:color w:val="auto"/>
          <w:sz w:val="24"/>
          <w:highlight w:val="none"/>
        </w:rPr>
        <w:t>3.3.2. 运营期环境保护措施实施情况</w:t>
      </w:r>
    </w:p>
    <w:p>
      <w:pPr>
        <w:spacing w:line="480" w:lineRule="exact"/>
        <w:ind w:firstLine="480" w:firstLineChars="200"/>
        <w:rPr>
          <w:bCs/>
          <w:color w:val="auto"/>
          <w:sz w:val="24"/>
          <w:highlight w:val="none"/>
        </w:rPr>
      </w:pPr>
      <w:r>
        <w:rPr>
          <w:rFonts w:hint="eastAsia"/>
          <w:bCs/>
          <w:color w:val="auto"/>
          <w:sz w:val="24"/>
          <w:highlight w:val="none"/>
        </w:rPr>
        <w:t>（1）运营期水环境保护措施</w:t>
      </w:r>
    </w:p>
    <w:p>
      <w:pPr>
        <w:spacing w:line="480" w:lineRule="exact"/>
        <w:ind w:firstLine="480" w:firstLineChars="200"/>
        <w:rPr>
          <w:bCs/>
          <w:color w:val="auto"/>
          <w:sz w:val="24"/>
          <w:highlight w:val="none"/>
        </w:rPr>
      </w:pPr>
      <w:r>
        <w:rPr>
          <w:rFonts w:hint="eastAsia"/>
          <w:bCs/>
          <w:color w:val="auto"/>
          <w:sz w:val="24"/>
          <w:highlight w:val="none"/>
        </w:rPr>
        <w:t>水电站建成投运后，</w:t>
      </w:r>
      <w:r>
        <w:rPr>
          <w:rFonts w:hint="eastAsia"/>
          <w:bCs/>
          <w:color w:val="auto"/>
          <w:sz w:val="24"/>
          <w:highlight w:val="none"/>
          <w:lang w:eastAsia="zh-CN"/>
        </w:rPr>
        <w:t>无生产废水排放，</w:t>
      </w:r>
      <w:r>
        <w:rPr>
          <w:rFonts w:hint="eastAsia"/>
          <w:bCs/>
          <w:color w:val="auto"/>
          <w:sz w:val="24"/>
          <w:highlight w:val="none"/>
        </w:rPr>
        <w:t>现状生活污水经化粪池处理后</w:t>
      </w:r>
      <w:r>
        <w:rPr>
          <w:rFonts w:hint="eastAsia"/>
          <w:bCs/>
          <w:color w:val="auto"/>
          <w:sz w:val="24"/>
          <w:highlight w:val="none"/>
          <w:lang w:eastAsia="zh-CN"/>
        </w:rPr>
        <w:t>由环卫部门定期清掏</w:t>
      </w:r>
      <w:r>
        <w:rPr>
          <w:rFonts w:hint="eastAsia"/>
          <w:bCs/>
          <w:color w:val="auto"/>
          <w:sz w:val="24"/>
          <w:highlight w:val="none"/>
        </w:rPr>
        <w:t>，不外排。</w:t>
      </w:r>
      <w:r>
        <w:rPr>
          <w:rFonts w:hint="eastAsia"/>
          <w:bCs/>
          <w:color w:val="auto"/>
          <w:sz w:val="24"/>
          <w:highlight w:val="none"/>
          <w:lang w:eastAsia="zh-CN"/>
        </w:rPr>
        <w:t>不会对</w:t>
      </w:r>
      <w:r>
        <w:rPr>
          <w:rFonts w:hint="eastAsia"/>
          <w:bCs/>
          <w:color w:val="auto"/>
          <w:sz w:val="24"/>
          <w:highlight w:val="none"/>
        </w:rPr>
        <w:t>水环境</w:t>
      </w:r>
      <w:r>
        <w:rPr>
          <w:rFonts w:hint="eastAsia"/>
          <w:bCs/>
          <w:color w:val="auto"/>
          <w:sz w:val="24"/>
          <w:highlight w:val="none"/>
          <w:lang w:eastAsia="zh-CN"/>
        </w:rPr>
        <w:t>造成影响</w:t>
      </w:r>
      <w:r>
        <w:rPr>
          <w:rFonts w:hint="eastAsia"/>
          <w:bCs/>
          <w:color w:val="auto"/>
          <w:sz w:val="24"/>
          <w:highlight w:val="none"/>
        </w:rPr>
        <w:t>。</w:t>
      </w:r>
    </w:p>
    <w:p>
      <w:pPr>
        <w:spacing w:line="480" w:lineRule="exact"/>
        <w:ind w:firstLine="480" w:firstLineChars="200"/>
        <w:rPr>
          <w:bCs/>
          <w:color w:val="auto"/>
          <w:sz w:val="24"/>
          <w:highlight w:val="none"/>
        </w:rPr>
      </w:pPr>
      <w:r>
        <w:rPr>
          <w:rFonts w:hint="eastAsia"/>
          <w:bCs/>
          <w:color w:val="auto"/>
          <w:sz w:val="24"/>
          <w:highlight w:val="none"/>
        </w:rPr>
        <w:t>（2）运营期大气环境保护措施</w:t>
      </w:r>
    </w:p>
    <w:p>
      <w:pPr>
        <w:spacing w:line="480" w:lineRule="exact"/>
        <w:ind w:firstLine="480" w:firstLineChars="200"/>
        <w:rPr>
          <w:rFonts w:hint="eastAsia" w:eastAsia="宋体"/>
          <w:bCs/>
          <w:color w:val="auto"/>
          <w:sz w:val="24"/>
          <w:highlight w:val="none"/>
          <w:lang w:eastAsia="zh-CN"/>
        </w:rPr>
      </w:pPr>
      <w:r>
        <w:rPr>
          <w:rFonts w:hint="eastAsia"/>
          <w:bCs/>
          <w:color w:val="auto"/>
          <w:sz w:val="24"/>
          <w:highlight w:val="none"/>
        </w:rPr>
        <w:t>水电站运行期没有生产性废气产生。</w:t>
      </w:r>
      <w:r>
        <w:rPr>
          <w:rFonts w:hint="eastAsia"/>
          <w:bCs/>
          <w:color w:val="auto"/>
          <w:sz w:val="24"/>
          <w:highlight w:val="none"/>
          <w:lang w:eastAsia="zh-CN"/>
        </w:rPr>
        <w:t>不会对周围大气环境产生影响。</w:t>
      </w:r>
    </w:p>
    <w:p>
      <w:pPr>
        <w:spacing w:line="480" w:lineRule="exact"/>
        <w:rPr>
          <w:bCs/>
          <w:color w:val="auto"/>
          <w:sz w:val="24"/>
          <w:highlight w:val="none"/>
        </w:rPr>
      </w:pPr>
      <w:r>
        <w:rPr>
          <w:rFonts w:hint="eastAsia"/>
          <w:bCs/>
          <w:color w:val="auto"/>
          <w:sz w:val="24"/>
          <w:highlight w:val="none"/>
        </w:rPr>
        <w:t xml:space="preserve">    （3）运营期声环境保护措施</w:t>
      </w:r>
    </w:p>
    <w:p>
      <w:pPr>
        <w:spacing w:line="480" w:lineRule="exact"/>
        <w:ind w:firstLine="480" w:firstLineChars="200"/>
        <w:rPr>
          <w:bCs/>
          <w:color w:val="auto"/>
          <w:sz w:val="24"/>
          <w:highlight w:val="none"/>
        </w:rPr>
      </w:pPr>
      <w:r>
        <w:rPr>
          <w:rFonts w:hint="eastAsia"/>
          <w:bCs/>
          <w:color w:val="auto"/>
          <w:sz w:val="24"/>
          <w:highlight w:val="none"/>
        </w:rPr>
        <w:t>水电站在运行过程中，噪声来源主要是发电机、水轮机、各类泵等生产设备产生的机械噪声，声级强度介于 65〜90dB (A)；实际运行过程中，本电站釆取了“机电设备基础减震，建筑物厂房隔声”等降噪措施，</w:t>
      </w:r>
      <w:r>
        <w:rPr>
          <w:rFonts w:hint="eastAsia"/>
          <w:bCs/>
          <w:color w:val="auto"/>
          <w:sz w:val="24"/>
          <w:highlight w:val="none"/>
          <w:lang w:eastAsia="zh-CN"/>
        </w:rPr>
        <w:t>周围</w:t>
      </w:r>
      <w:r>
        <w:rPr>
          <w:rFonts w:hint="eastAsia"/>
          <w:bCs/>
          <w:color w:val="auto"/>
          <w:sz w:val="24"/>
          <w:highlight w:val="none"/>
          <w:lang w:val="en-US" w:eastAsia="zh-CN"/>
        </w:rPr>
        <w:t>50m范围内</w:t>
      </w:r>
      <w:r>
        <w:rPr>
          <w:rFonts w:hint="eastAsia"/>
          <w:bCs/>
          <w:color w:val="auto"/>
          <w:sz w:val="24"/>
          <w:highlight w:val="none"/>
          <w:lang w:eastAsia="zh-CN"/>
        </w:rPr>
        <w:t>没有声环境保护目标，</w:t>
      </w:r>
      <w:r>
        <w:rPr>
          <w:rFonts w:hint="eastAsia"/>
          <w:bCs/>
          <w:color w:val="auto"/>
          <w:sz w:val="24"/>
          <w:highlight w:val="none"/>
        </w:rPr>
        <w:t>根据噪声现状监测结果可知，电站可以满足厂界噪声排放标准的要求。</w:t>
      </w:r>
    </w:p>
    <w:p>
      <w:pPr>
        <w:pStyle w:val="309"/>
        <w:rPr>
          <w:color w:val="auto"/>
          <w:highlight w:val="none"/>
        </w:rPr>
      </w:pPr>
      <w:r>
        <w:rPr>
          <w:rFonts w:hint="eastAsia"/>
          <w:color w:val="auto"/>
          <w:highlight w:val="none"/>
        </w:rPr>
        <w:t>（4）运营期固体废物治理措施</w:t>
      </w:r>
    </w:p>
    <w:p>
      <w:pPr>
        <w:pStyle w:val="309"/>
        <w:rPr>
          <w:rFonts w:cs="宋体"/>
          <w:color w:val="auto"/>
          <w:highlight w:val="none"/>
        </w:rPr>
      </w:pPr>
      <w:r>
        <w:rPr>
          <w:rFonts w:hint="eastAsia" w:cs="宋体"/>
          <w:color w:val="auto"/>
          <w:highlight w:val="none"/>
        </w:rPr>
        <w:t>生活垃圾处置情况：据现场调查，由于本项目生活垃圾产生较小，釆取垃圾桶集中收集后，交环卫部门进行处置，以避免对周围区域生态环境造成不利影响。</w:t>
      </w:r>
    </w:p>
    <w:p>
      <w:pPr>
        <w:pStyle w:val="309"/>
        <w:rPr>
          <w:rFonts w:cs="宋体"/>
          <w:color w:val="auto"/>
          <w:highlight w:val="none"/>
        </w:rPr>
      </w:pPr>
      <w:r>
        <w:rPr>
          <w:rFonts w:hint="eastAsia" w:cs="宋体"/>
          <w:color w:val="auto"/>
          <w:highlight w:val="none"/>
        </w:rPr>
        <w:t>格栅打捞垃圾：针对电站格柵打捞垃圾，本项目水电站已配备有相应的打捞工具。打捞的漂浮物运至垃圾房暂存，</w:t>
      </w:r>
      <w:r>
        <w:rPr>
          <w:rFonts w:hint="eastAsia" w:cs="宋体"/>
          <w:color w:val="auto"/>
          <w:highlight w:val="none"/>
          <w:lang w:eastAsia="zh-CN"/>
        </w:rPr>
        <w:t>定期由环卫部门清运处理</w:t>
      </w:r>
      <w:r>
        <w:rPr>
          <w:rFonts w:hint="eastAsia" w:cs="宋体"/>
          <w:color w:val="auto"/>
          <w:highlight w:val="none"/>
        </w:rPr>
        <w:t>。</w:t>
      </w:r>
    </w:p>
    <w:p>
      <w:pPr>
        <w:pStyle w:val="309"/>
        <w:rPr>
          <w:color w:val="auto"/>
          <w:highlight w:val="none"/>
        </w:rPr>
      </w:pPr>
      <w:r>
        <w:rPr>
          <w:rFonts w:hint="eastAsia"/>
          <w:color w:val="auto"/>
          <w:highlight w:val="none"/>
        </w:rPr>
        <w:t>（5）危险废物处置情况</w:t>
      </w:r>
    </w:p>
    <w:p>
      <w:pPr>
        <w:spacing w:line="480" w:lineRule="exact"/>
        <w:ind w:firstLine="480" w:firstLineChars="200"/>
        <w:rPr>
          <w:bCs/>
          <w:color w:val="auto"/>
          <w:sz w:val="24"/>
          <w:highlight w:val="none"/>
        </w:rPr>
      </w:pPr>
      <w:r>
        <w:rPr>
          <w:rFonts w:hint="eastAsia"/>
          <w:bCs/>
          <w:color w:val="auto"/>
          <w:sz w:val="24"/>
          <w:highlight w:val="none"/>
        </w:rPr>
        <w:t>根据现场调查，企业暂未针对机电设备维护过程产生的废机油建立危废暂存间，直接</w:t>
      </w:r>
      <w:r>
        <w:rPr>
          <w:bCs/>
          <w:color w:val="auto"/>
          <w:sz w:val="24"/>
          <w:highlight w:val="none"/>
        </w:rPr>
        <w:t>暂存于设备维修处，并</w:t>
      </w:r>
      <w:r>
        <w:rPr>
          <w:rFonts w:hint="eastAsia"/>
          <w:bCs/>
          <w:color w:val="auto"/>
          <w:sz w:val="24"/>
          <w:highlight w:val="none"/>
        </w:rPr>
        <w:t>未建立危险废物处置台账；</w:t>
      </w:r>
      <w:r>
        <w:rPr>
          <w:bCs/>
          <w:color w:val="auto"/>
          <w:sz w:val="24"/>
          <w:highlight w:val="none"/>
        </w:rPr>
        <w:t>建议企业</w:t>
      </w:r>
      <w:r>
        <w:rPr>
          <w:rFonts w:hint="eastAsia"/>
          <w:bCs/>
          <w:color w:val="auto"/>
          <w:sz w:val="24"/>
          <w:highlight w:val="none"/>
          <w:lang w:eastAsia="zh-CN"/>
        </w:rPr>
        <w:t>按照《危险废物贮存污染控制标准》（</w:t>
      </w:r>
      <w:r>
        <w:rPr>
          <w:rFonts w:hint="eastAsia"/>
          <w:bCs/>
          <w:color w:val="auto"/>
          <w:sz w:val="24"/>
          <w:highlight w:val="none"/>
          <w:lang w:val="en-US" w:eastAsia="zh-CN"/>
        </w:rPr>
        <w:t>GB18597-2023</w:t>
      </w:r>
      <w:r>
        <w:rPr>
          <w:rFonts w:hint="eastAsia"/>
          <w:bCs/>
          <w:color w:val="auto"/>
          <w:sz w:val="24"/>
          <w:highlight w:val="none"/>
          <w:lang w:eastAsia="zh-CN"/>
        </w:rPr>
        <w:t>）标准要求建设危废暂存间，与危废处置单位</w:t>
      </w:r>
      <w:r>
        <w:rPr>
          <w:rFonts w:hint="eastAsia"/>
          <w:bCs/>
          <w:color w:val="auto"/>
          <w:sz w:val="24"/>
          <w:highlight w:val="none"/>
        </w:rPr>
        <w:t>签订《危险废物处置协议》，</w:t>
      </w:r>
      <w:r>
        <w:rPr>
          <w:bCs/>
          <w:color w:val="auto"/>
          <w:sz w:val="24"/>
          <w:highlight w:val="none"/>
        </w:rPr>
        <w:t>委托有资质单位进行处理废</w:t>
      </w:r>
      <w:r>
        <w:rPr>
          <w:rFonts w:hint="eastAsia"/>
          <w:bCs/>
          <w:color w:val="auto"/>
          <w:sz w:val="24"/>
          <w:highlight w:val="none"/>
          <w:lang w:eastAsia="zh-CN"/>
        </w:rPr>
        <w:t>润滑</w:t>
      </w:r>
      <w:r>
        <w:rPr>
          <w:bCs/>
          <w:color w:val="auto"/>
          <w:sz w:val="24"/>
          <w:highlight w:val="none"/>
        </w:rPr>
        <w:t>油</w:t>
      </w:r>
      <w:r>
        <w:rPr>
          <w:rFonts w:hint="eastAsia"/>
          <w:bCs/>
          <w:color w:val="auto"/>
          <w:sz w:val="24"/>
          <w:highlight w:val="none"/>
          <w:lang w:eastAsia="zh-CN"/>
        </w:rPr>
        <w:t>、废油桶、含油废棉丝</w:t>
      </w:r>
      <w:r>
        <w:rPr>
          <w:rFonts w:hint="eastAsia"/>
          <w:bCs/>
          <w:color w:val="auto"/>
          <w:sz w:val="24"/>
          <w:highlight w:val="none"/>
        </w:rPr>
        <w:t>，并安照应</w:t>
      </w:r>
      <w:r>
        <w:rPr>
          <w:color w:val="auto"/>
          <w:sz w:val="24"/>
          <w:highlight w:val="none"/>
          <w:lang w:val="zh-CN"/>
        </w:rPr>
        <w:t>《危险废物贮存污染控制标准》（</w:t>
      </w:r>
      <w:r>
        <w:rPr>
          <w:color w:val="auto"/>
          <w:sz w:val="24"/>
          <w:highlight w:val="none"/>
        </w:rPr>
        <w:t>GB18597-20</w:t>
      </w:r>
      <w:r>
        <w:rPr>
          <w:rFonts w:hint="eastAsia"/>
          <w:color w:val="auto"/>
          <w:sz w:val="24"/>
          <w:highlight w:val="none"/>
          <w:lang w:val="en-US" w:eastAsia="zh-CN"/>
        </w:rPr>
        <w:t>23</w:t>
      </w:r>
      <w:r>
        <w:rPr>
          <w:color w:val="auto"/>
          <w:sz w:val="24"/>
          <w:highlight w:val="none"/>
          <w:lang w:val="zh-CN"/>
        </w:rPr>
        <w:t>）、</w:t>
      </w:r>
      <w:r>
        <w:rPr>
          <w:rFonts w:hint="eastAsia"/>
          <w:color w:val="auto"/>
          <w:sz w:val="24"/>
          <w:highlight w:val="none"/>
          <w:lang w:val="zh-CN"/>
        </w:rPr>
        <w:t>《排污许可证申请与核发技术规范 工业固体废物（试行）》（HJ1200-2021）的相关要求</w:t>
      </w:r>
      <w:r>
        <w:rPr>
          <w:rFonts w:hint="eastAsia"/>
          <w:bCs/>
          <w:color w:val="auto"/>
          <w:sz w:val="24"/>
          <w:highlight w:val="none"/>
        </w:rPr>
        <w:t>进行整改。</w:t>
      </w:r>
    </w:p>
    <w:p>
      <w:pPr>
        <w:spacing w:line="480" w:lineRule="exact"/>
        <w:rPr>
          <w:bCs/>
          <w:color w:val="auto"/>
          <w:sz w:val="24"/>
          <w:highlight w:val="none"/>
        </w:rPr>
      </w:pPr>
      <w:r>
        <w:rPr>
          <w:rFonts w:hint="eastAsia"/>
          <w:bCs/>
          <w:color w:val="auto"/>
          <w:sz w:val="24"/>
          <w:highlight w:val="none"/>
        </w:rPr>
        <w:t xml:space="preserve">    （6）水生生物保护措施</w:t>
      </w:r>
    </w:p>
    <w:p>
      <w:pPr>
        <w:spacing w:line="480" w:lineRule="exact"/>
        <w:ind w:firstLine="480" w:firstLineChars="200"/>
        <w:rPr>
          <w:bCs/>
          <w:color w:val="auto"/>
          <w:sz w:val="24"/>
          <w:highlight w:val="none"/>
        </w:rPr>
      </w:pPr>
      <w:r>
        <w:rPr>
          <w:rFonts w:hint="eastAsia"/>
          <w:bCs/>
          <w:color w:val="auto"/>
          <w:sz w:val="24"/>
          <w:highlight w:val="none"/>
        </w:rPr>
        <w:t>根据现场调查，区域内虽无国家、省级保护的鱼类和水生动物及产卵场，主要鱼类为一般鱼类，但项目建成运行已久，根据生态现状调查，项目生态系统已相对稳定。枯水期</w:t>
      </w:r>
      <w:r>
        <w:rPr>
          <w:rFonts w:hint="eastAsia"/>
          <w:bCs/>
          <w:color w:val="auto"/>
          <w:sz w:val="24"/>
          <w:highlight w:val="none"/>
          <w:lang w:eastAsia="zh-CN"/>
        </w:rPr>
        <w:t>电站不发电，橡胶坝放气不拦水，保持河道自然流量；输水期发电期间水流达</w:t>
      </w:r>
      <w:r>
        <w:rPr>
          <w:rFonts w:hint="eastAsia"/>
          <w:bCs/>
          <w:color w:val="auto"/>
          <w:sz w:val="24"/>
          <w:highlight w:val="none"/>
          <w:lang w:val="en-US" w:eastAsia="zh-CN"/>
        </w:rPr>
        <w:t>55.92m</w:t>
      </w:r>
      <w:r>
        <w:rPr>
          <w:rFonts w:hint="eastAsia"/>
          <w:bCs/>
          <w:color w:val="auto"/>
          <w:sz w:val="24"/>
          <w:highlight w:val="none"/>
          <w:vertAlign w:val="superscript"/>
          <w:lang w:val="en-US" w:eastAsia="zh-CN"/>
        </w:rPr>
        <w:t>3</w:t>
      </w:r>
      <w:r>
        <w:rPr>
          <w:rFonts w:hint="eastAsia"/>
          <w:bCs/>
          <w:color w:val="auto"/>
          <w:sz w:val="24"/>
          <w:highlight w:val="none"/>
          <w:lang w:val="en-US" w:eastAsia="zh-CN"/>
        </w:rPr>
        <w:t>/s以上，坝下至尾水口减水段</w:t>
      </w:r>
      <w:r>
        <w:rPr>
          <w:rFonts w:hint="eastAsia"/>
          <w:bCs/>
          <w:color w:val="auto"/>
          <w:sz w:val="24"/>
          <w:highlight w:val="none"/>
          <w:lang w:eastAsia="zh-CN"/>
        </w:rPr>
        <w:t>流量达</w:t>
      </w:r>
      <w:r>
        <w:rPr>
          <w:rFonts w:hint="eastAsia"/>
          <w:bCs/>
          <w:color w:val="auto"/>
          <w:sz w:val="24"/>
          <w:highlight w:val="none"/>
          <w:lang w:val="en-US" w:eastAsia="zh-CN"/>
        </w:rPr>
        <w:t>4.08m</w:t>
      </w:r>
      <w:r>
        <w:rPr>
          <w:rFonts w:hint="eastAsia"/>
          <w:bCs/>
          <w:color w:val="auto"/>
          <w:sz w:val="24"/>
          <w:highlight w:val="none"/>
          <w:vertAlign w:val="superscript"/>
          <w:lang w:val="en-US" w:eastAsia="zh-CN"/>
        </w:rPr>
        <w:t>3</w:t>
      </w:r>
      <w:r>
        <w:rPr>
          <w:rFonts w:hint="eastAsia"/>
          <w:bCs/>
          <w:color w:val="auto"/>
          <w:sz w:val="24"/>
          <w:highlight w:val="none"/>
          <w:lang w:val="en-US" w:eastAsia="zh-CN"/>
        </w:rPr>
        <w:t>/s，</w:t>
      </w:r>
      <w:r>
        <w:rPr>
          <w:rFonts w:hint="eastAsia"/>
          <w:bCs/>
          <w:color w:val="auto"/>
          <w:sz w:val="24"/>
          <w:highlight w:val="none"/>
          <w:lang w:eastAsia="zh-CN"/>
        </w:rPr>
        <w:t>超过最小</w:t>
      </w:r>
      <w:r>
        <w:rPr>
          <w:rFonts w:hint="eastAsia"/>
          <w:bCs/>
          <w:color w:val="auto"/>
          <w:sz w:val="24"/>
          <w:highlight w:val="none"/>
        </w:rPr>
        <w:t>生态流量</w:t>
      </w:r>
      <w:r>
        <w:rPr>
          <w:rFonts w:hint="eastAsia"/>
          <w:bCs/>
          <w:color w:val="auto"/>
          <w:sz w:val="24"/>
          <w:highlight w:val="none"/>
          <w:lang w:val="en-US" w:eastAsia="zh-CN"/>
        </w:rPr>
        <w:t>0.44m</w:t>
      </w:r>
      <w:r>
        <w:rPr>
          <w:rFonts w:hint="eastAsia"/>
          <w:bCs/>
          <w:color w:val="auto"/>
          <w:sz w:val="24"/>
          <w:highlight w:val="none"/>
          <w:vertAlign w:val="superscript"/>
          <w:lang w:val="en-US" w:eastAsia="zh-CN"/>
        </w:rPr>
        <w:t>3</w:t>
      </w:r>
      <w:r>
        <w:rPr>
          <w:rFonts w:hint="eastAsia"/>
          <w:bCs/>
          <w:color w:val="auto"/>
          <w:sz w:val="24"/>
          <w:highlight w:val="none"/>
          <w:lang w:val="en-US" w:eastAsia="zh-CN"/>
        </w:rPr>
        <w:t>/s</w:t>
      </w:r>
      <w:r>
        <w:rPr>
          <w:rFonts w:hint="eastAsia"/>
          <w:bCs/>
          <w:color w:val="auto"/>
          <w:sz w:val="24"/>
          <w:highlight w:val="none"/>
          <w:lang w:eastAsia="zh-CN"/>
        </w:rPr>
        <w:t>要求，不会对水生生物造成影响。</w:t>
      </w:r>
    </w:p>
    <w:p>
      <w:pPr>
        <w:spacing w:line="480" w:lineRule="exact"/>
        <w:rPr>
          <w:bCs/>
          <w:color w:val="auto"/>
          <w:sz w:val="24"/>
          <w:highlight w:val="none"/>
        </w:rPr>
      </w:pPr>
      <w:r>
        <w:rPr>
          <w:rFonts w:hint="eastAsia"/>
          <w:bCs/>
          <w:color w:val="auto"/>
          <w:sz w:val="24"/>
          <w:highlight w:val="none"/>
        </w:rPr>
        <w:t xml:space="preserve">    （7）植物保护措施</w:t>
      </w:r>
    </w:p>
    <w:p>
      <w:pPr>
        <w:spacing w:line="480" w:lineRule="exact"/>
        <w:ind w:firstLine="480" w:firstLineChars="200"/>
        <w:rPr>
          <w:bCs/>
          <w:color w:val="auto"/>
          <w:sz w:val="24"/>
          <w:highlight w:val="none"/>
        </w:rPr>
      </w:pPr>
      <w:r>
        <w:rPr>
          <w:rFonts w:hint="eastAsia"/>
          <w:bCs/>
          <w:color w:val="auto"/>
          <w:sz w:val="24"/>
          <w:highlight w:val="none"/>
        </w:rPr>
        <w:t>对拦水橡胶坝上、下游和沿河两岸的树木进行实地勘察，未发现需保护或移栽的树木。</w:t>
      </w:r>
    </w:p>
    <w:p>
      <w:pPr>
        <w:spacing w:line="480" w:lineRule="exact"/>
        <w:rPr>
          <w:bCs/>
          <w:color w:val="auto"/>
          <w:sz w:val="24"/>
          <w:highlight w:val="none"/>
        </w:rPr>
      </w:pPr>
      <w:r>
        <w:rPr>
          <w:rFonts w:hint="eastAsia"/>
          <w:bCs/>
          <w:color w:val="auto"/>
          <w:sz w:val="24"/>
          <w:highlight w:val="none"/>
        </w:rPr>
        <w:t xml:space="preserve">   （8）陆生</w:t>
      </w:r>
      <w:r>
        <w:rPr>
          <w:rFonts w:hint="eastAsia"/>
          <w:bCs/>
          <w:color w:val="auto"/>
          <w:sz w:val="24"/>
          <w:highlight w:val="none"/>
          <w:lang w:eastAsia="zh-CN"/>
        </w:rPr>
        <w:t>生态</w:t>
      </w:r>
      <w:r>
        <w:rPr>
          <w:rFonts w:hint="eastAsia"/>
          <w:bCs/>
          <w:color w:val="auto"/>
          <w:sz w:val="24"/>
          <w:highlight w:val="none"/>
        </w:rPr>
        <w:t>保护措施</w:t>
      </w:r>
    </w:p>
    <w:p>
      <w:pPr>
        <w:spacing w:line="480" w:lineRule="exact"/>
        <w:ind w:firstLine="480" w:firstLineChars="200"/>
        <w:rPr>
          <w:bCs/>
          <w:color w:val="auto"/>
          <w:sz w:val="24"/>
          <w:highlight w:val="none"/>
        </w:rPr>
      </w:pPr>
      <w:r>
        <w:rPr>
          <w:rFonts w:hint="eastAsia"/>
          <w:bCs/>
          <w:color w:val="auto"/>
          <w:sz w:val="24"/>
          <w:highlight w:val="none"/>
        </w:rPr>
        <w:t>本项目不涉及鸟类、爬行类、兽类等动物的集中栖息地，不涉及珍稀保护的陆生动物。</w:t>
      </w:r>
    </w:p>
    <w:p>
      <w:pPr>
        <w:spacing w:line="480" w:lineRule="exact"/>
        <w:ind w:firstLine="480" w:firstLineChars="200"/>
        <w:rPr>
          <w:rFonts w:hint="eastAsia" w:eastAsia="宋体"/>
          <w:bCs/>
          <w:color w:val="auto"/>
          <w:sz w:val="24"/>
          <w:highlight w:val="none"/>
          <w:lang w:eastAsia="zh-CN"/>
        </w:rPr>
      </w:pPr>
      <w:r>
        <w:rPr>
          <w:rFonts w:hint="eastAsia"/>
          <w:color w:val="auto"/>
          <w:sz w:val="24"/>
          <w:highlight w:val="none"/>
        </w:rPr>
        <w:t>厂区内地面全部绿化、硬化或铺设透水砖；橡胶坝、引水渠和排水渠南侧现已全部进行绿化</w:t>
      </w:r>
      <w:r>
        <w:rPr>
          <w:rFonts w:hint="eastAsia"/>
          <w:bCs/>
          <w:color w:val="auto"/>
          <w:sz w:val="24"/>
          <w:highlight w:val="none"/>
        </w:rPr>
        <w:t>。对施工场地的治理和修复较全面，并有效防止了水土流失。</w:t>
      </w:r>
      <w:r>
        <w:rPr>
          <w:rFonts w:hint="eastAsia"/>
          <w:bCs/>
          <w:color w:val="auto"/>
          <w:sz w:val="24"/>
          <w:highlight w:val="none"/>
          <w:lang w:eastAsia="zh-CN"/>
        </w:rPr>
        <w:t>对陆生生态不会造成影响。</w:t>
      </w:r>
    </w:p>
    <w:p>
      <w:pPr>
        <w:tabs>
          <w:tab w:val="left" w:pos="1080"/>
        </w:tabs>
        <w:spacing w:line="480" w:lineRule="exact"/>
        <w:outlineLvl w:val="1"/>
        <w:rPr>
          <w:b/>
          <w:color w:val="auto"/>
          <w:sz w:val="24"/>
          <w:highlight w:val="none"/>
        </w:rPr>
      </w:pPr>
      <w:bookmarkStart w:id="165" w:name="_Toc14072"/>
      <w:r>
        <w:rPr>
          <w:rFonts w:hint="eastAsia"/>
          <w:b/>
          <w:color w:val="auto"/>
          <w:sz w:val="24"/>
          <w:highlight w:val="none"/>
        </w:rPr>
        <w:t>3</w:t>
      </w:r>
      <w:r>
        <w:rPr>
          <w:b/>
          <w:color w:val="auto"/>
          <w:sz w:val="24"/>
          <w:highlight w:val="none"/>
        </w:rPr>
        <w:t>.</w:t>
      </w:r>
      <w:r>
        <w:rPr>
          <w:rFonts w:hint="eastAsia"/>
          <w:b/>
          <w:color w:val="auto"/>
          <w:sz w:val="24"/>
          <w:highlight w:val="none"/>
        </w:rPr>
        <w:t>4</w:t>
      </w:r>
      <w:r>
        <w:rPr>
          <w:b/>
          <w:color w:val="auto"/>
          <w:sz w:val="24"/>
          <w:highlight w:val="none"/>
        </w:rPr>
        <w:t xml:space="preserve"> </w:t>
      </w:r>
      <w:r>
        <w:rPr>
          <w:rFonts w:hint="eastAsia"/>
          <w:b/>
          <w:color w:val="auto"/>
          <w:sz w:val="24"/>
          <w:highlight w:val="none"/>
        </w:rPr>
        <w:t xml:space="preserve"> 现有环境问题及整改建议</w:t>
      </w:r>
      <w:bookmarkEnd w:id="165"/>
    </w:p>
    <w:p>
      <w:pPr>
        <w:spacing w:line="480" w:lineRule="exact"/>
        <w:rPr>
          <w:b/>
          <w:color w:val="auto"/>
          <w:sz w:val="24"/>
          <w:highlight w:val="none"/>
        </w:rPr>
      </w:pPr>
      <w:r>
        <w:rPr>
          <w:rFonts w:hint="eastAsia"/>
          <w:b/>
          <w:color w:val="auto"/>
          <w:sz w:val="24"/>
          <w:highlight w:val="none"/>
        </w:rPr>
        <w:t>3.4.1. 现有问题</w:t>
      </w:r>
    </w:p>
    <w:p>
      <w:pPr>
        <w:spacing w:line="480" w:lineRule="exact"/>
        <w:ind w:firstLine="480" w:firstLineChars="200"/>
        <w:rPr>
          <w:bCs/>
          <w:color w:val="auto"/>
          <w:sz w:val="24"/>
          <w:highlight w:val="none"/>
        </w:rPr>
      </w:pPr>
      <w:r>
        <w:rPr>
          <w:rFonts w:hint="eastAsia"/>
          <w:bCs/>
          <w:color w:val="auto"/>
          <w:sz w:val="24"/>
          <w:highlight w:val="none"/>
        </w:rPr>
        <w:t>根据前文以及结合相关环保要求，结合现状监测结果，本项目水电站现存主要环保问题如下：</w:t>
      </w:r>
    </w:p>
    <w:p>
      <w:pPr>
        <w:spacing w:line="480" w:lineRule="exact"/>
        <w:ind w:firstLine="480" w:firstLineChars="200"/>
        <w:rPr>
          <w:bCs/>
          <w:color w:val="auto"/>
          <w:sz w:val="24"/>
          <w:highlight w:val="none"/>
        </w:rPr>
      </w:pPr>
      <w:r>
        <w:rPr>
          <w:rFonts w:hint="eastAsia"/>
          <w:bCs/>
          <w:color w:val="auto"/>
          <w:sz w:val="24"/>
          <w:highlight w:val="none"/>
        </w:rPr>
        <w:t>（1）企业暂未针对机械设备维护过程产生的废</w:t>
      </w:r>
      <w:r>
        <w:rPr>
          <w:rFonts w:hint="eastAsia"/>
          <w:bCs/>
          <w:color w:val="auto"/>
          <w:sz w:val="24"/>
          <w:highlight w:val="none"/>
          <w:lang w:eastAsia="zh-CN"/>
        </w:rPr>
        <w:t>润滑</w:t>
      </w:r>
      <w:r>
        <w:rPr>
          <w:rFonts w:hint="eastAsia"/>
          <w:bCs/>
          <w:color w:val="auto"/>
          <w:sz w:val="24"/>
          <w:highlight w:val="none"/>
        </w:rPr>
        <w:t>油设置危险废物暂存间，暂未建立危险废物处置台账，暂未签订《危险废物处置协议书》；</w:t>
      </w:r>
    </w:p>
    <w:p>
      <w:pPr>
        <w:spacing w:line="480" w:lineRule="exact"/>
        <w:rPr>
          <w:bCs/>
          <w:color w:val="auto"/>
          <w:sz w:val="24"/>
          <w:highlight w:val="none"/>
        </w:rPr>
      </w:pPr>
      <w:r>
        <w:rPr>
          <w:rFonts w:hint="eastAsia"/>
          <w:bCs/>
          <w:color w:val="auto"/>
          <w:sz w:val="24"/>
          <w:highlight w:val="none"/>
        </w:rPr>
        <w:t xml:space="preserve">    （2）尚未建立起完善的环境监督管理体系；</w:t>
      </w:r>
    </w:p>
    <w:p>
      <w:pPr>
        <w:spacing w:line="480" w:lineRule="exact"/>
        <w:rPr>
          <w:bCs/>
          <w:color w:val="auto"/>
          <w:sz w:val="24"/>
          <w:highlight w:val="none"/>
        </w:rPr>
      </w:pPr>
      <w:r>
        <w:rPr>
          <w:rFonts w:hint="eastAsia"/>
          <w:bCs/>
          <w:color w:val="auto"/>
          <w:sz w:val="24"/>
          <w:highlight w:val="none"/>
        </w:rPr>
        <w:t xml:space="preserve">    （3）尚未制定环境风险应急预案；</w:t>
      </w:r>
    </w:p>
    <w:p>
      <w:pPr>
        <w:spacing w:line="480" w:lineRule="exact"/>
        <w:ind w:firstLine="480"/>
        <w:rPr>
          <w:bCs/>
          <w:color w:val="auto"/>
          <w:sz w:val="24"/>
          <w:highlight w:val="none"/>
        </w:rPr>
      </w:pPr>
      <w:r>
        <w:rPr>
          <w:rFonts w:hint="eastAsia"/>
          <w:bCs/>
          <w:color w:val="auto"/>
          <w:sz w:val="24"/>
          <w:highlight w:val="none"/>
        </w:rPr>
        <w:t>（4）</w:t>
      </w:r>
      <w:r>
        <w:rPr>
          <w:rFonts w:hint="eastAsia" w:ascii="宋体" w:hAnsi="宋体" w:cs="宋体"/>
          <w:bCs/>
          <w:color w:val="auto"/>
          <w:sz w:val="24"/>
          <w:highlight w:val="none"/>
        </w:rPr>
        <w:t>一般固废储存间应加强管理</w:t>
      </w:r>
      <w:r>
        <w:rPr>
          <w:rFonts w:hint="eastAsia"/>
          <w:bCs/>
          <w:color w:val="auto"/>
          <w:sz w:val="24"/>
          <w:highlight w:val="none"/>
        </w:rPr>
        <w:t>。</w:t>
      </w:r>
    </w:p>
    <w:p>
      <w:pPr>
        <w:spacing w:line="480" w:lineRule="exact"/>
        <w:rPr>
          <w:b/>
          <w:color w:val="auto"/>
          <w:sz w:val="24"/>
          <w:highlight w:val="none"/>
        </w:rPr>
      </w:pPr>
      <w:r>
        <w:rPr>
          <w:rFonts w:hint="eastAsia"/>
          <w:b/>
          <w:color w:val="auto"/>
          <w:sz w:val="24"/>
          <w:highlight w:val="none"/>
        </w:rPr>
        <w:t>3.4.2. 整改建议</w:t>
      </w:r>
    </w:p>
    <w:p>
      <w:pPr>
        <w:spacing w:line="480" w:lineRule="exact"/>
        <w:ind w:firstLine="480" w:firstLineChars="200"/>
        <w:rPr>
          <w:bCs/>
          <w:color w:val="auto"/>
          <w:sz w:val="24"/>
          <w:highlight w:val="none"/>
        </w:rPr>
      </w:pPr>
      <w:r>
        <w:rPr>
          <w:rFonts w:hint="eastAsia"/>
          <w:bCs/>
          <w:color w:val="auto"/>
          <w:sz w:val="24"/>
          <w:highlight w:val="none"/>
        </w:rPr>
        <w:t>（1）水电站</w:t>
      </w:r>
      <w:r>
        <w:rPr>
          <w:bCs/>
          <w:color w:val="auto"/>
          <w:sz w:val="24"/>
          <w:highlight w:val="none"/>
        </w:rPr>
        <w:t>建设</w:t>
      </w:r>
      <w:r>
        <w:rPr>
          <w:rFonts w:hint="eastAsia"/>
          <w:bCs/>
          <w:color w:val="auto"/>
          <w:sz w:val="24"/>
          <w:highlight w:val="none"/>
        </w:rPr>
        <w:t>危废间面积为</w:t>
      </w:r>
      <w:r>
        <w:rPr>
          <w:rFonts w:hint="eastAsia"/>
          <w:bCs/>
          <w:color w:val="auto"/>
          <w:sz w:val="24"/>
          <w:highlight w:val="none"/>
          <w:lang w:val="en-US" w:eastAsia="zh-CN"/>
        </w:rPr>
        <w:t>6</w:t>
      </w:r>
      <w:r>
        <w:rPr>
          <w:rFonts w:hint="eastAsia"/>
          <w:bCs/>
          <w:color w:val="auto"/>
          <w:sz w:val="24"/>
          <w:highlight w:val="none"/>
        </w:rPr>
        <w:t>m</w:t>
      </w:r>
      <w:r>
        <w:rPr>
          <w:bCs/>
          <w:color w:val="auto"/>
          <w:sz w:val="24"/>
          <w:highlight w:val="none"/>
          <w:vertAlign w:val="superscript"/>
        </w:rPr>
        <w:t>2</w:t>
      </w:r>
      <w:r>
        <w:rPr>
          <w:bCs/>
          <w:color w:val="auto"/>
          <w:sz w:val="24"/>
          <w:highlight w:val="none"/>
        </w:rPr>
        <w:t>。</w:t>
      </w:r>
    </w:p>
    <w:p>
      <w:pPr>
        <w:spacing w:line="480" w:lineRule="exact"/>
        <w:ind w:left="0" w:leftChars="0" w:firstLine="0" w:firstLineChars="0"/>
        <w:rPr>
          <w:bCs/>
          <w:color w:val="auto"/>
          <w:sz w:val="24"/>
          <w:highlight w:val="none"/>
        </w:rPr>
      </w:pPr>
      <w:r>
        <w:rPr>
          <w:rFonts w:hint="eastAsia"/>
          <w:bCs/>
          <w:color w:val="auto"/>
          <w:sz w:val="24"/>
          <w:highlight w:val="none"/>
        </w:rPr>
        <w:t>建立危险废物处置台账，将危险废物</w:t>
      </w:r>
      <w:r>
        <w:rPr>
          <w:rFonts w:hint="eastAsia"/>
          <w:bCs/>
          <w:color w:val="auto"/>
          <w:sz w:val="24"/>
          <w:highlight w:val="none"/>
          <w:lang w:eastAsia="zh-CN"/>
        </w:rPr>
        <w:t>交有</w:t>
      </w:r>
      <w:r>
        <w:rPr>
          <w:rFonts w:hint="eastAsia"/>
          <w:bCs/>
          <w:color w:val="auto"/>
          <w:sz w:val="24"/>
          <w:highlight w:val="none"/>
        </w:rPr>
        <w:t>资质单位安全处置。</w:t>
      </w:r>
    </w:p>
    <w:p>
      <w:pPr>
        <w:spacing w:line="480" w:lineRule="exact"/>
        <w:ind w:firstLine="480" w:firstLineChars="200"/>
        <w:rPr>
          <w:bCs/>
          <w:color w:val="auto"/>
          <w:sz w:val="24"/>
          <w:highlight w:val="none"/>
        </w:rPr>
      </w:pPr>
      <w:r>
        <w:rPr>
          <w:rFonts w:hint="eastAsia"/>
          <w:bCs/>
          <w:color w:val="auto"/>
          <w:sz w:val="24"/>
          <w:highlight w:val="none"/>
        </w:rPr>
        <w:t>（</w:t>
      </w:r>
      <w:r>
        <w:rPr>
          <w:rFonts w:hint="eastAsia"/>
          <w:bCs/>
          <w:color w:val="auto"/>
          <w:sz w:val="24"/>
          <w:highlight w:val="none"/>
          <w:lang w:val="en-US" w:eastAsia="zh-CN"/>
        </w:rPr>
        <w:t>2</w:t>
      </w:r>
      <w:r>
        <w:rPr>
          <w:rFonts w:hint="eastAsia"/>
          <w:bCs/>
          <w:color w:val="auto"/>
          <w:sz w:val="24"/>
          <w:highlight w:val="none"/>
        </w:rPr>
        <w:t>）建立完善的环境监督管理体系，负责工程运行期的环境保护工作。</w:t>
      </w:r>
    </w:p>
    <w:p>
      <w:pPr>
        <w:spacing w:line="480" w:lineRule="exact"/>
        <w:ind w:firstLine="480" w:firstLineChars="200"/>
        <w:rPr>
          <w:bCs/>
          <w:color w:val="auto"/>
          <w:sz w:val="24"/>
          <w:highlight w:val="none"/>
        </w:rPr>
      </w:pPr>
      <w:r>
        <w:rPr>
          <w:rFonts w:hint="eastAsia"/>
          <w:bCs/>
          <w:color w:val="auto"/>
          <w:sz w:val="24"/>
          <w:highlight w:val="none"/>
        </w:rPr>
        <w:fldChar w:fldCharType="begin"/>
      </w:r>
      <w:r>
        <w:rPr>
          <w:rFonts w:hint="eastAsia"/>
          <w:bCs/>
          <w:color w:val="auto"/>
          <w:sz w:val="24"/>
          <w:highlight w:val="none"/>
        </w:rPr>
        <w:instrText xml:space="preserve"> = 1 \* GB3 \* MERGEFORMAT </w:instrText>
      </w:r>
      <w:r>
        <w:rPr>
          <w:rFonts w:hint="eastAsia"/>
          <w:bCs/>
          <w:color w:val="auto"/>
          <w:sz w:val="24"/>
          <w:highlight w:val="none"/>
        </w:rPr>
        <w:fldChar w:fldCharType="separate"/>
      </w:r>
      <w:r>
        <w:rPr>
          <w:color w:val="auto"/>
          <w:highlight w:val="none"/>
        </w:rPr>
        <w:t>①</w:t>
      </w:r>
      <w:r>
        <w:rPr>
          <w:rFonts w:hint="eastAsia"/>
          <w:bCs/>
          <w:color w:val="auto"/>
          <w:sz w:val="24"/>
          <w:highlight w:val="none"/>
        </w:rPr>
        <w:fldChar w:fldCharType="end"/>
      </w:r>
      <w:r>
        <w:rPr>
          <w:rFonts w:hint="eastAsia"/>
          <w:bCs/>
          <w:color w:val="auto"/>
          <w:sz w:val="24"/>
          <w:highlight w:val="none"/>
        </w:rPr>
        <w:t>管理制度</w:t>
      </w:r>
    </w:p>
    <w:p>
      <w:pPr>
        <w:spacing w:line="480" w:lineRule="exact"/>
        <w:ind w:firstLine="480" w:firstLineChars="200"/>
        <w:rPr>
          <w:bCs/>
          <w:color w:val="auto"/>
          <w:sz w:val="24"/>
          <w:highlight w:val="none"/>
        </w:rPr>
      </w:pPr>
      <w:r>
        <w:rPr>
          <w:rFonts w:hint="eastAsia"/>
          <w:bCs/>
          <w:color w:val="auto"/>
          <w:sz w:val="24"/>
          <w:highlight w:val="none"/>
        </w:rPr>
        <w:t>按照环境主管部门规定的危险废物规范化管理模板，制定《环境因素识别与</w:t>
      </w:r>
    </w:p>
    <w:p>
      <w:pPr>
        <w:spacing w:line="480" w:lineRule="exact"/>
        <w:rPr>
          <w:bCs/>
          <w:sz w:val="24"/>
          <w:highlight w:val="none"/>
        </w:rPr>
      </w:pPr>
      <w:r>
        <w:rPr>
          <w:rFonts w:hint="eastAsia"/>
          <w:bCs/>
          <w:color w:val="auto"/>
          <w:sz w:val="24"/>
          <w:highlight w:val="none"/>
        </w:rPr>
        <w:t>评价管理制度》、《环境绩效测量与监测管理制度》、《环境考核管</w:t>
      </w:r>
      <w:r>
        <w:rPr>
          <w:rFonts w:hint="eastAsia"/>
          <w:bCs/>
          <w:sz w:val="24"/>
          <w:highlight w:val="none"/>
        </w:rPr>
        <w:t>理制度》、《“三废”及噪声管理制度》、《环境保护朝制度》、《危险废物管理制度》、《生活垃圾处理管理制度》、《油品管理规定》等相关制度。</w:t>
      </w:r>
    </w:p>
    <w:p>
      <w:pPr>
        <w:spacing w:line="480" w:lineRule="exact"/>
        <w:ind w:firstLine="480" w:firstLineChars="200"/>
        <w:rPr>
          <w:bCs/>
          <w:sz w:val="24"/>
          <w:highlight w:val="none"/>
        </w:rPr>
      </w:pPr>
      <w:r>
        <w:rPr>
          <w:rFonts w:hint="eastAsia"/>
          <w:bCs/>
          <w:sz w:val="24"/>
          <w:highlight w:val="none"/>
        </w:rPr>
        <w:fldChar w:fldCharType="begin"/>
      </w:r>
      <w:r>
        <w:rPr>
          <w:rFonts w:hint="eastAsia"/>
          <w:bCs/>
          <w:sz w:val="24"/>
          <w:highlight w:val="none"/>
        </w:rPr>
        <w:instrText xml:space="preserve"> = 2 \* GB3 \* MERGEFORMAT </w:instrText>
      </w:r>
      <w:r>
        <w:rPr>
          <w:rFonts w:hint="eastAsia"/>
          <w:bCs/>
          <w:sz w:val="24"/>
          <w:highlight w:val="none"/>
        </w:rPr>
        <w:fldChar w:fldCharType="separate"/>
      </w:r>
      <w:r>
        <w:rPr>
          <w:highlight w:val="none"/>
        </w:rPr>
        <w:t>②</w:t>
      </w:r>
      <w:r>
        <w:rPr>
          <w:rFonts w:hint="eastAsia"/>
          <w:bCs/>
          <w:sz w:val="24"/>
          <w:highlight w:val="none"/>
        </w:rPr>
        <w:fldChar w:fldCharType="end"/>
      </w:r>
      <w:r>
        <w:rPr>
          <w:rFonts w:hint="eastAsia"/>
          <w:bCs/>
          <w:sz w:val="24"/>
          <w:highlight w:val="none"/>
        </w:rPr>
        <w:t>健全危险废物警示标识牌</w:t>
      </w:r>
    </w:p>
    <w:p>
      <w:pPr>
        <w:spacing w:line="480" w:lineRule="exact"/>
        <w:ind w:firstLine="480" w:firstLineChars="200"/>
        <w:rPr>
          <w:bCs/>
          <w:sz w:val="24"/>
          <w:highlight w:val="none"/>
        </w:rPr>
      </w:pPr>
      <w:r>
        <w:rPr>
          <w:rFonts w:hint="eastAsia"/>
          <w:bCs/>
          <w:sz w:val="24"/>
          <w:highlight w:val="none"/>
        </w:rPr>
        <w:t>编制《垃圾收集转移流程图》、《危险废物(废油)产生环节流程图》、《危险废物(固废)产生环节流程图》、《油抹布收集转移流程图》、《油品使用流程图》。电站垃圾、废油、固废、</w:t>
      </w:r>
      <w:r>
        <w:rPr>
          <w:rFonts w:hint="eastAsia"/>
          <w:bCs/>
          <w:sz w:val="24"/>
          <w:highlight w:val="none"/>
          <w:lang w:eastAsia="zh-CN"/>
        </w:rPr>
        <w:t>含</w:t>
      </w:r>
      <w:r>
        <w:rPr>
          <w:rFonts w:hint="eastAsia"/>
          <w:bCs/>
          <w:sz w:val="24"/>
          <w:highlight w:val="none"/>
        </w:rPr>
        <w:t>油</w:t>
      </w:r>
      <w:r>
        <w:rPr>
          <w:rFonts w:hint="eastAsia"/>
          <w:bCs/>
          <w:sz w:val="24"/>
          <w:highlight w:val="none"/>
          <w:lang w:eastAsia="zh-CN"/>
        </w:rPr>
        <w:t>废棉丝</w:t>
      </w:r>
      <w:r>
        <w:rPr>
          <w:rFonts w:hint="eastAsia"/>
          <w:bCs/>
          <w:sz w:val="24"/>
          <w:highlight w:val="none"/>
        </w:rPr>
        <w:t>的产生、收集严格按照流程图规定执行。</w:t>
      </w:r>
      <w:r>
        <w:rPr>
          <w:rFonts w:hint="eastAsia"/>
          <w:bCs/>
          <w:color w:val="auto"/>
          <w:sz w:val="24"/>
          <w:highlight w:val="none"/>
          <w:lang w:eastAsia="zh-CN"/>
        </w:rPr>
        <w:t>按照</w:t>
      </w:r>
      <w:r>
        <w:rPr>
          <w:rFonts w:hint="eastAsia"/>
          <w:bCs/>
          <w:color w:val="auto"/>
          <w:sz w:val="24"/>
          <w:highlight w:val="none"/>
        </w:rPr>
        <w:t>规范订做各类标示牌：</w:t>
      </w:r>
      <w:r>
        <w:rPr>
          <w:rFonts w:hint="eastAsia"/>
          <w:bCs/>
          <w:sz w:val="24"/>
          <w:highlight w:val="none"/>
        </w:rPr>
        <w:t>包括危险废物产生点警示识别标示牌、危险废物贮存警示识别标示牌、危险废物分类识别标示牌、危险废物标示牌。对危险废物的名称、类别、危害特性进行说明，制定贮存负责人和应急负责人。</w:t>
      </w:r>
    </w:p>
    <w:p>
      <w:pPr>
        <w:spacing w:line="480" w:lineRule="exact"/>
        <w:rPr>
          <w:bCs/>
          <w:sz w:val="24"/>
          <w:highlight w:val="none"/>
        </w:rPr>
      </w:pPr>
      <w:r>
        <w:rPr>
          <w:rFonts w:hint="eastAsia"/>
          <w:bCs/>
          <w:sz w:val="24"/>
          <w:highlight w:val="none"/>
        </w:rPr>
        <w:t xml:space="preserve">    </w:t>
      </w:r>
      <w:r>
        <w:rPr>
          <w:rFonts w:hint="eastAsia"/>
          <w:bCs/>
          <w:sz w:val="24"/>
          <w:highlight w:val="none"/>
        </w:rPr>
        <w:fldChar w:fldCharType="begin"/>
      </w:r>
      <w:r>
        <w:rPr>
          <w:rFonts w:hint="eastAsia"/>
          <w:bCs/>
          <w:sz w:val="24"/>
          <w:highlight w:val="none"/>
        </w:rPr>
        <w:instrText xml:space="preserve"> = 3 \* GB3 \* MERGEFORMAT </w:instrText>
      </w:r>
      <w:r>
        <w:rPr>
          <w:rFonts w:hint="eastAsia"/>
          <w:bCs/>
          <w:sz w:val="24"/>
          <w:highlight w:val="none"/>
        </w:rPr>
        <w:fldChar w:fldCharType="separate"/>
      </w:r>
      <w:r>
        <w:rPr>
          <w:highlight w:val="none"/>
        </w:rPr>
        <w:t>③</w:t>
      </w:r>
      <w:r>
        <w:rPr>
          <w:rFonts w:hint="eastAsia"/>
          <w:bCs/>
          <w:sz w:val="24"/>
          <w:highlight w:val="none"/>
        </w:rPr>
        <w:fldChar w:fldCharType="end"/>
      </w:r>
      <w:r>
        <w:rPr>
          <w:rFonts w:hint="eastAsia"/>
          <w:bCs/>
          <w:sz w:val="24"/>
          <w:highlight w:val="none"/>
        </w:rPr>
        <w:t>制定危险废物管理计划</w:t>
      </w:r>
    </w:p>
    <w:p>
      <w:pPr>
        <w:spacing w:line="480" w:lineRule="exact"/>
        <w:ind w:firstLine="480" w:firstLineChars="200"/>
        <w:rPr>
          <w:bCs/>
          <w:sz w:val="24"/>
          <w:highlight w:val="none"/>
        </w:rPr>
      </w:pPr>
      <w:r>
        <w:rPr>
          <w:rFonts w:hint="eastAsia"/>
          <w:bCs/>
          <w:sz w:val="24"/>
          <w:highlight w:val="none"/>
        </w:rPr>
        <w:t>制定危险废物管理计划，并向生态环境主管部门报备。</w:t>
      </w:r>
    </w:p>
    <w:p>
      <w:pPr>
        <w:spacing w:line="480" w:lineRule="exact"/>
        <w:ind w:firstLine="480" w:firstLineChars="200"/>
        <w:rPr>
          <w:bCs/>
          <w:sz w:val="24"/>
          <w:highlight w:val="none"/>
        </w:rPr>
      </w:pPr>
      <w:r>
        <w:rPr>
          <w:rFonts w:hint="eastAsia"/>
          <w:bCs/>
          <w:sz w:val="24"/>
          <w:highlight w:val="none"/>
        </w:rPr>
        <w:fldChar w:fldCharType="begin"/>
      </w:r>
      <w:r>
        <w:rPr>
          <w:rFonts w:hint="eastAsia"/>
          <w:bCs/>
          <w:sz w:val="24"/>
          <w:highlight w:val="none"/>
        </w:rPr>
        <w:instrText xml:space="preserve"> = 4 \* GB3 \* MERGEFORMAT </w:instrText>
      </w:r>
      <w:r>
        <w:rPr>
          <w:rFonts w:hint="eastAsia"/>
          <w:bCs/>
          <w:sz w:val="24"/>
          <w:highlight w:val="none"/>
        </w:rPr>
        <w:fldChar w:fldCharType="separate"/>
      </w:r>
      <w:r>
        <w:rPr>
          <w:highlight w:val="none"/>
        </w:rPr>
        <w:t>④</w:t>
      </w:r>
      <w:r>
        <w:rPr>
          <w:rFonts w:hint="eastAsia"/>
          <w:bCs/>
          <w:sz w:val="24"/>
          <w:highlight w:val="none"/>
        </w:rPr>
        <w:fldChar w:fldCharType="end"/>
      </w:r>
      <w:r>
        <w:rPr>
          <w:rFonts w:hint="eastAsia"/>
          <w:bCs/>
          <w:sz w:val="24"/>
          <w:highlight w:val="none"/>
        </w:rPr>
        <w:t>完善危险废物管理记录台账</w:t>
      </w:r>
    </w:p>
    <w:p>
      <w:pPr>
        <w:spacing w:line="480" w:lineRule="exact"/>
        <w:ind w:firstLine="480" w:firstLineChars="200"/>
        <w:rPr>
          <w:bCs/>
          <w:sz w:val="24"/>
          <w:highlight w:val="none"/>
        </w:rPr>
      </w:pPr>
      <w:r>
        <w:rPr>
          <w:rFonts w:hint="eastAsia"/>
          <w:bCs/>
          <w:sz w:val="24"/>
          <w:highlight w:val="none"/>
        </w:rPr>
        <w:t>按规范要求编制危废台账记录，危废的产生、收集、转移严格按照台账记录对顶认真登记，并对台账记录定期进行检查。</w:t>
      </w:r>
    </w:p>
    <w:p>
      <w:pPr>
        <w:spacing w:line="480" w:lineRule="exact"/>
        <w:ind w:firstLine="480" w:firstLineChars="200"/>
        <w:rPr>
          <w:bCs/>
          <w:sz w:val="24"/>
          <w:highlight w:val="none"/>
        </w:rPr>
      </w:pPr>
      <w:r>
        <w:rPr>
          <w:rFonts w:hint="eastAsia"/>
          <w:bCs/>
          <w:sz w:val="24"/>
          <w:highlight w:val="none"/>
        </w:rPr>
        <w:fldChar w:fldCharType="begin"/>
      </w:r>
      <w:r>
        <w:rPr>
          <w:rFonts w:hint="eastAsia"/>
          <w:bCs/>
          <w:sz w:val="24"/>
          <w:highlight w:val="none"/>
        </w:rPr>
        <w:instrText xml:space="preserve"> = 5 \* GB3 \* MERGEFORMAT </w:instrText>
      </w:r>
      <w:r>
        <w:rPr>
          <w:rFonts w:hint="eastAsia"/>
          <w:bCs/>
          <w:sz w:val="24"/>
          <w:highlight w:val="none"/>
        </w:rPr>
        <w:fldChar w:fldCharType="separate"/>
      </w:r>
      <w:r>
        <w:rPr>
          <w:highlight w:val="none"/>
        </w:rPr>
        <w:t>⑤</w:t>
      </w:r>
      <w:r>
        <w:rPr>
          <w:rFonts w:hint="eastAsia"/>
          <w:bCs/>
          <w:sz w:val="24"/>
          <w:highlight w:val="none"/>
        </w:rPr>
        <w:fldChar w:fldCharType="end"/>
      </w:r>
      <w:r>
        <w:rPr>
          <w:rFonts w:hint="eastAsia"/>
          <w:bCs/>
          <w:sz w:val="24"/>
          <w:highlight w:val="none"/>
        </w:rPr>
        <w:t>依法转移处置危险废物</w:t>
      </w:r>
    </w:p>
    <w:p>
      <w:pPr>
        <w:spacing w:line="480" w:lineRule="exact"/>
        <w:ind w:firstLine="480" w:firstLineChars="200"/>
        <w:rPr>
          <w:bCs/>
          <w:sz w:val="24"/>
          <w:highlight w:val="none"/>
        </w:rPr>
      </w:pPr>
      <w:r>
        <w:rPr>
          <w:rFonts w:hint="eastAsia"/>
          <w:bCs/>
          <w:sz w:val="24"/>
          <w:highlight w:val="none"/>
        </w:rPr>
        <w:t>与有资质单位签订《危险废物处置协议书》，危险固废交由其统一进行处置。</w:t>
      </w:r>
    </w:p>
    <w:p>
      <w:pPr>
        <w:spacing w:line="480" w:lineRule="exact"/>
        <w:ind w:firstLine="480" w:firstLineChars="200"/>
        <w:rPr>
          <w:bCs/>
          <w:sz w:val="24"/>
          <w:highlight w:val="none"/>
        </w:rPr>
      </w:pPr>
      <w:r>
        <w:rPr>
          <w:rFonts w:hint="eastAsia"/>
          <w:bCs/>
          <w:sz w:val="24"/>
          <w:highlight w:val="none"/>
        </w:rPr>
        <w:fldChar w:fldCharType="begin"/>
      </w:r>
      <w:r>
        <w:rPr>
          <w:rFonts w:hint="eastAsia"/>
          <w:bCs/>
          <w:sz w:val="24"/>
          <w:highlight w:val="none"/>
        </w:rPr>
        <w:instrText xml:space="preserve"> = 6 \* GB3 \* MERGEFORMAT </w:instrText>
      </w:r>
      <w:r>
        <w:rPr>
          <w:rFonts w:hint="eastAsia"/>
          <w:bCs/>
          <w:sz w:val="24"/>
          <w:highlight w:val="none"/>
        </w:rPr>
        <w:fldChar w:fldCharType="separate"/>
      </w:r>
      <w:r>
        <w:rPr>
          <w:highlight w:val="none"/>
        </w:rPr>
        <w:t>⑥</w:t>
      </w:r>
      <w:r>
        <w:rPr>
          <w:rFonts w:hint="eastAsia"/>
          <w:bCs/>
          <w:sz w:val="24"/>
          <w:highlight w:val="none"/>
        </w:rPr>
        <w:fldChar w:fldCharType="end"/>
      </w:r>
      <w:r>
        <w:rPr>
          <w:rFonts w:hint="eastAsia"/>
          <w:bCs/>
          <w:sz w:val="24"/>
          <w:highlight w:val="none"/>
        </w:rPr>
        <w:t>进一步环境管理要求与建议</w:t>
      </w:r>
    </w:p>
    <w:p>
      <w:pPr>
        <w:spacing w:line="480" w:lineRule="exact"/>
        <w:ind w:firstLine="480" w:firstLineChars="200"/>
        <w:rPr>
          <w:bCs/>
          <w:sz w:val="24"/>
          <w:highlight w:val="none"/>
        </w:rPr>
      </w:pPr>
      <w:r>
        <w:rPr>
          <w:rFonts w:hint="eastAsia"/>
          <w:bCs/>
          <w:sz w:val="24"/>
          <w:highlight w:val="none"/>
        </w:rPr>
        <w:t>开展环境污染防治业务培训，定期开展环保法律法规、污染防治措施、水保相关知识培训，制定全年环保培训计划。</w:t>
      </w:r>
    </w:p>
    <w:p>
      <w:pPr>
        <w:spacing w:line="480" w:lineRule="exact"/>
        <w:ind w:firstLine="480" w:firstLineChars="200"/>
        <w:rPr>
          <w:bCs/>
          <w:sz w:val="24"/>
          <w:highlight w:val="none"/>
        </w:rPr>
      </w:pPr>
      <w:r>
        <w:rPr>
          <w:rFonts w:hint="eastAsia"/>
          <w:bCs/>
          <w:sz w:val="24"/>
          <w:highlight w:val="none"/>
        </w:rPr>
        <w:t>应按生态环境管理部门及《排污单位自行监测技术指南总则》的要求，实施环境监测计划，并做好监测记录和台账记录。</w:t>
      </w:r>
    </w:p>
    <w:p>
      <w:pPr>
        <w:spacing w:line="480" w:lineRule="exact"/>
        <w:ind w:firstLine="480" w:firstLineChars="200"/>
        <w:rPr>
          <w:bCs/>
          <w:color w:val="auto"/>
          <w:sz w:val="24"/>
          <w:highlight w:val="none"/>
        </w:rPr>
      </w:pPr>
      <w:r>
        <w:rPr>
          <w:rFonts w:hint="eastAsia"/>
          <w:bCs/>
          <w:sz w:val="24"/>
          <w:highlight w:val="none"/>
        </w:rPr>
        <w:t>进一步完善环境管理制度，进一步提高全体员工的环境保护意识，完善对生产</w:t>
      </w:r>
      <w:r>
        <w:rPr>
          <w:rFonts w:hint="eastAsia"/>
          <w:bCs/>
          <w:color w:val="auto"/>
          <w:sz w:val="24"/>
          <w:highlight w:val="none"/>
        </w:rPr>
        <w:t>废气、废水、噪声、固体废物（生活垃圾、一般工业固体废物、危险废物）管理调整、生态流量及环境监测的环境管理台账记录（电子版+纸质版）。</w:t>
      </w:r>
    </w:p>
    <w:p>
      <w:pPr>
        <w:spacing w:line="480" w:lineRule="exact"/>
        <w:ind w:firstLine="480" w:firstLineChars="200"/>
        <w:rPr>
          <w:rFonts w:hint="eastAsia"/>
          <w:bCs/>
          <w:color w:val="auto"/>
          <w:sz w:val="24"/>
          <w:highlight w:val="none"/>
          <w:lang w:val="en-US" w:eastAsia="zh-CN"/>
        </w:rPr>
      </w:pPr>
      <w:r>
        <w:rPr>
          <w:rFonts w:hint="eastAsia"/>
          <w:bCs/>
          <w:color w:val="auto"/>
          <w:sz w:val="24"/>
          <w:highlight w:val="none"/>
        </w:rPr>
        <w:t>制定环境风险应急预案，并定期进行应急演练，加强日常环境风险管理，确保项目环境风险降至最低。针对机油泄漏、水库溃坝等风险情况，编制合理的环境风险应急预案，确保事故发生时，有相应的应急措施，不会对下游地区产生明显的影响</w:t>
      </w:r>
      <w:r>
        <w:rPr>
          <w:rFonts w:hint="eastAsia"/>
          <w:bCs/>
          <w:color w:val="auto"/>
          <w:sz w:val="24"/>
          <w:highlight w:val="none"/>
          <w:lang w:eastAsia="zh-CN"/>
        </w:rPr>
        <w:t>。</w:t>
      </w:r>
    </w:p>
    <w:p>
      <w:pPr>
        <w:rPr>
          <w:rFonts w:hint="eastAsia"/>
          <w:bCs/>
          <w:color w:val="auto"/>
          <w:sz w:val="24"/>
          <w:highlight w:val="none"/>
          <w:lang w:val="en-US" w:eastAsia="zh-CN"/>
        </w:rPr>
      </w:pPr>
      <w:r>
        <w:rPr>
          <w:rFonts w:hint="eastAsia"/>
          <w:bCs/>
          <w:color w:val="auto"/>
          <w:sz w:val="24"/>
          <w:highlight w:val="none"/>
          <w:lang w:val="en-US" w:eastAsia="zh-CN"/>
        </w:rPr>
        <w:br w:type="page"/>
      </w:r>
    </w:p>
    <w:p>
      <w:pPr>
        <w:spacing w:before="156" w:beforeLines="50" w:after="156" w:afterLines="50" w:line="480" w:lineRule="exact"/>
        <w:outlineLvl w:val="0"/>
        <w:rPr>
          <w:b/>
          <w:sz w:val="24"/>
          <w:highlight w:val="none"/>
        </w:rPr>
      </w:pPr>
      <w:bookmarkStart w:id="166" w:name="_Toc2009"/>
      <w:bookmarkStart w:id="167" w:name="_Toc18113"/>
      <w:bookmarkStart w:id="168" w:name="_Toc10267"/>
      <w:r>
        <w:rPr>
          <w:rFonts w:hint="eastAsia"/>
          <w:b/>
          <w:sz w:val="24"/>
          <w:highlight w:val="none"/>
        </w:rPr>
        <w:t>4</w:t>
      </w:r>
      <w:r>
        <w:rPr>
          <w:b/>
          <w:sz w:val="24"/>
          <w:highlight w:val="none"/>
        </w:rPr>
        <w:t xml:space="preserve"> </w:t>
      </w:r>
      <w:r>
        <w:rPr>
          <w:rFonts w:hint="eastAsia"/>
          <w:b/>
          <w:sz w:val="24"/>
          <w:highlight w:val="none"/>
        </w:rPr>
        <w:t>区域</w:t>
      </w:r>
      <w:r>
        <w:rPr>
          <w:b/>
          <w:sz w:val="24"/>
          <w:highlight w:val="none"/>
        </w:rPr>
        <w:t>环境</w:t>
      </w:r>
      <w:bookmarkEnd w:id="166"/>
      <w:bookmarkEnd w:id="167"/>
      <w:r>
        <w:rPr>
          <w:rFonts w:hint="eastAsia"/>
          <w:b/>
          <w:sz w:val="24"/>
          <w:highlight w:val="none"/>
        </w:rPr>
        <w:t>概况</w:t>
      </w:r>
      <w:bookmarkEnd w:id="168"/>
    </w:p>
    <w:p>
      <w:pPr>
        <w:spacing w:line="480" w:lineRule="exact"/>
        <w:outlineLvl w:val="1"/>
        <w:rPr>
          <w:b/>
          <w:snapToGrid w:val="0"/>
          <w:kern w:val="0"/>
          <w:sz w:val="24"/>
          <w:highlight w:val="none"/>
        </w:rPr>
      </w:pPr>
      <w:bookmarkStart w:id="169" w:name="_Toc2248"/>
      <w:bookmarkStart w:id="170" w:name="_Toc108256336"/>
      <w:bookmarkStart w:id="171" w:name="_Toc108250290"/>
      <w:bookmarkStart w:id="172" w:name="_Toc122771886"/>
      <w:bookmarkStart w:id="173" w:name="_Toc108256161"/>
      <w:bookmarkStart w:id="174" w:name="_Toc108256293"/>
      <w:bookmarkStart w:id="175" w:name="_Toc138391558"/>
      <w:bookmarkStart w:id="176" w:name="_Toc208392650"/>
      <w:r>
        <w:rPr>
          <w:rFonts w:hint="eastAsia"/>
          <w:b/>
          <w:snapToGrid w:val="0"/>
          <w:kern w:val="0"/>
          <w:sz w:val="24"/>
          <w:highlight w:val="none"/>
        </w:rPr>
        <w:t>4</w:t>
      </w:r>
      <w:r>
        <w:rPr>
          <w:b/>
          <w:snapToGrid w:val="0"/>
          <w:kern w:val="0"/>
          <w:sz w:val="24"/>
          <w:highlight w:val="none"/>
        </w:rPr>
        <w:t xml:space="preserve">.1 </w:t>
      </w:r>
      <w:r>
        <w:rPr>
          <w:rFonts w:hint="eastAsia"/>
          <w:b/>
          <w:snapToGrid w:val="0"/>
          <w:kern w:val="0"/>
          <w:sz w:val="24"/>
          <w:highlight w:val="none"/>
        </w:rPr>
        <w:t>流域环境现状</w:t>
      </w:r>
      <w:bookmarkEnd w:id="169"/>
    </w:p>
    <w:p>
      <w:pPr>
        <w:autoSpaceDE w:val="0"/>
        <w:autoSpaceDN w:val="0"/>
        <w:adjustRightInd w:val="0"/>
        <w:spacing w:line="480" w:lineRule="exact"/>
        <w:rPr>
          <w:b/>
          <w:sz w:val="24"/>
          <w:highlight w:val="none"/>
          <w:lang w:val="zh-CN"/>
        </w:rPr>
      </w:pPr>
      <w:r>
        <w:rPr>
          <w:rFonts w:hint="eastAsia"/>
          <w:b/>
          <w:sz w:val="24"/>
          <w:highlight w:val="none"/>
        </w:rPr>
        <w:t>4</w:t>
      </w:r>
      <w:r>
        <w:rPr>
          <w:rFonts w:hint="eastAsia"/>
          <w:b/>
          <w:sz w:val="24"/>
          <w:highlight w:val="none"/>
          <w:lang w:val="zh-CN"/>
        </w:rPr>
        <w:t>.1.1 黎河</w:t>
      </w:r>
    </w:p>
    <w:p>
      <w:pPr>
        <w:autoSpaceDE w:val="0"/>
        <w:autoSpaceDN w:val="0"/>
        <w:adjustRightInd w:val="0"/>
        <w:spacing w:line="480" w:lineRule="exact"/>
        <w:ind w:firstLine="480"/>
        <w:rPr>
          <w:sz w:val="24"/>
          <w:highlight w:val="none"/>
          <w:lang w:val="zh-CN"/>
        </w:rPr>
      </w:pPr>
      <w:r>
        <w:rPr>
          <w:rFonts w:hint="eastAsia"/>
          <w:sz w:val="24"/>
          <w:highlight w:val="none"/>
          <w:lang w:val="zh-CN"/>
        </w:rPr>
        <w:t>本项目引水为“引滦入津工程”，由黎河入天津于桥水库。黎河发源于河北省迁西县与遵化市交界处的燕山山脉丘陵区，属于海河流域，潮白、蓟运河水系。自东北向西南流经河北省遵化市建明、黄台口，经遵化市城南、东滩村、前毛庄、王各庄至天津市蓟县西龙虎峪附近与沙河汇流后入于桥水库，其中有大小支流23条，流域面积</w:t>
      </w:r>
      <w:r>
        <w:rPr>
          <w:sz w:val="24"/>
          <w:highlight w:val="none"/>
          <w:lang w:val="zh-CN"/>
        </w:rPr>
        <w:t>560km</w:t>
      </w:r>
      <w:r>
        <w:rPr>
          <w:sz w:val="24"/>
          <w:highlight w:val="none"/>
          <w:vertAlign w:val="superscript"/>
          <w:lang w:val="zh-CN"/>
        </w:rPr>
        <w:t>2</w:t>
      </w:r>
      <w:r>
        <w:rPr>
          <w:rFonts w:hint="eastAsia"/>
          <w:sz w:val="24"/>
          <w:highlight w:val="none"/>
          <w:lang w:val="zh-CN"/>
        </w:rPr>
        <w:t>，河道全长</w:t>
      </w:r>
      <w:r>
        <w:rPr>
          <w:sz w:val="24"/>
          <w:highlight w:val="none"/>
          <w:lang w:val="zh-CN"/>
        </w:rPr>
        <w:t>76km</w:t>
      </w:r>
      <w:r>
        <w:rPr>
          <w:rFonts w:hint="eastAsia"/>
          <w:sz w:val="24"/>
          <w:highlight w:val="none"/>
          <w:lang w:val="zh-CN"/>
        </w:rPr>
        <w:t>。径流过程集中在夏、秋两季，洪水特征为峰大、量小、持续时间短、洪峰陡涨陡落，冬、春季河道基本断流，为典型的山区季节性河流。</w:t>
      </w:r>
    </w:p>
    <w:p>
      <w:pPr>
        <w:autoSpaceDE w:val="0"/>
        <w:autoSpaceDN w:val="0"/>
        <w:adjustRightInd w:val="0"/>
        <w:spacing w:line="480" w:lineRule="exact"/>
        <w:ind w:firstLine="480"/>
        <w:rPr>
          <w:sz w:val="24"/>
          <w:highlight w:val="none"/>
          <w:lang w:val="zh-CN"/>
        </w:rPr>
      </w:pPr>
      <w:r>
        <w:rPr>
          <w:rFonts w:hint="eastAsia"/>
          <w:sz w:val="24"/>
          <w:highlight w:val="none"/>
          <w:lang w:val="zh-CN"/>
        </w:rPr>
        <w:t>黎河原为天然行洪河道，1983年“引滦入津工程”实施后，现为输水兼河道，输水干线长57.6km，为降低水流速，及水位落差，在输水干线建有跌水坝94座。</w:t>
      </w:r>
    </w:p>
    <w:p>
      <w:pPr>
        <w:autoSpaceDE w:val="0"/>
        <w:autoSpaceDN w:val="0"/>
        <w:adjustRightInd w:val="0"/>
        <w:spacing w:line="480" w:lineRule="exact"/>
        <w:rPr>
          <w:b/>
          <w:bCs/>
          <w:kern w:val="0"/>
          <w:sz w:val="24"/>
          <w:highlight w:val="none"/>
        </w:rPr>
      </w:pPr>
      <w:r>
        <w:rPr>
          <w:rFonts w:hint="eastAsia"/>
          <w:b/>
          <w:bCs/>
          <w:kern w:val="0"/>
          <w:sz w:val="24"/>
          <w:highlight w:val="none"/>
        </w:rPr>
        <w:t>4</w:t>
      </w:r>
      <w:r>
        <w:rPr>
          <w:b/>
          <w:bCs/>
          <w:kern w:val="0"/>
          <w:sz w:val="24"/>
          <w:highlight w:val="none"/>
        </w:rPr>
        <w:t>.</w:t>
      </w:r>
      <w:r>
        <w:rPr>
          <w:rFonts w:hint="eastAsia"/>
          <w:b/>
          <w:bCs/>
          <w:kern w:val="0"/>
          <w:sz w:val="24"/>
          <w:highlight w:val="none"/>
        </w:rPr>
        <w:t>1.2</w:t>
      </w:r>
      <w:r>
        <w:rPr>
          <w:b/>
          <w:bCs/>
          <w:kern w:val="0"/>
          <w:sz w:val="24"/>
          <w:highlight w:val="none"/>
          <w:lang w:val="zh-CN"/>
        </w:rPr>
        <w:t>引滦入津工程及大黑汀水库</w:t>
      </w:r>
    </w:p>
    <w:p>
      <w:pPr>
        <w:autoSpaceDE w:val="0"/>
        <w:autoSpaceDN w:val="0"/>
        <w:adjustRightInd w:val="0"/>
        <w:spacing w:line="480" w:lineRule="exact"/>
        <w:ind w:firstLine="420"/>
        <w:rPr>
          <w:sz w:val="24"/>
          <w:highlight w:val="none"/>
          <w:lang w:val="zh-CN"/>
        </w:rPr>
      </w:pPr>
      <w:r>
        <w:rPr>
          <w:sz w:val="24"/>
          <w:highlight w:val="none"/>
          <w:lang w:val="zh-CN"/>
        </w:rPr>
        <w:t>（</w:t>
      </w:r>
      <w:r>
        <w:rPr>
          <w:sz w:val="24"/>
          <w:highlight w:val="none"/>
        </w:rPr>
        <w:t>1</w:t>
      </w:r>
      <w:r>
        <w:rPr>
          <w:sz w:val="24"/>
          <w:highlight w:val="none"/>
          <w:lang w:val="zh-CN"/>
        </w:rPr>
        <w:t>）引滦入津工程</w:t>
      </w:r>
    </w:p>
    <w:p>
      <w:pPr>
        <w:autoSpaceDE w:val="0"/>
        <w:autoSpaceDN w:val="0"/>
        <w:adjustRightInd w:val="0"/>
        <w:spacing w:line="480" w:lineRule="exact"/>
        <w:ind w:firstLine="480"/>
        <w:rPr>
          <w:sz w:val="24"/>
          <w:highlight w:val="none"/>
        </w:rPr>
      </w:pPr>
      <w:r>
        <w:rPr>
          <w:sz w:val="24"/>
          <w:highlight w:val="none"/>
          <w:lang w:val="zh-CN"/>
        </w:rPr>
        <w:t>引滦入津工程于</w:t>
      </w:r>
      <w:r>
        <w:rPr>
          <w:sz w:val="24"/>
          <w:highlight w:val="none"/>
        </w:rPr>
        <w:t>1982</w:t>
      </w:r>
      <w:r>
        <w:rPr>
          <w:sz w:val="24"/>
          <w:highlight w:val="none"/>
          <w:lang w:val="zh-CN"/>
        </w:rPr>
        <w:t>年</w:t>
      </w:r>
      <w:r>
        <w:rPr>
          <w:sz w:val="24"/>
          <w:highlight w:val="none"/>
        </w:rPr>
        <w:t>5</w:t>
      </w:r>
      <w:r>
        <w:rPr>
          <w:sz w:val="24"/>
          <w:highlight w:val="none"/>
          <w:lang w:val="zh-CN"/>
        </w:rPr>
        <w:t>月</w:t>
      </w:r>
      <w:r>
        <w:rPr>
          <w:sz w:val="24"/>
          <w:highlight w:val="none"/>
        </w:rPr>
        <w:t>11</w:t>
      </w:r>
      <w:r>
        <w:rPr>
          <w:sz w:val="24"/>
          <w:highlight w:val="none"/>
          <w:lang w:val="zh-CN"/>
        </w:rPr>
        <w:t>日动工，于</w:t>
      </w:r>
      <w:r>
        <w:rPr>
          <w:sz w:val="24"/>
          <w:highlight w:val="none"/>
        </w:rPr>
        <w:t>1983</w:t>
      </w:r>
      <w:r>
        <w:rPr>
          <w:sz w:val="24"/>
          <w:highlight w:val="none"/>
          <w:lang w:val="zh-CN"/>
        </w:rPr>
        <w:t>年</w:t>
      </w:r>
      <w:r>
        <w:rPr>
          <w:sz w:val="24"/>
          <w:highlight w:val="none"/>
        </w:rPr>
        <w:t>9</w:t>
      </w:r>
      <w:r>
        <w:rPr>
          <w:sz w:val="24"/>
          <w:highlight w:val="none"/>
          <w:lang w:val="zh-CN"/>
        </w:rPr>
        <w:t>月</w:t>
      </w:r>
      <w:r>
        <w:rPr>
          <w:sz w:val="24"/>
          <w:highlight w:val="none"/>
        </w:rPr>
        <w:t>11</w:t>
      </w:r>
      <w:r>
        <w:rPr>
          <w:sz w:val="24"/>
          <w:highlight w:val="none"/>
          <w:lang w:val="zh-CN"/>
        </w:rPr>
        <w:t>日建成。整个工程由取水、输水、蓄水、净水、配水等工程组成。工程自大黑汀水库开始，通过输水干渠经迁西、遵化进入天津市蓟县于桥水库，再经宝坻区至宜兴埠泵站，全长</w:t>
      </w:r>
      <w:r>
        <w:rPr>
          <w:sz w:val="24"/>
          <w:highlight w:val="none"/>
        </w:rPr>
        <w:t>234km</w:t>
      </w:r>
      <w:r>
        <w:rPr>
          <w:sz w:val="24"/>
          <w:highlight w:val="none"/>
          <w:lang w:val="zh-CN"/>
        </w:rPr>
        <w:t>。分两路进入天津市：一路由明渠入北运河、海河；另一路由暗渠、暗管入水厂。年输水量</w:t>
      </w:r>
      <w:r>
        <w:rPr>
          <w:sz w:val="24"/>
          <w:highlight w:val="none"/>
        </w:rPr>
        <w:t>10</w:t>
      </w:r>
      <w:r>
        <w:rPr>
          <w:sz w:val="24"/>
          <w:highlight w:val="none"/>
          <w:lang w:val="zh-CN"/>
        </w:rPr>
        <w:t>亿</w:t>
      </w:r>
      <w:r>
        <w:rPr>
          <w:sz w:val="24"/>
          <w:highlight w:val="none"/>
        </w:rPr>
        <w:t>m</w:t>
      </w:r>
      <w:r>
        <w:rPr>
          <w:sz w:val="24"/>
          <w:highlight w:val="none"/>
          <w:vertAlign w:val="superscript"/>
        </w:rPr>
        <w:t>3</w:t>
      </w:r>
      <w:r>
        <w:rPr>
          <w:sz w:val="24"/>
          <w:highlight w:val="none"/>
          <w:lang w:val="zh-CN"/>
        </w:rPr>
        <w:t>，最大输水能力</w:t>
      </w:r>
      <w:r>
        <w:rPr>
          <w:sz w:val="24"/>
          <w:highlight w:val="none"/>
        </w:rPr>
        <w:t>60-100 m</w:t>
      </w:r>
      <w:r>
        <w:rPr>
          <w:sz w:val="24"/>
          <w:highlight w:val="none"/>
          <w:vertAlign w:val="superscript"/>
        </w:rPr>
        <w:t>3</w:t>
      </w:r>
      <w:r>
        <w:rPr>
          <w:sz w:val="24"/>
          <w:highlight w:val="none"/>
        </w:rPr>
        <w:t>/s</w:t>
      </w:r>
      <w:r>
        <w:rPr>
          <w:sz w:val="24"/>
          <w:highlight w:val="none"/>
          <w:lang w:val="zh-CN"/>
        </w:rPr>
        <w:t>。</w:t>
      </w:r>
    </w:p>
    <w:p>
      <w:pPr>
        <w:autoSpaceDE w:val="0"/>
        <w:autoSpaceDN w:val="0"/>
        <w:adjustRightInd w:val="0"/>
        <w:spacing w:line="480" w:lineRule="exact"/>
        <w:ind w:firstLine="420"/>
        <w:rPr>
          <w:sz w:val="24"/>
          <w:highlight w:val="none"/>
          <w:lang w:val="zh-CN"/>
        </w:rPr>
      </w:pPr>
      <w:r>
        <w:rPr>
          <w:sz w:val="24"/>
          <w:highlight w:val="none"/>
          <w:lang w:val="zh-CN"/>
        </w:rPr>
        <w:t>（</w:t>
      </w:r>
      <w:r>
        <w:rPr>
          <w:sz w:val="24"/>
          <w:highlight w:val="none"/>
        </w:rPr>
        <w:t>2</w:t>
      </w:r>
      <w:r>
        <w:rPr>
          <w:sz w:val="24"/>
          <w:highlight w:val="none"/>
          <w:lang w:val="zh-CN"/>
        </w:rPr>
        <w:t>）大黑汀水库及电站</w:t>
      </w:r>
    </w:p>
    <w:p>
      <w:pPr>
        <w:autoSpaceDE w:val="0"/>
        <w:autoSpaceDN w:val="0"/>
        <w:adjustRightInd w:val="0"/>
        <w:spacing w:line="480" w:lineRule="exact"/>
        <w:ind w:firstLine="480"/>
        <w:rPr>
          <w:sz w:val="24"/>
          <w:highlight w:val="none"/>
        </w:rPr>
      </w:pPr>
      <w:r>
        <w:rPr>
          <w:sz w:val="24"/>
          <w:highlight w:val="none"/>
          <w:lang w:val="zh-CN"/>
        </w:rPr>
        <w:t>大黑汀水库位于唐山市迁西县城北</w:t>
      </w:r>
      <w:r>
        <w:rPr>
          <w:sz w:val="24"/>
          <w:highlight w:val="none"/>
        </w:rPr>
        <w:t>5km</w:t>
      </w:r>
      <w:r>
        <w:rPr>
          <w:sz w:val="24"/>
          <w:highlight w:val="none"/>
          <w:lang w:val="zh-CN"/>
        </w:rPr>
        <w:t>的滦河干流上，控制流域面积</w:t>
      </w:r>
      <w:r>
        <w:rPr>
          <w:sz w:val="24"/>
          <w:highlight w:val="none"/>
        </w:rPr>
        <w:t>35100km</w:t>
      </w:r>
      <w:r>
        <w:rPr>
          <w:sz w:val="24"/>
          <w:highlight w:val="none"/>
          <w:vertAlign w:val="superscript"/>
        </w:rPr>
        <w:t>2</w:t>
      </w:r>
      <w:r>
        <w:rPr>
          <w:sz w:val="24"/>
          <w:highlight w:val="none"/>
          <w:lang w:val="zh-CN"/>
        </w:rPr>
        <w:t>，大黑汀水库为年调节水库，其中潘家口与大黑汀水库之间流域面积为</w:t>
      </w:r>
      <w:r>
        <w:rPr>
          <w:sz w:val="24"/>
          <w:highlight w:val="none"/>
        </w:rPr>
        <w:t>1400 km</w:t>
      </w:r>
      <w:r>
        <w:rPr>
          <w:sz w:val="24"/>
          <w:highlight w:val="none"/>
          <w:vertAlign w:val="superscript"/>
        </w:rPr>
        <w:t>2</w:t>
      </w:r>
      <w:r>
        <w:rPr>
          <w:sz w:val="24"/>
          <w:highlight w:val="none"/>
          <w:lang w:val="zh-CN"/>
        </w:rPr>
        <w:t>，占滦河总流域面积的</w:t>
      </w:r>
      <w:r>
        <w:rPr>
          <w:sz w:val="24"/>
          <w:highlight w:val="none"/>
        </w:rPr>
        <w:t>79%</w:t>
      </w:r>
      <w:r>
        <w:rPr>
          <w:sz w:val="24"/>
          <w:highlight w:val="none"/>
          <w:lang w:val="zh-CN"/>
        </w:rPr>
        <w:t>，大黑汀水库为年调节水库，总库容</w:t>
      </w:r>
      <w:r>
        <w:rPr>
          <w:sz w:val="24"/>
          <w:highlight w:val="none"/>
        </w:rPr>
        <w:t>3.37</w:t>
      </w:r>
      <w:r>
        <w:rPr>
          <w:sz w:val="24"/>
          <w:highlight w:val="none"/>
          <w:lang w:val="zh-CN"/>
        </w:rPr>
        <w:t>亿</w:t>
      </w:r>
      <w:r>
        <w:rPr>
          <w:sz w:val="24"/>
          <w:highlight w:val="none"/>
        </w:rPr>
        <w:t>m</w:t>
      </w:r>
      <w:r>
        <w:rPr>
          <w:sz w:val="24"/>
          <w:highlight w:val="none"/>
          <w:vertAlign w:val="superscript"/>
        </w:rPr>
        <w:t>3</w:t>
      </w:r>
      <w:r>
        <w:rPr>
          <w:sz w:val="24"/>
          <w:highlight w:val="none"/>
          <w:lang w:val="zh-CN"/>
        </w:rPr>
        <w:t>。该水库上游约</w:t>
      </w:r>
      <w:r>
        <w:rPr>
          <w:sz w:val="24"/>
          <w:highlight w:val="none"/>
        </w:rPr>
        <w:t>30km</w:t>
      </w:r>
      <w:r>
        <w:rPr>
          <w:sz w:val="24"/>
          <w:highlight w:val="none"/>
          <w:lang w:val="zh-CN"/>
        </w:rPr>
        <w:t>有潘家口水库。大黑汀和潘家口两水库联合运用，发挥防洪、供水作用</w:t>
      </w:r>
      <w:r>
        <w:rPr>
          <w:highlight w:val="none"/>
        </w:rPr>
        <w:t>。</w:t>
      </w:r>
    </w:p>
    <w:p>
      <w:pPr>
        <w:autoSpaceDE w:val="0"/>
        <w:autoSpaceDN w:val="0"/>
        <w:adjustRightInd w:val="0"/>
        <w:spacing w:line="480" w:lineRule="exact"/>
        <w:ind w:firstLine="480"/>
        <w:rPr>
          <w:b/>
          <w:bCs/>
          <w:sz w:val="24"/>
          <w:highlight w:val="none"/>
        </w:rPr>
      </w:pPr>
      <w:r>
        <w:rPr>
          <w:sz w:val="24"/>
          <w:highlight w:val="none"/>
          <w:lang w:val="zh-CN"/>
        </w:rPr>
        <w:t>大黑汀水库大坝为二级建筑物，水电站为</w:t>
      </w:r>
      <w:r>
        <w:rPr>
          <w:sz w:val="24"/>
          <w:highlight w:val="none"/>
        </w:rPr>
        <w:t>3</w:t>
      </w:r>
      <w:r>
        <w:rPr>
          <w:sz w:val="24"/>
          <w:highlight w:val="none"/>
          <w:lang w:val="zh-CN"/>
        </w:rPr>
        <w:t>级建筑物；基本地震烈度为</w:t>
      </w:r>
      <w:r>
        <w:rPr>
          <w:sz w:val="24"/>
          <w:highlight w:val="none"/>
        </w:rPr>
        <w:t>7</w:t>
      </w:r>
      <w:r>
        <w:rPr>
          <w:sz w:val="24"/>
          <w:highlight w:val="none"/>
          <w:lang w:val="zh-CN"/>
        </w:rPr>
        <w:t>度，设计采用</w:t>
      </w:r>
      <w:r>
        <w:rPr>
          <w:sz w:val="24"/>
          <w:highlight w:val="none"/>
        </w:rPr>
        <w:t>8</w:t>
      </w:r>
      <w:r>
        <w:rPr>
          <w:sz w:val="24"/>
          <w:highlight w:val="none"/>
          <w:lang w:val="zh-CN"/>
        </w:rPr>
        <w:t>度。主坝坝长</w:t>
      </w:r>
      <w:r>
        <w:rPr>
          <w:sz w:val="24"/>
          <w:highlight w:val="none"/>
        </w:rPr>
        <w:t>1354m</w:t>
      </w:r>
      <w:r>
        <w:rPr>
          <w:sz w:val="24"/>
          <w:highlight w:val="none"/>
          <w:lang w:val="zh-CN"/>
        </w:rPr>
        <w:t>，坝顶高程</w:t>
      </w:r>
      <w:r>
        <w:rPr>
          <w:sz w:val="24"/>
          <w:highlight w:val="none"/>
        </w:rPr>
        <w:t>138</w:t>
      </w:r>
      <w:r>
        <w:rPr>
          <w:sz w:val="24"/>
          <w:highlight w:val="none"/>
          <w:lang w:val="zh-CN"/>
        </w:rPr>
        <w:t>．</w:t>
      </w:r>
      <w:r>
        <w:rPr>
          <w:sz w:val="24"/>
          <w:highlight w:val="none"/>
        </w:rPr>
        <w:t>8m(</w:t>
      </w:r>
      <w:r>
        <w:rPr>
          <w:sz w:val="24"/>
          <w:highlight w:val="none"/>
          <w:lang w:val="zh-CN"/>
        </w:rPr>
        <w:t>黄海标高，下同</w:t>
      </w:r>
      <w:r>
        <w:rPr>
          <w:sz w:val="24"/>
          <w:highlight w:val="none"/>
        </w:rPr>
        <w:t>)</w:t>
      </w:r>
      <w:r>
        <w:rPr>
          <w:sz w:val="24"/>
          <w:highlight w:val="none"/>
          <w:lang w:val="zh-CN"/>
        </w:rPr>
        <w:t>，河床高程</w:t>
      </w:r>
      <w:r>
        <w:rPr>
          <w:sz w:val="24"/>
          <w:highlight w:val="none"/>
        </w:rPr>
        <w:t>101m</w:t>
      </w:r>
      <w:r>
        <w:rPr>
          <w:sz w:val="24"/>
          <w:highlight w:val="none"/>
          <w:lang w:val="zh-CN"/>
        </w:rPr>
        <w:t>，最低基岩高程</w:t>
      </w:r>
      <w:r>
        <w:rPr>
          <w:sz w:val="24"/>
          <w:highlight w:val="none"/>
        </w:rPr>
        <w:t>86m</w:t>
      </w:r>
      <w:r>
        <w:rPr>
          <w:sz w:val="24"/>
          <w:highlight w:val="none"/>
          <w:lang w:val="zh-CN"/>
        </w:rPr>
        <w:t>，最大坝高</w:t>
      </w:r>
      <w:r>
        <w:rPr>
          <w:sz w:val="24"/>
          <w:highlight w:val="none"/>
        </w:rPr>
        <w:t>52.8m</w:t>
      </w:r>
      <w:r>
        <w:rPr>
          <w:sz w:val="24"/>
          <w:highlight w:val="none"/>
          <w:lang w:val="zh-CN"/>
        </w:rPr>
        <w:t>大坝按百年一遇洪水设计，按千年一遇洪水校核，按流域内可能最大降雨为保坝标准。大坝中部设有</w:t>
      </w:r>
      <w:r>
        <w:rPr>
          <w:sz w:val="24"/>
          <w:highlight w:val="none"/>
        </w:rPr>
        <w:t>28</w:t>
      </w:r>
      <w:r>
        <w:rPr>
          <w:sz w:val="24"/>
          <w:highlight w:val="none"/>
          <w:lang w:val="zh-CN"/>
        </w:rPr>
        <w:t>孔溢洪道，用</w:t>
      </w:r>
      <w:r>
        <w:rPr>
          <w:sz w:val="24"/>
          <w:highlight w:val="none"/>
        </w:rPr>
        <w:t>15×21.1m</w:t>
      </w:r>
      <w:r>
        <w:rPr>
          <w:sz w:val="24"/>
          <w:highlight w:val="none"/>
          <w:lang w:val="zh-CN"/>
        </w:rPr>
        <w:t>弧形门控制，最大泄洪能力为</w:t>
      </w:r>
      <w:r>
        <w:rPr>
          <w:sz w:val="24"/>
          <w:highlight w:val="none"/>
        </w:rPr>
        <w:t>60750 m</w:t>
      </w:r>
      <w:r>
        <w:rPr>
          <w:sz w:val="24"/>
          <w:highlight w:val="none"/>
          <w:vertAlign w:val="superscript"/>
        </w:rPr>
        <w:t>3</w:t>
      </w:r>
      <w:r>
        <w:rPr>
          <w:sz w:val="24"/>
          <w:highlight w:val="none"/>
        </w:rPr>
        <w:t>/s</w:t>
      </w:r>
      <w:r>
        <w:rPr>
          <w:sz w:val="24"/>
          <w:highlight w:val="none"/>
          <w:lang w:val="zh-CN"/>
        </w:rPr>
        <w:t>。在溢洪道右侧设有</w:t>
      </w:r>
      <w:r>
        <w:rPr>
          <w:sz w:val="24"/>
          <w:highlight w:val="none"/>
        </w:rPr>
        <w:t>8</w:t>
      </w:r>
      <w:r>
        <w:rPr>
          <w:sz w:val="24"/>
          <w:highlight w:val="none"/>
          <w:lang w:val="zh-CN"/>
        </w:rPr>
        <w:t>个底孔，孔口尺寸为</w:t>
      </w:r>
      <w:r>
        <w:rPr>
          <w:sz w:val="24"/>
          <w:highlight w:val="none"/>
        </w:rPr>
        <w:t>5×10m</w:t>
      </w:r>
      <w:r>
        <w:rPr>
          <w:sz w:val="24"/>
          <w:highlight w:val="none"/>
          <w:lang w:val="zh-CN"/>
        </w:rPr>
        <w:t>，用</w:t>
      </w:r>
      <w:r>
        <w:rPr>
          <w:sz w:val="24"/>
          <w:highlight w:val="none"/>
        </w:rPr>
        <w:t>5.76×10.05m</w:t>
      </w:r>
      <w:r>
        <w:rPr>
          <w:sz w:val="24"/>
          <w:highlight w:val="none"/>
          <w:lang w:val="zh-CN"/>
        </w:rPr>
        <w:t>平板钢闸门控制，最大泄洪量为</w:t>
      </w:r>
      <w:r>
        <w:rPr>
          <w:sz w:val="24"/>
          <w:highlight w:val="none"/>
        </w:rPr>
        <w:t>6750 m</w:t>
      </w:r>
      <w:r>
        <w:rPr>
          <w:sz w:val="24"/>
          <w:highlight w:val="none"/>
          <w:vertAlign w:val="superscript"/>
        </w:rPr>
        <w:t>3</w:t>
      </w:r>
      <w:r>
        <w:rPr>
          <w:sz w:val="24"/>
          <w:highlight w:val="none"/>
        </w:rPr>
        <w:t>/s</w:t>
      </w:r>
      <w:r>
        <w:rPr>
          <w:sz w:val="24"/>
          <w:highlight w:val="none"/>
          <w:lang w:val="zh-CN"/>
        </w:rPr>
        <w:t>。</w:t>
      </w:r>
    </w:p>
    <w:p>
      <w:pPr>
        <w:autoSpaceDE w:val="0"/>
        <w:autoSpaceDN w:val="0"/>
        <w:adjustRightInd w:val="0"/>
        <w:spacing w:line="480" w:lineRule="exact"/>
        <w:ind w:firstLine="480"/>
        <w:rPr>
          <w:sz w:val="24"/>
          <w:highlight w:val="none"/>
        </w:rPr>
      </w:pPr>
      <w:r>
        <w:rPr>
          <w:sz w:val="24"/>
          <w:highlight w:val="none"/>
          <w:lang w:val="zh-CN"/>
        </w:rPr>
        <w:t>大黑汀水库渠首闸位于渠首电站左侧，共</w:t>
      </w:r>
      <w:r>
        <w:rPr>
          <w:sz w:val="24"/>
          <w:highlight w:val="none"/>
        </w:rPr>
        <w:t>4</w:t>
      </w:r>
      <w:r>
        <w:rPr>
          <w:sz w:val="24"/>
          <w:highlight w:val="none"/>
          <w:lang w:val="zh-CN"/>
        </w:rPr>
        <w:t>孔，孔口尺寸为</w:t>
      </w:r>
      <w:r>
        <w:rPr>
          <w:sz w:val="24"/>
          <w:highlight w:val="none"/>
        </w:rPr>
        <w:t>4×4m</w:t>
      </w:r>
      <w:r>
        <w:rPr>
          <w:sz w:val="24"/>
          <w:highlight w:val="none"/>
          <w:lang w:val="zh-CN"/>
        </w:rPr>
        <w:t>，用</w:t>
      </w:r>
      <w:r>
        <w:rPr>
          <w:sz w:val="24"/>
          <w:highlight w:val="none"/>
        </w:rPr>
        <w:t>4.1×4.06m</w:t>
      </w:r>
      <w:r>
        <w:rPr>
          <w:sz w:val="24"/>
          <w:highlight w:val="none"/>
          <w:lang w:val="zh-CN"/>
        </w:rPr>
        <w:t>平板钢闸门控制，控制引水流量</w:t>
      </w:r>
      <w:r>
        <w:rPr>
          <w:sz w:val="24"/>
          <w:highlight w:val="none"/>
        </w:rPr>
        <w:t>160 m3/s</w:t>
      </w:r>
      <w:r>
        <w:rPr>
          <w:sz w:val="24"/>
          <w:highlight w:val="none"/>
          <w:lang w:val="zh-CN"/>
        </w:rPr>
        <w:t>。渠首闸右侧设渠首电站一座，装机容量</w:t>
      </w:r>
      <w:r>
        <w:rPr>
          <w:sz w:val="24"/>
          <w:highlight w:val="none"/>
        </w:rPr>
        <w:t>1.28</w:t>
      </w:r>
      <w:r>
        <w:rPr>
          <w:sz w:val="24"/>
          <w:highlight w:val="none"/>
          <w:lang w:val="zh-CN"/>
        </w:rPr>
        <w:t>万</w:t>
      </w:r>
      <w:r>
        <w:rPr>
          <w:sz w:val="24"/>
          <w:highlight w:val="none"/>
        </w:rPr>
        <w:t>kw</w:t>
      </w:r>
      <w:r>
        <w:rPr>
          <w:sz w:val="24"/>
          <w:highlight w:val="none"/>
          <w:lang w:val="zh-CN"/>
        </w:rPr>
        <w:t>（</w:t>
      </w:r>
      <w:r>
        <w:rPr>
          <w:sz w:val="24"/>
          <w:highlight w:val="none"/>
        </w:rPr>
        <w:t>4×0.32</w:t>
      </w:r>
      <w:r>
        <w:rPr>
          <w:sz w:val="24"/>
          <w:highlight w:val="none"/>
          <w:lang w:val="zh-CN"/>
        </w:rPr>
        <w:t>万</w:t>
      </w:r>
      <w:r>
        <w:rPr>
          <w:sz w:val="24"/>
          <w:highlight w:val="none"/>
        </w:rPr>
        <w:t>kw</w:t>
      </w:r>
      <w:r>
        <w:rPr>
          <w:sz w:val="24"/>
          <w:highlight w:val="none"/>
          <w:lang w:val="zh-CN"/>
        </w:rPr>
        <w:t>）。底孔坝段右侧设河床电站一座，装机容量为</w:t>
      </w:r>
      <w:r>
        <w:rPr>
          <w:sz w:val="24"/>
          <w:highlight w:val="none"/>
        </w:rPr>
        <w:t>0.88</w:t>
      </w:r>
      <w:r>
        <w:rPr>
          <w:sz w:val="24"/>
          <w:highlight w:val="none"/>
          <w:lang w:val="zh-CN"/>
        </w:rPr>
        <w:t>万</w:t>
      </w:r>
      <w:r>
        <w:rPr>
          <w:sz w:val="24"/>
          <w:highlight w:val="none"/>
        </w:rPr>
        <w:t>kw</w:t>
      </w:r>
      <w:r>
        <w:rPr>
          <w:sz w:val="24"/>
          <w:highlight w:val="none"/>
          <w:lang w:val="zh-CN"/>
        </w:rPr>
        <w:t>，两座电站总装机容量为</w:t>
      </w:r>
      <w:r>
        <w:rPr>
          <w:sz w:val="24"/>
          <w:highlight w:val="none"/>
        </w:rPr>
        <w:t>2.16</w:t>
      </w:r>
      <w:r>
        <w:rPr>
          <w:sz w:val="24"/>
          <w:highlight w:val="none"/>
          <w:lang w:val="zh-CN"/>
        </w:rPr>
        <w:t>万</w:t>
      </w:r>
      <w:r>
        <w:rPr>
          <w:sz w:val="24"/>
          <w:highlight w:val="none"/>
        </w:rPr>
        <w:t>kw</w:t>
      </w:r>
      <w:r>
        <w:rPr>
          <w:sz w:val="24"/>
          <w:highlight w:val="none"/>
          <w:lang w:val="zh-CN"/>
        </w:rPr>
        <w:t>，其多年平均发电量</w:t>
      </w:r>
      <w:r>
        <w:rPr>
          <w:sz w:val="24"/>
          <w:highlight w:val="none"/>
        </w:rPr>
        <w:t>0.468</w:t>
      </w:r>
      <w:r>
        <w:rPr>
          <w:sz w:val="24"/>
          <w:highlight w:val="none"/>
          <w:lang w:val="zh-CN"/>
        </w:rPr>
        <w:t>亿度。</w:t>
      </w:r>
    </w:p>
    <w:p>
      <w:pPr>
        <w:autoSpaceDE w:val="0"/>
        <w:autoSpaceDN w:val="0"/>
        <w:adjustRightInd w:val="0"/>
        <w:spacing w:line="480" w:lineRule="exact"/>
        <w:ind w:firstLine="480"/>
        <w:rPr>
          <w:sz w:val="24"/>
          <w:highlight w:val="none"/>
          <w:lang w:val="zh-CN"/>
        </w:rPr>
      </w:pPr>
      <w:r>
        <w:rPr>
          <w:sz w:val="24"/>
          <w:highlight w:val="none"/>
          <w:lang w:val="zh-CN"/>
        </w:rPr>
        <w:t>本项目在引滦入津输水线位置见图</w:t>
      </w:r>
      <w:r>
        <w:rPr>
          <w:rFonts w:hint="eastAsia"/>
          <w:sz w:val="24"/>
          <w:highlight w:val="none"/>
        </w:rPr>
        <w:t>4</w:t>
      </w:r>
      <w:r>
        <w:rPr>
          <w:sz w:val="24"/>
          <w:highlight w:val="none"/>
        </w:rPr>
        <w:t>.</w:t>
      </w:r>
      <w:r>
        <w:rPr>
          <w:rFonts w:hint="eastAsia"/>
          <w:sz w:val="24"/>
          <w:highlight w:val="none"/>
        </w:rPr>
        <w:t>1</w:t>
      </w:r>
      <w:r>
        <w:rPr>
          <w:sz w:val="24"/>
          <w:highlight w:val="none"/>
        </w:rPr>
        <w:t>-</w:t>
      </w:r>
      <w:r>
        <w:rPr>
          <w:rFonts w:hint="eastAsia"/>
          <w:sz w:val="24"/>
          <w:highlight w:val="none"/>
          <w:lang w:val="en-US" w:eastAsia="zh-CN"/>
        </w:rPr>
        <w:t>1</w:t>
      </w:r>
      <w:r>
        <w:rPr>
          <w:sz w:val="24"/>
          <w:highlight w:val="none"/>
          <w:lang w:val="zh-CN"/>
        </w:rPr>
        <w:t>。</w:t>
      </w:r>
    </w:p>
    <w:p>
      <w:pPr>
        <w:pStyle w:val="7"/>
        <w:rPr>
          <w:highlight w:val="none"/>
        </w:rPr>
      </w:pPr>
    </w:p>
    <w:p>
      <w:pPr>
        <w:autoSpaceDE w:val="0"/>
        <w:autoSpaceDN w:val="0"/>
        <w:adjustRightInd w:val="0"/>
        <w:rPr>
          <w:szCs w:val="21"/>
          <w:highlight w:val="none"/>
        </w:rPr>
      </w:pPr>
      <w:r>
        <w:rPr>
          <w:sz w:val="20"/>
          <w:highlight w:val="none"/>
        </w:rPr>
        <mc:AlternateContent>
          <mc:Choice Requires="wps">
            <w:drawing>
              <wp:anchor distT="0" distB="0" distL="114300" distR="114300" simplePos="0" relativeHeight="251666432" behindDoc="0" locked="0" layoutInCell="1" allowOverlap="1">
                <wp:simplePos x="0" y="0"/>
                <wp:positionH relativeFrom="column">
                  <wp:posOffset>889000</wp:posOffset>
                </wp:positionH>
                <wp:positionV relativeFrom="paragraph">
                  <wp:posOffset>1249680</wp:posOffset>
                </wp:positionV>
                <wp:extent cx="1029335" cy="294005"/>
                <wp:effectExtent l="6985" t="15240" r="11430" b="700405"/>
                <wp:wrapNone/>
                <wp:docPr id="175" name="AutoShape 53"/>
                <wp:cNvGraphicFramePr/>
                <a:graphic xmlns:a="http://schemas.openxmlformats.org/drawingml/2006/main">
                  <a:graphicData uri="http://schemas.microsoft.com/office/word/2010/wordprocessingShape">
                    <wps:wsp>
                      <wps:cNvSpPr>
                        <a:spLocks noChangeArrowheads="1"/>
                      </wps:cNvSpPr>
                      <wps:spPr bwMode="auto">
                        <a:xfrm>
                          <a:off x="0" y="0"/>
                          <a:ext cx="1029335" cy="294005"/>
                        </a:xfrm>
                        <a:prstGeom prst="wedgeRectCallout">
                          <a:avLst>
                            <a:gd name="adj1" fmla="val -2745"/>
                            <a:gd name="adj2" fmla="val 271815"/>
                          </a:avLst>
                        </a:prstGeom>
                        <a:noFill/>
                        <a:ln w="12700">
                          <a:solidFill>
                            <a:srgbClr val="000001"/>
                          </a:solidFill>
                          <a:miter lim="800000"/>
                          <a:tailEnd type="arrow" w="med" len="med"/>
                        </a:ln>
                      </wps:spPr>
                      <wps:txbx>
                        <w:txbxContent>
                          <w:p>
                            <w:pPr>
                              <w:rPr>
                                <w:b/>
                                <w:bCs/>
                              </w:rPr>
                            </w:pPr>
                            <w:r>
                              <w:rPr>
                                <w:rFonts w:hint="eastAsia"/>
                                <w:b/>
                                <w:bCs/>
                              </w:rPr>
                              <w:t>项目所在位置</w:t>
                            </w:r>
                          </w:p>
                        </w:txbxContent>
                      </wps:txbx>
                      <wps:bodyPr rot="0" vert="horz" wrap="square" lIns="91440" tIns="45720" rIns="91440" bIns="45720" anchor="t" anchorCtr="0" upright="1">
                        <a:noAutofit/>
                      </wps:bodyPr>
                    </wps:wsp>
                  </a:graphicData>
                </a:graphic>
              </wp:anchor>
            </w:drawing>
          </mc:Choice>
          <mc:Fallback>
            <w:pict>
              <v:shape id="AutoShape 53" o:spid="_x0000_s1026" o:spt="61" type="#_x0000_t61" style="position:absolute;left:0pt;margin-left:70pt;margin-top:98.4pt;height:23.15pt;width:81.05pt;z-index:251666432;mso-width-relative:page;mso-height-relative:page;" filled="f" stroked="t" coordsize="21600,21600" o:gfxdata="UEsDBAoAAAAAAIdO4kAAAAAAAAAAAAAAAAAEAAAAZHJzL1BLAwQUAAAACACHTuJA5leEsdkAAAAL&#10;AQAADwAAAGRycy9kb3ducmV2LnhtbE2PwU7DMBBE70j8g7VI3KidtFQlxOmBhktvBITobRu7SUS8&#10;DrGTlr9nOcFtRzuamZdvL64Xsx1D50lDslAgLNXedNRoeHt9vtuACBHJYO/Javi2AbbF9VWOmfFn&#10;erFzFRvBIRQy1NDGOGRShrq1DsPCD5b4d/Kjw8hybKQZ8czhrpepUmvpsCNuaHGwT62tP6vJadjN&#10;afV+OpQf+900lEjJV3nv91rf3iTqEUS0l/hnht/5PB0K3nT0E5kgetYrxSyRj4c1M7BjqdIExFFD&#10;ulomIItc/mcofgBQSwMEFAAAAAgAh07iQEfnLKFxAgAA4QQAAA4AAABkcnMvZTJvRG9jLnhtbK1U&#10;227bMAx9H7B/EPTe+tJkaY06RZGuw4BdinX7AEWSY22SqElKnOzrR8lOl3UvfZgfDNGkDslzSF/f&#10;7I0mO+mDAtvS6rykRFoOQtlNS799vT+7pCREZgXTYGVLDzLQm+XrV9eDa2QNPWghPUEQG5rBtbSP&#10;0TVFEXgvDQvn4KRFZwfesIim3xTCswHRjS7qsnxTDOCF88BlCPj1bnTSCdG/BBC6TnF5B3xrpI0j&#10;qpeaRWwp9MoFuszVdp3k8XPXBRmJbil2GvMbk+B5nd7F8po1G89cr/hUAntJCc96MkxZTPoEdcci&#10;I1uv/oEyinsI0MVzDqYYG8mMYBdV+Yybx545mXtBqoN7Ij38P1j+affgiRI4CYs5JZYZlPx2GyHn&#10;JvOLxNDgQoOBj+7Bpx6D+wD8RyAWVj2zG3nrPQy9ZALrqlJ88deFZAS8StbDRxAIzxA+k7XvvEmA&#10;SAPZZ00OT5rIfSQcP1ZlfXVxgaVx9NVXs7Kc5xSsOd52PsR3EgxJh5YOUmzkFxR+xbSGbcyZ2O5D&#10;iFkfMfXIxPeKks5olHvHNDmrF7OMjBqexNSnMfWiuqyO6SfIgjXHAhK+hXuldZ4qbcmA9deLssw1&#10;BNBKJG/m0G/WK+0JpsaW0zMyh+yehhkVcdm0Mi29zFHjwEam9FsrSDy4xGfin6ZkRgpKtMS9Tqek&#10;BGu0nQRJGoxaxv16P8m6BnFAaTyMm4H/BTz04H8hHm5FS8PPLfMSUd9blPeqms3SGmVjNl/UaPhT&#10;z/rUwyxHqJZGSsbjKo6rt3VebXrMVGVmLKSJ61Q8zs5Y1VQ3Tn5uZNrStFqndo7682da/g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mV4Sx2QAAAAsBAAAPAAAAAAAAAAEAIAAAACIAAABkcnMvZG93&#10;bnJldi54bWxQSwECFAAUAAAACACHTuJAR+csoXECAADhBAAADgAAAAAAAAABACAAAAAoAQAAZHJz&#10;L2Uyb0RvYy54bWxQSwUGAAAAAAYABgBZAQAACwYAAAAA&#10;" adj="10207,69512">
                <v:fill on="f" focussize="0,0"/>
                <v:stroke weight="1pt" color="#000001" miterlimit="8" joinstyle="miter" endarrow="open"/>
                <v:imagedata o:title=""/>
                <o:lock v:ext="edit" aspectratio="f"/>
                <v:textbox>
                  <w:txbxContent>
                    <w:p>
                      <w:pPr>
                        <w:rPr>
                          <w:b/>
                          <w:bCs/>
                        </w:rPr>
                      </w:pPr>
                      <w:r>
                        <w:rPr>
                          <w:rFonts w:hint="eastAsia"/>
                          <w:b/>
                          <w:bCs/>
                        </w:rPr>
                        <w:t>项目所在位置</w:t>
                      </w:r>
                    </w:p>
                  </w:txbxContent>
                </v:textbox>
              </v:shape>
            </w:pict>
          </mc:Fallback>
        </mc:AlternateContent>
      </w:r>
      <w:r>
        <w:rPr>
          <w:sz w:val="20"/>
          <w:highlight w:val="none"/>
        </w:rPr>
        <mc:AlternateContent>
          <mc:Choice Requires="wps">
            <w:drawing>
              <wp:anchor distT="0" distB="0" distL="114300" distR="114300" simplePos="0" relativeHeight="251665408" behindDoc="0" locked="0" layoutInCell="1" allowOverlap="1">
                <wp:simplePos x="0" y="0"/>
                <wp:positionH relativeFrom="column">
                  <wp:posOffset>1351915</wp:posOffset>
                </wp:positionH>
                <wp:positionV relativeFrom="paragraph">
                  <wp:posOffset>2188210</wp:posOffset>
                </wp:positionV>
                <wp:extent cx="79375" cy="75565"/>
                <wp:effectExtent l="39370" t="40005" r="43180" b="36830"/>
                <wp:wrapNone/>
                <wp:docPr id="176" name="AutoShape 52"/>
                <wp:cNvGraphicFramePr/>
                <a:graphic xmlns:a="http://schemas.openxmlformats.org/drawingml/2006/main">
                  <a:graphicData uri="http://schemas.microsoft.com/office/word/2010/wordprocessingShape">
                    <wps:wsp>
                      <wps:cNvSpPr>
                        <a:spLocks noChangeArrowheads="1"/>
                      </wps:cNvSpPr>
                      <wps:spPr bwMode="auto">
                        <a:xfrm>
                          <a:off x="0" y="0"/>
                          <a:ext cx="79375" cy="75565"/>
                        </a:xfrm>
                        <a:prstGeom prst="star4">
                          <a:avLst>
                            <a:gd name="adj" fmla="val 12500"/>
                          </a:avLst>
                        </a:prstGeom>
                        <a:solidFill>
                          <a:srgbClr val="FF0000"/>
                        </a:solidFill>
                        <a:ln w="12700">
                          <a:solidFill>
                            <a:srgbClr val="FF0000"/>
                          </a:solidFill>
                          <a:miter lim="800000"/>
                          <a:tailEnd type="arrow" w="med" len="med"/>
                        </a:ln>
                      </wps:spPr>
                      <wps:bodyPr rot="0" vert="horz" wrap="square" lIns="91440" tIns="45720" rIns="91440" bIns="45720" anchor="t" anchorCtr="0" upright="1">
                        <a:noAutofit/>
                      </wps:bodyPr>
                    </wps:wsp>
                  </a:graphicData>
                </a:graphic>
              </wp:anchor>
            </w:drawing>
          </mc:Choice>
          <mc:Fallback>
            <w:pict>
              <v:shape id="AutoShape 52" o:spid="_x0000_s1026" o:spt="187" type="#_x0000_t187" style="position:absolute;left:0pt;margin-left:106.45pt;margin-top:172.3pt;height:5.95pt;width:6.25pt;z-index:251665408;mso-width-relative:page;mso-height-relative:page;" fillcolor="#FF0000" filled="t" stroked="t" coordsize="21600,21600" o:gfxdata="UEsDBAoAAAAAAIdO4kAAAAAAAAAAAAAAAAAEAAAAZHJzL1BLAwQUAAAACACHTuJAQ0Ia49oAAAAL&#10;AQAADwAAAGRycy9kb3ducmV2LnhtbE2PPU/DMBCGdyT+g3VILBW1Y5KoDXE6IBhRoTB0vMaXDzW2&#10;o9ht2n+Pmeh4d4/ee95yczEDO9Pke2cVJEsBjGztdG9bBT/f708rYD6g1Tg4Swqu5GFT3d+VWGg3&#10;2y8670LLYoj1BSroQhgLzn3dkUG/dCPZeGvcZDDEcWq5nnCO4WbgUoicG+xt/NDhSK8d1cfdySjY&#10;vn3sZ7nYrtPxiJ9Nc12IfiClHh8S8QIs0CX8w/CnH9Whik4Hd7Las0GBTOQ6ogqe0zQHFgkpsxTY&#10;IW6yPANelfy2Q/ULUEsDBBQAAAAIAIdO4kDAh3n2UQIAAMsEAAAOAAAAZHJzL2Uyb0RvYy54bWyt&#10;VG1v0zAQ/o7Ef7D8naYNTbtFS6dpowhpwKTBD3BtpzH4jbPbtPx6zk5WyvgyIfIhusvZz909z12u&#10;rg9Gk72EoJxt6GwypURa7oSy24Z+/bJ+c0FJiMwKpp2VDT3KQK9Xr19d9b6WpeucFhIIgthQ976h&#10;XYy+LorAO2lYmDgvLQZbB4ZFdGFbCGA9ohtdlNPpougdCA+OyxDw690QpCMivATQta3i8s7xnZE2&#10;DqggNYvYUuiUD3SVq21byePntg0yEt1Q7DTmNyZBe5PexeqK1VtgvlN8LIG9pIRnPRmmLCY9Qd2x&#10;yMgO1F9QRnFwwbVxwp0phkYyI9jFbPqMm8eOeZl7QaqDP5Ee/h8s/7R/AKIETsJyQYllBiW/2UWX&#10;c5OqTAz1PtR48NE/QOox+HvHvwdi3W3H7FbeALi+k0xgXbN0vvjjQnICXiWb/qMTCM8QPpN1aMEk&#10;QKSBHLImx5Mm8hAJx4/Ly7fLihKOkWVVLaqMz+qnqx5CfC+dIcloKA4uzDM229+HmBURY1dMfKOk&#10;NRr13TNNZmU1zfoXrB4Po/WEl/t0Wom10jo7sN3caiB4taHr9RSfsZRwfkxb0iML5RLD/4phVMQN&#10;08o09CLlGac0MqXfWUHi0ScSE+k0JTNSUKIlLnOyEv2s1nZUIRE/CLhx4ogigBt2AP8AaHQOfiII&#10;zj9y92PHQCLUB4tCXs7m87Qw2ZlXyxIdOI9sziPMcoRqaKRkMG/jsGQ7D2rbYaZZpsO6NFutik9T&#10;MlQ1Fosznqsf9zEt0bmfT/3+B61+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ENCGuPaAAAACwEA&#10;AA8AAAAAAAAAAQAgAAAAIgAAAGRycy9kb3ducmV2LnhtbFBLAQIUABQAAAAIAIdO4kDAh3n2UQIA&#10;AMsEAAAOAAAAAAAAAAEAIAAAACkBAABkcnMvZTJvRG9jLnhtbFBLBQYAAAAABgAGAFkBAADsBQAA&#10;AAA=&#10;" adj="8100">
                <v:fill on="t" focussize="0,0"/>
                <v:stroke weight="1pt" color="#FF0000" miterlimit="8" joinstyle="miter" endarrow="open"/>
                <v:imagedata o:title=""/>
                <o:lock v:ext="edit" aspectratio="f"/>
              </v:shape>
            </w:pict>
          </mc:Fallback>
        </mc:AlternateContent>
      </w:r>
      <w:r>
        <w:rPr>
          <w:rFonts w:hint="eastAsia"/>
          <w:highlight w:val="none"/>
        </w:rPr>
        <w:drawing>
          <wp:anchor distT="0" distB="0" distL="114300" distR="114300" simplePos="0" relativeHeight="251708416" behindDoc="0" locked="0" layoutInCell="1" allowOverlap="1">
            <wp:simplePos x="0" y="0"/>
            <wp:positionH relativeFrom="column">
              <wp:posOffset>5129530</wp:posOffset>
            </wp:positionH>
            <wp:positionV relativeFrom="paragraph">
              <wp:posOffset>128905</wp:posOffset>
            </wp:positionV>
            <wp:extent cx="386080" cy="547370"/>
            <wp:effectExtent l="0" t="0" r="13970" b="5080"/>
            <wp:wrapNone/>
            <wp:docPr id="44" name="图片 68" descr="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8" descr="指北针"/>
                    <pic:cNvPicPr>
                      <a:picLocks noChangeAspect="1" noChangeArrowheads="1"/>
                    </pic:cNvPicPr>
                  </pic:nvPicPr>
                  <pic:blipFill>
                    <a:blip r:embed="rId48" cstate="print"/>
                    <a:srcRect/>
                    <a:stretch>
                      <a:fillRect/>
                    </a:stretch>
                  </pic:blipFill>
                  <pic:spPr>
                    <a:xfrm>
                      <a:off x="0" y="0"/>
                      <a:ext cx="386080" cy="547370"/>
                    </a:xfrm>
                    <a:prstGeom prst="rect">
                      <a:avLst/>
                    </a:prstGeom>
                    <a:noFill/>
                    <a:ln w="9525">
                      <a:noFill/>
                      <a:miter lim="800000"/>
                      <a:headEnd/>
                      <a:tailEnd/>
                    </a:ln>
                  </pic:spPr>
                </pic:pic>
              </a:graphicData>
            </a:graphic>
          </wp:anchor>
        </w:drawing>
      </w:r>
      <w:r>
        <w:rPr>
          <w:kern w:val="0"/>
          <w:sz w:val="20"/>
          <w:szCs w:val="20"/>
          <w:highlight w:val="none"/>
        </w:rPr>
        <w:drawing>
          <wp:inline distT="0" distB="0" distL="0" distR="0">
            <wp:extent cx="5537835" cy="2399665"/>
            <wp:effectExtent l="19050" t="19050" r="24765" b="19685"/>
            <wp:docPr id="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1"/>
                    <pic:cNvPicPr>
                      <a:picLocks noChangeAspect="1" noChangeArrowheads="1"/>
                    </pic:cNvPicPr>
                  </pic:nvPicPr>
                  <pic:blipFill>
                    <a:blip r:embed="rId49" cstate="print"/>
                    <a:srcRect/>
                    <a:stretch>
                      <a:fillRect/>
                    </a:stretch>
                  </pic:blipFill>
                  <pic:spPr>
                    <a:xfrm>
                      <a:off x="0" y="0"/>
                      <a:ext cx="5537835" cy="2399665"/>
                    </a:xfrm>
                    <a:prstGeom prst="rect">
                      <a:avLst/>
                    </a:prstGeom>
                    <a:noFill/>
                    <a:ln w="19050">
                      <a:solidFill>
                        <a:schemeClr val="tx1"/>
                      </a:solidFill>
                      <a:miter lim="800000"/>
                      <a:headEnd/>
                      <a:tailEnd/>
                    </a:ln>
                  </pic:spPr>
                </pic:pic>
              </a:graphicData>
            </a:graphic>
          </wp:inline>
        </w:drawing>
      </w:r>
    </w:p>
    <w:p>
      <w:pPr>
        <w:spacing w:line="480" w:lineRule="exact"/>
        <w:ind w:firstLine="480"/>
        <w:jc w:val="center"/>
        <w:rPr>
          <w:b/>
          <w:snapToGrid w:val="0"/>
          <w:kern w:val="0"/>
          <w:sz w:val="24"/>
          <w:highlight w:val="none"/>
        </w:rPr>
      </w:pPr>
      <w:r>
        <w:rPr>
          <w:b/>
          <w:bCs/>
          <w:sz w:val="24"/>
          <w:highlight w:val="none"/>
          <w:lang w:val="zh-CN"/>
        </w:rPr>
        <w:t>图</w:t>
      </w:r>
      <w:r>
        <w:rPr>
          <w:rFonts w:hint="eastAsia"/>
          <w:b/>
          <w:bCs/>
          <w:sz w:val="24"/>
          <w:highlight w:val="none"/>
        </w:rPr>
        <w:t>4</w:t>
      </w:r>
      <w:r>
        <w:rPr>
          <w:b/>
          <w:bCs/>
          <w:sz w:val="24"/>
          <w:highlight w:val="none"/>
        </w:rPr>
        <w:t>.</w:t>
      </w:r>
      <w:r>
        <w:rPr>
          <w:rFonts w:hint="eastAsia"/>
          <w:b/>
          <w:bCs/>
          <w:sz w:val="24"/>
          <w:highlight w:val="none"/>
        </w:rPr>
        <w:t>1</w:t>
      </w:r>
      <w:r>
        <w:rPr>
          <w:b/>
          <w:bCs/>
          <w:sz w:val="24"/>
          <w:highlight w:val="none"/>
        </w:rPr>
        <w:t>-</w:t>
      </w:r>
      <w:r>
        <w:rPr>
          <w:rFonts w:hint="eastAsia"/>
          <w:b/>
          <w:bCs/>
          <w:sz w:val="24"/>
          <w:highlight w:val="none"/>
          <w:lang w:val="en-US" w:eastAsia="zh-CN"/>
        </w:rPr>
        <w:t>1</w:t>
      </w:r>
      <w:r>
        <w:rPr>
          <w:b/>
          <w:bCs/>
          <w:sz w:val="24"/>
          <w:highlight w:val="none"/>
          <w:lang w:val="zh-CN"/>
        </w:rPr>
        <w:t>本项目在引滦入津输水线位置</w:t>
      </w:r>
    </w:p>
    <w:p>
      <w:pPr>
        <w:spacing w:line="480" w:lineRule="exact"/>
        <w:outlineLvl w:val="1"/>
        <w:rPr>
          <w:b/>
          <w:snapToGrid w:val="0"/>
          <w:kern w:val="0"/>
          <w:sz w:val="24"/>
          <w:highlight w:val="none"/>
        </w:rPr>
      </w:pPr>
      <w:bookmarkStart w:id="177" w:name="_Toc4144"/>
      <w:r>
        <w:rPr>
          <w:rFonts w:hint="eastAsia"/>
          <w:b/>
          <w:snapToGrid w:val="0"/>
          <w:kern w:val="0"/>
          <w:sz w:val="24"/>
          <w:highlight w:val="none"/>
        </w:rPr>
        <w:t>4</w:t>
      </w:r>
      <w:r>
        <w:rPr>
          <w:b/>
          <w:snapToGrid w:val="0"/>
          <w:kern w:val="0"/>
          <w:sz w:val="24"/>
          <w:highlight w:val="none"/>
        </w:rPr>
        <w:t>.</w:t>
      </w:r>
      <w:r>
        <w:rPr>
          <w:rFonts w:hint="eastAsia"/>
          <w:b/>
          <w:snapToGrid w:val="0"/>
          <w:kern w:val="0"/>
          <w:sz w:val="24"/>
          <w:highlight w:val="none"/>
        </w:rPr>
        <w:t>2</w:t>
      </w:r>
      <w:r>
        <w:rPr>
          <w:b/>
          <w:snapToGrid w:val="0"/>
          <w:kern w:val="0"/>
          <w:sz w:val="24"/>
          <w:highlight w:val="none"/>
        </w:rPr>
        <w:t xml:space="preserve"> </w:t>
      </w:r>
      <w:r>
        <w:rPr>
          <w:rFonts w:hint="eastAsia"/>
          <w:b/>
          <w:snapToGrid w:val="0"/>
          <w:kern w:val="0"/>
          <w:sz w:val="24"/>
          <w:highlight w:val="none"/>
        </w:rPr>
        <w:t>工程影响地区环境现状</w:t>
      </w:r>
      <w:bookmarkEnd w:id="177"/>
    </w:p>
    <w:p>
      <w:pPr>
        <w:autoSpaceDE w:val="0"/>
        <w:autoSpaceDN w:val="0"/>
        <w:adjustRightInd w:val="0"/>
        <w:spacing w:line="480" w:lineRule="exact"/>
        <w:rPr>
          <w:b/>
          <w:sz w:val="24"/>
          <w:highlight w:val="none"/>
          <w:lang w:val="zh-CN"/>
        </w:rPr>
      </w:pPr>
      <w:r>
        <w:rPr>
          <w:rFonts w:hint="eastAsia"/>
          <w:b/>
          <w:sz w:val="24"/>
          <w:highlight w:val="none"/>
        </w:rPr>
        <w:t>4</w:t>
      </w:r>
      <w:r>
        <w:rPr>
          <w:rFonts w:hint="eastAsia"/>
          <w:b/>
          <w:sz w:val="24"/>
          <w:highlight w:val="none"/>
          <w:lang w:val="zh-CN"/>
        </w:rPr>
        <w:t>.2.1地理位置</w:t>
      </w:r>
    </w:p>
    <w:p>
      <w:pPr>
        <w:autoSpaceDE w:val="0"/>
        <w:autoSpaceDN w:val="0"/>
        <w:adjustRightInd w:val="0"/>
        <w:spacing w:line="480" w:lineRule="exact"/>
        <w:ind w:firstLine="480"/>
        <w:rPr>
          <w:color w:val="auto"/>
          <w:sz w:val="24"/>
          <w:highlight w:val="none"/>
        </w:rPr>
      </w:pPr>
      <w:r>
        <w:rPr>
          <w:sz w:val="24"/>
          <w:highlight w:val="none"/>
          <w:lang w:val="zh-CN"/>
        </w:rPr>
        <w:t>遵化市位于河北省东北部燕山南麓，北倚长城，西顾京城，南临津唐，东通辽沈，地</w:t>
      </w:r>
      <w:r>
        <w:rPr>
          <w:color w:val="auto"/>
          <w:sz w:val="24"/>
          <w:highlight w:val="none"/>
          <w:lang w:val="zh-CN"/>
        </w:rPr>
        <w:t>处京、津、唐、承、秦大旅游圈中心地带，素有“畿东第一城”之称。面积1521平方公里，总人口70.2万，1992年经国务院批准撤县建市。</w:t>
      </w:r>
    </w:p>
    <w:p>
      <w:pPr>
        <w:autoSpaceDE w:val="0"/>
        <w:autoSpaceDN w:val="0"/>
        <w:adjustRightInd w:val="0"/>
        <w:spacing w:line="480" w:lineRule="exact"/>
        <w:ind w:firstLine="482"/>
        <w:rPr>
          <w:color w:val="auto"/>
          <w:sz w:val="24"/>
          <w:highlight w:val="none"/>
          <w:lang w:val="zh-CN"/>
        </w:rPr>
      </w:pPr>
      <w:r>
        <w:rPr>
          <w:rFonts w:hint="eastAsia"/>
          <w:snapToGrid w:val="0"/>
          <w:color w:val="000000" w:themeColor="text1"/>
          <w:kern w:val="0"/>
          <w:sz w:val="24"/>
          <w:highlight w:val="none"/>
          <w14:textFill>
            <w14:solidFill>
              <w14:schemeClr w14:val="tx1"/>
            </w14:solidFill>
          </w14:textFill>
        </w:rPr>
        <w:t>遵化市黎河四级水电站</w:t>
      </w:r>
      <w:r>
        <w:rPr>
          <w:sz w:val="24"/>
          <w:highlight w:val="none"/>
        </w:rPr>
        <w:t>项目</w:t>
      </w:r>
      <w:r>
        <w:rPr>
          <w:rFonts w:hint="eastAsia"/>
          <w:sz w:val="24"/>
          <w:highlight w:val="none"/>
        </w:rPr>
        <w:t>位于遵化市建明镇西铺村西南1200m</w:t>
      </w:r>
      <w:r>
        <w:rPr>
          <w:snapToGrid w:val="0"/>
          <w:kern w:val="0"/>
          <w:sz w:val="24"/>
          <w:highlight w:val="none"/>
        </w:rPr>
        <w:t>，厂区中心地理坐标</w:t>
      </w:r>
      <w:r>
        <w:rPr>
          <w:spacing w:val="10"/>
          <w:sz w:val="24"/>
          <w:highlight w:val="none"/>
        </w:rPr>
        <w:t>北纬</w:t>
      </w:r>
      <w:r>
        <w:rPr>
          <w:rFonts w:hint="eastAsia"/>
          <w:spacing w:val="10"/>
          <w:sz w:val="24"/>
          <w:highlight w:val="none"/>
        </w:rPr>
        <w:t>40.183881</w:t>
      </w:r>
      <w:r>
        <w:rPr>
          <w:spacing w:val="10"/>
          <w:sz w:val="24"/>
          <w:highlight w:val="none"/>
        </w:rPr>
        <w:t>°，东经</w:t>
      </w:r>
      <w:r>
        <w:rPr>
          <w:rFonts w:hint="eastAsia"/>
          <w:spacing w:val="10"/>
          <w:sz w:val="24"/>
          <w:highlight w:val="none"/>
        </w:rPr>
        <w:t>118.119378</w:t>
      </w:r>
      <w:r>
        <w:rPr>
          <w:spacing w:val="10"/>
          <w:sz w:val="24"/>
          <w:highlight w:val="none"/>
        </w:rPr>
        <w:t>°</w:t>
      </w:r>
      <w:r>
        <w:rPr>
          <w:sz w:val="24"/>
          <w:highlight w:val="none"/>
          <w:lang w:val="zh-CN"/>
        </w:rPr>
        <w:t>，</w:t>
      </w:r>
      <w:r>
        <w:rPr>
          <w:rFonts w:hint="eastAsia"/>
          <w:sz w:val="24"/>
          <w:highlight w:val="none"/>
          <w:lang w:val="zh-CN"/>
        </w:rPr>
        <w:t>厂址北侧为引水渠、南侧为排水渠，东侧为黎河，西侧为进厂道路，隔路为农田</w:t>
      </w:r>
      <w:r>
        <w:rPr>
          <w:sz w:val="24"/>
          <w:highlight w:val="none"/>
          <w:lang w:val="zh-CN"/>
        </w:rPr>
        <w:t>。距项目最近环境敏感点为</w:t>
      </w:r>
      <w:r>
        <w:rPr>
          <w:rFonts w:hint="eastAsia"/>
          <w:sz w:val="24"/>
          <w:highlight w:val="none"/>
          <w:lang w:val="zh-CN"/>
        </w:rPr>
        <w:t>该电站东南方向180m的庄户沟村、东北方向1200m的西铺村、西北方向740m的闫家屯村、西南方向1100m的大安乐庄村</w:t>
      </w:r>
      <w:r>
        <w:rPr>
          <w:sz w:val="24"/>
          <w:highlight w:val="none"/>
          <w:lang w:val="zh-CN"/>
        </w:rPr>
        <w:t>。</w:t>
      </w:r>
      <w:r>
        <w:rPr>
          <w:color w:val="auto"/>
          <w:sz w:val="24"/>
          <w:highlight w:val="none"/>
          <w:lang w:val="zh-CN"/>
        </w:rPr>
        <w:t>。电站附近无水源地、自然保护区、文物、景观等环境敏感点。</w:t>
      </w:r>
    </w:p>
    <w:p>
      <w:pPr>
        <w:autoSpaceDE w:val="0"/>
        <w:autoSpaceDN w:val="0"/>
        <w:adjustRightInd w:val="0"/>
        <w:spacing w:line="480" w:lineRule="exact"/>
        <w:rPr>
          <w:b/>
          <w:sz w:val="24"/>
          <w:highlight w:val="none"/>
          <w:lang w:val="zh-CN"/>
        </w:rPr>
      </w:pPr>
      <w:r>
        <w:rPr>
          <w:rFonts w:hint="eastAsia"/>
          <w:b/>
          <w:sz w:val="24"/>
          <w:highlight w:val="none"/>
        </w:rPr>
        <w:t>4</w:t>
      </w:r>
      <w:r>
        <w:rPr>
          <w:rFonts w:hint="eastAsia"/>
          <w:b/>
          <w:sz w:val="24"/>
          <w:highlight w:val="none"/>
          <w:lang w:val="zh-CN"/>
        </w:rPr>
        <w:t>.2.2 地形地貌</w:t>
      </w:r>
    </w:p>
    <w:p>
      <w:pPr>
        <w:autoSpaceDE w:val="0"/>
        <w:autoSpaceDN w:val="0"/>
        <w:adjustRightInd w:val="0"/>
        <w:spacing w:line="480" w:lineRule="exact"/>
        <w:ind w:firstLine="480"/>
        <w:rPr>
          <w:sz w:val="24"/>
          <w:highlight w:val="none"/>
        </w:rPr>
      </w:pPr>
      <w:r>
        <w:rPr>
          <w:sz w:val="24"/>
          <w:highlight w:val="none"/>
          <w:lang w:val="zh-CN"/>
        </w:rPr>
        <w:t>遵化市是燕山南麓著名的山间盆地，周围由燕山余脉环绕，中部为一山间冲洪积平原，其间有一带状山脉把山间平原分成南北两个山间川地，形成了“三山两川”的地貌特点。全市地势东北高，西南低，由北向南，高低相间，地势比降15%，境内最高山峰海拔895米，蓟运河沿岸地势最低，海拔仅20米。山区面积514平方公里，占全市总面积的33.8%，丘陵区面积522平方公里，占全市总面积的34.2%，群峰连绵起伏，海拔高度多在200-500米；平原区面积485平方公里，占总面积的32%，地面平坦开阔，地面坡降小于1%，海拔高程20-80米，地面母质多为轻壤土。</w:t>
      </w:r>
    </w:p>
    <w:p>
      <w:pPr>
        <w:autoSpaceDE w:val="0"/>
        <w:autoSpaceDN w:val="0"/>
        <w:adjustRightInd w:val="0"/>
        <w:spacing w:line="480" w:lineRule="exact"/>
        <w:ind w:firstLine="480"/>
        <w:rPr>
          <w:sz w:val="24"/>
          <w:highlight w:val="none"/>
          <w:lang w:val="zh-CN"/>
        </w:rPr>
      </w:pPr>
      <w:r>
        <w:rPr>
          <w:rFonts w:hint="eastAsia"/>
          <w:sz w:val="24"/>
          <w:highlight w:val="none"/>
          <w:lang w:val="zh-CN"/>
        </w:rPr>
        <w:t>黎河流域发育的主要地层有：太古界迁西群跑马场组</w:t>
      </w:r>
      <w:r>
        <w:rPr>
          <w:sz w:val="24"/>
          <w:highlight w:val="none"/>
          <w:lang w:val="zh-CN"/>
        </w:rPr>
        <w:t>(Arp)</w:t>
      </w:r>
      <w:r>
        <w:rPr>
          <w:rFonts w:hint="eastAsia"/>
          <w:sz w:val="24"/>
          <w:highlight w:val="none"/>
          <w:lang w:val="zh-CN"/>
        </w:rPr>
        <w:t>片麻岩，长城系常州沟组（</w:t>
      </w:r>
      <w:r>
        <w:rPr>
          <w:sz w:val="24"/>
          <w:highlight w:val="none"/>
          <w:lang w:val="zh-CN"/>
        </w:rPr>
        <w:t>chc</w:t>
      </w:r>
      <w:r>
        <w:rPr>
          <w:rFonts w:hint="eastAsia"/>
          <w:sz w:val="24"/>
          <w:highlight w:val="none"/>
          <w:lang w:val="zh-CN"/>
        </w:rPr>
        <w:t>）石英砂岩，第四系中更新统残坡积（</w:t>
      </w:r>
      <w:r>
        <w:rPr>
          <w:sz w:val="24"/>
          <w:highlight w:val="none"/>
          <w:lang w:val="zh-CN"/>
        </w:rPr>
        <w:t>Q2alp</w:t>
      </w:r>
      <w:r>
        <w:rPr>
          <w:rFonts w:hint="eastAsia"/>
          <w:sz w:val="24"/>
          <w:highlight w:val="none"/>
          <w:lang w:val="zh-CN"/>
        </w:rPr>
        <w:t>）碎石、粘土，第四系上更新统冲洪积（</w:t>
      </w:r>
      <w:r>
        <w:rPr>
          <w:sz w:val="24"/>
          <w:highlight w:val="none"/>
          <w:lang w:val="zh-CN"/>
        </w:rPr>
        <w:t>Q3alp</w:t>
      </w:r>
      <w:r>
        <w:rPr>
          <w:rFonts w:hint="eastAsia"/>
          <w:sz w:val="24"/>
          <w:highlight w:val="none"/>
          <w:lang w:val="zh-CN"/>
        </w:rPr>
        <w:t>）卵砾石，第四系全新统冲洪积（</w:t>
      </w:r>
      <w:r>
        <w:rPr>
          <w:sz w:val="24"/>
          <w:highlight w:val="none"/>
          <w:lang w:val="zh-CN"/>
        </w:rPr>
        <w:t>Q4alp</w:t>
      </w:r>
      <w:r>
        <w:rPr>
          <w:rFonts w:hint="eastAsia"/>
          <w:sz w:val="24"/>
          <w:highlight w:val="none"/>
          <w:lang w:val="zh-CN"/>
        </w:rPr>
        <w:t>）卵砾石、砂土、砂壤土、壤土、粘土，第四系全新统填土（</w:t>
      </w:r>
      <w:r>
        <w:rPr>
          <w:sz w:val="24"/>
          <w:highlight w:val="none"/>
          <w:lang w:val="zh-CN"/>
        </w:rPr>
        <w:t>Q4s</w:t>
      </w:r>
      <w:r>
        <w:rPr>
          <w:rFonts w:hint="eastAsia"/>
          <w:sz w:val="24"/>
          <w:highlight w:val="none"/>
          <w:lang w:val="zh-CN"/>
        </w:rPr>
        <w:t>）人工填土及尾矿砂等。</w:t>
      </w:r>
    </w:p>
    <w:p>
      <w:pPr>
        <w:autoSpaceDE w:val="0"/>
        <w:autoSpaceDN w:val="0"/>
        <w:adjustRightInd w:val="0"/>
        <w:spacing w:line="480" w:lineRule="exact"/>
        <w:ind w:firstLine="480"/>
        <w:rPr>
          <w:sz w:val="24"/>
          <w:highlight w:val="none"/>
          <w:lang w:val="zh-CN"/>
        </w:rPr>
      </w:pPr>
      <w:r>
        <w:rPr>
          <w:rFonts w:hint="eastAsia"/>
          <w:sz w:val="24"/>
          <w:highlight w:val="none"/>
          <w:lang w:val="zh-CN"/>
        </w:rPr>
        <w:t>根据《中国地震动参数区划图》（</w:t>
      </w:r>
      <w:r>
        <w:rPr>
          <w:sz w:val="24"/>
          <w:highlight w:val="none"/>
          <w:lang w:val="zh-CN"/>
        </w:rPr>
        <w:t>GB18306-2001</w:t>
      </w:r>
      <w:r>
        <w:rPr>
          <w:rFonts w:hint="eastAsia"/>
          <w:sz w:val="24"/>
          <w:highlight w:val="none"/>
          <w:lang w:val="zh-CN"/>
        </w:rPr>
        <w:t>），工程区地震动峰值加速度</w:t>
      </w:r>
      <w:r>
        <w:rPr>
          <w:sz w:val="24"/>
          <w:highlight w:val="none"/>
          <w:lang w:val="zh-CN"/>
        </w:rPr>
        <w:t>0. lOg</w:t>
      </w:r>
      <w:r>
        <w:rPr>
          <w:rFonts w:hint="eastAsia"/>
          <w:sz w:val="24"/>
          <w:highlight w:val="none"/>
          <w:lang w:val="zh-CN"/>
        </w:rPr>
        <w:t>，相当于地震基本烈度Ⅶ度。</w:t>
      </w:r>
    </w:p>
    <w:p>
      <w:pPr>
        <w:autoSpaceDE w:val="0"/>
        <w:autoSpaceDN w:val="0"/>
        <w:adjustRightInd w:val="0"/>
        <w:spacing w:line="480" w:lineRule="exact"/>
        <w:rPr>
          <w:b/>
          <w:sz w:val="24"/>
          <w:highlight w:val="none"/>
          <w:lang w:val="zh-CN"/>
        </w:rPr>
      </w:pPr>
      <w:r>
        <w:rPr>
          <w:rFonts w:hint="eastAsia"/>
          <w:b/>
          <w:sz w:val="24"/>
          <w:highlight w:val="none"/>
        </w:rPr>
        <w:t>4</w:t>
      </w:r>
      <w:r>
        <w:rPr>
          <w:rFonts w:hint="eastAsia"/>
          <w:b/>
          <w:sz w:val="24"/>
          <w:highlight w:val="none"/>
          <w:lang w:val="zh-CN"/>
        </w:rPr>
        <w:t>.2.3 气候气象</w:t>
      </w:r>
    </w:p>
    <w:p>
      <w:pPr>
        <w:autoSpaceDE w:val="0"/>
        <w:autoSpaceDN w:val="0"/>
        <w:adjustRightInd w:val="0"/>
        <w:spacing w:line="480" w:lineRule="exact"/>
        <w:ind w:firstLine="480"/>
        <w:rPr>
          <w:kern w:val="0"/>
          <w:sz w:val="24"/>
          <w:highlight w:val="none"/>
        </w:rPr>
      </w:pPr>
      <w:r>
        <w:rPr>
          <w:kern w:val="0"/>
          <w:sz w:val="24"/>
          <w:highlight w:val="none"/>
          <w:lang w:val="zh-CN"/>
        </w:rPr>
        <w:t>遵化市气候属暖温带半湿润大陆性季风气候，四季分明，季风盛行，具有夏季短促炎热多雨，秋季昼暖夜寒，冬季寒冷少雪干燥的特点。</w:t>
      </w:r>
    </w:p>
    <w:p>
      <w:pPr>
        <w:autoSpaceDE w:val="0"/>
        <w:autoSpaceDN w:val="0"/>
        <w:adjustRightInd w:val="0"/>
        <w:spacing w:line="480" w:lineRule="exact"/>
        <w:ind w:firstLine="480"/>
        <w:rPr>
          <w:kern w:val="0"/>
          <w:sz w:val="24"/>
          <w:highlight w:val="none"/>
        </w:rPr>
      </w:pPr>
      <w:r>
        <w:rPr>
          <w:kern w:val="0"/>
          <w:sz w:val="24"/>
          <w:highlight w:val="none"/>
          <w:lang w:val="zh-CN"/>
        </w:rPr>
        <w:t>（</w:t>
      </w:r>
      <w:r>
        <w:rPr>
          <w:kern w:val="0"/>
          <w:sz w:val="24"/>
          <w:highlight w:val="none"/>
        </w:rPr>
        <w:t>1</w:t>
      </w:r>
      <w:r>
        <w:rPr>
          <w:kern w:val="0"/>
          <w:sz w:val="24"/>
          <w:highlight w:val="none"/>
          <w:lang w:val="zh-CN"/>
        </w:rPr>
        <w:t>）气温</w:t>
      </w:r>
    </w:p>
    <w:p>
      <w:pPr>
        <w:autoSpaceDE w:val="0"/>
        <w:autoSpaceDN w:val="0"/>
        <w:adjustRightInd w:val="0"/>
        <w:spacing w:line="480" w:lineRule="exact"/>
        <w:ind w:firstLine="480"/>
        <w:rPr>
          <w:kern w:val="0"/>
          <w:sz w:val="24"/>
          <w:highlight w:val="none"/>
        </w:rPr>
      </w:pPr>
      <w:r>
        <w:rPr>
          <w:kern w:val="0"/>
          <w:sz w:val="24"/>
          <w:highlight w:val="none"/>
          <w:lang w:val="zh-CN"/>
        </w:rPr>
        <w:t>遵化市四周环山，对冷空气南下有一定屏阻，气温比纬度低于这里的一些县稍高，年平均气温</w:t>
      </w:r>
      <w:r>
        <w:rPr>
          <w:kern w:val="0"/>
          <w:sz w:val="24"/>
          <w:highlight w:val="none"/>
        </w:rPr>
        <w:t>10.4</w:t>
      </w:r>
      <w:r>
        <w:rPr>
          <w:rFonts w:hint="eastAsia" w:ascii="宋体" w:hAnsi="宋体" w:cs="宋体"/>
          <w:kern w:val="0"/>
          <w:sz w:val="24"/>
          <w:highlight w:val="none"/>
          <w:lang w:val="zh-CN"/>
        </w:rPr>
        <w:t>℃</w:t>
      </w:r>
      <w:r>
        <w:rPr>
          <w:kern w:val="0"/>
          <w:sz w:val="24"/>
          <w:highlight w:val="none"/>
          <w:lang w:val="zh-CN"/>
        </w:rPr>
        <w:t>，年平均最高气温</w:t>
      </w:r>
      <w:r>
        <w:rPr>
          <w:kern w:val="0"/>
          <w:sz w:val="24"/>
          <w:highlight w:val="none"/>
        </w:rPr>
        <w:t>17.2</w:t>
      </w:r>
      <w:r>
        <w:rPr>
          <w:rFonts w:hint="eastAsia" w:ascii="宋体" w:hAnsi="宋体" w:cs="宋体"/>
          <w:kern w:val="0"/>
          <w:sz w:val="24"/>
          <w:highlight w:val="none"/>
          <w:lang w:val="zh-CN"/>
        </w:rPr>
        <w:t>℃</w:t>
      </w:r>
      <w:r>
        <w:rPr>
          <w:kern w:val="0"/>
          <w:sz w:val="24"/>
          <w:highlight w:val="none"/>
          <w:lang w:val="zh-CN"/>
        </w:rPr>
        <w:t>，年平均最低气温</w:t>
      </w:r>
      <w:r>
        <w:rPr>
          <w:kern w:val="0"/>
          <w:sz w:val="24"/>
          <w:highlight w:val="none"/>
        </w:rPr>
        <w:t>4.4</w:t>
      </w:r>
      <w:r>
        <w:rPr>
          <w:rFonts w:hint="eastAsia" w:ascii="宋体" w:hAnsi="宋体" w:cs="宋体"/>
          <w:kern w:val="0"/>
          <w:sz w:val="24"/>
          <w:highlight w:val="none"/>
          <w:lang w:val="zh-CN"/>
        </w:rPr>
        <w:t>℃</w:t>
      </w:r>
      <w:r>
        <w:rPr>
          <w:kern w:val="0"/>
          <w:sz w:val="24"/>
          <w:highlight w:val="none"/>
          <w:lang w:val="zh-CN"/>
        </w:rPr>
        <w:t>，极端最高气温</w:t>
      </w:r>
      <w:r>
        <w:rPr>
          <w:kern w:val="0"/>
          <w:sz w:val="24"/>
          <w:highlight w:val="none"/>
        </w:rPr>
        <w:t>40.3</w:t>
      </w:r>
      <w:r>
        <w:rPr>
          <w:rFonts w:hint="eastAsia" w:ascii="宋体" w:hAnsi="宋体" w:cs="宋体"/>
          <w:kern w:val="0"/>
          <w:sz w:val="24"/>
          <w:highlight w:val="none"/>
          <w:lang w:val="zh-CN"/>
        </w:rPr>
        <w:t>℃</w:t>
      </w:r>
      <w:r>
        <w:rPr>
          <w:kern w:val="0"/>
          <w:sz w:val="24"/>
          <w:highlight w:val="none"/>
          <w:lang w:val="zh-CN"/>
        </w:rPr>
        <w:t>，极端最低气温</w:t>
      </w:r>
      <w:r>
        <w:rPr>
          <w:kern w:val="0"/>
          <w:sz w:val="24"/>
          <w:highlight w:val="none"/>
        </w:rPr>
        <w:t>-25.7</w:t>
      </w:r>
      <w:r>
        <w:rPr>
          <w:rFonts w:hint="eastAsia" w:ascii="宋体" w:hAnsi="宋体" w:cs="宋体"/>
          <w:kern w:val="0"/>
          <w:sz w:val="24"/>
          <w:highlight w:val="none"/>
          <w:lang w:val="zh-CN"/>
        </w:rPr>
        <w:t>℃</w:t>
      </w:r>
      <w:r>
        <w:rPr>
          <w:kern w:val="0"/>
          <w:sz w:val="24"/>
          <w:highlight w:val="none"/>
          <w:lang w:val="zh-CN"/>
        </w:rPr>
        <w:t>，极端最高气温和最低气温相差</w:t>
      </w:r>
      <w:r>
        <w:rPr>
          <w:kern w:val="0"/>
          <w:sz w:val="24"/>
          <w:highlight w:val="none"/>
        </w:rPr>
        <w:t>66</w:t>
      </w:r>
      <w:r>
        <w:rPr>
          <w:rFonts w:hint="eastAsia" w:ascii="宋体" w:hAnsi="宋体" w:cs="宋体"/>
          <w:kern w:val="0"/>
          <w:sz w:val="24"/>
          <w:highlight w:val="none"/>
          <w:lang w:val="zh-CN"/>
        </w:rPr>
        <w:t>℃</w:t>
      </w:r>
      <w:r>
        <w:rPr>
          <w:kern w:val="0"/>
          <w:sz w:val="24"/>
          <w:highlight w:val="none"/>
          <w:lang w:val="zh-CN"/>
        </w:rPr>
        <w:t>。</w:t>
      </w:r>
    </w:p>
    <w:p>
      <w:pPr>
        <w:autoSpaceDE w:val="0"/>
        <w:autoSpaceDN w:val="0"/>
        <w:adjustRightInd w:val="0"/>
        <w:spacing w:line="480" w:lineRule="exact"/>
        <w:ind w:firstLine="480"/>
        <w:rPr>
          <w:kern w:val="0"/>
          <w:sz w:val="24"/>
          <w:highlight w:val="none"/>
        </w:rPr>
      </w:pPr>
      <w:r>
        <w:rPr>
          <w:kern w:val="0"/>
          <w:sz w:val="24"/>
          <w:highlight w:val="none"/>
          <w:lang w:val="zh-CN"/>
        </w:rPr>
        <w:t>冬夏气温变化剧烈，冬季三个月多年平均气温低于</w:t>
      </w:r>
      <w:r>
        <w:rPr>
          <w:kern w:val="0"/>
          <w:sz w:val="24"/>
          <w:highlight w:val="none"/>
        </w:rPr>
        <w:t>0</w:t>
      </w:r>
      <w:r>
        <w:rPr>
          <w:rFonts w:hint="eastAsia" w:ascii="宋体" w:hAnsi="宋体" w:cs="宋体"/>
          <w:kern w:val="0"/>
          <w:sz w:val="24"/>
          <w:highlight w:val="none"/>
          <w:lang w:val="zh-CN"/>
        </w:rPr>
        <w:t>℃</w:t>
      </w:r>
      <w:r>
        <w:rPr>
          <w:kern w:val="0"/>
          <w:sz w:val="24"/>
          <w:highlight w:val="none"/>
          <w:lang w:val="zh-CN"/>
        </w:rPr>
        <w:t>，最冷月</w:t>
      </w:r>
      <w:r>
        <w:rPr>
          <w:kern w:val="0"/>
          <w:sz w:val="24"/>
          <w:highlight w:val="none"/>
        </w:rPr>
        <w:t>1</w:t>
      </w:r>
      <w:r>
        <w:rPr>
          <w:kern w:val="0"/>
          <w:sz w:val="24"/>
          <w:highlight w:val="none"/>
          <w:lang w:val="zh-CN"/>
        </w:rPr>
        <w:t>月，月平均气温为</w:t>
      </w:r>
      <w:r>
        <w:rPr>
          <w:kern w:val="0"/>
          <w:sz w:val="24"/>
          <w:highlight w:val="none"/>
        </w:rPr>
        <w:t>-7.1</w:t>
      </w:r>
      <w:r>
        <w:rPr>
          <w:rFonts w:hint="eastAsia" w:ascii="宋体" w:hAnsi="宋体" w:cs="宋体"/>
          <w:kern w:val="0"/>
          <w:sz w:val="24"/>
          <w:highlight w:val="none"/>
          <w:lang w:val="zh-CN"/>
        </w:rPr>
        <w:t>℃</w:t>
      </w:r>
      <w:r>
        <w:rPr>
          <w:kern w:val="0"/>
          <w:sz w:val="24"/>
          <w:highlight w:val="none"/>
          <w:lang w:val="zh-CN"/>
        </w:rPr>
        <w:t>；夏季三个月多年平均气温超过</w:t>
      </w:r>
      <w:r>
        <w:rPr>
          <w:kern w:val="0"/>
          <w:sz w:val="24"/>
          <w:highlight w:val="none"/>
        </w:rPr>
        <w:t>23</w:t>
      </w:r>
      <w:r>
        <w:rPr>
          <w:rFonts w:hint="eastAsia" w:ascii="宋体" w:hAnsi="宋体" w:cs="宋体"/>
          <w:kern w:val="0"/>
          <w:sz w:val="24"/>
          <w:highlight w:val="none"/>
          <w:lang w:val="zh-CN"/>
        </w:rPr>
        <w:t>℃</w:t>
      </w:r>
      <w:r>
        <w:rPr>
          <w:kern w:val="0"/>
          <w:sz w:val="24"/>
          <w:highlight w:val="none"/>
          <w:lang w:val="zh-CN"/>
        </w:rPr>
        <w:t>，最热月</w:t>
      </w:r>
      <w:r>
        <w:rPr>
          <w:kern w:val="0"/>
          <w:sz w:val="24"/>
          <w:highlight w:val="none"/>
        </w:rPr>
        <w:t>7</w:t>
      </w:r>
      <w:r>
        <w:rPr>
          <w:kern w:val="0"/>
          <w:sz w:val="24"/>
          <w:highlight w:val="none"/>
          <w:lang w:val="zh-CN"/>
        </w:rPr>
        <w:t>月，月平均气温为</w:t>
      </w:r>
      <w:r>
        <w:rPr>
          <w:kern w:val="0"/>
          <w:sz w:val="24"/>
          <w:highlight w:val="none"/>
        </w:rPr>
        <w:t>25.4</w:t>
      </w:r>
      <w:r>
        <w:rPr>
          <w:rFonts w:hint="eastAsia" w:ascii="宋体" w:hAnsi="宋体" w:cs="宋体"/>
          <w:kern w:val="0"/>
          <w:sz w:val="24"/>
          <w:highlight w:val="none"/>
          <w:lang w:val="zh-CN"/>
        </w:rPr>
        <w:t>℃</w:t>
      </w:r>
      <w:r>
        <w:rPr>
          <w:kern w:val="0"/>
          <w:sz w:val="24"/>
          <w:highlight w:val="none"/>
          <w:lang w:val="zh-CN"/>
        </w:rPr>
        <w:t>，多年平均气温年较差为</w:t>
      </w:r>
      <w:r>
        <w:rPr>
          <w:kern w:val="0"/>
          <w:sz w:val="24"/>
          <w:highlight w:val="none"/>
        </w:rPr>
        <w:t>32.5</w:t>
      </w:r>
      <w:r>
        <w:rPr>
          <w:rFonts w:hint="eastAsia" w:ascii="宋体" w:hAnsi="宋体" w:cs="宋体"/>
          <w:kern w:val="0"/>
          <w:sz w:val="24"/>
          <w:highlight w:val="none"/>
          <w:lang w:val="zh-CN"/>
        </w:rPr>
        <w:t>℃</w:t>
      </w:r>
      <w:r>
        <w:rPr>
          <w:kern w:val="0"/>
          <w:sz w:val="24"/>
          <w:highlight w:val="none"/>
          <w:lang w:val="zh-CN"/>
        </w:rPr>
        <w:t>，极端气温年较差最大值达</w:t>
      </w:r>
      <w:r>
        <w:rPr>
          <w:kern w:val="0"/>
          <w:sz w:val="24"/>
          <w:highlight w:val="none"/>
        </w:rPr>
        <w:t>64.3</w:t>
      </w:r>
      <w:r>
        <w:rPr>
          <w:rFonts w:hint="eastAsia" w:ascii="宋体" w:hAnsi="宋体" w:cs="宋体"/>
          <w:kern w:val="0"/>
          <w:sz w:val="24"/>
          <w:highlight w:val="none"/>
          <w:lang w:val="zh-CN"/>
        </w:rPr>
        <w:t>℃</w:t>
      </w:r>
      <w:r>
        <w:rPr>
          <w:kern w:val="0"/>
          <w:sz w:val="24"/>
          <w:highlight w:val="none"/>
          <w:lang w:val="zh-CN"/>
        </w:rPr>
        <w:t>，市域内气温日较差也较大，尤其以春秋季节更为明显。春季</w:t>
      </w:r>
      <w:r>
        <w:rPr>
          <w:kern w:val="0"/>
          <w:sz w:val="24"/>
          <w:highlight w:val="none"/>
        </w:rPr>
        <w:t>4</w:t>
      </w:r>
      <w:r>
        <w:rPr>
          <w:kern w:val="0"/>
          <w:sz w:val="24"/>
          <w:highlight w:val="none"/>
          <w:lang w:val="zh-CN"/>
        </w:rPr>
        <w:t>、</w:t>
      </w:r>
      <w:r>
        <w:rPr>
          <w:kern w:val="0"/>
          <w:sz w:val="24"/>
          <w:highlight w:val="none"/>
        </w:rPr>
        <w:t>5</w:t>
      </w:r>
      <w:r>
        <w:rPr>
          <w:kern w:val="0"/>
          <w:sz w:val="24"/>
          <w:highlight w:val="none"/>
          <w:lang w:val="zh-CN"/>
        </w:rPr>
        <w:t>月份平均日较差最大，分别为</w:t>
      </w:r>
      <w:r>
        <w:rPr>
          <w:kern w:val="0"/>
          <w:sz w:val="24"/>
          <w:highlight w:val="none"/>
        </w:rPr>
        <w:t>14.3</w:t>
      </w:r>
      <w:r>
        <w:rPr>
          <w:rFonts w:hint="eastAsia" w:ascii="宋体" w:hAnsi="宋体" w:cs="宋体"/>
          <w:kern w:val="0"/>
          <w:sz w:val="24"/>
          <w:highlight w:val="none"/>
          <w:lang w:val="zh-CN"/>
        </w:rPr>
        <w:t>℃</w:t>
      </w:r>
      <w:r>
        <w:rPr>
          <w:kern w:val="0"/>
          <w:sz w:val="24"/>
          <w:highlight w:val="none"/>
          <w:lang w:val="zh-CN"/>
        </w:rPr>
        <w:t>和</w:t>
      </w:r>
      <w:r>
        <w:rPr>
          <w:kern w:val="0"/>
          <w:sz w:val="24"/>
          <w:highlight w:val="none"/>
        </w:rPr>
        <w:t>14.6</w:t>
      </w:r>
      <w:r>
        <w:rPr>
          <w:rFonts w:hint="eastAsia" w:ascii="宋体" w:hAnsi="宋体" w:cs="宋体"/>
          <w:kern w:val="0"/>
          <w:sz w:val="24"/>
          <w:highlight w:val="none"/>
          <w:lang w:val="zh-CN"/>
        </w:rPr>
        <w:t>℃</w:t>
      </w:r>
      <w:r>
        <w:rPr>
          <w:kern w:val="0"/>
          <w:sz w:val="24"/>
          <w:highlight w:val="none"/>
          <w:lang w:val="zh-CN"/>
        </w:rPr>
        <w:t>，秋季</w:t>
      </w:r>
      <w:r>
        <w:rPr>
          <w:kern w:val="0"/>
          <w:sz w:val="24"/>
          <w:highlight w:val="none"/>
        </w:rPr>
        <w:t>9</w:t>
      </w:r>
      <w:r>
        <w:rPr>
          <w:kern w:val="0"/>
          <w:sz w:val="24"/>
          <w:highlight w:val="none"/>
          <w:lang w:val="zh-CN"/>
        </w:rPr>
        <w:t>、</w:t>
      </w:r>
      <w:r>
        <w:rPr>
          <w:kern w:val="0"/>
          <w:sz w:val="24"/>
          <w:highlight w:val="none"/>
        </w:rPr>
        <w:t>10</w:t>
      </w:r>
      <w:r>
        <w:rPr>
          <w:kern w:val="0"/>
          <w:sz w:val="24"/>
          <w:highlight w:val="none"/>
          <w:lang w:val="zh-CN"/>
        </w:rPr>
        <w:t>月份平均日较差分别为</w:t>
      </w:r>
      <w:r>
        <w:rPr>
          <w:kern w:val="0"/>
          <w:sz w:val="24"/>
          <w:highlight w:val="none"/>
        </w:rPr>
        <w:t>13.5</w:t>
      </w:r>
      <w:r>
        <w:rPr>
          <w:rFonts w:hint="eastAsia" w:ascii="宋体" w:hAnsi="宋体" w:cs="宋体"/>
          <w:kern w:val="0"/>
          <w:sz w:val="24"/>
          <w:highlight w:val="none"/>
          <w:lang w:val="zh-CN"/>
        </w:rPr>
        <w:t>℃</w:t>
      </w:r>
      <w:r>
        <w:rPr>
          <w:kern w:val="0"/>
          <w:sz w:val="24"/>
          <w:highlight w:val="none"/>
          <w:lang w:val="zh-CN"/>
        </w:rPr>
        <w:t>和</w:t>
      </w:r>
      <w:r>
        <w:rPr>
          <w:kern w:val="0"/>
          <w:sz w:val="24"/>
          <w:highlight w:val="none"/>
        </w:rPr>
        <w:t>13.7</w:t>
      </w:r>
      <w:r>
        <w:rPr>
          <w:rFonts w:hint="eastAsia" w:ascii="宋体" w:hAnsi="宋体" w:cs="宋体"/>
          <w:kern w:val="0"/>
          <w:sz w:val="24"/>
          <w:highlight w:val="none"/>
          <w:lang w:val="zh-CN"/>
        </w:rPr>
        <w:t>℃</w:t>
      </w:r>
      <w:r>
        <w:rPr>
          <w:kern w:val="0"/>
          <w:sz w:val="24"/>
          <w:highlight w:val="none"/>
          <w:lang w:val="zh-CN"/>
        </w:rPr>
        <w:t>。全年≥</w:t>
      </w:r>
      <w:r>
        <w:rPr>
          <w:kern w:val="0"/>
          <w:sz w:val="24"/>
          <w:highlight w:val="none"/>
        </w:rPr>
        <w:t>0</w:t>
      </w:r>
      <w:r>
        <w:rPr>
          <w:rFonts w:hint="eastAsia" w:ascii="宋体" w:hAnsi="宋体" w:cs="宋体"/>
          <w:kern w:val="0"/>
          <w:sz w:val="24"/>
          <w:highlight w:val="none"/>
          <w:lang w:val="zh-CN"/>
        </w:rPr>
        <w:t>℃</w:t>
      </w:r>
      <w:r>
        <w:rPr>
          <w:kern w:val="0"/>
          <w:sz w:val="24"/>
          <w:highlight w:val="none"/>
          <w:lang w:val="zh-CN"/>
        </w:rPr>
        <w:t>的总积温为</w:t>
      </w:r>
      <w:r>
        <w:rPr>
          <w:kern w:val="0"/>
          <w:sz w:val="24"/>
          <w:highlight w:val="none"/>
        </w:rPr>
        <w:t>4340</w:t>
      </w:r>
      <w:r>
        <w:rPr>
          <w:rFonts w:hint="eastAsia" w:ascii="宋体" w:hAnsi="宋体" w:cs="宋体"/>
          <w:kern w:val="0"/>
          <w:sz w:val="24"/>
          <w:highlight w:val="none"/>
          <w:lang w:val="zh-CN"/>
        </w:rPr>
        <w:t>℃</w:t>
      </w:r>
      <w:r>
        <w:rPr>
          <w:kern w:val="0"/>
          <w:sz w:val="24"/>
          <w:highlight w:val="none"/>
          <w:lang w:val="zh-CN"/>
        </w:rPr>
        <w:t>，≥</w:t>
      </w:r>
      <w:r>
        <w:rPr>
          <w:kern w:val="0"/>
          <w:sz w:val="24"/>
          <w:highlight w:val="none"/>
        </w:rPr>
        <w:t>10</w:t>
      </w:r>
      <w:r>
        <w:rPr>
          <w:rFonts w:hint="eastAsia" w:ascii="宋体" w:hAnsi="宋体" w:cs="宋体"/>
          <w:kern w:val="0"/>
          <w:sz w:val="24"/>
          <w:highlight w:val="none"/>
          <w:lang w:val="zh-CN"/>
        </w:rPr>
        <w:t>℃</w:t>
      </w:r>
      <w:r>
        <w:rPr>
          <w:kern w:val="0"/>
          <w:sz w:val="24"/>
          <w:highlight w:val="none"/>
          <w:lang w:val="zh-CN"/>
        </w:rPr>
        <w:t>的总积温为</w:t>
      </w:r>
      <w:r>
        <w:rPr>
          <w:kern w:val="0"/>
          <w:sz w:val="24"/>
          <w:highlight w:val="none"/>
        </w:rPr>
        <w:t>3980</w:t>
      </w:r>
      <w:r>
        <w:rPr>
          <w:rFonts w:hint="eastAsia" w:ascii="宋体" w:hAnsi="宋体" w:cs="宋体"/>
          <w:kern w:val="0"/>
          <w:sz w:val="24"/>
          <w:highlight w:val="none"/>
          <w:lang w:val="zh-CN"/>
        </w:rPr>
        <w:t>℃</w:t>
      </w:r>
      <w:r>
        <w:rPr>
          <w:kern w:val="0"/>
          <w:sz w:val="24"/>
          <w:highlight w:val="none"/>
          <w:lang w:val="zh-CN"/>
        </w:rPr>
        <w:t>。</w:t>
      </w:r>
    </w:p>
    <w:p>
      <w:pPr>
        <w:autoSpaceDE w:val="0"/>
        <w:autoSpaceDN w:val="0"/>
        <w:adjustRightInd w:val="0"/>
        <w:spacing w:line="480" w:lineRule="exact"/>
        <w:ind w:firstLine="480"/>
        <w:rPr>
          <w:kern w:val="0"/>
          <w:sz w:val="24"/>
          <w:highlight w:val="none"/>
        </w:rPr>
      </w:pPr>
      <w:r>
        <w:rPr>
          <w:kern w:val="0"/>
          <w:sz w:val="24"/>
          <w:highlight w:val="none"/>
          <w:lang w:val="zh-CN"/>
        </w:rPr>
        <w:t>（</w:t>
      </w:r>
      <w:r>
        <w:rPr>
          <w:kern w:val="0"/>
          <w:sz w:val="24"/>
          <w:highlight w:val="none"/>
        </w:rPr>
        <w:t>2</w:t>
      </w:r>
      <w:r>
        <w:rPr>
          <w:kern w:val="0"/>
          <w:sz w:val="24"/>
          <w:highlight w:val="none"/>
          <w:lang w:val="zh-CN"/>
        </w:rPr>
        <w:t>）日照</w:t>
      </w:r>
    </w:p>
    <w:p>
      <w:pPr>
        <w:autoSpaceDE w:val="0"/>
        <w:autoSpaceDN w:val="0"/>
        <w:adjustRightInd w:val="0"/>
        <w:spacing w:line="480" w:lineRule="exact"/>
        <w:ind w:firstLine="480"/>
        <w:rPr>
          <w:kern w:val="0"/>
          <w:sz w:val="24"/>
          <w:highlight w:val="none"/>
        </w:rPr>
      </w:pPr>
      <w:r>
        <w:rPr>
          <w:kern w:val="0"/>
          <w:sz w:val="24"/>
          <w:highlight w:val="none"/>
          <w:lang w:val="zh-CN"/>
        </w:rPr>
        <w:t>遵化市日照时数长，太阳辐射资源丰富。平均年日照时数为</w:t>
      </w:r>
      <w:r>
        <w:rPr>
          <w:kern w:val="0"/>
          <w:sz w:val="24"/>
          <w:highlight w:val="none"/>
        </w:rPr>
        <w:t>2608.2</w:t>
      </w:r>
      <w:r>
        <w:rPr>
          <w:kern w:val="0"/>
          <w:sz w:val="24"/>
          <w:highlight w:val="none"/>
          <w:lang w:val="zh-CN"/>
        </w:rPr>
        <w:t>小时，日照百分率为</w:t>
      </w:r>
      <w:r>
        <w:rPr>
          <w:kern w:val="0"/>
          <w:sz w:val="24"/>
          <w:highlight w:val="none"/>
        </w:rPr>
        <w:t>59%</w:t>
      </w:r>
      <w:r>
        <w:rPr>
          <w:kern w:val="0"/>
          <w:sz w:val="24"/>
          <w:highlight w:val="none"/>
          <w:lang w:val="zh-CN"/>
        </w:rPr>
        <w:t>。</w:t>
      </w:r>
      <w:r>
        <w:rPr>
          <w:kern w:val="0"/>
          <w:sz w:val="24"/>
          <w:highlight w:val="none"/>
        </w:rPr>
        <w:t>5</w:t>
      </w:r>
      <w:r>
        <w:rPr>
          <w:kern w:val="0"/>
          <w:sz w:val="24"/>
          <w:highlight w:val="none"/>
          <w:lang w:val="zh-CN"/>
        </w:rPr>
        <w:t>月日照时数最多，为</w:t>
      </w:r>
      <w:r>
        <w:rPr>
          <w:kern w:val="0"/>
          <w:sz w:val="24"/>
          <w:highlight w:val="none"/>
        </w:rPr>
        <w:t>295.8</w:t>
      </w:r>
      <w:r>
        <w:rPr>
          <w:kern w:val="0"/>
          <w:sz w:val="24"/>
          <w:highlight w:val="none"/>
          <w:lang w:val="zh-CN"/>
        </w:rPr>
        <w:t>小时，平均每天日照在</w:t>
      </w:r>
      <w:r>
        <w:rPr>
          <w:kern w:val="0"/>
          <w:sz w:val="24"/>
          <w:highlight w:val="none"/>
        </w:rPr>
        <w:t>9.5</w:t>
      </w:r>
      <w:r>
        <w:rPr>
          <w:kern w:val="0"/>
          <w:sz w:val="24"/>
          <w:highlight w:val="none"/>
          <w:lang w:val="zh-CN"/>
        </w:rPr>
        <w:t>小时以上，日照百分率为</w:t>
      </w:r>
      <w:r>
        <w:rPr>
          <w:kern w:val="0"/>
          <w:sz w:val="24"/>
          <w:highlight w:val="none"/>
        </w:rPr>
        <w:t>67%</w:t>
      </w:r>
      <w:r>
        <w:rPr>
          <w:kern w:val="0"/>
          <w:sz w:val="24"/>
          <w:highlight w:val="none"/>
          <w:lang w:val="zh-CN"/>
        </w:rPr>
        <w:t>；</w:t>
      </w:r>
      <w:r>
        <w:rPr>
          <w:kern w:val="0"/>
          <w:sz w:val="24"/>
          <w:highlight w:val="none"/>
        </w:rPr>
        <w:t>12</w:t>
      </w:r>
      <w:r>
        <w:rPr>
          <w:kern w:val="0"/>
          <w:sz w:val="24"/>
          <w:highlight w:val="none"/>
          <w:lang w:val="zh-CN"/>
        </w:rPr>
        <w:t>月日照时数最少，为</w:t>
      </w:r>
      <w:r>
        <w:rPr>
          <w:kern w:val="0"/>
          <w:sz w:val="24"/>
          <w:highlight w:val="none"/>
        </w:rPr>
        <w:t>195.5</w:t>
      </w:r>
      <w:r>
        <w:rPr>
          <w:kern w:val="0"/>
          <w:sz w:val="24"/>
          <w:highlight w:val="none"/>
          <w:lang w:val="zh-CN"/>
        </w:rPr>
        <w:t>小时，平均每天日照仅</w:t>
      </w:r>
      <w:r>
        <w:rPr>
          <w:kern w:val="0"/>
          <w:sz w:val="24"/>
          <w:highlight w:val="none"/>
        </w:rPr>
        <w:t>6.3</w:t>
      </w:r>
      <w:r>
        <w:rPr>
          <w:kern w:val="0"/>
          <w:sz w:val="24"/>
          <w:highlight w:val="none"/>
          <w:lang w:val="zh-CN"/>
        </w:rPr>
        <w:t>小时，日照百分率为</w:t>
      </w:r>
      <w:r>
        <w:rPr>
          <w:kern w:val="0"/>
          <w:sz w:val="24"/>
          <w:highlight w:val="none"/>
        </w:rPr>
        <w:t>68%</w:t>
      </w:r>
      <w:r>
        <w:rPr>
          <w:kern w:val="0"/>
          <w:sz w:val="24"/>
          <w:highlight w:val="none"/>
          <w:lang w:val="zh-CN"/>
        </w:rPr>
        <w:t>。≥</w:t>
      </w:r>
      <w:r>
        <w:rPr>
          <w:kern w:val="0"/>
          <w:sz w:val="24"/>
          <w:highlight w:val="none"/>
        </w:rPr>
        <w:t>0</w:t>
      </w:r>
      <w:r>
        <w:rPr>
          <w:rFonts w:hint="eastAsia" w:ascii="宋体" w:hAnsi="宋体" w:cs="宋体"/>
          <w:kern w:val="0"/>
          <w:sz w:val="24"/>
          <w:highlight w:val="none"/>
          <w:lang w:val="zh-CN"/>
        </w:rPr>
        <w:t>℃</w:t>
      </w:r>
      <w:r>
        <w:rPr>
          <w:kern w:val="0"/>
          <w:sz w:val="24"/>
          <w:highlight w:val="none"/>
          <w:lang w:val="zh-CN"/>
        </w:rPr>
        <w:t>期间日照</w:t>
      </w:r>
      <w:r>
        <w:rPr>
          <w:kern w:val="0"/>
          <w:sz w:val="24"/>
          <w:highlight w:val="none"/>
        </w:rPr>
        <w:t>2113</w:t>
      </w:r>
      <w:r>
        <w:rPr>
          <w:kern w:val="0"/>
          <w:sz w:val="24"/>
          <w:highlight w:val="none"/>
          <w:lang w:val="zh-CN"/>
        </w:rPr>
        <w:t>小时，≥</w:t>
      </w:r>
      <w:r>
        <w:rPr>
          <w:kern w:val="0"/>
          <w:sz w:val="24"/>
          <w:highlight w:val="none"/>
        </w:rPr>
        <w:t>10</w:t>
      </w:r>
      <w:r>
        <w:rPr>
          <w:rFonts w:hint="eastAsia" w:ascii="宋体" w:hAnsi="宋体" w:cs="宋体"/>
          <w:kern w:val="0"/>
          <w:sz w:val="24"/>
          <w:highlight w:val="none"/>
          <w:lang w:val="zh-CN"/>
        </w:rPr>
        <w:t>℃</w:t>
      </w:r>
      <w:r>
        <w:rPr>
          <w:kern w:val="0"/>
          <w:sz w:val="24"/>
          <w:highlight w:val="none"/>
          <w:lang w:val="zh-CN"/>
        </w:rPr>
        <w:t>期间日照</w:t>
      </w:r>
      <w:r>
        <w:rPr>
          <w:kern w:val="0"/>
          <w:sz w:val="24"/>
          <w:highlight w:val="none"/>
        </w:rPr>
        <w:t>1637</w:t>
      </w:r>
      <w:r>
        <w:rPr>
          <w:kern w:val="0"/>
          <w:sz w:val="24"/>
          <w:highlight w:val="none"/>
          <w:lang w:val="zh-CN"/>
        </w:rPr>
        <w:t>小时。市域内平均太阳辐射总量为</w:t>
      </w:r>
      <w:r>
        <w:rPr>
          <w:kern w:val="0"/>
          <w:sz w:val="24"/>
          <w:highlight w:val="none"/>
        </w:rPr>
        <w:t>131.6kcal/cm</w:t>
      </w:r>
      <w:r>
        <w:rPr>
          <w:kern w:val="0"/>
          <w:sz w:val="24"/>
          <w:highlight w:val="none"/>
          <w:vertAlign w:val="superscript"/>
        </w:rPr>
        <w:t>2</w:t>
      </w:r>
      <w:r>
        <w:rPr>
          <w:kern w:val="0"/>
          <w:sz w:val="24"/>
          <w:highlight w:val="none"/>
          <w:lang w:val="zh-CN"/>
        </w:rPr>
        <w:t>，</w:t>
      </w:r>
      <w:r>
        <w:rPr>
          <w:kern w:val="0"/>
          <w:sz w:val="24"/>
          <w:highlight w:val="none"/>
        </w:rPr>
        <w:t>3</w:t>
      </w:r>
      <w:r>
        <w:rPr>
          <w:kern w:val="0"/>
          <w:sz w:val="24"/>
          <w:highlight w:val="none"/>
          <w:lang w:val="zh-CN"/>
        </w:rPr>
        <w:t>～</w:t>
      </w:r>
      <w:r>
        <w:rPr>
          <w:kern w:val="0"/>
          <w:sz w:val="24"/>
          <w:highlight w:val="none"/>
        </w:rPr>
        <w:t>6</w:t>
      </w:r>
      <w:r>
        <w:rPr>
          <w:kern w:val="0"/>
          <w:sz w:val="24"/>
          <w:highlight w:val="none"/>
          <w:lang w:val="zh-CN"/>
        </w:rPr>
        <w:t>月日照时数最多，太阳辐射较强，</w:t>
      </w:r>
      <w:r>
        <w:rPr>
          <w:kern w:val="0"/>
          <w:sz w:val="24"/>
          <w:highlight w:val="none"/>
        </w:rPr>
        <w:t>7</w:t>
      </w:r>
      <w:r>
        <w:rPr>
          <w:kern w:val="0"/>
          <w:sz w:val="24"/>
          <w:highlight w:val="none"/>
          <w:lang w:val="zh-CN"/>
        </w:rPr>
        <w:t>、</w:t>
      </w:r>
      <w:r>
        <w:rPr>
          <w:kern w:val="0"/>
          <w:sz w:val="24"/>
          <w:highlight w:val="none"/>
        </w:rPr>
        <w:t>8</w:t>
      </w:r>
      <w:r>
        <w:rPr>
          <w:kern w:val="0"/>
          <w:sz w:val="24"/>
          <w:highlight w:val="none"/>
          <w:lang w:val="zh-CN"/>
        </w:rPr>
        <w:t>两月日照百分率降低，太阳辐射收入减少。</w:t>
      </w:r>
    </w:p>
    <w:p>
      <w:pPr>
        <w:autoSpaceDE w:val="0"/>
        <w:autoSpaceDN w:val="0"/>
        <w:adjustRightInd w:val="0"/>
        <w:spacing w:line="480" w:lineRule="exact"/>
        <w:ind w:firstLine="480"/>
        <w:rPr>
          <w:kern w:val="0"/>
          <w:sz w:val="24"/>
          <w:highlight w:val="none"/>
        </w:rPr>
      </w:pPr>
      <w:r>
        <w:rPr>
          <w:kern w:val="0"/>
          <w:sz w:val="24"/>
          <w:highlight w:val="none"/>
          <w:lang w:val="zh-CN"/>
        </w:rPr>
        <w:t>（</w:t>
      </w:r>
      <w:r>
        <w:rPr>
          <w:kern w:val="0"/>
          <w:sz w:val="24"/>
          <w:highlight w:val="none"/>
        </w:rPr>
        <w:t>3</w:t>
      </w:r>
      <w:r>
        <w:rPr>
          <w:kern w:val="0"/>
          <w:sz w:val="24"/>
          <w:highlight w:val="none"/>
          <w:lang w:val="zh-CN"/>
        </w:rPr>
        <w:t>）霜期</w:t>
      </w:r>
    </w:p>
    <w:p>
      <w:pPr>
        <w:autoSpaceDE w:val="0"/>
        <w:autoSpaceDN w:val="0"/>
        <w:adjustRightInd w:val="0"/>
        <w:spacing w:line="480" w:lineRule="exact"/>
        <w:ind w:firstLine="480"/>
        <w:rPr>
          <w:kern w:val="0"/>
          <w:sz w:val="24"/>
          <w:highlight w:val="none"/>
        </w:rPr>
      </w:pPr>
      <w:r>
        <w:rPr>
          <w:kern w:val="0"/>
          <w:sz w:val="24"/>
          <w:highlight w:val="none"/>
          <w:lang w:val="zh-CN"/>
        </w:rPr>
        <w:t>初霜日平均为</w:t>
      </w:r>
      <w:r>
        <w:rPr>
          <w:kern w:val="0"/>
          <w:sz w:val="24"/>
          <w:highlight w:val="none"/>
        </w:rPr>
        <w:t>10</w:t>
      </w:r>
      <w:r>
        <w:rPr>
          <w:kern w:val="0"/>
          <w:sz w:val="24"/>
          <w:highlight w:val="none"/>
          <w:lang w:val="zh-CN"/>
        </w:rPr>
        <w:t>月</w:t>
      </w:r>
      <w:r>
        <w:rPr>
          <w:kern w:val="0"/>
          <w:sz w:val="24"/>
          <w:highlight w:val="none"/>
        </w:rPr>
        <w:t>15</w:t>
      </w:r>
      <w:r>
        <w:rPr>
          <w:kern w:val="0"/>
          <w:sz w:val="24"/>
          <w:highlight w:val="none"/>
          <w:lang w:val="zh-CN"/>
        </w:rPr>
        <w:t>日，最早为</w:t>
      </w:r>
      <w:r>
        <w:rPr>
          <w:kern w:val="0"/>
          <w:sz w:val="24"/>
          <w:highlight w:val="none"/>
        </w:rPr>
        <w:t>9</w:t>
      </w:r>
      <w:r>
        <w:rPr>
          <w:kern w:val="0"/>
          <w:sz w:val="24"/>
          <w:highlight w:val="none"/>
          <w:lang w:val="zh-CN"/>
        </w:rPr>
        <w:t>月</w:t>
      </w:r>
      <w:r>
        <w:rPr>
          <w:kern w:val="0"/>
          <w:sz w:val="24"/>
          <w:highlight w:val="none"/>
        </w:rPr>
        <w:t>27</w:t>
      </w:r>
      <w:r>
        <w:rPr>
          <w:kern w:val="0"/>
          <w:sz w:val="24"/>
          <w:highlight w:val="none"/>
          <w:lang w:val="zh-CN"/>
        </w:rPr>
        <w:t>日，最晚为</w:t>
      </w:r>
      <w:r>
        <w:rPr>
          <w:kern w:val="0"/>
          <w:sz w:val="24"/>
          <w:highlight w:val="none"/>
        </w:rPr>
        <w:t>10</w:t>
      </w:r>
      <w:r>
        <w:rPr>
          <w:kern w:val="0"/>
          <w:sz w:val="24"/>
          <w:highlight w:val="none"/>
          <w:lang w:val="zh-CN"/>
        </w:rPr>
        <w:t>月</w:t>
      </w:r>
      <w:r>
        <w:rPr>
          <w:kern w:val="0"/>
          <w:sz w:val="24"/>
          <w:highlight w:val="none"/>
        </w:rPr>
        <w:t>29</w:t>
      </w:r>
      <w:r>
        <w:rPr>
          <w:kern w:val="0"/>
          <w:sz w:val="24"/>
          <w:highlight w:val="none"/>
          <w:lang w:val="zh-CN"/>
        </w:rPr>
        <w:t>日。终霜日平均为</w:t>
      </w:r>
      <w:r>
        <w:rPr>
          <w:kern w:val="0"/>
          <w:sz w:val="24"/>
          <w:highlight w:val="none"/>
        </w:rPr>
        <w:t>4</w:t>
      </w:r>
      <w:r>
        <w:rPr>
          <w:kern w:val="0"/>
          <w:sz w:val="24"/>
          <w:highlight w:val="none"/>
          <w:lang w:val="zh-CN"/>
        </w:rPr>
        <w:t>月</w:t>
      </w:r>
      <w:r>
        <w:rPr>
          <w:kern w:val="0"/>
          <w:sz w:val="24"/>
          <w:highlight w:val="none"/>
        </w:rPr>
        <w:t>16</w:t>
      </w:r>
      <w:r>
        <w:rPr>
          <w:kern w:val="0"/>
          <w:sz w:val="24"/>
          <w:highlight w:val="none"/>
          <w:lang w:val="zh-CN"/>
        </w:rPr>
        <w:t>日，最早为</w:t>
      </w:r>
      <w:r>
        <w:rPr>
          <w:kern w:val="0"/>
          <w:sz w:val="24"/>
          <w:highlight w:val="none"/>
        </w:rPr>
        <w:t>4</w:t>
      </w:r>
      <w:r>
        <w:rPr>
          <w:kern w:val="0"/>
          <w:sz w:val="24"/>
          <w:highlight w:val="none"/>
          <w:lang w:val="zh-CN"/>
        </w:rPr>
        <w:t>月</w:t>
      </w:r>
      <w:r>
        <w:rPr>
          <w:kern w:val="0"/>
          <w:sz w:val="24"/>
          <w:highlight w:val="none"/>
        </w:rPr>
        <w:t>4</w:t>
      </w:r>
      <w:r>
        <w:rPr>
          <w:kern w:val="0"/>
          <w:sz w:val="24"/>
          <w:highlight w:val="none"/>
          <w:lang w:val="zh-CN"/>
        </w:rPr>
        <w:t>日，最晚为</w:t>
      </w:r>
      <w:r>
        <w:rPr>
          <w:kern w:val="0"/>
          <w:sz w:val="24"/>
          <w:highlight w:val="none"/>
        </w:rPr>
        <w:t>4</w:t>
      </w:r>
      <w:r>
        <w:rPr>
          <w:kern w:val="0"/>
          <w:sz w:val="24"/>
          <w:highlight w:val="none"/>
          <w:lang w:val="zh-CN"/>
        </w:rPr>
        <w:t>月</w:t>
      </w:r>
      <w:r>
        <w:rPr>
          <w:kern w:val="0"/>
          <w:sz w:val="24"/>
          <w:highlight w:val="none"/>
        </w:rPr>
        <w:t>28</w:t>
      </w:r>
      <w:r>
        <w:rPr>
          <w:kern w:val="0"/>
          <w:sz w:val="24"/>
          <w:highlight w:val="none"/>
          <w:lang w:val="zh-CN"/>
        </w:rPr>
        <w:t>日。全年平均无霜</w:t>
      </w:r>
      <w:r>
        <w:rPr>
          <w:kern w:val="0"/>
          <w:sz w:val="24"/>
          <w:highlight w:val="none"/>
        </w:rPr>
        <w:t>181</w:t>
      </w:r>
      <w:r>
        <w:rPr>
          <w:kern w:val="0"/>
          <w:sz w:val="24"/>
          <w:highlight w:val="none"/>
          <w:lang w:val="zh-CN"/>
        </w:rPr>
        <w:t>期天，最长</w:t>
      </w:r>
      <w:r>
        <w:rPr>
          <w:kern w:val="0"/>
          <w:sz w:val="24"/>
          <w:highlight w:val="none"/>
        </w:rPr>
        <w:t>201</w:t>
      </w:r>
      <w:r>
        <w:rPr>
          <w:kern w:val="0"/>
          <w:sz w:val="24"/>
          <w:highlight w:val="none"/>
          <w:lang w:val="zh-CN"/>
        </w:rPr>
        <w:t>天，最短</w:t>
      </w:r>
      <w:r>
        <w:rPr>
          <w:kern w:val="0"/>
          <w:sz w:val="24"/>
          <w:highlight w:val="none"/>
        </w:rPr>
        <w:t>167</w:t>
      </w:r>
      <w:r>
        <w:rPr>
          <w:kern w:val="0"/>
          <w:sz w:val="24"/>
          <w:highlight w:val="none"/>
          <w:lang w:val="zh-CN"/>
        </w:rPr>
        <w:t>天。按</w:t>
      </w:r>
      <w:r>
        <w:rPr>
          <w:kern w:val="0"/>
          <w:sz w:val="24"/>
          <w:highlight w:val="none"/>
        </w:rPr>
        <w:t>80%</w:t>
      </w:r>
      <w:r>
        <w:rPr>
          <w:kern w:val="0"/>
          <w:sz w:val="24"/>
          <w:highlight w:val="none"/>
          <w:lang w:val="zh-CN"/>
        </w:rPr>
        <w:t>保证率，初霜在</w:t>
      </w:r>
      <w:r>
        <w:rPr>
          <w:kern w:val="0"/>
          <w:sz w:val="24"/>
          <w:highlight w:val="none"/>
        </w:rPr>
        <w:t>10</w:t>
      </w:r>
      <w:r>
        <w:rPr>
          <w:kern w:val="0"/>
          <w:sz w:val="24"/>
          <w:highlight w:val="none"/>
          <w:lang w:val="zh-CN"/>
        </w:rPr>
        <w:t>月</w:t>
      </w:r>
      <w:r>
        <w:rPr>
          <w:kern w:val="0"/>
          <w:sz w:val="24"/>
          <w:highlight w:val="none"/>
        </w:rPr>
        <w:t>18</w:t>
      </w:r>
      <w:r>
        <w:rPr>
          <w:kern w:val="0"/>
          <w:sz w:val="24"/>
          <w:highlight w:val="none"/>
          <w:lang w:val="zh-CN"/>
        </w:rPr>
        <w:t>日，终霜在</w:t>
      </w:r>
      <w:r>
        <w:rPr>
          <w:kern w:val="0"/>
          <w:sz w:val="24"/>
          <w:highlight w:val="none"/>
        </w:rPr>
        <w:t>4</w:t>
      </w:r>
      <w:r>
        <w:rPr>
          <w:kern w:val="0"/>
          <w:sz w:val="24"/>
          <w:highlight w:val="none"/>
          <w:lang w:val="zh-CN"/>
        </w:rPr>
        <w:t>月</w:t>
      </w:r>
      <w:r>
        <w:rPr>
          <w:kern w:val="0"/>
          <w:sz w:val="24"/>
          <w:highlight w:val="none"/>
        </w:rPr>
        <w:t>21</w:t>
      </w:r>
      <w:r>
        <w:rPr>
          <w:kern w:val="0"/>
          <w:sz w:val="24"/>
          <w:highlight w:val="none"/>
          <w:lang w:val="zh-CN"/>
        </w:rPr>
        <w:t>日，无霜</w:t>
      </w:r>
      <w:r>
        <w:rPr>
          <w:kern w:val="0"/>
          <w:sz w:val="24"/>
          <w:highlight w:val="none"/>
        </w:rPr>
        <w:t>173</w:t>
      </w:r>
      <w:r>
        <w:rPr>
          <w:kern w:val="0"/>
          <w:sz w:val="24"/>
          <w:highlight w:val="none"/>
          <w:lang w:val="zh-CN"/>
        </w:rPr>
        <w:t>期天。</w:t>
      </w:r>
    </w:p>
    <w:p>
      <w:pPr>
        <w:autoSpaceDE w:val="0"/>
        <w:autoSpaceDN w:val="0"/>
        <w:adjustRightInd w:val="0"/>
        <w:spacing w:line="480" w:lineRule="exact"/>
        <w:ind w:firstLine="480"/>
        <w:rPr>
          <w:kern w:val="0"/>
          <w:sz w:val="24"/>
          <w:highlight w:val="none"/>
        </w:rPr>
      </w:pPr>
      <w:r>
        <w:rPr>
          <w:kern w:val="0"/>
          <w:sz w:val="24"/>
          <w:highlight w:val="none"/>
          <w:lang w:val="zh-CN"/>
        </w:rPr>
        <w:t>（</w:t>
      </w:r>
      <w:r>
        <w:rPr>
          <w:kern w:val="0"/>
          <w:sz w:val="24"/>
          <w:highlight w:val="none"/>
        </w:rPr>
        <w:t>4</w:t>
      </w:r>
      <w:r>
        <w:rPr>
          <w:kern w:val="0"/>
          <w:sz w:val="24"/>
          <w:highlight w:val="none"/>
          <w:lang w:val="zh-CN"/>
        </w:rPr>
        <w:t>）湿度</w:t>
      </w:r>
    </w:p>
    <w:p>
      <w:pPr>
        <w:autoSpaceDE w:val="0"/>
        <w:autoSpaceDN w:val="0"/>
        <w:adjustRightInd w:val="0"/>
        <w:spacing w:line="480" w:lineRule="exact"/>
        <w:ind w:firstLine="480"/>
        <w:rPr>
          <w:kern w:val="0"/>
          <w:sz w:val="24"/>
          <w:highlight w:val="none"/>
        </w:rPr>
      </w:pPr>
      <w:r>
        <w:rPr>
          <w:kern w:val="0"/>
          <w:sz w:val="24"/>
          <w:highlight w:val="none"/>
          <w:lang w:val="zh-CN"/>
        </w:rPr>
        <w:t>遵化市年平均相对湿度为</w:t>
      </w:r>
      <w:r>
        <w:rPr>
          <w:kern w:val="0"/>
          <w:sz w:val="24"/>
          <w:highlight w:val="none"/>
        </w:rPr>
        <w:t>60%</w:t>
      </w:r>
      <w:r>
        <w:rPr>
          <w:kern w:val="0"/>
          <w:sz w:val="24"/>
          <w:highlight w:val="none"/>
          <w:lang w:val="zh-CN"/>
        </w:rPr>
        <w:t>，湿度最大季节为夏季</w:t>
      </w:r>
      <w:r>
        <w:rPr>
          <w:kern w:val="0"/>
          <w:sz w:val="24"/>
          <w:highlight w:val="none"/>
        </w:rPr>
        <w:t>73%</w:t>
      </w:r>
      <w:r>
        <w:rPr>
          <w:kern w:val="0"/>
          <w:sz w:val="24"/>
          <w:highlight w:val="none"/>
          <w:lang w:val="zh-CN"/>
        </w:rPr>
        <w:t>，湿度最小季节为春季</w:t>
      </w:r>
      <w:r>
        <w:rPr>
          <w:kern w:val="0"/>
          <w:sz w:val="24"/>
          <w:highlight w:val="none"/>
        </w:rPr>
        <w:t>49%</w:t>
      </w:r>
      <w:r>
        <w:rPr>
          <w:kern w:val="0"/>
          <w:sz w:val="24"/>
          <w:highlight w:val="none"/>
          <w:lang w:val="zh-CN"/>
        </w:rPr>
        <w:t>。</w:t>
      </w:r>
    </w:p>
    <w:p>
      <w:pPr>
        <w:autoSpaceDE w:val="0"/>
        <w:autoSpaceDN w:val="0"/>
        <w:adjustRightInd w:val="0"/>
        <w:spacing w:line="480" w:lineRule="exact"/>
        <w:ind w:firstLine="480"/>
        <w:rPr>
          <w:kern w:val="0"/>
          <w:sz w:val="24"/>
          <w:highlight w:val="none"/>
        </w:rPr>
      </w:pPr>
      <w:r>
        <w:rPr>
          <w:kern w:val="0"/>
          <w:sz w:val="24"/>
          <w:highlight w:val="none"/>
          <w:lang w:val="zh-CN"/>
        </w:rPr>
        <w:t>（</w:t>
      </w:r>
      <w:r>
        <w:rPr>
          <w:rFonts w:hint="eastAsia"/>
          <w:kern w:val="0"/>
          <w:sz w:val="24"/>
          <w:highlight w:val="none"/>
        </w:rPr>
        <w:t>5</w:t>
      </w:r>
      <w:r>
        <w:rPr>
          <w:kern w:val="0"/>
          <w:sz w:val="24"/>
          <w:highlight w:val="none"/>
          <w:lang w:val="zh-CN"/>
        </w:rPr>
        <w:t>）风</w:t>
      </w:r>
    </w:p>
    <w:p>
      <w:pPr>
        <w:autoSpaceDE w:val="0"/>
        <w:autoSpaceDN w:val="0"/>
        <w:adjustRightInd w:val="0"/>
        <w:spacing w:line="480" w:lineRule="exact"/>
        <w:ind w:firstLine="480" w:firstLineChars="200"/>
        <w:rPr>
          <w:kern w:val="0"/>
          <w:sz w:val="24"/>
          <w:highlight w:val="none"/>
          <w:lang w:val="zh-CN"/>
        </w:rPr>
      </w:pPr>
      <w:r>
        <w:rPr>
          <w:kern w:val="0"/>
          <w:sz w:val="24"/>
          <w:highlight w:val="none"/>
          <w:lang w:val="zh-CN"/>
        </w:rPr>
        <w:t>遵化市主导风向为</w:t>
      </w:r>
      <w:r>
        <w:rPr>
          <w:kern w:val="0"/>
          <w:sz w:val="24"/>
          <w:highlight w:val="none"/>
        </w:rPr>
        <w:t>NNW</w:t>
      </w:r>
      <w:r>
        <w:rPr>
          <w:kern w:val="0"/>
          <w:sz w:val="24"/>
          <w:highlight w:val="none"/>
          <w:lang w:val="zh-CN"/>
        </w:rPr>
        <w:t>风，且静风频率较高，年静风频率为</w:t>
      </w:r>
      <w:r>
        <w:rPr>
          <w:kern w:val="0"/>
          <w:sz w:val="24"/>
          <w:highlight w:val="none"/>
        </w:rPr>
        <w:t>20.16%</w:t>
      </w:r>
      <w:r>
        <w:rPr>
          <w:kern w:val="0"/>
          <w:sz w:val="24"/>
          <w:highlight w:val="none"/>
          <w:lang w:val="zh-CN"/>
        </w:rPr>
        <w:t>，多年年均风速为</w:t>
      </w:r>
      <w:r>
        <w:rPr>
          <w:kern w:val="0"/>
          <w:sz w:val="24"/>
          <w:highlight w:val="none"/>
        </w:rPr>
        <w:t>2.4m/s</w:t>
      </w:r>
      <w:r>
        <w:rPr>
          <w:kern w:val="0"/>
          <w:sz w:val="24"/>
          <w:highlight w:val="none"/>
          <w:lang w:val="zh-CN"/>
        </w:rPr>
        <w:t>。</w:t>
      </w:r>
    </w:p>
    <w:p>
      <w:pPr>
        <w:autoSpaceDE w:val="0"/>
        <w:autoSpaceDN w:val="0"/>
        <w:adjustRightInd w:val="0"/>
        <w:spacing w:line="480" w:lineRule="exact"/>
        <w:ind w:firstLine="480"/>
        <w:rPr>
          <w:kern w:val="0"/>
          <w:sz w:val="24"/>
          <w:highlight w:val="none"/>
        </w:rPr>
      </w:pPr>
      <w:r>
        <w:rPr>
          <w:kern w:val="0"/>
          <w:sz w:val="24"/>
          <w:highlight w:val="none"/>
          <w:lang w:val="zh-CN"/>
        </w:rPr>
        <w:t>（</w:t>
      </w:r>
      <w:r>
        <w:rPr>
          <w:rFonts w:hint="eastAsia"/>
          <w:kern w:val="0"/>
          <w:sz w:val="24"/>
          <w:highlight w:val="none"/>
        </w:rPr>
        <w:t>6</w:t>
      </w:r>
      <w:r>
        <w:rPr>
          <w:kern w:val="0"/>
          <w:sz w:val="24"/>
          <w:highlight w:val="none"/>
          <w:lang w:val="zh-CN"/>
        </w:rPr>
        <w:t>）降水</w:t>
      </w:r>
    </w:p>
    <w:p>
      <w:pPr>
        <w:autoSpaceDE w:val="0"/>
        <w:autoSpaceDN w:val="0"/>
        <w:adjustRightInd w:val="0"/>
        <w:spacing w:line="480" w:lineRule="exact"/>
        <w:ind w:firstLine="480"/>
        <w:rPr>
          <w:sz w:val="24"/>
          <w:highlight w:val="none"/>
          <w:lang w:val="zh-CN"/>
        </w:rPr>
      </w:pPr>
      <w:r>
        <w:rPr>
          <w:kern w:val="0"/>
          <w:sz w:val="24"/>
          <w:highlight w:val="none"/>
          <w:lang w:val="zh-CN"/>
        </w:rPr>
        <w:t>遵化市降水丰富，年平均降水量为</w:t>
      </w:r>
      <w:r>
        <w:rPr>
          <w:kern w:val="0"/>
          <w:sz w:val="24"/>
          <w:highlight w:val="none"/>
        </w:rPr>
        <w:t>724.7mm</w:t>
      </w:r>
      <w:r>
        <w:rPr>
          <w:kern w:val="0"/>
          <w:sz w:val="24"/>
          <w:highlight w:val="none"/>
          <w:lang w:val="zh-CN"/>
        </w:rPr>
        <w:t>。小时最大降水量</w:t>
      </w:r>
      <w:r>
        <w:rPr>
          <w:kern w:val="0"/>
          <w:sz w:val="24"/>
          <w:highlight w:val="none"/>
        </w:rPr>
        <w:t>68.4mm</w:t>
      </w:r>
      <w:r>
        <w:rPr>
          <w:kern w:val="0"/>
          <w:sz w:val="24"/>
          <w:highlight w:val="none"/>
          <w:lang w:val="zh-CN"/>
        </w:rPr>
        <w:t>，出现在</w:t>
      </w:r>
      <w:r>
        <w:rPr>
          <w:kern w:val="0"/>
          <w:sz w:val="24"/>
          <w:highlight w:val="none"/>
        </w:rPr>
        <w:t>2007</w:t>
      </w:r>
      <w:r>
        <w:rPr>
          <w:kern w:val="0"/>
          <w:sz w:val="24"/>
          <w:highlight w:val="none"/>
          <w:lang w:val="zh-CN"/>
        </w:rPr>
        <w:t>年</w:t>
      </w:r>
      <w:r>
        <w:rPr>
          <w:kern w:val="0"/>
          <w:sz w:val="24"/>
          <w:highlight w:val="none"/>
        </w:rPr>
        <w:t>7</w:t>
      </w:r>
      <w:r>
        <w:rPr>
          <w:kern w:val="0"/>
          <w:sz w:val="24"/>
          <w:highlight w:val="none"/>
          <w:lang w:val="zh-CN"/>
        </w:rPr>
        <w:t>月</w:t>
      </w:r>
      <w:r>
        <w:rPr>
          <w:kern w:val="0"/>
          <w:sz w:val="24"/>
          <w:highlight w:val="none"/>
        </w:rPr>
        <w:t>9</w:t>
      </w:r>
      <w:r>
        <w:rPr>
          <w:kern w:val="0"/>
          <w:sz w:val="24"/>
          <w:highlight w:val="none"/>
          <w:lang w:val="zh-CN"/>
        </w:rPr>
        <w:t>日，连续最大降水量</w:t>
      </w:r>
      <w:r>
        <w:rPr>
          <w:kern w:val="0"/>
          <w:sz w:val="24"/>
          <w:highlight w:val="none"/>
        </w:rPr>
        <w:t>388.6mm</w:t>
      </w:r>
      <w:r>
        <w:rPr>
          <w:kern w:val="0"/>
          <w:sz w:val="24"/>
          <w:highlight w:val="none"/>
          <w:lang w:val="zh-CN"/>
        </w:rPr>
        <w:t>，出现在</w:t>
      </w:r>
      <w:r>
        <w:rPr>
          <w:kern w:val="0"/>
          <w:sz w:val="24"/>
          <w:highlight w:val="none"/>
        </w:rPr>
        <w:t>1994</w:t>
      </w:r>
      <w:r>
        <w:rPr>
          <w:kern w:val="0"/>
          <w:sz w:val="24"/>
          <w:highlight w:val="none"/>
          <w:lang w:val="zh-CN"/>
        </w:rPr>
        <w:t>年</w:t>
      </w:r>
      <w:r>
        <w:rPr>
          <w:kern w:val="0"/>
          <w:sz w:val="24"/>
          <w:highlight w:val="none"/>
        </w:rPr>
        <w:t>7</w:t>
      </w:r>
      <w:r>
        <w:rPr>
          <w:kern w:val="0"/>
          <w:sz w:val="24"/>
          <w:highlight w:val="none"/>
          <w:lang w:val="zh-CN"/>
        </w:rPr>
        <w:t>月</w:t>
      </w:r>
      <w:r>
        <w:rPr>
          <w:kern w:val="0"/>
          <w:sz w:val="24"/>
          <w:highlight w:val="none"/>
        </w:rPr>
        <w:t>3-13</w:t>
      </w:r>
      <w:r>
        <w:rPr>
          <w:kern w:val="0"/>
          <w:sz w:val="24"/>
          <w:highlight w:val="none"/>
          <w:lang w:val="zh-CN"/>
        </w:rPr>
        <w:t>日。降水季节分配不均，夏季</w:t>
      </w:r>
      <w:r>
        <w:rPr>
          <w:kern w:val="0"/>
          <w:sz w:val="24"/>
          <w:highlight w:val="none"/>
        </w:rPr>
        <w:t>6</w:t>
      </w:r>
      <w:r>
        <w:rPr>
          <w:kern w:val="0"/>
          <w:sz w:val="24"/>
          <w:highlight w:val="none"/>
          <w:lang w:val="zh-CN"/>
        </w:rPr>
        <w:t>～</w:t>
      </w:r>
      <w:r>
        <w:rPr>
          <w:kern w:val="0"/>
          <w:sz w:val="24"/>
          <w:highlight w:val="none"/>
        </w:rPr>
        <w:t>8</w:t>
      </w:r>
      <w:r>
        <w:rPr>
          <w:kern w:val="0"/>
          <w:sz w:val="24"/>
          <w:highlight w:val="none"/>
          <w:lang w:val="zh-CN"/>
        </w:rPr>
        <w:t>月份降水量占全年降水量的</w:t>
      </w:r>
      <w:r>
        <w:rPr>
          <w:kern w:val="0"/>
          <w:sz w:val="24"/>
          <w:highlight w:val="none"/>
        </w:rPr>
        <w:t>77%</w:t>
      </w:r>
      <w:r>
        <w:rPr>
          <w:kern w:val="0"/>
          <w:sz w:val="24"/>
          <w:highlight w:val="none"/>
          <w:lang w:val="zh-CN"/>
        </w:rPr>
        <w:t>，春季和秋季降水量分别占全年降水量的</w:t>
      </w:r>
      <w:r>
        <w:rPr>
          <w:kern w:val="0"/>
          <w:sz w:val="24"/>
          <w:highlight w:val="none"/>
        </w:rPr>
        <w:t>8%</w:t>
      </w:r>
      <w:r>
        <w:rPr>
          <w:kern w:val="0"/>
          <w:sz w:val="24"/>
          <w:highlight w:val="none"/>
          <w:lang w:val="zh-CN"/>
        </w:rPr>
        <w:t>和</w:t>
      </w:r>
      <w:r>
        <w:rPr>
          <w:kern w:val="0"/>
          <w:sz w:val="24"/>
          <w:highlight w:val="none"/>
        </w:rPr>
        <w:t>13%</w:t>
      </w:r>
      <w:r>
        <w:rPr>
          <w:kern w:val="0"/>
          <w:sz w:val="24"/>
          <w:highlight w:val="none"/>
          <w:lang w:val="zh-CN"/>
        </w:rPr>
        <w:t>，冬季降水量只占全年降水量的</w:t>
      </w:r>
      <w:r>
        <w:rPr>
          <w:kern w:val="0"/>
          <w:sz w:val="24"/>
          <w:highlight w:val="none"/>
        </w:rPr>
        <w:t>1%</w:t>
      </w:r>
      <w:r>
        <w:rPr>
          <w:kern w:val="0"/>
          <w:sz w:val="24"/>
          <w:highlight w:val="none"/>
          <w:lang w:val="zh-CN"/>
        </w:rPr>
        <w:t>。降水年际变化也很大，最多年份多达</w:t>
      </w:r>
      <w:r>
        <w:rPr>
          <w:kern w:val="0"/>
          <w:sz w:val="24"/>
          <w:highlight w:val="none"/>
        </w:rPr>
        <w:t>1224mm</w:t>
      </w:r>
      <w:r>
        <w:rPr>
          <w:kern w:val="0"/>
          <w:sz w:val="24"/>
          <w:highlight w:val="none"/>
          <w:lang w:val="zh-CN"/>
        </w:rPr>
        <w:t>，最少年份</w:t>
      </w:r>
      <w:r>
        <w:rPr>
          <w:kern w:val="0"/>
          <w:sz w:val="24"/>
          <w:highlight w:val="none"/>
        </w:rPr>
        <w:t>422.8mm</w:t>
      </w:r>
      <w:r>
        <w:rPr>
          <w:kern w:val="0"/>
          <w:sz w:val="24"/>
          <w:highlight w:val="none"/>
          <w:lang w:val="zh-CN"/>
        </w:rPr>
        <w:t>，相差</w:t>
      </w:r>
      <w:r>
        <w:rPr>
          <w:kern w:val="0"/>
          <w:sz w:val="24"/>
          <w:highlight w:val="none"/>
        </w:rPr>
        <w:t>801mm</w:t>
      </w:r>
      <w:r>
        <w:rPr>
          <w:kern w:val="0"/>
          <w:sz w:val="24"/>
          <w:highlight w:val="none"/>
          <w:lang w:val="zh-CN"/>
        </w:rPr>
        <w:t>。降水变率是遵化市旱涝灾害的主要成因。多暴雨，降水强度大，雨势猛，日降水大于</w:t>
      </w:r>
      <w:r>
        <w:rPr>
          <w:kern w:val="0"/>
          <w:sz w:val="24"/>
          <w:highlight w:val="none"/>
        </w:rPr>
        <w:t>50mm</w:t>
      </w:r>
      <w:r>
        <w:rPr>
          <w:kern w:val="0"/>
          <w:sz w:val="24"/>
          <w:highlight w:val="none"/>
          <w:lang w:val="zh-CN"/>
        </w:rPr>
        <w:t>的暴雨平均每年</w:t>
      </w:r>
      <w:r>
        <w:rPr>
          <w:kern w:val="0"/>
          <w:sz w:val="24"/>
          <w:highlight w:val="none"/>
        </w:rPr>
        <w:t>4</w:t>
      </w:r>
      <w:r>
        <w:rPr>
          <w:kern w:val="0"/>
          <w:sz w:val="24"/>
          <w:highlight w:val="none"/>
          <w:lang w:val="zh-CN"/>
        </w:rPr>
        <w:t>次，</w:t>
      </w:r>
      <w:r>
        <w:rPr>
          <w:kern w:val="0"/>
          <w:sz w:val="24"/>
          <w:highlight w:val="none"/>
        </w:rPr>
        <w:t>7</w:t>
      </w:r>
      <w:r>
        <w:rPr>
          <w:kern w:val="0"/>
          <w:sz w:val="24"/>
          <w:highlight w:val="none"/>
          <w:lang w:val="zh-CN"/>
        </w:rPr>
        <w:t>月下旬和</w:t>
      </w:r>
      <w:r>
        <w:rPr>
          <w:kern w:val="0"/>
          <w:sz w:val="24"/>
          <w:highlight w:val="none"/>
        </w:rPr>
        <w:t>8</w:t>
      </w:r>
      <w:r>
        <w:rPr>
          <w:kern w:val="0"/>
          <w:sz w:val="24"/>
          <w:highlight w:val="none"/>
          <w:lang w:val="zh-CN"/>
        </w:rPr>
        <w:t>月上旬是暴雨高度集中的时间，</w:t>
      </w:r>
      <w:r>
        <w:rPr>
          <w:kern w:val="0"/>
          <w:sz w:val="24"/>
          <w:highlight w:val="none"/>
        </w:rPr>
        <w:t>7</w:t>
      </w:r>
      <w:r>
        <w:rPr>
          <w:kern w:val="0"/>
          <w:sz w:val="24"/>
          <w:highlight w:val="none"/>
          <w:lang w:val="zh-CN"/>
        </w:rPr>
        <w:t>～</w:t>
      </w:r>
      <w:r>
        <w:rPr>
          <w:kern w:val="0"/>
          <w:sz w:val="24"/>
          <w:highlight w:val="none"/>
        </w:rPr>
        <w:t>8</w:t>
      </w:r>
      <w:r>
        <w:rPr>
          <w:kern w:val="0"/>
          <w:sz w:val="24"/>
          <w:highlight w:val="none"/>
          <w:lang w:val="zh-CN"/>
        </w:rPr>
        <w:t>月平均暴雨量为</w:t>
      </w:r>
      <w:r>
        <w:rPr>
          <w:kern w:val="0"/>
          <w:sz w:val="24"/>
          <w:highlight w:val="none"/>
        </w:rPr>
        <w:t>95mm</w:t>
      </w:r>
      <w:r>
        <w:rPr>
          <w:kern w:val="0"/>
          <w:sz w:val="24"/>
          <w:highlight w:val="none"/>
          <w:lang w:val="zh-CN"/>
        </w:rPr>
        <w:t>。</w:t>
      </w:r>
    </w:p>
    <w:p>
      <w:pPr>
        <w:autoSpaceDE w:val="0"/>
        <w:autoSpaceDN w:val="0"/>
        <w:adjustRightInd w:val="0"/>
        <w:spacing w:line="480" w:lineRule="exact"/>
        <w:rPr>
          <w:b/>
          <w:sz w:val="24"/>
          <w:highlight w:val="none"/>
          <w:lang w:val="zh-CN"/>
        </w:rPr>
      </w:pPr>
      <w:r>
        <w:rPr>
          <w:rFonts w:hint="eastAsia"/>
          <w:b/>
          <w:sz w:val="24"/>
          <w:highlight w:val="none"/>
        </w:rPr>
        <w:t>4</w:t>
      </w:r>
      <w:r>
        <w:rPr>
          <w:rFonts w:hint="eastAsia"/>
          <w:b/>
          <w:sz w:val="24"/>
          <w:highlight w:val="none"/>
          <w:lang w:val="zh-CN"/>
        </w:rPr>
        <w:t>.2.4 水文、泥沙</w:t>
      </w:r>
    </w:p>
    <w:p>
      <w:pPr>
        <w:autoSpaceDE w:val="0"/>
        <w:autoSpaceDN w:val="0"/>
        <w:adjustRightInd w:val="0"/>
        <w:spacing w:line="480" w:lineRule="exact"/>
        <w:rPr>
          <w:b/>
          <w:sz w:val="24"/>
          <w:highlight w:val="none"/>
          <w:lang w:val="zh-CN"/>
        </w:rPr>
      </w:pPr>
      <w:r>
        <w:rPr>
          <w:rFonts w:hint="eastAsia"/>
          <w:b/>
          <w:sz w:val="24"/>
          <w:highlight w:val="none"/>
        </w:rPr>
        <w:t>4</w:t>
      </w:r>
      <w:r>
        <w:rPr>
          <w:rFonts w:hint="eastAsia"/>
          <w:b/>
          <w:sz w:val="24"/>
          <w:highlight w:val="none"/>
          <w:lang w:val="zh-CN"/>
        </w:rPr>
        <w:t>.2.4.1 径流</w:t>
      </w:r>
    </w:p>
    <w:p>
      <w:pPr>
        <w:keepNext w:val="0"/>
        <w:keepLines w:val="0"/>
        <w:pageBreakBefore w:val="0"/>
        <w:widowControl w:val="0"/>
        <w:kinsoku/>
        <w:wordWrap/>
        <w:overflowPunct/>
        <w:topLinePunct w:val="0"/>
        <w:autoSpaceDE w:val="0"/>
        <w:autoSpaceDN w:val="0"/>
        <w:bidi w:val="0"/>
        <w:adjustRightInd w:val="0"/>
        <w:snapToGrid/>
        <w:spacing w:line="440" w:lineRule="exact"/>
        <w:ind w:firstLine="480" w:firstLineChars="200"/>
        <w:textAlignment w:val="auto"/>
        <w:rPr>
          <w:sz w:val="24"/>
          <w:highlight w:val="none"/>
          <w:lang w:val="zh-CN"/>
        </w:rPr>
      </w:pPr>
      <w:r>
        <w:rPr>
          <w:rFonts w:hint="eastAsia"/>
          <w:sz w:val="24"/>
          <w:highlight w:val="none"/>
          <w:lang w:val="zh-CN"/>
        </w:rPr>
        <w:t>黎河属雨源型山区性河流，径流主要为大气降水补给。径流与降水的时空分布与降水的时空发布基本一致，年际变化不大，年内分配不均，近似正态分布。</w:t>
      </w:r>
    </w:p>
    <w:p>
      <w:pPr>
        <w:keepNext w:val="0"/>
        <w:keepLines w:val="0"/>
        <w:pageBreakBefore w:val="0"/>
        <w:widowControl w:val="0"/>
        <w:kinsoku/>
        <w:wordWrap/>
        <w:overflowPunct/>
        <w:topLinePunct w:val="0"/>
        <w:autoSpaceDE w:val="0"/>
        <w:autoSpaceDN w:val="0"/>
        <w:bidi w:val="0"/>
        <w:adjustRightInd w:val="0"/>
        <w:snapToGrid/>
        <w:spacing w:line="440" w:lineRule="exact"/>
        <w:ind w:firstLine="480" w:firstLineChars="200"/>
        <w:textAlignment w:val="auto"/>
        <w:rPr>
          <w:sz w:val="24"/>
          <w:highlight w:val="none"/>
          <w:lang w:val="zh-CN"/>
        </w:rPr>
      </w:pPr>
      <w:r>
        <w:rPr>
          <w:rFonts w:hint="eastAsia"/>
          <w:sz w:val="24"/>
          <w:highlight w:val="none"/>
          <w:lang w:val="zh-CN"/>
        </w:rPr>
        <w:t>黎河流域多年平均径流量1.46亿m</w:t>
      </w:r>
      <w:r>
        <w:rPr>
          <w:rFonts w:hint="eastAsia"/>
          <w:sz w:val="24"/>
          <w:highlight w:val="none"/>
          <w:vertAlign w:val="subscript"/>
          <w:lang w:val="zh-CN"/>
        </w:rPr>
        <w:t>3</w:t>
      </w:r>
      <w:r>
        <w:rPr>
          <w:rFonts w:hint="eastAsia"/>
          <w:sz w:val="24"/>
          <w:highlight w:val="none"/>
          <w:lang w:val="zh-CN"/>
        </w:rPr>
        <w:t>，径流深约256mm，多年平均径流系数0.32，径流模数7.36×10</w:t>
      </w:r>
      <w:r>
        <w:rPr>
          <w:rFonts w:hint="eastAsia"/>
          <w:sz w:val="24"/>
          <w:highlight w:val="none"/>
          <w:vertAlign w:val="superscript"/>
          <w:lang w:val="zh-CN"/>
        </w:rPr>
        <w:t>-3</w:t>
      </w:r>
      <w:r>
        <w:rPr>
          <w:rFonts w:hint="eastAsia"/>
          <w:sz w:val="24"/>
          <w:highlight w:val="none"/>
          <w:lang w:val="zh-CN"/>
        </w:rPr>
        <w:t>。径流特性受地形地貌条件制约。</w:t>
      </w:r>
    </w:p>
    <w:p>
      <w:pPr>
        <w:keepNext w:val="0"/>
        <w:keepLines w:val="0"/>
        <w:pageBreakBefore w:val="0"/>
        <w:widowControl w:val="0"/>
        <w:kinsoku/>
        <w:wordWrap/>
        <w:overflowPunct/>
        <w:topLinePunct w:val="0"/>
        <w:autoSpaceDE w:val="0"/>
        <w:autoSpaceDN w:val="0"/>
        <w:bidi w:val="0"/>
        <w:adjustRightInd w:val="0"/>
        <w:snapToGrid/>
        <w:spacing w:line="440" w:lineRule="exact"/>
        <w:ind w:firstLine="480" w:firstLineChars="200"/>
        <w:textAlignment w:val="auto"/>
        <w:rPr>
          <w:sz w:val="24"/>
          <w:highlight w:val="none"/>
          <w:lang w:val="zh-CN"/>
        </w:rPr>
      </w:pPr>
      <w:r>
        <w:rPr>
          <w:rFonts w:hint="eastAsia"/>
          <w:sz w:val="24"/>
          <w:highlight w:val="none"/>
          <w:lang w:val="zh-CN"/>
        </w:rPr>
        <w:t>黎河多年平均汛期为6-9月，其径流量占全年径流量的70%-80%，最大值出现在7、8月份，最小值出现在4、5月份，在中、小水年份，全年径流量几乎全部集中在汛期，基本产生于汛期的几场暴雨。</w:t>
      </w:r>
    </w:p>
    <w:p>
      <w:pPr>
        <w:keepNext w:val="0"/>
        <w:keepLines w:val="0"/>
        <w:pageBreakBefore w:val="0"/>
        <w:widowControl w:val="0"/>
        <w:kinsoku/>
        <w:wordWrap/>
        <w:overflowPunct/>
        <w:topLinePunct w:val="0"/>
        <w:autoSpaceDE w:val="0"/>
        <w:autoSpaceDN w:val="0"/>
        <w:bidi w:val="0"/>
        <w:adjustRightInd w:val="0"/>
        <w:snapToGrid/>
        <w:spacing w:line="440" w:lineRule="exact"/>
        <w:ind w:firstLine="480"/>
        <w:textAlignment w:val="auto"/>
        <w:rPr>
          <w:sz w:val="24"/>
          <w:highlight w:val="none"/>
          <w:lang w:val="zh-CN"/>
        </w:rPr>
      </w:pPr>
      <w:r>
        <w:rPr>
          <w:sz w:val="24"/>
          <w:highlight w:val="none"/>
          <w:lang w:val="zh-CN"/>
        </w:rPr>
        <w:t>项目所在区域地表水系图见图</w:t>
      </w:r>
      <w:r>
        <w:rPr>
          <w:rFonts w:hint="eastAsia"/>
          <w:sz w:val="24"/>
          <w:highlight w:val="none"/>
        </w:rPr>
        <w:t>4</w:t>
      </w:r>
      <w:r>
        <w:rPr>
          <w:sz w:val="24"/>
          <w:highlight w:val="none"/>
        </w:rPr>
        <w:t>.2-1</w:t>
      </w:r>
      <w:r>
        <w:rPr>
          <w:sz w:val="24"/>
          <w:highlight w:val="none"/>
          <w:lang w:val="zh-CN"/>
        </w:rPr>
        <w:t>。</w:t>
      </w:r>
    </w:p>
    <w:p>
      <w:pPr>
        <w:pStyle w:val="7"/>
        <w:rPr>
          <w:highlight w:val="none"/>
        </w:rPr>
      </w:pPr>
    </w:p>
    <w:p>
      <w:pPr>
        <w:autoSpaceDE w:val="0"/>
        <w:autoSpaceDN w:val="0"/>
        <w:adjustRightInd w:val="0"/>
        <w:jc w:val="center"/>
        <w:rPr>
          <w:szCs w:val="21"/>
          <w:highlight w:val="none"/>
        </w:rPr>
      </w:pPr>
      <w:r>
        <w:rPr>
          <w:sz w:val="20"/>
          <w:highlight w:val="none"/>
        </w:rPr>
        <mc:AlternateContent>
          <mc:Choice Requires="wpg">
            <w:drawing>
              <wp:anchor distT="0" distB="0" distL="114300" distR="114300" simplePos="0" relativeHeight="251709440" behindDoc="0" locked="0" layoutInCell="1" allowOverlap="1">
                <wp:simplePos x="0" y="0"/>
                <wp:positionH relativeFrom="column">
                  <wp:posOffset>3077210</wp:posOffset>
                </wp:positionH>
                <wp:positionV relativeFrom="paragraph">
                  <wp:posOffset>100330</wp:posOffset>
                </wp:positionV>
                <wp:extent cx="2019300" cy="2359660"/>
                <wp:effectExtent l="6350" t="0" r="12700" b="21590"/>
                <wp:wrapNone/>
                <wp:docPr id="26" name="组合 26"/>
                <wp:cNvGraphicFramePr/>
                <a:graphic xmlns:a="http://schemas.openxmlformats.org/drawingml/2006/main">
                  <a:graphicData uri="http://schemas.microsoft.com/office/word/2010/wordprocessingGroup">
                    <wpg:wgp>
                      <wpg:cNvGrpSpPr/>
                      <wpg:grpSpPr>
                        <a:xfrm>
                          <a:off x="0" y="0"/>
                          <a:ext cx="2019300" cy="2359660"/>
                          <a:chOff x="8500" y="1597326"/>
                          <a:chExt cx="3180" cy="3716"/>
                        </a:xfrm>
                      </wpg:grpSpPr>
                      <wps:wsp>
                        <wps:cNvPr id="173" name="AutoShape 55"/>
                        <wps:cNvSpPr>
                          <a:spLocks noChangeArrowheads="1"/>
                        </wps:cNvSpPr>
                        <wps:spPr bwMode="auto">
                          <a:xfrm rot="10800000">
                            <a:off x="8500" y="1600616"/>
                            <a:ext cx="1636" cy="426"/>
                          </a:xfrm>
                          <a:prstGeom prst="wedgeRectCallout">
                            <a:avLst>
                              <a:gd name="adj1" fmla="val -88023"/>
                              <a:gd name="adj2" fmla="val 153755"/>
                            </a:avLst>
                          </a:prstGeom>
                          <a:noFill/>
                          <a:ln w="12700">
                            <a:solidFill>
                              <a:srgbClr val="FF0000"/>
                            </a:solidFill>
                            <a:miter lim="800000"/>
                            <a:tailEnd type="arrow" w="med" len="med"/>
                          </a:ln>
                        </wps:spPr>
                        <wps:txbx>
                          <w:txbxContent>
                            <w:p>
                              <w:pPr>
                                <w:rPr>
                                  <w:b/>
                                  <w:bCs/>
                                  <w:color w:val="FF0000"/>
                                </w:rPr>
                              </w:pPr>
                              <w:r>
                                <w:rPr>
                                  <w:rFonts w:hint="eastAsia"/>
                                  <w:b/>
                                  <w:bCs/>
                                  <w:color w:val="FF0000"/>
                                </w:rPr>
                                <w:t>项目所在位置</w:t>
                              </w:r>
                            </w:p>
                          </w:txbxContent>
                        </wps:txbx>
                        <wps:bodyPr rot="0" vert="horz" wrap="square" lIns="91440" tIns="45720" rIns="91440" bIns="45720" anchor="t" anchorCtr="0" upright="1">
                          <a:noAutofit/>
                        </wps:bodyPr>
                      </wps:wsp>
                      <wps:wsp>
                        <wps:cNvPr id="174" name="AutoShape 54"/>
                        <wps:cNvSpPr>
                          <a:spLocks noChangeArrowheads="1"/>
                        </wps:cNvSpPr>
                        <wps:spPr bwMode="auto">
                          <a:xfrm>
                            <a:off x="10729" y="1600101"/>
                            <a:ext cx="119" cy="119"/>
                          </a:xfrm>
                          <a:prstGeom prst="star4">
                            <a:avLst>
                              <a:gd name="adj" fmla="val 12500"/>
                            </a:avLst>
                          </a:prstGeom>
                          <a:solidFill>
                            <a:srgbClr val="FF0000"/>
                          </a:solidFill>
                          <a:ln w="12700">
                            <a:solidFill>
                              <a:srgbClr val="FF0000"/>
                            </a:solidFill>
                            <a:miter lim="800000"/>
                            <a:tailEnd type="arrow" w="med" len="med"/>
                          </a:ln>
                        </wps:spPr>
                        <wps:bodyPr rot="0" vert="horz" wrap="square" lIns="91440" tIns="45720" rIns="91440" bIns="45720" anchor="t" anchorCtr="0" upright="1">
                          <a:noAutofit/>
                        </wps:bodyPr>
                      </wps:wsp>
                      <pic:pic xmlns:pic="http://schemas.openxmlformats.org/drawingml/2006/picture">
                        <pic:nvPicPr>
                          <pic:cNvPr id="49" name="图片 68" descr="指北针"/>
                          <pic:cNvPicPr>
                            <a:picLocks noChangeAspect="1" noChangeArrowheads="1"/>
                          </pic:cNvPicPr>
                        </pic:nvPicPr>
                        <pic:blipFill>
                          <a:blip r:embed="rId48" cstate="print"/>
                          <a:srcRect/>
                          <a:stretch>
                            <a:fillRect/>
                          </a:stretch>
                        </pic:blipFill>
                        <pic:spPr>
                          <a:xfrm>
                            <a:off x="11072" y="1597326"/>
                            <a:ext cx="608" cy="862"/>
                          </a:xfrm>
                          <a:prstGeom prst="rect">
                            <a:avLst/>
                          </a:prstGeom>
                          <a:noFill/>
                          <a:ln w="9525">
                            <a:noFill/>
                            <a:miter lim="800000"/>
                            <a:headEnd/>
                            <a:tailEnd/>
                          </a:ln>
                        </pic:spPr>
                      </pic:pic>
                    </wpg:wgp>
                  </a:graphicData>
                </a:graphic>
              </wp:anchor>
            </w:drawing>
          </mc:Choice>
          <mc:Fallback>
            <w:pict>
              <v:group id="_x0000_s1026" o:spid="_x0000_s1026" o:spt="203" style="position:absolute;left:0pt;margin-left:242.3pt;margin-top:7.9pt;height:185.8pt;width:159pt;z-index:251709440;mso-width-relative:page;mso-height-relative:page;" coordorigin="8500,1597326" coordsize="3180,3716" o:gfxdata="UEsDBAoAAAAAAIdO4kAAAAAAAAAAAAAAAAAEAAAAZHJzL1BLAwQUAAAACACHTuJADT9imtoAAAAK&#10;AQAADwAAAGRycy9kb3ducmV2LnhtbE2PwU7DMBBE70j8g7VI3KidNi1RiFOhCjhVSLRIiJsbb5Oo&#10;8TqK3aT9e5YTHHfmaXamWF9cJ0YcQutJQzJTIJAqb1uqNXzuXx8yECEasqbzhBquGGBd3t4UJrd+&#10;og8cd7EWHEIhNxqaGPtcylA16EyY+R6JvaMfnIl8DrW0g5k43HVyrtRKOtMSf2hMj5sGq9Pu7DS8&#10;TWZ6XiQv4/Z03Fy/98v3r22CWt/fJeoJRMRL/IPhtz5Xh5I7HfyZbBCdhjRLV4yyseQJDGRqzsJB&#10;wyJ7TEGWhfw/ofwBUEsDBBQAAAAIAIdO4kDE/e41NQQAAMULAAAOAAAAZHJzL2Uyb0RvYy54bWzV&#10;VtuOHDUQfUfiHyy/Z6e7597anijaza4iBVgR+ACP232BbtvYnu3ZPCMlSHlAvPDApyDxN0vEX1Bl&#10;d89lNwkrboKRZsZ22eWqU3WqfPp42zbkWhhbK5nR+CSiREiu8lqWGf3yi4tHC0qsYzJnjZIiozfC&#10;0serjz867XQqElWpJheGgBJp005ntHJOp6OR5ZVomT1RWkgQFsq0zMHUlKPcsA60t80oiaLZqFMm&#10;10ZxYS2sngch7TWahyhURVFzca74phXSBa1GNMyBS7aqtaUrb21RCO4+KworHGkyCp46/wuXwHiN&#10;v6PVKUtLw3RV894E9hAT7vjUslrCpTtV58wxsjH1PVVtzY2yqnAnXLWj4IhHBLyIozvYXBq10d6X&#10;Mu1KvQMdAnUH9T+tln96fWVInWc0mVEiWQsRf/vzt7ffvyawAOh0ukxh06XRL/SV6RfKMEOHt4Vp&#10;8R9cIVuP680OV7F1hMMiuLYcRwA5B1kyni5nsx55XkF48NxiinIQx9PlfByuZimvnvYqxvGiPz+e&#10;x96w0XD3CE3cWdRpSEu7x8r+NaxeVEwLHwKLMPRYxfPxANaTjVN+E5lOA15+I4KFsFj9XPGvLZHq&#10;rGKyFE+MUV0lWA52xbgfrD84gBMLR8m6+0TlEAsG6n1iIc7EKEjgOFpE+PHLPex7+GZAsQAQSwf8&#10;49kYgovgTwKyO+xYqo11l0K1BAcZ7UReis+BNmesadTG+UvY9XPrfHbnfYqw/KuYkqJtgCzXrCGP&#10;FosoGaM/QIGDTcnhpng6ngeQ4P5eJ4wGC/CsVBd103g1jSQdOJvMe0+tauocpR5WU67PGkPg7oxe&#10;XHg4EEwA/HBbWzuoVU3dQoIFzLxqx+rmqcyJu9EIMYaE4mWtyClpBJRFHAV9jexjhGFBOtjUbddb&#10;EOJwrfIbiJaPC+QnlFXAsFLmJeiDopJR+82GGQFan0mI+DKeTGCb85PJdJ7AxBxK1ocSJjmoyqij&#10;JAzPXKhcG23qssJU8OGRCpOwqB1avLeqnwAZgq3/Aism72DF5J9mBeZDT4M4mifLUEaAB3HkGXbA&#10;gxiESIMYBiG8Q/kakrCnATRAM3l/7h9ldYKlK2h7d1IfpaR9WOb+d7P//5LyuuYpfPumCaN7jeCP&#10;nypwym2AvqtT1Cavr2qORQAn+2YwgaQKjfP2p1/efveKzOAFlQvLgay/vnl1++bH3354jQkyHAtK&#10;oPDV/E5zsBoqL9L6A/3iWMsIp0eGrZtaD2USx3/vw4qYVLRrkWfUPMvBTg5McVBEoSJJh05CBTYc&#10;G0gYOyMcr3C5gNLdr2OZHgTegb3N6E6otEN735Mb2X3/jTA0uVkEsCO5F7Pkw+Q2YN2e24G5A//R&#10;0ntNaDlNpv7AgeQ9rQVbO7QW73zfZsIFvo/svfNuw9QXaf+6g9HR8/Fw7nftX9+r3wFQSwMECgAA&#10;AAAAh07iQAAAAAAAAAAAAAAAAAoAAABkcnMvbWVkaWEvUEsDBBQAAAAIAIdO4kCzg4XZIAoAABsK&#10;AAAVAAAAZHJzL21lZGlhL2ltYWdlMS5qcGVnARsK5PX/2P/gABBKRklGAAEBAQDcANwAAP/bAEMA&#10;CAYGBwYFCAcHBwkJCAoMFA0MCwsMGRITDxQdGh8eHRocHCAkLicgIiwjHBwoNyksMDE0NDQfJzk9&#10;ODI8LjM0Mv/bAEMBCQkJDAsMGA0NGDIhHCEyMjIyMjIyMjIyMjIyMjIyMjIyMjIyMjIyMjIyMjIy&#10;MjIyMjIyMjIyMjIyMjIyMjIyMv/AABEIAHcAV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eY402L8g6Dt7U/y0/uD8qI/uJ9BT6AGeWn9wfl&#10;SFE/uD8qkprdKAGbE/uj8qNiD+EflXH+IPGk/hrXrC0vtORrC7fYLqOckx9Bll28cnsa29f1O70z&#10;R5b+ytIrowrvZJJjFkexCtzQBrBE/uD8qXy0/uD8qq6VPdXOnxTXkEUEzjcY4pC6gHpyQP5VdoAZ&#10;5af3B+VJ5af3B+VSUhoAqzRJv+4vT0op833/AMKKAJY/uJ9BT6ZH9xPoKfQAU0inUh4FAHFeLNFh&#10;1/V49Ln4S4sJlyP4WyMH8DWToWtz6j8OtV0zUTt1bSke0ulbq2Puv+K4/HNdTeEf8Jrp5/6dJf5i&#10;uJ+ItpJoGuf8JBbK32bUYvsV+EHVukbf0oA9RsP+PC3/AOua/wAqsVWsP+PCAdxGo/SrNABSGlpD&#10;QBBN9/8ACiib7/4UUASx/cT6Cn0yP7ifQU+gApDzxSF9tYeueL9D8Ox79Tv44Sekecuf+AjmgBJ/&#10;DZn12PVv7UvUljBVYlZfLCnqMbenFXdU0m21jTZbC7TfBIBkdwRzxXmt78d9LWQpYaReXIx94kL+&#10;nJqlD8eRuPm+H5Ng6mOcH+lAWPZYUEUKoM4UAc9eKkrzzRfjD4Y1V1hmlksZWxgXC4XPpuHFd5Dd&#10;RXEayROrxtyrKcg0AT0hpaQ0AQTff/Ciib7/AOFFAEsf3E+gpXbaPSmxn5F+grjPib4sPhfwu7wO&#10;PttyTFAB2OOT+AoA5/x58Sri3vv+Ed8Mxm51RzseSMbthP8ACvq36Cqvhv4QedKNS8W3L3l7J8zQ&#10;CQkA+jN3/DitH4WeCk0nTF1zUEMmp3gLAvyY1PI/E9TXpgUbBxQBw3jK20rwl4E1Kawsba2cxGOM&#10;xxgNubjrXk3wkv4rbxqlncKrw3sTRFXAILdR1rs/jrqpi07TNKU4M0jTOP8AZXp+pryHSZ5tKvrT&#10;WEBEdrdJlv1x+QNBS2Po3Xvhp4a16F99iltMf+W1uNjA/hwa82li8U/CG/SRXfUdAkfBGcqPY/3G&#10;9D0r3e2lS5t450OVkUMD7EZqK/sLXUbOazu4UlgmUo6MMgg0ElLw94jsPEukxajp8gaJx8ynho27&#10;qw9RWuOa8H0uS4+FvxGGlyysdG1BgEZj0ycA/UHj6V7snIzQBFN9/wDCiib7/wCFFAD0/wBWPp/S&#10;vFfGynxP8ZdL0N8m2s1TcvUZPzsfyCj8K9qj/wBWv0H8q8X0Tcf2iNR8zqDJgH/rmAP0oBHs8UYj&#10;QKowoGAPapD0oHSoLy6S0sp7iRgqRIzsScYAGaAPm74s6sNT8fXKK2Y7NFgXB4z1b9T+lVND0xtS&#10;+H/iRkBLWskE4A9twP6GuZvr19S1C5vpM7rmVpTnryc16t8GbJNR0nxNZOAUnjSM59w1BWx6H8Md&#10;XGreAtOctukhTyH5zyvH8sV2OK8b+CV5JaTa54enJEttL5iqfqVb9QPzr2ReQKCTzD416Kt74SW/&#10;CAy2cgOQP4W4P9K6zwJq0mteCdJv5TmV4AshPdlypP4kZ/Gq3xLAPw81rP8AzwGP++hWR8GC5+Hd&#10;tvzjz5cfTdQB3k33/wAKKJvv/hRQA9P9WPp/SvFPFDnwx8dNP1Nztt75UYsBx0MbD9Afxr2tP9Wv&#10;0H8q4D4seFZPEPhsXVrGTfWBMse0clf4gP0P4CgEegKwYAg5B71xPxY1X+zPh/fqjYmvMWyD/ePz&#10;f+Ohqg+F/jJPEmgJaXMmNTsxsmUnll7NXHfHXVA93pmlIR+7Vp3XPc8D+v50DS1PH+AOOgr1b4Ja&#10;5Y2OqahptxKI57zYYd3AYjOQD681yHgjwbdeMNXEKBksoSDcTAdB6D3Nep+Ofhlby6Vb3vh2D7Nf&#10;6fGAixceYq9Pqw9aQ2zGX/ilfj8pI2W+pfKfT94P/i1H517eOlfLviPxZJr1tpGoXIMesabIYZux&#10;cA5VvqCpB+tfSNjqcF1okGpNIiwvAJWcnAAxk0yTifjPrCWHgl7XfiS8kVAAedo5P8q3/h5pb6R4&#10;E0i1lXbKYBLIPRnJYg/TOK8uleT4p/EmNIlZtE08gkkcMo6k/wC8f0r3eNQiAAYAGBQBHL9/8KKJ&#10;vv8A4UUASR/cT6CiRN64pU+4v0FPoA8b8a+AtS0TWP8AhK/CW6O4RvMmt4v1wO4PcV5rqOpXHjfx&#10;jC2oSw2LzFYZGkYhIgOp56euK+q3TdzXJeJPhv4e8TZku7Qw3Pa4tzscf0P4igaZpeFtI0vQ9Ggs&#10;tJMbW6DJkUgmRu7EjqTWy5Bx045rxqb4Ma3YP/xI/FTJHnhZVaMj8VJz+QprfC7x3PhZ/FcZj7/v&#10;5mP5YH86AZS+MHhnSLeT+2rC6torqRttzaq4zJnjcB6+tYmj3virxro1l4U05TFYQjZPOCQrLnOG&#10;b09h1rvNI+B+lwzC41nUrnU5M5KY8uM/Xksfz/CvSdP0mz0u2W3sbaO3hXoiKAKBGZ4T8KWXhPR4&#10;7KzQM33ppSOZG9T/AEroe3NKOlIaAIJvv/hRRN9/8KKAHJMmxeew7U7zo/X9KKKADzk9f0o82P1/&#10;SiigBPNj9f0o82P1/SiigA82P1/Sl85PX9KKKADzo/X9KPOT1/SiigCtPOgk69vSiiigD//Z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Fhgsxu0&#10;AAAAIgEAABkAAABkcnMvX3JlbHMvZTJvRG9jLnhtbC5yZWxzhY/LCsIwEEX3gv8QZm/TuhCRpm5E&#10;cCv1A4ZkmkabB0kU+/cG3CgILude7jlMu3/aiT0oJuOdgKaqgZGTXhmnBVz642oLLGV0CifvSMBM&#10;CfbdctGeacJcRmk0IbFCcUnAmHPYcZ7kSBZT5QO50gw+WszljJoHlDfUxNd1veHxkwHdF5OdlIB4&#10;Ug2wfg7F/J/th8FIOnh5t+TyDwU3trgLEKOmLMCSMvgOm+oaSAPvWv71WfcCUEsDBBQAAAAIAIdO&#10;4kDZOTeHEwEAAEgCAAATAAAAW0NvbnRlbnRfVHlwZXNdLnhtbJWSTU7DMBCF90jcwfIWxQ5dIISa&#10;dEEKEguoUDmAZU8Sl/hHHhPa2+OkrQRVWomlPfO9eW/s+WJrOtJDQO1sQW9ZTglY6ZS2TUE/1k/Z&#10;PSUYhVWicxYKugOki/L6ar7eeUCSaIsFbWP0D5yjbMEIZM6DTZXaBSNiOoaGeyE/RQN8lud3XDob&#10;wcYsDhq0nFdQi68ukuU2Xe+dbDw0lDzuG4dZBdVmEBgLfJJ5WT1PImzjGzqNBOjwhBHed1qKmBbC&#10;e6tOwmSHICyRYw+22uNNSntmwlD5m+P3gAP3ll4gaAVkJUJ8FSal5SogV+7bBujZZZHBpcHM1bWW&#10;wKqAVcLeoT+6OqcOM1c5+V/x5Ugdtfn4D8ofUEsBAhQAFAAAAAgAh07iQNk5N4cTAQAASAIAABMA&#10;AAAAAAAAAQAgAAAANhIAAFtDb250ZW50X1R5cGVzXS54bWxQSwECFAAKAAAAAACHTuJAAAAAAAAA&#10;AAAAAAAABgAAAAAAAAAAABAAAAAFEAAAX3JlbHMvUEsBAhQAFAAAAAgAh07iQIoUZjzRAAAAlAEA&#10;AAsAAAAAAAAAAQAgAAAAKRAAAF9yZWxzLy5yZWxzUEsBAhQACgAAAAAAh07iQAAAAAAAAAAAAAAA&#10;AAQAAAAAAAAAAAAQAAAAAAAAAGRycy9QSwECFAAKAAAAAACHTuJAAAAAAAAAAAAAAAAACgAAAAAA&#10;AAAAABAAAAAjEQAAZHJzL19yZWxzL1BLAQIUABQAAAAIAIdO4kBYYLMbtAAAACIBAAAZAAAAAAAA&#10;AAEAIAAAAEsRAABkcnMvX3JlbHMvZTJvRG9jLnhtbC5yZWxzUEsBAhQAFAAAAAgAh07iQA0/Ypra&#10;AAAACgEAAA8AAAAAAAAAAQAgAAAAIgAAAGRycy9kb3ducmV2LnhtbFBLAQIUABQAAAAIAIdO4kDE&#10;/e41NQQAAMULAAAOAAAAAAAAAAEAIAAAACkBAABkcnMvZTJvRG9jLnhtbFBLAQIUAAoAAAAAAIdO&#10;4kAAAAAAAAAAAAAAAAAKAAAAAAAAAAAAEAAAAIoFAABkcnMvbWVkaWEvUEsBAhQAFAAAAAgAh07i&#10;QLODhdkgCgAAGwoAABUAAAAAAAAAAQAgAAAAsgUAAGRycy9tZWRpYS9pbWFnZTEuanBlZ1BLBQYA&#10;AAAACgAKAFMCAAB6EwAAAAA=&#10;">
                <o:lock v:ext="edit" aspectratio="f"/>
                <v:shape id="AutoShape 55" o:spid="_x0000_s1026" o:spt="61" type="#_x0000_t61" style="position:absolute;left:8500;top:1600616;height:426;width:1636;rotation:11796480f;" filled="f" stroked="t" coordsize="21600,21600" o:gfxdata="UEsDBAoAAAAAAIdO4kAAAAAAAAAAAAAAAAAEAAAAZHJzL1BLAwQUAAAACACHTuJAVzRx+bwAAADc&#10;AAAADwAAAGRycy9kb3ducmV2LnhtbEVPTWsCMRC9C/0PYQreNNGCtlujh0JLBRXc9tC9DZvp7tLN&#10;JN1EV/+9EQRv83ifs1idbCuO1IXGsYbJWIEgLp1puNLw/fU+egYRIrLB1jFpOFOA1fJhsMDMuJ73&#10;dMxjJVIIhww11DH6TMpQ1mQxjJ0nTtyv6yzGBLtKmg77FG5bOVVqJi02nBpq9PRWU/mXH6wGKoqp&#10;X/O/2vRb+bH7kf5l3hdaDx8n6hVEpFO8i2/uT5Pmz5/g+ky6QC4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c0cfm8AAAA&#10;3AAAAA8AAAAAAAAAAQAgAAAAIgAAAGRycy9kb3ducmV2LnhtbFBLAQIUABQAAAAIAIdO4kAzLwWe&#10;OwAAADkAAAAQAAAAAAAAAAEAIAAAAAsBAABkcnMvc2hhcGV4bWwueG1sUEsFBgAAAAAGAAYAWwEA&#10;ALUDAAAAAA==&#10;" adj="-8213,44011">
                  <v:fill on="f" focussize="0,0"/>
                  <v:stroke weight="1pt" color="#FF0000" miterlimit="8" joinstyle="miter" endarrow="open"/>
                  <v:imagedata o:title=""/>
                  <o:lock v:ext="edit" aspectratio="f"/>
                  <v:textbox>
                    <w:txbxContent>
                      <w:p>
                        <w:pPr>
                          <w:rPr>
                            <w:b/>
                            <w:bCs/>
                            <w:color w:val="FF0000"/>
                          </w:rPr>
                        </w:pPr>
                        <w:r>
                          <w:rPr>
                            <w:rFonts w:hint="eastAsia"/>
                            <w:b/>
                            <w:bCs/>
                            <w:color w:val="FF0000"/>
                          </w:rPr>
                          <w:t>项目所在位置</w:t>
                        </w:r>
                      </w:p>
                    </w:txbxContent>
                  </v:textbox>
                </v:shape>
                <v:shape id="AutoShape 54" o:spid="_x0000_s1026" o:spt="187" type="#_x0000_t187" style="position:absolute;left:10729;top:1600101;height:119;width:119;" fillcolor="#FF0000" filled="t" stroked="t" coordsize="21600,21600" o:gfxdata="UEsDBAoAAAAAAIdO4kAAAAAAAAAAAAAAAAAEAAAAZHJzL1BLAwQUAAAACACHTuJAB0F4/LwAAADc&#10;AAAADwAAAGRycy9kb3ducmV2LnhtbEVPS2sCMRC+F/wPYYReRBMXqe3W6EEs9FKs2oPHYTP7wM1k&#10;2aT7+PeNIPQ2H99zNrvB1qKj1leONSwXCgRx5kzFhYafy8f8FYQPyAZrx6RhJA+77eRpg6lxPZ+o&#10;O4dCxBD2KWooQ2hSKX1WkkW/cA1x5HLXWgwRtoU0LfYx3NYyUepFWqw4NpTY0L6k7Hb+tRqOh69r&#10;n8yOb6vmht95Ps5UVZPWz9OlegcRaAj/4of708T56xXcn4kXyO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dBePy8AAAA&#10;3AAAAA8AAAAAAAAAAQAgAAAAIgAAAGRycy9kb3ducmV2LnhtbFBLAQIUABQAAAAIAIdO4kAzLwWe&#10;OwAAADkAAAAQAAAAAAAAAAEAIAAAAAsBAABkcnMvc2hhcGV4bWwueG1sUEsFBgAAAAAGAAYAWwEA&#10;ALUDAAAAAA==&#10;" adj="8100">
                  <v:fill on="t" focussize="0,0"/>
                  <v:stroke weight="1pt" color="#FF0000" miterlimit="8" joinstyle="miter" endarrow="open"/>
                  <v:imagedata o:title=""/>
                  <o:lock v:ext="edit" aspectratio="f"/>
                </v:shape>
                <v:shape id="图片 68" o:spid="_x0000_s1026" o:spt="75" alt="指北针" type="#_x0000_t75" style="position:absolute;left:11072;top:1597326;height:862;width:608;" filled="f" o:preferrelative="t" stroked="f" coordsize="21600,21600" o:gfxdata="UEsDBAoAAAAAAIdO4kAAAAAAAAAAAAAAAAAEAAAAZHJzL1BLAwQUAAAACACHTuJAts8DH7wAAADb&#10;AAAADwAAAGRycy9kb3ducmV2LnhtbEWPUWvCMBSF3wf+h3AF32bqcKOrRpGB4MNQZvcDLs21LTY3&#10;MYm2+/eLIPh4OOd8h7NcD6YTN/KhtaxgNs1AEFdWt1wr+C23rzmIEJE1dpZJwR8FWK9GL0sstO35&#10;h27HWIsE4VCggiZGV0gZqoYMhql1xMk7WW8wJulrqT32CW46+ZZlH9Jgy2mhQUdfDVXn49UouJau&#10;dIf6dNl/+0Hn736T232v1GQ8yxYgIg3xGX60d1rB/BPuX9IPk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bPAx+8AAAA&#10;2wAAAA8AAAAAAAAAAQAgAAAAIgAAAGRycy9kb3ducmV2LnhtbFBLAQIUABQAAAAIAIdO4kAzLwWe&#10;OwAAADkAAAAQAAAAAAAAAAEAIAAAAAsBAABkcnMvc2hhcGV4bWwueG1sUEsFBgAAAAAGAAYAWwEA&#10;ALUDAAAAAA==&#10;">
                  <v:fill on="f" focussize="0,0"/>
                  <v:stroke on="f" miterlimit="8" joinstyle="miter"/>
                  <v:imagedata r:id="rId48" o:title=""/>
                  <o:lock v:ext="edit" aspectratio="t"/>
                </v:shape>
              </v:group>
            </w:pict>
          </mc:Fallback>
        </mc:AlternateContent>
      </w:r>
      <w:r>
        <w:rPr>
          <w:kern w:val="0"/>
          <w:sz w:val="20"/>
          <w:szCs w:val="20"/>
          <w:highlight w:val="none"/>
        </w:rPr>
        <w:drawing>
          <wp:inline distT="0" distB="0" distL="0" distR="0">
            <wp:extent cx="5135245" cy="4923155"/>
            <wp:effectExtent l="19050" t="19050" r="27305" b="10795"/>
            <wp:docPr id="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pic:cNvPicPr>
                      <a:picLocks noChangeAspect="1" noChangeArrowheads="1"/>
                    </pic:cNvPicPr>
                  </pic:nvPicPr>
                  <pic:blipFill>
                    <a:blip r:embed="rId50" cstate="print"/>
                    <a:srcRect/>
                    <a:stretch>
                      <a:fillRect/>
                    </a:stretch>
                  </pic:blipFill>
                  <pic:spPr>
                    <a:xfrm>
                      <a:off x="0" y="0"/>
                      <a:ext cx="5135245" cy="4923155"/>
                    </a:xfrm>
                    <a:prstGeom prst="rect">
                      <a:avLst/>
                    </a:prstGeom>
                    <a:noFill/>
                    <a:ln w="19050">
                      <a:solidFill>
                        <a:schemeClr val="tx1"/>
                      </a:solidFill>
                      <a:miter lim="800000"/>
                      <a:headEnd/>
                      <a:tailEnd/>
                    </a:ln>
                  </pic:spPr>
                </pic:pic>
              </a:graphicData>
            </a:graphic>
          </wp:inline>
        </w:drawing>
      </w:r>
    </w:p>
    <w:p>
      <w:pPr>
        <w:spacing w:line="480" w:lineRule="exact"/>
        <w:jc w:val="center"/>
        <w:rPr>
          <w:sz w:val="24"/>
          <w:highlight w:val="none"/>
        </w:rPr>
      </w:pPr>
      <w:r>
        <w:rPr>
          <w:b/>
          <w:bCs/>
          <w:sz w:val="24"/>
          <w:highlight w:val="none"/>
          <w:lang w:val="zh-CN"/>
        </w:rPr>
        <w:t>图</w:t>
      </w:r>
      <w:r>
        <w:rPr>
          <w:rFonts w:hint="eastAsia"/>
          <w:b/>
          <w:bCs/>
          <w:sz w:val="24"/>
          <w:highlight w:val="none"/>
          <w:lang w:val="en-US" w:eastAsia="zh-CN"/>
        </w:rPr>
        <w:t>4</w:t>
      </w:r>
      <w:r>
        <w:rPr>
          <w:b/>
          <w:bCs/>
          <w:sz w:val="24"/>
          <w:highlight w:val="none"/>
        </w:rPr>
        <w:t>.2-1</w:t>
      </w:r>
      <w:r>
        <w:rPr>
          <w:b/>
          <w:bCs/>
          <w:sz w:val="24"/>
          <w:highlight w:val="none"/>
          <w:lang w:val="zh-CN"/>
        </w:rPr>
        <w:t>项目所在区域地表水系图</w:t>
      </w:r>
    </w:p>
    <w:p>
      <w:pPr>
        <w:keepNext w:val="0"/>
        <w:keepLines w:val="0"/>
        <w:pageBreakBefore w:val="0"/>
        <w:widowControl w:val="0"/>
        <w:kinsoku/>
        <w:wordWrap/>
        <w:overflowPunct/>
        <w:topLinePunct w:val="0"/>
        <w:autoSpaceDE w:val="0"/>
        <w:autoSpaceDN w:val="0"/>
        <w:bidi w:val="0"/>
        <w:adjustRightInd w:val="0"/>
        <w:snapToGrid/>
        <w:spacing w:line="440" w:lineRule="exact"/>
        <w:textAlignment w:val="auto"/>
        <w:rPr>
          <w:b/>
          <w:sz w:val="24"/>
          <w:highlight w:val="none"/>
          <w:lang w:val="zh-CN"/>
        </w:rPr>
      </w:pPr>
      <w:r>
        <w:rPr>
          <w:rFonts w:hint="eastAsia"/>
          <w:b/>
          <w:sz w:val="24"/>
          <w:highlight w:val="none"/>
        </w:rPr>
        <w:t>4</w:t>
      </w:r>
      <w:r>
        <w:rPr>
          <w:rFonts w:hint="eastAsia"/>
          <w:b/>
          <w:sz w:val="24"/>
          <w:highlight w:val="none"/>
          <w:lang w:val="zh-CN"/>
        </w:rPr>
        <w:t>.2.4.2 泥沙</w:t>
      </w:r>
    </w:p>
    <w:p>
      <w:pPr>
        <w:keepNext w:val="0"/>
        <w:keepLines w:val="0"/>
        <w:pageBreakBefore w:val="0"/>
        <w:widowControl w:val="0"/>
        <w:kinsoku/>
        <w:wordWrap/>
        <w:overflowPunct/>
        <w:topLinePunct w:val="0"/>
        <w:autoSpaceDE w:val="0"/>
        <w:autoSpaceDN w:val="0"/>
        <w:bidi w:val="0"/>
        <w:adjustRightInd w:val="0"/>
        <w:snapToGrid/>
        <w:spacing w:line="440" w:lineRule="exact"/>
        <w:ind w:firstLine="480"/>
        <w:textAlignment w:val="auto"/>
        <w:rPr>
          <w:sz w:val="24"/>
          <w:highlight w:val="none"/>
          <w:lang w:val="zh-CN"/>
        </w:rPr>
      </w:pPr>
      <w:r>
        <w:rPr>
          <w:rFonts w:hint="eastAsia"/>
          <w:color w:val="auto"/>
          <w:sz w:val="24"/>
          <w:highlight w:val="none"/>
          <w:lang w:val="zh-CN"/>
        </w:rPr>
        <w:t>黎河地面坡度较大，上游多为丘陵、山地。</w:t>
      </w:r>
      <w:r>
        <w:rPr>
          <w:rFonts w:hint="eastAsia"/>
          <w:sz w:val="24"/>
          <w:highlight w:val="none"/>
          <w:lang w:val="zh-CN"/>
        </w:rPr>
        <w:t>植被状况较好。近年来，由于矿山开发，部分地区植被破坏，中下游属于平原地区，地面坡降较小，农作物生长茂密，水土流失较小。根据前毛庄水文站对黎河泥沙</w:t>
      </w:r>
      <w:r>
        <w:rPr>
          <w:rFonts w:hint="eastAsia"/>
          <w:sz w:val="24"/>
          <w:highlight w:val="none"/>
        </w:rPr>
        <w:t>监</w:t>
      </w:r>
      <w:r>
        <w:rPr>
          <w:rFonts w:hint="eastAsia"/>
          <w:sz w:val="24"/>
          <w:highlight w:val="none"/>
          <w:lang w:val="zh-CN"/>
        </w:rPr>
        <w:t>测，多以采矿、选矿的尾砂为主，粒径较小。</w:t>
      </w:r>
    </w:p>
    <w:p>
      <w:pPr>
        <w:keepNext w:val="0"/>
        <w:keepLines w:val="0"/>
        <w:pageBreakBefore w:val="0"/>
        <w:widowControl w:val="0"/>
        <w:kinsoku/>
        <w:wordWrap/>
        <w:overflowPunct/>
        <w:bidi w:val="0"/>
        <w:snapToGrid/>
        <w:spacing w:line="480" w:lineRule="exact"/>
        <w:textAlignment w:val="auto"/>
        <w:outlineLvl w:val="1"/>
        <w:rPr>
          <w:sz w:val="24"/>
          <w:highlight w:val="none"/>
          <w:lang w:val="zh-CN"/>
        </w:rPr>
      </w:pPr>
      <w:bookmarkStart w:id="178" w:name="_Toc27805"/>
      <w:r>
        <w:rPr>
          <w:rFonts w:hint="eastAsia"/>
          <w:b/>
          <w:snapToGrid w:val="0"/>
          <w:kern w:val="0"/>
          <w:sz w:val="24"/>
          <w:highlight w:val="none"/>
        </w:rPr>
        <w:t>4</w:t>
      </w:r>
      <w:r>
        <w:rPr>
          <w:b/>
          <w:snapToGrid w:val="0"/>
          <w:kern w:val="0"/>
          <w:sz w:val="24"/>
          <w:highlight w:val="none"/>
        </w:rPr>
        <w:t>.</w:t>
      </w:r>
      <w:r>
        <w:rPr>
          <w:rFonts w:hint="eastAsia"/>
          <w:b/>
          <w:snapToGrid w:val="0"/>
          <w:kern w:val="0"/>
          <w:sz w:val="24"/>
          <w:highlight w:val="none"/>
        </w:rPr>
        <w:t>3环境质量现状调查与评价</w:t>
      </w:r>
      <w:bookmarkEnd w:id="178"/>
    </w:p>
    <w:p>
      <w:pPr>
        <w:pStyle w:val="420"/>
        <w:keepNext w:val="0"/>
        <w:keepLines w:val="0"/>
        <w:pageBreakBefore w:val="0"/>
        <w:widowControl w:val="0"/>
        <w:kinsoku/>
        <w:wordWrap/>
        <w:overflowPunct/>
        <w:bidi w:val="0"/>
        <w:snapToGrid/>
        <w:spacing w:line="480" w:lineRule="exact"/>
        <w:jc w:val="both"/>
        <w:textAlignment w:val="auto"/>
        <w:rPr>
          <w:b/>
          <w:bCs/>
          <w:snapToGrid w:val="0"/>
          <w:color w:val="000000" w:themeColor="text1"/>
          <w:highlight w:val="none"/>
          <w14:textFill>
            <w14:solidFill>
              <w14:schemeClr w14:val="tx1"/>
            </w14:solidFill>
          </w14:textFill>
        </w:rPr>
      </w:pPr>
      <w:r>
        <w:rPr>
          <w:rFonts w:hint="eastAsia"/>
          <w:b/>
          <w:bCs/>
          <w:snapToGrid w:val="0"/>
          <w:highlight w:val="none"/>
        </w:rPr>
        <w:t>4.3.1 大气</w:t>
      </w:r>
      <w:r>
        <w:rPr>
          <w:rFonts w:hint="eastAsia"/>
          <w:b/>
          <w:bCs/>
          <w:snapToGrid w:val="0"/>
          <w:color w:val="000000" w:themeColor="text1"/>
          <w:highlight w:val="none"/>
          <w14:textFill>
            <w14:solidFill>
              <w14:schemeClr w14:val="tx1"/>
            </w14:solidFill>
          </w14:textFill>
        </w:rPr>
        <w:t>环境</w:t>
      </w:r>
    </w:p>
    <w:p>
      <w:pPr>
        <w:pStyle w:val="420"/>
        <w:keepNext w:val="0"/>
        <w:keepLines w:val="0"/>
        <w:pageBreakBefore w:val="0"/>
        <w:widowControl w:val="0"/>
        <w:kinsoku/>
        <w:wordWrap/>
        <w:overflowPunct/>
        <w:bidi w:val="0"/>
        <w:snapToGrid/>
        <w:spacing w:line="480" w:lineRule="exact"/>
        <w:ind w:firstLine="480" w:firstLineChars="200"/>
        <w:jc w:val="both"/>
        <w:textAlignment w:val="auto"/>
        <w:rPr>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引用数据合理性分析</w:t>
      </w:r>
    </w:p>
    <w:p>
      <w:pPr>
        <w:keepNext w:val="0"/>
        <w:keepLines w:val="0"/>
        <w:pageBreakBefore w:val="0"/>
        <w:widowControl w:val="0"/>
        <w:kinsoku/>
        <w:wordWrap/>
        <w:overflowPunct/>
        <w:bidi w:val="0"/>
        <w:snapToGrid/>
        <w:spacing w:line="480" w:lineRule="exact"/>
        <w:ind w:firstLine="480" w:firstLineChars="200"/>
        <w:textAlignment w:val="auto"/>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根据《环境影响评价技术导则-大气环境》（HJ 2.2-2018）6.2.1 基本污染物环境质量现状数据： “6.2.1.1项目所在区域达标判定，优先采用国家或地方生态环境主管部门公开发布的评价基准年环境质量公告或环境质量报告中的数据或结论”；“6.2.2.2 评价范围内没有环境空气质量监测网数据或公开发布的环境空气质量现状数据的，可收集评价范围内近 3 年与项目排放的其他污染物有关的历史监测资料。”</w:t>
      </w:r>
      <w:r>
        <w:rPr>
          <w:color w:val="auto"/>
          <w:sz w:val="24"/>
          <w:highlight w:val="none"/>
        </w:rPr>
        <w:t>本次评价引用《20</w:t>
      </w:r>
      <w:r>
        <w:rPr>
          <w:rFonts w:hint="eastAsia"/>
          <w:color w:val="auto"/>
          <w:sz w:val="24"/>
          <w:highlight w:val="none"/>
        </w:rPr>
        <w:t>2</w:t>
      </w:r>
      <w:r>
        <w:rPr>
          <w:rFonts w:hint="eastAsia"/>
          <w:color w:val="auto"/>
          <w:sz w:val="24"/>
          <w:highlight w:val="none"/>
          <w:lang w:val="en-US" w:eastAsia="zh-CN"/>
        </w:rPr>
        <w:t>2</w:t>
      </w:r>
      <w:r>
        <w:rPr>
          <w:color w:val="auto"/>
          <w:sz w:val="24"/>
          <w:highlight w:val="none"/>
        </w:rPr>
        <w:t xml:space="preserve">年唐山市环境状况公报》数据进行区域达标评价，符合“可收集评价范围内近 </w:t>
      </w:r>
      <w:r>
        <w:rPr>
          <w:color w:val="000000" w:themeColor="text1"/>
          <w:sz w:val="24"/>
          <w:highlight w:val="none"/>
          <w14:textFill>
            <w14:solidFill>
              <w14:schemeClr w14:val="tx1"/>
            </w14:solidFill>
          </w14:textFill>
        </w:rPr>
        <w:t>3 年与项目排放的其他污染物有关的历史监测资料”的要求。</w:t>
      </w:r>
    </w:p>
    <w:p>
      <w:pPr>
        <w:keepNext w:val="0"/>
        <w:keepLines w:val="0"/>
        <w:pageBreakBefore w:val="0"/>
        <w:widowControl w:val="0"/>
        <w:suppressAutoHyphens/>
        <w:kinsoku/>
        <w:wordWrap/>
        <w:overflowPunct/>
        <w:topLinePunct/>
        <w:bidi w:val="0"/>
        <w:snapToGrid/>
        <w:spacing w:line="480" w:lineRule="exact"/>
        <w:ind w:firstLine="480" w:firstLineChars="200"/>
        <w:textAlignment w:val="auto"/>
        <w:rPr>
          <w:color w:val="000000" w:themeColor="text1"/>
          <w:spacing w:val="10"/>
          <w:kern w:val="24"/>
          <w:sz w:val="24"/>
          <w:highlight w:val="none"/>
          <w14:textFill>
            <w14:solidFill>
              <w14:schemeClr w14:val="tx1"/>
            </w14:solidFill>
          </w14:textFill>
        </w:rPr>
      </w:pP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2</w:t>
      </w:r>
      <w:r>
        <w:rPr>
          <w:color w:val="000000" w:themeColor="text1"/>
          <w:sz w:val="24"/>
          <w:highlight w:val="none"/>
          <w14:textFill>
            <w14:solidFill>
              <w14:schemeClr w14:val="tx1"/>
            </w14:solidFill>
          </w14:textFill>
        </w:rPr>
        <w:t>）</w:t>
      </w:r>
      <w:r>
        <w:rPr>
          <w:snapToGrid w:val="0"/>
          <w:color w:val="000000" w:themeColor="text1"/>
          <w:sz w:val="24"/>
          <w:highlight w:val="none"/>
          <w14:textFill>
            <w14:solidFill>
              <w14:schemeClr w14:val="tx1"/>
            </w14:solidFill>
          </w14:textFill>
        </w:rPr>
        <w:t>常规污染物</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eastAsia" w:cs="宋体"/>
          <w:color w:val="auto"/>
          <w:sz w:val="24"/>
          <w:szCs w:val="24"/>
          <w:highlight w:val="none"/>
          <w:lang w:eastAsia="zh-CN"/>
        </w:rPr>
      </w:pPr>
      <w:r>
        <w:rPr>
          <w:rFonts w:hint="eastAsia" w:cs="宋体"/>
          <w:color w:val="auto"/>
          <w:sz w:val="24"/>
          <w:szCs w:val="24"/>
          <w:highlight w:val="none"/>
        </w:rPr>
        <w:t>根据</w:t>
      </w:r>
      <w:r>
        <w:rPr>
          <w:rFonts w:cs="宋体"/>
          <w:color w:val="auto"/>
          <w:sz w:val="24"/>
          <w:szCs w:val="24"/>
          <w:highlight w:val="none"/>
        </w:rPr>
        <w:t>唐山市</w:t>
      </w:r>
      <w:r>
        <w:rPr>
          <w:rFonts w:hint="eastAsia" w:cs="宋体"/>
          <w:color w:val="auto"/>
          <w:sz w:val="24"/>
          <w:szCs w:val="24"/>
          <w:highlight w:val="none"/>
        </w:rPr>
        <w:t>生态环境</w:t>
      </w:r>
      <w:r>
        <w:rPr>
          <w:rFonts w:cs="宋体"/>
          <w:color w:val="auto"/>
          <w:sz w:val="24"/>
          <w:szCs w:val="24"/>
          <w:highlight w:val="none"/>
        </w:rPr>
        <w:t>局发布的《</w:t>
      </w:r>
      <w:r>
        <w:rPr>
          <w:rFonts w:hint="eastAsia" w:cs="宋体"/>
          <w:color w:val="auto"/>
          <w:sz w:val="24"/>
          <w:szCs w:val="24"/>
          <w:highlight w:val="none"/>
        </w:rPr>
        <w:t>20</w:t>
      </w:r>
      <w:r>
        <w:rPr>
          <w:rFonts w:hint="eastAsia" w:cs="宋体"/>
          <w:color w:val="auto"/>
          <w:sz w:val="24"/>
          <w:szCs w:val="24"/>
          <w:highlight w:val="none"/>
          <w:lang w:val="en-US" w:eastAsia="zh-CN"/>
        </w:rPr>
        <w:t>22</w:t>
      </w:r>
      <w:r>
        <w:rPr>
          <w:rFonts w:hint="eastAsia" w:cs="宋体"/>
          <w:color w:val="auto"/>
          <w:sz w:val="24"/>
          <w:szCs w:val="24"/>
          <w:highlight w:val="none"/>
        </w:rPr>
        <w:t>年</w:t>
      </w:r>
      <w:r>
        <w:rPr>
          <w:rFonts w:cs="宋体"/>
          <w:color w:val="auto"/>
          <w:sz w:val="24"/>
          <w:szCs w:val="24"/>
          <w:highlight w:val="none"/>
        </w:rPr>
        <w:t>唐山市环境状况公报》</w:t>
      </w:r>
      <w:r>
        <w:rPr>
          <w:rFonts w:hint="eastAsia" w:cs="宋体"/>
          <w:color w:val="auto"/>
          <w:sz w:val="24"/>
          <w:szCs w:val="24"/>
          <w:highlight w:val="none"/>
        </w:rPr>
        <w:t>显示</w:t>
      </w:r>
      <w:r>
        <w:rPr>
          <w:rFonts w:cs="宋体"/>
          <w:color w:val="auto"/>
          <w:sz w:val="24"/>
          <w:szCs w:val="24"/>
          <w:highlight w:val="none"/>
        </w:rPr>
        <w:t>，</w:t>
      </w:r>
      <w:r>
        <w:rPr>
          <w:rFonts w:hint="eastAsia" w:cs="宋体"/>
          <w:color w:val="auto"/>
          <w:sz w:val="24"/>
          <w:szCs w:val="24"/>
          <w:highlight w:val="none"/>
          <w:lang w:eastAsia="zh-CN"/>
        </w:rPr>
        <w:t>唐山市</w:t>
      </w:r>
      <w:r>
        <w:rPr>
          <w:rFonts w:hint="eastAsia" w:cs="宋体"/>
          <w:color w:val="auto"/>
          <w:sz w:val="24"/>
          <w:szCs w:val="24"/>
          <w:highlight w:val="none"/>
        </w:rPr>
        <w:t>环境空气质量综合指数</w:t>
      </w:r>
      <w:r>
        <w:rPr>
          <w:rFonts w:hint="eastAsia" w:cs="宋体"/>
          <w:color w:val="auto"/>
          <w:sz w:val="24"/>
          <w:szCs w:val="24"/>
          <w:highlight w:val="none"/>
          <w:lang w:val="en-US" w:eastAsia="zh-CN"/>
        </w:rPr>
        <w:t>4.47</w:t>
      </w:r>
      <w:r>
        <w:rPr>
          <w:rFonts w:hint="eastAsia" w:cs="宋体"/>
          <w:color w:val="auto"/>
          <w:sz w:val="24"/>
          <w:szCs w:val="24"/>
          <w:highlight w:val="none"/>
        </w:rPr>
        <w:t>；优良天数</w:t>
      </w:r>
      <w:r>
        <w:rPr>
          <w:rFonts w:hint="eastAsia" w:cs="宋体"/>
          <w:color w:val="auto"/>
          <w:sz w:val="24"/>
          <w:szCs w:val="24"/>
          <w:highlight w:val="none"/>
          <w:lang w:val="en-US" w:eastAsia="zh-CN"/>
        </w:rPr>
        <w:t>275</w:t>
      </w:r>
      <w:r>
        <w:rPr>
          <w:rFonts w:hint="eastAsia" w:cs="宋体"/>
          <w:color w:val="auto"/>
          <w:sz w:val="24"/>
          <w:szCs w:val="24"/>
          <w:highlight w:val="none"/>
        </w:rPr>
        <w:t>天，优良天数比例</w:t>
      </w:r>
      <w:r>
        <w:rPr>
          <w:rFonts w:hint="eastAsia" w:cs="宋体"/>
          <w:color w:val="auto"/>
          <w:sz w:val="24"/>
          <w:szCs w:val="24"/>
          <w:highlight w:val="none"/>
          <w:lang w:val="en-US" w:eastAsia="zh-CN"/>
        </w:rPr>
        <w:t>75.3</w:t>
      </w:r>
      <w:r>
        <w:rPr>
          <w:rFonts w:hint="eastAsia" w:cs="宋体"/>
          <w:color w:val="auto"/>
          <w:sz w:val="24"/>
          <w:szCs w:val="24"/>
          <w:highlight w:val="none"/>
        </w:rPr>
        <w:t>%。202</w:t>
      </w:r>
      <w:r>
        <w:rPr>
          <w:rFonts w:hint="eastAsia" w:cs="宋体"/>
          <w:color w:val="auto"/>
          <w:sz w:val="24"/>
          <w:szCs w:val="24"/>
          <w:highlight w:val="none"/>
          <w:lang w:val="en-US" w:eastAsia="zh-CN"/>
        </w:rPr>
        <w:t>2</w:t>
      </w:r>
      <w:r>
        <w:rPr>
          <w:rFonts w:hint="eastAsia" w:cs="宋体"/>
          <w:color w:val="auto"/>
          <w:sz w:val="24"/>
          <w:szCs w:val="24"/>
          <w:highlight w:val="none"/>
        </w:rPr>
        <w:t>年唐山市开展环境空气质量监测36</w:t>
      </w:r>
      <w:r>
        <w:rPr>
          <w:rFonts w:hint="eastAsia" w:cs="宋体"/>
          <w:color w:val="auto"/>
          <w:sz w:val="24"/>
          <w:szCs w:val="24"/>
          <w:highlight w:val="none"/>
          <w:lang w:val="en-US" w:eastAsia="zh-CN"/>
        </w:rPr>
        <w:t>5</w:t>
      </w:r>
      <w:r>
        <w:rPr>
          <w:rFonts w:hint="eastAsia" w:cs="宋体"/>
          <w:color w:val="auto"/>
          <w:sz w:val="24"/>
          <w:szCs w:val="24"/>
          <w:highlight w:val="none"/>
        </w:rPr>
        <w:t>天，城市环境空气质量二级或优于二级的优良天数2</w:t>
      </w:r>
      <w:r>
        <w:rPr>
          <w:rFonts w:hint="eastAsia" w:cs="宋体"/>
          <w:color w:val="auto"/>
          <w:sz w:val="24"/>
          <w:szCs w:val="24"/>
          <w:highlight w:val="none"/>
          <w:lang w:val="en-US" w:eastAsia="zh-CN"/>
        </w:rPr>
        <w:t>75</w:t>
      </w:r>
      <w:r>
        <w:rPr>
          <w:rFonts w:hint="eastAsia" w:cs="宋体"/>
          <w:color w:val="auto"/>
          <w:sz w:val="24"/>
          <w:szCs w:val="24"/>
          <w:highlight w:val="none"/>
        </w:rPr>
        <w:t>天（优</w:t>
      </w:r>
      <w:r>
        <w:rPr>
          <w:rFonts w:hint="eastAsia" w:cs="宋体"/>
          <w:color w:val="auto"/>
          <w:sz w:val="24"/>
          <w:szCs w:val="24"/>
          <w:highlight w:val="none"/>
          <w:lang w:val="en-US" w:eastAsia="zh-CN"/>
        </w:rPr>
        <w:t>83</w:t>
      </w:r>
      <w:r>
        <w:rPr>
          <w:rFonts w:hint="eastAsia" w:cs="宋体"/>
          <w:color w:val="auto"/>
          <w:sz w:val="24"/>
          <w:szCs w:val="24"/>
          <w:highlight w:val="none"/>
        </w:rPr>
        <w:t>天，良</w:t>
      </w:r>
      <w:r>
        <w:rPr>
          <w:rFonts w:hint="eastAsia" w:cs="宋体"/>
          <w:color w:val="auto"/>
          <w:sz w:val="24"/>
          <w:szCs w:val="24"/>
          <w:highlight w:val="none"/>
          <w:lang w:val="en-US" w:eastAsia="zh-CN"/>
        </w:rPr>
        <w:t>192</w:t>
      </w:r>
      <w:r>
        <w:rPr>
          <w:rFonts w:hint="eastAsia" w:cs="宋体"/>
          <w:color w:val="auto"/>
          <w:sz w:val="24"/>
          <w:szCs w:val="24"/>
          <w:highlight w:val="none"/>
        </w:rPr>
        <w:t>天），优良天数比例为</w:t>
      </w:r>
      <w:r>
        <w:rPr>
          <w:rFonts w:hint="eastAsia" w:cs="宋体"/>
          <w:color w:val="auto"/>
          <w:sz w:val="24"/>
          <w:szCs w:val="24"/>
          <w:highlight w:val="none"/>
          <w:lang w:val="en-US" w:eastAsia="zh-CN"/>
        </w:rPr>
        <w:t>75.3</w:t>
      </w:r>
      <w:r>
        <w:rPr>
          <w:rFonts w:hint="eastAsia" w:cs="宋体"/>
          <w:color w:val="auto"/>
          <w:sz w:val="24"/>
          <w:szCs w:val="24"/>
          <w:highlight w:val="none"/>
        </w:rPr>
        <w:t>%。全年优良天数较上年增加</w:t>
      </w:r>
      <w:r>
        <w:rPr>
          <w:rFonts w:hint="eastAsia" w:cs="宋体"/>
          <w:color w:val="auto"/>
          <w:sz w:val="24"/>
          <w:szCs w:val="24"/>
          <w:highlight w:val="none"/>
          <w:lang w:val="en-US" w:eastAsia="zh-CN"/>
        </w:rPr>
        <w:t>19</w:t>
      </w:r>
      <w:r>
        <w:rPr>
          <w:rFonts w:hint="eastAsia" w:cs="宋体"/>
          <w:color w:val="auto"/>
          <w:sz w:val="24"/>
          <w:szCs w:val="24"/>
          <w:highlight w:val="none"/>
        </w:rPr>
        <w:t>天，优天数增加</w:t>
      </w:r>
      <w:r>
        <w:rPr>
          <w:rFonts w:hint="eastAsia" w:cs="宋体"/>
          <w:color w:val="auto"/>
          <w:sz w:val="24"/>
          <w:szCs w:val="24"/>
          <w:highlight w:val="none"/>
          <w:lang w:val="en-US" w:eastAsia="zh-CN"/>
        </w:rPr>
        <w:t>27</w:t>
      </w:r>
      <w:r>
        <w:rPr>
          <w:rFonts w:hint="eastAsia" w:cs="宋体"/>
          <w:color w:val="auto"/>
          <w:sz w:val="24"/>
          <w:szCs w:val="24"/>
          <w:highlight w:val="none"/>
        </w:rPr>
        <w:t>天，良天数</w:t>
      </w:r>
      <w:r>
        <w:rPr>
          <w:rFonts w:hint="eastAsia" w:cs="宋体"/>
          <w:color w:val="auto"/>
          <w:sz w:val="24"/>
          <w:szCs w:val="24"/>
          <w:highlight w:val="none"/>
          <w:lang w:eastAsia="zh-CN"/>
        </w:rPr>
        <w:t>减少</w:t>
      </w:r>
      <w:r>
        <w:rPr>
          <w:rFonts w:hint="eastAsia" w:cs="宋体"/>
          <w:color w:val="auto"/>
          <w:sz w:val="24"/>
          <w:szCs w:val="24"/>
          <w:highlight w:val="none"/>
          <w:lang w:val="en-US" w:eastAsia="zh-CN"/>
        </w:rPr>
        <w:t>8</w:t>
      </w:r>
      <w:r>
        <w:rPr>
          <w:rFonts w:hint="eastAsia" w:cs="宋体"/>
          <w:color w:val="auto"/>
          <w:sz w:val="24"/>
          <w:szCs w:val="24"/>
          <w:highlight w:val="none"/>
        </w:rPr>
        <w:t>天。全年重度污染天数</w:t>
      </w:r>
      <w:r>
        <w:rPr>
          <w:rFonts w:hint="eastAsia" w:cs="宋体"/>
          <w:color w:val="auto"/>
          <w:sz w:val="24"/>
          <w:szCs w:val="24"/>
          <w:highlight w:val="none"/>
          <w:lang w:val="en-US" w:eastAsia="zh-CN"/>
        </w:rPr>
        <w:t>2</w:t>
      </w:r>
      <w:r>
        <w:rPr>
          <w:rFonts w:hint="eastAsia" w:cs="宋体"/>
          <w:color w:val="auto"/>
          <w:sz w:val="24"/>
          <w:szCs w:val="24"/>
          <w:highlight w:val="none"/>
        </w:rPr>
        <w:t>天，严重污染天数</w:t>
      </w:r>
      <w:r>
        <w:rPr>
          <w:rFonts w:hint="eastAsia" w:cs="宋体"/>
          <w:color w:val="auto"/>
          <w:sz w:val="24"/>
          <w:szCs w:val="24"/>
          <w:highlight w:val="none"/>
          <w:lang w:val="en-US" w:eastAsia="zh-CN"/>
        </w:rPr>
        <w:t>1</w:t>
      </w:r>
      <w:r>
        <w:rPr>
          <w:rFonts w:hint="eastAsia" w:cs="宋体"/>
          <w:color w:val="auto"/>
          <w:sz w:val="24"/>
          <w:szCs w:val="24"/>
          <w:highlight w:val="none"/>
        </w:rPr>
        <w:t>天。较上年污染天数减少</w:t>
      </w:r>
      <w:r>
        <w:rPr>
          <w:rFonts w:hint="eastAsia" w:cs="宋体"/>
          <w:color w:val="auto"/>
          <w:sz w:val="24"/>
          <w:szCs w:val="24"/>
          <w:highlight w:val="none"/>
          <w:lang w:val="en-US" w:eastAsia="zh-CN"/>
        </w:rPr>
        <w:t>19</w:t>
      </w:r>
      <w:r>
        <w:rPr>
          <w:rFonts w:hint="eastAsia" w:cs="宋体"/>
          <w:color w:val="auto"/>
          <w:sz w:val="24"/>
          <w:szCs w:val="24"/>
          <w:highlight w:val="none"/>
        </w:rPr>
        <w:t>天</w:t>
      </w:r>
      <w:r>
        <w:rPr>
          <w:rFonts w:hint="eastAsia" w:cs="宋体"/>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eastAsia" w:cs="宋体"/>
          <w:color w:val="auto"/>
          <w:sz w:val="24"/>
          <w:szCs w:val="24"/>
          <w:highlight w:val="none"/>
        </w:rPr>
      </w:pPr>
      <w:r>
        <w:rPr>
          <w:rFonts w:hint="default" w:ascii="Times New Roman" w:hAnsi="Times New Roman" w:cs="Times New Roman"/>
          <w:color w:val="auto"/>
          <w:sz w:val="24"/>
          <w:szCs w:val="24"/>
          <w:highlight w:val="none"/>
          <w:lang w:val="en-US" w:eastAsia="zh-CN"/>
        </w:rPr>
        <w:t>20</w:t>
      </w:r>
      <w:r>
        <w:rPr>
          <w:rFonts w:hint="eastAsia" w:ascii="Times New Roman" w:hAnsi="Times New Roman" w:cs="Times New Roman"/>
          <w:color w:val="auto"/>
          <w:sz w:val="24"/>
          <w:szCs w:val="24"/>
          <w:highlight w:val="none"/>
          <w:lang w:val="en-US" w:eastAsia="zh-CN"/>
        </w:rPr>
        <w:t>2</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val="en-US" w:eastAsia="zh-CN"/>
        </w:rPr>
        <w:t>年均浓度值情况</w:t>
      </w:r>
      <w:r>
        <w:rPr>
          <w:rFonts w:hint="default" w:ascii="Times New Roman" w:hAnsi="Times New Roman" w:cs="Times New Roman"/>
          <w:color w:val="auto"/>
          <w:sz w:val="24"/>
          <w:szCs w:val="24"/>
          <w:highlight w:val="none"/>
        </w:rPr>
        <w:t>：细颗粒物（PM</w:t>
      </w:r>
      <w:r>
        <w:rPr>
          <w:rFonts w:hint="default" w:ascii="Times New Roman" w:hAnsi="Times New Roman" w:cs="Times New Roman"/>
          <w:color w:val="auto"/>
          <w:sz w:val="24"/>
          <w:szCs w:val="24"/>
          <w:highlight w:val="none"/>
          <w:vertAlign w:val="subscript"/>
        </w:rPr>
        <w:t>2.5</w:t>
      </w:r>
      <w:r>
        <w:rPr>
          <w:rFonts w:hint="default" w:ascii="Times New Roman" w:hAnsi="Times New Roman" w:cs="Times New Roman"/>
          <w:color w:val="auto"/>
          <w:sz w:val="24"/>
          <w:szCs w:val="24"/>
          <w:highlight w:val="none"/>
        </w:rPr>
        <w:t>）年均浓度值</w:t>
      </w:r>
      <w:r>
        <w:rPr>
          <w:rFonts w:hint="eastAsia" w:cs="Times New Roman"/>
          <w:color w:val="auto"/>
          <w:sz w:val="24"/>
          <w:szCs w:val="24"/>
          <w:highlight w:val="none"/>
          <w:lang w:val="en-US" w:eastAsia="zh-CN"/>
        </w:rPr>
        <w:t>37</w:t>
      </w:r>
      <w:r>
        <w:rPr>
          <w:rFonts w:hint="default" w:ascii="Times New Roman" w:hAnsi="Times New Roman" w:cs="Times New Roman"/>
          <w:color w:val="auto"/>
          <w:sz w:val="24"/>
          <w:szCs w:val="24"/>
          <w:highlight w:val="none"/>
        </w:rPr>
        <w:t>μg/m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，可吸入颗粒物（PM</w:t>
      </w:r>
      <w:r>
        <w:rPr>
          <w:rFonts w:hint="default" w:ascii="Times New Roman" w:hAnsi="Times New Roman" w:cs="Times New Roman"/>
          <w:color w:val="auto"/>
          <w:sz w:val="24"/>
          <w:szCs w:val="24"/>
          <w:highlight w:val="none"/>
          <w:vertAlign w:val="subscript"/>
        </w:rPr>
        <w:t>10</w:t>
      </w:r>
      <w:r>
        <w:rPr>
          <w:rFonts w:hint="default" w:ascii="Times New Roman" w:hAnsi="Times New Roman" w:cs="Times New Roman"/>
          <w:color w:val="auto"/>
          <w:sz w:val="24"/>
          <w:szCs w:val="24"/>
          <w:highlight w:val="none"/>
        </w:rPr>
        <w:t>）年均浓度值</w:t>
      </w:r>
      <w:r>
        <w:rPr>
          <w:rFonts w:hint="eastAsia" w:cs="Times New Roman"/>
          <w:color w:val="auto"/>
          <w:sz w:val="24"/>
          <w:szCs w:val="24"/>
          <w:highlight w:val="none"/>
          <w:lang w:val="en-US" w:eastAsia="zh-CN"/>
        </w:rPr>
        <w:t>67</w:t>
      </w:r>
      <w:r>
        <w:rPr>
          <w:rFonts w:hint="default" w:ascii="Times New Roman" w:hAnsi="Times New Roman" w:cs="Times New Roman"/>
          <w:color w:val="auto"/>
          <w:sz w:val="24"/>
          <w:szCs w:val="24"/>
          <w:highlight w:val="none"/>
        </w:rPr>
        <w:t>μg/m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，二氧化硫（SO</w:t>
      </w:r>
      <w:r>
        <w:rPr>
          <w:rFonts w:hint="default" w:ascii="Times New Roman" w:hAnsi="Times New Roman" w:cs="Times New Roman"/>
          <w:color w:val="auto"/>
          <w:sz w:val="24"/>
          <w:szCs w:val="24"/>
          <w:highlight w:val="none"/>
          <w:vertAlign w:val="subscript"/>
        </w:rPr>
        <w:t>2</w:t>
      </w:r>
      <w:r>
        <w:rPr>
          <w:rFonts w:hint="default" w:ascii="Times New Roman" w:hAnsi="Times New Roman" w:cs="Times New Roman"/>
          <w:color w:val="auto"/>
          <w:sz w:val="24"/>
          <w:szCs w:val="24"/>
          <w:highlight w:val="none"/>
        </w:rPr>
        <w:t>）年均浓度值</w:t>
      </w:r>
      <w:r>
        <w:rPr>
          <w:rFonts w:hint="eastAsia" w:cs="Times New Roman"/>
          <w:color w:val="auto"/>
          <w:sz w:val="24"/>
          <w:szCs w:val="24"/>
          <w:highlight w:val="none"/>
          <w:lang w:val="en-US" w:eastAsia="zh-CN"/>
        </w:rPr>
        <w:t>8</w:t>
      </w:r>
      <w:r>
        <w:rPr>
          <w:rFonts w:hint="default" w:ascii="Times New Roman" w:hAnsi="Times New Roman" w:cs="Times New Roman"/>
          <w:color w:val="auto"/>
          <w:sz w:val="24"/>
          <w:szCs w:val="24"/>
          <w:highlight w:val="none"/>
        </w:rPr>
        <w:t>μg/m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，二氧化氮（NO</w:t>
      </w:r>
      <w:r>
        <w:rPr>
          <w:rFonts w:hint="default" w:ascii="Times New Roman" w:hAnsi="Times New Roman" w:cs="Times New Roman"/>
          <w:color w:val="auto"/>
          <w:sz w:val="24"/>
          <w:szCs w:val="24"/>
          <w:highlight w:val="none"/>
          <w:vertAlign w:val="subscript"/>
        </w:rPr>
        <w:t>2</w:t>
      </w:r>
      <w:r>
        <w:rPr>
          <w:rFonts w:hint="default" w:ascii="Times New Roman" w:hAnsi="Times New Roman" w:cs="Times New Roman"/>
          <w:color w:val="auto"/>
          <w:sz w:val="24"/>
          <w:szCs w:val="24"/>
          <w:highlight w:val="none"/>
        </w:rPr>
        <w:t>）年均浓度值</w:t>
      </w:r>
      <w:r>
        <w:rPr>
          <w:rFonts w:hint="eastAsia" w:ascii="Times New Roman" w:hAnsi="Times New Roman" w:cs="Times New Roman"/>
          <w:color w:val="auto"/>
          <w:sz w:val="24"/>
          <w:szCs w:val="24"/>
          <w:highlight w:val="none"/>
          <w:lang w:val="en-US" w:eastAsia="zh-CN"/>
        </w:rPr>
        <w:t>3</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μg/m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，一氧化碳（CO）日均浓度值</w:t>
      </w:r>
      <w:r>
        <w:rPr>
          <w:rFonts w:hint="eastAsia" w:ascii="Times New Roman" w:hAnsi="Times New Roman" w:cs="Times New Roman"/>
          <w:color w:val="auto"/>
          <w:sz w:val="24"/>
          <w:szCs w:val="24"/>
          <w:highlight w:val="none"/>
          <w:lang w:val="en-US" w:eastAsia="zh-CN"/>
        </w:rPr>
        <w:t>1.</w:t>
      </w:r>
      <w:r>
        <w:rPr>
          <w:rFonts w:hint="eastAsia"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mg/m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，臭氧日最大8小时（O</w:t>
      </w:r>
      <w:r>
        <w:rPr>
          <w:rFonts w:hint="default" w:ascii="Times New Roman" w:hAnsi="Times New Roman" w:cs="Times New Roman"/>
          <w:color w:val="auto"/>
          <w:sz w:val="24"/>
          <w:szCs w:val="24"/>
          <w:highlight w:val="none"/>
          <w:vertAlign w:val="subscript"/>
        </w:rPr>
        <w:t>3</w:t>
      </w:r>
      <w:r>
        <w:rPr>
          <w:rFonts w:hint="default" w:ascii="Times New Roman" w:hAnsi="Times New Roman" w:cs="Times New Roman"/>
          <w:color w:val="auto"/>
          <w:sz w:val="24"/>
          <w:szCs w:val="24"/>
          <w:highlight w:val="none"/>
        </w:rPr>
        <w:t>-8h）平均浓度值1</w:t>
      </w:r>
      <w:r>
        <w:rPr>
          <w:rFonts w:hint="eastAsia" w:cs="Times New Roman"/>
          <w:color w:val="auto"/>
          <w:sz w:val="24"/>
          <w:szCs w:val="24"/>
          <w:highlight w:val="none"/>
          <w:lang w:val="en-US" w:eastAsia="zh-CN"/>
        </w:rPr>
        <w:t>82</w:t>
      </w:r>
      <w:r>
        <w:rPr>
          <w:rFonts w:hint="default" w:ascii="Times New Roman" w:hAnsi="Times New Roman" w:cs="Times New Roman"/>
          <w:color w:val="auto"/>
          <w:sz w:val="24"/>
          <w:szCs w:val="24"/>
          <w:highlight w:val="none"/>
        </w:rPr>
        <w:t>μg/m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。城市空气质量综合指数</w:t>
      </w:r>
      <w:r>
        <w:rPr>
          <w:rFonts w:hint="eastAsia" w:cs="Times New Roman"/>
          <w:color w:val="auto"/>
          <w:sz w:val="24"/>
          <w:szCs w:val="24"/>
          <w:highlight w:val="none"/>
          <w:lang w:val="en-US" w:eastAsia="zh-CN"/>
        </w:rPr>
        <w:t>4.47</w:t>
      </w:r>
      <w:r>
        <w:rPr>
          <w:rFonts w:hint="default" w:ascii="Times New Roman" w:hAnsi="Times New Roman" w:cs="Times New Roman"/>
          <w:color w:val="auto"/>
          <w:sz w:val="24"/>
          <w:szCs w:val="24"/>
          <w:highlight w:val="none"/>
        </w:rPr>
        <w:t>，较20</w:t>
      </w:r>
      <w:r>
        <w:rPr>
          <w:rFonts w:hint="eastAsia" w:ascii="Times New Roman" w:hAnsi="Times New Roman" w:cs="Times New Roman"/>
          <w:color w:val="auto"/>
          <w:sz w:val="24"/>
          <w:szCs w:val="24"/>
          <w:highlight w:val="none"/>
          <w:lang w:val="en-US" w:eastAsia="zh-CN"/>
        </w:rPr>
        <w:t>2</w:t>
      </w:r>
      <w:r>
        <w:rPr>
          <w:rFonts w:hint="eastAsia"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年下降</w:t>
      </w:r>
      <w:r>
        <w:rPr>
          <w:rFonts w:hint="eastAsia" w:cs="Times New Roman"/>
          <w:color w:val="auto"/>
          <w:sz w:val="24"/>
          <w:szCs w:val="24"/>
          <w:highlight w:val="none"/>
          <w:lang w:val="en-US" w:eastAsia="zh-CN"/>
        </w:rPr>
        <w:t>10.6</w:t>
      </w:r>
      <w:r>
        <w:rPr>
          <w:rFonts w:hint="default" w:ascii="Times New Roman" w:hAnsi="Times New Roman" w:cs="Times New Roman"/>
          <w:color w:val="auto"/>
          <w:sz w:val="24"/>
          <w:szCs w:val="24"/>
          <w:highlight w:val="none"/>
        </w:rPr>
        <w:t>%。污染物PM</w:t>
      </w:r>
      <w:r>
        <w:rPr>
          <w:rFonts w:hint="default" w:ascii="Times New Roman" w:hAnsi="Times New Roman" w:cs="Times New Roman"/>
          <w:color w:val="auto"/>
          <w:sz w:val="24"/>
          <w:szCs w:val="24"/>
          <w:highlight w:val="none"/>
          <w:vertAlign w:val="subscript"/>
        </w:rPr>
        <w:t>2.5</w:t>
      </w:r>
      <w:r>
        <w:rPr>
          <w:rFonts w:hint="default" w:ascii="Times New Roman" w:hAnsi="Times New Roman" w:cs="Times New Roman"/>
          <w:color w:val="auto"/>
          <w:sz w:val="24"/>
          <w:szCs w:val="24"/>
          <w:highlight w:val="none"/>
        </w:rPr>
        <w:t>、PM</w:t>
      </w:r>
      <w:r>
        <w:rPr>
          <w:rFonts w:hint="default" w:ascii="Times New Roman" w:hAnsi="Times New Roman" w:cs="Times New Roman"/>
          <w:color w:val="auto"/>
          <w:sz w:val="24"/>
          <w:szCs w:val="24"/>
          <w:highlight w:val="none"/>
          <w:vertAlign w:val="subscript"/>
        </w:rPr>
        <w:t>10</w:t>
      </w:r>
      <w:r>
        <w:rPr>
          <w:rFonts w:hint="default" w:ascii="Times New Roman" w:hAnsi="Times New Roman" w:cs="Times New Roman"/>
          <w:color w:val="auto"/>
          <w:sz w:val="24"/>
          <w:szCs w:val="24"/>
          <w:highlight w:val="none"/>
        </w:rPr>
        <w:t>、SO</w:t>
      </w:r>
      <w:r>
        <w:rPr>
          <w:rFonts w:hint="default" w:ascii="Times New Roman" w:hAnsi="Times New Roman" w:cs="Times New Roman"/>
          <w:color w:val="auto"/>
          <w:sz w:val="24"/>
          <w:szCs w:val="24"/>
          <w:highlight w:val="none"/>
          <w:vertAlign w:val="subscript"/>
        </w:rPr>
        <w:t>2</w:t>
      </w:r>
      <w:r>
        <w:rPr>
          <w:rFonts w:hint="default" w:ascii="Times New Roman" w:hAnsi="Times New Roman" w:cs="Times New Roman"/>
          <w:color w:val="auto"/>
          <w:sz w:val="24"/>
          <w:szCs w:val="24"/>
          <w:highlight w:val="none"/>
        </w:rPr>
        <w:t>、NO</w:t>
      </w:r>
      <w:r>
        <w:rPr>
          <w:rFonts w:hint="default" w:ascii="Times New Roman" w:hAnsi="Times New Roman" w:cs="Times New Roman"/>
          <w:color w:val="auto"/>
          <w:sz w:val="24"/>
          <w:szCs w:val="24"/>
          <w:highlight w:val="none"/>
          <w:vertAlign w:val="subscript"/>
        </w:rPr>
        <w:t>2</w:t>
      </w:r>
      <w:r>
        <w:rPr>
          <w:rFonts w:hint="default" w:ascii="Times New Roman" w:hAnsi="Times New Roman" w:cs="Times New Roman"/>
          <w:color w:val="auto"/>
          <w:sz w:val="24"/>
          <w:szCs w:val="24"/>
          <w:highlight w:val="none"/>
        </w:rPr>
        <w:t>、</w:t>
      </w:r>
      <w:r>
        <w:rPr>
          <w:rFonts w:hint="default" w:ascii="Times New Roman" w:hAnsi="Times New Roman" w:cs="Times New Roman" w:eastAsiaTheme="majorEastAsia"/>
          <w:b w:val="0"/>
          <w:bCs w:val="0"/>
          <w:i w:val="0"/>
          <w:iCs w:val="0"/>
          <w:caps w:val="0"/>
          <w:color w:val="222222"/>
          <w:spacing w:val="0"/>
          <w:sz w:val="24"/>
          <w:szCs w:val="24"/>
          <w:highlight w:val="none"/>
          <w:shd w:val="clear" w:fill="FFFFFF"/>
        </w:rPr>
        <w:t>CO-95per</w:t>
      </w:r>
      <w:r>
        <w:rPr>
          <w:rFonts w:hint="default" w:ascii="Times New Roman" w:hAnsi="Times New Roman" w:cs="Times New Roman"/>
          <w:color w:val="auto"/>
          <w:sz w:val="24"/>
          <w:szCs w:val="24"/>
          <w:highlight w:val="none"/>
        </w:rPr>
        <w:t>平均浓度较20</w:t>
      </w:r>
      <w:r>
        <w:rPr>
          <w:rFonts w:hint="eastAsia" w:ascii="Times New Roman" w:hAnsi="Times New Roman" w:cs="Times New Roman"/>
          <w:color w:val="auto"/>
          <w:sz w:val="24"/>
          <w:szCs w:val="24"/>
          <w:highlight w:val="none"/>
          <w:lang w:val="en-US" w:eastAsia="zh-CN"/>
        </w:rPr>
        <w:t>2</w:t>
      </w:r>
      <w:r>
        <w:rPr>
          <w:rFonts w:hint="eastAsia"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年分别下降</w:t>
      </w:r>
      <w:r>
        <w:rPr>
          <w:rFonts w:hint="eastAsia" w:ascii="Times New Roman" w:hAnsi="Times New Roman" w:cs="Times New Roman"/>
          <w:color w:val="auto"/>
          <w:sz w:val="24"/>
          <w:szCs w:val="24"/>
          <w:highlight w:val="none"/>
          <w:lang w:val="en-US" w:eastAsia="zh-CN"/>
        </w:rPr>
        <w:t>1</w:t>
      </w:r>
      <w:r>
        <w:rPr>
          <w:rFonts w:hint="eastAsia" w:cs="Times New Roman"/>
          <w:color w:val="auto"/>
          <w:sz w:val="24"/>
          <w:szCs w:val="24"/>
          <w:highlight w:val="none"/>
          <w:lang w:val="en-US" w:eastAsia="zh-CN"/>
        </w:rPr>
        <w:t>4.0</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1</w:t>
      </w:r>
      <w:r>
        <w:rPr>
          <w:rFonts w:hint="eastAsia" w:cs="Times New Roman"/>
          <w:color w:val="auto"/>
          <w:sz w:val="24"/>
          <w:szCs w:val="24"/>
          <w:highlight w:val="none"/>
          <w:lang w:val="en-US" w:eastAsia="zh-CN"/>
        </w:rPr>
        <w:t>5</w:t>
      </w:r>
      <w:r>
        <w:rPr>
          <w:rFonts w:hint="eastAsia"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20.0</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1</w:t>
      </w:r>
      <w:r>
        <w:rPr>
          <w:rFonts w:hint="eastAsia" w:cs="Times New Roman"/>
          <w:color w:val="auto"/>
          <w:sz w:val="24"/>
          <w:szCs w:val="24"/>
          <w:highlight w:val="none"/>
          <w:lang w:val="en-US" w:eastAsia="zh-CN"/>
        </w:rPr>
        <w:t>7.9</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2</w:t>
      </w:r>
      <w:r>
        <w:rPr>
          <w:rFonts w:hint="eastAsia" w:cs="Times New Roman"/>
          <w:color w:val="auto"/>
          <w:sz w:val="24"/>
          <w:szCs w:val="24"/>
          <w:highlight w:val="none"/>
          <w:lang w:val="en-US" w:eastAsia="zh-CN"/>
        </w:rPr>
        <w:t>1.1</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w:t>
      </w:r>
      <w:r>
        <w:rPr>
          <w:rFonts w:hint="default" w:ascii="Times New Roman" w:hAnsi="Times New Roman" w:cs="Times New Roman" w:eastAsiaTheme="majorEastAsia"/>
          <w:b w:val="0"/>
          <w:bCs w:val="0"/>
          <w:i w:val="0"/>
          <w:iCs w:val="0"/>
          <w:caps w:val="0"/>
          <w:color w:val="222222"/>
          <w:spacing w:val="0"/>
          <w:sz w:val="24"/>
          <w:szCs w:val="24"/>
          <w:highlight w:val="none"/>
          <w:shd w:val="clear" w:fill="FFFFFF"/>
        </w:rPr>
        <w:t>O</w:t>
      </w:r>
      <w:r>
        <w:rPr>
          <w:rFonts w:hint="default" w:ascii="Times New Roman" w:hAnsi="Times New Roman" w:cs="Times New Roman" w:eastAsiaTheme="majorEastAsia"/>
          <w:b w:val="0"/>
          <w:bCs w:val="0"/>
          <w:i w:val="0"/>
          <w:iCs w:val="0"/>
          <w:caps w:val="0"/>
          <w:color w:val="222222"/>
          <w:spacing w:val="0"/>
          <w:sz w:val="24"/>
          <w:szCs w:val="24"/>
          <w:highlight w:val="none"/>
          <w:shd w:val="clear" w:fill="FFFFFF"/>
          <w:vertAlign w:val="subscript"/>
        </w:rPr>
        <w:t>3</w:t>
      </w:r>
      <w:r>
        <w:rPr>
          <w:rFonts w:hint="default" w:ascii="Times New Roman" w:hAnsi="Times New Roman" w:cs="Times New Roman" w:eastAsiaTheme="majorEastAsia"/>
          <w:b w:val="0"/>
          <w:bCs w:val="0"/>
          <w:i w:val="0"/>
          <w:iCs w:val="0"/>
          <w:caps w:val="0"/>
          <w:color w:val="222222"/>
          <w:spacing w:val="0"/>
          <w:sz w:val="24"/>
          <w:szCs w:val="24"/>
          <w:highlight w:val="none"/>
          <w:shd w:val="clear" w:fill="FFFFFF"/>
        </w:rPr>
        <w:t>-8H-90per</w:t>
      </w:r>
      <w:r>
        <w:rPr>
          <w:rFonts w:hint="eastAsia" w:cs="Times New Roman"/>
          <w:color w:val="auto"/>
          <w:sz w:val="24"/>
          <w:szCs w:val="24"/>
          <w:highlight w:val="none"/>
          <w:lang w:eastAsia="zh-CN"/>
        </w:rPr>
        <w:t>上升</w:t>
      </w:r>
      <w:r>
        <w:rPr>
          <w:rFonts w:hint="eastAsia" w:ascii="Times New Roman" w:hAnsi="Times New Roman" w:cs="Times New Roman"/>
          <w:color w:val="auto"/>
          <w:sz w:val="24"/>
          <w:szCs w:val="24"/>
          <w:highlight w:val="none"/>
          <w:lang w:val="en-US" w:eastAsia="zh-CN"/>
        </w:rPr>
        <w:t>1</w:t>
      </w:r>
      <w:r>
        <w:rPr>
          <w:rFonts w:hint="eastAsia" w:cs="Times New Roman"/>
          <w:color w:val="auto"/>
          <w:sz w:val="24"/>
          <w:szCs w:val="24"/>
          <w:highlight w:val="none"/>
          <w:lang w:val="en-US" w:eastAsia="zh-CN"/>
        </w:rPr>
        <w:t>3.0</w:t>
      </w:r>
      <w:r>
        <w:rPr>
          <w:rFonts w:hint="default" w:ascii="Times New Roman" w:hAnsi="Times New Roman" w:cs="Times New Roman"/>
          <w:color w:val="auto"/>
          <w:sz w:val="24"/>
          <w:szCs w:val="24"/>
          <w:highlight w:val="none"/>
        </w:rPr>
        <w:t>%。具体情况见</w:t>
      </w:r>
      <w:r>
        <w:rPr>
          <w:rFonts w:hint="default" w:ascii="Times New Roman" w:hAnsi="Times New Roman" w:cs="Times New Roman"/>
          <w:color w:val="auto"/>
          <w:sz w:val="24"/>
          <w:szCs w:val="24"/>
          <w:highlight w:val="none"/>
          <w:lang w:eastAsia="zh-CN"/>
        </w:rPr>
        <w:t>下</w:t>
      </w:r>
      <w:r>
        <w:rPr>
          <w:rFonts w:hint="default" w:ascii="Times New Roman" w:hAnsi="Times New Roman" w:cs="Times New Roman"/>
          <w:color w:val="auto"/>
          <w:sz w:val="24"/>
          <w:szCs w:val="24"/>
          <w:highlight w:val="none"/>
        </w:rPr>
        <w:t>表</w:t>
      </w:r>
      <w:r>
        <w:rPr>
          <w:rFonts w:hint="eastAsia" w:cs="宋体"/>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b/>
          <w:bCs/>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b/>
          <w:bCs/>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b/>
          <w:bCs/>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b/>
          <w:bCs/>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cs="宋体"/>
          <w:b/>
          <w:color w:val="auto"/>
          <w:sz w:val="21"/>
          <w:szCs w:val="21"/>
          <w:highlight w:val="none"/>
        </w:rPr>
      </w:pPr>
      <w:r>
        <w:rPr>
          <w:b/>
          <w:bCs/>
          <w:color w:val="000000" w:themeColor="text1"/>
          <w:sz w:val="24"/>
          <w:highlight w:val="none"/>
          <w14:textFill>
            <w14:solidFill>
              <w14:schemeClr w14:val="tx1"/>
            </w14:solidFill>
          </w14:textFill>
        </w:rPr>
        <w:t>表</w:t>
      </w:r>
      <w:r>
        <w:rPr>
          <w:rFonts w:hint="eastAsia"/>
          <w:b/>
          <w:bCs/>
          <w:color w:val="000000" w:themeColor="text1"/>
          <w:sz w:val="24"/>
          <w:highlight w:val="none"/>
          <w14:textFill>
            <w14:solidFill>
              <w14:schemeClr w14:val="tx1"/>
            </w14:solidFill>
          </w14:textFill>
        </w:rPr>
        <w:t>4.3-1</w:t>
      </w:r>
      <w:r>
        <w:rPr>
          <w:b/>
          <w:bCs/>
          <w:color w:val="000000" w:themeColor="text1"/>
          <w:sz w:val="24"/>
          <w:highlight w:val="none"/>
          <w14:textFill>
            <w14:solidFill>
              <w14:schemeClr w14:val="tx1"/>
            </w14:solidFill>
          </w14:textFill>
        </w:rPr>
        <w:t xml:space="preserve"> </w:t>
      </w:r>
      <w:r>
        <w:rPr>
          <w:b/>
          <w:bCs/>
          <w:color w:val="000000" w:themeColor="text1"/>
          <w:sz w:val="24"/>
          <w:szCs w:val="24"/>
          <w:highlight w:val="none"/>
          <w14:textFill>
            <w14:solidFill>
              <w14:schemeClr w14:val="tx1"/>
            </w14:solidFill>
          </w14:textFill>
        </w:rPr>
        <w:t xml:space="preserve"> </w:t>
      </w:r>
      <w:r>
        <w:rPr>
          <w:rFonts w:hint="eastAsia" w:cs="宋体"/>
          <w:b/>
          <w:color w:val="auto"/>
          <w:sz w:val="24"/>
          <w:szCs w:val="24"/>
          <w:highlight w:val="none"/>
        </w:rPr>
        <w:t>20</w:t>
      </w:r>
      <w:r>
        <w:rPr>
          <w:rFonts w:hint="eastAsia" w:cs="宋体"/>
          <w:b/>
          <w:color w:val="auto"/>
          <w:sz w:val="24"/>
          <w:szCs w:val="24"/>
          <w:highlight w:val="none"/>
          <w:lang w:val="en-US" w:eastAsia="zh-CN"/>
        </w:rPr>
        <w:t>22</w:t>
      </w:r>
      <w:r>
        <w:rPr>
          <w:rFonts w:hint="eastAsia" w:cs="宋体"/>
          <w:b/>
          <w:color w:val="auto"/>
          <w:sz w:val="24"/>
          <w:szCs w:val="24"/>
          <w:highlight w:val="none"/>
        </w:rPr>
        <w:t>年唐山市</w:t>
      </w:r>
      <w:r>
        <w:rPr>
          <w:rFonts w:cs="宋体"/>
          <w:b/>
          <w:color w:val="auto"/>
          <w:sz w:val="24"/>
          <w:szCs w:val="24"/>
          <w:highlight w:val="none"/>
        </w:rPr>
        <w:t>环境</w:t>
      </w:r>
      <w:r>
        <w:rPr>
          <w:rFonts w:hint="eastAsia" w:cs="宋体"/>
          <w:b/>
          <w:color w:val="auto"/>
          <w:sz w:val="24"/>
          <w:szCs w:val="24"/>
          <w:highlight w:val="none"/>
        </w:rPr>
        <w:t>空气</w:t>
      </w:r>
      <w:r>
        <w:rPr>
          <w:rFonts w:cs="宋体"/>
          <w:b/>
          <w:color w:val="auto"/>
          <w:sz w:val="24"/>
          <w:szCs w:val="24"/>
          <w:highlight w:val="none"/>
        </w:rPr>
        <w:t>质量年均浓度值情况表（</w:t>
      </w:r>
      <w:r>
        <w:rPr>
          <w:b/>
          <w:color w:val="auto"/>
          <w:sz w:val="24"/>
          <w:szCs w:val="24"/>
          <w:highlight w:val="none"/>
        </w:rPr>
        <w:t>μ</w:t>
      </w:r>
      <w:r>
        <w:rPr>
          <w:rFonts w:cs="宋体"/>
          <w:b/>
          <w:color w:val="auto"/>
          <w:sz w:val="24"/>
          <w:szCs w:val="24"/>
          <w:highlight w:val="none"/>
        </w:rPr>
        <w:t>g/m</w:t>
      </w:r>
      <w:r>
        <w:rPr>
          <w:rFonts w:cs="宋体"/>
          <w:b/>
          <w:color w:val="auto"/>
          <w:sz w:val="24"/>
          <w:szCs w:val="24"/>
          <w:highlight w:val="none"/>
          <w:vertAlign w:val="superscript"/>
        </w:rPr>
        <w:t>3</w:t>
      </w:r>
      <w:r>
        <w:rPr>
          <w:rFonts w:cs="宋体"/>
          <w:b/>
          <w:color w:val="auto"/>
          <w:sz w:val="24"/>
          <w:szCs w:val="24"/>
          <w:highlight w:val="none"/>
        </w:rPr>
        <w:t>）</w:t>
      </w:r>
    </w:p>
    <w:tbl>
      <w:tblPr>
        <w:tblStyle w:val="51"/>
        <w:tblW w:w="815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blLayout w:type="fixed"/>
        <w:tblCellMar>
          <w:top w:w="0" w:type="dxa"/>
          <w:left w:w="30" w:type="dxa"/>
          <w:bottom w:w="0" w:type="dxa"/>
          <w:right w:w="30" w:type="dxa"/>
        </w:tblCellMar>
      </w:tblPr>
      <w:tblGrid>
        <w:gridCol w:w="1168"/>
        <w:gridCol w:w="997"/>
        <w:gridCol w:w="881"/>
        <w:gridCol w:w="981"/>
        <w:gridCol w:w="949"/>
        <w:gridCol w:w="890"/>
        <w:gridCol w:w="228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blCellMar>
            <w:top w:w="0" w:type="dxa"/>
            <w:left w:w="30" w:type="dxa"/>
            <w:bottom w:w="0" w:type="dxa"/>
            <w:right w:w="30" w:type="dxa"/>
          </w:tblCellMar>
        </w:tblPrEx>
        <w:trPr>
          <w:trHeight w:val="445" w:hRule="atLeast"/>
          <w:jc w:val="center"/>
        </w:trPr>
        <w:tc>
          <w:tcPr>
            <w:tcW w:w="1168" w:type="dxa"/>
            <w:shd w:val="clear" w:color="auto" w:fill="auto"/>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color w:val="auto"/>
                <w:spacing w:val="-10"/>
                <w:highlight w:val="none"/>
              </w:rPr>
            </w:pPr>
            <w:r>
              <w:rPr>
                <w:color w:val="auto"/>
                <w:spacing w:val="-10"/>
                <w:highlight w:val="none"/>
              </w:rPr>
              <w:t>指标</w:t>
            </w:r>
          </w:p>
        </w:tc>
        <w:tc>
          <w:tcPr>
            <w:tcW w:w="997" w:type="dxa"/>
            <w:shd w:val="clear" w:color="auto" w:fill="auto"/>
            <w:noWrap w:val="0"/>
            <w:vAlign w:val="center"/>
          </w:tcPr>
          <w:p>
            <w:pPr>
              <w:pStyle w:val="45"/>
              <w:keepNext w:val="0"/>
              <w:keepLines w:val="0"/>
              <w:pageBreakBefore w:val="0"/>
              <w:kinsoku/>
              <w:wordWrap/>
              <w:overflowPunct/>
              <w:topLinePunct w:val="0"/>
              <w:autoSpaceDE/>
              <w:autoSpaceDN/>
              <w:bidi w:val="0"/>
              <w:adjustRightInd/>
              <w:snapToGrid/>
              <w:spacing w:before="0" w:beforeAutospacing="0" w:after="0" w:afterAutospacing="0" w:line="280" w:lineRule="exact"/>
              <w:jc w:val="center"/>
              <w:textAlignment w:val="auto"/>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SO</w:t>
            </w:r>
            <w:r>
              <w:rPr>
                <w:rFonts w:ascii="Times New Roman" w:hAnsi="Times New Roman" w:cs="Times New Roman"/>
                <w:color w:val="auto"/>
                <w:sz w:val="21"/>
                <w:szCs w:val="21"/>
                <w:highlight w:val="none"/>
                <w:vertAlign w:val="subscript"/>
              </w:rPr>
              <w:t>2</w:t>
            </w:r>
          </w:p>
        </w:tc>
        <w:tc>
          <w:tcPr>
            <w:tcW w:w="881" w:type="dxa"/>
            <w:shd w:val="clear" w:color="auto" w:fill="auto"/>
            <w:noWrap w:val="0"/>
            <w:vAlign w:val="center"/>
          </w:tcPr>
          <w:p>
            <w:pPr>
              <w:pStyle w:val="45"/>
              <w:keepNext w:val="0"/>
              <w:keepLines w:val="0"/>
              <w:pageBreakBefore w:val="0"/>
              <w:kinsoku/>
              <w:wordWrap/>
              <w:overflowPunct/>
              <w:topLinePunct w:val="0"/>
              <w:autoSpaceDE/>
              <w:autoSpaceDN/>
              <w:bidi w:val="0"/>
              <w:adjustRightInd/>
              <w:snapToGrid/>
              <w:spacing w:before="0" w:beforeAutospacing="0" w:after="0" w:afterAutospacing="0" w:line="280" w:lineRule="exact"/>
              <w:jc w:val="center"/>
              <w:textAlignment w:val="auto"/>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NO</w:t>
            </w:r>
            <w:r>
              <w:rPr>
                <w:rFonts w:ascii="Times New Roman" w:hAnsi="Times New Roman" w:cs="Times New Roman"/>
                <w:color w:val="auto"/>
                <w:sz w:val="21"/>
                <w:szCs w:val="21"/>
                <w:highlight w:val="none"/>
                <w:vertAlign w:val="subscript"/>
              </w:rPr>
              <w:t>2</w:t>
            </w:r>
          </w:p>
        </w:tc>
        <w:tc>
          <w:tcPr>
            <w:tcW w:w="981" w:type="dxa"/>
            <w:shd w:val="clear" w:color="auto" w:fill="auto"/>
            <w:noWrap w:val="0"/>
            <w:vAlign w:val="center"/>
          </w:tcPr>
          <w:p>
            <w:pPr>
              <w:pStyle w:val="45"/>
              <w:keepNext w:val="0"/>
              <w:keepLines w:val="0"/>
              <w:pageBreakBefore w:val="0"/>
              <w:kinsoku/>
              <w:wordWrap/>
              <w:overflowPunct/>
              <w:topLinePunct w:val="0"/>
              <w:autoSpaceDE/>
              <w:autoSpaceDN/>
              <w:bidi w:val="0"/>
              <w:adjustRightInd/>
              <w:snapToGrid/>
              <w:spacing w:before="0" w:beforeAutospacing="0" w:after="0" w:afterAutospacing="0" w:line="280" w:lineRule="exact"/>
              <w:jc w:val="center"/>
              <w:textAlignment w:val="auto"/>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PM</w:t>
            </w:r>
            <w:r>
              <w:rPr>
                <w:rFonts w:ascii="Times New Roman" w:hAnsi="Times New Roman" w:cs="Times New Roman"/>
                <w:color w:val="auto"/>
                <w:sz w:val="21"/>
                <w:szCs w:val="21"/>
                <w:highlight w:val="none"/>
                <w:vertAlign w:val="subscript"/>
              </w:rPr>
              <w:t>10</w:t>
            </w:r>
          </w:p>
        </w:tc>
        <w:tc>
          <w:tcPr>
            <w:tcW w:w="949" w:type="dxa"/>
            <w:shd w:val="clear" w:color="auto" w:fill="auto"/>
            <w:noWrap w:val="0"/>
            <w:vAlign w:val="center"/>
          </w:tcPr>
          <w:p>
            <w:pPr>
              <w:pStyle w:val="45"/>
              <w:keepNext w:val="0"/>
              <w:keepLines w:val="0"/>
              <w:pageBreakBefore w:val="0"/>
              <w:kinsoku/>
              <w:wordWrap/>
              <w:overflowPunct/>
              <w:topLinePunct w:val="0"/>
              <w:autoSpaceDE/>
              <w:autoSpaceDN/>
              <w:bidi w:val="0"/>
              <w:adjustRightInd/>
              <w:snapToGrid/>
              <w:spacing w:before="0" w:beforeAutospacing="0" w:after="0" w:afterAutospacing="0" w:line="280" w:lineRule="exact"/>
              <w:jc w:val="center"/>
              <w:textAlignment w:val="auto"/>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PM</w:t>
            </w:r>
            <w:r>
              <w:rPr>
                <w:rFonts w:ascii="Times New Roman" w:hAnsi="Times New Roman" w:cs="Times New Roman"/>
                <w:color w:val="auto"/>
                <w:sz w:val="21"/>
                <w:szCs w:val="21"/>
                <w:highlight w:val="none"/>
                <w:vertAlign w:val="subscript"/>
              </w:rPr>
              <w:t>2.5</w:t>
            </w:r>
          </w:p>
        </w:tc>
        <w:tc>
          <w:tcPr>
            <w:tcW w:w="890" w:type="dxa"/>
            <w:shd w:val="clear" w:color="auto" w:fill="auto"/>
            <w:noWrap w:val="0"/>
            <w:vAlign w:val="center"/>
          </w:tcPr>
          <w:p>
            <w:pPr>
              <w:pStyle w:val="45"/>
              <w:keepNext w:val="0"/>
              <w:keepLines w:val="0"/>
              <w:pageBreakBefore w:val="0"/>
              <w:kinsoku/>
              <w:wordWrap/>
              <w:overflowPunct/>
              <w:topLinePunct w:val="0"/>
              <w:autoSpaceDE/>
              <w:autoSpaceDN/>
              <w:bidi w:val="0"/>
              <w:adjustRightInd/>
              <w:snapToGrid/>
              <w:spacing w:before="0" w:beforeAutospacing="0" w:after="0" w:afterAutospacing="0" w:line="280" w:lineRule="exact"/>
              <w:jc w:val="center"/>
              <w:textAlignment w:val="auto"/>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CO</w:t>
            </w:r>
          </w:p>
        </w:tc>
        <w:tc>
          <w:tcPr>
            <w:tcW w:w="2288" w:type="dxa"/>
            <w:shd w:val="clear" w:color="auto" w:fill="auto"/>
            <w:noWrap w:val="0"/>
            <w:vAlign w:val="center"/>
          </w:tcPr>
          <w:p>
            <w:pPr>
              <w:pStyle w:val="45"/>
              <w:keepNext w:val="0"/>
              <w:keepLines w:val="0"/>
              <w:pageBreakBefore w:val="0"/>
              <w:kinsoku/>
              <w:wordWrap/>
              <w:overflowPunct/>
              <w:topLinePunct w:val="0"/>
              <w:autoSpaceDE/>
              <w:autoSpaceDN/>
              <w:bidi w:val="0"/>
              <w:adjustRightInd/>
              <w:snapToGrid/>
              <w:spacing w:before="0" w:beforeAutospacing="0" w:after="0" w:afterAutospacing="0" w:line="280" w:lineRule="exact"/>
              <w:jc w:val="center"/>
              <w:textAlignment w:val="auto"/>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O</w:t>
            </w:r>
            <w:r>
              <w:rPr>
                <w:rFonts w:ascii="Times New Roman" w:hAnsi="Times New Roman" w:cs="Times New Roman"/>
                <w:color w:val="auto"/>
                <w:sz w:val="21"/>
                <w:szCs w:val="21"/>
                <w:highlight w:val="none"/>
                <w:vertAlign w:val="subscript"/>
              </w:rPr>
              <w:t>3</w:t>
            </w:r>
            <w:r>
              <w:rPr>
                <w:rFonts w:ascii="Times New Roman" w:hAnsi="Times New Roman" w:cs="Times New Roman"/>
                <w:color w:val="auto"/>
                <w:sz w:val="21"/>
                <w:szCs w:val="21"/>
                <w:highlight w:val="none"/>
              </w:rPr>
              <w:t>（日最大8小时平均）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blCellMar>
            <w:top w:w="0" w:type="dxa"/>
            <w:left w:w="30" w:type="dxa"/>
            <w:bottom w:w="0" w:type="dxa"/>
            <w:right w:w="30" w:type="dxa"/>
          </w:tblCellMar>
        </w:tblPrEx>
        <w:trPr>
          <w:trHeight w:val="382" w:hRule="atLeast"/>
          <w:jc w:val="center"/>
        </w:trPr>
        <w:tc>
          <w:tcPr>
            <w:tcW w:w="1168" w:type="dxa"/>
            <w:shd w:val="clear" w:color="auto" w:fill="auto"/>
            <w:noWrap w:val="0"/>
            <w:vAlign w:val="center"/>
          </w:tcPr>
          <w:p>
            <w:pPr>
              <w:pStyle w:val="45"/>
              <w:keepNext w:val="0"/>
              <w:keepLines w:val="0"/>
              <w:pageBreakBefore w:val="0"/>
              <w:kinsoku/>
              <w:wordWrap/>
              <w:overflowPunct/>
              <w:topLinePunct w:val="0"/>
              <w:autoSpaceDE/>
              <w:autoSpaceDN/>
              <w:bidi w:val="0"/>
              <w:adjustRightInd/>
              <w:snapToGrid/>
              <w:spacing w:before="0" w:beforeAutospacing="0" w:after="0" w:afterAutospacing="0" w:line="280" w:lineRule="exact"/>
              <w:jc w:val="center"/>
              <w:textAlignment w:val="auto"/>
              <w:rPr>
                <w:rFonts w:ascii="Times New Roman" w:hAnsi="Times New Roman" w:cs="Times New Roman"/>
                <w:color w:val="auto"/>
                <w:spacing w:val="-10"/>
                <w:sz w:val="21"/>
                <w:szCs w:val="21"/>
                <w:highlight w:val="none"/>
              </w:rPr>
            </w:pPr>
            <w:r>
              <w:rPr>
                <w:rFonts w:ascii="Times New Roman" w:hAnsi="Times New Roman" w:cs="Times New Roman"/>
                <w:color w:val="auto"/>
                <w:sz w:val="21"/>
                <w:szCs w:val="21"/>
                <w:highlight w:val="none"/>
              </w:rPr>
              <w:t>20</w:t>
            </w:r>
            <w:r>
              <w:rPr>
                <w:rFonts w:hint="eastAsia" w:ascii="Times New Roman" w:hAnsi="Times New Roman" w:cs="Times New Roman"/>
                <w:color w:val="auto"/>
                <w:sz w:val="21"/>
                <w:szCs w:val="21"/>
                <w:highlight w:val="none"/>
                <w:lang w:val="en-US" w:eastAsia="zh-CN"/>
              </w:rPr>
              <w:t>22</w:t>
            </w:r>
            <w:r>
              <w:rPr>
                <w:rFonts w:ascii="Times New Roman" w:hAnsi="Times New Roman" w:cs="Times New Roman"/>
                <w:color w:val="auto"/>
                <w:sz w:val="21"/>
                <w:szCs w:val="21"/>
                <w:highlight w:val="none"/>
              </w:rPr>
              <w:t>年均值</w:t>
            </w:r>
          </w:p>
        </w:tc>
        <w:tc>
          <w:tcPr>
            <w:tcW w:w="997" w:type="dxa"/>
            <w:shd w:val="clear" w:color="auto" w:fill="auto"/>
            <w:noWrap w:val="0"/>
            <w:vAlign w:val="center"/>
          </w:tcPr>
          <w:p>
            <w:pPr>
              <w:pStyle w:val="45"/>
              <w:spacing w:before="0" w:beforeAutospacing="0" w:after="0" w:afterAutospacing="0" w:line="280" w:lineRule="exact"/>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color w:val="000000" w:themeColor="text1"/>
                <w:sz w:val="21"/>
                <w:szCs w:val="21"/>
                <w:highlight w:val="none"/>
                <w:lang w:val="en-US" w:eastAsia="zh-CN"/>
                <w14:textFill>
                  <w14:solidFill>
                    <w14:schemeClr w14:val="tx1"/>
                  </w14:solidFill>
                </w14:textFill>
              </w:rPr>
              <w:t>9</w:t>
            </w:r>
          </w:p>
        </w:tc>
        <w:tc>
          <w:tcPr>
            <w:tcW w:w="881" w:type="dxa"/>
            <w:shd w:val="clear" w:color="auto" w:fill="auto"/>
            <w:noWrap w:val="0"/>
            <w:vAlign w:val="center"/>
          </w:tcPr>
          <w:p>
            <w:pPr>
              <w:pStyle w:val="45"/>
              <w:spacing w:before="0" w:beforeAutospacing="0" w:after="0" w:afterAutospacing="0" w:line="280" w:lineRule="exact"/>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color w:val="000000" w:themeColor="text1"/>
                <w:sz w:val="21"/>
                <w:szCs w:val="21"/>
                <w:highlight w:val="none"/>
                <w:lang w:val="en-US" w:eastAsia="zh-CN"/>
                <w14:textFill>
                  <w14:solidFill>
                    <w14:schemeClr w14:val="tx1"/>
                  </w14:solidFill>
                </w14:textFill>
              </w:rPr>
              <w:t>30</w:t>
            </w:r>
          </w:p>
        </w:tc>
        <w:tc>
          <w:tcPr>
            <w:tcW w:w="981" w:type="dxa"/>
            <w:shd w:val="clear" w:color="auto" w:fill="auto"/>
            <w:noWrap w:val="0"/>
            <w:vAlign w:val="center"/>
          </w:tcPr>
          <w:p>
            <w:pPr>
              <w:pStyle w:val="45"/>
              <w:spacing w:before="0" w:beforeAutospacing="0" w:after="0" w:afterAutospacing="0" w:line="280" w:lineRule="exact"/>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color w:val="000000" w:themeColor="text1"/>
                <w:sz w:val="21"/>
                <w:szCs w:val="21"/>
                <w:highlight w:val="none"/>
                <w:lang w:val="en-US" w:eastAsia="zh-CN"/>
                <w14:textFill>
                  <w14:solidFill>
                    <w14:schemeClr w14:val="tx1"/>
                  </w14:solidFill>
                </w14:textFill>
              </w:rPr>
              <w:t>70</w:t>
            </w:r>
          </w:p>
        </w:tc>
        <w:tc>
          <w:tcPr>
            <w:tcW w:w="949" w:type="dxa"/>
            <w:shd w:val="clear" w:color="auto" w:fill="auto"/>
            <w:noWrap w:val="0"/>
            <w:vAlign w:val="center"/>
          </w:tcPr>
          <w:p>
            <w:pPr>
              <w:pStyle w:val="45"/>
              <w:spacing w:before="0" w:beforeAutospacing="0" w:after="0" w:afterAutospacing="0" w:line="280" w:lineRule="exact"/>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color w:val="000000" w:themeColor="text1"/>
                <w:sz w:val="21"/>
                <w:szCs w:val="21"/>
                <w:highlight w:val="none"/>
                <w:lang w:val="en-US" w:eastAsia="zh-CN"/>
                <w14:textFill>
                  <w14:solidFill>
                    <w14:schemeClr w14:val="tx1"/>
                  </w14:solidFill>
                </w14:textFill>
              </w:rPr>
              <w:t>31</w:t>
            </w:r>
          </w:p>
        </w:tc>
        <w:tc>
          <w:tcPr>
            <w:tcW w:w="890" w:type="dxa"/>
            <w:shd w:val="clear" w:color="auto" w:fill="auto"/>
            <w:noWrap w:val="0"/>
            <w:vAlign w:val="center"/>
          </w:tcPr>
          <w:p>
            <w:pPr>
              <w:pStyle w:val="45"/>
              <w:spacing w:before="0" w:beforeAutospacing="0" w:after="0" w:afterAutospacing="0" w:line="280" w:lineRule="exact"/>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color w:val="000000" w:themeColor="text1"/>
                <w:sz w:val="21"/>
                <w:szCs w:val="21"/>
                <w:highlight w:val="none"/>
                <w:lang w:val="en-US" w:eastAsia="zh-CN"/>
                <w14:textFill>
                  <w14:solidFill>
                    <w14:schemeClr w14:val="tx1"/>
                  </w14:solidFill>
                </w14:textFill>
              </w:rPr>
              <w:t>1.8</w:t>
            </w:r>
          </w:p>
        </w:tc>
        <w:tc>
          <w:tcPr>
            <w:tcW w:w="2288" w:type="dxa"/>
            <w:shd w:val="clear" w:color="auto" w:fill="auto"/>
            <w:noWrap w:val="0"/>
            <w:vAlign w:val="center"/>
          </w:tcPr>
          <w:p>
            <w:pPr>
              <w:pStyle w:val="45"/>
              <w:spacing w:before="0" w:beforeAutospacing="0" w:after="0" w:afterAutospacing="0" w:line="280" w:lineRule="exact"/>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color w:val="000000" w:themeColor="text1"/>
                <w:sz w:val="21"/>
                <w:szCs w:val="21"/>
                <w:highlight w:val="none"/>
                <w:lang w:val="en-US" w:eastAsia="zh-CN"/>
                <w14:textFill>
                  <w14:solidFill>
                    <w14:schemeClr w14:val="tx1"/>
                  </w14:solidFill>
                </w14:textFill>
              </w:rPr>
              <w:t>183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blCellMar>
            <w:top w:w="0" w:type="dxa"/>
            <w:left w:w="30" w:type="dxa"/>
            <w:bottom w:w="0" w:type="dxa"/>
            <w:right w:w="30" w:type="dxa"/>
          </w:tblCellMar>
        </w:tblPrEx>
        <w:trPr>
          <w:trHeight w:val="382" w:hRule="atLeast"/>
          <w:jc w:val="center"/>
        </w:trPr>
        <w:tc>
          <w:tcPr>
            <w:tcW w:w="1168" w:type="dxa"/>
            <w:shd w:val="clear" w:color="auto" w:fill="auto"/>
            <w:noWrap w:val="0"/>
            <w:vAlign w:val="center"/>
          </w:tcPr>
          <w:p>
            <w:pPr>
              <w:pStyle w:val="45"/>
              <w:keepNext w:val="0"/>
              <w:keepLines w:val="0"/>
              <w:pageBreakBefore w:val="0"/>
              <w:kinsoku/>
              <w:wordWrap/>
              <w:overflowPunct/>
              <w:topLinePunct w:val="0"/>
              <w:autoSpaceDE/>
              <w:autoSpaceDN/>
              <w:bidi w:val="0"/>
              <w:adjustRightInd/>
              <w:snapToGrid/>
              <w:spacing w:before="0" w:beforeAutospacing="0" w:after="0" w:afterAutospacing="0" w:line="280" w:lineRule="exact"/>
              <w:jc w:val="center"/>
              <w:textAlignment w:val="auto"/>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年均值标准</w:t>
            </w:r>
          </w:p>
        </w:tc>
        <w:tc>
          <w:tcPr>
            <w:tcW w:w="997" w:type="dxa"/>
            <w:shd w:val="clear" w:color="auto" w:fill="auto"/>
            <w:noWrap w:val="0"/>
            <w:vAlign w:val="center"/>
          </w:tcPr>
          <w:p>
            <w:pPr>
              <w:pStyle w:val="45"/>
              <w:spacing w:before="0" w:beforeAutospacing="0" w:after="0" w:afterAutospacing="0" w:line="280" w:lineRule="exact"/>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ascii="Times New Roman" w:hAnsi="Times New Roman"/>
                <w:color w:val="000000" w:themeColor="text1"/>
                <w:sz w:val="21"/>
                <w:szCs w:val="21"/>
                <w:highlight w:val="none"/>
                <w:lang w:val="en-US" w:eastAsia="zh-CN"/>
                <w14:textFill>
                  <w14:solidFill>
                    <w14:schemeClr w14:val="tx1"/>
                  </w14:solidFill>
                </w14:textFill>
              </w:rPr>
              <w:t>60</w:t>
            </w:r>
          </w:p>
        </w:tc>
        <w:tc>
          <w:tcPr>
            <w:tcW w:w="881" w:type="dxa"/>
            <w:shd w:val="clear" w:color="auto" w:fill="auto"/>
            <w:noWrap w:val="0"/>
            <w:vAlign w:val="center"/>
          </w:tcPr>
          <w:p>
            <w:pPr>
              <w:pStyle w:val="45"/>
              <w:spacing w:before="0" w:beforeAutospacing="0" w:after="0" w:afterAutospacing="0" w:line="280" w:lineRule="exact"/>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ascii="Times New Roman" w:hAnsi="Times New Roman"/>
                <w:color w:val="000000" w:themeColor="text1"/>
                <w:sz w:val="21"/>
                <w:szCs w:val="21"/>
                <w:highlight w:val="none"/>
                <w:lang w:val="en-US" w:eastAsia="zh-CN"/>
                <w14:textFill>
                  <w14:solidFill>
                    <w14:schemeClr w14:val="tx1"/>
                  </w14:solidFill>
                </w14:textFill>
              </w:rPr>
              <w:t>40</w:t>
            </w:r>
          </w:p>
        </w:tc>
        <w:tc>
          <w:tcPr>
            <w:tcW w:w="981" w:type="dxa"/>
            <w:shd w:val="clear" w:color="auto" w:fill="auto"/>
            <w:noWrap w:val="0"/>
            <w:vAlign w:val="center"/>
          </w:tcPr>
          <w:p>
            <w:pPr>
              <w:pStyle w:val="45"/>
              <w:spacing w:before="0" w:beforeAutospacing="0" w:after="0" w:afterAutospacing="0" w:line="280" w:lineRule="exact"/>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ascii="Times New Roman" w:hAnsi="Times New Roman"/>
                <w:color w:val="000000" w:themeColor="text1"/>
                <w:sz w:val="21"/>
                <w:szCs w:val="21"/>
                <w:highlight w:val="none"/>
                <w:lang w:val="en-US" w:eastAsia="zh-CN"/>
                <w14:textFill>
                  <w14:solidFill>
                    <w14:schemeClr w14:val="tx1"/>
                  </w14:solidFill>
                </w14:textFill>
              </w:rPr>
              <w:t>70</w:t>
            </w:r>
          </w:p>
        </w:tc>
        <w:tc>
          <w:tcPr>
            <w:tcW w:w="949" w:type="dxa"/>
            <w:shd w:val="clear" w:color="auto" w:fill="auto"/>
            <w:noWrap w:val="0"/>
            <w:vAlign w:val="center"/>
          </w:tcPr>
          <w:p>
            <w:pPr>
              <w:pStyle w:val="45"/>
              <w:spacing w:before="0" w:beforeAutospacing="0" w:after="0" w:afterAutospacing="0" w:line="280" w:lineRule="exact"/>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ascii="Times New Roman" w:hAnsi="Times New Roman"/>
                <w:color w:val="000000" w:themeColor="text1"/>
                <w:sz w:val="21"/>
                <w:szCs w:val="21"/>
                <w:highlight w:val="none"/>
                <w:lang w:val="en-US" w:eastAsia="zh-CN"/>
                <w14:textFill>
                  <w14:solidFill>
                    <w14:schemeClr w14:val="tx1"/>
                  </w14:solidFill>
                </w14:textFill>
              </w:rPr>
              <w:t>35</w:t>
            </w:r>
          </w:p>
        </w:tc>
        <w:tc>
          <w:tcPr>
            <w:tcW w:w="890" w:type="dxa"/>
            <w:shd w:val="clear" w:color="auto" w:fill="auto"/>
            <w:noWrap w:val="0"/>
            <w:vAlign w:val="center"/>
          </w:tcPr>
          <w:p>
            <w:pPr>
              <w:pStyle w:val="45"/>
              <w:spacing w:before="0" w:beforeAutospacing="0" w:after="0" w:afterAutospacing="0" w:line="280" w:lineRule="exact"/>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ascii="Times New Roman" w:hAnsi="Times New Roman"/>
                <w:color w:val="000000" w:themeColor="text1"/>
                <w:sz w:val="21"/>
                <w:szCs w:val="21"/>
                <w:highlight w:val="none"/>
                <w:lang w:val="en-US" w:eastAsia="zh-CN"/>
                <w14:textFill>
                  <w14:solidFill>
                    <w14:schemeClr w14:val="tx1"/>
                  </w14:solidFill>
                </w14:textFill>
              </w:rPr>
              <w:t>-</w:t>
            </w:r>
          </w:p>
        </w:tc>
        <w:tc>
          <w:tcPr>
            <w:tcW w:w="2288" w:type="dxa"/>
            <w:shd w:val="clear" w:color="auto" w:fill="auto"/>
            <w:noWrap w:val="0"/>
            <w:vAlign w:val="center"/>
          </w:tcPr>
          <w:p>
            <w:pPr>
              <w:pStyle w:val="45"/>
              <w:spacing w:before="0" w:beforeAutospacing="0" w:after="0" w:afterAutospacing="0" w:line="280" w:lineRule="exact"/>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ascii="Times New Roman" w:hAnsi="Times New Roman"/>
                <w:color w:val="000000" w:themeColor="text1"/>
                <w:sz w:val="21"/>
                <w:szCs w:val="21"/>
                <w:highlight w:val="none"/>
                <w:lang w:val="en-US" w:eastAsia="zh-CN"/>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blCellMar>
            <w:top w:w="0" w:type="dxa"/>
            <w:left w:w="30" w:type="dxa"/>
            <w:bottom w:w="0" w:type="dxa"/>
            <w:right w:w="30" w:type="dxa"/>
          </w:tblCellMar>
        </w:tblPrEx>
        <w:trPr>
          <w:trHeight w:val="382" w:hRule="atLeast"/>
          <w:jc w:val="center"/>
        </w:trPr>
        <w:tc>
          <w:tcPr>
            <w:tcW w:w="1168" w:type="dxa"/>
            <w:shd w:val="clear" w:color="auto" w:fill="auto"/>
            <w:noWrap w:val="0"/>
            <w:vAlign w:val="center"/>
          </w:tcPr>
          <w:p>
            <w:pPr>
              <w:pStyle w:val="45"/>
              <w:keepNext w:val="0"/>
              <w:keepLines w:val="0"/>
              <w:pageBreakBefore w:val="0"/>
              <w:kinsoku/>
              <w:wordWrap/>
              <w:overflowPunct/>
              <w:topLinePunct w:val="0"/>
              <w:autoSpaceDE/>
              <w:autoSpaceDN/>
              <w:bidi w:val="0"/>
              <w:adjustRightInd/>
              <w:snapToGrid/>
              <w:spacing w:before="0" w:beforeAutospacing="0" w:after="0" w:afterAutospacing="0" w:line="280" w:lineRule="exact"/>
              <w:jc w:val="center"/>
              <w:textAlignment w:val="auto"/>
              <w:rPr>
                <w:rFonts w:hint="eastAsia"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sz w:val="21"/>
                <w:szCs w:val="21"/>
                <w:highlight w:val="none"/>
              </w:rPr>
              <w:t>日均值标准</w:t>
            </w:r>
          </w:p>
        </w:tc>
        <w:tc>
          <w:tcPr>
            <w:tcW w:w="997" w:type="dxa"/>
            <w:shd w:val="clear" w:color="auto" w:fill="auto"/>
            <w:noWrap w:val="0"/>
            <w:vAlign w:val="center"/>
          </w:tcPr>
          <w:p>
            <w:pPr>
              <w:pStyle w:val="45"/>
              <w:spacing w:before="0" w:beforeAutospacing="0" w:after="0" w:afterAutospacing="0" w:line="280" w:lineRule="exact"/>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ascii="Times New Roman" w:hAnsi="Times New Roman"/>
                <w:color w:val="000000" w:themeColor="text1"/>
                <w:sz w:val="21"/>
                <w:szCs w:val="21"/>
                <w:highlight w:val="none"/>
                <w:lang w:val="en-US" w:eastAsia="zh-CN"/>
                <w14:textFill>
                  <w14:solidFill>
                    <w14:schemeClr w14:val="tx1"/>
                  </w14:solidFill>
                </w14:textFill>
              </w:rPr>
              <w:t>150</w:t>
            </w:r>
          </w:p>
        </w:tc>
        <w:tc>
          <w:tcPr>
            <w:tcW w:w="881" w:type="dxa"/>
            <w:shd w:val="clear" w:color="auto" w:fill="auto"/>
            <w:noWrap w:val="0"/>
            <w:vAlign w:val="center"/>
          </w:tcPr>
          <w:p>
            <w:pPr>
              <w:pStyle w:val="45"/>
              <w:spacing w:before="0" w:beforeAutospacing="0" w:after="0" w:afterAutospacing="0" w:line="280" w:lineRule="exact"/>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ascii="Times New Roman" w:hAnsi="Times New Roman"/>
                <w:color w:val="000000" w:themeColor="text1"/>
                <w:sz w:val="21"/>
                <w:szCs w:val="21"/>
                <w:highlight w:val="none"/>
                <w:lang w:val="en-US" w:eastAsia="zh-CN"/>
                <w14:textFill>
                  <w14:solidFill>
                    <w14:schemeClr w14:val="tx1"/>
                  </w14:solidFill>
                </w14:textFill>
              </w:rPr>
              <w:t>80</w:t>
            </w:r>
          </w:p>
        </w:tc>
        <w:tc>
          <w:tcPr>
            <w:tcW w:w="981" w:type="dxa"/>
            <w:shd w:val="clear" w:color="auto" w:fill="auto"/>
            <w:noWrap w:val="0"/>
            <w:vAlign w:val="center"/>
          </w:tcPr>
          <w:p>
            <w:pPr>
              <w:pStyle w:val="45"/>
              <w:spacing w:before="0" w:beforeAutospacing="0" w:after="0" w:afterAutospacing="0" w:line="280" w:lineRule="exact"/>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ascii="Times New Roman" w:hAnsi="Times New Roman"/>
                <w:color w:val="000000" w:themeColor="text1"/>
                <w:sz w:val="21"/>
                <w:szCs w:val="21"/>
                <w:highlight w:val="none"/>
                <w:lang w:val="en-US" w:eastAsia="zh-CN"/>
                <w14:textFill>
                  <w14:solidFill>
                    <w14:schemeClr w14:val="tx1"/>
                  </w14:solidFill>
                </w14:textFill>
              </w:rPr>
              <w:t>150</w:t>
            </w:r>
          </w:p>
        </w:tc>
        <w:tc>
          <w:tcPr>
            <w:tcW w:w="949" w:type="dxa"/>
            <w:shd w:val="clear" w:color="auto" w:fill="auto"/>
            <w:noWrap w:val="0"/>
            <w:vAlign w:val="center"/>
          </w:tcPr>
          <w:p>
            <w:pPr>
              <w:pStyle w:val="45"/>
              <w:spacing w:before="0" w:beforeAutospacing="0" w:after="0" w:afterAutospacing="0" w:line="280" w:lineRule="exact"/>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ascii="Times New Roman" w:hAnsi="Times New Roman"/>
                <w:color w:val="000000" w:themeColor="text1"/>
                <w:sz w:val="21"/>
                <w:szCs w:val="21"/>
                <w:highlight w:val="none"/>
                <w:lang w:val="en-US" w:eastAsia="zh-CN"/>
                <w14:textFill>
                  <w14:solidFill>
                    <w14:schemeClr w14:val="tx1"/>
                  </w14:solidFill>
                </w14:textFill>
              </w:rPr>
              <w:t>75</w:t>
            </w:r>
          </w:p>
        </w:tc>
        <w:tc>
          <w:tcPr>
            <w:tcW w:w="890" w:type="dxa"/>
            <w:shd w:val="clear" w:color="auto" w:fill="auto"/>
            <w:noWrap w:val="0"/>
            <w:vAlign w:val="center"/>
          </w:tcPr>
          <w:p>
            <w:pPr>
              <w:pStyle w:val="45"/>
              <w:spacing w:before="0" w:beforeAutospacing="0" w:after="0" w:afterAutospacing="0" w:line="280" w:lineRule="exact"/>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ascii="Times New Roman" w:hAnsi="Times New Roman"/>
                <w:color w:val="000000" w:themeColor="text1"/>
                <w:sz w:val="21"/>
                <w:szCs w:val="21"/>
                <w:highlight w:val="none"/>
                <w:lang w:val="en-US" w:eastAsia="zh-CN"/>
                <w14:textFill>
                  <w14:solidFill>
                    <w14:schemeClr w14:val="tx1"/>
                  </w14:solidFill>
                </w14:textFill>
              </w:rPr>
              <w:t>4000</w:t>
            </w:r>
          </w:p>
        </w:tc>
        <w:tc>
          <w:tcPr>
            <w:tcW w:w="2288" w:type="dxa"/>
            <w:shd w:val="clear" w:color="auto" w:fill="auto"/>
            <w:noWrap w:val="0"/>
            <w:vAlign w:val="center"/>
          </w:tcPr>
          <w:p>
            <w:pPr>
              <w:pStyle w:val="45"/>
              <w:spacing w:before="0" w:beforeAutospacing="0" w:after="0" w:afterAutospacing="0" w:line="280" w:lineRule="exact"/>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ascii="Times New Roman" w:hAnsi="Times New Roman"/>
                <w:color w:val="000000" w:themeColor="text1"/>
                <w:sz w:val="21"/>
                <w:szCs w:val="21"/>
                <w:highlight w:val="none"/>
                <w:lang w:val="en-US" w:eastAsia="zh-CN"/>
                <w14:textFill>
                  <w14:solidFill>
                    <w14:schemeClr w14:val="tx1"/>
                  </w14:solidFill>
                </w14:textFill>
              </w:rPr>
              <w:t>160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blCellMar>
            <w:top w:w="0" w:type="dxa"/>
            <w:left w:w="30" w:type="dxa"/>
            <w:bottom w:w="0" w:type="dxa"/>
            <w:right w:w="30" w:type="dxa"/>
          </w:tblCellMar>
        </w:tblPrEx>
        <w:trPr>
          <w:trHeight w:val="382" w:hRule="atLeast"/>
          <w:jc w:val="center"/>
        </w:trPr>
        <w:tc>
          <w:tcPr>
            <w:tcW w:w="1168" w:type="dxa"/>
            <w:shd w:val="clear" w:color="auto" w:fill="auto"/>
            <w:noWrap w:val="0"/>
            <w:vAlign w:val="center"/>
          </w:tcPr>
          <w:p>
            <w:pPr>
              <w:pStyle w:val="45"/>
              <w:keepNext w:val="0"/>
              <w:keepLines w:val="0"/>
              <w:pageBreakBefore w:val="0"/>
              <w:kinsoku/>
              <w:wordWrap/>
              <w:overflowPunct/>
              <w:topLinePunct w:val="0"/>
              <w:autoSpaceDE/>
              <w:autoSpaceDN/>
              <w:bidi w:val="0"/>
              <w:adjustRightInd/>
              <w:snapToGrid/>
              <w:spacing w:before="0" w:beforeAutospacing="0" w:after="0" w:afterAutospacing="0" w:line="280" w:lineRule="exact"/>
              <w:jc w:val="center"/>
              <w:textAlignment w:val="auto"/>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达标情况</w:t>
            </w:r>
          </w:p>
        </w:tc>
        <w:tc>
          <w:tcPr>
            <w:tcW w:w="997" w:type="dxa"/>
            <w:shd w:val="clear" w:color="auto" w:fill="auto"/>
            <w:noWrap w:val="0"/>
            <w:vAlign w:val="center"/>
          </w:tcPr>
          <w:p>
            <w:pPr>
              <w:pStyle w:val="45"/>
              <w:spacing w:before="0" w:beforeAutospacing="0" w:after="0" w:afterAutospacing="0" w:line="280" w:lineRule="exact"/>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ascii="Times New Roman" w:hAnsi="Times New Roman"/>
                <w:color w:val="000000" w:themeColor="text1"/>
                <w:sz w:val="21"/>
                <w:szCs w:val="21"/>
                <w:highlight w:val="none"/>
                <w:lang w:val="en-US" w:eastAsia="zh-CN"/>
                <w14:textFill>
                  <w14:solidFill>
                    <w14:schemeClr w14:val="tx1"/>
                  </w14:solidFill>
                </w14:textFill>
              </w:rPr>
              <w:t>达标</w:t>
            </w:r>
          </w:p>
        </w:tc>
        <w:tc>
          <w:tcPr>
            <w:tcW w:w="881" w:type="dxa"/>
            <w:shd w:val="clear" w:color="auto" w:fill="auto"/>
            <w:noWrap w:val="0"/>
            <w:vAlign w:val="center"/>
          </w:tcPr>
          <w:p>
            <w:pPr>
              <w:pStyle w:val="45"/>
              <w:spacing w:before="0" w:beforeAutospacing="0" w:after="0" w:afterAutospacing="0" w:line="280" w:lineRule="exact"/>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ascii="Times New Roman" w:hAnsi="Times New Roman"/>
                <w:color w:val="000000" w:themeColor="text1"/>
                <w:sz w:val="21"/>
                <w:szCs w:val="21"/>
                <w:highlight w:val="none"/>
                <w:lang w:val="en-US" w:eastAsia="zh-CN"/>
                <w14:textFill>
                  <w14:solidFill>
                    <w14:schemeClr w14:val="tx1"/>
                  </w14:solidFill>
                </w14:textFill>
              </w:rPr>
              <w:t>达标</w:t>
            </w:r>
          </w:p>
        </w:tc>
        <w:tc>
          <w:tcPr>
            <w:tcW w:w="981" w:type="dxa"/>
            <w:shd w:val="clear" w:color="auto" w:fill="auto"/>
            <w:noWrap w:val="0"/>
            <w:vAlign w:val="center"/>
          </w:tcPr>
          <w:p>
            <w:pPr>
              <w:pStyle w:val="45"/>
              <w:spacing w:before="0" w:beforeAutospacing="0" w:after="0" w:afterAutospacing="0" w:line="280" w:lineRule="exact"/>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color w:val="000000" w:themeColor="text1"/>
                <w:sz w:val="21"/>
                <w:szCs w:val="21"/>
                <w:highlight w:val="none"/>
                <w:lang w:val="en-US" w:eastAsia="zh-CN"/>
                <w14:textFill>
                  <w14:solidFill>
                    <w14:schemeClr w14:val="tx1"/>
                  </w14:solidFill>
                </w14:textFill>
              </w:rPr>
              <w:t>达</w:t>
            </w:r>
            <w:r>
              <w:rPr>
                <w:rFonts w:ascii="Times New Roman" w:hAnsi="Times New Roman"/>
                <w:color w:val="000000" w:themeColor="text1"/>
                <w:sz w:val="21"/>
                <w:szCs w:val="21"/>
                <w:highlight w:val="none"/>
                <w:lang w:val="en-US" w:eastAsia="zh-CN"/>
                <w14:textFill>
                  <w14:solidFill>
                    <w14:schemeClr w14:val="tx1"/>
                  </w14:solidFill>
                </w14:textFill>
              </w:rPr>
              <w:t>标</w:t>
            </w:r>
          </w:p>
        </w:tc>
        <w:tc>
          <w:tcPr>
            <w:tcW w:w="949" w:type="dxa"/>
            <w:shd w:val="clear" w:color="auto" w:fill="auto"/>
            <w:noWrap w:val="0"/>
            <w:vAlign w:val="center"/>
          </w:tcPr>
          <w:p>
            <w:pPr>
              <w:pStyle w:val="45"/>
              <w:spacing w:before="0" w:beforeAutospacing="0" w:after="0" w:afterAutospacing="0" w:line="280" w:lineRule="exact"/>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color w:val="000000" w:themeColor="text1"/>
                <w:sz w:val="21"/>
                <w:szCs w:val="21"/>
                <w:highlight w:val="none"/>
                <w:lang w:val="en-US" w:eastAsia="zh-CN"/>
                <w14:textFill>
                  <w14:solidFill>
                    <w14:schemeClr w14:val="tx1"/>
                  </w14:solidFill>
                </w14:textFill>
              </w:rPr>
              <w:t>达标</w:t>
            </w:r>
          </w:p>
        </w:tc>
        <w:tc>
          <w:tcPr>
            <w:tcW w:w="890" w:type="dxa"/>
            <w:shd w:val="clear" w:color="auto" w:fill="auto"/>
            <w:noWrap w:val="0"/>
            <w:vAlign w:val="center"/>
          </w:tcPr>
          <w:p>
            <w:pPr>
              <w:pStyle w:val="45"/>
              <w:spacing w:before="0" w:beforeAutospacing="0" w:after="0" w:afterAutospacing="0" w:line="280" w:lineRule="exact"/>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ascii="Times New Roman" w:hAnsi="Times New Roman"/>
                <w:color w:val="000000" w:themeColor="text1"/>
                <w:sz w:val="21"/>
                <w:szCs w:val="21"/>
                <w:highlight w:val="none"/>
                <w:lang w:val="en-US" w:eastAsia="zh-CN"/>
                <w14:textFill>
                  <w14:solidFill>
                    <w14:schemeClr w14:val="tx1"/>
                  </w14:solidFill>
                </w14:textFill>
              </w:rPr>
              <w:t>达标</w:t>
            </w:r>
          </w:p>
        </w:tc>
        <w:tc>
          <w:tcPr>
            <w:tcW w:w="2288" w:type="dxa"/>
            <w:shd w:val="clear" w:color="auto" w:fill="auto"/>
            <w:noWrap w:val="0"/>
            <w:vAlign w:val="center"/>
          </w:tcPr>
          <w:p>
            <w:pPr>
              <w:pStyle w:val="45"/>
              <w:spacing w:before="0" w:beforeAutospacing="0" w:after="0" w:afterAutospacing="0" w:line="280" w:lineRule="exact"/>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ascii="Times New Roman" w:hAnsi="Times New Roman"/>
                <w:color w:val="000000" w:themeColor="text1"/>
                <w:sz w:val="21"/>
                <w:szCs w:val="21"/>
                <w:highlight w:val="none"/>
                <w:lang w:val="en-US" w:eastAsia="zh-CN"/>
                <w14:textFill>
                  <w14:solidFill>
                    <w14:schemeClr w14:val="tx1"/>
                  </w14:solidFill>
                </w14:textFill>
              </w:rPr>
              <w:t>超标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30" w:type="dxa"/>
            <w:bottom w:w="0" w:type="dxa"/>
            <w:right w:w="30" w:type="dxa"/>
          </w:tblCellMar>
        </w:tblPrEx>
        <w:trPr>
          <w:trHeight w:val="382" w:hRule="atLeast"/>
          <w:jc w:val="center"/>
        </w:trPr>
        <w:tc>
          <w:tcPr>
            <w:tcW w:w="1168" w:type="dxa"/>
            <w:shd w:val="clear" w:color="auto" w:fill="auto"/>
            <w:noWrap w:val="0"/>
            <w:vAlign w:val="center"/>
          </w:tcPr>
          <w:p>
            <w:pPr>
              <w:pStyle w:val="45"/>
              <w:keepNext w:val="0"/>
              <w:keepLines w:val="0"/>
              <w:pageBreakBefore w:val="0"/>
              <w:kinsoku/>
              <w:wordWrap/>
              <w:overflowPunct/>
              <w:topLinePunct w:val="0"/>
              <w:autoSpaceDE/>
              <w:autoSpaceDN/>
              <w:bidi w:val="0"/>
              <w:adjustRightInd/>
              <w:snapToGrid/>
              <w:spacing w:before="0" w:beforeAutospacing="0" w:after="0" w:afterAutospacing="0" w:line="280" w:lineRule="exact"/>
              <w:jc w:val="center"/>
              <w:textAlignment w:val="auto"/>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超标百分数</w:t>
            </w:r>
          </w:p>
        </w:tc>
        <w:tc>
          <w:tcPr>
            <w:tcW w:w="997" w:type="dxa"/>
            <w:shd w:val="clear" w:color="auto" w:fill="auto"/>
            <w:noWrap w:val="0"/>
            <w:vAlign w:val="center"/>
          </w:tcPr>
          <w:p>
            <w:pPr>
              <w:pStyle w:val="45"/>
              <w:keepNext w:val="0"/>
              <w:keepLines w:val="0"/>
              <w:pageBreakBefore w:val="0"/>
              <w:kinsoku/>
              <w:wordWrap/>
              <w:overflowPunct/>
              <w:topLinePunct w:val="0"/>
              <w:autoSpaceDE/>
              <w:autoSpaceDN/>
              <w:bidi w:val="0"/>
              <w:adjustRightInd/>
              <w:snapToGrid/>
              <w:spacing w:before="0" w:beforeAutospacing="0" w:after="0" w:afterAutospacing="0" w:line="280" w:lineRule="exact"/>
              <w:jc w:val="center"/>
              <w:textAlignment w:val="auto"/>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w:t>
            </w:r>
          </w:p>
        </w:tc>
        <w:tc>
          <w:tcPr>
            <w:tcW w:w="881" w:type="dxa"/>
            <w:shd w:val="clear" w:color="auto" w:fill="auto"/>
            <w:noWrap w:val="0"/>
            <w:vAlign w:val="center"/>
          </w:tcPr>
          <w:p>
            <w:pPr>
              <w:pStyle w:val="45"/>
              <w:keepNext w:val="0"/>
              <w:keepLines w:val="0"/>
              <w:pageBreakBefore w:val="0"/>
              <w:kinsoku/>
              <w:wordWrap/>
              <w:overflowPunct/>
              <w:topLinePunct w:val="0"/>
              <w:autoSpaceDE/>
              <w:autoSpaceDN/>
              <w:bidi w:val="0"/>
              <w:adjustRightInd/>
              <w:snapToGrid/>
              <w:spacing w:before="0" w:beforeAutospacing="0" w:after="0" w:afterAutospacing="0" w:line="280" w:lineRule="exact"/>
              <w:jc w:val="center"/>
              <w:textAlignment w:val="auto"/>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w:t>
            </w:r>
          </w:p>
        </w:tc>
        <w:tc>
          <w:tcPr>
            <w:tcW w:w="981" w:type="dxa"/>
            <w:shd w:val="clear" w:color="auto" w:fill="auto"/>
            <w:noWrap w:val="0"/>
            <w:vAlign w:val="center"/>
          </w:tcPr>
          <w:p>
            <w:pPr>
              <w:keepNext w:val="0"/>
              <w:keepLines w:val="0"/>
              <w:pageBreakBefore w:val="0"/>
              <w:kinsoku/>
              <w:wordWrap/>
              <w:overflowPunct/>
              <w:topLinePunct w:val="0"/>
              <w:autoSpaceDE/>
              <w:autoSpaceDN/>
              <w:bidi w:val="0"/>
              <w:adjustRightInd/>
              <w:snapToGrid/>
              <w:spacing w:before="0" w:beforeAutospacing="0" w:after="0" w:afterAutospacing="0" w:line="280" w:lineRule="exact"/>
              <w:jc w:val="center"/>
              <w:textAlignment w:val="auto"/>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w:t>
            </w:r>
          </w:p>
        </w:tc>
        <w:tc>
          <w:tcPr>
            <w:tcW w:w="949" w:type="dxa"/>
            <w:shd w:val="clear" w:color="auto" w:fill="auto"/>
            <w:noWrap w:val="0"/>
            <w:vAlign w:val="center"/>
          </w:tcPr>
          <w:p>
            <w:pPr>
              <w:keepNext w:val="0"/>
              <w:keepLines w:val="0"/>
              <w:pageBreakBefore w:val="0"/>
              <w:kinsoku/>
              <w:wordWrap/>
              <w:overflowPunct/>
              <w:topLinePunct w:val="0"/>
              <w:autoSpaceDE/>
              <w:autoSpaceDN/>
              <w:bidi w:val="0"/>
              <w:adjustRightInd/>
              <w:snapToGrid/>
              <w:spacing w:before="0" w:beforeAutospacing="0" w:after="0" w:afterAutospacing="0" w:line="280" w:lineRule="exact"/>
              <w:jc w:val="center"/>
              <w:textAlignment w:val="auto"/>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w:t>
            </w:r>
          </w:p>
        </w:tc>
        <w:tc>
          <w:tcPr>
            <w:tcW w:w="890" w:type="dxa"/>
            <w:shd w:val="clear" w:color="auto" w:fill="auto"/>
            <w:noWrap w:val="0"/>
            <w:vAlign w:val="center"/>
          </w:tcPr>
          <w:p>
            <w:pPr>
              <w:pStyle w:val="45"/>
              <w:keepNext w:val="0"/>
              <w:keepLines w:val="0"/>
              <w:pageBreakBefore w:val="0"/>
              <w:kinsoku/>
              <w:wordWrap/>
              <w:overflowPunct/>
              <w:topLinePunct w:val="0"/>
              <w:autoSpaceDE/>
              <w:autoSpaceDN/>
              <w:bidi w:val="0"/>
              <w:adjustRightInd/>
              <w:snapToGrid/>
              <w:spacing w:before="0" w:beforeAutospacing="0" w:after="0" w:afterAutospacing="0" w:line="280" w:lineRule="exact"/>
              <w:jc w:val="center"/>
              <w:textAlignment w:val="auto"/>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w:t>
            </w:r>
          </w:p>
        </w:tc>
        <w:tc>
          <w:tcPr>
            <w:tcW w:w="2288" w:type="dxa"/>
            <w:shd w:val="clear" w:color="auto" w:fill="auto"/>
            <w:noWrap w:val="0"/>
            <w:vAlign w:val="center"/>
          </w:tcPr>
          <w:p>
            <w:pPr>
              <w:pStyle w:val="45"/>
              <w:keepNext w:val="0"/>
              <w:keepLines w:val="0"/>
              <w:pageBreakBefore w:val="0"/>
              <w:kinsoku/>
              <w:wordWrap/>
              <w:overflowPunct/>
              <w:topLinePunct w:val="0"/>
              <w:autoSpaceDE/>
              <w:autoSpaceDN/>
              <w:bidi w:val="0"/>
              <w:adjustRightInd/>
              <w:snapToGrid/>
              <w:spacing w:before="0" w:beforeAutospacing="0" w:after="0" w:afterAutospacing="0" w:line="28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14.3%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30" w:type="dxa"/>
            <w:bottom w:w="0" w:type="dxa"/>
            <w:right w:w="30" w:type="dxa"/>
          </w:tblCellMar>
        </w:tblPrEx>
        <w:trPr>
          <w:trHeight w:val="359" w:hRule="atLeast"/>
          <w:jc w:val="center"/>
        </w:trPr>
        <w:tc>
          <w:tcPr>
            <w:tcW w:w="1168" w:type="dxa"/>
            <w:shd w:val="clear" w:color="auto" w:fill="auto"/>
            <w:noWrap w:val="0"/>
            <w:vAlign w:val="center"/>
          </w:tcPr>
          <w:p>
            <w:pPr>
              <w:pStyle w:val="45"/>
              <w:keepNext w:val="0"/>
              <w:keepLines w:val="0"/>
              <w:pageBreakBefore w:val="0"/>
              <w:kinsoku/>
              <w:wordWrap/>
              <w:overflowPunct/>
              <w:topLinePunct w:val="0"/>
              <w:autoSpaceDE/>
              <w:autoSpaceDN/>
              <w:bidi w:val="0"/>
              <w:adjustRightInd/>
              <w:snapToGrid/>
              <w:spacing w:before="0" w:beforeAutospacing="0" w:after="0" w:afterAutospacing="0" w:line="280" w:lineRule="exact"/>
              <w:jc w:val="center"/>
              <w:textAlignment w:val="auto"/>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与上年相比</w:t>
            </w:r>
          </w:p>
        </w:tc>
        <w:tc>
          <w:tcPr>
            <w:tcW w:w="997" w:type="dxa"/>
            <w:shd w:val="clear" w:color="auto" w:fill="auto"/>
            <w:noWrap w:val="0"/>
            <w:vAlign w:val="center"/>
          </w:tcPr>
          <w:p>
            <w:pPr>
              <w:pStyle w:val="45"/>
              <w:keepNext w:val="0"/>
              <w:keepLines w:val="0"/>
              <w:pageBreakBefore w:val="0"/>
              <w:kinsoku/>
              <w:wordWrap/>
              <w:overflowPunct/>
              <w:topLinePunct w:val="0"/>
              <w:autoSpaceDE/>
              <w:autoSpaceDN/>
              <w:bidi w:val="0"/>
              <w:adjustRightInd/>
              <w:snapToGrid/>
              <w:spacing w:before="0" w:beforeAutospacing="0" w:after="0" w:afterAutospacing="0" w:line="280" w:lineRule="exact"/>
              <w:jc w:val="center"/>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-20.0</w:t>
            </w:r>
            <w:r>
              <w:rPr>
                <w:rFonts w:ascii="Times New Roman" w:hAnsi="Times New Roman" w:cs="Times New Roman"/>
                <w:color w:val="auto"/>
                <w:sz w:val="21"/>
                <w:szCs w:val="21"/>
                <w:highlight w:val="none"/>
              </w:rPr>
              <w:t>%</w:t>
            </w:r>
          </w:p>
        </w:tc>
        <w:tc>
          <w:tcPr>
            <w:tcW w:w="881" w:type="dxa"/>
            <w:shd w:val="clear" w:color="auto" w:fill="auto"/>
            <w:noWrap w:val="0"/>
            <w:vAlign w:val="center"/>
          </w:tcPr>
          <w:p>
            <w:pPr>
              <w:pStyle w:val="45"/>
              <w:keepNext w:val="0"/>
              <w:keepLines w:val="0"/>
              <w:pageBreakBefore w:val="0"/>
              <w:kinsoku/>
              <w:wordWrap/>
              <w:overflowPunct/>
              <w:topLinePunct w:val="0"/>
              <w:autoSpaceDE/>
              <w:autoSpaceDN/>
              <w:bidi w:val="0"/>
              <w:adjustRightInd/>
              <w:snapToGrid/>
              <w:spacing w:before="0" w:beforeAutospacing="0" w:after="0" w:afterAutospacing="0" w:line="280" w:lineRule="exact"/>
              <w:jc w:val="center"/>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-17.9</w:t>
            </w:r>
            <w:r>
              <w:rPr>
                <w:rFonts w:ascii="Times New Roman" w:hAnsi="Times New Roman" w:cs="Times New Roman"/>
                <w:color w:val="auto"/>
                <w:sz w:val="21"/>
                <w:szCs w:val="21"/>
                <w:highlight w:val="none"/>
              </w:rPr>
              <w:t>%</w:t>
            </w:r>
          </w:p>
        </w:tc>
        <w:tc>
          <w:tcPr>
            <w:tcW w:w="981" w:type="dxa"/>
            <w:shd w:val="clear" w:color="auto" w:fill="auto"/>
            <w:noWrap w:val="0"/>
            <w:vAlign w:val="center"/>
          </w:tcPr>
          <w:p>
            <w:pPr>
              <w:pStyle w:val="45"/>
              <w:keepNext w:val="0"/>
              <w:keepLines w:val="0"/>
              <w:pageBreakBefore w:val="0"/>
              <w:kinsoku/>
              <w:wordWrap/>
              <w:overflowPunct/>
              <w:topLinePunct w:val="0"/>
              <w:autoSpaceDE/>
              <w:autoSpaceDN/>
              <w:bidi w:val="0"/>
              <w:adjustRightInd/>
              <w:snapToGrid/>
              <w:spacing w:before="0" w:beforeAutospacing="0" w:after="0" w:afterAutospacing="0" w:line="280" w:lineRule="exact"/>
              <w:jc w:val="center"/>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-15.2</w:t>
            </w:r>
            <w:r>
              <w:rPr>
                <w:rFonts w:ascii="Times New Roman" w:hAnsi="Times New Roman" w:cs="Times New Roman"/>
                <w:color w:val="auto"/>
                <w:sz w:val="21"/>
                <w:szCs w:val="21"/>
                <w:highlight w:val="none"/>
              </w:rPr>
              <w:t>%</w:t>
            </w:r>
          </w:p>
        </w:tc>
        <w:tc>
          <w:tcPr>
            <w:tcW w:w="949" w:type="dxa"/>
            <w:shd w:val="clear" w:color="auto" w:fill="auto"/>
            <w:noWrap w:val="0"/>
            <w:vAlign w:val="center"/>
          </w:tcPr>
          <w:p>
            <w:pPr>
              <w:pStyle w:val="45"/>
              <w:keepNext w:val="0"/>
              <w:keepLines w:val="0"/>
              <w:pageBreakBefore w:val="0"/>
              <w:kinsoku/>
              <w:wordWrap/>
              <w:overflowPunct/>
              <w:topLinePunct w:val="0"/>
              <w:autoSpaceDE/>
              <w:autoSpaceDN/>
              <w:bidi w:val="0"/>
              <w:adjustRightInd/>
              <w:snapToGrid/>
              <w:spacing w:before="0" w:beforeAutospacing="0" w:after="0" w:afterAutospacing="0" w:line="280" w:lineRule="exact"/>
              <w:jc w:val="center"/>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-14.0</w:t>
            </w:r>
            <w:r>
              <w:rPr>
                <w:rFonts w:ascii="Times New Roman" w:hAnsi="Times New Roman" w:cs="Times New Roman"/>
                <w:color w:val="auto"/>
                <w:sz w:val="21"/>
                <w:szCs w:val="21"/>
                <w:highlight w:val="none"/>
              </w:rPr>
              <w:t>%</w:t>
            </w:r>
          </w:p>
        </w:tc>
        <w:tc>
          <w:tcPr>
            <w:tcW w:w="890" w:type="dxa"/>
            <w:shd w:val="clear" w:color="auto" w:fill="auto"/>
            <w:noWrap w:val="0"/>
            <w:vAlign w:val="center"/>
          </w:tcPr>
          <w:p>
            <w:pPr>
              <w:pStyle w:val="45"/>
              <w:keepNext w:val="0"/>
              <w:keepLines w:val="0"/>
              <w:pageBreakBefore w:val="0"/>
              <w:kinsoku/>
              <w:wordWrap/>
              <w:overflowPunct/>
              <w:topLinePunct w:val="0"/>
              <w:autoSpaceDE/>
              <w:autoSpaceDN/>
              <w:bidi w:val="0"/>
              <w:adjustRightInd/>
              <w:snapToGrid/>
              <w:spacing w:before="0" w:beforeAutospacing="0" w:after="0" w:afterAutospacing="0" w:line="280" w:lineRule="exact"/>
              <w:jc w:val="center"/>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-21.1</w:t>
            </w:r>
            <w:r>
              <w:rPr>
                <w:rFonts w:ascii="Times New Roman" w:hAnsi="Times New Roman" w:cs="Times New Roman"/>
                <w:color w:val="auto"/>
                <w:sz w:val="21"/>
                <w:szCs w:val="21"/>
                <w:highlight w:val="none"/>
              </w:rPr>
              <w:t>%</w:t>
            </w:r>
          </w:p>
        </w:tc>
        <w:tc>
          <w:tcPr>
            <w:tcW w:w="2288" w:type="dxa"/>
            <w:shd w:val="clear" w:color="auto" w:fill="auto"/>
            <w:noWrap w:val="0"/>
            <w:vAlign w:val="center"/>
          </w:tcPr>
          <w:p>
            <w:pPr>
              <w:pStyle w:val="45"/>
              <w:keepNext w:val="0"/>
              <w:keepLines w:val="0"/>
              <w:pageBreakBefore w:val="0"/>
              <w:kinsoku/>
              <w:wordWrap/>
              <w:overflowPunct/>
              <w:topLinePunct w:val="0"/>
              <w:autoSpaceDE/>
              <w:autoSpaceDN/>
              <w:bidi w:val="0"/>
              <w:adjustRightInd/>
              <w:snapToGrid/>
              <w:spacing w:before="0" w:beforeAutospacing="0" w:after="0" w:afterAutospacing="0" w:line="280" w:lineRule="exact"/>
              <w:jc w:val="center"/>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13.0</w:t>
            </w:r>
            <w:r>
              <w:rPr>
                <w:rFonts w:ascii="Times New Roman" w:hAnsi="Times New Roman" w:cs="Times New Roman"/>
                <w:color w:val="auto"/>
                <w:sz w:val="21"/>
                <w:szCs w:val="21"/>
                <w:highlight w:val="none"/>
              </w:rPr>
              <w:t>%</w:t>
            </w:r>
          </w:p>
        </w:tc>
      </w:tr>
    </w:tbl>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cs="宋体"/>
          <w:color w:val="auto"/>
          <w:sz w:val="24"/>
          <w:szCs w:val="24"/>
          <w:highlight w:val="none"/>
        </w:rPr>
      </w:pPr>
      <w:r>
        <w:rPr>
          <w:rFonts w:hint="eastAsia" w:cs="宋体"/>
          <w:color w:val="auto"/>
          <w:sz w:val="24"/>
          <w:szCs w:val="24"/>
          <w:highlight w:val="none"/>
        </w:rPr>
        <w:t>由</w:t>
      </w:r>
      <w:r>
        <w:rPr>
          <w:rFonts w:hint="eastAsia" w:cs="宋体"/>
          <w:color w:val="auto"/>
          <w:sz w:val="24"/>
          <w:szCs w:val="24"/>
          <w:highlight w:val="none"/>
          <w:lang w:eastAsia="zh-CN"/>
        </w:rPr>
        <w:t>上表</w:t>
      </w:r>
      <w:r>
        <w:rPr>
          <w:rFonts w:hint="eastAsia" w:cs="宋体"/>
          <w:color w:val="auto"/>
          <w:sz w:val="24"/>
          <w:szCs w:val="24"/>
          <w:highlight w:val="none"/>
        </w:rPr>
        <w:t>可知</w:t>
      </w:r>
      <w:r>
        <w:rPr>
          <w:rFonts w:cs="宋体"/>
          <w:color w:val="auto"/>
          <w:sz w:val="24"/>
          <w:szCs w:val="24"/>
          <w:highlight w:val="none"/>
        </w:rPr>
        <w:t>，本项目所在区域</w:t>
      </w:r>
      <w:r>
        <w:rPr>
          <w:rFonts w:hint="eastAsia" w:cs="宋体"/>
          <w:color w:val="auto"/>
          <w:sz w:val="24"/>
          <w:szCs w:val="24"/>
          <w:highlight w:val="none"/>
        </w:rPr>
        <w:t>CO日均浓度值、SO</w:t>
      </w:r>
      <w:r>
        <w:rPr>
          <w:rFonts w:hint="eastAsia" w:cs="宋体"/>
          <w:color w:val="auto"/>
          <w:sz w:val="24"/>
          <w:szCs w:val="24"/>
          <w:highlight w:val="none"/>
          <w:vertAlign w:val="subscript"/>
        </w:rPr>
        <w:t>2</w:t>
      </w:r>
      <w:r>
        <w:rPr>
          <w:rFonts w:hint="eastAsia" w:cs="宋体"/>
          <w:color w:val="auto"/>
          <w:sz w:val="24"/>
          <w:szCs w:val="24"/>
          <w:highlight w:val="none"/>
          <w:vertAlign w:val="baseline"/>
          <w:lang w:eastAsia="zh-CN"/>
        </w:rPr>
        <w:t>、</w:t>
      </w:r>
      <w:r>
        <w:rPr>
          <w:rFonts w:ascii="Times New Roman" w:hAnsi="Times New Roman" w:cs="Times New Roman"/>
          <w:color w:val="auto"/>
          <w:sz w:val="24"/>
          <w:szCs w:val="24"/>
          <w:highlight w:val="none"/>
        </w:rPr>
        <w:t>NO</w:t>
      </w:r>
      <w:r>
        <w:rPr>
          <w:rFonts w:ascii="Times New Roman" w:hAnsi="Times New Roman" w:cs="Times New Roman"/>
          <w:color w:val="auto"/>
          <w:sz w:val="24"/>
          <w:szCs w:val="24"/>
          <w:highlight w:val="none"/>
          <w:vertAlign w:val="subscript"/>
        </w:rPr>
        <w:t>2</w:t>
      </w:r>
      <w:r>
        <w:rPr>
          <w:rFonts w:hint="eastAsia" w:cs="宋体"/>
          <w:color w:val="auto"/>
          <w:sz w:val="24"/>
          <w:szCs w:val="24"/>
          <w:highlight w:val="none"/>
        </w:rPr>
        <w:t>、PM</w:t>
      </w:r>
      <w:r>
        <w:rPr>
          <w:rFonts w:hint="eastAsia" w:cs="宋体"/>
          <w:color w:val="auto"/>
          <w:sz w:val="24"/>
          <w:szCs w:val="24"/>
          <w:highlight w:val="none"/>
          <w:vertAlign w:val="subscript"/>
        </w:rPr>
        <w:t>10</w:t>
      </w:r>
      <w:r>
        <w:rPr>
          <w:rFonts w:hint="eastAsia" w:cs="宋体"/>
          <w:color w:val="auto"/>
          <w:sz w:val="24"/>
          <w:szCs w:val="24"/>
          <w:highlight w:val="none"/>
        </w:rPr>
        <w:t>、PM</w:t>
      </w:r>
      <w:r>
        <w:rPr>
          <w:rFonts w:hint="eastAsia" w:cs="宋体"/>
          <w:color w:val="auto"/>
          <w:sz w:val="24"/>
          <w:szCs w:val="24"/>
          <w:highlight w:val="none"/>
          <w:vertAlign w:val="subscript"/>
        </w:rPr>
        <w:t>2.5</w:t>
      </w:r>
      <w:r>
        <w:rPr>
          <w:rFonts w:hint="eastAsia" w:cs="宋体"/>
          <w:color w:val="auto"/>
          <w:sz w:val="24"/>
          <w:szCs w:val="24"/>
          <w:highlight w:val="none"/>
        </w:rPr>
        <w:t>年均浓度值满足环境空气质量标准要求；O</w:t>
      </w:r>
      <w:r>
        <w:rPr>
          <w:rFonts w:hint="eastAsia" w:cs="宋体"/>
          <w:color w:val="auto"/>
          <w:sz w:val="24"/>
          <w:szCs w:val="24"/>
          <w:highlight w:val="none"/>
          <w:vertAlign w:val="subscript"/>
        </w:rPr>
        <w:t>3</w:t>
      </w:r>
      <w:r>
        <w:rPr>
          <w:rFonts w:hint="eastAsia" w:cs="宋体"/>
          <w:color w:val="auto"/>
          <w:sz w:val="24"/>
          <w:szCs w:val="24"/>
          <w:highlight w:val="none"/>
        </w:rPr>
        <w:t>浓度值超过</w:t>
      </w:r>
      <w:r>
        <w:rPr>
          <w:rFonts w:cs="宋体"/>
          <w:color w:val="auto"/>
          <w:sz w:val="24"/>
          <w:szCs w:val="24"/>
          <w:highlight w:val="none"/>
        </w:rPr>
        <w:t>环境</w:t>
      </w:r>
      <w:r>
        <w:rPr>
          <w:rFonts w:hint="eastAsia" w:cs="宋体"/>
          <w:color w:val="auto"/>
          <w:sz w:val="24"/>
          <w:szCs w:val="24"/>
          <w:highlight w:val="none"/>
        </w:rPr>
        <w:t>空气</w:t>
      </w:r>
      <w:r>
        <w:rPr>
          <w:rFonts w:cs="宋体"/>
          <w:color w:val="auto"/>
          <w:sz w:val="24"/>
          <w:szCs w:val="24"/>
          <w:highlight w:val="none"/>
        </w:rPr>
        <w:t>质量标准要求</w:t>
      </w:r>
      <w:r>
        <w:rPr>
          <w:rFonts w:hint="eastAsia" w:cs="宋体"/>
          <w:color w:val="auto"/>
          <w:sz w:val="24"/>
          <w:szCs w:val="24"/>
          <w:highlight w:val="none"/>
        </w:rPr>
        <w:t>。</w:t>
      </w:r>
      <w:r>
        <w:rPr>
          <w:rFonts w:cs="宋体"/>
          <w:color w:val="auto"/>
          <w:sz w:val="24"/>
          <w:szCs w:val="24"/>
          <w:highlight w:val="none"/>
        </w:rPr>
        <w:t>因此</w:t>
      </w:r>
      <w:r>
        <w:rPr>
          <w:rFonts w:hint="eastAsia" w:cs="宋体"/>
          <w:color w:val="auto"/>
          <w:sz w:val="24"/>
          <w:szCs w:val="24"/>
          <w:highlight w:val="none"/>
        </w:rPr>
        <w:t>，项目</w:t>
      </w:r>
      <w:r>
        <w:rPr>
          <w:rFonts w:cs="宋体"/>
          <w:color w:val="auto"/>
          <w:sz w:val="24"/>
          <w:szCs w:val="24"/>
          <w:highlight w:val="none"/>
        </w:rPr>
        <w:t>所在区域属于</w:t>
      </w:r>
      <w:r>
        <w:rPr>
          <w:rFonts w:hint="eastAsia" w:cs="宋体"/>
          <w:color w:val="auto"/>
          <w:sz w:val="24"/>
          <w:szCs w:val="24"/>
          <w:highlight w:val="none"/>
        </w:rPr>
        <w:t>不达标区。</w:t>
      </w:r>
    </w:p>
    <w:p>
      <w:pPr>
        <w:widowControl/>
        <w:spacing w:line="480" w:lineRule="exact"/>
        <w:ind w:firstLine="480" w:firstLineChars="200"/>
        <w:jc w:val="left"/>
        <w:rPr>
          <w:sz w:val="24"/>
          <w:highlight w:val="none"/>
        </w:rPr>
      </w:pPr>
      <w:r>
        <w:rPr>
          <w:sz w:val="24"/>
          <w:highlight w:val="none"/>
        </w:rPr>
        <w:t>（</w:t>
      </w:r>
      <w:r>
        <w:rPr>
          <w:rFonts w:hint="eastAsia"/>
          <w:sz w:val="24"/>
          <w:highlight w:val="none"/>
        </w:rPr>
        <w:t>3</w:t>
      </w:r>
      <w:r>
        <w:rPr>
          <w:sz w:val="24"/>
          <w:highlight w:val="none"/>
        </w:rPr>
        <w:t>）基本污染物环境质量现状</w:t>
      </w:r>
    </w:p>
    <w:p>
      <w:pPr>
        <w:spacing w:line="480" w:lineRule="exact"/>
        <w:ind w:firstLine="480" w:firstLineChars="200"/>
        <w:rPr>
          <w:sz w:val="24"/>
          <w:highlight w:val="none"/>
        </w:rPr>
      </w:pPr>
      <w:r>
        <w:rPr>
          <w:sz w:val="24"/>
          <w:highlight w:val="none"/>
        </w:rPr>
        <w:t>基本染物环境质量现状数据使用遵化市例行监测点位202</w:t>
      </w:r>
      <w:r>
        <w:rPr>
          <w:rFonts w:hint="eastAsia"/>
          <w:sz w:val="24"/>
          <w:highlight w:val="none"/>
          <w:lang w:val="en-US" w:eastAsia="zh-CN"/>
        </w:rPr>
        <w:t>2</w:t>
      </w:r>
      <w:r>
        <w:rPr>
          <w:sz w:val="24"/>
          <w:highlight w:val="none"/>
        </w:rPr>
        <w:t>年全年例行监测数据，SO</w:t>
      </w:r>
      <w:r>
        <w:rPr>
          <w:sz w:val="24"/>
          <w:highlight w:val="none"/>
          <w:vertAlign w:val="subscript"/>
        </w:rPr>
        <w:t>2</w:t>
      </w:r>
      <w:r>
        <w:rPr>
          <w:sz w:val="24"/>
          <w:highlight w:val="none"/>
        </w:rPr>
        <w:t>平均浓度1</w:t>
      </w:r>
      <w:r>
        <w:rPr>
          <w:rFonts w:hint="eastAsia"/>
          <w:sz w:val="24"/>
          <w:highlight w:val="none"/>
          <w:lang w:val="en-US" w:eastAsia="zh-CN"/>
        </w:rPr>
        <w:t>0</w:t>
      </w:r>
      <w:r>
        <w:rPr>
          <w:sz w:val="24"/>
          <w:highlight w:val="none"/>
        </w:rPr>
        <w:t>μg/m</w:t>
      </w:r>
      <w:r>
        <w:rPr>
          <w:sz w:val="24"/>
          <w:highlight w:val="none"/>
          <w:vertAlign w:val="superscript"/>
        </w:rPr>
        <w:t>3</w:t>
      </w:r>
      <w:r>
        <w:rPr>
          <w:sz w:val="24"/>
          <w:highlight w:val="none"/>
        </w:rPr>
        <w:t>，NO</w:t>
      </w:r>
      <w:r>
        <w:rPr>
          <w:sz w:val="24"/>
          <w:highlight w:val="none"/>
          <w:vertAlign w:val="subscript"/>
        </w:rPr>
        <w:t>2</w:t>
      </w:r>
      <w:r>
        <w:rPr>
          <w:sz w:val="24"/>
          <w:highlight w:val="none"/>
        </w:rPr>
        <w:t>平均浓度</w:t>
      </w:r>
      <w:r>
        <w:rPr>
          <w:rFonts w:hint="eastAsia"/>
          <w:sz w:val="24"/>
          <w:highlight w:val="none"/>
          <w:lang w:val="en-US" w:eastAsia="zh-CN"/>
        </w:rPr>
        <w:t>32</w:t>
      </w:r>
      <w:r>
        <w:rPr>
          <w:sz w:val="24"/>
          <w:highlight w:val="none"/>
        </w:rPr>
        <w:t>μg/m</w:t>
      </w:r>
      <w:r>
        <w:rPr>
          <w:sz w:val="24"/>
          <w:highlight w:val="none"/>
          <w:vertAlign w:val="superscript"/>
        </w:rPr>
        <w:t>3</w:t>
      </w:r>
      <w:r>
        <w:rPr>
          <w:sz w:val="24"/>
          <w:highlight w:val="none"/>
        </w:rPr>
        <w:t>，PM</w:t>
      </w:r>
      <w:r>
        <w:rPr>
          <w:sz w:val="24"/>
          <w:highlight w:val="none"/>
          <w:vertAlign w:val="subscript"/>
        </w:rPr>
        <w:t>10</w:t>
      </w:r>
      <w:r>
        <w:rPr>
          <w:sz w:val="24"/>
          <w:highlight w:val="none"/>
        </w:rPr>
        <w:t>平均浓度</w:t>
      </w:r>
      <w:r>
        <w:rPr>
          <w:rFonts w:hint="eastAsia"/>
          <w:sz w:val="24"/>
          <w:highlight w:val="none"/>
          <w:lang w:val="en-US" w:eastAsia="zh-CN"/>
        </w:rPr>
        <w:t>65</w:t>
      </w:r>
      <w:r>
        <w:rPr>
          <w:sz w:val="24"/>
          <w:highlight w:val="none"/>
        </w:rPr>
        <w:t>μg/m</w:t>
      </w:r>
      <w:r>
        <w:rPr>
          <w:sz w:val="24"/>
          <w:highlight w:val="none"/>
          <w:vertAlign w:val="superscript"/>
        </w:rPr>
        <w:t>3</w:t>
      </w:r>
      <w:r>
        <w:rPr>
          <w:sz w:val="24"/>
          <w:highlight w:val="none"/>
        </w:rPr>
        <w:t>，细颗粒物（PM</w:t>
      </w:r>
      <w:r>
        <w:rPr>
          <w:sz w:val="24"/>
          <w:highlight w:val="none"/>
          <w:vertAlign w:val="subscript"/>
        </w:rPr>
        <w:t>2.5</w:t>
      </w:r>
      <w:r>
        <w:rPr>
          <w:sz w:val="24"/>
          <w:highlight w:val="none"/>
        </w:rPr>
        <w:t>）平均浓度</w:t>
      </w:r>
      <w:r>
        <w:rPr>
          <w:rFonts w:hint="eastAsia"/>
          <w:sz w:val="24"/>
          <w:highlight w:val="none"/>
          <w:lang w:val="en-US" w:eastAsia="zh-CN"/>
        </w:rPr>
        <w:t>29</w:t>
      </w:r>
      <w:r>
        <w:rPr>
          <w:sz w:val="24"/>
          <w:highlight w:val="none"/>
        </w:rPr>
        <w:t>μg/m</w:t>
      </w:r>
      <w:r>
        <w:rPr>
          <w:sz w:val="24"/>
          <w:highlight w:val="none"/>
          <w:vertAlign w:val="superscript"/>
        </w:rPr>
        <w:t>3</w:t>
      </w:r>
      <w:r>
        <w:rPr>
          <w:sz w:val="24"/>
          <w:highlight w:val="none"/>
        </w:rPr>
        <w:t>，具体情况见下表。</w:t>
      </w:r>
    </w:p>
    <w:p>
      <w:pPr>
        <w:spacing w:line="480" w:lineRule="exact"/>
        <w:jc w:val="center"/>
        <w:rPr>
          <w:sz w:val="24"/>
          <w:highlight w:val="none"/>
        </w:rPr>
      </w:pPr>
      <w:r>
        <w:rPr>
          <w:b/>
          <w:bCs/>
          <w:sz w:val="24"/>
          <w:highlight w:val="none"/>
        </w:rPr>
        <w:t>表</w:t>
      </w:r>
      <w:r>
        <w:rPr>
          <w:rFonts w:hint="eastAsia"/>
          <w:b/>
          <w:bCs/>
          <w:sz w:val="24"/>
          <w:highlight w:val="none"/>
        </w:rPr>
        <w:t>4.3-</w:t>
      </w:r>
      <w:r>
        <w:rPr>
          <w:rFonts w:hint="eastAsia"/>
          <w:b/>
          <w:bCs/>
          <w:sz w:val="24"/>
          <w:highlight w:val="none"/>
          <w:lang w:val="en-US" w:eastAsia="zh-CN"/>
        </w:rPr>
        <w:t>2</w:t>
      </w:r>
      <w:r>
        <w:rPr>
          <w:b/>
          <w:bCs/>
          <w:sz w:val="24"/>
          <w:highlight w:val="none"/>
        </w:rPr>
        <w:t xml:space="preserve">  基本污染物环境质量现状</w:t>
      </w:r>
      <w:r>
        <w:rPr>
          <w:sz w:val="24"/>
          <w:highlight w:val="none"/>
        </w:rPr>
        <w:t>（单位：µg/m</w:t>
      </w:r>
      <w:r>
        <w:rPr>
          <w:sz w:val="24"/>
          <w:highlight w:val="none"/>
          <w:vertAlign w:val="superscript"/>
        </w:rPr>
        <w:t>3</w:t>
      </w:r>
      <w:r>
        <w:rPr>
          <w:sz w:val="24"/>
          <w:highlight w:val="none"/>
        </w:rPr>
        <w:t>）</w:t>
      </w:r>
    </w:p>
    <w:tbl>
      <w:tblPr>
        <w:tblStyle w:val="51"/>
        <w:tblW w:w="7933"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465"/>
        <w:gridCol w:w="899"/>
        <w:gridCol w:w="904"/>
        <w:gridCol w:w="945"/>
        <w:gridCol w:w="942"/>
        <w:gridCol w:w="697"/>
        <w:gridCol w:w="908"/>
        <w:gridCol w:w="117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1465" w:type="dxa"/>
            <w:tcBorders>
              <w:top w:val="single" w:color="auto" w:sz="4" w:space="0"/>
              <w:left w:val="single" w:color="auto" w:sz="4" w:space="0"/>
              <w:bottom w:val="single" w:color="auto" w:sz="6" w:space="0"/>
              <w:right w:val="single" w:color="auto" w:sz="6" w:space="0"/>
            </w:tcBorders>
            <w:vAlign w:val="center"/>
          </w:tcPr>
          <w:p>
            <w:pPr>
              <w:snapToGrid w:val="0"/>
              <w:spacing w:line="300" w:lineRule="exact"/>
              <w:jc w:val="center"/>
              <w:rPr>
                <w:szCs w:val="21"/>
                <w:highlight w:val="none"/>
              </w:rPr>
            </w:pPr>
            <w:r>
              <w:rPr>
                <w:szCs w:val="21"/>
                <w:highlight w:val="none"/>
              </w:rPr>
              <w:t>项目</w:t>
            </w:r>
          </w:p>
        </w:tc>
        <w:tc>
          <w:tcPr>
            <w:tcW w:w="899" w:type="dxa"/>
            <w:tcBorders>
              <w:top w:val="single" w:color="auto" w:sz="4" w:space="0"/>
              <w:left w:val="single" w:color="auto" w:sz="6" w:space="0"/>
              <w:bottom w:val="single" w:color="auto" w:sz="6" w:space="0"/>
              <w:right w:val="single" w:color="auto" w:sz="6" w:space="0"/>
            </w:tcBorders>
            <w:vAlign w:val="center"/>
          </w:tcPr>
          <w:p>
            <w:pPr>
              <w:snapToGrid w:val="0"/>
              <w:spacing w:line="300" w:lineRule="exact"/>
              <w:jc w:val="center"/>
              <w:rPr>
                <w:szCs w:val="21"/>
                <w:highlight w:val="none"/>
              </w:rPr>
            </w:pPr>
            <w:r>
              <w:rPr>
                <w:szCs w:val="21"/>
                <w:highlight w:val="none"/>
              </w:rPr>
              <w:t>PM</w:t>
            </w:r>
            <w:r>
              <w:rPr>
                <w:szCs w:val="21"/>
                <w:highlight w:val="none"/>
                <w:vertAlign w:val="subscript"/>
              </w:rPr>
              <w:t>2.5</w:t>
            </w:r>
          </w:p>
        </w:tc>
        <w:tc>
          <w:tcPr>
            <w:tcW w:w="904" w:type="dxa"/>
            <w:tcBorders>
              <w:top w:val="single" w:color="auto" w:sz="4" w:space="0"/>
              <w:left w:val="single" w:color="auto" w:sz="6" w:space="0"/>
              <w:bottom w:val="single" w:color="auto" w:sz="6" w:space="0"/>
              <w:right w:val="single" w:color="auto" w:sz="6" w:space="0"/>
            </w:tcBorders>
            <w:vAlign w:val="center"/>
          </w:tcPr>
          <w:p>
            <w:pPr>
              <w:snapToGrid w:val="0"/>
              <w:spacing w:line="300" w:lineRule="exact"/>
              <w:jc w:val="center"/>
              <w:rPr>
                <w:szCs w:val="21"/>
                <w:highlight w:val="none"/>
              </w:rPr>
            </w:pPr>
            <w:r>
              <w:rPr>
                <w:szCs w:val="21"/>
                <w:highlight w:val="none"/>
              </w:rPr>
              <w:t>PM</w:t>
            </w:r>
            <w:r>
              <w:rPr>
                <w:szCs w:val="21"/>
                <w:highlight w:val="none"/>
                <w:vertAlign w:val="subscript"/>
              </w:rPr>
              <w:t>10</w:t>
            </w:r>
          </w:p>
        </w:tc>
        <w:tc>
          <w:tcPr>
            <w:tcW w:w="945" w:type="dxa"/>
            <w:tcBorders>
              <w:top w:val="single" w:color="auto" w:sz="4" w:space="0"/>
              <w:left w:val="single" w:color="auto" w:sz="6" w:space="0"/>
              <w:bottom w:val="single" w:color="auto" w:sz="6" w:space="0"/>
              <w:right w:val="single" w:color="auto" w:sz="6" w:space="0"/>
            </w:tcBorders>
            <w:vAlign w:val="center"/>
          </w:tcPr>
          <w:p>
            <w:pPr>
              <w:snapToGrid w:val="0"/>
              <w:spacing w:line="300" w:lineRule="exact"/>
              <w:jc w:val="center"/>
              <w:rPr>
                <w:szCs w:val="21"/>
                <w:highlight w:val="none"/>
              </w:rPr>
            </w:pPr>
            <w:r>
              <w:rPr>
                <w:szCs w:val="21"/>
                <w:highlight w:val="none"/>
              </w:rPr>
              <w:t>SO</w:t>
            </w:r>
            <w:r>
              <w:rPr>
                <w:szCs w:val="21"/>
                <w:highlight w:val="none"/>
                <w:vertAlign w:val="subscript"/>
              </w:rPr>
              <w:t>2</w:t>
            </w:r>
          </w:p>
        </w:tc>
        <w:tc>
          <w:tcPr>
            <w:tcW w:w="942" w:type="dxa"/>
            <w:tcBorders>
              <w:top w:val="single" w:color="auto" w:sz="4" w:space="0"/>
              <w:left w:val="single" w:color="auto" w:sz="6" w:space="0"/>
              <w:bottom w:val="single" w:color="auto" w:sz="6" w:space="0"/>
              <w:right w:val="single" w:color="auto" w:sz="6" w:space="0"/>
            </w:tcBorders>
            <w:vAlign w:val="center"/>
          </w:tcPr>
          <w:p>
            <w:pPr>
              <w:snapToGrid w:val="0"/>
              <w:spacing w:line="300" w:lineRule="exact"/>
              <w:jc w:val="center"/>
              <w:rPr>
                <w:szCs w:val="21"/>
                <w:highlight w:val="none"/>
              </w:rPr>
            </w:pPr>
            <w:r>
              <w:rPr>
                <w:szCs w:val="21"/>
                <w:highlight w:val="none"/>
              </w:rPr>
              <w:t>NO</w:t>
            </w:r>
            <w:r>
              <w:rPr>
                <w:szCs w:val="21"/>
                <w:highlight w:val="none"/>
                <w:vertAlign w:val="subscript"/>
              </w:rPr>
              <w:t>2</w:t>
            </w:r>
          </w:p>
        </w:tc>
        <w:tc>
          <w:tcPr>
            <w:tcW w:w="697" w:type="dxa"/>
            <w:tcBorders>
              <w:top w:val="single" w:color="auto" w:sz="4" w:space="0"/>
              <w:left w:val="single" w:color="auto" w:sz="6" w:space="0"/>
              <w:bottom w:val="single" w:color="auto" w:sz="6" w:space="0"/>
              <w:right w:val="single" w:color="auto" w:sz="4" w:space="0"/>
            </w:tcBorders>
            <w:vAlign w:val="center"/>
          </w:tcPr>
          <w:p>
            <w:pPr>
              <w:snapToGrid w:val="0"/>
              <w:spacing w:line="300" w:lineRule="exact"/>
              <w:jc w:val="center"/>
              <w:rPr>
                <w:szCs w:val="21"/>
                <w:highlight w:val="none"/>
              </w:rPr>
            </w:pPr>
            <w:r>
              <w:rPr>
                <w:szCs w:val="21"/>
                <w:highlight w:val="none"/>
              </w:rPr>
              <w:t>CO</w:t>
            </w:r>
          </w:p>
        </w:tc>
        <w:tc>
          <w:tcPr>
            <w:tcW w:w="908" w:type="dxa"/>
            <w:tcBorders>
              <w:top w:val="single" w:color="auto" w:sz="4" w:space="0"/>
              <w:left w:val="single" w:color="auto" w:sz="6" w:space="0"/>
              <w:bottom w:val="single" w:color="auto" w:sz="6" w:space="0"/>
              <w:right w:val="single" w:color="auto" w:sz="4" w:space="0"/>
            </w:tcBorders>
            <w:vAlign w:val="center"/>
          </w:tcPr>
          <w:p>
            <w:pPr>
              <w:snapToGrid w:val="0"/>
              <w:spacing w:line="300" w:lineRule="exact"/>
              <w:jc w:val="center"/>
              <w:rPr>
                <w:szCs w:val="21"/>
                <w:highlight w:val="none"/>
              </w:rPr>
            </w:pPr>
            <w:r>
              <w:rPr>
                <w:szCs w:val="21"/>
                <w:highlight w:val="none"/>
              </w:rPr>
              <w:t>O</w:t>
            </w:r>
            <w:r>
              <w:rPr>
                <w:szCs w:val="21"/>
                <w:highlight w:val="none"/>
                <w:vertAlign w:val="subscript"/>
              </w:rPr>
              <w:t>3-sh</w:t>
            </w:r>
          </w:p>
        </w:tc>
        <w:tc>
          <w:tcPr>
            <w:tcW w:w="1173" w:type="dxa"/>
            <w:tcBorders>
              <w:top w:val="single" w:color="auto" w:sz="4" w:space="0"/>
              <w:left w:val="single" w:color="auto" w:sz="6" w:space="0"/>
              <w:bottom w:val="single" w:color="auto" w:sz="6" w:space="0"/>
              <w:right w:val="single" w:color="auto" w:sz="4" w:space="0"/>
            </w:tcBorders>
            <w:vAlign w:val="center"/>
          </w:tcPr>
          <w:p>
            <w:pPr>
              <w:snapToGrid w:val="0"/>
              <w:spacing w:line="300" w:lineRule="exact"/>
              <w:jc w:val="center"/>
              <w:rPr>
                <w:szCs w:val="21"/>
                <w:highlight w:val="none"/>
              </w:rPr>
            </w:pPr>
            <w:r>
              <w:rPr>
                <w:szCs w:val="21"/>
                <w:highlight w:val="none"/>
              </w:rPr>
              <w:t>综合指数</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1465" w:type="dxa"/>
            <w:tcBorders>
              <w:top w:val="single" w:color="auto" w:sz="4" w:space="0"/>
              <w:left w:val="single" w:color="auto" w:sz="4" w:space="0"/>
              <w:bottom w:val="single" w:color="auto" w:sz="6" w:space="0"/>
              <w:right w:val="single" w:color="auto" w:sz="6" w:space="0"/>
            </w:tcBorders>
            <w:vAlign w:val="center"/>
          </w:tcPr>
          <w:p>
            <w:pPr>
              <w:pStyle w:val="431"/>
              <w:spacing w:line="300" w:lineRule="exact"/>
              <w:ind w:firstLine="0" w:firstLineChars="0"/>
              <w:jc w:val="center"/>
              <w:rPr>
                <w:rFonts w:ascii="Times New Roman" w:hAnsi="Times New Roman"/>
                <w:sz w:val="21"/>
                <w:szCs w:val="21"/>
                <w:highlight w:val="none"/>
              </w:rPr>
            </w:pPr>
            <w:r>
              <w:rPr>
                <w:rFonts w:ascii="Times New Roman" w:hAnsi="Times New Roman"/>
                <w:sz w:val="21"/>
                <w:szCs w:val="21"/>
                <w:highlight w:val="none"/>
              </w:rPr>
              <w:t>年均浓度</w:t>
            </w:r>
          </w:p>
        </w:tc>
        <w:tc>
          <w:tcPr>
            <w:tcW w:w="899" w:type="dxa"/>
            <w:tcBorders>
              <w:top w:val="single" w:color="auto" w:sz="4" w:space="0"/>
              <w:left w:val="single" w:color="auto" w:sz="6" w:space="0"/>
              <w:bottom w:val="single" w:color="auto" w:sz="6" w:space="0"/>
              <w:right w:val="single" w:color="auto" w:sz="6" w:space="0"/>
            </w:tcBorders>
            <w:vAlign w:val="center"/>
          </w:tcPr>
          <w:p>
            <w:pPr>
              <w:snapToGrid w:val="0"/>
              <w:spacing w:line="300" w:lineRule="exact"/>
              <w:jc w:val="center"/>
              <w:rPr>
                <w:rFonts w:hint="default" w:eastAsia="宋体"/>
                <w:szCs w:val="21"/>
                <w:highlight w:val="none"/>
                <w:lang w:val="en-US" w:eastAsia="zh-CN"/>
              </w:rPr>
            </w:pPr>
            <w:r>
              <w:rPr>
                <w:rFonts w:hint="eastAsia"/>
                <w:szCs w:val="21"/>
                <w:highlight w:val="none"/>
                <w:lang w:val="en-US" w:eastAsia="zh-CN"/>
              </w:rPr>
              <w:t>29</w:t>
            </w:r>
          </w:p>
        </w:tc>
        <w:tc>
          <w:tcPr>
            <w:tcW w:w="904" w:type="dxa"/>
            <w:tcBorders>
              <w:top w:val="single" w:color="auto" w:sz="4" w:space="0"/>
              <w:left w:val="single" w:color="auto" w:sz="6" w:space="0"/>
              <w:bottom w:val="single" w:color="auto" w:sz="6" w:space="0"/>
              <w:right w:val="single" w:color="auto" w:sz="6" w:space="0"/>
            </w:tcBorders>
            <w:vAlign w:val="center"/>
          </w:tcPr>
          <w:p>
            <w:pPr>
              <w:snapToGrid w:val="0"/>
              <w:spacing w:line="300" w:lineRule="exact"/>
              <w:jc w:val="center"/>
              <w:rPr>
                <w:rFonts w:hint="default" w:eastAsia="宋体"/>
                <w:szCs w:val="21"/>
                <w:highlight w:val="none"/>
                <w:lang w:val="en-US" w:eastAsia="zh-CN"/>
              </w:rPr>
            </w:pPr>
            <w:r>
              <w:rPr>
                <w:rFonts w:hint="eastAsia"/>
                <w:szCs w:val="21"/>
                <w:highlight w:val="none"/>
                <w:lang w:val="en-US" w:eastAsia="zh-CN"/>
              </w:rPr>
              <w:t>65</w:t>
            </w:r>
          </w:p>
        </w:tc>
        <w:tc>
          <w:tcPr>
            <w:tcW w:w="945" w:type="dxa"/>
            <w:tcBorders>
              <w:top w:val="single" w:color="auto" w:sz="4" w:space="0"/>
              <w:left w:val="single" w:color="auto" w:sz="6" w:space="0"/>
              <w:bottom w:val="single" w:color="auto" w:sz="6" w:space="0"/>
              <w:right w:val="single" w:color="auto" w:sz="6" w:space="0"/>
            </w:tcBorders>
            <w:vAlign w:val="center"/>
          </w:tcPr>
          <w:p>
            <w:pPr>
              <w:snapToGrid w:val="0"/>
              <w:spacing w:line="300" w:lineRule="exact"/>
              <w:jc w:val="center"/>
              <w:rPr>
                <w:rFonts w:hint="default" w:eastAsia="宋体"/>
                <w:szCs w:val="21"/>
                <w:highlight w:val="none"/>
                <w:lang w:val="en-US" w:eastAsia="zh-CN"/>
              </w:rPr>
            </w:pPr>
            <w:r>
              <w:rPr>
                <w:rFonts w:hint="eastAsia"/>
                <w:szCs w:val="21"/>
                <w:highlight w:val="none"/>
                <w:lang w:val="en-US" w:eastAsia="zh-CN"/>
              </w:rPr>
              <w:t>10</w:t>
            </w:r>
          </w:p>
        </w:tc>
        <w:tc>
          <w:tcPr>
            <w:tcW w:w="942" w:type="dxa"/>
            <w:tcBorders>
              <w:top w:val="single" w:color="auto" w:sz="4" w:space="0"/>
              <w:left w:val="single" w:color="auto" w:sz="6" w:space="0"/>
              <w:bottom w:val="single" w:color="auto" w:sz="6" w:space="0"/>
              <w:right w:val="single" w:color="auto" w:sz="6" w:space="0"/>
            </w:tcBorders>
            <w:vAlign w:val="center"/>
          </w:tcPr>
          <w:p>
            <w:pPr>
              <w:snapToGrid w:val="0"/>
              <w:spacing w:line="300" w:lineRule="exact"/>
              <w:jc w:val="center"/>
              <w:rPr>
                <w:rFonts w:hint="default" w:eastAsia="宋体"/>
                <w:szCs w:val="21"/>
                <w:highlight w:val="none"/>
                <w:lang w:val="en-US" w:eastAsia="zh-CN"/>
              </w:rPr>
            </w:pPr>
            <w:r>
              <w:rPr>
                <w:rFonts w:hint="eastAsia"/>
                <w:szCs w:val="21"/>
                <w:highlight w:val="none"/>
                <w:lang w:val="en-US" w:eastAsia="zh-CN"/>
              </w:rPr>
              <w:t>32</w:t>
            </w:r>
          </w:p>
        </w:tc>
        <w:tc>
          <w:tcPr>
            <w:tcW w:w="697" w:type="dxa"/>
            <w:tcBorders>
              <w:top w:val="single" w:color="auto" w:sz="4" w:space="0"/>
              <w:left w:val="single" w:color="auto" w:sz="6" w:space="0"/>
              <w:bottom w:val="single" w:color="auto" w:sz="6" w:space="0"/>
              <w:right w:val="single" w:color="auto" w:sz="4" w:space="0"/>
            </w:tcBorders>
            <w:vAlign w:val="center"/>
          </w:tcPr>
          <w:p>
            <w:pPr>
              <w:snapToGrid w:val="0"/>
              <w:spacing w:line="300" w:lineRule="exact"/>
              <w:jc w:val="center"/>
              <w:rPr>
                <w:rFonts w:hint="default" w:eastAsia="宋体"/>
                <w:szCs w:val="21"/>
                <w:highlight w:val="none"/>
                <w:lang w:val="en-US" w:eastAsia="zh-CN"/>
              </w:rPr>
            </w:pPr>
            <w:r>
              <w:rPr>
                <w:rFonts w:hint="eastAsia"/>
                <w:szCs w:val="21"/>
                <w:highlight w:val="none"/>
                <w:lang w:val="en-US" w:eastAsia="zh-CN"/>
              </w:rPr>
              <w:t>1.6</w:t>
            </w:r>
          </w:p>
        </w:tc>
        <w:tc>
          <w:tcPr>
            <w:tcW w:w="908" w:type="dxa"/>
            <w:tcBorders>
              <w:top w:val="single" w:color="auto" w:sz="4" w:space="0"/>
              <w:left w:val="single" w:color="auto" w:sz="6" w:space="0"/>
              <w:bottom w:val="single" w:color="auto" w:sz="6" w:space="0"/>
              <w:right w:val="single" w:color="auto" w:sz="4" w:space="0"/>
            </w:tcBorders>
            <w:vAlign w:val="center"/>
          </w:tcPr>
          <w:p>
            <w:pPr>
              <w:snapToGrid w:val="0"/>
              <w:spacing w:line="300" w:lineRule="exact"/>
              <w:jc w:val="center"/>
              <w:rPr>
                <w:rFonts w:hint="default" w:eastAsia="宋体"/>
                <w:szCs w:val="21"/>
                <w:highlight w:val="none"/>
                <w:lang w:val="en-US" w:eastAsia="zh-CN"/>
              </w:rPr>
            </w:pPr>
            <w:r>
              <w:rPr>
                <w:rFonts w:hint="eastAsia"/>
                <w:szCs w:val="21"/>
                <w:highlight w:val="none"/>
                <w:lang w:val="en-US" w:eastAsia="zh-CN"/>
              </w:rPr>
              <w:t>179</w:t>
            </w:r>
          </w:p>
        </w:tc>
        <w:tc>
          <w:tcPr>
            <w:tcW w:w="1173" w:type="dxa"/>
            <w:tcBorders>
              <w:top w:val="single" w:color="auto" w:sz="4" w:space="0"/>
              <w:left w:val="single" w:color="auto" w:sz="6" w:space="0"/>
              <w:bottom w:val="single" w:color="auto" w:sz="6" w:space="0"/>
              <w:right w:val="single" w:color="auto" w:sz="4" w:space="0"/>
            </w:tcBorders>
            <w:vAlign w:val="center"/>
          </w:tcPr>
          <w:p>
            <w:pPr>
              <w:snapToGrid w:val="0"/>
              <w:spacing w:line="300" w:lineRule="exact"/>
              <w:jc w:val="center"/>
              <w:rPr>
                <w:rFonts w:hint="eastAsia" w:eastAsia="宋体"/>
                <w:szCs w:val="21"/>
                <w:highlight w:val="none"/>
                <w:lang w:eastAsia="zh-CN"/>
              </w:rPr>
            </w:pPr>
            <w:r>
              <w:rPr>
                <w:rFonts w:hint="eastAsia"/>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1465" w:type="dxa"/>
            <w:tcBorders>
              <w:top w:val="single" w:color="auto" w:sz="4" w:space="0"/>
              <w:left w:val="single" w:color="auto" w:sz="4" w:space="0"/>
              <w:bottom w:val="single" w:color="auto" w:sz="6" w:space="0"/>
              <w:right w:val="single" w:color="auto" w:sz="6" w:space="0"/>
            </w:tcBorders>
            <w:vAlign w:val="center"/>
          </w:tcPr>
          <w:p>
            <w:pPr>
              <w:snapToGrid w:val="0"/>
              <w:spacing w:line="300" w:lineRule="exact"/>
              <w:jc w:val="center"/>
              <w:rPr>
                <w:szCs w:val="21"/>
                <w:highlight w:val="none"/>
              </w:rPr>
            </w:pPr>
            <w:r>
              <w:rPr>
                <w:szCs w:val="21"/>
                <w:highlight w:val="none"/>
              </w:rPr>
              <w:t>标准值</w:t>
            </w:r>
          </w:p>
        </w:tc>
        <w:tc>
          <w:tcPr>
            <w:tcW w:w="899" w:type="dxa"/>
            <w:tcBorders>
              <w:top w:val="single" w:color="auto" w:sz="4" w:space="0"/>
              <w:left w:val="single" w:color="auto" w:sz="6" w:space="0"/>
              <w:bottom w:val="single" w:color="auto" w:sz="6" w:space="0"/>
              <w:right w:val="single" w:color="auto" w:sz="6" w:space="0"/>
            </w:tcBorders>
            <w:vAlign w:val="center"/>
          </w:tcPr>
          <w:p>
            <w:pPr>
              <w:snapToGrid w:val="0"/>
              <w:spacing w:line="300" w:lineRule="exact"/>
              <w:jc w:val="center"/>
              <w:rPr>
                <w:szCs w:val="21"/>
                <w:highlight w:val="none"/>
              </w:rPr>
            </w:pPr>
            <w:r>
              <w:rPr>
                <w:szCs w:val="21"/>
                <w:highlight w:val="none"/>
              </w:rPr>
              <w:t>35</w:t>
            </w:r>
          </w:p>
        </w:tc>
        <w:tc>
          <w:tcPr>
            <w:tcW w:w="904" w:type="dxa"/>
            <w:tcBorders>
              <w:top w:val="single" w:color="auto" w:sz="4" w:space="0"/>
              <w:left w:val="single" w:color="auto" w:sz="6" w:space="0"/>
              <w:bottom w:val="single" w:color="auto" w:sz="6" w:space="0"/>
              <w:right w:val="single" w:color="auto" w:sz="6" w:space="0"/>
            </w:tcBorders>
            <w:vAlign w:val="center"/>
          </w:tcPr>
          <w:p>
            <w:pPr>
              <w:snapToGrid w:val="0"/>
              <w:spacing w:line="300" w:lineRule="exact"/>
              <w:jc w:val="center"/>
              <w:rPr>
                <w:szCs w:val="21"/>
                <w:highlight w:val="none"/>
              </w:rPr>
            </w:pPr>
            <w:r>
              <w:rPr>
                <w:szCs w:val="21"/>
                <w:highlight w:val="none"/>
              </w:rPr>
              <w:t>70</w:t>
            </w:r>
          </w:p>
        </w:tc>
        <w:tc>
          <w:tcPr>
            <w:tcW w:w="945" w:type="dxa"/>
            <w:tcBorders>
              <w:top w:val="single" w:color="auto" w:sz="4" w:space="0"/>
              <w:left w:val="single" w:color="auto" w:sz="6" w:space="0"/>
              <w:bottom w:val="single" w:color="auto" w:sz="6" w:space="0"/>
              <w:right w:val="single" w:color="auto" w:sz="6" w:space="0"/>
            </w:tcBorders>
            <w:vAlign w:val="center"/>
          </w:tcPr>
          <w:p>
            <w:pPr>
              <w:snapToGrid w:val="0"/>
              <w:spacing w:line="300" w:lineRule="exact"/>
              <w:jc w:val="center"/>
              <w:rPr>
                <w:szCs w:val="21"/>
                <w:highlight w:val="none"/>
              </w:rPr>
            </w:pPr>
            <w:r>
              <w:rPr>
                <w:szCs w:val="21"/>
                <w:highlight w:val="none"/>
              </w:rPr>
              <w:t>60</w:t>
            </w:r>
          </w:p>
        </w:tc>
        <w:tc>
          <w:tcPr>
            <w:tcW w:w="942" w:type="dxa"/>
            <w:tcBorders>
              <w:top w:val="single" w:color="auto" w:sz="4" w:space="0"/>
              <w:left w:val="single" w:color="auto" w:sz="6" w:space="0"/>
              <w:bottom w:val="single" w:color="auto" w:sz="6" w:space="0"/>
              <w:right w:val="single" w:color="auto" w:sz="6" w:space="0"/>
            </w:tcBorders>
            <w:vAlign w:val="center"/>
          </w:tcPr>
          <w:p>
            <w:pPr>
              <w:snapToGrid w:val="0"/>
              <w:spacing w:line="300" w:lineRule="exact"/>
              <w:jc w:val="center"/>
              <w:rPr>
                <w:szCs w:val="21"/>
                <w:highlight w:val="none"/>
              </w:rPr>
            </w:pPr>
            <w:r>
              <w:rPr>
                <w:szCs w:val="21"/>
                <w:highlight w:val="none"/>
              </w:rPr>
              <w:t>40</w:t>
            </w:r>
          </w:p>
        </w:tc>
        <w:tc>
          <w:tcPr>
            <w:tcW w:w="697" w:type="dxa"/>
            <w:tcBorders>
              <w:top w:val="single" w:color="auto" w:sz="4" w:space="0"/>
              <w:left w:val="single" w:color="auto" w:sz="6" w:space="0"/>
              <w:bottom w:val="single" w:color="auto" w:sz="6" w:space="0"/>
              <w:right w:val="single" w:color="auto" w:sz="4" w:space="0"/>
            </w:tcBorders>
            <w:vAlign w:val="center"/>
          </w:tcPr>
          <w:p>
            <w:pPr>
              <w:snapToGrid w:val="0"/>
              <w:spacing w:line="300" w:lineRule="exact"/>
              <w:jc w:val="center"/>
              <w:rPr>
                <w:szCs w:val="21"/>
                <w:highlight w:val="none"/>
              </w:rPr>
            </w:pPr>
            <w:r>
              <w:rPr>
                <w:szCs w:val="21"/>
                <w:highlight w:val="none"/>
              </w:rPr>
              <w:t>4000</w:t>
            </w:r>
          </w:p>
        </w:tc>
        <w:tc>
          <w:tcPr>
            <w:tcW w:w="908" w:type="dxa"/>
            <w:tcBorders>
              <w:top w:val="single" w:color="auto" w:sz="4" w:space="0"/>
              <w:left w:val="single" w:color="auto" w:sz="6" w:space="0"/>
              <w:bottom w:val="single" w:color="auto" w:sz="6" w:space="0"/>
              <w:right w:val="single" w:color="auto" w:sz="4" w:space="0"/>
            </w:tcBorders>
            <w:vAlign w:val="center"/>
          </w:tcPr>
          <w:p>
            <w:pPr>
              <w:snapToGrid w:val="0"/>
              <w:spacing w:line="300" w:lineRule="exact"/>
              <w:jc w:val="center"/>
              <w:rPr>
                <w:szCs w:val="21"/>
                <w:highlight w:val="none"/>
              </w:rPr>
            </w:pPr>
            <w:r>
              <w:rPr>
                <w:szCs w:val="21"/>
                <w:highlight w:val="none"/>
              </w:rPr>
              <w:t>160</w:t>
            </w:r>
          </w:p>
        </w:tc>
        <w:tc>
          <w:tcPr>
            <w:tcW w:w="1173" w:type="dxa"/>
            <w:tcBorders>
              <w:top w:val="single" w:color="auto" w:sz="4" w:space="0"/>
              <w:left w:val="single" w:color="auto" w:sz="6" w:space="0"/>
              <w:bottom w:val="single" w:color="auto" w:sz="6" w:space="0"/>
              <w:right w:val="single" w:color="auto" w:sz="4" w:space="0"/>
            </w:tcBorders>
            <w:vAlign w:val="center"/>
          </w:tcPr>
          <w:p>
            <w:pPr>
              <w:snapToGrid w:val="0"/>
              <w:spacing w:line="300" w:lineRule="exact"/>
              <w:jc w:val="center"/>
              <w:rPr>
                <w:szCs w:val="21"/>
                <w:highlight w:val="none"/>
              </w:rPr>
            </w:pPr>
            <w:r>
              <w:rPr>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1465" w:type="dxa"/>
            <w:tcBorders>
              <w:top w:val="single" w:color="auto" w:sz="4" w:space="0"/>
              <w:left w:val="single" w:color="auto" w:sz="4" w:space="0"/>
              <w:bottom w:val="single" w:color="auto" w:sz="6" w:space="0"/>
              <w:right w:val="single" w:color="auto" w:sz="6" w:space="0"/>
            </w:tcBorders>
            <w:vAlign w:val="center"/>
          </w:tcPr>
          <w:p>
            <w:pPr>
              <w:snapToGrid w:val="0"/>
              <w:spacing w:line="300" w:lineRule="exact"/>
              <w:jc w:val="center"/>
              <w:rPr>
                <w:szCs w:val="21"/>
                <w:highlight w:val="none"/>
              </w:rPr>
            </w:pPr>
            <w:r>
              <w:rPr>
                <w:szCs w:val="21"/>
                <w:highlight w:val="none"/>
              </w:rPr>
              <w:t>达标情况</w:t>
            </w:r>
          </w:p>
        </w:tc>
        <w:tc>
          <w:tcPr>
            <w:tcW w:w="899" w:type="dxa"/>
            <w:tcBorders>
              <w:top w:val="single" w:color="auto" w:sz="4" w:space="0"/>
              <w:left w:val="single" w:color="auto" w:sz="6" w:space="0"/>
              <w:bottom w:val="single" w:color="auto" w:sz="6" w:space="0"/>
              <w:right w:val="single" w:color="auto" w:sz="6" w:space="0"/>
            </w:tcBorders>
            <w:vAlign w:val="center"/>
          </w:tcPr>
          <w:p>
            <w:pPr>
              <w:snapToGrid w:val="0"/>
              <w:spacing w:line="300" w:lineRule="exact"/>
              <w:jc w:val="center"/>
              <w:rPr>
                <w:szCs w:val="21"/>
                <w:highlight w:val="none"/>
              </w:rPr>
            </w:pPr>
            <w:r>
              <w:rPr>
                <w:szCs w:val="21"/>
                <w:highlight w:val="none"/>
              </w:rPr>
              <w:t>达标</w:t>
            </w:r>
          </w:p>
        </w:tc>
        <w:tc>
          <w:tcPr>
            <w:tcW w:w="904" w:type="dxa"/>
            <w:tcBorders>
              <w:top w:val="single" w:color="auto" w:sz="4" w:space="0"/>
              <w:left w:val="single" w:color="auto" w:sz="6" w:space="0"/>
              <w:bottom w:val="single" w:color="auto" w:sz="6" w:space="0"/>
              <w:right w:val="single" w:color="auto" w:sz="6" w:space="0"/>
            </w:tcBorders>
            <w:vAlign w:val="center"/>
          </w:tcPr>
          <w:p>
            <w:pPr>
              <w:snapToGrid w:val="0"/>
              <w:spacing w:line="300" w:lineRule="exact"/>
              <w:jc w:val="center"/>
              <w:rPr>
                <w:szCs w:val="21"/>
                <w:highlight w:val="none"/>
              </w:rPr>
            </w:pPr>
            <w:r>
              <w:rPr>
                <w:szCs w:val="21"/>
                <w:highlight w:val="none"/>
              </w:rPr>
              <w:t>达标</w:t>
            </w:r>
          </w:p>
        </w:tc>
        <w:tc>
          <w:tcPr>
            <w:tcW w:w="945" w:type="dxa"/>
            <w:tcBorders>
              <w:top w:val="single" w:color="auto" w:sz="4" w:space="0"/>
              <w:left w:val="single" w:color="auto" w:sz="6" w:space="0"/>
              <w:bottom w:val="single" w:color="auto" w:sz="6" w:space="0"/>
              <w:right w:val="single" w:color="auto" w:sz="6" w:space="0"/>
            </w:tcBorders>
            <w:vAlign w:val="center"/>
          </w:tcPr>
          <w:p>
            <w:pPr>
              <w:snapToGrid w:val="0"/>
              <w:spacing w:line="300" w:lineRule="exact"/>
              <w:jc w:val="center"/>
              <w:rPr>
                <w:szCs w:val="21"/>
                <w:highlight w:val="none"/>
              </w:rPr>
            </w:pPr>
            <w:r>
              <w:rPr>
                <w:szCs w:val="21"/>
                <w:highlight w:val="none"/>
              </w:rPr>
              <w:t>达标</w:t>
            </w:r>
          </w:p>
        </w:tc>
        <w:tc>
          <w:tcPr>
            <w:tcW w:w="942" w:type="dxa"/>
            <w:tcBorders>
              <w:top w:val="single" w:color="auto" w:sz="4" w:space="0"/>
              <w:left w:val="single" w:color="auto" w:sz="6" w:space="0"/>
              <w:bottom w:val="single" w:color="auto" w:sz="6" w:space="0"/>
              <w:right w:val="single" w:color="auto" w:sz="6" w:space="0"/>
            </w:tcBorders>
            <w:vAlign w:val="center"/>
          </w:tcPr>
          <w:p>
            <w:pPr>
              <w:snapToGrid w:val="0"/>
              <w:spacing w:line="300" w:lineRule="exact"/>
              <w:jc w:val="center"/>
              <w:rPr>
                <w:szCs w:val="21"/>
                <w:highlight w:val="none"/>
              </w:rPr>
            </w:pPr>
            <w:r>
              <w:rPr>
                <w:szCs w:val="21"/>
                <w:highlight w:val="none"/>
              </w:rPr>
              <w:t>达标</w:t>
            </w:r>
          </w:p>
        </w:tc>
        <w:tc>
          <w:tcPr>
            <w:tcW w:w="697" w:type="dxa"/>
            <w:tcBorders>
              <w:top w:val="single" w:color="auto" w:sz="4" w:space="0"/>
              <w:left w:val="single" w:color="auto" w:sz="6" w:space="0"/>
              <w:bottom w:val="single" w:color="auto" w:sz="6" w:space="0"/>
              <w:right w:val="single" w:color="auto" w:sz="4" w:space="0"/>
            </w:tcBorders>
            <w:vAlign w:val="center"/>
          </w:tcPr>
          <w:p>
            <w:pPr>
              <w:snapToGrid w:val="0"/>
              <w:spacing w:line="300" w:lineRule="exact"/>
              <w:jc w:val="center"/>
              <w:rPr>
                <w:szCs w:val="21"/>
                <w:highlight w:val="none"/>
              </w:rPr>
            </w:pPr>
            <w:r>
              <w:rPr>
                <w:szCs w:val="21"/>
                <w:highlight w:val="none"/>
              </w:rPr>
              <w:t>达标</w:t>
            </w:r>
          </w:p>
        </w:tc>
        <w:tc>
          <w:tcPr>
            <w:tcW w:w="908" w:type="dxa"/>
            <w:tcBorders>
              <w:top w:val="single" w:color="auto" w:sz="4" w:space="0"/>
              <w:left w:val="single" w:color="auto" w:sz="6" w:space="0"/>
              <w:bottom w:val="single" w:color="auto" w:sz="6" w:space="0"/>
              <w:right w:val="single" w:color="auto" w:sz="4" w:space="0"/>
            </w:tcBorders>
            <w:vAlign w:val="center"/>
          </w:tcPr>
          <w:p>
            <w:pPr>
              <w:snapToGrid w:val="0"/>
              <w:spacing w:line="300" w:lineRule="exact"/>
              <w:jc w:val="center"/>
              <w:rPr>
                <w:szCs w:val="21"/>
                <w:highlight w:val="none"/>
              </w:rPr>
            </w:pPr>
            <w:r>
              <w:rPr>
                <w:rFonts w:hint="eastAsia"/>
                <w:szCs w:val="21"/>
                <w:highlight w:val="none"/>
                <w:lang w:eastAsia="zh-CN"/>
              </w:rPr>
              <w:t>不</w:t>
            </w:r>
            <w:r>
              <w:rPr>
                <w:szCs w:val="21"/>
                <w:highlight w:val="none"/>
              </w:rPr>
              <w:t>达标</w:t>
            </w:r>
          </w:p>
        </w:tc>
        <w:tc>
          <w:tcPr>
            <w:tcW w:w="1173" w:type="dxa"/>
            <w:tcBorders>
              <w:top w:val="single" w:color="auto" w:sz="4" w:space="0"/>
              <w:left w:val="single" w:color="auto" w:sz="6" w:space="0"/>
              <w:bottom w:val="single" w:color="auto" w:sz="6" w:space="0"/>
              <w:right w:val="single" w:color="auto" w:sz="4" w:space="0"/>
            </w:tcBorders>
            <w:vAlign w:val="center"/>
          </w:tcPr>
          <w:p>
            <w:pPr>
              <w:snapToGrid w:val="0"/>
              <w:spacing w:line="300" w:lineRule="exact"/>
              <w:jc w:val="center"/>
              <w:rPr>
                <w:szCs w:val="21"/>
                <w:highlight w:val="none"/>
              </w:rPr>
            </w:pPr>
            <w:r>
              <w:rPr>
                <w:szCs w:val="21"/>
                <w:highlight w:val="none"/>
              </w:rPr>
              <w:t>/</w:t>
            </w:r>
          </w:p>
        </w:tc>
      </w:tr>
    </w:tbl>
    <w:p>
      <w:pPr>
        <w:pStyle w:val="420"/>
        <w:spacing w:line="480" w:lineRule="exact"/>
        <w:ind w:firstLine="480" w:firstLineChars="200"/>
        <w:rPr>
          <w:highlight w:val="none"/>
        </w:rPr>
      </w:pPr>
      <w:r>
        <w:rPr>
          <w:highlight w:val="none"/>
        </w:rPr>
        <w:t>综合上述分析，</w:t>
      </w:r>
      <w:r>
        <w:rPr>
          <w:rFonts w:cs="宋体"/>
          <w:color w:val="auto"/>
          <w:sz w:val="24"/>
          <w:szCs w:val="24"/>
          <w:highlight w:val="none"/>
        </w:rPr>
        <w:t>本项目所在区域</w:t>
      </w:r>
      <w:r>
        <w:rPr>
          <w:rFonts w:hint="eastAsia" w:cs="宋体"/>
          <w:color w:val="auto"/>
          <w:sz w:val="24"/>
          <w:szCs w:val="24"/>
          <w:highlight w:val="none"/>
        </w:rPr>
        <w:t>CO日均浓度值、SO</w:t>
      </w:r>
      <w:r>
        <w:rPr>
          <w:rFonts w:hint="eastAsia" w:cs="宋体"/>
          <w:color w:val="auto"/>
          <w:sz w:val="24"/>
          <w:szCs w:val="24"/>
          <w:highlight w:val="none"/>
          <w:vertAlign w:val="subscript"/>
        </w:rPr>
        <w:t>2</w:t>
      </w:r>
      <w:r>
        <w:rPr>
          <w:rFonts w:hint="eastAsia" w:cs="宋体"/>
          <w:color w:val="auto"/>
          <w:sz w:val="24"/>
          <w:szCs w:val="24"/>
          <w:highlight w:val="none"/>
          <w:vertAlign w:val="baseline"/>
          <w:lang w:eastAsia="zh-CN"/>
        </w:rPr>
        <w:t>、</w:t>
      </w:r>
      <w:r>
        <w:rPr>
          <w:rFonts w:ascii="Times New Roman" w:hAnsi="Times New Roman" w:cs="Times New Roman"/>
          <w:color w:val="auto"/>
          <w:sz w:val="24"/>
          <w:szCs w:val="24"/>
          <w:highlight w:val="none"/>
        </w:rPr>
        <w:t>NO</w:t>
      </w:r>
      <w:r>
        <w:rPr>
          <w:rFonts w:ascii="Times New Roman" w:hAnsi="Times New Roman" w:cs="Times New Roman"/>
          <w:color w:val="auto"/>
          <w:sz w:val="24"/>
          <w:szCs w:val="24"/>
          <w:highlight w:val="none"/>
          <w:vertAlign w:val="subscript"/>
        </w:rPr>
        <w:t>2</w:t>
      </w:r>
      <w:r>
        <w:rPr>
          <w:rFonts w:hint="eastAsia" w:cs="宋体"/>
          <w:color w:val="auto"/>
          <w:sz w:val="24"/>
          <w:szCs w:val="24"/>
          <w:highlight w:val="none"/>
        </w:rPr>
        <w:t>、PM</w:t>
      </w:r>
      <w:r>
        <w:rPr>
          <w:rFonts w:hint="eastAsia" w:cs="宋体"/>
          <w:color w:val="auto"/>
          <w:sz w:val="24"/>
          <w:szCs w:val="24"/>
          <w:highlight w:val="none"/>
          <w:vertAlign w:val="subscript"/>
        </w:rPr>
        <w:t>10</w:t>
      </w:r>
      <w:r>
        <w:rPr>
          <w:rFonts w:hint="eastAsia" w:cs="宋体"/>
          <w:color w:val="auto"/>
          <w:sz w:val="24"/>
          <w:szCs w:val="24"/>
          <w:highlight w:val="none"/>
        </w:rPr>
        <w:t>、PM</w:t>
      </w:r>
      <w:r>
        <w:rPr>
          <w:rFonts w:hint="eastAsia" w:cs="宋体"/>
          <w:color w:val="auto"/>
          <w:sz w:val="24"/>
          <w:szCs w:val="24"/>
          <w:highlight w:val="none"/>
          <w:vertAlign w:val="subscript"/>
        </w:rPr>
        <w:t>2.5</w:t>
      </w:r>
      <w:r>
        <w:rPr>
          <w:rFonts w:hint="eastAsia" w:cs="宋体"/>
          <w:color w:val="auto"/>
          <w:sz w:val="24"/>
          <w:szCs w:val="24"/>
          <w:highlight w:val="none"/>
        </w:rPr>
        <w:t>年均浓度值满足环境空气质量标准要求；O</w:t>
      </w:r>
      <w:r>
        <w:rPr>
          <w:rFonts w:hint="eastAsia" w:cs="宋体"/>
          <w:color w:val="auto"/>
          <w:sz w:val="24"/>
          <w:szCs w:val="24"/>
          <w:highlight w:val="none"/>
          <w:vertAlign w:val="subscript"/>
        </w:rPr>
        <w:t>3</w:t>
      </w:r>
      <w:r>
        <w:rPr>
          <w:rFonts w:hint="eastAsia" w:cs="宋体"/>
          <w:color w:val="auto"/>
          <w:sz w:val="24"/>
          <w:szCs w:val="24"/>
          <w:highlight w:val="none"/>
        </w:rPr>
        <w:t>浓度值超过</w:t>
      </w:r>
      <w:r>
        <w:rPr>
          <w:rFonts w:cs="宋体"/>
          <w:color w:val="auto"/>
          <w:sz w:val="24"/>
          <w:szCs w:val="24"/>
          <w:highlight w:val="none"/>
        </w:rPr>
        <w:t>环境</w:t>
      </w:r>
      <w:r>
        <w:rPr>
          <w:rFonts w:hint="eastAsia" w:cs="宋体"/>
          <w:color w:val="auto"/>
          <w:sz w:val="24"/>
          <w:szCs w:val="24"/>
          <w:highlight w:val="none"/>
        </w:rPr>
        <w:t>空气</w:t>
      </w:r>
      <w:r>
        <w:rPr>
          <w:rFonts w:cs="宋体"/>
          <w:color w:val="auto"/>
          <w:sz w:val="24"/>
          <w:szCs w:val="24"/>
          <w:highlight w:val="none"/>
        </w:rPr>
        <w:t>质量标准要求</w:t>
      </w:r>
      <w:r>
        <w:rPr>
          <w:rFonts w:hint="eastAsia" w:cs="宋体"/>
          <w:color w:val="auto"/>
          <w:sz w:val="24"/>
          <w:szCs w:val="24"/>
          <w:highlight w:val="none"/>
        </w:rPr>
        <w:t>。</w:t>
      </w:r>
      <w:r>
        <w:rPr>
          <w:rFonts w:cs="宋体"/>
          <w:color w:val="auto"/>
          <w:sz w:val="24"/>
          <w:szCs w:val="24"/>
          <w:highlight w:val="none"/>
        </w:rPr>
        <w:t>因此</w:t>
      </w:r>
      <w:r>
        <w:rPr>
          <w:rFonts w:hint="eastAsia" w:cs="宋体"/>
          <w:color w:val="auto"/>
          <w:sz w:val="24"/>
          <w:szCs w:val="24"/>
          <w:highlight w:val="none"/>
        </w:rPr>
        <w:t>，项目</w:t>
      </w:r>
      <w:r>
        <w:rPr>
          <w:rFonts w:cs="宋体"/>
          <w:color w:val="auto"/>
          <w:sz w:val="24"/>
          <w:szCs w:val="24"/>
          <w:highlight w:val="none"/>
        </w:rPr>
        <w:t>所在区域属于</w:t>
      </w:r>
      <w:r>
        <w:rPr>
          <w:rFonts w:hint="eastAsia" w:cs="宋体"/>
          <w:color w:val="auto"/>
          <w:sz w:val="24"/>
          <w:szCs w:val="24"/>
          <w:highlight w:val="none"/>
        </w:rPr>
        <w:t>不达标区</w:t>
      </w:r>
      <w:r>
        <w:rPr>
          <w:highlight w:val="none"/>
        </w:rPr>
        <w:t>。</w:t>
      </w:r>
    </w:p>
    <w:p>
      <w:pPr>
        <w:pStyle w:val="420"/>
        <w:spacing w:line="480" w:lineRule="exact"/>
        <w:ind w:firstLine="480" w:firstLineChars="200"/>
        <w:rPr>
          <w:highlight w:val="none"/>
        </w:rPr>
      </w:pPr>
      <w:r>
        <w:rPr>
          <w:highlight w:val="none"/>
        </w:rPr>
        <w:t>根据环发[2012]130号关于印发《重点区域大气污染防治“十二五”规划》的通知，唐山市属于大气污染重点区域，监测数据客观的反映了唐山市环境空气质量的现状。分析超标原因为：随着唐山市工业的快速发展、能源消耗和机动车保有量的快速增长，排放的大量二氧化硫、氮氧化物与挥发性有机物导致细颗粒物等二次污染呈加剧态势。根据</w:t>
      </w:r>
      <w:r>
        <w:rPr>
          <w:highlight w:val="none"/>
          <w:lang w:val="zh-CN"/>
        </w:rPr>
        <w:t>《</w:t>
      </w:r>
      <w:r>
        <w:rPr>
          <w:highlight w:val="none"/>
        </w:rPr>
        <w:t>2019年“十项重点工作”工作方案》(唐办发[2019]3号)、《京津冀及周边地区、汾渭平原2020-2021年秋冬季大气污染综合治理攻坚行动方案》（环大气[2020]61号）、《</w:t>
      </w:r>
      <w:r>
        <w:rPr>
          <w:rFonts w:hint="eastAsia"/>
          <w:highlight w:val="none"/>
        </w:rPr>
        <w:t>唐山市空气质量综合指数“退后十”攻坚行动方案</w:t>
      </w:r>
      <w:r>
        <w:rPr>
          <w:highlight w:val="none"/>
        </w:rPr>
        <w:t>》</w:t>
      </w:r>
      <w:r>
        <w:rPr>
          <w:rFonts w:hint="eastAsia"/>
          <w:highlight w:val="none"/>
        </w:rPr>
        <w:t>（唐字[2020]5号）</w:t>
      </w:r>
      <w:r>
        <w:rPr>
          <w:highlight w:val="none"/>
        </w:rPr>
        <w:t>可知，通过调整优化产业结构、能源结构，深入开展大气污染治理攻坚行动，切实改善环境空气质量，通过控制扬尘污染、削减燃煤总量、控制机动车污染和严把燃煤质量关等方面的行动，项目所在区域将会逐步得到改善。</w:t>
      </w:r>
    </w:p>
    <w:p>
      <w:pPr>
        <w:spacing w:line="480" w:lineRule="exact"/>
        <w:outlineLvl w:val="1"/>
        <w:rPr>
          <w:sz w:val="24"/>
          <w:highlight w:val="none"/>
          <w:lang w:val="zh-CN"/>
        </w:rPr>
      </w:pPr>
      <w:bookmarkStart w:id="179" w:name="_Toc29341"/>
      <w:r>
        <w:rPr>
          <w:rFonts w:hint="eastAsia"/>
          <w:b/>
          <w:snapToGrid w:val="0"/>
          <w:kern w:val="0"/>
          <w:sz w:val="24"/>
          <w:highlight w:val="none"/>
        </w:rPr>
        <w:t>4</w:t>
      </w:r>
      <w:r>
        <w:rPr>
          <w:b/>
          <w:snapToGrid w:val="0"/>
          <w:kern w:val="0"/>
          <w:sz w:val="24"/>
          <w:highlight w:val="none"/>
        </w:rPr>
        <w:t>.</w:t>
      </w:r>
      <w:r>
        <w:rPr>
          <w:rFonts w:hint="eastAsia"/>
          <w:b/>
          <w:snapToGrid w:val="0"/>
          <w:kern w:val="0"/>
          <w:sz w:val="24"/>
          <w:highlight w:val="none"/>
        </w:rPr>
        <w:t>4 地表水环境</w:t>
      </w:r>
      <w:bookmarkEnd w:id="179"/>
    </w:p>
    <w:p>
      <w:pPr>
        <w:autoSpaceDE w:val="0"/>
        <w:autoSpaceDN w:val="0"/>
        <w:adjustRightInd w:val="0"/>
        <w:spacing w:line="480" w:lineRule="exact"/>
        <w:rPr>
          <w:b/>
          <w:sz w:val="24"/>
          <w:highlight w:val="none"/>
          <w:lang w:val="zh-CN"/>
        </w:rPr>
      </w:pPr>
      <w:r>
        <w:rPr>
          <w:rFonts w:hint="eastAsia"/>
          <w:b/>
          <w:sz w:val="24"/>
          <w:highlight w:val="none"/>
        </w:rPr>
        <w:t>4</w:t>
      </w:r>
      <w:r>
        <w:rPr>
          <w:rFonts w:hint="eastAsia"/>
          <w:b/>
          <w:sz w:val="24"/>
          <w:highlight w:val="none"/>
          <w:lang w:val="zh-CN"/>
        </w:rPr>
        <w:t>.4.1 污染源</w:t>
      </w:r>
    </w:p>
    <w:p>
      <w:pPr>
        <w:autoSpaceDE w:val="0"/>
        <w:autoSpaceDN w:val="0"/>
        <w:adjustRightInd w:val="0"/>
        <w:spacing w:line="480" w:lineRule="exact"/>
        <w:ind w:firstLine="480" w:firstLineChars="200"/>
        <w:rPr>
          <w:sz w:val="24"/>
          <w:highlight w:val="none"/>
          <w:lang w:val="zh-CN"/>
        </w:rPr>
      </w:pPr>
      <w:r>
        <w:rPr>
          <w:rFonts w:hint="eastAsia"/>
          <w:sz w:val="24"/>
          <w:highlight w:val="none"/>
          <w:lang w:val="zh-CN"/>
        </w:rPr>
        <w:t>（1）城镇污染源现状调查</w:t>
      </w:r>
    </w:p>
    <w:p>
      <w:pPr>
        <w:autoSpaceDE w:val="0"/>
        <w:autoSpaceDN w:val="0"/>
        <w:adjustRightInd w:val="0"/>
        <w:spacing w:line="480" w:lineRule="exact"/>
        <w:ind w:firstLine="480" w:firstLineChars="200"/>
        <w:rPr>
          <w:sz w:val="24"/>
          <w:highlight w:val="none"/>
          <w:lang w:val="zh-CN"/>
        </w:rPr>
      </w:pPr>
      <w:r>
        <w:rPr>
          <w:rFonts w:hint="eastAsia"/>
          <w:sz w:val="24"/>
          <w:highlight w:val="none"/>
          <w:lang w:val="zh-CN"/>
        </w:rPr>
        <w:t>根据现场调查及资料查询，黎河沿线1公里范围内涉及6个乡镇，110个自然村，涉及人口109104人。污染源排放量根据环境统数据，结合排污系数法核算见表</w:t>
      </w:r>
      <w:r>
        <w:rPr>
          <w:rFonts w:hint="eastAsia"/>
          <w:sz w:val="24"/>
          <w:highlight w:val="none"/>
        </w:rPr>
        <w:t>4.4</w:t>
      </w:r>
      <w:r>
        <w:rPr>
          <w:rFonts w:hint="eastAsia"/>
          <w:sz w:val="24"/>
          <w:highlight w:val="none"/>
          <w:lang w:val="zh-CN"/>
        </w:rPr>
        <w:t>-1。</w:t>
      </w:r>
    </w:p>
    <w:p>
      <w:pPr>
        <w:autoSpaceDE w:val="0"/>
        <w:autoSpaceDN w:val="0"/>
        <w:adjustRightInd w:val="0"/>
        <w:spacing w:line="480" w:lineRule="exact"/>
        <w:ind w:firstLine="482" w:firstLineChars="200"/>
        <w:rPr>
          <w:sz w:val="24"/>
          <w:highlight w:val="none"/>
          <w:lang w:val="zh-CN"/>
        </w:rPr>
      </w:pPr>
      <w:r>
        <w:rPr>
          <w:b/>
          <w:bCs/>
          <w:sz w:val="24"/>
          <w:highlight w:val="none"/>
          <w:lang w:val="zh-CN"/>
        </w:rPr>
        <w:t>表</w:t>
      </w:r>
      <w:r>
        <w:rPr>
          <w:rFonts w:hint="eastAsia"/>
          <w:b/>
          <w:bCs/>
          <w:sz w:val="24"/>
          <w:highlight w:val="none"/>
        </w:rPr>
        <w:t>4</w:t>
      </w:r>
      <w:r>
        <w:rPr>
          <w:rFonts w:hint="eastAsia"/>
          <w:b/>
          <w:bCs/>
          <w:sz w:val="24"/>
          <w:highlight w:val="none"/>
          <w:lang w:val="zh-CN"/>
        </w:rPr>
        <w:t>.4</w:t>
      </w:r>
      <w:r>
        <w:rPr>
          <w:b/>
          <w:bCs/>
          <w:sz w:val="24"/>
          <w:highlight w:val="none"/>
          <w:lang w:val="zh-CN"/>
        </w:rPr>
        <w:t>-1  引滦流域（沙河、黎河）沿线1公里范围内城镇生活污染负荷</w:t>
      </w:r>
    </w:p>
    <w:tbl>
      <w:tblPr>
        <w:tblStyle w:val="51"/>
        <w:tblW w:w="8362"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
      <w:tblGrid>
        <w:gridCol w:w="1113"/>
        <w:gridCol w:w="883"/>
        <w:gridCol w:w="1155"/>
        <w:gridCol w:w="1175"/>
        <w:gridCol w:w="1375"/>
        <w:gridCol w:w="1334"/>
        <w:gridCol w:w="1327"/>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0" w:hRule="atLeast"/>
          <w:jc w:val="center"/>
        </w:trPr>
        <w:tc>
          <w:tcPr>
            <w:tcW w:w="1113" w:type="dxa"/>
            <w:vMerge w:val="restart"/>
            <w:shd w:val="clear" w:color="auto" w:fill="auto"/>
            <w:vAlign w:val="center"/>
          </w:tcPr>
          <w:p>
            <w:pPr>
              <w:autoSpaceDE w:val="0"/>
              <w:autoSpaceDN w:val="0"/>
              <w:adjustRightInd w:val="0"/>
              <w:spacing w:line="300" w:lineRule="exact"/>
              <w:jc w:val="center"/>
              <w:rPr>
                <w:szCs w:val="21"/>
                <w:highlight w:val="none"/>
                <w:lang w:val="zh-CN"/>
              </w:rPr>
            </w:pPr>
            <w:r>
              <w:rPr>
                <w:szCs w:val="21"/>
                <w:highlight w:val="none"/>
                <w:lang w:val="zh-CN"/>
              </w:rPr>
              <w:t>所属河流</w:t>
            </w:r>
          </w:p>
        </w:tc>
        <w:tc>
          <w:tcPr>
            <w:tcW w:w="883" w:type="dxa"/>
            <w:vMerge w:val="restart"/>
            <w:shd w:val="clear" w:color="auto" w:fill="auto"/>
            <w:vAlign w:val="center"/>
          </w:tcPr>
          <w:p>
            <w:pPr>
              <w:autoSpaceDE w:val="0"/>
              <w:autoSpaceDN w:val="0"/>
              <w:adjustRightInd w:val="0"/>
              <w:spacing w:line="300" w:lineRule="exact"/>
              <w:jc w:val="center"/>
              <w:rPr>
                <w:szCs w:val="21"/>
                <w:highlight w:val="none"/>
                <w:lang w:val="zh-CN"/>
              </w:rPr>
            </w:pPr>
            <w:r>
              <w:rPr>
                <w:szCs w:val="21"/>
                <w:highlight w:val="none"/>
                <w:lang w:val="zh-CN"/>
              </w:rPr>
              <w:t>人口</w:t>
            </w:r>
          </w:p>
        </w:tc>
        <w:tc>
          <w:tcPr>
            <w:tcW w:w="1155" w:type="dxa"/>
            <w:vMerge w:val="restart"/>
            <w:shd w:val="clear" w:color="auto" w:fill="auto"/>
            <w:vAlign w:val="center"/>
          </w:tcPr>
          <w:p>
            <w:pPr>
              <w:autoSpaceDE w:val="0"/>
              <w:autoSpaceDN w:val="0"/>
              <w:adjustRightInd w:val="0"/>
              <w:spacing w:line="300" w:lineRule="exact"/>
              <w:jc w:val="center"/>
              <w:rPr>
                <w:szCs w:val="21"/>
                <w:highlight w:val="none"/>
                <w:lang w:val="zh-CN"/>
              </w:rPr>
            </w:pPr>
            <w:r>
              <w:rPr>
                <w:szCs w:val="21"/>
                <w:highlight w:val="none"/>
                <w:lang w:val="zh-CN"/>
              </w:rPr>
              <w:t>用水量</w:t>
            </w:r>
          </w:p>
          <w:p>
            <w:pPr>
              <w:autoSpaceDE w:val="0"/>
              <w:autoSpaceDN w:val="0"/>
              <w:adjustRightInd w:val="0"/>
              <w:spacing w:line="300" w:lineRule="exact"/>
              <w:jc w:val="center"/>
              <w:rPr>
                <w:szCs w:val="21"/>
                <w:highlight w:val="none"/>
                <w:lang w:val="zh-CN"/>
              </w:rPr>
            </w:pPr>
            <w:r>
              <w:rPr>
                <w:szCs w:val="21"/>
                <w:highlight w:val="none"/>
                <w:lang w:val="zh-CN"/>
              </w:rPr>
              <w:t>（t/a）</w:t>
            </w:r>
          </w:p>
        </w:tc>
        <w:tc>
          <w:tcPr>
            <w:tcW w:w="1175" w:type="dxa"/>
            <w:vMerge w:val="restart"/>
            <w:shd w:val="clear" w:color="auto" w:fill="auto"/>
            <w:vAlign w:val="center"/>
          </w:tcPr>
          <w:p>
            <w:pPr>
              <w:autoSpaceDE w:val="0"/>
              <w:autoSpaceDN w:val="0"/>
              <w:adjustRightInd w:val="0"/>
              <w:spacing w:line="300" w:lineRule="exact"/>
              <w:jc w:val="center"/>
              <w:rPr>
                <w:szCs w:val="21"/>
                <w:highlight w:val="none"/>
                <w:lang w:val="zh-CN"/>
              </w:rPr>
            </w:pPr>
            <w:r>
              <w:rPr>
                <w:szCs w:val="21"/>
                <w:highlight w:val="none"/>
                <w:lang w:val="zh-CN"/>
              </w:rPr>
              <w:t>排水量</w:t>
            </w:r>
          </w:p>
          <w:p>
            <w:pPr>
              <w:autoSpaceDE w:val="0"/>
              <w:autoSpaceDN w:val="0"/>
              <w:adjustRightInd w:val="0"/>
              <w:spacing w:line="300" w:lineRule="exact"/>
              <w:jc w:val="center"/>
              <w:rPr>
                <w:szCs w:val="21"/>
                <w:highlight w:val="none"/>
                <w:lang w:val="zh-CN"/>
              </w:rPr>
            </w:pPr>
            <w:r>
              <w:rPr>
                <w:szCs w:val="21"/>
                <w:highlight w:val="none"/>
                <w:lang w:val="zh-CN"/>
              </w:rPr>
              <w:t>（t/a）</w:t>
            </w:r>
          </w:p>
        </w:tc>
        <w:tc>
          <w:tcPr>
            <w:tcW w:w="1375" w:type="dxa"/>
            <w:shd w:val="clear" w:color="auto" w:fill="auto"/>
            <w:vAlign w:val="center"/>
          </w:tcPr>
          <w:p>
            <w:pPr>
              <w:autoSpaceDE w:val="0"/>
              <w:autoSpaceDN w:val="0"/>
              <w:adjustRightInd w:val="0"/>
              <w:spacing w:line="300" w:lineRule="exact"/>
              <w:jc w:val="center"/>
              <w:rPr>
                <w:szCs w:val="21"/>
                <w:highlight w:val="none"/>
                <w:lang w:val="zh-CN"/>
              </w:rPr>
            </w:pPr>
            <w:r>
              <w:rPr>
                <w:szCs w:val="21"/>
                <w:highlight w:val="none"/>
                <w:lang w:val="zh-CN"/>
              </w:rPr>
              <w:t>COD</w:t>
            </w:r>
          </w:p>
        </w:tc>
        <w:tc>
          <w:tcPr>
            <w:tcW w:w="1334" w:type="dxa"/>
            <w:shd w:val="clear" w:color="auto" w:fill="auto"/>
            <w:vAlign w:val="center"/>
          </w:tcPr>
          <w:p>
            <w:pPr>
              <w:autoSpaceDE w:val="0"/>
              <w:autoSpaceDN w:val="0"/>
              <w:adjustRightInd w:val="0"/>
              <w:spacing w:line="300" w:lineRule="exact"/>
              <w:jc w:val="center"/>
              <w:rPr>
                <w:szCs w:val="21"/>
                <w:highlight w:val="none"/>
                <w:lang w:val="zh-CN"/>
              </w:rPr>
            </w:pPr>
            <w:r>
              <w:rPr>
                <w:szCs w:val="21"/>
                <w:highlight w:val="none"/>
                <w:lang w:val="zh-CN"/>
              </w:rPr>
              <w:t>TP</w:t>
            </w:r>
          </w:p>
        </w:tc>
        <w:tc>
          <w:tcPr>
            <w:tcW w:w="1327" w:type="dxa"/>
            <w:shd w:val="clear" w:color="auto" w:fill="auto"/>
            <w:vAlign w:val="center"/>
          </w:tcPr>
          <w:p>
            <w:pPr>
              <w:autoSpaceDE w:val="0"/>
              <w:autoSpaceDN w:val="0"/>
              <w:adjustRightInd w:val="0"/>
              <w:spacing w:line="300" w:lineRule="exact"/>
              <w:jc w:val="center"/>
              <w:rPr>
                <w:szCs w:val="21"/>
                <w:highlight w:val="none"/>
                <w:lang w:val="zh-CN"/>
              </w:rPr>
            </w:pPr>
            <w:r>
              <w:rPr>
                <w:szCs w:val="21"/>
                <w:highlight w:val="none"/>
                <w:lang w:val="zh-CN"/>
              </w:rPr>
              <w:t>氨氮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0" w:hRule="atLeast"/>
          <w:jc w:val="center"/>
        </w:trPr>
        <w:tc>
          <w:tcPr>
            <w:tcW w:w="1113" w:type="dxa"/>
            <w:vMerge w:val="continue"/>
            <w:vAlign w:val="center"/>
          </w:tcPr>
          <w:p>
            <w:pPr>
              <w:autoSpaceDE w:val="0"/>
              <w:autoSpaceDN w:val="0"/>
              <w:adjustRightInd w:val="0"/>
              <w:spacing w:line="300" w:lineRule="exact"/>
              <w:ind w:firstLine="420" w:firstLineChars="200"/>
              <w:jc w:val="center"/>
              <w:rPr>
                <w:szCs w:val="21"/>
                <w:highlight w:val="none"/>
                <w:lang w:val="zh-CN"/>
              </w:rPr>
            </w:pPr>
          </w:p>
        </w:tc>
        <w:tc>
          <w:tcPr>
            <w:tcW w:w="883" w:type="dxa"/>
            <w:vMerge w:val="continue"/>
            <w:vAlign w:val="center"/>
          </w:tcPr>
          <w:p>
            <w:pPr>
              <w:autoSpaceDE w:val="0"/>
              <w:autoSpaceDN w:val="0"/>
              <w:adjustRightInd w:val="0"/>
              <w:spacing w:line="300" w:lineRule="exact"/>
              <w:ind w:firstLine="420" w:firstLineChars="200"/>
              <w:jc w:val="center"/>
              <w:rPr>
                <w:szCs w:val="21"/>
                <w:highlight w:val="none"/>
                <w:lang w:val="zh-CN"/>
              </w:rPr>
            </w:pPr>
          </w:p>
        </w:tc>
        <w:tc>
          <w:tcPr>
            <w:tcW w:w="1155" w:type="dxa"/>
            <w:vMerge w:val="continue"/>
            <w:vAlign w:val="center"/>
          </w:tcPr>
          <w:p>
            <w:pPr>
              <w:autoSpaceDE w:val="0"/>
              <w:autoSpaceDN w:val="0"/>
              <w:adjustRightInd w:val="0"/>
              <w:spacing w:line="300" w:lineRule="exact"/>
              <w:ind w:firstLine="420" w:firstLineChars="200"/>
              <w:jc w:val="center"/>
              <w:rPr>
                <w:szCs w:val="21"/>
                <w:highlight w:val="none"/>
                <w:lang w:val="zh-CN"/>
              </w:rPr>
            </w:pPr>
          </w:p>
        </w:tc>
        <w:tc>
          <w:tcPr>
            <w:tcW w:w="1175" w:type="dxa"/>
            <w:vMerge w:val="continue"/>
            <w:vAlign w:val="center"/>
          </w:tcPr>
          <w:p>
            <w:pPr>
              <w:autoSpaceDE w:val="0"/>
              <w:autoSpaceDN w:val="0"/>
              <w:adjustRightInd w:val="0"/>
              <w:spacing w:line="300" w:lineRule="exact"/>
              <w:ind w:firstLine="420" w:firstLineChars="200"/>
              <w:jc w:val="center"/>
              <w:rPr>
                <w:szCs w:val="21"/>
                <w:highlight w:val="none"/>
                <w:lang w:val="zh-CN"/>
              </w:rPr>
            </w:pPr>
          </w:p>
        </w:tc>
        <w:tc>
          <w:tcPr>
            <w:tcW w:w="1375" w:type="dxa"/>
            <w:shd w:val="clear" w:color="auto" w:fill="auto"/>
            <w:vAlign w:val="center"/>
          </w:tcPr>
          <w:p>
            <w:pPr>
              <w:autoSpaceDE w:val="0"/>
              <w:autoSpaceDN w:val="0"/>
              <w:adjustRightInd w:val="0"/>
              <w:spacing w:line="300" w:lineRule="exact"/>
              <w:jc w:val="center"/>
              <w:rPr>
                <w:szCs w:val="21"/>
                <w:highlight w:val="none"/>
                <w:lang w:val="zh-CN"/>
              </w:rPr>
            </w:pPr>
            <w:r>
              <w:rPr>
                <w:szCs w:val="21"/>
                <w:highlight w:val="none"/>
                <w:lang w:val="zh-CN"/>
              </w:rPr>
              <w:t>（t/a）</w:t>
            </w:r>
          </w:p>
        </w:tc>
        <w:tc>
          <w:tcPr>
            <w:tcW w:w="1334" w:type="dxa"/>
            <w:shd w:val="clear" w:color="auto" w:fill="auto"/>
            <w:vAlign w:val="center"/>
          </w:tcPr>
          <w:p>
            <w:pPr>
              <w:autoSpaceDE w:val="0"/>
              <w:autoSpaceDN w:val="0"/>
              <w:adjustRightInd w:val="0"/>
              <w:spacing w:line="300" w:lineRule="exact"/>
              <w:jc w:val="center"/>
              <w:rPr>
                <w:szCs w:val="21"/>
                <w:highlight w:val="none"/>
                <w:lang w:val="zh-CN"/>
              </w:rPr>
            </w:pPr>
            <w:r>
              <w:rPr>
                <w:szCs w:val="21"/>
                <w:highlight w:val="none"/>
                <w:lang w:val="zh-CN"/>
              </w:rPr>
              <w:t>（t/a）</w:t>
            </w:r>
          </w:p>
        </w:tc>
        <w:tc>
          <w:tcPr>
            <w:tcW w:w="1327" w:type="dxa"/>
            <w:shd w:val="clear" w:color="auto" w:fill="auto"/>
            <w:vAlign w:val="center"/>
          </w:tcPr>
          <w:p>
            <w:pPr>
              <w:autoSpaceDE w:val="0"/>
              <w:autoSpaceDN w:val="0"/>
              <w:adjustRightInd w:val="0"/>
              <w:spacing w:line="300" w:lineRule="exact"/>
              <w:jc w:val="center"/>
              <w:rPr>
                <w:szCs w:val="21"/>
                <w:highlight w:val="none"/>
                <w:lang w:val="zh-CN"/>
              </w:rPr>
            </w:pPr>
            <w:r>
              <w:rPr>
                <w:szCs w:val="21"/>
                <w:highlight w:val="none"/>
                <w:lang w:val="zh-CN"/>
              </w:rPr>
              <w:t>（t/a）</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60" w:hRule="atLeast"/>
          <w:jc w:val="center"/>
        </w:trPr>
        <w:tc>
          <w:tcPr>
            <w:tcW w:w="1113" w:type="dxa"/>
            <w:shd w:val="clear" w:color="auto" w:fill="auto"/>
            <w:vAlign w:val="center"/>
          </w:tcPr>
          <w:p>
            <w:pPr>
              <w:autoSpaceDE w:val="0"/>
              <w:autoSpaceDN w:val="0"/>
              <w:adjustRightInd w:val="0"/>
              <w:spacing w:line="300" w:lineRule="exact"/>
              <w:jc w:val="center"/>
              <w:rPr>
                <w:szCs w:val="21"/>
                <w:highlight w:val="none"/>
                <w:lang w:val="zh-CN"/>
              </w:rPr>
            </w:pPr>
            <w:r>
              <w:rPr>
                <w:szCs w:val="21"/>
                <w:highlight w:val="none"/>
                <w:lang w:val="zh-CN"/>
              </w:rPr>
              <w:t>黎河沿线</w:t>
            </w:r>
          </w:p>
        </w:tc>
        <w:tc>
          <w:tcPr>
            <w:tcW w:w="883" w:type="dxa"/>
            <w:shd w:val="clear" w:color="auto" w:fill="auto"/>
            <w:vAlign w:val="center"/>
          </w:tcPr>
          <w:p>
            <w:pPr>
              <w:autoSpaceDE w:val="0"/>
              <w:autoSpaceDN w:val="0"/>
              <w:adjustRightInd w:val="0"/>
              <w:spacing w:line="300" w:lineRule="exact"/>
              <w:jc w:val="center"/>
              <w:rPr>
                <w:szCs w:val="21"/>
                <w:highlight w:val="none"/>
                <w:lang w:val="zh-CN"/>
              </w:rPr>
            </w:pPr>
            <w:r>
              <w:rPr>
                <w:szCs w:val="21"/>
                <w:highlight w:val="none"/>
                <w:lang w:val="zh-CN"/>
              </w:rPr>
              <w:t>109104</w:t>
            </w:r>
          </w:p>
        </w:tc>
        <w:tc>
          <w:tcPr>
            <w:tcW w:w="1155" w:type="dxa"/>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3185836.8</w:t>
            </w:r>
          </w:p>
        </w:tc>
        <w:tc>
          <w:tcPr>
            <w:tcW w:w="1175" w:type="dxa"/>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2548669.44</w:t>
            </w:r>
          </w:p>
        </w:tc>
        <w:tc>
          <w:tcPr>
            <w:tcW w:w="1375" w:type="dxa"/>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800.28</w:t>
            </w:r>
          </w:p>
        </w:tc>
        <w:tc>
          <w:tcPr>
            <w:tcW w:w="1334" w:type="dxa"/>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9.18</w:t>
            </w:r>
          </w:p>
        </w:tc>
        <w:tc>
          <w:tcPr>
            <w:tcW w:w="1327" w:type="dxa"/>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54.54</w:t>
            </w:r>
          </w:p>
        </w:tc>
      </w:tr>
    </w:tbl>
    <w:p>
      <w:pPr>
        <w:autoSpaceDE w:val="0"/>
        <w:autoSpaceDN w:val="0"/>
        <w:adjustRightInd w:val="0"/>
        <w:spacing w:line="480" w:lineRule="exact"/>
        <w:ind w:firstLine="480" w:firstLineChars="200"/>
        <w:rPr>
          <w:sz w:val="24"/>
          <w:highlight w:val="none"/>
          <w:lang w:val="zh-CN"/>
        </w:rPr>
      </w:pPr>
      <w:r>
        <w:rPr>
          <w:rFonts w:hint="eastAsia"/>
          <w:sz w:val="24"/>
          <w:highlight w:val="none"/>
          <w:lang w:val="zh-CN"/>
        </w:rPr>
        <w:t>（2）工业企业排水现状调查</w:t>
      </w:r>
    </w:p>
    <w:p>
      <w:pPr>
        <w:autoSpaceDE w:val="0"/>
        <w:autoSpaceDN w:val="0"/>
        <w:adjustRightInd w:val="0"/>
        <w:spacing w:line="480" w:lineRule="exact"/>
        <w:ind w:firstLine="480" w:firstLineChars="200"/>
        <w:rPr>
          <w:sz w:val="24"/>
          <w:highlight w:val="none"/>
          <w:lang w:val="zh-CN"/>
        </w:rPr>
      </w:pPr>
      <w:r>
        <w:rPr>
          <w:rFonts w:hint="eastAsia"/>
          <w:sz w:val="24"/>
          <w:highlight w:val="none"/>
          <w:lang w:val="zh-CN"/>
        </w:rPr>
        <w:t>工业企业排水现状调查见表</w:t>
      </w:r>
      <w:r>
        <w:rPr>
          <w:rFonts w:hint="eastAsia"/>
          <w:sz w:val="24"/>
          <w:highlight w:val="none"/>
        </w:rPr>
        <w:t>4</w:t>
      </w:r>
      <w:r>
        <w:rPr>
          <w:rFonts w:hint="eastAsia"/>
          <w:sz w:val="24"/>
          <w:highlight w:val="none"/>
          <w:lang w:val="zh-CN"/>
        </w:rPr>
        <w:t>.4-2。</w:t>
      </w:r>
    </w:p>
    <w:p>
      <w:pPr>
        <w:autoSpaceDE w:val="0"/>
        <w:autoSpaceDN w:val="0"/>
        <w:adjustRightInd w:val="0"/>
        <w:spacing w:line="480" w:lineRule="exact"/>
        <w:jc w:val="center"/>
        <w:rPr>
          <w:b/>
          <w:sz w:val="24"/>
          <w:highlight w:val="none"/>
          <w:lang w:val="zh-CN"/>
        </w:rPr>
      </w:pPr>
      <w:r>
        <w:rPr>
          <w:b/>
          <w:sz w:val="24"/>
          <w:highlight w:val="none"/>
          <w:lang w:val="zh-CN"/>
        </w:rPr>
        <w:t>表</w:t>
      </w:r>
      <w:r>
        <w:rPr>
          <w:rFonts w:hint="eastAsia"/>
          <w:b/>
          <w:sz w:val="24"/>
          <w:highlight w:val="none"/>
        </w:rPr>
        <w:t>4</w:t>
      </w:r>
      <w:r>
        <w:rPr>
          <w:rFonts w:hint="eastAsia"/>
          <w:b/>
          <w:sz w:val="24"/>
          <w:highlight w:val="none"/>
          <w:lang w:val="zh-CN"/>
        </w:rPr>
        <w:t>.4</w:t>
      </w:r>
      <w:r>
        <w:rPr>
          <w:b/>
          <w:sz w:val="24"/>
          <w:highlight w:val="none"/>
          <w:lang w:val="zh-CN"/>
        </w:rPr>
        <w:t>-</w:t>
      </w:r>
      <w:r>
        <w:rPr>
          <w:rFonts w:hint="eastAsia"/>
          <w:b/>
          <w:sz w:val="24"/>
          <w:highlight w:val="none"/>
          <w:lang w:val="zh-CN"/>
        </w:rPr>
        <w:t>2</w:t>
      </w:r>
      <w:r>
        <w:rPr>
          <w:b/>
          <w:sz w:val="24"/>
          <w:highlight w:val="none"/>
          <w:lang w:val="zh-CN"/>
        </w:rPr>
        <w:t xml:space="preserve">  </w:t>
      </w:r>
      <w:r>
        <w:rPr>
          <w:rFonts w:hint="eastAsia"/>
          <w:b/>
          <w:sz w:val="24"/>
          <w:highlight w:val="none"/>
          <w:lang w:val="zh-CN"/>
        </w:rPr>
        <w:t>黎河流域工业企业排水现状调查</w:t>
      </w:r>
    </w:p>
    <w:tbl>
      <w:tblPr>
        <w:tblStyle w:val="51"/>
        <w:tblW w:w="8418"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0" w:type="dxa"/>
          <w:bottom w:w="0" w:type="dxa"/>
          <w:right w:w="0" w:type="dxa"/>
        </w:tblCellMar>
      </w:tblPr>
      <w:tblGrid>
        <w:gridCol w:w="2999"/>
        <w:gridCol w:w="978"/>
        <w:gridCol w:w="913"/>
        <w:gridCol w:w="1006"/>
        <w:gridCol w:w="832"/>
        <w:gridCol w:w="793"/>
        <w:gridCol w:w="897"/>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85" w:hRule="atLeast"/>
          <w:jc w:val="center"/>
        </w:trPr>
        <w:tc>
          <w:tcPr>
            <w:tcW w:w="2999" w:type="dxa"/>
            <w:vMerge w:val="restart"/>
            <w:shd w:val="clear" w:color="auto" w:fill="auto"/>
            <w:noWrap/>
            <w:vAlign w:val="center"/>
          </w:tcPr>
          <w:p>
            <w:pPr>
              <w:widowControl/>
              <w:spacing w:line="300" w:lineRule="exact"/>
              <w:jc w:val="center"/>
              <w:rPr>
                <w:rFonts w:eastAsiaTheme="minorEastAsia"/>
                <w:kern w:val="0"/>
                <w:szCs w:val="21"/>
                <w:highlight w:val="none"/>
              </w:rPr>
            </w:pPr>
            <w:r>
              <w:rPr>
                <w:rFonts w:hAnsiTheme="minorEastAsia" w:eastAsiaTheme="minorEastAsia"/>
                <w:kern w:val="0"/>
                <w:szCs w:val="21"/>
                <w:highlight w:val="none"/>
              </w:rPr>
              <w:t>企业名称</w:t>
            </w:r>
          </w:p>
        </w:tc>
        <w:tc>
          <w:tcPr>
            <w:tcW w:w="978" w:type="dxa"/>
            <w:vMerge w:val="restart"/>
            <w:shd w:val="clear" w:color="auto" w:fill="auto"/>
            <w:vAlign w:val="center"/>
          </w:tcPr>
          <w:p>
            <w:pPr>
              <w:widowControl/>
              <w:spacing w:line="300" w:lineRule="exact"/>
              <w:jc w:val="center"/>
              <w:rPr>
                <w:rFonts w:eastAsiaTheme="minorEastAsia"/>
                <w:kern w:val="0"/>
                <w:szCs w:val="21"/>
                <w:highlight w:val="none"/>
              </w:rPr>
            </w:pPr>
            <w:r>
              <w:rPr>
                <w:rFonts w:hAnsiTheme="minorEastAsia" w:eastAsiaTheme="minorEastAsia"/>
                <w:kern w:val="0"/>
                <w:szCs w:val="21"/>
                <w:highlight w:val="none"/>
              </w:rPr>
              <w:t>所在地</w:t>
            </w:r>
          </w:p>
        </w:tc>
        <w:tc>
          <w:tcPr>
            <w:tcW w:w="913" w:type="dxa"/>
            <w:vMerge w:val="restart"/>
            <w:shd w:val="clear" w:color="auto" w:fill="auto"/>
            <w:noWrap/>
            <w:vAlign w:val="center"/>
          </w:tcPr>
          <w:p>
            <w:pPr>
              <w:widowControl/>
              <w:spacing w:line="300" w:lineRule="exact"/>
              <w:jc w:val="center"/>
              <w:rPr>
                <w:rFonts w:eastAsiaTheme="minorEastAsia"/>
                <w:kern w:val="0"/>
                <w:szCs w:val="21"/>
                <w:highlight w:val="none"/>
              </w:rPr>
            </w:pPr>
            <w:r>
              <w:rPr>
                <w:rFonts w:hAnsiTheme="minorEastAsia" w:eastAsiaTheme="minorEastAsia"/>
                <w:kern w:val="0"/>
                <w:szCs w:val="21"/>
                <w:highlight w:val="none"/>
              </w:rPr>
              <w:t>所在</w:t>
            </w:r>
          </w:p>
          <w:p>
            <w:pPr>
              <w:widowControl/>
              <w:spacing w:line="300" w:lineRule="exact"/>
              <w:jc w:val="center"/>
              <w:rPr>
                <w:rFonts w:eastAsiaTheme="minorEastAsia"/>
                <w:kern w:val="0"/>
                <w:szCs w:val="21"/>
                <w:highlight w:val="none"/>
              </w:rPr>
            </w:pPr>
            <w:r>
              <w:rPr>
                <w:rFonts w:hAnsiTheme="minorEastAsia" w:eastAsiaTheme="minorEastAsia"/>
                <w:kern w:val="0"/>
                <w:szCs w:val="21"/>
                <w:highlight w:val="none"/>
              </w:rPr>
              <w:t>流域</w:t>
            </w:r>
          </w:p>
        </w:tc>
        <w:tc>
          <w:tcPr>
            <w:tcW w:w="1006" w:type="dxa"/>
            <w:vMerge w:val="restart"/>
            <w:shd w:val="clear" w:color="auto" w:fill="auto"/>
            <w:vAlign w:val="center"/>
          </w:tcPr>
          <w:p>
            <w:pPr>
              <w:widowControl/>
              <w:spacing w:line="300" w:lineRule="exact"/>
              <w:jc w:val="center"/>
              <w:rPr>
                <w:rFonts w:eastAsiaTheme="minorEastAsia"/>
                <w:kern w:val="0"/>
                <w:szCs w:val="21"/>
                <w:highlight w:val="none"/>
              </w:rPr>
            </w:pPr>
            <w:r>
              <w:rPr>
                <w:rFonts w:hAnsiTheme="minorEastAsia" w:eastAsiaTheme="minorEastAsia"/>
                <w:kern w:val="0"/>
                <w:szCs w:val="21"/>
                <w:highlight w:val="none"/>
              </w:rPr>
              <w:t>废水年排放量（</w:t>
            </w:r>
            <w:r>
              <w:rPr>
                <w:rFonts w:eastAsiaTheme="minorEastAsia"/>
                <w:kern w:val="0"/>
                <w:szCs w:val="21"/>
                <w:highlight w:val="none"/>
              </w:rPr>
              <w:t>t/a</w:t>
            </w:r>
            <w:r>
              <w:rPr>
                <w:rFonts w:hAnsiTheme="minorEastAsia" w:eastAsiaTheme="minorEastAsia"/>
                <w:kern w:val="0"/>
                <w:szCs w:val="21"/>
                <w:highlight w:val="none"/>
              </w:rPr>
              <w:t>）</w:t>
            </w:r>
          </w:p>
        </w:tc>
        <w:tc>
          <w:tcPr>
            <w:tcW w:w="1625" w:type="dxa"/>
            <w:gridSpan w:val="2"/>
            <w:shd w:val="clear" w:color="auto" w:fill="auto"/>
            <w:noWrap/>
            <w:vAlign w:val="center"/>
          </w:tcPr>
          <w:p>
            <w:pPr>
              <w:widowControl/>
              <w:spacing w:line="300" w:lineRule="exact"/>
              <w:jc w:val="center"/>
              <w:rPr>
                <w:rFonts w:eastAsiaTheme="minorEastAsia"/>
                <w:kern w:val="0"/>
                <w:szCs w:val="21"/>
                <w:highlight w:val="none"/>
              </w:rPr>
            </w:pPr>
            <w:r>
              <w:rPr>
                <w:rFonts w:hAnsiTheme="minorEastAsia" w:eastAsiaTheme="minorEastAsia"/>
                <w:kern w:val="0"/>
                <w:szCs w:val="21"/>
                <w:highlight w:val="none"/>
              </w:rPr>
              <w:t>污染物排放量</w:t>
            </w:r>
          </w:p>
        </w:tc>
        <w:tc>
          <w:tcPr>
            <w:tcW w:w="897" w:type="dxa"/>
            <w:vMerge w:val="restart"/>
            <w:shd w:val="clear" w:color="auto" w:fill="auto"/>
            <w:vAlign w:val="center"/>
          </w:tcPr>
          <w:p>
            <w:pPr>
              <w:widowControl/>
              <w:spacing w:line="300" w:lineRule="exact"/>
              <w:jc w:val="center"/>
              <w:rPr>
                <w:rFonts w:eastAsiaTheme="minorEastAsia"/>
                <w:kern w:val="0"/>
                <w:szCs w:val="21"/>
                <w:highlight w:val="none"/>
              </w:rPr>
            </w:pPr>
            <w:r>
              <w:rPr>
                <w:rFonts w:hAnsiTheme="minorEastAsia" w:eastAsiaTheme="minorEastAsia"/>
                <w:kern w:val="0"/>
                <w:szCs w:val="21"/>
                <w:highlight w:val="none"/>
              </w:rPr>
              <w:t>企业距河流距离（</w:t>
            </w:r>
            <w:r>
              <w:rPr>
                <w:rFonts w:eastAsiaTheme="minorEastAsia"/>
                <w:kern w:val="0"/>
                <w:szCs w:val="21"/>
                <w:highlight w:val="none"/>
              </w:rPr>
              <w:t>m</w:t>
            </w:r>
            <w:r>
              <w:rPr>
                <w:rFonts w:hAnsiTheme="minorEastAsia" w:eastAsiaTheme="minorEastAsia"/>
                <w:kern w:val="0"/>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510" w:hRule="atLeast"/>
          <w:jc w:val="center"/>
        </w:trPr>
        <w:tc>
          <w:tcPr>
            <w:tcW w:w="2999" w:type="dxa"/>
            <w:vMerge w:val="continue"/>
            <w:vAlign w:val="center"/>
          </w:tcPr>
          <w:p>
            <w:pPr>
              <w:widowControl/>
              <w:spacing w:line="300" w:lineRule="exact"/>
              <w:jc w:val="center"/>
              <w:rPr>
                <w:rFonts w:eastAsiaTheme="minorEastAsia"/>
                <w:kern w:val="0"/>
                <w:szCs w:val="21"/>
                <w:highlight w:val="none"/>
              </w:rPr>
            </w:pPr>
          </w:p>
        </w:tc>
        <w:tc>
          <w:tcPr>
            <w:tcW w:w="978" w:type="dxa"/>
            <w:vMerge w:val="continue"/>
            <w:vAlign w:val="center"/>
          </w:tcPr>
          <w:p>
            <w:pPr>
              <w:widowControl/>
              <w:spacing w:line="300" w:lineRule="exact"/>
              <w:jc w:val="center"/>
              <w:rPr>
                <w:rFonts w:eastAsiaTheme="minorEastAsia"/>
                <w:kern w:val="0"/>
                <w:szCs w:val="21"/>
                <w:highlight w:val="none"/>
              </w:rPr>
            </w:pPr>
          </w:p>
        </w:tc>
        <w:tc>
          <w:tcPr>
            <w:tcW w:w="913" w:type="dxa"/>
            <w:vMerge w:val="continue"/>
            <w:vAlign w:val="center"/>
          </w:tcPr>
          <w:p>
            <w:pPr>
              <w:widowControl/>
              <w:spacing w:line="300" w:lineRule="exact"/>
              <w:jc w:val="center"/>
              <w:rPr>
                <w:rFonts w:eastAsiaTheme="minorEastAsia"/>
                <w:kern w:val="0"/>
                <w:szCs w:val="21"/>
                <w:highlight w:val="none"/>
              </w:rPr>
            </w:pPr>
          </w:p>
        </w:tc>
        <w:tc>
          <w:tcPr>
            <w:tcW w:w="1006" w:type="dxa"/>
            <w:vMerge w:val="continue"/>
            <w:vAlign w:val="center"/>
          </w:tcPr>
          <w:p>
            <w:pPr>
              <w:widowControl/>
              <w:spacing w:line="300" w:lineRule="exact"/>
              <w:jc w:val="center"/>
              <w:rPr>
                <w:rFonts w:eastAsiaTheme="minorEastAsia"/>
                <w:kern w:val="0"/>
                <w:szCs w:val="21"/>
                <w:highlight w:val="none"/>
              </w:rPr>
            </w:pPr>
          </w:p>
        </w:tc>
        <w:tc>
          <w:tcPr>
            <w:tcW w:w="832" w:type="dxa"/>
            <w:shd w:val="clear" w:color="auto" w:fill="auto"/>
            <w:noWrap/>
            <w:vAlign w:val="center"/>
          </w:tcPr>
          <w:p>
            <w:pPr>
              <w:widowControl/>
              <w:spacing w:line="300" w:lineRule="exact"/>
              <w:jc w:val="center"/>
              <w:rPr>
                <w:rFonts w:eastAsiaTheme="minorEastAsia"/>
                <w:kern w:val="0"/>
                <w:szCs w:val="21"/>
                <w:highlight w:val="none"/>
              </w:rPr>
            </w:pPr>
            <w:r>
              <w:rPr>
                <w:rFonts w:eastAsiaTheme="minorEastAsia"/>
                <w:kern w:val="0"/>
                <w:szCs w:val="21"/>
                <w:highlight w:val="none"/>
              </w:rPr>
              <w:t>COD</w:t>
            </w:r>
          </w:p>
        </w:tc>
        <w:tc>
          <w:tcPr>
            <w:tcW w:w="793" w:type="dxa"/>
            <w:shd w:val="clear" w:color="auto" w:fill="auto"/>
            <w:noWrap/>
            <w:vAlign w:val="center"/>
          </w:tcPr>
          <w:p>
            <w:pPr>
              <w:widowControl/>
              <w:spacing w:line="300" w:lineRule="exact"/>
              <w:jc w:val="center"/>
              <w:rPr>
                <w:rFonts w:eastAsiaTheme="minorEastAsia"/>
                <w:kern w:val="0"/>
                <w:szCs w:val="21"/>
                <w:highlight w:val="none"/>
              </w:rPr>
            </w:pPr>
            <w:r>
              <w:rPr>
                <w:rFonts w:hAnsiTheme="minorEastAsia" w:eastAsiaTheme="minorEastAsia"/>
                <w:kern w:val="0"/>
                <w:szCs w:val="21"/>
                <w:highlight w:val="none"/>
              </w:rPr>
              <w:t>氨氮</w:t>
            </w:r>
          </w:p>
        </w:tc>
        <w:tc>
          <w:tcPr>
            <w:tcW w:w="897" w:type="dxa"/>
            <w:vMerge w:val="continue"/>
            <w:vAlign w:val="center"/>
          </w:tcPr>
          <w:p>
            <w:pPr>
              <w:widowControl/>
              <w:spacing w:line="300" w:lineRule="exact"/>
              <w:jc w:val="center"/>
              <w:rPr>
                <w:rFonts w:eastAsiaTheme="minorEastAsia"/>
                <w:kern w:val="0"/>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2999" w:type="dxa"/>
            <w:shd w:val="clear" w:color="auto" w:fill="auto"/>
            <w:noWrap/>
            <w:vAlign w:val="center"/>
          </w:tcPr>
          <w:p>
            <w:pPr>
              <w:widowControl/>
              <w:spacing w:line="300" w:lineRule="exact"/>
              <w:jc w:val="center"/>
              <w:rPr>
                <w:rFonts w:eastAsiaTheme="minorEastAsia"/>
                <w:color w:val="000000"/>
                <w:kern w:val="0"/>
                <w:szCs w:val="21"/>
                <w:highlight w:val="none"/>
              </w:rPr>
            </w:pPr>
            <w:r>
              <w:rPr>
                <w:rFonts w:hAnsiTheme="minorEastAsia" w:eastAsiaTheme="minorEastAsia"/>
                <w:color w:val="000000"/>
                <w:kern w:val="0"/>
                <w:szCs w:val="21"/>
                <w:highlight w:val="none"/>
              </w:rPr>
              <w:t>遵化市食品公司靠山庄购销站</w:t>
            </w:r>
          </w:p>
        </w:tc>
        <w:tc>
          <w:tcPr>
            <w:tcW w:w="978" w:type="dxa"/>
            <w:shd w:val="clear" w:color="auto" w:fill="auto"/>
            <w:vAlign w:val="center"/>
          </w:tcPr>
          <w:p>
            <w:pPr>
              <w:widowControl/>
              <w:spacing w:line="300" w:lineRule="exact"/>
              <w:jc w:val="center"/>
              <w:rPr>
                <w:rFonts w:eastAsiaTheme="minorEastAsia"/>
                <w:color w:val="000000"/>
                <w:kern w:val="0"/>
                <w:szCs w:val="21"/>
                <w:highlight w:val="none"/>
              </w:rPr>
            </w:pPr>
            <w:r>
              <w:rPr>
                <w:rFonts w:hAnsiTheme="minorEastAsia" w:eastAsiaTheme="minorEastAsia"/>
                <w:color w:val="000000"/>
                <w:kern w:val="0"/>
                <w:szCs w:val="21"/>
                <w:highlight w:val="none"/>
              </w:rPr>
              <w:t>西双城村</w:t>
            </w:r>
          </w:p>
        </w:tc>
        <w:tc>
          <w:tcPr>
            <w:tcW w:w="913" w:type="dxa"/>
            <w:shd w:val="clear" w:color="auto" w:fill="auto"/>
            <w:noWrap/>
            <w:vAlign w:val="center"/>
          </w:tcPr>
          <w:p>
            <w:pPr>
              <w:widowControl/>
              <w:spacing w:line="300" w:lineRule="exact"/>
              <w:jc w:val="center"/>
              <w:rPr>
                <w:rFonts w:eastAsiaTheme="minorEastAsia"/>
                <w:color w:val="000000"/>
                <w:kern w:val="0"/>
                <w:szCs w:val="21"/>
                <w:highlight w:val="none"/>
              </w:rPr>
            </w:pPr>
            <w:r>
              <w:rPr>
                <w:rFonts w:hAnsiTheme="minorEastAsia" w:eastAsiaTheme="minorEastAsia"/>
                <w:color w:val="000000"/>
                <w:kern w:val="0"/>
                <w:szCs w:val="21"/>
                <w:highlight w:val="none"/>
              </w:rPr>
              <w:t>双城河</w:t>
            </w:r>
          </w:p>
        </w:tc>
        <w:tc>
          <w:tcPr>
            <w:tcW w:w="1006" w:type="dxa"/>
            <w:shd w:val="clear" w:color="auto" w:fill="auto"/>
            <w:noWrap/>
            <w:vAlign w:val="center"/>
          </w:tcPr>
          <w:p>
            <w:pPr>
              <w:widowControl/>
              <w:spacing w:line="300" w:lineRule="exact"/>
              <w:jc w:val="center"/>
              <w:rPr>
                <w:rFonts w:eastAsiaTheme="minorEastAsia"/>
                <w:kern w:val="0"/>
                <w:szCs w:val="21"/>
                <w:highlight w:val="none"/>
              </w:rPr>
            </w:pPr>
            <w:r>
              <w:rPr>
                <w:rFonts w:eastAsiaTheme="minorEastAsia"/>
                <w:kern w:val="0"/>
                <w:szCs w:val="21"/>
                <w:highlight w:val="none"/>
              </w:rPr>
              <w:t>3500</w:t>
            </w:r>
          </w:p>
        </w:tc>
        <w:tc>
          <w:tcPr>
            <w:tcW w:w="832" w:type="dxa"/>
            <w:shd w:val="clear" w:color="auto" w:fill="auto"/>
            <w:noWrap/>
            <w:vAlign w:val="center"/>
          </w:tcPr>
          <w:p>
            <w:pPr>
              <w:widowControl/>
              <w:spacing w:line="300" w:lineRule="exact"/>
              <w:jc w:val="center"/>
              <w:rPr>
                <w:rFonts w:eastAsiaTheme="minorEastAsia"/>
                <w:kern w:val="0"/>
                <w:szCs w:val="21"/>
                <w:highlight w:val="none"/>
              </w:rPr>
            </w:pPr>
          </w:p>
        </w:tc>
        <w:tc>
          <w:tcPr>
            <w:tcW w:w="793" w:type="dxa"/>
            <w:shd w:val="clear" w:color="auto" w:fill="auto"/>
            <w:noWrap/>
            <w:vAlign w:val="center"/>
          </w:tcPr>
          <w:p>
            <w:pPr>
              <w:widowControl/>
              <w:spacing w:line="300" w:lineRule="exact"/>
              <w:jc w:val="center"/>
              <w:rPr>
                <w:rFonts w:eastAsiaTheme="minorEastAsia"/>
                <w:kern w:val="0"/>
                <w:szCs w:val="21"/>
                <w:highlight w:val="none"/>
              </w:rPr>
            </w:pPr>
          </w:p>
        </w:tc>
        <w:tc>
          <w:tcPr>
            <w:tcW w:w="897" w:type="dxa"/>
            <w:shd w:val="clear" w:color="auto" w:fill="auto"/>
            <w:noWrap/>
            <w:vAlign w:val="center"/>
          </w:tcPr>
          <w:p>
            <w:pPr>
              <w:widowControl/>
              <w:spacing w:line="300" w:lineRule="exact"/>
              <w:jc w:val="center"/>
              <w:rPr>
                <w:rFonts w:eastAsiaTheme="minorEastAsia"/>
                <w:kern w:val="0"/>
                <w:szCs w:val="21"/>
                <w:highlight w:val="none"/>
              </w:rPr>
            </w:pPr>
            <w:r>
              <w:rPr>
                <w:rFonts w:eastAsiaTheme="minorEastAsia"/>
                <w:kern w:val="0"/>
                <w:szCs w:val="21"/>
                <w:highlight w:val="none"/>
              </w:rPr>
              <w:t>20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2999" w:type="dxa"/>
            <w:shd w:val="clear" w:color="auto" w:fill="auto"/>
            <w:vAlign w:val="center"/>
          </w:tcPr>
          <w:p>
            <w:pPr>
              <w:widowControl/>
              <w:spacing w:line="300" w:lineRule="exact"/>
              <w:jc w:val="center"/>
              <w:rPr>
                <w:rFonts w:eastAsiaTheme="minorEastAsia"/>
                <w:color w:val="000000"/>
                <w:kern w:val="0"/>
                <w:szCs w:val="21"/>
                <w:highlight w:val="none"/>
              </w:rPr>
            </w:pPr>
            <w:r>
              <w:rPr>
                <w:rFonts w:hAnsiTheme="minorEastAsia" w:eastAsiaTheme="minorEastAsia"/>
                <w:color w:val="000000"/>
                <w:kern w:val="0"/>
                <w:szCs w:val="21"/>
                <w:highlight w:val="none"/>
              </w:rPr>
              <w:t>遵化市燕都商贸有限公司</w:t>
            </w:r>
          </w:p>
        </w:tc>
        <w:tc>
          <w:tcPr>
            <w:tcW w:w="978" w:type="dxa"/>
            <w:shd w:val="clear" w:color="auto" w:fill="auto"/>
            <w:vAlign w:val="center"/>
          </w:tcPr>
          <w:p>
            <w:pPr>
              <w:widowControl/>
              <w:spacing w:line="300" w:lineRule="exact"/>
              <w:jc w:val="center"/>
              <w:rPr>
                <w:rFonts w:eastAsiaTheme="minorEastAsia"/>
                <w:color w:val="000000"/>
                <w:kern w:val="0"/>
                <w:szCs w:val="21"/>
                <w:highlight w:val="none"/>
              </w:rPr>
            </w:pPr>
            <w:r>
              <w:rPr>
                <w:rFonts w:hAnsiTheme="minorEastAsia" w:eastAsiaTheme="minorEastAsia"/>
                <w:color w:val="000000"/>
                <w:kern w:val="0"/>
                <w:szCs w:val="21"/>
                <w:highlight w:val="none"/>
              </w:rPr>
              <w:t>大于沟村</w:t>
            </w:r>
          </w:p>
        </w:tc>
        <w:tc>
          <w:tcPr>
            <w:tcW w:w="913" w:type="dxa"/>
            <w:shd w:val="clear" w:color="auto" w:fill="auto"/>
            <w:vAlign w:val="center"/>
          </w:tcPr>
          <w:p>
            <w:pPr>
              <w:widowControl/>
              <w:spacing w:line="300" w:lineRule="exact"/>
              <w:jc w:val="center"/>
              <w:rPr>
                <w:rFonts w:eastAsiaTheme="minorEastAsia"/>
                <w:color w:val="000000"/>
                <w:kern w:val="0"/>
                <w:szCs w:val="21"/>
                <w:highlight w:val="none"/>
              </w:rPr>
            </w:pPr>
            <w:r>
              <w:rPr>
                <w:rFonts w:hAnsiTheme="minorEastAsia" w:eastAsiaTheme="minorEastAsia"/>
                <w:color w:val="000000"/>
                <w:kern w:val="0"/>
                <w:szCs w:val="21"/>
                <w:highlight w:val="none"/>
              </w:rPr>
              <w:t>黎河</w:t>
            </w:r>
          </w:p>
        </w:tc>
        <w:tc>
          <w:tcPr>
            <w:tcW w:w="1006" w:type="dxa"/>
            <w:shd w:val="clear" w:color="auto" w:fill="auto"/>
            <w:vAlign w:val="center"/>
          </w:tcPr>
          <w:p>
            <w:pPr>
              <w:widowControl/>
              <w:spacing w:line="300" w:lineRule="exact"/>
              <w:jc w:val="center"/>
              <w:rPr>
                <w:rFonts w:eastAsiaTheme="minorEastAsia"/>
                <w:kern w:val="0"/>
                <w:szCs w:val="21"/>
                <w:highlight w:val="none"/>
              </w:rPr>
            </w:pPr>
            <w:r>
              <w:rPr>
                <w:rFonts w:eastAsiaTheme="minorEastAsia"/>
                <w:kern w:val="0"/>
                <w:szCs w:val="21"/>
                <w:highlight w:val="none"/>
              </w:rPr>
              <w:t>0</w:t>
            </w:r>
          </w:p>
        </w:tc>
        <w:tc>
          <w:tcPr>
            <w:tcW w:w="832" w:type="dxa"/>
            <w:shd w:val="clear" w:color="auto" w:fill="auto"/>
            <w:vAlign w:val="center"/>
          </w:tcPr>
          <w:p>
            <w:pPr>
              <w:widowControl/>
              <w:spacing w:line="300" w:lineRule="exact"/>
              <w:jc w:val="center"/>
              <w:rPr>
                <w:rFonts w:eastAsiaTheme="minorEastAsia"/>
                <w:kern w:val="0"/>
                <w:szCs w:val="21"/>
                <w:highlight w:val="none"/>
              </w:rPr>
            </w:pPr>
            <w:r>
              <w:rPr>
                <w:rFonts w:eastAsiaTheme="minorEastAsia"/>
                <w:kern w:val="0"/>
                <w:szCs w:val="21"/>
                <w:highlight w:val="none"/>
              </w:rPr>
              <w:t>0</w:t>
            </w:r>
          </w:p>
        </w:tc>
        <w:tc>
          <w:tcPr>
            <w:tcW w:w="793" w:type="dxa"/>
            <w:shd w:val="clear" w:color="auto" w:fill="auto"/>
            <w:vAlign w:val="center"/>
          </w:tcPr>
          <w:p>
            <w:pPr>
              <w:widowControl/>
              <w:spacing w:line="300" w:lineRule="exact"/>
              <w:jc w:val="center"/>
              <w:rPr>
                <w:rFonts w:eastAsiaTheme="minorEastAsia"/>
                <w:kern w:val="0"/>
                <w:szCs w:val="21"/>
                <w:highlight w:val="none"/>
              </w:rPr>
            </w:pPr>
            <w:r>
              <w:rPr>
                <w:rFonts w:eastAsiaTheme="minorEastAsia"/>
                <w:kern w:val="0"/>
                <w:szCs w:val="21"/>
                <w:highlight w:val="none"/>
              </w:rPr>
              <w:t>0</w:t>
            </w:r>
          </w:p>
        </w:tc>
        <w:tc>
          <w:tcPr>
            <w:tcW w:w="897" w:type="dxa"/>
            <w:shd w:val="clear" w:color="auto" w:fill="auto"/>
            <w:vAlign w:val="center"/>
          </w:tcPr>
          <w:p>
            <w:pPr>
              <w:widowControl/>
              <w:spacing w:line="300" w:lineRule="exact"/>
              <w:jc w:val="center"/>
              <w:rPr>
                <w:rFonts w:eastAsiaTheme="minorEastAsia"/>
                <w:kern w:val="0"/>
                <w:szCs w:val="21"/>
                <w:highlight w:val="none"/>
              </w:rPr>
            </w:pPr>
            <w:r>
              <w:rPr>
                <w:rFonts w:eastAsiaTheme="minorEastAsia"/>
                <w:kern w:val="0"/>
                <w:szCs w:val="21"/>
                <w:highlight w:val="none"/>
              </w:rPr>
              <w:t>260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2999" w:type="dxa"/>
            <w:shd w:val="clear" w:color="auto" w:fill="auto"/>
            <w:vAlign w:val="center"/>
          </w:tcPr>
          <w:p>
            <w:pPr>
              <w:widowControl/>
              <w:spacing w:line="300" w:lineRule="exact"/>
              <w:jc w:val="center"/>
              <w:rPr>
                <w:rFonts w:eastAsiaTheme="minorEastAsia"/>
                <w:color w:val="000000"/>
                <w:kern w:val="0"/>
                <w:szCs w:val="21"/>
                <w:highlight w:val="none"/>
              </w:rPr>
            </w:pPr>
            <w:r>
              <w:rPr>
                <w:rFonts w:hAnsiTheme="minorEastAsia" w:eastAsiaTheme="minorEastAsia"/>
                <w:color w:val="000000"/>
                <w:kern w:val="0"/>
                <w:szCs w:val="21"/>
                <w:highlight w:val="none"/>
              </w:rPr>
              <w:t>遵化市口福食品有限公司</w:t>
            </w:r>
          </w:p>
        </w:tc>
        <w:tc>
          <w:tcPr>
            <w:tcW w:w="978" w:type="dxa"/>
            <w:shd w:val="clear" w:color="auto" w:fill="auto"/>
            <w:vAlign w:val="center"/>
          </w:tcPr>
          <w:p>
            <w:pPr>
              <w:widowControl/>
              <w:spacing w:line="300" w:lineRule="exact"/>
              <w:jc w:val="center"/>
              <w:rPr>
                <w:rFonts w:eastAsiaTheme="minorEastAsia"/>
                <w:color w:val="000000"/>
                <w:kern w:val="0"/>
                <w:szCs w:val="21"/>
                <w:highlight w:val="none"/>
              </w:rPr>
            </w:pPr>
            <w:r>
              <w:rPr>
                <w:rFonts w:hAnsiTheme="minorEastAsia" w:eastAsiaTheme="minorEastAsia"/>
                <w:color w:val="000000"/>
                <w:kern w:val="0"/>
                <w:szCs w:val="21"/>
                <w:highlight w:val="none"/>
              </w:rPr>
              <w:t>闫屯村</w:t>
            </w:r>
          </w:p>
        </w:tc>
        <w:tc>
          <w:tcPr>
            <w:tcW w:w="913" w:type="dxa"/>
            <w:shd w:val="clear" w:color="auto" w:fill="auto"/>
            <w:vAlign w:val="center"/>
          </w:tcPr>
          <w:p>
            <w:pPr>
              <w:widowControl/>
              <w:spacing w:line="300" w:lineRule="exact"/>
              <w:jc w:val="center"/>
              <w:rPr>
                <w:rFonts w:eastAsiaTheme="minorEastAsia"/>
                <w:color w:val="000000"/>
                <w:kern w:val="0"/>
                <w:szCs w:val="21"/>
                <w:highlight w:val="none"/>
              </w:rPr>
            </w:pPr>
            <w:r>
              <w:rPr>
                <w:rFonts w:hAnsiTheme="minorEastAsia" w:eastAsiaTheme="minorEastAsia"/>
                <w:color w:val="000000"/>
                <w:kern w:val="0"/>
                <w:szCs w:val="21"/>
                <w:highlight w:val="none"/>
              </w:rPr>
              <w:t>黎河</w:t>
            </w:r>
          </w:p>
        </w:tc>
        <w:tc>
          <w:tcPr>
            <w:tcW w:w="1006" w:type="dxa"/>
            <w:shd w:val="clear" w:color="auto" w:fill="auto"/>
            <w:vAlign w:val="center"/>
          </w:tcPr>
          <w:p>
            <w:pPr>
              <w:widowControl/>
              <w:spacing w:line="300" w:lineRule="exact"/>
              <w:jc w:val="center"/>
              <w:rPr>
                <w:rFonts w:eastAsiaTheme="minorEastAsia"/>
                <w:kern w:val="0"/>
                <w:szCs w:val="21"/>
                <w:highlight w:val="none"/>
              </w:rPr>
            </w:pPr>
            <w:r>
              <w:rPr>
                <w:rFonts w:eastAsiaTheme="minorEastAsia"/>
                <w:kern w:val="0"/>
                <w:szCs w:val="21"/>
                <w:highlight w:val="none"/>
              </w:rPr>
              <w:t>120</w:t>
            </w:r>
          </w:p>
        </w:tc>
        <w:tc>
          <w:tcPr>
            <w:tcW w:w="832" w:type="dxa"/>
            <w:shd w:val="clear" w:color="auto" w:fill="auto"/>
            <w:vAlign w:val="center"/>
          </w:tcPr>
          <w:p>
            <w:pPr>
              <w:widowControl/>
              <w:spacing w:line="300" w:lineRule="exact"/>
              <w:jc w:val="center"/>
              <w:rPr>
                <w:rFonts w:eastAsiaTheme="minorEastAsia"/>
                <w:kern w:val="0"/>
                <w:szCs w:val="21"/>
                <w:highlight w:val="none"/>
              </w:rPr>
            </w:pPr>
            <w:r>
              <w:rPr>
                <w:rFonts w:eastAsiaTheme="minorEastAsia"/>
                <w:kern w:val="0"/>
                <w:szCs w:val="21"/>
                <w:highlight w:val="none"/>
              </w:rPr>
              <w:t>0.006</w:t>
            </w:r>
          </w:p>
        </w:tc>
        <w:tc>
          <w:tcPr>
            <w:tcW w:w="793" w:type="dxa"/>
            <w:shd w:val="clear" w:color="auto" w:fill="auto"/>
            <w:vAlign w:val="center"/>
          </w:tcPr>
          <w:p>
            <w:pPr>
              <w:widowControl/>
              <w:spacing w:line="300" w:lineRule="exact"/>
              <w:jc w:val="center"/>
              <w:rPr>
                <w:rFonts w:eastAsiaTheme="minorEastAsia"/>
                <w:kern w:val="0"/>
                <w:szCs w:val="21"/>
                <w:highlight w:val="none"/>
              </w:rPr>
            </w:pPr>
            <w:r>
              <w:rPr>
                <w:rFonts w:eastAsiaTheme="minorEastAsia"/>
                <w:kern w:val="0"/>
                <w:szCs w:val="21"/>
                <w:highlight w:val="none"/>
              </w:rPr>
              <w:t>0.002</w:t>
            </w:r>
          </w:p>
        </w:tc>
        <w:tc>
          <w:tcPr>
            <w:tcW w:w="897" w:type="dxa"/>
            <w:shd w:val="clear" w:color="auto" w:fill="auto"/>
            <w:vAlign w:val="center"/>
          </w:tcPr>
          <w:p>
            <w:pPr>
              <w:widowControl/>
              <w:spacing w:line="300" w:lineRule="exact"/>
              <w:jc w:val="center"/>
              <w:rPr>
                <w:rFonts w:eastAsiaTheme="minorEastAsia"/>
                <w:kern w:val="0"/>
                <w:szCs w:val="21"/>
                <w:highlight w:val="none"/>
              </w:rPr>
            </w:pPr>
            <w:r>
              <w:rPr>
                <w:rFonts w:eastAsiaTheme="minorEastAsia"/>
                <w:kern w:val="0"/>
                <w:szCs w:val="21"/>
                <w:highlight w:val="none"/>
              </w:rPr>
              <w:t>500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2999" w:type="dxa"/>
            <w:shd w:val="clear" w:color="auto" w:fill="auto"/>
            <w:vAlign w:val="center"/>
          </w:tcPr>
          <w:p>
            <w:pPr>
              <w:widowControl/>
              <w:spacing w:line="300" w:lineRule="exact"/>
              <w:jc w:val="center"/>
              <w:rPr>
                <w:rFonts w:eastAsiaTheme="minorEastAsia"/>
                <w:kern w:val="0"/>
                <w:szCs w:val="21"/>
                <w:highlight w:val="none"/>
              </w:rPr>
            </w:pPr>
            <w:r>
              <w:rPr>
                <w:rFonts w:hAnsiTheme="minorEastAsia" w:eastAsiaTheme="minorEastAsia"/>
                <w:kern w:val="0"/>
                <w:szCs w:val="21"/>
                <w:highlight w:val="none"/>
              </w:rPr>
              <w:t>遵化市连顺板栗加工厂</w:t>
            </w:r>
          </w:p>
        </w:tc>
        <w:tc>
          <w:tcPr>
            <w:tcW w:w="978" w:type="dxa"/>
            <w:shd w:val="clear" w:color="auto" w:fill="auto"/>
            <w:vAlign w:val="center"/>
          </w:tcPr>
          <w:p>
            <w:pPr>
              <w:widowControl/>
              <w:spacing w:line="300" w:lineRule="exact"/>
              <w:jc w:val="center"/>
              <w:rPr>
                <w:rFonts w:eastAsiaTheme="minorEastAsia"/>
                <w:kern w:val="0"/>
                <w:szCs w:val="21"/>
                <w:highlight w:val="none"/>
              </w:rPr>
            </w:pPr>
            <w:r>
              <w:rPr>
                <w:rFonts w:hAnsiTheme="minorEastAsia" w:eastAsiaTheme="minorEastAsia"/>
                <w:kern w:val="0"/>
                <w:szCs w:val="21"/>
                <w:highlight w:val="none"/>
              </w:rPr>
              <w:t>东黎河庄</w:t>
            </w:r>
          </w:p>
        </w:tc>
        <w:tc>
          <w:tcPr>
            <w:tcW w:w="913" w:type="dxa"/>
            <w:shd w:val="clear" w:color="auto" w:fill="auto"/>
            <w:vAlign w:val="center"/>
          </w:tcPr>
          <w:p>
            <w:pPr>
              <w:widowControl/>
              <w:spacing w:line="300" w:lineRule="exact"/>
              <w:jc w:val="center"/>
              <w:rPr>
                <w:rFonts w:eastAsiaTheme="minorEastAsia"/>
                <w:kern w:val="0"/>
                <w:szCs w:val="21"/>
                <w:highlight w:val="none"/>
              </w:rPr>
            </w:pPr>
            <w:r>
              <w:rPr>
                <w:rFonts w:hAnsiTheme="minorEastAsia" w:eastAsiaTheme="minorEastAsia"/>
                <w:kern w:val="0"/>
                <w:szCs w:val="21"/>
                <w:highlight w:val="none"/>
              </w:rPr>
              <w:t>黎河</w:t>
            </w:r>
          </w:p>
        </w:tc>
        <w:tc>
          <w:tcPr>
            <w:tcW w:w="1006" w:type="dxa"/>
            <w:shd w:val="clear" w:color="auto" w:fill="auto"/>
            <w:vAlign w:val="center"/>
          </w:tcPr>
          <w:p>
            <w:pPr>
              <w:widowControl/>
              <w:spacing w:line="300" w:lineRule="exact"/>
              <w:jc w:val="center"/>
              <w:rPr>
                <w:rFonts w:eastAsiaTheme="minorEastAsia"/>
                <w:kern w:val="0"/>
                <w:szCs w:val="21"/>
                <w:highlight w:val="none"/>
              </w:rPr>
            </w:pPr>
            <w:r>
              <w:rPr>
                <w:rFonts w:eastAsiaTheme="minorEastAsia"/>
                <w:kern w:val="0"/>
                <w:szCs w:val="21"/>
                <w:highlight w:val="none"/>
              </w:rPr>
              <w:t>200</w:t>
            </w:r>
          </w:p>
        </w:tc>
        <w:tc>
          <w:tcPr>
            <w:tcW w:w="832" w:type="dxa"/>
            <w:shd w:val="clear" w:color="auto" w:fill="auto"/>
            <w:vAlign w:val="center"/>
          </w:tcPr>
          <w:p>
            <w:pPr>
              <w:widowControl/>
              <w:spacing w:line="300" w:lineRule="exact"/>
              <w:jc w:val="center"/>
              <w:rPr>
                <w:rFonts w:eastAsiaTheme="minorEastAsia"/>
                <w:kern w:val="0"/>
                <w:szCs w:val="21"/>
                <w:highlight w:val="none"/>
              </w:rPr>
            </w:pPr>
            <w:r>
              <w:rPr>
                <w:rFonts w:eastAsiaTheme="minorEastAsia"/>
                <w:kern w:val="0"/>
                <w:szCs w:val="21"/>
                <w:highlight w:val="none"/>
              </w:rPr>
              <w:t>0.006</w:t>
            </w:r>
          </w:p>
        </w:tc>
        <w:tc>
          <w:tcPr>
            <w:tcW w:w="793" w:type="dxa"/>
            <w:shd w:val="clear" w:color="auto" w:fill="auto"/>
            <w:vAlign w:val="center"/>
          </w:tcPr>
          <w:p>
            <w:pPr>
              <w:widowControl/>
              <w:spacing w:line="300" w:lineRule="exact"/>
              <w:jc w:val="center"/>
              <w:rPr>
                <w:rFonts w:eastAsiaTheme="minorEastAsia"/>
                <w:kern w:val="0"/>
                <w:szCs w:val="21"/>
                <w:highlight w:val="none"/>
              </w:rPr>
            </w:pPr>
            <w:r>
              <w:rPr>
                <w:rFonts w:eastAsiaTheme="minorEastAsia"/>
                <w:kern w:val="0"/>
                <w:szCs w:val="21"/>
                <w:highlight w:val="none"/>
              </w:rPr>
              <w:t>0.003</w:t>
            </w:r>
          </w:p>
        </w:tc>
        <w:tc>
          <w:tcPr>
            <w:tcW w:w="897" w:type="dxa"/>
            <w:shd w:val="clear" w:color="auto" w:fill="auto"/>
            <w:vAlign w:val="center"/>
          </w:tcPr>
          <w:p>
            <w:pPr>
              <w:widowControl/>
              <w:spacing w:line="300" w:lineRule="exact"/>
              <w:jc w:val="center"/>
              <w:rPr>
                <w:rFonts w:eastAsiaTheme="minorEastAsia"/>
                <w:kern w:val="0"/>
                <w:szCs w:val="21"/>
                <w:highlight w:val="none"/>
              </w:rPr>
            </w:pPr>
            <w:r>
              <w:rPr>
                <w:rFonts w:eastAsiaTheme="minorEastAsia"/>
                <w:kern w:val="0"/>
                <w:szCs w:val="21"/>
                <w:highlight w:val="none"/>
              </w:rPr>
              <w:t>150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60" w:hRule="atLeast"/>
          <w:jc w:val="center"/>
        </w:trPr>
        <w:tc>
          <w:tcPr>
            <w:tcW w:w="2999" w:type="dxa"/>
            <w:shd w:val="clear" w:color="auto" w:fill="auto"/>
            <w:vAlign w:val="center"/>
          </w:tcPr>
          <w:p>
            <w:pPr>
              <w:widowControl/>
              <w:spacing w:line="300" w:lineRule="exact"/>
              <w:jc w:val="center"/>
              <w:rPr>
                <w:rFonts w:eastAsiaTheme="minorEastAsia"/>
                <w:kern w:val="0"/>
                <w:szCs w:val="21"/>
                <w:highlight w:val="none"/>
              </w:rPr>
            </w:pPr>
            <w:r>
              <w:rPr>
                <w:rFonts w:hAnsiTheme="minorEastAsia" w:eastAsiaTheme="minorEastAsia"/>
                <w:kern w:val="0"/>
                <w:szCs w:val="21"/>
                <w:highlight w:val="none"/>
              </w:rPr>
              <w:t>唐山金泰旺食品有限公司</w:t>
            </w:r>
          </w:p>
        </w:tc>
        <w:tc>
          <w:tcPr>
            <w:tcW w:w="978" w:type="dxa"/>
            <w:shd w:val="clear" w:color="auto" w:fill="auto"/>
            <w:vAlign w:val="center"/>
          </w:tcPr>
          <w:p>
            <w:pPr>
              <w:widowControl/>
              <w:spacing w:line="300" w:lineRule="exact"/>
              <w:jc w:val="center"/>
              <w:rPr>
                <w:rFonts w:eastAsiaTheme="minorEastAsia"/>
                <w:kern w:val="0"/>
                <w:szCs w:val="21"/>
                <w:highlight w:val="none"/>
              </w:rPr>
            </w:pPr>
            <w:r>
              <w:rPr>
                <w:rFonts w:hAnsiTheme="minorEastAsia" w:eastAsiaTheme="minorEastAsia"/>
                <w:kern w:val="0"/>
                <w:szCs w:val="21"/>
                <w:highlight w:val="none"/>
              </w:rPr>
              <w:t>新店子村</w:t>
            </w:r>
          </w:p>
        </w:tc>
        <w:tc>
          <w:tcPr>
            <w:tcW w:w="913" w:type="dxa"/>
            <w:shd w:val="clear" w:color="auto" w:fill="auto"/>
            <w:vAlign w:val="center"/>
          </w:tcPr>
          <w:p>
            <w:pPr>
              <w:widowControl/>
              <w:spacing w:line="300" w:lineRule="exact"/>
              <w:jc w:val="center"/>
              <w:rPr>
                <w:rFonts w:eastAsiaTheme="minorEastAsia"/>
                <w:kern w:val="0"/>
                <w:szCs w:val="21"/>
                <w:highlight w:val="none"/>
              </w:rPr>
            </w:pPr>
            <w:r>
              <w:rPr>
                <w:rFonts w:hAnsiTheme="minorEastAsia" w:eastAsiaTheme="minorEastAsia"/>
                <w:kern w:val="0"/>
                <w:szCs w:val="21"/>
                <w:highlight w:val="none"/>
              </w:rPr>
              <w:t>大老峪河</w:t>
            </w:r>
          </w:p>
        </w:tc>
        <w:tc>
          <w:tcPr>
            <w:tcW w:w="1006" w:type="dxa"/>
            <w:shd w:val="clear" w:color="auto" w:fill="auto"/>
            <w:vAlign w:val="center"/>
          </w:tcPr>
          <w:p>
            <w:pPr>
              <w:widowControl/>
              <w:spacing w:line="300" w:lineRule="exact"/>
              <w:jc w:val="center"/>
              <w:rPr>
                <w:rFonts w:eastAsiaTheme="minorEastAsia"/>
                <w:kern w:val="0"/>
                <w:szCs w:val="21"/>
                <w:highlight w:val="none"/>
              </w:rPr>
            </w:pPr>
            <w:r>
              <w:rPr>
                <w:rFonts w:eastAsiaTheme="minorEastAsia"/>
                <w:kern w:val="0"/>
                <w:szCs w:val="21"/>
                <w:highlight w:val="none"/>
              </w:rPr>
              <w:t>300</w:t>
            </w:r>
          </w:p>
        </w:tc>
        <w:tc>
          <w:tcPr>
            <w:tcW w:w="832" w:type="dxa"/>
            <w:shd w:val="clear" w:color="auto" w:fill="auto"/>
            <w:vAlign w:val="center"/>
          </w:tcPr>
          <w:p>
            <w:pPr>
              <w:widowControl/>
              <w:spacing w:line="300" w:lineRule="exact"/>
              <w:jc w:val="center"/>
              <w:rPr>
                <w:rFonts w:eastAsiaTheme="minorEastAsia"/>
                <w:kern w:val="0"/>
                <w:szCs w:val="21"/>
                <w:highlight w:val="none"/>
              </w:rPr>
            </w:pPr>
            <w:r>
              <w:rPr>
                <w:rFonts w:eastAsiaTheme="minorEastAsia"/>
                <w:kern w:val="0"/>
                <w:szCs w:val="21"/>
                <w:highlight w:val="none"/>
              </w:rPr>
              <w:t>0.015</w:t>
            </w:r>
          </w:p>
        </w:tc>
        <w:tc>
          <w:tcPr>
            <w:tcW w:w="793" w:type="dxa"/>
            <w:shd w:val="clear" w:color="auto" w:fill="auto"/>
            <w:vAlign w:val="center"/>
          </w:tcPr>
          <w:p>
            <w:pPr>
              <w:widowControl/>
              <w:spacing w:line="300" w:lineRule="exact"/>
              <w:jc w:val="center"/>
              <w:rPr>
                <w:rFonts w:eastAsiaTheme="minorEastAsia"/>
                <w:kern w:val="0"/>
                <w:szCs w:val="21"/>
                <w:highlight w:val="none"/>
              </w:rPr>
            </w:pPr>
            <w:r>
              <w:rPr>
                <w:rFonts w:eastAsiaTheme="minorEastAsia"/>
                <w:kern w:val="0"/>
                <w:szCs w:val="21"/>
                <w:highlight w:val="none"/>
              </w:rPr>
              <w:t>0.005</w:t>
            </w:r>
          </w:p>
        </w:tc>
        <w:tc>
          <w:tcPr>
            <w:tcW w:w="897" w:type="dxa"/>
            <w:shd w:val="clear" w:color="auto" w:fill="auto"/>
            <w:vAlign w:val="center"/>
          </w:tcPr>
          <w:p>
            <w:pPr>
              <w:widowControl/>
              <w:spacing w:line="300" w:lineRule="exact"/>
              <w:jc w:val="center"/>
              <w:rPr>
                <w:rFonts w:eastAsiaTheme="minorEastAsia"/>
                <w:kern w:val="0"/>
                <w:szCs w:val="21"/>
                <w:highlight w:val="none"/>
              </w:rPr>
            </w:pPr>
            <w:r>
              <w:rPr>
                <w:rFonts w:eastAsiaTheme="minorEastAsia"/>
                <w:kern w:val="0"/>
                <w:szCs w:val="21"/>
                <w:highlight w:val="none"/>
              </w:rPr>
              <w:t>50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2999" w:type="dxa"/>
            <w:shd w:val="clear" w:color="auto" w:fill="auto"/>
            <w:vAlign w:val="center"/>
          </w:tcPr>
          <w:p>
            <w:pPr>
              <w:widowControl/>
              <w:spacing w:line="300" w:lineRule="exact"/>
              <w:jc w:val="center"/>
              <w:rPr>
                <w:rFonts w:eastAsiaTheme="minorEastAsia"/>
                <w:kern w:val="0"/>
                <w:szCs w:val="21"/>
                <w:highlight w:val="none"/>
              </w:rPr>
            </w:pPr>
            <w:r>
              <w:rPr>
                <w:rFonts w:hAnsiTheme="minorEastAsia" w:eastAsiaTheme="minorEastAsia"/>
                <w:kern w:val="0"/>
                <w:szCs w:val="21"/>
                <w:highlight w:val="none"/>
              </w:rPr>
              <w:t>合计</w:t>
            </w:r>
          </w:p>
        </w:tc>
        <w:tc>
          <w:tcPr>
            <w:tcW w:w="978" w:type="dxa"/>
            <w:shd w:val="clear" w:color="auto" w:fill="auto"/>
            <w:vAlign w:val="center"/>
          </w:tcPr>
          <w:p>
            <w:pPr>
              <w:widowControl/>
              <w:spacing w:line="300" w:lineRule="exact"/>
              <w:jc w:val="center"/>
              <w:rPr>
                <w:rFonts w:eastAsiaTheme="minorEastAsia"/>
                <w:kern w:val="0"/>
                <w:szCs w:val="21"/>
                <w:highlight w:val="none"/>
              </w:rPr>
            </w:pPr>
          </w:p>
        </w:tc>
        <w:tc>
          <w:tcPr>
            <w:tcW w:w="913" w:type="dxa"/>
            <w:shd w:val="clear" w:color="auto" w:fill="auto"/>
            <w:vAlign w:val="center"/>
          </w:tcPr>
          <w:p>
            <w:pPr>
              <w:widowControl/>
              <w:spacing w:line="300" w:lineRule="exact"/>
              <w:jc w:val="center"/>
              <w:rPr>
                <w:rFonts w:eastAsiaTheme="minorEastAsia"/>
                <w:kern w:val="0"/>
                <w:szCs w:val="21"/>
                <w:highlight w:val="none"/>
              </w:rPr>
            </w:pPr>
          </w:p>
        </w:tc>
        <w:tc>
          <w:tcPr>
            <w:tcW w:w="1006" w:type="dxa"/>
            <w:shd w:val="clear" w:color="auto" w:fill="auto"/>
            <w:vAlign w:val="center"/>
          </w:tcPr>
          <w:p>
            <w:pPr>
              <w:widowControl/>
              <w:spacing w:line="300" w:lineRule="exact"/>
              <w:jc w:val="center"/>
              <w:rPr>
                <w:rFonts w:eastAsiaTheme="minorEastAsia"/>
                <w:kern w:val="0"/>
                <w:szCs w:val="21"/>
                <w:highlight w:val="none"/>
              </w:rPr>
            </w:pPr>
            <w:r>
              <w:rPr>
                <w:rFonts w:eastAsiaTheme="minorEastAsia"/>
                <w:kern w:val="0"/>
                <w:szCs w:val="21"/>
                <w:highlight w:val="none"/>
              </w:rPr>
              <w:t>4120</w:t>
            </w:r>
          </w:p>
        </w:tc>
        <w:tc>
          <w:tcPr>
            <w:tcW w:w="832" w:type="dxa"/>
            <w:shd w:val="clear" w:color="auto" w:fill="auto"/>
            <w:vAlign w:val="center"/>
          </w:tcPr>
          <w:p>
            <w:pPr>
              <w:widowControl/>
              <w:spacing w:line="300" w:lineRule="exact"/>
              <w:jc w:val="center"/>
              <w:rPr>
                <w:rFonts w:eastAsiaTheme="minorEastAsia"/>
                <w:kern w:val="0"/>
                <w:szCs w:val="21"/>
                <w:highlight w:val="none"/>
              </w:rPr>
            </w:pPr>
            <w:r>
              <w:rPr>
                <w:rFonts w:eastAsiaTheme="minorEastAsia"/>
                <w:kern w:val="0"/>
                <w:szCs w:val="21"/>
                <w:highlight w:val="none"/>
              </w:rPr>
              <w:t>0.027</w:t>
            </w:r>
          </w:p>
        </w:tc>
        <w:tc>
          <w:tcPr>
            <w:tcW w:w="793" w:type="dxa"/>
            <w:shd w:val="clear" w:color="auto" w:fill="auto"/>
            <w:vAlign w:val="center"/>
          </w:tcPr>
          <w:p>
            <w:pPr>
              <w:widowControl/>
              <w:spacing w:line="300" w:lineRule="exact"/>
              <w:jc w:val="center"/>
              <w:rPr>
                <w:rFonts w:eastAsiaTheme="minorEastAsia"/>
                <w:kern w:val="0"/>
                <w:szCs w:val="21"/>
                <w:highlight w:val="none"/>
              </w:rPr>
            </w:pPr>
            <w:r>
              <w:rPr>
                <w:rFonts w:eastAsiaTheme="minorEastAsia"/>
                <w:kern w:val="0"/>
                <w:szCs w:val="21"/>
                <w:highlight w:val="none"/>
              </w:rPr>
              <w:t>0.01</w:t>
            </w:r>
          </w:p>
        </w:tc>
        <w:tc>
          <w:tcPr>
            <w:tcW w:w="897" w:type="dxa"/>
            <w:shd w:val="clear" w:color="auto" w:fill="auto"/>
            <w:vAlign w:val="center"/>
          </w:tcPr>
          <w:p>
            <w:pPr>
              <w:widowControl/>
              <w:spacing w:line="300" w:lineRule="exact"/>
              <w:jc w:val="center"/>
              <w:rPr>
                <w:rFonts w:eastAsiaTheme="minorEastAsia"/>
                <w:kern w:val="0"/>
                <w:szCs w:val="21"/>
                <w:highlight w:val="none"/>
              </w:rPr>
            </w:pPr>
            <w:r>
              <w:rPr>
                <w:rFonts w:eastAsiaTheme="minorEastAsia"/>
                <w:kern w:val="0"/>
                <w:szCs w:val="21"/>
                <w:highlight w:val="none"/>
              </w:rPr>
              <w:t>—</w:t>
            </w:r>
          </w:p>
        </w:tc>
      </w:tr>
    </w:tbl>
    <w:p>
      <w:pPr>
        <w:rPr>
          <w:rFonts w:asciiTheme="majorEastAsia" w:hAnsiTheme="majorEastAsia" w:eastAsiaTheme="majorEastAsia"/>
          <w:szCs w:val="21"/>
          <w:highlight w:val="none"/>
        </w:rPr>
      </w:pPr>
      <w:r>
        <w:rPr>
          <w:rFonts w:hint="eastAsia" w:asciiTheme="majorEastAsia" w:hAnsiTheme="majorEastAsia" w:eastAsiaTheme="majorEastAsia"/>
          <w:szCs w:val="21"/>
          <w:highlight w:val="none"/>
        </w:rPr>
        <w:t>注：双城河、大老峪河属于黎河沿线。</w:t>
      </w:r>
    </w:p>
    <w:p>
      <w:pPr>
        <w:autoSpaceDE w:val="0"/>
        <w:autoSpaceDN w:val="0"/>
        <w:adjustRightInd w:val="0"/>
        <w:spacing w:line="480" w:lineRule="exact"/>
        <w:ind w:firstLine="480" w:firstLineChars="200"/>
        <w:rPr>
          <w:color w:val="auto"/>
          <w:sz w:val="24"/>
          <w:highlight w:val="none"/>
          <w:lang w:val="zh-CN"/>
        </w:rPr>
      </w:pPr>
      <w:r>
        <w:rPr>
          <w:rFonts w:hint="eastAsia"/>
          <w:sz w:val="24"/>
          <w:highlight w:val="none"/>
          <w:lang w:val="zh-CN"/>
        </w:rPr>
        <w:t>根据污染源现状调查，黎河沿线主要污染源为生活源，COD、氨氮、总磷，贡献值分别</w:t>
      </w:r>
      <w:r>
        <w:rPr>
          <w:rFonts w:hint="eastAsia"/>
          <w:color w:val="auto"/>
          <w:sz w:val="24"/>
          <w:highlight w:val="none"/>
          <w:lang w:val="zh-CN"/>
        </w:rPr>
        <w:t>为800.</w:t>
      </w:r>
      <w:r>
        <w:rPr>
          <w:rFonts w:hint="eastAsia"/>
          <w:color w:val="auto"/>
          <w:sz w:val="24"/>
          <w:highlight w:val="none"/>
        </w:rPr>
        <w:t>028</w:t>
      </w:r>
      <w:r>
        <w:rPr>
          <w:rFonts w:hint="eastAsia"/>
          <w:color w:val="auto"/>
          <w:sz w:val="24"/>
          <w:highlight w:val="none"/>
          <w:lang w:val="zh-CN"/>
        </w:rPr>
        <w:t>t/a、54.5</w:t>
      </w:r>
      <w:r>
        <w:rPr>
          <w:rFonts w:hint="eastAsia"/>
          <w:color w:val="auto"/>
          <w:sz w:val="24"/>
          <w:highlight w:val="none"/>
        </w:rPr>
        <w:t>4</w:t>
      </w:r>
      <w:r>
        <w:rPr>
          <w:rFonts w:hint="eastAsia"/>
          <w:color w:val="auto"/>
          <w:sz w:val="24"/>
          <w:highlight w:val="none"/>
          <w:lang w:val="zh-CN"/>
        </w:rPr>
        <w:t>t/a、</w:t>
      </w:r>
      <w:r>
        <w:rPr>
          <w:rFonts w:hint="eastAsia"/>
          <w:color w:val="auto"/>
          <w:sz w:val="24"/>
          <w:highlight w:val="none"/>
        </w:rPr>
        <w:t>9.18</w:t>
      </w:r>
      <w:r>
        <w:rPr>
          <w:rFonts w:hint="eastAsia"/>
          <w:color w:val="auto"/>
          <w:sz w:val="24"/>
          <w:highlight w:val="none"/>
          <w:lang w:val="zh-CN"/>
        </w:rPr>
        <w:t>t/a，其次为污水处理厂和工业源。</w:t>
      </w:r>
    </w:p>
    <w:p>
      <w:pPr>
        <w:autoSpaceDE w:val="0"/>
        <w:autoSpaceDN w:val="0"/>
        <w:adjustRightInd w:val="0"/>
        <w:spacing w:line="480" w:lineRule="exact"/>
        <w:rPr>
          <w:b/>
          <w:color w:val="auto"/>
          <w:sz w:val="24"/>
          <w:highlight w:val="none"/>
          <w:lang w:val="zh-CN"/>
        </w:rPr>
      </w:pPr>
      <w:r>
        <w:rPr>
          <w:rFonts w:hint="eastAsia"/>
          <w:b/>
          <w:color w:val="auto"/>
          <w:sz w:val="24"/>
          <w:highlight w:val="none"/>
        </w:rPr>
        <w:t>4</w:t>
      </w:r>
      <w:r>
        <w:rPr>
          <w:rFonts w:hint="eastAsia"/>
          <w:b/>
          <w:color w:val="auto"/>
          <w:sz w:val="24"/>
          <w:highlight w:val="none"/>
          <w:lang w:val="zh-CN"/>
        </w:rPr>
        <w:t>.4.2 地表水水质</w:t>
      </w:r>
    </w:p>
    <w:p>
      <w:pPr>
        <w:pStyle w:val="309"/>
        <w:ind w:left="0" w:leftChars="0" w:firstLine="0" w:firstLineChars="0"/>
        <w:rPr>
          <w:rFonts w:hint="default" w:ascii="Times New Roman" w:hAnsi="Times New Roman" w:cs="Times New Roman"/>
          <w:b/>
          <w:bCs/>
          <w:snapToGrid w:val="0"/>
          <w:color w:val="auto"/>
          <w:highlight w:val="none"/>
          <w:lang w:val="en-US" w:eastAsia="zh-CN"/>
        </w:rPr>
      </w:pPr>
      <w:bookmarkStart w:id="180" w:name="_Toc467730398"/>
      <w:bookmarkStart w:id="181" w:name="_Toc519179248"/>
      <w:r>
        <w:rPr>
          <w:rFonts w:hint="default" w:ascii="Times New Roman" w:hAnsi="Times New Roman" w:cs="Times New Roman"/>
          <w:b/>
          <w:bCs/>
          <w:snapToGrid w:val="0"/>
          <w:color w:val="auto"/>
          <w:highlight w:val="none"/>
          <w:lang w:val="en-US" w:eastAsia="zh-CN"/>
        </w:rPr>
        <w:t>4.4.2.1 黎河水质历年监测结果</w:t>
      </w:r>
    </w:p>
    <w:p>
      <w:pPr>
        <w:pStyle w:val="309"/>
        <w:ind w:left="0" w:leftChars="0" w:firstLine="480" w:firstLineChars="200"/>
        <w:rPr>
          <w:rFonts w:hint="eastAsia" w:ascii="Times New Roman" w:hAnsi="Times New Roman" w:cs="Times New Roman"/>
          <w:b w:val="0"/>
          <w:bCs w:val="0"/>
          <w:snapToGrid w:val="0"/>
          <w:color w:val="auto"/>
          <w:highlight w:val="none"/>
          <w:lang w:val="en-US" w:eastAsia="zh-CN"/>
        </w:rPr>
      </w:pPr>
      <w:r>
        <w:rPr>
          <w:rFonts w:hint="eastAsia" w:ascii="Times New Roman" w:hAnsi="Times New Roman" w:cs="Times New Roman"/>
          <w:b w:val="0"/>
          <w:bCs w:val="0"/>
          <w:snapToGrid w:val="0"/>
          <w:color w:val="auto"/>
          <w:highlight w:val="none"/>
          <w:lang w:val="en-US" w:eastAsia="zh-CN"/>
        </w:rPr>
        <w:t>黎河为引滦入津工程的主要输水渠道，主要受水库放水影响，在潘家口水库不放水时属于季节性河流。</w:t>
      </w:r>
    </w:p>
    <w:p>
      <w:pPr>
        <w:pStyle w:val="309"/>
        <w:ind w:left="0" w:leftChars="0" w:firstLine="480" w:firstLineChars="200"/>
        <w:rPr>
          <w:rFonts w:hint="eastAsia" w:ascii="Times New Roman" w:hAnsi="Times New Roman" w:cs="Times New Roman"/>
          <w:b w:val="0"/>
          <w:bCs w:val="0"/>
          <w:snapToGrid w:val="0"/>
          <w:color w:val="auto"/>
          <w:highlight w:val="none"/>
          <w:lang w:val="en-US" w:eastAsia="zh-CN"/>
        </w:rPr>
      </w:pPr>
      <w:r>
        <w:rPr>
          <w:rFonts w:hint="eastAsia" w:ascii="Times New Roman" w:hAnsi="Times New Roman" w:cs="Times New Roman"/>
          <w:b w:val="0"/>
          <w:bCs w:val="0"/>
          <w:snapToGrid w:val="0"/>
          <w:color w:val="auto"/>
          <w:highlight w:val="none"/>
          <w:lang w:val="en-US" w:eastAsia="zh-CN"/>
        </w:rPr>
        <w:t>本项目于自</w:t>
      </w:r>
      <w:r>
        <w:rPr>
          <w:rFonts w:hint="default" w:ascii="Times New Roman" w:hAnsi="Times New Roman" w:cs="Times New Roman"/>
          <w:b w:val="0"/>
          <w:bCs w:val="0"/>
          <w:snapToGrid w:val="0"/>
          <w:color w:val="auto"/>
          <w:highlight w:val="none"/>
          <w:lang w:val="en-US" w:eastAsia="zh-CN"/>
        </w:rPr>
        <w:t>20</w:t>
      </w:r>
      <w:r>
        <w:rPr>
          <w:rFonts w:hint="eastAsia" w:ascii="Times New Roman" w:hAnsi="Times New Roman" w:cs="Times New Roman"/>
          <w:b w:val="0"/>
          <w:bCs w:val="0"/>
          <w:snapToGrid w:val="0"/>
          <w:color w:val="auto"/>
          <w:highlight w:val="none"/>
          <w:lang w:val="en-US" w:eastAsia="zh-CN"/>
        </w:rPr>
        <w:t>06</w:t>
      </w:r>
      <w:r>
        <w:rPr>
          <w:rFonts w:hint="default" w:ascii="Times New Roman" w:hAnsi="Times New Roman" w:cs="Times New Roman"/>
          <w:b w:val="0"/>
          <w:bCs w:val="0"/>
          <w:snapToGrid w:val="0"/>
          <w:color w:val="auto"/>
          <w:highlight w:val="none"/>
          <w:lang w:val="en-US" w:eastAsia="zh-CN"/>
        </w:rPr>
        <w:t>年</w:t>
      </w:r>
      <w:r>
        <w:rPr>
          <w:rFonts w:hint="eastAsia" w:ascii="Times New Roman" w:hAnsi="Times New Roman" w:cs="Times New Roman"/>
          <w:b w:val="0"/>
          <w:bCs w:val="0"/>
          <w:snapToGrid w:val="0"/>
          <w:color w:val="auto"/>
          <w:highlight w:val="none"/>
          <w:lang w:val="en-US" w:eastAsia="zh-CN"/>
        </w:rPr>
        <w:t>投产，现已稳定运营多年。</w:t>
      </w:r>
    </w:p>
    <w:p>
      <w:pPr>
        <w:pStyle w:val="309"/>
        <w:ind w:left="0" w:leftChars="0" w:firstLine="0" w:firstLineChars="0"/>
        <w:rPr>
          <w:rFonts w:hint="eastAsia" w:ascii="Times New Roman" w:hAnsi="Times New Roman" w:cs="Times New Roman"/>
          <w:b w:val="0"/>
          <w:bCs w:val="0"/>
          <w:snapToGrid w:val="0"/>
          <w:color w:val="auto"/>
          <w:highlight w:val="none"/>
          <w:lang w:val="en-US" w:eastAsia="zh-CN"/>
        </w:rPr>
      </w:pPr>
      <w:r>
        <w:rPr>
          <w:rFonts w:hint="eastAsia" w:ascii="Times New Roman" w:hAnsi="Times New Roman" w:cs="Times New Roman"/>
          <w:b w:val="0"/>
          <w:bCs w:val="0"/>
          <w:snapToGrid w:val="0"/>
          <w:color w:val="auto"/>
          <w:highlight w:val="none"/>
          <w:lang w:val="en-US" w:eastAsia="zh-CN"/>
        </w:rPr>
        <w:t>查阅唐山市《环境质量公报》，2001-2022年黎河水质监测结果统计见下表。</w:t>
      </w:r>
    </w:p>
    <w:p>
      <w:pPr>
        <w:pStyle w:val="309"/>
        <w:ind w:left="0" w:leftChars="0" w:right="0" w:rightChars="0" w:firstLine="0" w:firstLineChars="0"/>
        <w:jc w:val="center"/>
        <w:rPr>
          <w:rFonts w:hint="default" w:ascii="Times New Roman" w:hAnsi="Times New Roman" w:cs="Times New Roman"/>
          <w:b/>
          <w:bCs/>
          <w:snapToGrid w:val="0"/>
          <w:color w:val="auto"/>
          <w:highlight w:val="none"/>
          <w:lang w:val="en-US" w:eastAsia="zh-CN"/>
        </w:rPr>
      </w:pPr>
      <w:r>
        <w:rPr>
          <w:rFonts w:hint="default" w:ascii="Times New Roman" w:hAnsi="Times New Roman" w:cs="Times New Roman"/>
          <w:b/>
          <w:bCs/>
          <w:snapToGrid w:val="0"/>
          <w:color w:val="auto"/>
          <w:highlight w:val="none"/>
          <w:lang w:val="en-US" w:eastAsia="zh-CN"/>
        </w:rPr>
        <w:t>表4.4-3  2001年-2022年黎河水质情况</w:t>
      </w:r>
    </w:p>
    <w:tbl>
      <w:tblPr>
        <w:tblStyle w:val="51"/>
        <w:tblW w:w="8252"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
      <w:tblGrid>
        <w:gridCol w:w="917"/>
        <w:gridCol w:w="864"/>
        <w:gridCol w:w="1097"/>
        <w:gridCol w:w="1558"/>
        <w:gridCol w:w="2181"/>
        <w:gridCol w:w="1635"/>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93" w:hRule="atLeast"/>
          <w:jc w:val="center"/>
        </w:trPr>
        <w:tc>
          <w:tcPr>
            <w:tcW w:w="917"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eastAsiaTheme="minorEastAsia"/>
                <w:color w:val="auto"/>
                <w:kern w:val="0"/>
                <w:sz w:val="21"/>
                <w:szCs w:val="21"/>
                <w:highlight w:val="none"/>
                <w:lang w:eastAsia="zh-CN"/>
              </w:rPr>
              <w:t>年份</w:t>
            </w:r>
          </w:p>
        </w:tc>
        <w:tc>
          <w:tcPr>
            <w:tcW w:w="864"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eastAsiaTheme="minorEastAsia"/>
                <w:color w:val="auto"/>
                <w:kern w:val="0"/>
                <w:sz w:val="21"/>
                <w:szCs w:val="21"/>
                <w:highlight w:val="none"/>
                <w:lang w:eastAsia="zh-CN"/>
              </w:rPr>
              <w:t>监测断面</w:t>
            </w:r>
          </w:p>
        </w:tc>
        <w:tc>
          <w:tcPr>
            <w:tcW w:w="1097"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kern w:val="0"/>
                <w:sz w:val="21"/>
                <w:szCs w:val="21"/>
                <w:highlight w:val="none"/>
                <w:lang w:val="en-US" w:eastAsia="zh-CN"/>
              </w:rPr>
              <w:t>水质</w:t>
            </w:r>
          </w:p>
        </w:tc>
        <w:tc>
          <w:tcPr>
            <w:tcW w:w="1558"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eastAsiaTheme="minorEastAsia"/>
                <w:color w:val="auto"/>
                <w:kern w:val="0"/>
                <w:sz w:val="21"/>
                <w:szCs w:val="21"/>
                <w:highlight w:val="none"/>
                <w:lang w:eastAsia="zh-CN"/>
              </w:rPr>
              <w:t>污染物</w:t>
            </w:r>
          </w:p>
        </w:tc>
        <w:tc>
          <w:tcPr>
            <w:tcW w:w="2181"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eastAsiaTheme="minorEastAsia"/>
                <w:color w:val="auto"/>
                <w:kern w:val="0"/>
                <w:sz w:val="21"/>
                <w:szCs w:val="21"/>
                <w:highlight w:val="none"/>
                <w:lang w:val="en-US" w:eastAsia="zh-CN" w:bidi="ar-SA"/>
              </w:rPr>
              <w:t>检测项目</w:t>
            </w:r>
          </w:p>
        </w:tc>
        <w:tc>
          <w:tcPr>
            <w:tcW w:w="1635" w:type="dxa"/>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zh-CN" w:eastAsia="zh-CN"/>
              </w:rPr>
            </w:pPr>
            <w:r>
              <w:rPr>
                <w:rFonts w:hint="default" w:ascii="Times New Roman" w:hAnsi="Times New Roman" w:cs="Times New Roman" w:eastAsiaTheme="minorEastAsia"/>
                <w:color w:val="auto"/>
                <w:kern w:val="0"/>
                <w:sz w:val="21"/>
                <w:szCs w:val="21"/>
                <w:highlight w:val="none"/>
                <w:lang w:val="zh-CN" w:eastAsia="zh-CN"/>
              </w:rPr>
              <w:t>说明</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70" w:hRule="atLeast"/>
          <w:jc w:val="center"/>
        </w:trPr>
        <w:tc>
          <w:tcPr>
            <w:tcW w:w="917"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kern w:val="0"/>
                <w:sz w:val="21"/>
                <w:szCs w:val="21"/>
                <w:highlight w:val="none"/>
                <w:lang w:val="en-US" w:eastAsia="zh-CN"/>
              </w:rPr>
              <w:t>2001</w:t>
            </w:r>
          </w:p>
        </w:tc>
        <w:tc>
          <w:tcPr>
            <w:tcW w:w="864"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eastAsiaTheme="minorEastAsia"/>
                <w:color w:val="auto"/>
                <w:kern w:val="0"/>
                <w:sz w:val="21"/>
                <w:szCs w:val="21"/>
                <w:highlight w:val="none"/>
                <w:lang w:eastAsia="zh-CN"/>
              </w:rPr>
              <w:t>黎河</w:t>
            </w:r>
          </w:p>
        </w:tc>
        <w:tc>
          <w:tcPr>
            <w:tcW w:w="1097" w:type="dxa"/>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Ⅲ类</w:t>
            </w:r>
          </w:p>
        </w:tc>
        <w:tc>
          <w:tcPr>
            <w:tcW w:w="1558" w:type="dxa"/>
            <w:vAlign w:val="center"/>
          </w:tcPr>
          <w:p>
            <w:pPr>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COD</w:t>
            </w:r>
            <w:r>
              <w:rPr>
                <w:rFonts w:hint="default" w:ascii="Times New Roman" w:hAnsi="Times New Roman" w:cs="Times New Roman"/>
                <w:color w:val="auto"/>
                <w:highlight w:val="none"/>
              </w:rPr>
              <w:t>、氨氮</w:t>
            </w:r>
          </w:p>
        </w:tc>
        <w:tc>
          <w:tcPr>
            <w:tcW w:w="2181" w:type="dxa"/>
            <w:vMerge w:val="restar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rPr>
              <w:t>流量、水温、pH、溶解氧、高锰酸盐指数、生化需氧量、化学需氧量、氨氮、挥发酚、氰化物、砷、汞、六价铬、铅、镉、石油类、电导率、氟化物、总磷、铜、锌、硒、阴离子表面活性剂、硫化物、粪大肠菌群</w:t>
            </w:r>
          </w:p>
        </w:tc>
        <w:tc>
          <w:tcPr>
            <w:tcW w:w="1635" w:type="dxa"/>
            <w:tcBorders>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93" w:hRule="atLeast"/>
          <w:jc w:val="center"/>
        </w:trPr>
        <w:tc>
          <w:tcPr>
            <w:tcW w:w="917"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color w:val="auto"/>
                <w:highlight w:val="none"/>
              </w:rPr>
              <w:t>2002</w:t>
            </w:r>
          </w:p>
        </w:tc>
        <w:tc>
          <w:tcPr>
            <w:tcW w:w="864"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eastAsiaTheme="minorEastAsia"/>
                <w:color w:val="auto"/>
                <w:kern w:val="0"/>
                <w:sz w:val="21"/>
                <w:szCs w:val="21"/>
                <w:highlight w:val="none"/>
                <w:lang w:eastAsia="zh-CN"/>
              </w:rPr>
              <w:t>黎河</w:t>
            </w:r>
          </w:p>
        </w:tc>
        <w:tc>
          <w:tcPr>
            <w:tcW w:w="1097" w:type="dxa"/>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Ⅳ类</w:t>
            </w:r>
          </w:p>
        </w:tc>
        <w:tc>
          <w:tcPr>
            <w:tcW w:w="1558" w:type="dxa"/>
            <w:vAlign w:val="center"/>
          </w:tcPr>
          <w:p>
            <w:pPr>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COD</w:t>
            </w:r>
          </w:p>
        </w:tc>
        <w:tc>
          <w:tcPr>
            <w:tcW w:w="2181" w:type="dxa"/>
            <w:vMerge w:val="continue"/>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szCs w:val="21"/>
                <w:highlight w:val="none"/>
                <w:lang w:eastAsia="zh-CN"/>
              </w:rPr>
            </w:pPr>
          </w:p>
        </w:tc>
        <w:tc>
          <w:tcPr>
            <w:tcW w:w="1635" w:type="dxa"/>
            <w:tcBorders>
              <w:top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93" w:hRule="atLeast"/>
          <w:jc w:val="center"/>
        </w:trPr>
        <w:tc>
          <w:tcPr>
            <w:tcW w:w="917"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2003</w:t>
            </w:r>
          </w:p>
        </w:tc>
        <w:tc>
          <w:tcPr>
            <w:tcW w:w="864"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eastAsiaTheme="minorEastAsia"/>
                <w:color w:val="auto"/>
                <w:kern w:val="0"/>
                <w:sz w:val="21"/>
                <w:szCs w:val="21"/>
                <w:highlight w:val="none"/>
                <w:lang w:eastAsia="zh-CN"/>
              </w:rPr>
              <w:t>黎河</w:t>
            </w:r>
          </w:p>
        </w:tc>
        <w:tc>
          <w:tcPr>
            <w:tcW w:w="1097"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断流</w:t>
            </w:r>
          </w:p>
        </w:tc>
        <w:tc>
          <w:tcPr>
            <w:tcW w:w="1558" w:type="dxa"/>
            <w:vAlign w:val="center"/>
          </w:tcPr>
          <w:p>
            <w:pPr>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未检测</w:t>
            </w:r>
          </w:p>
        </w:tc>
        <w:tc>
          <w:tcPr>
            <w:tcW w:w="2181" w:type="dxa"/>
            <w:vMerge w:val="continue"/>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szCs w:val="21"/>
                <w:highlight w:val="none"/>
                <w:lang w:eastAsia="zh-CN"/>
              </w:rPr>
            </w:pPr>
          </w:p>
        </w:tc>
        <w:tc>
          <w:tcPr>
            <w:tcW w:w="1635" w:type="dxa"/>
            <w:tcBorders>
              <w:top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szCs w:val="21"/>
                <w:highlight w:val="none"/>
                <w:lang w:val="zh-CN" w:eastAsia="zh-CN"/>
              </w:rPr>
            </w:pPr>
            <w:r>
              <w:rPr>
                <w:rFonts w:hint="eastAsia" w:cs="Times New Roman"/>
                <w:color w:val="auto"/>
                <w:szCs w:val="21"/>
                <w:highlight w:val="none"/>
                <w:lang w:val="zh-CN" w:eastAsia="zh-CN"/>
              </w:rPr>
              <w:t>全年断流</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93" w:hRule="atLeast"/>
          <w:jc w:val="center"/>
        </w:trPr>
        <w:tc>
          <w:tcPr>
            <w:tcW w:w="917"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2004</w:t>
            </w:r>
          </w:p>
        </w:tc>
        <w:tc>
          <w:tcPr>
            <w:tcW w:w="864"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eastAsiaTheme="minorEastAsia"/>
                <w:color w:val="auto"/>
                <w:kern w:val="0"/>
                <w:sz w:val="21"/>
                <w:szCs w:val="21"/>
                <w:highlight w:val="none"/>
                <w:lang w:eastAsia="zh-CN"/>
              </w:rPr>
              <w:t>黎河</w:t>
            </w:r>
          </w:p>
        </w:tc>
        <w:tc>
          <w:tcPr>
            <w:tcW w:w="1097"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Ⅲ类</w:t>
            </w:r>
          </w:p>
        </w:tc>
        <w:tc>
          <w:tcPr>
            <w:tcW w:w="1558" w:type="dxa"/>
            <w:vAlign w:val="center"/>
          </w:tcPr>
          <w:p>
            <w:pPr>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氨氮</w:t>
            </w:r>
          </w:p>
        </w:tc>
        <w:tc>
          <w:tcPr>
            <w:tcW w:w="2181" w:type="dxa"/>
            <w:vMerge w:val="continue"/>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szCs w:val="21"/>
                <w:highlight w:val="none"/>
                <w:lang w:eastAsia="zh-CN"/>
              </w:rPr>
            </w:pPr>
          </w:p>
        </w:tc>
        <w:tc>
          <w:tcPr>
            <w:tcW w:w="1635" w:type="dxa"/>
            <w:tcBorders>
              <w:top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93" w:hRule="atLeast"/>
          <w:jc w:val="center"/>
        </w:trPr>
        <w:tc>
          <w:tcPr>
            <w:tcW w:w="917"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2005</w:t>
            </w:r>
          </w:p>
        </w:tc>
        <w:tc>
          <w:tcPr>
            <w:tcW w:w="864"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eastAsiaTheme="minorEastAsia"/>
                <w:color w:val="auto"/>
                <w:kern w:val="0"/>
                <w:sz w:val="21"/>
                <w:szCs w:val="21"/>
                <w:highlight w:val="none"/>
                <w:lang w:eastAsia="zh-CN"/>
              </w:rPr>
              <w:t>黎河</w:t>
            </w:r>
          </w:p>
        </w:tc>
        <w:tc>
          <w:tcPr>
            <w:tcW w:w="1097" w:type="dxa"/>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Ⅱ类</w:t>
            </w:r>
          </w:p>
        </w:tc>
        <w:tc>
          <w:tcPr>
            <w:tcW w:w="1558" w:type="dxa"/>
            <w:vAlign w:val="center"/>
          </w:tcPr>
          <w:p>
            <w:pPr>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COD</w:t>
            </w:r>
            <w:r>
              <w:rPr>
                <w:rFonts w:hint="default" w:ascii="Times New Roman" w:hAnsi="Times New Roman" w:cs="Times New Roman"/>
                <w:color w:val="auto"/>
                <w:highlight w:val="none"/>
              </w:rPr>
              <w:t>、氨氮</w:t>
            </w:r>
          </w:p>
        </w:tc>
        <w:tc>
          <w:tcPr>
            <w:tcW w:w="2181" w:type="dxa"/>
            <w:vMerge w:val="continue"/>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szCs w:val="21"/>
                <w:highlight w:val="none"/>
                <w:lang w:eastAsia="zh-CN"/>
              </w:rPr>
            </w:pPr>
          </w:p>
        </w:tc>
        <w:tc>
          <w:tcPr>
            <w:tcW w:w="1635" w:type="dxa"/>
            <w:tcBorders>
              <w:top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93" w:hRule="atLeast"/>
          <w:jc w:val="center"/>
        </w:trPr>
        <w:tc>
          <w:tcPr>
            <w:tcW w:w="917"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kern w:val="0"/>
                <w:sz w:val="21"/>
                <w:szCs w:val="21"/>
                <w:highlight w:val="none"/>
                <w:lang w:val="en-US" w:eastAsia="zh-CN"/>
              </w:rPr>
              <w:t>2006</w:t>
            </w:r>
          </w:p>
        </w:tc>
        <w:tc>
          <w:tcPr>
            <w:tcW w:w="864"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eastAsiaTheme="minorEastAsia"/>
                <w:color w:val="auto"/>
                <w:kern w:val="0"/>
                <w:sz w:val="21"/>
                <w:szCs w:val="21"/>
                <w:highlight w:val="none"/>
                <w:lang w:eastAsia="zh-CN"/>
              </w:rPr>
              <w:t>黎河</w:t>
            </w:r>
          </w:p>
        </w:tc>
        <w:tc>
          <w:tcPr>
            <w:tcW w:w="1097" w:type="dxa"/>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Ⅱ类</w:t>
            </w:r>
          </w:p>
        </w:tc>
        <w:tc>
          <w:tcPr>
            <w:tcW w:w="1558" w:type="dxa"/>
            <w:vAlign w:val="center"/>
          </w:tcPr>
          <w:p>
            <w:pPr>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COD</w:t>
            </w:r>
            <w:r>
              <w:rPr>
                <w:rFonts w:hint="default" w:ascii="Times New Roman" w:hAnsi="Times New Roman" w:cs="Times New Roman"/>
                <w:color w:val="auto"/>
                <w:highlight w:val="none"/>
              </w:rPr>
              <w:t>、氨氮</w:t>
            </w:r>
          </w:p>
        </w:tc>
        <w:tc>
          <w:tcPr>
            <w:tcW w:w="2181" w:type="dxa"/>
            <w:vMerge w:val="continue"/>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szCs w:val="21"/>
                <w:highlight w:val="none"/>
                <w:lang w:val="en-US" w:eastAsia="zh-CN"/>
              </w:rPr>
            </w:pPr>
          </w:p>
        </w:tc>
        <w:tc>
          <w:tcPr>
            <w:tcW w:w="1635" w:type="dxa"/>
            <w:tcBorders>
              <w:top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74" w:hRule="atLeast"/>
          <w:jc w:val="center"/>
        </w:trPr>
        <w:tc>
          <w:tcPr>
            <w:tcW w:w="917"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kern w:val="0"/>
                <w:sz w:val="21"/>
                <w:szCs w:val="21"/>
                <w:highlight w:val="none"/>
                <w:lang w:val="en-US" w:eastAsia="zh-CN"/>
              </w:rPr>
              <w:t>2007</w:t>
            </w:r>
          </w:p>
        </w:tc>
        <w:tc>
          <w:tcPr>
            <w:tcW w:w="864"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eastAsiaTheme="minorEastAsia"/>
                <w:color w:val="auto"/>
                <w:kern w:val="0"/>
                <w:sz w:val="21"/>
                <w:szCs w:val="21"/>
                <w:highlight w:val="none"/>
                <w:lang w:eastAsia="zh-CN"/>
              </w:rPr>
              <w:t>黎河</w:t>
            </w:r>
          </w:p>
        </w:tc>
        <w:tc>
          <w:tcPr>
            <w:tcW w:w="1097" w:type="dxa"/>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Ⅱ类</w:t>
            </w:r>
          </w:p>
        </w:tc>
        <w:tc>
          <w:tcPr>
            <w:tcW w:w="1558" w:type="dxa"/>
            <w:vAlign w:val="center"/>
          </w:tcPr>
          <w:p>
            <w:pPr>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COD</w:t>
            </w:r>
            <w:r>
              <w:rPr>
                <w:rFonts w:hint="default" w:ascii="Times New Roman" w:hAnsi="Times New Roman" w:cs="Times New Roman"/>
                <w:color w:val="auto"/>
                <w:highlight w:val="none"/>
              </w:rPr>
              <w:t>、氨氮</w:t>
            </w:r>
          </w:p>
        </w:tc>
        <w:tc>
          <w:tcPr>
            <w:tcW w:w="2181" w:type="dxa"/>
            <w:vMerge w:val="continue"/>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szCs w:val="21"/>
                <w:highlight w:val="none"/>
                <w:lang w:val="en-US" w:eastAsia="zh-CN"/>
              </w:rPr>
            </w:pPr>
          </w:p>
        </w:tc>
        <w:tc>
          <w:tcPr>
            <w:tcW w:w="1635" w:type="dxa"/>
            <w:tcBorders>
              <w:top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312" w:hRule="atLeast"/>
          <w:jc w:val="center"/>
        </w:trPr>
        <w:tc>
          <w:tcPr>
            <w:tcW w:w="917"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kern w:val="0"/>
                <w:sz w:val="21"/>
                <w:szCs w:val="21"/>
                <w:highlight w:val="none"/>
                <w:lang w:val="en-US" w:eastAsia="zh-CN"/>
              </w:rPr>
              <w:t>2008</w:t>
            </w:r>
          </w:p>
        </w:tc>
        <w:tc>
          <w:tcPr>
            <w:tcW w:w="864"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eastAsiaTheme="minorEastAsia"/>
                <w:color w:val="auto"/>
                <w:kern w:val="0"/>
                <w:sz w:val="21"/>
                <w:szCs w:val="21"/>
                <w:highlight w:val="none"/>
                <w:lang w:eastAsia="zh-CN"/>
              </w:rPr>
              <w:t>黎河</w:t>
            </w:r>
          </w:p>
        </w:tc>
        <w:tc>
          <w:tcPr>
            <w:tcW w:w="1097" w:type="dxa"/>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Ⅱ类</w:t>
            </w:r>
          </w:p>
        </w:tc>
        <w:tc>
          <w:tcPr>
            <w:tcW w:w="1558" w:type="dxa"/>
            <w:vAlign w:val="center"/>
          </w:tcPr>
          <w:p>
            <w:pPr>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COD</w:t>
            </w:r>
            <w:r>
              <w:rPr>
                <w:rFonts w:hint="default" w:ascii="Times New Roman" w:hAnsi="Times New Roman" w:cs="Times New Roman"/>
                <w:color w:val="auto"/>
                <w:highlight w:val="none"/>
              </w:rPr>
              <w:t>、氨氮</w:t>
            </w:r>
          </w:p>
        </w:tc>
        <w:tc>
          <w:tcPr>
            <w:tcW w:w="2181" w:type="dxa"/>
            <w:vMerge w:val="continue"/>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szCs w:val="21"/>
                <w:highlight w:val="none"/>
                <w:lang w:val="en-US" w:eastAsia="zh-CN"/>
              </w:rPr>
            </w:pPr>
          </w:p>
        </w:tc>
        <w:tc>
          <w:tcPr>
            <w:tcW w:w="1635" w:type="dxa"/>
            <w:tcBorders>
              <w:top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93" w:hRule="atLeast"/>
          <w:jc w:val="center"/>
        </w:trPr>
        <w:tc>
          <w:tcPr>
            <w:tcW w:w="917"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kern w:val="0"/>
                <w:sz w:val="21"/>
                <w:szCs w:val="21"/>
                <w:highlight w:val="none"/>
                <w:lang w:val="en-US" w:eastAsia="zh-CN"/>
              </w:rPr>
              <w:t>2009</w:t>
            </w:r>
          </w:p>
        </w:tc>
        <w:tc>
          <w:tcPr>
            <w:tcW w:w="864"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eastAsiaTheme="minorEastAsia"/>
                <w:color w:val="auto"/>
                <w:kern w:val="0"/>
                <w:sz w:val="21"/>
                <w:szCs w:val="21"/>
                <w:highlight w:val="none"/>
                <w:lang w:eastAsia="zh-CN"/>
              </w:rPr>
              <w:t>黎河</w:t>
            </w:r>
          </w:p>
        </w:tc>
        <w:tc>
          <w:tcPr>
            <w:tcW w:w="1097" w:type="dxa"/>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Ⅱ类</w:t>
            </w:r>
          </w:p>
        </w:tc>
        <w:tc>
          <w:tcPr>
            <w:tcW w:w="1558" w:type="dxa"/>
            <w:vAlign w:val="center"/>
          </w:tcPr>
          <w:p>
            <w:pPr>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COD</w:t>
            </w:r>
            <w:r>
              <w:rPr>
                <w:rFonts w:hint="default" w:ascii="Times New Roman" w:hAnsi="Times New Roman" w:cs="Times New Roman"/>
                <w:color w:val="auto"/>
                <w:highlight w:val="none"/>
              </w:rPr>
              <w:t>、氨氮</w:t>
            </w:r>
          </w:p>
        </w:tc>
        <w:tc>
          <w:tcPr>
            <w:tcW w:w="2181" w:type="dxa"/>
            <w:vMerge w:val="continue"/>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p>
        </w:tc>
        <w:tc>
          <w:tcPr>
            <w:tcW w:w="1635" w:type="dxa"/>
            <w:tcBorders>
              <w:top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3\4\11月断流</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93" w:hRule="atLeast"/>
          <w:jc w:val="center"/>
        </w:trPr>
        <w:tc>
          <w:tcPr>
            <w:tcW w:w="917"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eastAsiaTheme="minorEastAsia"/>
                <w:color w:val="auto"/>
                <w:kern w:val="0"/>
                <w:sz w:val="21"/>
                <w:szCs w:val="21"/>
                <w:highlight w:val="none"/>
                <w:lang w:val="en-US" w:eastAsia="zh-CN"/>
              </w:rPr>
              <w:t>2010</w:t>
            </w:r>
          </w:p>
        </w:tc>
        <w:tc>
          <w:tcPr>
            <w:tcW w:w="864"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eastAsiaTheme="minorEastAsia"/>
                <w:color w:val="auto"/>
                <w:kern w:val="0"/>
                <w:sz w:val="21"/>
                <w:szCs w:val="21"/>
                <w:highlight w:val="none"/>
                <w:lang w:eastAsia="zh-CN"/>
              </w:rPr>
              <w:t>黎河</w:t>
            </w:r>
          </w:p>
        </w:tc>
        <w:tc>
          <w:tcPr>
            <w:tcW w:w="1097" w:type="dxa"/>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Ⅱ类</w:t>
            </w:r>
          </w:p>
        </w:tc>
        <w:tc>
          <w:tcPr>
            <w:tcW w:w="1558" w:type="dxa"/>
            <w:vAlign w:val="center"/>
          </w:tcPr>
          <w:p>
            <w:pPr>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氨氮</w:t>
            </w:r>
          </w:p>
        </w:tc>
        <w:tc>
          <w:tcPr>
            <w:tcW w:w="2181" w:type="dxa"/>
            <w:vMerge w:val="continue"/>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p>
        </w:tc>
        <w:tc>
          <w:tcPr>
            <w:tcW w:w="1635" w:type="dxa"/>
            <w:tcBorders>
              <w:top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3\4\11月断流</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93" w:hRule="atLeast"/>
          <w:jc w:val="center"/>
        </w:trPr>
        <w:tc>
          <w:tcPr>
            <w:tcW w:w="917"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eastAsiaTheme="minorEastAsia"/>
                <w:color w:val="auto"/>
                <w:kern w:val="0"/>
                <w:sz w:val="21"/>
                <w:szCs w:val="21"/>
                <w:highlight w:val="none"/>
                <w:lang w:val="en-US" w:eastAsia="zh-CN"/>
              </w:rPr>
              <w:t>2011</w:t>
            </w:r>
          </w:p>
        </w:tc>
        <w:tc>
          <w:tcPr>
            <w:tcW w:w="864"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eastAsiaTheme="minorEastAsia"/>
                <w:color w:val="auto"/>
                <w:kern w:val="0"/>
                <w:sz w:val="21"/>
                <w:szCs w:val="21"/>
                <w:highlight w:val="none"/>
                <w:lang w:eastAsia="zh-CN"/>
              </w:rPr>
              <w:t>黎河</w:t>
            </w:r>
          </w:p>
        </w:tc>
        <w:tc>
          <w:tcPr>
            <w:tcW w:w="1097" w:type="dxa"/>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Ⅱ类</w:t>
            </w:r>
          </w:p>
        </w:tc>
        <w:tc>
          <w:tcPr>
            <w:tcW w:w="1558" w:type="dxa"/>
            <w:vAlign w:val="center"/>
          </w:tcPr>
          <w:p>
            <w:pPr>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氨氮</w:t>
            </w:r>
          </w:p>
        </w:tc>
        <w:tc>
          <w:tcPr>
            <w:tcW w:w="2181" w:type="dxa"/>
            <w:vMerge w:val="continue"/>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p>
        </w:tc>
        <w:tc>
          <w:tcPr>
            <w:tcW w:w="1635" w:type="dxa"/>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3\4\11月断流</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93" w:hRule="atLeast"/>
          <w:jc w:val="center"/>
        </w:trPr>
        <w:tc>
          <w:tcPr>
            <w:tcW w:w="917"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eastAsiaTheme="minorEastAsia"/>
                <w:color w:val="auto"/>
                <w:kern w:val="0"/>
                <w:sz w:val="21"/>
                <w:szCs w:val="21"/>
                <w:highlight w:val="none"/>
                <w:lang w:val="en-US" w:eastAsia="zh-CN"/>
              </w:rPr>
              <w:t>2012</w:t>
            </w:r>
          </w:p>
        </w:tc>
        <w:tc>
          <w:tcPr>
            <w:tcW w:w="864"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eastAsiaTheme="minorEastAsia"/>
                <w:color w:val="auto"/>
                <w:kern w:val="0"/>
                <w:sz w:val="21"/>
                <w:szCs w:val="21"/>
                <w:highlight w:val="none"/>
                <w:lang w:eastAsia="zh-CN"/>
              </w:rPr>
              <w:t>黎河</w:t>
            </w:r>
          </w:p>
        </w:tc>
        <w:tc>
          <w:tcPr>
            <w:tcW w:w="1097" w:type="dxa"/>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Ⅱ类</w:t>
            </w:r>
          </w:p>
        </w:tc>
        <w:tc>
          <w:tcPr>
            <w:tcW w:w="1558" w:type="dxa"/>
            <w:vAlign w:val="center"/>
          </w:tcPr>
          <w:p>
            <w:pPr>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氨氮</w:t>
            </w:r>
          </w:p>
        </w:tc>
        <w:tc>
          <w:tcPr>
            <w:tcW w:w="2181" w:type="dxa"/>
            <w:vMerge w:val="continue"/>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p>
        </w:tc>
        <w:tc>
          <w:tcPr>
            <w:tcW w:w="1635" w:type="dxa"/>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3\4\11月断流</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93" w:hRule="atLeast"/>
          <w:jc w:val="center"/>
        </w:trPr>
        <w:tc>
          <w:tcPr>
            <w:tcW w:w="917"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eastAsiaTheme="minorEastAsia"/>
                <w:color w:val="auto"/>
                <w:kern w:val="0"/>
                <w:sz w:val="21"/>
                <w:szCs w:val="21"/>
                <w:highlight w:val="none"/>
                <w:lang w:val="en-US" w:eastAsia="zh-CN"/>
              </w:rPr>
              <w:t>2013</w:t>
            </w:r>
          </w:p>
        </w:tc>
        <w:tc>
          <w:tcPr>
            <w:tcW w:w="864"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eastAsiaTheme="minorEastAsia"/>
                <w:color w:val="auto"/>
                <w:kern w:val="0"/>
                <w:sz w:val="21"/>
                <w:szCs w:val="21"/>
                <w:highlight w:val="none"/>
                <w:lang w:eastAsia="zh-CN"/>
              </w:rPr>
              <w:t>黎河</w:t>
            </w:r>
          </w:p>
        </w:tc>
        <w:tc>
          <w:tcPr>
            <w:tcW w:w="1097" w:type="dxa"/>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Ⅱ类</w:t>
            </w:r>
          </w:p>
        </w:tc>
        <w:tc>
          <w:tcPr>
            <w:tcW w:w="1558" w:type="dxa"/>
            <w:vAlign w:val="center"/>
          </w:tcPr>
          <w:p>
            <w:pPr>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氨氮</w:t>
            </w:r>
          </w:p>
        </w:tc>
        <w:tc>
          <w:tcPr>
            <w:tcW w:w="2181" w:type="dxa"/>
            <w:vMerge w:val="continue"/>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p>
        </w:tc>
        <w:tc>
          <w:tcPr>
            <w:tcW w:w="1635" w:type="dxa"/>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3\4\11月断流</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93" w:hRule="atLeast"/>
          <w:jc w:val="center"/>
        </w:trPr>
        <w:tc>
          <w:tcPr>
            <w:tcW w:w="917"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eastAsiaTheme="minorEastAsia"/>
                <w:color w:val="auto"/>
                <w:kern w:val="0"/>
                <w:sz w:val="21"/>
                <w:szCs w:val="21"/>
                <w:highlight w:val="none"/>
                <w:lang w:val="en-US" w:eastAsia="zh-CN"/>
              </w:rPr>
              <w:t>2014</w:t>
            </w:r>
          </w:p>
        </w:tc>
        <w:tc>
          <w:tcPr>
            <w:tcW w:w="864"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eastAsiaTheme="minorEastAsia"/>
                <w:color w:val="auto"/>
                <w:kern w:val="0"/>
                <w:sz w:val="21"/>
                <w:szCs w:val="21"/>
                <w:highlight w:val="none"/>
                <w:lang w:eastAsia="zh-CN"/>
              </w:rPr>
              <w:t>黎河</w:t>
            </w:r>
          </w:p>
        </w:tc>
        <w:tc>
          <w:tcPr>
            <w:tcW w:w="1097" w:type="dxa"/>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Ⅱ类</w:t>
            </w:r>
          </w:p>
        </w:tc>
        <w:tc>
          <w:tcPr>
            <w:tcW w:w="1558" w:type="dxa"/>
            <w:vAlign w:val="center"/>
          </w:tcPr>
          <w:p>
            <w:pPr>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氨氮</w:t>
            </w:r>
          </w:p>
        </w:tc>
        <w:tc>
          <w:tcPr>
            <w:tcW w:w="2181" w:type="dxa"/>
            <w:vMerge w:val="continue"/>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p>
        </w:tc>
        <w:tc>
          <w:tcPr>
            <w:tcW w:w="1635" w:type="dxa"/>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3\4\11月断流</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93" w:hRule="atLeast"/>
          <w:jc w:val="center"/>
        </w:trPr>
        <w:tc>
          <w:tcPr>
            <w:tcW w:w="917"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eastAsiaTheme="minorEastAsia"/>
                <w:color w:val="auto"/>
                <w:kern w:val="0"/>
                <w:sz w:val="21"/>
                <w:szCs w:val="21"/>
                <w:highlight w:val="none"/>
                <w:lang w:val="en-US" w:eastAsia="zh-CN"/>
              </w:rPr>
              <w:t>2015</w:t>
            </w:r>
          </w:p>
        </w:tc>
        <w:tc>
          <w:tcPr>
            <w:tcW w:w="864"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eastAsiaTheme="minorEastAsia"/>
                <w:color w:val="auto"/>
                <w:kern w:val="0"/>
                <w:sz w:val="21"/>
                <w:szCs w:val="21"/>
                <w:highlight w:val="none"/>
                <w:lang w:eastAsia="zh-CN"/>
              </w:rPr>
              <w:t>黎河</w:t>
            </w:r>
          </w:p>
        </w:tc>
        <w:tc>
          <w:tcPr>
            <w:tcW w:w="1097" w:type="dxa"/>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Ⅱ类</w:t>
            </w:r>
          </w:p>
        </w:tc>
        <w:tc>
          <w:tcPr>
            <w:tcW w:w="1558" w:type="dxa"/>
            <w:vAlign w:val="center"/>
          </w:tcPr>
          <w:p>
            <w:pPr>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氨氮</w:t>
            </w:r>
          </w:p>
        </w:tc>
        <w:tc>
          <w:tcPr>
            <w:tcW w:w="2181" w:type="dxa"/>
            <w:vMerge w:val="continue"/>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p>
        </w:tc>
        <w:tc>
          <w:tcPr>
            <w:tcW w:w="1635" w:type="dxa"/>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3\4\11月断流</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93" w:hRule="atLeast"/>
          <w:jc w:val="center"/>
        </w:trPr>
        <w:tc>
          <w:tcPr>
            <w:tcW w:w="917"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eastAsiaTheme="minorEastAsia"/>
                <w:color w:val="auto"/>
                <w:kern w:val="0"/>
                <w:sz w:val="21"/>
                <w:szCs w:val="21"/>
                <w:highlight w:val="none"/>
                <w:lang w:val="en-US" w:eastAsia="zh-CN"/>
              </w:rPr>
              <w:t>2016</w:t>
            </w:r>
          </w:p>
        </w:tc>
        <w:tc>
          <w:tcPr>
            <w:tcW w:w="864"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eastAsiaTheme="minorEastAsia"/>
                <w:color w:val="auto"/>
                <w:kern w:val="0"/>
                <w:sz w:val="21"/>
                <w:szCs w:val="21"/>
                <w:highlight w:val="none"/>
                <w:lang w:eastAsia="zh-CN"/>
              </w:rPr>
              <w:t>黎河</w:t>
            </w:r>
          </w:p>
        </w:tc>
        <w:tc>
          <w:tcPr>
            <w:tcW w:w="1097" w:type="dxa"/>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Ⅱ类</w:t>
            </w:r>
          </w:p>
        </w:tc>
        <w:tc>
          <w:tcPr>
            <w:tcW w:w="1558" w:type="dxa"/>
            <w:vAlign w:val="center"/>
          </w:tcPr>
          <w:p>
            <w:pPr>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氨氮</w:t>
            </w:r>
          </w:p>
        </w:tc>
        <w:tc>
          <w:tcPr>
            <w:tcW w:w="2181" w:type="dxa"/>
            <w:vMerge w:val="continue"/>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p>
        </w:tc>
        <w:tc>
          <w:tcPr>
            <w:tcW w:w="1635" w:type="dxa"/>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2\3月断流</w:t>
            </w:r>
            <w:r>
              <w:rPr>
                <w:rFonts w:hint="default" w:ascii="Times New Roman" w:hAnsi="Times New Roman" w:cs="Times New Roman" w:eastAsiaTheme="minorEastAsia"/>
                <w:color w:val="auto"/>
                <w:kern w:val="0"/>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93" w:hRule="atLeast"/>
          <w:jc w:val="center"/>
        </w:trPr>
        <w:tc>
          <w:tcPr>
            <w:tcW w:w="917"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kern w:val="0"/>
                <w:sz w:val="21"/>
                <w:szCs w:val="21"/>
                <w:highlight w:val="none"/>
                <w:lang w:val="en-US" w:eastAsia="zh-CN"/>
              </w:rPr>
              <w:t>2017</w:t>
            </w:r>
          </w:p>
        </w:tc>
        <w:tc>
          <w:tcPr>
            <w:tcW w:w="864"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eastAsiaTheme="minorEastAsia"/>
                <w:color w:val="auto"/>
                <w:kern w:val="0"/>
                <w:sz w:val="21"/>
                <w:szCs w:val="21"/>
                <w:highlight w:val="none"/>
                <w:lang w:eastAsia="zh-CN"/>
              </w:rPr>
              <w:t>黎河</w:t>
            </w:r>
          </w:p>
        </w:tc>
        <w:tc>
          <w:tcPr>
            <w:tcW w:w="1097" w:type="dxa"/>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Ⅱ类</w:t>
            </w:r>
          </w:p>
        </w:tc>
        <w:tc>
          <w:tcPr>
            <w:tcW w:w="1558" w:type="dxa"/>
            <w:vAlign w:val="center"/>
          </w:tcPr>
          <w:p>
            <w:pPr>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氨氮</w:t>
            </w:r>
          </w:p>
        </w:tc>
        <w:tc>
          <w:tcPr>
            <w:tcW w:w="2181" w:type="dxa"/>
            <w:vMerge w:val="continue"/>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p>
        </w:tc>
        <w:tc>
          <w:tcPr>
            <w:tcW w:w="1635" w:type="dxa"/>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kern w:val="0"/>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93" w:hRule="atLeast"/>
          <w:jc w:val="center"/>
        </w:trPr>
        <w:tc>
          <w:tcPr>
            <w:tcW w:w="917" w:type="dxa"/>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201</w:t>
            </w:r>
            <w:r>
              <w:rPr>
                <w:rFonts w:hint="eastAsia" w:ascii="Times New Roman" w:hAnsi="Times New Roman" w:cs="Times New Roman"/>
                <w:color w:val="auto"/>
                <w:sz w:val="21"/>
                <w:szCs w:val="21"/>
                <w:highlight w:val="none"/>
                <w:vertAlign w:val="baseline"/>
                <w:lang w:val="en-US" w:eastAsia="zh-CN"/>
              </w:rPr>
              <w:t>8</w:t>
            </w:r>
          </w:p>
        </w:tc>
        <w:tc>
          <w:tcPr>
            <w:tcW w:w="864" w:type="dxa"/>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黎河</w:t>
            </w:r>
          </w:p>
        </w:tc>
        <w:tc>
          <w:tcPr>
            <w:tcW w:w="1097" w:type="dxa"/>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Ⅱ类</w:t>
            </w:r>
          </w:p>
        </w:tc>
        <w:tc>
          <w:tcPr>
            <w:tcW w:w="1558" w:type="dxa"/>
            <w:vAlign w:val="center"/>
          </w:tcPr>
          <w:p>
            <w:pPr>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氨氮</w:t>
            </w:r>
          </w:p>
        </w:tc>
        <w:tc>
          <w:tcPr>
            <w:tcW w:w="2181" w:type="dxa"/>
            <w:vMerge w:val="continue"/>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p>
        </w:tc>
        <w:tc>
          <w:tcPr>
            <w:tcW w:w="1635" w:type="dxa"/>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93" w:hRule="atLeast"/>
          <w:jc w:val="center"/>
        </w:trPr>
        <w:tc>
          <w:tcPr>
            <w:tcW w:w="917" w:type="dxa"/>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2019</w:t>
            </w:r>
          </w:p>
        </w:tc>
        <w:tc>
          <w:tcPr>
            <w:tcW w:w="864" w:type="dxa"/>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黎河</w:t>
            </w:r>
          </w:p>
        </w:tc>
        <w:tc>
          <w:tcPr>
            <w:tcW w:w="1097" w:type="dxa"/>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Ⅱ类</w:t>
            </w:r>
          </w:p>
        </w:tc>
        <w:tc>
          <w:tcPr>
            <w:tcW w:w="1558" w:type="dxa"/>
            <w:vAlign w:val="center"/>
          </w:tcPr>
          <w:p>
            <w:pPr>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氨氮</w:t>
            </w:r>
          </w:p>
        </w:tc>
        <w:tc>
          <w:tcPr>
            <w:tcW w:w="2181" w:type="dxa"/>
            <w:vMerge w:val="continue"/>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c>
          <w:tcPr>
            <w:tcW w:w="1635" w:type="dxa"/>
            <w:tcBorders>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917" w:type="dxa"/>
            <w:shd w:val="clear" w:color="auto" w:fill="auto"/>
            <w:noWrap/>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2020</w:t>
            </w:r>
          </w:p>
        </w:tc>
        <w:tc>
          <w:tcPr>
            <w:tcW w:w="864" w:type="dxa"/>
            <w:shd w:val="clear" w:color="auto" w:fill="auto"/>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黎河</w:t>
            </w:r>
          </w:p>
        </w:tc>
        <w:tc>
          <w:tcPr>
            <w:tcW w:w="1097" w:type="dxa"/>
            <w:shd w:val="clear" w:color="auto" w:fill="auto"/>
            <w:noWrap/>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Ⅱ类</w:t>
            </w:r>
          </w:p>
        </w:tc>
        <w:tc>
          <w:tcPr>
            <w:tcW w:w="1558" w:type="dxa"/>
            <w:shd w:val="clear" w:color="auto" w:fill="auto"/>
            <w:noWrap/>
            <w:vAlign w:val="center"/>
          </w:tcPr>
          <w:p>
            <w:pPr>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氨氮</w:t>
            </w:r>
          </w:p>
        </w:tc>
        <w:tc>
          <w:tcPr>
            <w:tcW w:w="2181" w:type="dxa"/>
            <w:vMerge w:val="continue"/>
            <w:shd w:val="clear" w:color="auto" w:fill="auto"/>
            <w:noWrap/>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c>
          <w:tcPr>
            <w:tcW w:w="1635" w:type="dxa"/>
            <w:tcBorders>
              <w:top w:val="single" w:color="auto" w:sz="4" w:space="0"/>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917" w:type="dxa"/>
            <w:shd w:val="clear" w:color="auto" w:fill="auto"/>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2021</w:t>
            </w:r>
          </w:p>
        </w:tc>
        <w:tc>
          <w:tcPr>
            <w:tcW w:w="864" w:type="dxa"/>
            <w:shd w:val="clear" w:color="auto" w:fill="auto"/>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黎河</w:t>
            </w:r>
          </w:p>
        </w:tc>
        <w:tc>
          <w:tcPr>
            <w:tcW w:w="1097" w:type="dxa"/>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Ⅱ类</w:t>
            </w:r>
          </w:p>
        </w:tc>
        <w:tc>
          <w:tcPr>
            <w:tcW w:w="1558" w:type="dxa"/>
            <w:shd w:val="clear" w:color="auto" w:fill="auto"/>
            <w:vAlign w:val="center"/>
          </w:tcPr>
          <w:p>
            <w:pPr>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氨氮</w:t>
            </w:r>
          </w:p>
        </w:tc>
        <w:tc>
          <w:tcPr>
            <w:tcW w:w="2181" w:type="dxa"/>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c>
          <w:tcPr>
            <w:tcW w:w="1635" w:type="dxa"/>
            <w:tcBorders>
              <w:top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917" w:type="dxa"/>
            <w:shd w:val="clear" w:color="auto" w:fill="auto"/>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2022</w:t>
            </w:r>
          </w:p>
        </w:tc>
        <w:tc>
          <w:tcPr>
            <w:tcW w:w="864" w:type="dxa"/>
            <w:shd w:val="clear" w:color="auto" w:fill="auto"/>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黎河</w:t>
            </w:r>
          </w:p>
        </w:tc>
        <w:tc>
          <w:tcPr>
            <w:tcW w:w="1097" w:type="dxa"/>
            <w:shd w:val="clear" w:color="auto" w:fill="auto"/>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Ⅱ类</w:t>
            </w:r>
          </w:p>
        </w:tc>
        <w:tc>
          <w:tcPr>
            <w:tcW w:w="1558" w:type="dxa"/>
            <w:shd w:val="clear" w:color="auto" w:fill="auto"/>
            <w:vAlign w:val="center"/>
          </w:tcPr>
          <w:p>
            <w:pPr>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氨氮</w:t>
            </w:r>
          </w:p>
        </w:tc>
        <w:tc>
          <w:tcPr>
            <w:tcW w:w="2181" w:type="dxa"/>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c>
          <w:tcPr>
            <w:tcW w:w="1635" w:type="dxa"/>
            <w:tcBorders>
              <w:top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eastAsiaTheme="minorEastAsia"/>
                <w:color w:val="auto"/>
                <w:kern w:val="0"/>
                <w:sz w:val="21"/>
                <w:szCs w:val="21"/>
                <w:highlight w:val="none"/>
                <w:lang w:val="en-US" w:eastAsia="zh-CN"/>
              </w:rPr>
              <w:t>3\4\11月断流</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252" w:type="dxa"/>
            <w:gridSpan w:val="6"/>
            <w:tcBorders>
              <w:right w:val="single" w:color="auto" w:sz="4" w:space="0"/>
            </w:tcBorders>
            <w:shd w:val="clear" w:color="auto" w:fill="auto"/>
            <w:vAlign w:val="center"/>
          </w:tcPr>
          <w:p>
            <w:pPr>
              <w:ind w:left="0" w:leftChars="0" w:right="0" w:rightChars="0"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eastAsiaTheme="minorEastAsia"/>
                <w:color w:val="auto"/>
                <w:kern w:val="0"/>
                <w:sz w:val="21"/>
                <w:szCs w:val="21"/>
                <w:highlight w:val="none"/>
                <w:lang w:val="zh-CN" w:eastAsia="zh-CN"/>
              </w:rPr>
              <w:t>资料来源</w:t>
            </w:r>
            <w:r>
              <w:rPr>
                <w:rFonts w:hint="eastAsia" w:cs="Times New Roman" w:eastAsiaTheme="minorEastAsia"/>
                <w:color w:val="auto"/>
                <w:kern w:val="0"/>
                <w:sz w:val="21"/>
                <w:szCs w:val="21"/>
                <w:highlight w:val="none"/>
                <w:lang w:val="zh-CN" w:eastAsia="zh-CN"/>
              </w:rPr>
              <w:t>：</w:t>
            </w:r>
            <w:r>
              <w:rPr>
                <w:rFonts w:hint="eastAsia" w:ascii="Times New Roman" w:hAnsi="Times New Roman" w:cs="Times New Roman" w:eastAsiaTheme="minorEastAsia"/>
                <w:color w:val="auto"/>
                <w:kern w:val="0"/>
                <w:sz w:val="21"/>
                <w:szCs w:val="21"/>
                <w:highlight w:val="none"/>
                <w:lang w:val="zh-CN" w:eastAsia="zh-CN"/>
              </w:rPr>
              <w:t>唐山市环境质量公报</w:t>
            </w:r>
            <w:r>
              <w:rPr>
                <w:rFonts w:hint="default" w:ascii="Times New Roman" w:hAnsi="Times New Roman" w:cs="Times New Roman"/>
                <w:color w:val="auto"/>
                <w:sz w:val="21"/>
                <w:szCs w:val="21"/>
                <w:highlight w:val="none"/>
                <w:vertAlign w:val="baseline"/>
                <w:lang w:val="en-US" w:eastAsia="zh-CN"/>
              </w:rPr>
              <w:t>报</w:t>
            </w:r>
          </w:p>
        </w:tc>
      </w:tr>
    </w:tbl>
    <w:p>
      <w:pPr>
        <w:pStyle w:val="309"/>
        <w:ind w:left="0" w:leftChars="0" w:firstLine="480" w:firstLineChars="200"/>
        <w:rPr>
          <w:rFonts w:hint="default" w:ascii="Times New Roman" w:hAnsi="Times New Roman" w:eastAsia="宋体" w:cs="Times New Roman"/>
          <w:b/>
          <w:bCs/>
          <w:snapToGrid w:val="0"/>
          <w:color w:val="auto"/>
          <w:highlight w:val="none"/>
          <w:lang w:val="en-US" w:eastAsia="zh-CN"/>
        </w:rPr>
      </w:pPr>
      <w:r>
        <w:rPr>
          <w:rFonts w:hint="default" w:ascii="Times New Roman" w:hAnsi="Times New Roman" w:cs="Times New Roman"/>
          <w:color w:val="auto"/>
          <w:kern w:val="0"/>
          <w:sz w:val="24"/>
          <w:highlight w:val="none"/>
        </w:rPr>
        <w:t>从上表可以看出，</w:t>
      </w:r>
      <w:r>
        <w:rPr>
          <w:rFonts w:hint="default" w:ascii="Times New Roman" w:hAnsi="Times New Roman" w:cs="Times New Roman"/>
          <w:color w:val="auto"/>
          <w:kern w:val="0"/>
          <w:sz w:val="24"/>
          <w:highlight w:val="none"/>
          <w:lang w:eastAsia="zh-CN"/>
        </w:rPr>
        <w:t>本水电站建于</w:t>
      </w:r>
      <w:r>
        <w:rPr>
          <w:rFonts w:hint="default" w:ascii="Times New Roman" w:hAnsi="Times New Roman" w:cs="Times New Roman"/>
          <w:color w:val="auto"/>
          <w:kern w:val="0"/>
          <w:sz w:val="24"/>
          <w:highlight w:val="none"/>
          <w:lang w:val="en-US" w:eastAsia="zh-CN"/>
        </w:rPr>
        <w:t>200</w:t>
      </w:r>
      <w:r>
        <w:rPr>
          <w:rFonts w:hint="eastAsia" w:ascii="Times New Roman" w:hAnsi="Times New Roman" w:cs="Times New Roman"/>
          <w:color w:val="auto"/>
          <w:kern w:val="0"/>
          <w:sz w:val="24"/>
          <w:highlight w:val="none"/>
          <w:lang w:val="en-US" w:eastAsia="zh-CN"/>
        </w:rPr>
        <w:t>6</w:t>
      </w:r>
      <w:r>
        <w:rPr>
          <w:rFonts w:hint="default" w:ascii="Times New Roman" w:hAnsi="Times New Roman" w:cs="Times New Roman"/>
          <w:color w:val="auto"/>
          <w:kern w:val="0"/>
          <w:sz w:val="24"/>
          <w:highlight w:val="none"/>
          <w:lang w:val="en-US" w:eastAsia="zh-CN"/>
        </w:rPr>
        <w:t>年，历年监测数据可知，黎河特征污染物为COD、氨氮，2001年为三类水体，2002年为四类水体。2003年断流，未进行监测。之后</w:t>
      </w:r>
      <w:r>
        <w:rPr>
          <w:rFonts w:hint="eastAsia" w:ascii="Times New Roman" w:hAnsi="Times New Roman" w:cs="Times New Roman"/>
          <w:color w:val="auto"/>
          <w:kern w:val="0"/>
          <w:sz w:val="24"/>
          <w:highlight w:val="none"/>
          <w:lang w:val="en-US" w:eastAsia="zh-CN"/>
        </w:rPr>
        <w:t>各</w:t>
      </w:r>
      <w:r>
        <w:rPr>
          <w:rFonts w:hint="default" w:ascii="Times New Roman" w:hAnsi="Times New Roman" w:cs="Times New Roman"/>
          <w:color w:val="auto"/>
          <w:kern w:val="0"/>
          <w:sz w:val="24"/>
          <w:highlight w:val="none"/>
          <w:lang w:val="en-US" w:eastAsia="zh-CN"/>
        </w:rPr>
        <w:t>年份</w:t>
      </w:r>
      <w:r>
        <w:rPr>
          <w:rFonts w:hint="default" w:ascii="Times New Roman" w:hAnsi="Times New Roman" w:cs="Times New Roman"/>
          <w:color w:val="auto"/>
          <w:kern w:val="0"/>
          <w:sz w:val="24"/>
          <w:highlight w:val="none"/>
        </w:rPr>
        <w:t>黎河</w:t>
      </w:r>
      <w:r>
        <w:rPr>
          <w:rFonts w:hint="default" w:ascii="Times New Roman" w:hAnsi="Times New Roman" w:cs="Times New Roman"/>
          <w:color w:val="auto"/>
          <w:kern w:val="0"/>
          <w:sz w:val="24"/>
          <w:highlight w:val="none"/>
          <w:lang w:eastAsia="zh-CN"/>
        </w:rPr>
        <w:t>水质到达</w:t>
      </w:r>
      <w:r>
        <w:rPr>
          <w:rFonts w:hint="eastAsia" w:ascii="Times New Roman" w:hAnsi="Times New Roman" w:cs="Times New Roman"/>
          <w:color w:val="auto"/>
          <w:highlight w:val="none"/>
          <w:lang w:val="en-US" w:eastAsia="zh-CN"/>
        </w:rPr>
        <w:t>III</w:t>
      </w:r>
      <w:r>
        <w:rPr>
          <w:rFonts w:hint="default" w:ascii="Times New Roman" w:hAnsi="Times New Roman" w:cs="Times New Roman"/>
          <w:color w:val="auto"/>
          <w:highlight w:val="none"/>
        </w:rPr>
        <w:t>类</w:t>
      </w:r>
      <w:r>
        <w:rPr>
          <w:rFonts w:hint="default" w:ascii="Times New Roman" w:hAnsi="Times New Roman" w:cs="Times New Roman"/>
          <w:color w:val="auto"/>
          <w:highlight w:val="none"/>
          <w:lang w:eastAsia="zh-CN"/>
        </w:rPr>
        <w:t>水质指标</w:t>
      </w:r>
      <w:r>
        <w:rPr>
          <w:rFonts w:hint="default" w:ascii="Times New Roman" w:hAnsi="Times New Roman" w:cs="Times New Roman"/>
          <w:color w:val="auto"/>
          <w:kern w:val="0"/>
          <w:sz w:val="24"/>
          <w:highlight w:val="none"/>
        </w:rPr>
        <w:t>，地表水环境质量良好</w:t>
      </w:r>
      <w:r>
        <w:rPr>
          <w:rFonts w:hint="default" w:ascii="Times New Roman" w:hAnsi="Times New Roman" w:cs="Times New Roman"/>
          <w:color w:val="auto"/>
          <w:kern w:val="0"/>
          <w:sz w:val="24"/>
          <w:highlight w:val="none"/>
          <w:lang w:eastAsia="zh-CN"/>
        </w:rPr>
        <w:t>。</w:t>
      </w:r>
    </w:p>
    <w:p>
      <w:pPr>
        <w:pStyle w:val="309"/>
        <w:ind w:left="0" w:leftChars="0" w:firstLine="0" w:firstLineChars="0"/>
        <w:rPr>
          <w:rFonts w:hint="default" w:ascii="Times New Roman" w:hAnsi="Times New Roman" w:cs="Times New Roman"/>
          <w:b/>
          <w:bCs/>
          <w:snapToGrid w:val="0"/>
          <w:color w:val="auto"/>
          <w:highlight w:val="none"/>
          <w:lang w:val="en-US" w:eastAsia="zh-CN"/>
        </w:rPr>
      </w:pPr>
      <w:r>
        <w:rPr>
          <w:rFonts w:hint="default" w:ascii="Times New Roman" w:hAnsi="Times New Roman" w:cs="Times New Roman"/>
          <w:b/>
          <w:bCs/>
          <w:snapToGrid w:val="0"/>
          <w:color w:val="auto"/>
          <w:highlight w:val="none"/>
          <w:lang w:val="en-US" w:eastAsia="zh-CN"/>
        </w:rPr>
        <w:t xml:space="preserve">    上述数据说明，本水电站的建设与运营对黎河水质影响很小。</w:t>
      </w:r>
    </w:p>
    <w:p>
      <w:pPr>
        <w:pStyle w:val="309"/>
        <w:ind w:left="0" w:leftChars="0" w:firstLine="0" w:firstLineChars="0"/>
        <w:rPr>
          <w:rFonts w:hint="default" w:ascii="Times New Roman" w:hAnsi="Times New Roman" w:eastAsia="宋体" w:cs="Times New Roman"/>
          <w:b/>
          <w:bCs/>
          <w:snapToGrid w:val="0"/>
          <w:highlight w:val="none"/>
          <w:lang w:val="en-US" w:eastAsia="zh-CN"/>
        </w:rPr>
      </w:pPr>
      <w:r>
        <w:rPr>
          <w:rFonts w:hint="default" w:ascii="Times New Roman" w:hAnsi="Times New Roman" w:cs="Times New Roman"/>
          <w:b/>
          <w:bCs/>
          <w:snapToGrid w:val="0"/>
          <w:highlight w:val="none"/>
          <w:lang w:val="en-US" w:eastAsia="zh-CN"/>
        </w:rPr>
        <w:t>4.4.2.</w:t>
      </w:r>
      <w:r>
        <w:rPr>
          <w:rFonts w:hint="eastAsia" w:ascii="Times New Roman" w:hAnsi="Times New Roman" w:cs="Times New Roman"/>
          <w:b/>
          <w:bCs/>
          <w:snapToGrid w:val="0"/>
          <w:highlight w:val="none"/>
          <w:lang w:val="en-US" w:eastAsia="zh-CN"/>
        </w:rPr>
        <w:t>2</w:t>
      </w:r>
      <w:r>
        <w:rPr>
          <w:rFonts w:hint="default" w:ascii="Times New Roman" w:hAnsi="Times New Roman" w:cs="Times New Roman"/>
          <w:b/>
          <w:bCs/>
          <w:snapToGrid w:val="0"/>
          <w:highlight w:val="none"/>
          <w:lang w:val="en-US" w:eastAsia="zh-CN"/>
        </w:rPr>
        <w:t xml:space="preserve"> 黎河水质</w:t>
      </w:r>
      <w:r>
        <w:rPr>
          <w:rFonts w:hint="eastAsia" w:ascii="Times New Roman" w:hAnsi="Times New Roman" w:cs="Times New Roman"/>
          <w:b/>
          <w:bCs/>
          <w:snapToGrid w:val="0"/>
          <w:highlight w:val="none"/>
          <w:lang w:val="en-US" w:eastAsia="zh-CN"/>
        </w:rPr>
        <w:t>补充</w:t>
      </w:r>
      <w:r>
        <w:rPr>
          <w:rFonts w:hint="default" w:ascii="Times New Roman" w:hAnsi="Times New Roman" w:cs="Times New Roman"/>
          <w:b/>
          <w:bCs/>
          <w:snapToGrid w:val="0"/>
          <w:highlight w:val="none"/>
          <w:lang w:val="en-US" w:eastAsia="zh-CN"/>
        </w:rPr>
        <w:t>监测结果</w:t>
      </w:r>
    </w:p>
    <w:p>
      <w:pPr>
        <w:pStyle w:val="309"/>
        <w:rPr>
          <w:highlight w:val="none"/>
        </w:rPr>
      </w:pPr>
      <w:r>
        <w:rPr>
          <w:rFonts w:hint="eastAsia"/>
          <w:snapToGrid w:val="0"/>
          <w:highlight w:val="none"/>
        </w:rPr>
        <w:t>为掌握本工程评价区水环境现状情况，</w:t>
      </w:r>
      <w:r>
        <w:rPr>
          <w:rFonts w:hint="eastAsia"/>
          <w:snapToGrid w:val="0"/>
          <w:color w:val="auto"/>
          <w:highlight w:val="none"/>
        </w:rPr>
        <w:t>本次环评委托</w:t>
      </w:r>
      <w:bookmarkEnd w:id="180"/>
      <w:bookmarkEnd w:id="181"/>
      <w:r>
        <w:rPr>
          <w:rFonts w:hint="eastAsia"/>
          <w:snapToGrid w:val="0"/>
          <w:color w:val="auto"/>
          <w:highlight w:val="none"/>
        </w:rPr>
        <w:t>河北拓维检测技术有限公司监测，</w:t>
      </w:r>
      <w:r>
        <w:rPr>
          <w:rFonts w:hint="eastAsia"/>
          <w:snapToGrid w:val="0"/>
          <w:highlight w:val="none"/>
        </w:rPr>
        <w:t>该检测公司具有河北</w:t>
      </w:r>
      <w:r>
        <w:rPr>
          <w:rFonts w:hint="eastAsia"/>
          <w:highlight w:val="none"/>
        </w:rPr>
        <w:t>省认证资质,检测结果符合相关要求。</w:t>
      </w:r>
    </w:p>
    <w:p>
      <w:pPr>
        <w:pStyle w:val="309"/>
        <w:rPr>
          <w:highlight w:val="none"/>
        </w:rPr>
      </w:pPr>
      <w:r>
        <w:rPr>
          <w:rFonts w:hint="eastAsia"/>
          <w:highlight w:val="none"/>
        </w:rPr>
        <w:t>（1）</w:t>
      </w:r>
      <w:r>
        <w:rPr>
          <w:highlight w:val="none"/>
        </w:rPr>
        <w:t>监测点位</w:t>
      </w:r>
    </w:p>
    <w:p>
      <w:pPr>
        <w:pStyle w:val="309"/>
        <w:keepNext w:val="0"/>
        <w:keepLines w:val="0"/>
        <w:pageBreakBefore w:val="0"/>
        <w:widowControl w:val="0"/>
        <w:kinsoku/>
        <w:wordWrap/>
        <w:overflowPunct/>
        <w:topLinePunct w:val="0"/>
        <w:autoSpaceDE/>
        <w:autoSpaceDN/>
        <w:bidi w:val="0"/>
        <w:adjustRightInd/>
        <w:snapToGrid/>
        <w:textAlignment w:val="auto"/>
        <w:rPr>
          <w:highlight w:val="none"/>
        </w:rPr>
      </w:pPr>
      <w:r>
        <w:rPr>
          <w:rFonts w:hint="eastAsia"/>
          <w:highlight w:val="none"/>
        </w:rPr>
        <w:t>布设3个地表水监测点位：W1：黎河</w:t>
      </w:r>
      <w:r>
        <w:rPr>
          <w:highlight w:val="none"/>
        </w:rPr>
        <w:t>橡胶坝上游</w:t>
      </w:r>
      <w:r>
        <w:rPr>
          <w:rFonts w:hint="eastAsia"/>
          <w:highlight w:val="none"/>
        </w:rPr>
        <w:t>1</w:t>
      </w:r>
      <w:r>
        <w:rPr>
          <w:highlight w:val="none"/>
        </w:rPr>
        <w:t>0</w:t>
      </w:r>
      <w:r>
        <w:rPr>
          <w:rFonts w:hint="eastAsia"/>
          <w:highlight w:val="none"/>
        </w:rPr>
        <w:t>0</w:t>
      </w:r>
      <w:r>
        <w:rPr>
          <w:highlight w:val="none"/>
        </w:rPr>
        <w:t>m</w:t>
      </w:r>
      <w:r>
        <w:rPr>
          <w:rFonts w:hint="eastAsia"/>
          <w:highlight w:val="none"/>
        </w:rPr>
        <w:t>；W2：水电站下游50m（减水段）；W3：</w:t>
      </w:r>
      <w:r>
        <w:rPr>
          <w:highlight w:val="none"/>
        </w:rPr>
        <w:t>尾水渠出口下游</w:t>
      </w:r>
      <w:r>
        <w:rPr>
          <w:rFonts w:hint="eastAsia"/>
          <w:highlight w:val="none"/>
        </w:rPr>
        <w:t>900</w:t>
      </w:r>
      <w:r>
        <w:rPr>
          <w:highlight w:val="none"/>
        </w:rPr>
        <w:t>m。</w:t>
      </w:r>
      <w:r>
        <w:rPr>
          <w:rFonts w:hint="eastAsia"/>
          <w:highlight w:val="none"/>
        </w:rPr>
        <w:t>见下图：</w:t>
      </w:r>
    </w:p>
    <w:p>
      <w:pPr>
        <w:pStyle w:val="309"/>
        <w:keepNext w:val="0"/>
        <w:keepLines w:val="0"/>
        <w:pageBreakBefore w:val="0"/>
        <w:widowControl w:val="0"/>
        <w:kinsoku/>
        <w:wordWrap/>
        <w:overflowPunct/>
        <w:topLinePunct w:val="0"/>
        <w:autoSpaceDE/>
        <w:autoSpaceDN/>
        <w:bidi w:val="0"/>
        <w:adjustRightInd/>
        <w:snapToGrid/>
        <w:textAlignment w:val="auto"/>
        <w:rPr>
          <w:highlight w:val="none"/>
          <w:lang w:val="zh-CN"/>
        </w:rPr>
      </w:pPr>
      <w:r>
        <w:rPr>
          <w:highlight w:val="none"/>
          <w:lang w:val="zh-CN"/>
        </w:rPr>
        <w:drawing>
          <wp:anchor distT="0" distB="0" distL="114300" distR="114300" simplePos="0" relativeHeight="251710464" behindDoc="0" locked="0" layoutInCell="1" allowOverlap="1">
            <wp:simplePos x="0" y="0"/>
            <wp:positionH relativeFrom="column">
              <wp:posOffset>-20320</wp:posOffset>
            </wp:positionH>
            <wp:positionV relativeFrom="paragraph">
              <wp:posOffset>83185</wp:posOffset>
            </wp:positionV>
            <wp:extent cx="5265420" cy="3069590"/>
            <wp:effectExtent l="0" t="0" r="11430" b="16510"/>
            <wp:wrapNone/>
            <wp:docPr id="16" name="图片 16" descr="微信截图_20230726093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截图_20230726093431"/>
                    <pic:cNvPicPr>
                      <a:picLocks noChangeAspect="1"/>
                    </pic:cNvPicPr>
                  </pic:nvPicPr>
                  <pic:blipFill>
                    <a:blip r:embed="rId51"/>
                    <a:stretch>
                      <a:fillRect/>
                    </a:stretch>
                  </pic:blipFill>
                  <pic:spPr>
                    <a:xfrm>
                      <a:off x="0" y="0"/>
                      <a:ext cx="5265420" cy="3069590"/>
                    </a:xfrm>
                    <a:prstGeom prst="rect">
                      <a:avLst/>
                    </a:prstGeom>
                  </pic:spPr>
                </pic:pic>
              </a:graphicData>
            </a:graphic>
          </wp:anchor>
        </w:drawing>
      </w:r>
    </w:p>
    <w:p>
      <w:pPr>
        <w:ind w:left="420" w:hanging="420" w:hangingChars="200"/>
        <w:rPr>
          <w:highlight w:val="none"/>
        </w:rPr>
      </w:pPr>
    </w:p>
    <w:p>
      <w:pPr>
        <w:jc w:val="center"/>
        <w:rPr>
          <w:rFonts w:hint="eastAsia"/>
          <w:b/>
          <w:bCs/>
          <w:sz w:val="24"/>
          <w:highlight w:val="none"/>
        </w:rPr>
      </w:pPr>
    </w:p>
    <w:p>
      <w:pPr>
        <w:jc w:val="center"/>
        <w:rPr>
          <w:rFonts w:hint="eastAsia"/>
          <w:b/>
          <w:bCs/>
          <w:sz w:val="24"/>
          <w:highlight w:val="none"/>
        </w:rPr>
      </w:pPr>
    </w:p>
    <w:p>
      <w:pPr>
        <w:jc w:val="center"/>
        <w:rPr>
          <w:rFonts w:hint="eastAsia"/>
          <w:b/>
          <w:bCs/>
          <w:sz w:val="24"/>
          <w:highlight w:val="none"/>
        </w:rPr>
      </w:pPr>
      <w:r>
        <w:rPr>
          <w:sz w:val="24"/>
          <w:highlight w:val="none"/>
        </w:rPr>
        <mc:AlternateContent>
          <mc:Choice Requires="wps">
            <w:drawing>
              <wp:anchor distT="0" distB="0" distL="114300" distR="114300" simplePos="0" relativeHeight="251714560" behindDoc="0" locked="0" layoutInCell="1" allowOverlap="1">
                <wp:simplePos x="0" y="0"/>
                <wp:positionH relativeFrom="column">
                  <wp:posOffset>3611245</wp:posOffset>
                </wp:positionH>
                <wp:positionV relativeFrom="paragraph">
                  <wp:posOffset>59690</wp:posOffset>
                </wp:positionV>
                <wp:extent cx="706755" cy="412750"/>
                <wp:effectExtent l="0" t="0" r="0" b="0"/>
                <wp:wrapNone/>
                <wp:docPr id="74" name="文本框 74"/>
                <wp:cNvGraphicFramePr/>
                <a:graphic xmlns:a="http://schemas.openxmlformats.org/drawingml/2006/main">
                  <a:graphicData uri="http://schemas.microsoft.com/office/word/2010/wordprocessingShape">
                    <wps:wsp>
                      <wps:cNvSpPr txBox="1"/>
                      <wps:spPr>
                        <a:xfrm>
                          <a:off x="5135245" y="1809750"/>
                          <a:ext cx="706755" cy="412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lang w:val="en-US" w:eastAsia="zh-CN"/>
                              </w:rPr>
                            </w:pPr>
                            <w:r>
                              <w:rPr>
                                <w:rFonts w:hint="eastAsia"/>
                                <w:b/>
                                <w:bCs/>
                                <w:color w:val="FF0000"/>
                                <w:lang w:val="en-US" w:eastAsia="zh-CN"/>
                              </w:rPr>
                              <w:t>W1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4.35pt;margin-top:4.7pt;height:32.5pt;width:55.65pt;z-index:251714560;mso-width-relative:page;mso-height-relative:page;" filled="f" stroked="f" coordsize="21600,21600" o:gfxdata="UEsDBAoAAAAAAIdO4kAAAAAAAAAAAAAAAAAEAAAAZHJzL1BLAwQUAAAACACHTuJAbGqRAdoAAAAI&#10;AQAADwAAAGRycy9kb3ducmV2LnhtbE2PzU7DMBCE70i8g7VI3KjdKk1DiFOhSBUSgkNLL9w28TaJ&#10;iO0Quz/w9CwnOI5mNPNNsb7YQZxoCr13GuYzBYJc403vWg37t81dBiJEdAYH70jDFwVYl9dXBebG&#10;n92WTrvYCi5xIUcNXYxjLmVoOrIYZn4kx97BTxYjy6mVZsIzl9tBLpRKpcXe8UKHI1UdNR+7o9Xw&#10;XG1ecVsvbPY9VE8vh8fxc/++1Pr2Zq4eQES6xL8w/OIzOpTMVPujM0EMGpZptuKohvsEBPtppvhb&#10;rWGVJCDLQv4/UP4AUEsDBBQAAAAIAIdO4kCVEnGSRgIAAHMEAAAOAAAAZHJzL2Uyb0RvYy54bWyt&#10;VMFOGzEQvVfqP1i+l01CQiBig1IQVSVUkGjVs+P1sivZHtd22KUf0P4Bp15673flO/q8uwFKe+DQ&#10;izP2vJ3xe/Oc45PWaHarfKjJ5ny8N+JMWUlFbW9y/unj+ZtDzkIUthCarMr5nQr8ZPn61XHjFmpC&#10;FelCeYYiNiwal/MqRrfIsiArZUTYI6cskiV5IyK2/iYrvGhQ3ehsMhodZA35wnmSKgScnvVJPlT0&#10;LylIZVlLdUZyY5SNfVWvtIigFKraBb7sbluWSsbLsgwqMp1zMI3diiaI12nNlsdiceOFq2o5XEG8&#10;5ArPOBlRWzR9KHUmomAbX/9VytTSU6Ay7kkyWU+kUwQsxqNn2lxXwqmOC6QO7kH08P/Kyg+3V57V&#10;Rc7nU86sMJj49v779sev7c9vDGcQqHFhAdy1AzK2b6mFbXbnAYeJd1t6k37BiCE/G+/PJtMZZ3fA&#10;Ho6O5rNBatVGJgGYjw7mM+QlANPxZMhnj4WcD/GdIsNSkHOPSXYCi9uLEHEpQHeQ1NfSea11N01t&#10;WZPzg320/CODL7TFh4lOf+0UxXbdDhzXVNyBoqfeJcHJ8xrNL0SIV8LDFjANHk68xFJqQhMaIs4q&#10;8l//dZ7wmBaynDWwWc7Dl43wijP93mKOR+PpNPmy20xn8wk2/mlm/TRjN+aU4OQxnqiTXZjwUe/C&#10;0pP5jPe1Sl2RElaid87jLjyNvfnxPqVarToQnOhEvLDXTqbSvWirTaSy7pROMvXaDOrBi90AhneT&#10;zP5036Ee/yuW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sapEB2gAAAAgBAAAPAAAAAAAAAAEA&#10;IAAAACIAAABkcnMvZG93bnJldi54bWxQSwECFAAUAAAACACHTuJAlRJxkkYCAABzBAAADgAAAAAA&#10;AAABACAAAAApAQAAZHJzL2Uyb0RvYy54bWxQSwUGAAAAAAYABgBZAQAA4QUAAAAA&#10;">
                <v:fill on="f" focussize="0,0"/>
                <v:stroke on="f" weight="0.5pt"/>
                <v:imagedata o:title=""/>
                <o:lock v:ext="edit" aspectratio="f"/>
                <v:textbox>
                  <w:txbxContent>
                    <w:p>
                      <w:pPr>
                        <w:rPr>
                          <w:rFonts w:hint="default" w:eastAsia="宋体"/>
                          <w:b/>
                          <w:bCs/>
                          <w:color w:val="FF0000"/>
                          <w:lang w:val="en-US" w:eastAsia="zh-CN"/>
                        </w:rPr>
                      </w:pPr>
                      <w:r>
                        <w:rPr>
                          <w:rFonts w:hint="eastAsia"/>
                          <w:b/>
                          <w:bCs/>
                          <w:color w:val="FF0000"/>
                          <w:lang w:val="en-US" w:eastAsia="zh-CN"/>
                        </w:rPr>
                        <w:t>W1</w:t>
                      </w:r>
                    </w:p>
                  </w:txbxContent>
                </v:textbox>
              </v:shape>
            </w:pict>
          </mc:Fallback>
        </mc:AlternateContent>
      </w:r>
      <w:r>
        <w:rPr>
          <w:sz w:val="24"/>
          <w:highlight w:val="none"/>
        </w:rPr>
        <mc:AlternateContent>
          <mc:Choice Requires="wps">
            <w:drawing>
              <wp:anchor distT="0" distB="0" distL="114300" distR="114300" simplePos="0" relativeHeight="251711488" behindDoc="0" locked="0" layoutInCell="1" allowOverlap="1">
                <wp:simplePos x="0" y="0"/>
                <wp:positionH relativeFrom="column">
                  <wp:posOffset>3785870</wp:posOffset>
                </wp:positionH>
                <wp:positionV relativeFrom="paragraph">
                  <wp:posOffset>3175</wp:posOffset>
                </wp:positionV>
                <wp:extent cx="76200" cy="76200"/>
                <wp:effectExtent l="12700" t="12700" r="25400" b="25400"/>
                <wp:wrapNone/>
                <wp:docPr id="23" name="矩形 23"/>
                <wp:cNvGraphicFramePr/>
                <a:graphic xmlns:a="http://schemas.openxmlformats.org/drawingml/2006/main">
                  <a:graphicData uri="http://schemas.microsoft.com/office/word/2010/wordprocessingShape">
                    <wps:wsp>
                      <wps:cNvSpPr/>
                      <wps:spPr>
                        <a:xfrm>
                          <a:off x="4928870" y="1839595"/>
                          <a:ext cx="76200" cy="7620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8.1pt;margin-top:0.25pt;height:6pt;width:6pt;z-index:251711488;v-text-anchor:middle;mso-width-relative:page;mso-height-relative:page;" fillcolor="#FF0000" filled="t" stroked="t" coordsize="21600,21600" o:gfxdata="UEsDBAoAAAAAAIdO4kAAAAAAAAAAAAAAAAAEAAAAZHJzL1BLAwQUAAAACACHTuJAnkA3L9QAAAAH&#10;AQAADwAAAGRycy9kb3ducmV2LnhtbE2OMU/DMBCFdyT+g3VIbNRupIY0xOlQUSHYaBk6uvGRhMTn&#10;KHaa9t/3mGC7p/fp3VdsLq4XZxxD60nDcqFAIFXetlRr+DrsnjIQIRqypveEGq4YYFPe3xUmt36m&#10;TzzvYy14hEJuNDQxDrmUoWrQmbDwAxJ33350JnIca2lHM/O462WiVCqdaYk/NGbAbYNVt5+chm6d&#10;dd3btH1Nds/uQx7f6/hznLV+fFiqFxARL/EPhl99VoeSnU5+IhtEr2G1ThNG+QDBdaoyjifmkhXI&#10;spD//csbUEsDBBQAAAAIAIdO4kCOqlybaAIAAOgEAAAOAAAAZHJzL2Uyb0RvYy54bWytVEtuGzEM&#10;3RfoHQTtm7EdO7GNjAMjhosCQRMgLbqWNZJnAP0qyR6nlynQXQ+R4xS9Rp80k2+7yKJeyKTIeSQf&#10;SZ2dH7Qie+FDY01Jh0cDSoThtmrMtqSfP63fTSkJkZmKKWtESW9FoOeLt2/OWjcXI1tbVQlPAGLC&#10;vHUlrWN086IIvBaahSPrhIFRWq9ZhOq3ReVZC3StitFgcFK01lfOWy5CwO2qM9Ie0b8G0ErZcLGy&#10;fKeFiR2qF4pFlBTqxgW6yNlKKXi8kjKISFRJUWnMJ4JA3qSzWJyx+dYzVze8T4G9JoUXNWnWGAR9&#10;gFqxyMjON39B6YZ7G6yMR9zqoiskM4IqhoMX3NzUzIlcC6gO7oH08P9g+cf9tSdNVdLRMSWGaXT8&#10;9/efv+5+EFyAndaFOZxu3LXvtQAxlXqQXqd/FEEOJR3PRtPpKXi9xVRNj2eT2aRjVxwi4XA4PUH7&#10;KeGwdyLwikcY50N8L6wmSSipR+syo2x/GWLneu+SogarmmrdKJUVv91cKE/2DG1erwf4pdhAf+am&#10;DGlR6GSc82AYXomhQUragYBgtpQwtcVW8Ohz7Gdfh9cFSUmuWKi7ZDJCn4sySCnx2TGYpI2tbsG/&#10;t91gBsfXDb6/ZCFeM49JBGHY1XiFQyqL7G0vUVJb/+1f98kfAwIrJS0mG5V93TEvKFEfDEZnNhyP&#10;ARuzMp6cjqD4p5bNU4vZ6QsLVod4FRzPYvKP6l6U3uovWOlligoTMxyxOw575SJ2G4dHgYvlMrth&#10;/B2Ll+bG8QSeumjschetbHK3H9npScMC5I72y5o27KmevR4fqM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nkA3L9QAAAAHAQAADwAAAAAAAAABACAAAAAiAAAAZHJzL2Rvd25yZXYueG1sUEsBAhQA&#10;FAAAAAgAh07iQI6qXJtoAgAA6AQAAA4AAAAAAAAAAQAgAAAAIwEAAGRycy9lMm9Eb2MueG1sUEsF&#10;BgAAAAAGAAYAWQEAAP0FAAAAAA==&#10;">
                <v:fill on="t" focussize="0,0"/>
                <v:stroke weight="2pt" color="#FF0000 [3204]" joinstyle="round"/>
                <v:imagedata o:title=""/>
                <o:lock v:ext="edit" aspectratio="f"/>
              </v:rect>
            </w:pict>
          </mc:Fallback>
        </mc:AlternateContent>
      </w:r>
    </w:p>
    <w:p>
      <w:pPr>
        <w:jc w:val="center"/>
        <w:rPr>
          <w:rFonts w:hint="eastAsia"/>
          <w:b/>
          <w:bCs/>
          <w:sz w:val="24"/>
          <w:highlight w:val="none"/>
        </w:rPr>
      </w:pPr>
    </w:p>
    <w:p>
      <w:pPr>
        <w:jc w:val="center"/>
        <w:rPr>
          <w:rFonts w:hint="eastAsia"/>
          <w:b/>
          <w:bCs/>
          <w:sz w:val="24"/>
          <w:highlight w:val="none"/>
        </w:rPr>
      </w:pPr>
      <w:r>
        <w:rPr>
          <w:sz w:val="24"/>
          <w:highlight w:val="none"/>
        </w:rPr>
        <mc:AlternateContent>
          <mc:Choice Requires="wps">
            <w:drawing>
              <wp:anchor distT="0" distB="0" distL="114300" distR="114300" simplePos="0" relativeHeight="251715584" behindDoc="0" locked="0" layoutInCell="1" allowOverlap="1">
                <wp:simplePos x="0" y="0"/>
                <wp:positionH relativeFrom="column">
                  <wp:posOffset>2668270</wp:posOffset>
                </wp:positionH>
                <wp:positionV relativeFrom="paragraph">
                  <wp:posOffset>165100</wp:posOffset>
                </wp:positionV>
                <wp:extent cx="706755" cy="412750"/>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706755" cy="412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lang w:val="en-US" w:eastAsia="zh-CN"/>
                              </w:rPr>
                            </w:pPr>
                            <w:r>
                              <w:rPr>
                                <w:rFonts w:hint="eastAsia"/>
                                <w:b/>
                                <w:bCs/>
                                <w:color w:val="FF0000"/>
                                <w:lang w:val="en-US" w:eastAsia="zh-CN"/>
                              </w:rPr>
                              <w:t>W2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0.1pt;margin-top:13pt;height:32.5pt;width:55.65pt;z-index:251715584;mso-width-relative:page;mso-height-relative:page;" filled="f" stroked="f" coordsize="21600,21600" o:gfxdata="UEsDBAoAAAAAAIdO4kAAAAAAAAAAAAAAAAAEAAAAZHJzL1BLAwQUAAAACACHTuJAq5VG4NoAAAAJ&#10;AQAADwAAAGRycy9kb3ducmV2LnhtbE2Py07DMBBF90j8gzVI7KgdQ6o2zaRCkSokBIuWbtg58TSJ&#10;8CPE7gO+HrOC5WiO7j23XF+sYSeawuAdQjYTwMi1Xg+uQ9i/be4WwEJUTivjHSF8UYB1dX1VqkL7&#10;s9vSaRc7lkJcKBRCH+NYcB7anqwKMz+SS7+Dn6yK6Zw6rid1TuHWcCnEnFs1uNTQq5HqntqP3dEi&#10;PNebV7VtpF18m/rp5fA4fu7fc8Tbm0ysgEW6xD8YfvWTOlTJqfFHpwMzCA9SyIQiyHnalID8PsuB&#10;NQjLTACvSv5/QfUDUEsDBBQAAAAIAIdO4kAt2H2rPAIAAGcEAAAOAAAAZHJzL2Uyb0RvYy54bWyt&#10;VM1u1DAQviPxDpbvNLvL/sCq2WppVYRU0UoFcfY6ThPJ9hjb26Q8ALwBJy7cea4+B5+d3bYUDj1w&#10;ccYz45n5vpnJ4VFvNLtWPrRkSz4+GHGmrKSqtVcl//jh9MUrzkIUthKarCr5jQr8aPX82WHnlmpC&#10;DelKeYYgNiw7V/ImRrcsiiAbZUQ4IKcsjDV5IyKu/qqovOgQ3ehiMhrNi4585TxJFQK0J4OR7yL6&#10;pwSkum6lOiG5NcrGIapXWkRACk3rAl/lautayXhe10FFpksOpDGfSAJ5k85idSiWV164ppW7EsRT&#10;SniEyYjWIuldqBMRBdv69q9QppWeAtXxQJIpBiCZEaAYjx5xc9kIpzIWUB3cHenh/4WV768vPGur&#10;ki/mnFlh0PHb799uf/y6/fmVQQeCOheW8Lt08Iz9G+oxNnt9gDLh7mtv0heIGOyg9+aOXtVHJqFc&#10;jOaL2YwzCdN0PFnMMv3F/WPnQ3yryLAklNyje5lUcX0WIgqB694l5bJ02mqdO6gt60o+f4mQf1jw&#10;Qls8TBCGUpMU+02/w7Wh6gawPA2TEZw8bZH8TIR4ITxGAUiwLPEcR60JSWgncdaQ//IvffJHh2Dl&#10;rMNolTx83gqvONPvLHr3ejydplnMl+lsMcHFP7RsHlrs1hwTpneMtXQyi8k/6r1YezKfsFPrlBUm&#10;YSVylzzuxeM4DDx2Uqr1Ojth+pyIZ/bSyRR6IG29jVS3melE08DNjj3MX27AblfSgD+8Z6/7/8Pq&#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uVRuDaAAAACQEAAA8AAAAAAAAAAQAgAAAAIgAAAGRy&#10;cy9kb3ducmV2LnhtbFBLAQIUABQAAAAIAIdO4kAt2H2rPAIAAGcEAAAOAAAAAAAAAAEAIAAAACkB&#10;AABkcnMvZTJvRG9jLnhtbFBLBQYAAAAABgAGAFkBAADXBQAAAAA=&#10;">
                <v:fill on="f" focussize="0,0"/>
                <v:stroke on="f" weight="0.5pt"/>
                <v:imagedata o:title=""/>
                <o:lock v:ext="edit" aspectratio="f"/>
                <v:textbox>
                  <w:txbxContent>
                    <w:p>
                      <w:pPr>
                        <w:rPr>
                          <w:rFonts w:hint="default" w:eastAsia="宋体"/>
                          <w:b/>
                          <w:bCs/>
                          <w:color w:val="FF0000"/>
                          <w:lang w:val="en-US" w:eastAsia="zh-CN"/>
                        </w:rPr>
                      </w:pPr>
                      <w:r>
                        <w:rPr>
                          <w:rFonts w:hint="eastAsia"/>
                          <w:b/>
                          <w:bCs/>
                          <w:color w:val="FF0000"/>
                          <w:lang w:val="en-US" w:eastAsia="zh-CN"/>
                        </w:rPr>
                        <w:t>W2</w:t>
                      </w:r>
                    </w:p>
                  </w:txbxContent>
                </v:textbox>
              </v:shape>
            </w:pict>
          </mc:Fallback>
        </mc:AlternateContent>
      </w:r>
    </w:p>
    <w:p>
      <w:pPr>
        <w:jc w:val="center"/>
        <w:rPr>
          <w:rFonts w:hint="eastAsia"/>
          <w:b/>
          <w:bCs/>
          <w:sz w:val="24"/>
          <w:highlight w:val="none"/>
        </w:rPr>
      </w:pPr>
      <w:r>
        <w:rPr>
          <w:sz w:val="24"/>
          <w:highlight w:val="none"/>
        </w:rPr>
        <mc:AlternateContent>
          <mc:Choice Requires="wps">
            <w:drawing>
              <wp:anchor distT="0" distB="0" distL="114300" distR="114300" simplePos="0" relativeHeight="251712512" behindDoc="0" locked="0" layoutInCell="1" allowOverlap="1">
                <wp:simplePos x="0" y="0"/>
                <wp:positionH relativeFrom="column">
                  <wp:posOffset>2668270</wp:posOffset>
                </wp:positionH>
                <wp:positionV relativeFrom="paragraph">
                  <wp:posOffset>5715</wp:posOffset>
                </wp:positionV>
                <wp:extent cx="76200" cy="76200"/>
                <wp:effectExtent l="12700" t="12700" r="25400" b="25400"/>
                <wp:wrapNone/>
                <wp:docPr id="24" name="矩形 24"/>
                <wp:cNvGraphicFramePr/>
                <a:graphic xmlns:a="http://schemas.openxmlformats.org/drawingml/2006/main">
                  <a:graphicData uri="http://schemas.microsoft.com/office/word/2010/wordprocessingShape">
                    <wps:wsp>
                      <wps:cNvSpPr/>
                      <wps:spPr>
                        <a:xfrm>
                          <a:off x="0" y="0"/>
                          <a:ext cx="76200" cy="7620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0.1pt;margin-top:0.45pt;height:6pt;width:6pt;z-index:251712512;v-text-anchor:middle;mso-width-relative:page;mso-height-relative:page;" fillcolor="#FF0000" filled="t" stroked="t" coordsize="21600,21600" o:gfxdata="UEsDBAoAAAAAAIdO4kAAAAAAAAAAAAAAAAAEAAAAZHJzL1BLAwQUAAAACACHTuJADpPEStQAAAAH&#10;AQAADwAAAGRycy9kb3ducmV2LnhtbE2OwU7DMBBE70j8g7VI3KhdU0ET4vRQUSG4UTj06MZLEhKv&#10;o9hpyt+znOhxNE8zr9icfS9OOMY2kIHlQoFAqoJrqTbw+bG7W4OIyZKzfSA08IMRNuX1VWFzF2Z6&#10;x9M+1YJHKObWQJPSkEsZqwa9jYswIHH3FUZvE8exlm60M4/7XmqlHqS3LfFDYwfcNlh1+8kb6LJ1&#10;171M22e9e/Rv8vBap+/DbMztzVI9gUh4Tv8w/OmzOpTsdAwTuSh6AyutNKMGMhBcr+41xyNzOgNZ&#10;FvLSv/wFUEsDBBQAAAAIAIdO4kApNVsDWgIAANwEAAAOAAAAZHJzL2Uyb0RvYy54bWytVM1uEzEQ&#10;viPxDpbvdJMobSHqpooaBSFVtFJBnB2vnbXkP2wnm/IySNx4CB6n4jX47N02beHQAzlsZjzjb2a+&#10;mfHZ+d5oshMhKmdrOj4aUSIsd42ym5p+/rR685aSmJhtmHZW1PRWRHo+f/3qrPMzMXGt040IBCA2&#10;zjpf0zYlP6uqyFthWDxyXlgYpQuGJahhUzWBdUA3upqMRidV50Ljg+MiRpwueyMdEMNLAJ2Uioul&#10;41sjbOpRg9AsoaTYKh/pvGQrpeDpSsooEtE1RaWpfBEE8jp/q/kZm20C863iQwrsJSk8q8kwZRH0&#10;AWrJEiPboP6CMooHF51MR9yZqi+kMIIqxqNn3Ny0zItSC6iO/oH0+P9g+cfddSCqqelkSollBh3/&#10;/f3n3a8fBAdgp/NxBqcbfx0GLULMpe5lMPkfRZB9YfT2gVGxT4Tj8PQELaeEw9KLwKgOV32I6b1w&#10;hmShpgHtKiyy3WVMveu9S44UnVbNSmldlLBZX+hAdgytXa1G+OV8gf7ETVvSobjjacmDYWAlBgUp&#10;GY+io91QwvQGm8BTKLGf3I4vC5KTXLLY9skUhCEXbZFS5rBnLUtr19yC8+D6YYyerxTuX7KYrlnA&#10;9IEw7Ge6wkdqh+zdIFHSuvDtX+fZH0MBKyUdphmVfd2yICjRHyzG5d14Os3jX5Tp8ekESnhsWT+2&#10;2K25cGB1jJfA8yJm/6TvRRmc+YI1XuSoMDHLEbvncFAuUr9leAi4WCyKG0bes3RpbzzP4LmL1i22&#10;yUlVun1gZyANQ186Oixo3qrHevE6PErz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A6TxErUAAAA&#10;BwEAAA8AAAAAAAAAAQAgAAAAIgAAAGRycy9kb3ducmV2LnhtbFBLAQIUABQAAAAIAIdO4kApNVsD&#10;WgIAANwEAAAOAAAAAAAAAAEAIAAAACMBAABkcnMvZTJvRG9jLnhtbFBLBQYAAAAABgAGAFkBAADv&#10;BQAAAAA=&#10;">
                <v:fill on="t" focussize="0,0"/>
                <v:stroke weight="2pt" color="#FF0000 [3204]" joinstyle="round"/>
                <v:imagedata o:title=""/>
                <o:lock v:ext="edit" aspectratio="f"/>
              </v:rect>
            </w:pict>
          </mc:Fallback>
        </mc:AlternateContent>
      </w:r>
    </w:p>
    <w:p>
      <w:pPr>
        <w:jc w:val="center"/>
        <w:rPr>
          <w:rFonts w:hint="eastAsia"/>
          <w:b/>
          <w:bCs/>
          <w:sz w:val="24"/>
          <w:highlight w:val="none"/>
        </w:rPr>
      </w:pPr>
      <w:r>
        <w:rPr>
          <w:sz w:val="24"/>
          <w:highlight w:val="none"/>
        </w:rPr>
        <mc:AlternateContent>
          <mc:Choice Requires="wps">
            <w:drawing>
              <wp:anchor distT="0" distB="0" distL="114300" distR="114300" simplePos="0" relativeHeight="251716608" behindDoc="0" locked="0" layoutInCell="1" allowOverlap="1">
                <wp:simplePos x="0" y="0"/>
                <wp:positionH relativeFrom="column">
                  <wp:posOffset>1572895</wp:posOffset>
                </wp:positionH>
                <wp:positionV relativeFrom="paragraph">
                  <wp:posOffset>102235</wp:posOffset>
                </wp:positionV>
                <wp:extent cx="706755" cy="412750"/>
                <wp:effectExtent l="0" t="0" r="0" b="0"/>
                <wp:wrapNone/>
                <wp:docPr id="227" name="文本框 227"/>
                <wp:cNvGraphicFramePr/>
                <a:graphic xmlns:a="http://schemas.openxmlformats.org/drawingml/2006/main">
                  <a:graphicData uri="http://schemas.microsoft.com/office/word/2010/wordprocessingShape">
                    <wps:wsp>
                      <wps:cNvSpPr txBox="1"/>
                      <wps:spPr>
                        <a:xfrm>
                          <a:off x="0" y="0"/>
                          <a:ext cx="706755" cy="412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lang w:val="en-US" w:eastAsia="zh-CN"/>
                              </w:rPr>
                            </w:pPr>
                            <w:r>
                              <w:rPr>
                                <w:rFonts w:hint="eastAsia"/>
                                <w:b/>
                                <w:bCs/>
                                <w:color w:val="FF0000"/>
                                <w:lang w:val="en-US" w:eastAsia="zh-CN"/>
                              </w:rPr>
                              <w:t>W3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3.85pt;margin-top:8.05pt;height:32.5pt;width:55.65pt;z-index:251716608;mso-width-relative:page;mso-height-relative:page;" filled="f" stroked="f" coordsize="21600,21600" o:gfxdata="UEsDBAoAAAAAAIdO4kAAAAAAAAAAAAAAAAAEAAAAZHJzL1BLAwQUAAAACACHTuJAYi6MQ9oAAAAJ&#10;AQAADwAAAGRycy9kb3ducmV2LnhtbE2Py07DMBBF90j8gzVI7KjjQNsQ4lQoUoWEYNHSDTsnniYR&#10;8TjE7gO+nmEFy9E9unNusTq7QRxxCr0nDWqWgEBqvO2p1bB7W99kIEI0ZM3gCTV8YYBVeXlRmNz6&#10;E23wuI2t4BIKudHQxTjmUoamQ2fCzI9InO395Ezkc2qlncyJy90g0yRZSGd64g+dGbHqsPnYHpyG&#10;52r9ajZ16rLvoXp62T+On7v3udbXVyp5ABHxHP9g+NVndSjZqfYHskEMGtK75ZJRDhYKBAO383se&#10;V2vIlAJZFvL/gvIHUEsDBBQAAAAIAIdO4kBUYGQvPQIAAGkEAAAOAAAAZHJzL2Uyb0RvYy54bWyt&#10;VMFuEzEQvSPxD5bvdJOQNBB1U4VWRUgVrVQQZ8fr7a5ke4ztdLd8APwBJy7c+a58B8/epC2FQw9c&#10;vOOZ8cy8NzN7dNwbzW6UDy3Zko8PRpwpK6lq7XXJP344e/GKsxCFrYQmq0p+qwI/Xj5/dtS5hZpQ&#10;Q7pSniGIDYvOlbyJ0S2KIshGGREOyCkLY03eiIirvy4qLzpEN7qYjEaHRUe+cp6kCgHa08HIdxH9&#10;UwJSXbdSnZLcGGXjENUrLSIghaZ1gS9ztXWtZLyo66Ai0yUH0phPJIG8TmexPBKLay9c08pdCeIp&#10;JTzCZERrkfQu1KmIgm18+1co00pPgep4IMkUA5DMCFCMR4+4uWqEUxkLqA7ujvTw/8LK9zeXnrVV&#10;ySeTOWdWGLR8+/3b9sev7c+vLClBUefCAp5XDr6xf0M9BmevD1Am5H3tTfoCE4MdBN/eEaz6yCSU&#10;89HhfDbjTMI0HU/ms9yA4v6x8yG+VWRYEkru0b9Mq7g5DxGFwHXvknJZOmu1zj3UlnUlP3yJkH9Y&#10;8EJbPEwQhlKTFPt1v8O1puoWsDwNsxGcPGuR/FyEeCk8hgFIsC7xAketCUloJ3HWkP/yL33yR49g&#10;5azDcJU8fN4IrzjT7yy693o8naZpzJfpbD7BxT+0rB9a7MacEOZ3jMV0MovJP+q9WHsyn7BVq5QV&#10;JmElcpc87sWTOIw8tlKq1So7Yf6ciOf2yskUeiBttYlUt5npRNPAzY49TGBuwG5b0og/vGev+z/E&#10;8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iLoxD2gAAAAkBAAAPAAAAAAAAAAEAIAAAACIAAABk&#10;cnMvZG93bnJldi54bWxQSwECFAAUAAAACACHTuJAVGBkLz0CAABpBAAADgAAAAAAAAABACAAAAAp&#10;AQAAZHJzL2Uyb0RvYy54bWxQSwUGAAAAAAYABgBZAQAA2AUAAAAA&#10;">
                <v:fill on="f" focussize="0,0"/>
                <v:stroke on="f" weight="0.5pt"/>
                <v:imagedata o:title=""/>
                <o:lock v:ext="edit" aspectratio="f"/>
                <v:textbox>
                  <w:txbxContent>
                    <w:p>
                      <w:pPr>
                        <w:rPr>
                          <w:rFonts w:hint="default" w:eastAsia="宋体"/>
                          <w:b/>
                          <w:bCs/>
                          <w:color w:val="FF0000"/>
                          <w:lang w:val="en-US" w:eastAsia="zh-CN"/>
                        </w:rPr>
                      </w:pPr>
                      <w:r>
                        <w:rPr>
                          <w:rFonts w:hint="eastAsia"/>
                          <w:b/>
                          <w:bCs/>
                          <w:color w:val="FF0000"/>
                          <w:lang w:val="en-US" w:eastAsia="zh-CN"/>
                        </w:rPr>
                        <w:t>W3</w:t>
                      </w:r>
                    </w:p>
                  </w:txbxContent>
                </v:textbox>
              </v:shape>
            </w:pict>
          </mc:Fallback>
        </mc:AlternateContent>
      </w:r>
    </w:p>
    <w:p>
      <w:pPr>
        <w:jc w:val="center"/>
        <w:rPr>
          <w:rFonts w:hint="eastAsia"/>
          <w:b/>
          <w:bCs/>
          <w:sz w:val="24"/>
          <w:highlight w:val="none"/>
        </w:rPr>
      </w:pPr>
      <w:r>
        <w:rPr>
          <w:sz w:val="24"/>
          <w:highlight w:val="none"/>
        </w:rPr>
        <mc:AlternateContent>
          <mc:Choice Requires="wps">
            <w:drawing>
              <wp:anchor distT="0" distB="0" distL="114300" distR="114300" simplePos="0" relativeHeight="251713536" behindDoc="0" locked="0" layoutInCell="1" allowOverlap="1">
                <wp:simplePos x="0" y="0"/>
                <wp:positionH relativeFrom="column">
                  <wp:posOffset>1572895</wp:posOffset>
                </wp:positionH>
                <wp:positionV relativeFrom="paragraph">
                  <wp:posOffset>62230</wp:posOffset>
                </wp:positionV>
                <wp:extent cx="76200" cy="76200"/>
                <wp:effectExtent l="12700" t="12700" r="25400" b="25400"/>
                <wp:wrapNone/>
                <wp:docPr id="35" name="矩形 35"/>
                <wp:cNvGraphicFramePr/>
                <a:graphic xmlns:a="http://schemas.openxmlformats.org/drawingml/2006/main">
                  <a:graphicData uri="http://schemas.microsoft.com/office/word/2010/wordprocessingShape">
                    <wps:wsp>
                      <wps:cNvSpPr/>
                      <wps:spPr>
                        <a:xfrm>
                          <a:off x="0" y="0"/>
                          <a:ext cx="76200" cy="7620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3.85pt;margin-top:4.9pt;height:6pt;width:6pt;z-index:251713536;v-text-anchor:middle;mso-width-relative:page;mso-height-relative:page;" fillcolor="#FF0000" filled="t" stroked="t" coordsize="21600,21600" o:gfxdata="UEsDBAoAAAAAAIdO4kAAAAAAAAAAAAAAAAAEAAAAZHJzL1BLAwQUAAAACACHTuJAI6K2B9YAAAAI&#10;AQAADwAAAGRycy9kb3ducmV2LnhtbE2PzU7DMBCE70i8g7VI3KiTCMhP4/RQUSG4UTj06MbbJCRe&#10;R7HTlLdnOdHbjmY0+025udhBnHHynSMF8SoCgVQ701Gj4Otz95CB8EGT0YMjVPCDHjbV7U2pC+MW&#10;+sDzPjSCS8gXWkEbwlhI6esWrfYrNyKxd3KT1YHl1Egz6YXL7SCTKHqWVnfEH1o94rbFut/PVkGf&#10;Z33/Om9fkl1q3+XhrQnfh0Wp+7s4WoMIeAn/YfjDZ3SomOnoZjJeDAqSxzTlqIKcF7CfPOWsj3zE&#10;GciqlNcDql9QSwMEFAAAAAgAh07iQDa+ui9bAgAA3AQAAA4AAABkcnMvZTJvRG9jLnhtbK1UzW4T&#10;MRC+I/EOlu90k5C2EHVTRY2CkCpaqSDOjtfOWvIftpNNeRkkbjwEj4N4DT57t01bOPRADpsZz/ib&#10;mW9mfHa+N5rsRIjK2ZqOj0aUCMtdo+ympp8+rl69oSQmZhumnRU1vRWRns9fvjjr/ExMXOt0IwIB&#10;iI2zzte0TcnPqiryVhgWj5wXFkbpgmEJathUTWAd0I2uJqPRSdW50PjguIgRp8veSAfE8BxAJ6Xi&#10;Yun41gibetQgNEsoKbbKRzov2UopeLqSMopEdE1RaSpfBIG8zt9qfsZmm8B8q/iQAntOCk9qMkxZ&#10;BL2HWrLEyDaov6CM4sFFJ9MRd6bqCymMoIrx6Ak3Ny3zotQCqqO/Jz3+P1j+YXcdiGpq+vqYEssM&#10;Ov77249fP78THICdzscZnG78dRi0CDGXupfB5H8UQfaF0dt7RsU+EY7D0xO0nBIOSy8Cozpc9SGm&#10;d8IZkoWaBrSrsMh2lzH1rncuOVJ0WjUrpXVRwmZ9oQPZMbR2tRrhl/MF+iM3bUlX08nxtOTBMLAS&#10;g4KUjEfR0W4oYXqDTeAplNiPbsfnBclJLlls+2QKwpCLtkgpc9izlqW1a27BeXD9MEbPVwr3L1lM&#10;1yxg+kAY9jNd4SO1Q/ZukChpXfj6r/Psj6GAlZIO04zKvmxZEJTo9xbj8nY8nebxL8r0+HQCJTy0&#10;rB9a7NZcOLA6xkvgeRGzf9J3ogzOfMYaL3JUmJjliN1zOCgXqd8yPARcLBbFDSPvWbq0N55n8NxF&#10;6xbb5KQq3T6wM5CGoS8dHRY0b9VDvXgdHqX5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COitgfW&#10;AAAACAEAAA8AAAAAAAAAAQAgAAAAIgAAAGRycy9kb3ducmV2LnhtbFBLAQIUABQAAAAIAIdO4kA2&#10;vrovWwIAANwEAAAOAAAAAAAAAAEAIAAAACUBAABkcnMvZTJvRG9jLnhtbFBLBQYAAAAABgAGAFkB&#10;AADyBQAAAAA=&#10;">
                <v:fill on="t" focussize="0,0"/>
                <v:stroke weight="2pt" color="#FF0000 [3204]" joinstyle="round"/>
                <v:imagedata o:title=""/>
                <o:lock v:ext="edit" aspectratio="f"/>
              </v:rect>
            </w:pict>
          </mc:Fallback>
        </mc:AlternateContent>
      </w:r>
    </w:p>
    <w:p>
      <w:pPr>
        <w:jc w:val="center"/>
        <w:rPr>
          <w:rFonts w:hint="eastAsia"/>
          <w:b/>
          <w:bCs/>
          <w:sz w:val="24"/>
          <w:highlight w:val="none"/>
        </w:rPr>
      </w:pPr>
    </w:p>
    <w:p>
      <w:pPr>
        <w:jc w:val="center"/>
        <w:rPr>
          <w:rFonts w:hint="eastAsia"/>
          <w:b/>
          <w:bCs/>
          <w:sz w:val="24"/>
          <w:highlight w:val="none"/>
        </w:rPr>
      </w:pPr>
    </w:p>
    <w:p>
      <w:pPr>
        <w:jc w:val="center"/>
        <w:rPr>
          <w:rFonts w:hint="eastAsia"/>
          <w:b/>
          <w:bCs/>
          <w:sz w:val="24"/>
          <w:highlight w:val="none"/>
        </w:rPr>
      </w:pPr>
    </w:p>
    <w:p>
      <w:pPr>
        <w:jc w:val="center"/>
        <w:rPr>
          <w:rFonts w:hint="eastAsia"/>
          <w:b/>
          <w:bCs/>
          <w:sz w:val="24"/>
          <w:highlight w:val="none"/>
        </w:rPr>
      </w:pPr>
    </w:p>
    <w:p>
      <w:pPr>
        <w:jc w:val="center"/>
        <w:rPr>
          <w:rFonts w:hint="eastAsia"/>
          <w:b/>
          <w:bCs/>
          <w:sz w:val="24"/>
          <w:highlight w:val="none"/>
        </w:rPr>
      </w:pPr>
    </w:p>
    <w:p>
      <w:pPr>
        <w:jc w:val="center"/>
        <w:rPr>
          <w:rFonts w:hint="eastAsia"/>
          <w:b/>
          <w:bCs/>
          <w:sz w:val="24"/>
          <w:highlight w:val="none"/>
        </w:rPr>
      </w:pPr>
    </w:p>
    <w:p>
      <w:pPr>
        <w:jc w:val="center"/>
        <w:rPr>
          <w:b/>
          <w:bCs/>
          <w:sz w:val="24"/>
          <w:highlight w:val="none"/>
        </w:rPr>
      </w:pPr>
      <w:r>
        <w:rPr>
          <w:rFonts w:hint="eastAsia"/>
          <w:b/>
          <w:bCs/>
          <w:sz w:val="24"/>
          <w:highlight w:val="none"/>
        </w:rPr>
        <w:t>图4.4-1  地表水采用点位图</w:t>
      </w:r>
    </w:p>
    <w:p>
      <w:pPr>
        <w:ind w:left="420" w:leftChars="200"/>
        <w:rPr>
          <w:sz w:val="24"/>
          <w:highlight w:val="none"/>
        </w:rPr>
      </w:pPr>
      <w:r>
        <w:rPr>
          <w:rFonts w:hint="eastAsia"/>
          <w:highlight w:val="none"/>
        </w:rPr>
        <w:t>（2）</w:t>
      </w:r>
      <w:r>
        <w:rPr>
          <w:rFonts w:hint="eastAsia"/>
          <w:sz w:val="24"/>
          <w:szCs w:val="24"/>
          <w:highlight w:val="none"/>
        </w:rPr>
        <w:t>频次与</w:t>
      </w:r>
      <w:r>
        <w:rPr>
          <w:rFonts w:hint="eastAsia"/>
          <w:sz w:val="24"/>
          <w:highlight w:val="none"/>
        </w:rPr>
        <w:t>检测项目</w:t>
      </w:r>
    </w:p>
    <w:p>
      <w:pPr>
        <w:pStyle w:val="7"/>
        <w:spacing w:line="480" w:lineRule="exact"/>
        <w:rPr>
          <w:sz w:val="24"/>
          <w:szCs w:val="24"/>
          <w:highlight w:val="none"/>
          <w:lang w:val="zh-CN"/>
        </w:rPr>
      </w:pPr>
      <w:r>
        <w:rPr>
          <w:rFonts w:hint="eastAsia"/>
          <w:sz w:val="24"/>
          <w:szCs w:val="24"/>
          <w:highlight w:val="none"/>
          <w:lang w:val="zh-CN"/>
        </w:rPr>
        <w:t>检测频次：连续监测 3 天。</w:t>
      </w:r>
    </w:p>
    <w:p>
      <w:pPr>
        <w:pStyle w:val="7"/>
        <w:spacing w:line="480" w:lineRule="exact"/>
        <w:rPr>
          <w:sz w:val="24"/>
          <w:szCs w:val="24"/>
          <w:highlight w:val="none"/>
        </w:rPr>
      </w:pPr>
      <w:r>
        <w:rPr>
          <w:rFonts w:hint="eastAsia"/>
          <w:sz w:val="24"/>
          <w:szCs w:val="24"/>
          <w:highlight w:val="none"/>
          <w:lang w:val="zh-CN"/>
        </w:rPr>
        <w:t>检测项目：pH值、悬浮物、溶解氧、五日生化需氧量、高锰酸盐指数、氨氮、总氮、总磷、石油类、硫化物、阴离子表面活性剂、铅、镉、汞、六价铬、砷、氰化物、锌、铜、挥发酚、粪大肠菌群、氟化物；叶绿素</w:t>
      </w:r>
      <w:r>
        <w:rPr>
          <w:rFonts w:hint="eastAsia"/>
          <w:sz w:val="24"/>
          <w:szCs w:val="24"/>
          <w:highlight w:val="none"/>
        </w:rPr>
        <w:t>a、透明度。</w:t>
      </w:r>
    </w:p>
    <w:p>
      <w:pPr>
        <w:pStyle w:val="7"/>
        <w:spacing w:line="480" w:lineRule="exact"/>
        <w:rPr>
          <w:sz w:val="24"/>
          <w:szCs w:val="24"/>
          <w:highlight w:val="none"/>
          <w:lang w:val="zh-CN"/>
        </w:rPr>
      </w:pPr>
      <w:r>
        <w:rPr>
          <w:rFonts w:hint="eastAsia"/>
          <w:sz w:val="24"/>
          <w:szCs w:val="24"/>
          <w:highlight w:val="none"/>
          <w:lang w:val="zh-CN"/>
        </w:rPr>
        <w:t>水文情势：水深、河宽、流速和流量。</w:t>
      </w:r>
    </w:p>
    <w:p>
      <w:pPr>
        <w:spacing w:line="480" w:lineRule="exact"/>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（3）检测方法</w:t>
      </w:r>
    </w:p>
    <w:p>
      <w:pPr>
        <w:spacing w:line="480" w:lineRule="exact"/>
        <w:ind w:firstLine="480" w:firstLineChars="200"/>
        <w:rPr>
          <w:color w:val="000000" w:themeColor="text1"/>
          <w:kern w:val="0"/>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按《地表水和污水环境监测技术规范</w:t>
      </w:r>
      <w:r>
        <w:rPr>
          <w:rFonts w:hAnsi="宋体"/>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(HJ/T91-2002)</w:t>
      </w:r>
      <w:r>
        <w:rPr>
          <w:rFonts w:hint="eastAsia" w:ascii="宋体" w:hAnsi="宋体" w:cs="宋体"/>
          <w:color w:val="000000" w:themeColor="text1"/>
          <w:sz w:val="24"/>
          <w:highlight w:val="none"/>
          <w14:textFill>
            <w14:solidFill>
              <w14:schemeClr w14:val="tx1"/>
            </w14:solidFill>
          </w14:textFill>
        </w:rPr>
        <w:t>进行。</w:t>
      </w:r>
      <w:r>
        <w:rPr>
          <w:rFonts w:hint="eastAsia"/>
          <w:color w:val="000000" w:themeColor="text1"/>
          <w:kern w:val="0"/>
          <w:sz w:val="24"/>
          <w:highlight w:val="none"/>
          <w14:textFill>
            <w14:solidFill>
              <w14:schemeClr w14:val="tx1"/>
            </w14:solidFill>
          </w14:textFill>
        </w:rPr>
        <w:t>地表水监测因子及分析方法见表4.4-</w:t>
      </w:r>
      <w:r>
        <w:rPr>
          <w:rFonts w:hint="eastAsia"/>
          <w:color w:val="000000" w:themeColor="text1"/>
          <w:kern w:val="0"/>
          <w:sz w:val="24"/>
          <w:highlight w:val="none"/>
          <w:lang w:val="en-US" w:eastAsia="zh-CN"/>
          <w14:textFill>
            <w14:solidFill>
              <w14:schemeClr w14:val="tx1"/>
            </w14:solidFill>
          </w14:textFill>
        </w:rPr>
        <w:t>4</w:t>
      </w:r>
      <w:r>
        <w:rPr>
          <w:rFonts w:hint="eastAsia"/>
          <w:color w:val="000000" w:themeColor="text1"/>
          <w:kern w:val="0"/>
          <w:sz w:val="24"/>
          <w:highlight w:val="none"/>
          <w14:textFill>
            <w14:solidFill>
              <w14:schemeClr w14:val="tx1"/>
            </w14:solidFill>
          </w14:textFill>
        </w:rPr>
        <w:t>。</w:t>
      </w:r>
    </w:p>
    <w:p>
      <w:pPr>
        <w:spacing w:line="480" w:lineRule="exact"/>
        <w:jc w:val="center"/>
        <w:rPr>
          <w:b/>
          <w:color w:val="000000" w:themeColor="text1"/>
          <w:kern w:val="0"/>
          <w:sz w:val="24"/>
          <w:highlight w:val="none"/>
          <w14:textFill>
            <w14:solidFill>
              <w14:schemeClr w14:val="tx1"/>
            </w14:solidFill>
          </w14:textFill>
        </w:rPr>
      </w:pPr>
      <w:r>
        <w:rPr>
          <w:rFonts w:hint="eastAsia"/>
          <w:b/>
          <w:color w:val="000000" w:themeColor="text1"/>
          <w:kern w:val="0"/>
          <w:sz w:val="24"/>
          <w:highlight w:val="none"/>
          <w14:textFill>
            <w14:solidFill>
              <w14:schemeClr w14:val="tx1"/>
            </w14:solidFill>
          </w14:textFill>
        </w:rPr>
        <w:t>表4.4-</w:t>
      </w:r>
      <w:r>
        <w:rPr>
          <w:rFonts w:hint="eastAsia"/>
          <w:b/>
          <w:color w:val="000000" w:themeColor="text1"/>
          <w:kern w:val="0"/>
          <w:sz w:val="24"/>
          <w:highlight w:val="none"/>
          <w:lang w:val="en-US" w:eastAsia="zh-CN"/>
          <w14:textFill>
            <w14:solidFill>
              <w14:schemeClr w14:val="tx1"/>
            </w14:solidFill>
          </w14:textFill>
        </w:rPr>
        <w:t xml:space="preserve">4 </w:t>
      </w:r>
      <w:r>
        <w:rPr>
          <w:rFonts w:hint="eastAsia"/>
          <w:b/>
          <w:color w:val="000000" w:themeColor="text1"/>
          <w:kern w:val="0"/>
          <w:sz w:val="24"/>
          <w:highlight w:val="none"/>
          <w14:textFill>
            <w14:solidFill>
              <w14:schemeClr w14:val="tx1"/>
            </w14:solidFill>
          </w14:textFill>
        </w:rPr>
        <w:t xml:space="preserve"> 地表水监测因子及分析方法</w:t>
      </w:r>
    </w:p>
    <w:tbl>
      <w:tblPr>
        <w:tblStyle w:val="51"/>
        <w:tblW w:w="86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0"/>
        <w:gridCol w:w="1705"/>
        <w:gridCol w:w="4920"/>
        <w:gridCol w:w="12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spacing w:line="300" w:lineRule="exac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序号</w:t>
            </w:r>
          </w:p>
        </w:tc>
        <w:tc>
          <w:tcPr>
            <w:tcW w:w="1705" w:type="dxa"/>
            <w:vAlign w:val="center"/>
          </w:tcPr>
          <w:p>
            <w:pPr>
              <w:spacing w:line="300" w:lineRule="exac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监测因子</w:t>
            </w:r>
          </w:p>
        </w:tc>
        <w:tc>
          <w:tcPr>
            <w:tcW w:w="4920" w:type="dxa"/>
            <w:vAlign w:val="center"/>
          </w:tcPr>
          <w:p>
            <w:pPr>
              <w:spacing w:line="300" w:lineRule="exac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检测方法</w:t>
            </w:r>
          </w:p>
        </w:tc>
        <w:tc>
          <w:tcPr>
            <w:tcW w:w="1279" w:type="dxa"/>
            <w:vAlign w:val="center"/>
          </w:tcPr>
          <w:p>
            <w:pPr>
              <w:spacing w:line="300" w:lineRule="exac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spacing w:line="300" w:lineRule="exac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w:t>
            </w:r>
          </w:p>
        </w:tc>
        <w:tc>
          <w:tcPr>
            <w:tcW w:w="1705" w:type="dxa"/>
            <w:vAlign w:val="center"/>
          </w:tcPr>
          <w:p>
            <w:pPr>
              <w:spacing w:line="300" w:lineRule="exac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pH</w:t>
            </w:r>
          </w:p>
        </w:tc>
        <w:tc>
          <w:tcPr>
            <w:tcW w:w="4920" w:type="dxa"/>
            <w:vAlign w:val="center"/>
          </w:tcPr>
          <w:p>
            <w:pPr>
              <w:spacing w:line="300" w:lineRule="exac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《水质pH 值的测定电极法》HJ 1147-2020</w:t>
            </w:r>
          </w:p>
        </w:tc>
        <w:tc>
          <w:tcPr>
            <w:tcW w:w="1279"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spacing w:line="300" w:lineRule="exact"/>
              <w:jc w:val="center"/>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w:t>
            </w:r>
          </w:p>
        </w:tc>
        <w:tc>
          <w:tcPr>
            <w:tcW w:w="1705" w:type="dxa"/>
            <w:vAlign w:val="center"/>
          </w:tcPr>
          <w:p>
            <w:pPr>
              <w:spacing w:line="300" w:lineRule="exact"/>
              <w:jc w:val="center"/>
              <w:rPr>
                <w:rFonts w:ascii="Times New Roman" w:hAnsi="Times New Roman" w:cs="Times New Roman"/>
                <w:color w:val="000000" w:themeColor="text1"/>
                <w:szCs w:val="21"/>
                <w:highlight w:val="none"/>
                <w14:textFill>
                  <w14:solidFill>
                    <w14:schemeClr w14:val="tx1"/>
                  </w14:solidFill>
                </w14:textFill>
              </w:rPr>
            </w:pPr>
            <w:r>
              <w:rPr>
                <w:rFonts w:hint="eastAsia" w:ascii="Times New Roman" w:hAnsi="Times New Roman" w:cs="Times New Roman"/>
                <w:color w:val="000000" w:themeColor="text1"/>
                <w:szCs w:val="21"/>
                <w:highlight w:val="none"/>
                <w14:textFill>
                  <w14:solidFill>
                    <w14:schemeClr w14:val="tx1"/>
                  </w14:solidFill>
                </w14:textFill>
              </w:rPr>
              <w:t>透明度</w:t>
            </w:r>
          </w:p>
        </w:tc>
        <w:tc>
          <w:tcPr>
            <w:tcW w:w="4920" w:type="dxa"/>
            <w:vAlign w:val="center"/>
          </w:tcPr>
          <w:p>
            <w:pPr>
              <w:spacing w:line="300" w:lineRule="exact"/>
              <w:jc w:val="center"/>
              <w:rPr>
                <w:rFonts w:hint="eastAsia" w:ascii="Times New Roman" w:hAnsi="Times New Roman" w:cs="Times New Roman"/>
                <w:color w:val="000000" w:themeColor="text1"/>
                <w:szCs w:val="21"/>
                <w:highlight w:val="none"/>
                <w14:textFill>
                  <w14:solidFill>
                    <w14:schemeClr w14:val="tx1"/>
                  </w14:solidFill>
                </w14:textFill>
              </w:rPr>
            </w:pPr>
            <w:r>
              <w:rPr>
                <w:rFonts w:hint="eastAsia" w:ascii="Times New Roman" w:hAnsi="Times New Roman" w:cs="Times New Roman"/>
                <w:color w:val="000000" w:themeColor="text1"/>
                <w:szCs w:val="21"/>
                <w:highlight w:val="none"/>
                <w14:textFill>
                  <w14:solidFill>
                    <w14:schemeClr w14:val="tx1"/>
                  </w14:solidFill>
                </w14:textFill>
              </w:rPr>
              <w:t>《水和废水监测分析方法》（第四版增补版）3.1.5.2 塞氏盘法</w:t>
            </w:r>
          </w:p>
        </w:tc>
        <w:tc>
          <w:tcPr>
            <w:tcW w:w="1279" w:type="dxa"/>
            <w:vAlign w:val="center"/>
          </w:tcPr>
          <w:p>
            <w:pPr>
              <w:spacing w:line="300" w:lineRule="exact"/>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3</w:t>
            </w:r>
          </w:p>
        </w:tc>
        <w:tc>
          <w:tcPr>
            <w:tcW w:w="1705"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溶解氧</w:t>
            </w:r>
          </w:p>
        </w:tc>
        <w:tc>
          <w:tcPr>
            <w:tcW w:w="4920"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《水质溶解氧的测定电化学探头法》HJ 506-2009</w:t>
            </w:r>
          </w:p>
        </w:tc>
        <w:tc>
          <w:tcPr>
            <w:tcW w:w="1279"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4</w:t>
            </w:r>
          </w:p>
        </w:tc>
        <w:tc>
          <w:tcPr>
            <w:tcW w:w="1705"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高锰酸盐指数</w:t>
            </w:r>
          </w:p>
        </w:tc>
        <w:tc>
          <w:tcPr>
            <w:tcW w:w="4920"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《水质 高锰酸盐指数的测定 》GB 11892-1989</w:t>
            </w:r>
          </w:p>
        </w:tc>
        <w:tc>
          <w:tcPr>
            <w:tcW w:w="1279" w:type="dxa"/>
            <w:vAlign w:val="center"/>
          </w:tcPr>
          <w:p>
            <w:pPr>
              <w:spacing w:line="300" w:lineRule="exact"/>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0.5</w:t>
            </w:r>
            <w:r>
              <w:rPr>
                <w:rFonts w:hint="eastAsia"/>
                <w:color w:val="000000" w:themeColor="text1"/>
                <w:szCs w:val="21"/>
                <w:highlight w:val="none"/>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5</w:t>
            </w:r>
          </w:p>
        </w:tc>
        <w:tc>
          <w:tcPr>
            <w:tcW w:w="1705" w:type="dxa"/>
            <w:vAlign w:val="center"/>
          </w:tcPr>
          <w:p>
            <w:pPr>
              <w:spacing w:line="300" w:lineRule="exact"/>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Ansi="宋体"/>
                <w:color w:val="000000" w:themeColor="text1"/>
                <w:szCs w:val="21"/>
                <w:highlight w:val="none"/>
                <w14:textFill>
                  <w14:solidFill>
                    <w14:schemeClr w14:val="tx1"/>
                  </w14:solidFill>
                </w14:textFill>
              </w:rPr>
              <w:t>阴离子表面活性剂</w:t>
            </w:r>
          </w:p>
        </w:tc>
        <w:tc>
          <w:tcPr>
            <w:tcW w:w="4920" w:type="dxa"/>
            <w:vAlign w:val="center"/>
          </w:tcPr>
          <w:p>
            <w:pPr>
              <w:spacing w:line="300" w:lineRule="exact"/>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Ansi="宋体"/>
                <w:color w:val="000000" w:themeColor="text1"/>
                <w:szCs w:val="21"/>
                <w:highlight w:val="none"/>
                <w14:textFill>
                  <w14:solidFill>
                    <w14:schemeClr w14:val="tx1"/>
                  </w14:solidFill>
                </w14:textFill>
              </w:rPr>
              <w:t>《水质</w:t>
            </w:r>
            <w:r>
              <w:rPr>
                <w:color w:val="000000" w:themeColor="text1"/>
                <w:szCs w:val="21"/>
                <w:highlight w:val="none"/>
                <w14:textFill>
                  <w14:solidFill>
                    <w14:schemeClr w14:val="tx1"/>
                  </w14:solidFill>
                </w14:textFill>
              </w:rPr>
              <w:t xml:space="preserve"> </w:t>
            </w:r>
            <w:r>
              <w:rPr>
                <w:rFonts w:hAnsi="宋体"/>
                <w:color w:val="000000" w:themeColor="text1"/>
                <w:szCs w:val="21"/>
                <w:highlight w:val="none"/>
                <w14:textFill>
                  <w14:solidFill>
                    <w14:schemeClr w14:val="tx1"/>
                  </w14:solidFill>
                </w14:textFill>
              </w:rPr>
              <w:t>阴离子表面活性剂的测定</w:t>
            </w:r>
            <w:r>
              <w:rPr>
                <w:color w:val="000000" w:themeColor="text1"/>
                <w:szCs w:val="21"/>
                <w:highlight w:val="none"/>
                <w14:textFill>
                  <w14:solidFill>
                    <w14:schemeClr w14:val="tx1"/>
                  </w14:solidFill>
                </w14:textFill>
              </w:rPr>
              <w:t xml:space="preserve"> </w:t>
            </w:r>
            <w:r>
              <w:rPr>
                <w:rFonts w:hAnsi="宋体"/>
                <w:color w:val="000000" w:themeColor="text1"/>
                <w:szCs w:val="21"/>
                <w:highlight w:val="none"/>
                <w14:textFill>
                  <w14:solidFill>
                    <w14:schemeClr w14:val="tx1"/>
                  </w14:solidFill>
                </w14:textFill>
              </w:rPr>
              <w:t>亚甲蓝分光光度法》</w:t>
            </w:r>
            <w:r>
              <w:rPr>
                <w:color w:val="000000" w:themeColor="text1"/>
                <w:szCs w:val="21"/>
                <w:highlight w:val="none"/>
                <w14:textFill>
                  <w14:solidFill>
                    <w14:schemeClr w14:val="tx1"/>
                  </w14:solidFill>
                </w14:textFill>
              </w:rPr>
              <w:t xml:space="preserve"> GB/T 7494-1987</w:t>
            </w:r>
          </w:p>
        </w:tc>
        <w:tc>
          <w:tcPr>
            <w:tcW w:w="1279" w:type="dxa"/>
            <w:vAlign w:val="center"/>
          </w:tcPr>
          <w:p>
            <w:pPr>
              <w:spacing w:line="300" w:lineRule="exact"/>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0.0</w:t>
            </w:r>
            <w:r>
              <w:rPr>
                <w:rFonts w:hint="eastAsia"/>
                <w:color w:val="000000" w:themeColor="text1"/>
                <w:szCs w:val="21"/>
                <w:highlight w:val="none"/>
                <w14:textFill>
                  <w14:solidFill>
                    <w14:schemeClr w14:val="tx1"/>
                  </w14:solidFill>
                </w14:textFill>
              </w:rPr>
              <w:t>5</w:t>
            </w:r>
            <w:r>
              <w:rPr>
                <w:color w:val="000000" w:themeColor="text1"/>
                <w:szCs w:val="21"/>
                <w:highlight w:val="none"/>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6</w:t>
            </w:r>
          </w:p>
        </w:tc>
        <w:tc>
          <w:tcPr>
            <w:tcW w:w="1705"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Ansi="宋体"/>
                <w:color w:val="000000" w:themeColor="text1"/>
                <w:szCs w:val="21"/>
                <w:highlight w:val="none"/>
                <w14:textFill>
                  <w14:solidFill>
                    <w14:schemeClr w14:val="tx1"/>
                  </w14:solidFill>
                </w14:textFill>
              </w:rPr>
              <w:t>悬浮物</w:t>
            </w:r>
          </w:p>
        </w:tc>
        <w:tc>
          <w:tcPr>
            <w:tcW w:w="4920" w:type="dxa"/>
            <w:vAlign w:val="center"/>
          </w:tcPr>
          <w:p>
            <w:pPr>
              <w:spacing w:line="300" w:lineRule="exact"/>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Ansi="宋体"/>
                <w:color w:val="000000" w:themeColor="text1"/>
                <w:szCs w:val="21"/>
                <w:highlight w:val="none"/>
                <w14:textFill>
                  <w14:solidFill>
                    <w14:schemeClr w14:val="tx1"/>
                  </w14:solidFill>
                </w14:textFill>
              </w:rPr>
              <w:t>《水质</w:t>
            </w:r>
            <w:r>
              <w:rPr>
                <w:color w:val="000000" w:themeColor="text1"/>
                <w:szCs w:val="21"/>
                <w:highlight w:val="none"/>
                <w14:textFill>
                  <w14:solidFill>
                    <w14:schemeClr w14:val="tx1"/>
                  </w14:solidFill>
                </w14:textFill>
              </w:rPr>
              <w:t xml:space="preserve"> </w:t>
            </w:r>
            <w:r>
              <w:rPr>
                <w:rFonts w:hAnsi="宋体"/>
                <w:color w:val="000000" w:themeColor="text1"/>
                <w:szCs w:val="21"/>
                <w:highlight w:val="none"/>
                <w14:textFill>
                  <w14:solidFill>
                    <w14:schemeClr w14:val="tx1"/>
                  </w14:solidFill>
                </w14:textFill>
              </w:rPr>
              <w:t>悬浮物的测定</w:t>
            </w:r>
            <w:r>
              <w:rPr>
                <w:color w:val="000000" w:themeColor="text1"/>
                <w:szCs w:val="21"/>
                <w:highlight w:val="none"/>
                <w14:textFill>
                  <w14:solidFill>
                    <w14:schemeClr w14:val="tx1"/>
                  </w14:solidFill>
                </w14:textFill>
              </w:rPr>
              <w:t xml:space="preserve"> </w:t>
            </w:r>
            <w:r>
              <w:rPr>
                <w:rFonts w:hAnsi="宋体"/>
                <w:color w:val="000000" w:themeColor="text1"/>
                <w:szCs w:val="21"/>
                <w:highlight w:val="none"/>
                <w14:textFill>
                  <w14:solidFill>
                    <w14:schemeClr w14:val="tx1"/>
                  </w14:solidFill>
                </w14:textFill>
              </w:rPr>
              <w:t>重量法》</w:t>
            </w:r>
            <w:r>
              <w:rPr>
                <w:color w:val="000000" w:themeColor="text1"/>
                <w:szCs w:val="21"/>
                <w:highlight w:val="none"/>
                <w14:textFill>
                  <w14:solidFill>
                    <w14:schemeClr w14:val="tx1"/>
                  </w14:solidFill>
                </w14:textFill>
              </w:rPr>
              <w:t>GB/T 11901-1989</w:t>
            </w:r>
          </w:p>
        </w:tc>
        <w:tc>
          <w:tcPr>
            <w:tcW w:w="1279" w:type="dxa"/>
            <w:vAlign w:val="center"/>
          </w:tcPr>
          <w:p>
            <w:pPr>
              <w:spacing w:line="300" w:lineRule="exact"/>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w:t>
            </w:r>
            <w:r>
              <w:rPr>
                <w:rFonts w:hint="eastAsia"/>
                <w:color w:val="000000" w:themeColor="text1"/>
                <w:szCs w:val="21"/>
                <w:highlight w:val="none"/>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7</w:t>
            </w:r>
          </w:p>
        </w:tc>
        <w:tc>
          <w:tcPr>
            <w:tcW w:w="1705"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氨氮</w:t>
            </w:r>
          </w:p>
        </w:tc>
        <w:tc>
          <w:tcPr>
            <w:tcW w:w="4920" w:type="dxa"/>
            <w:vAlign w:val="center"/>
          </w:tcPr>
          <w:p>
            <w:pPr>
              <w:spacing w:line="300" w:lineRule="exact"/>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Ansi="宋体"/>
                <w:color w:val="000000" w:themeColor="text1"/>
                <w:szCs w:val="21"/>
                <w:highlight w:val="none"/>
                <w14:textFill>
                  <w14:solidFill>
                    <w14:schemeClr w14:val="tx1"/>
                  </w14:solidFill>
                </w14:textFill>
              </w:rPr>
              <w:t>《水质</w:t>
            </w:r>
            <w:r>
              <w:rPr>
                <w:color w:val="000000" w:themeColor="text1"/>
                <w:szCs w:val="21"/>
                <w:highlight w:val="none"/>
                <w14:textFill>
                  <w14:solidFill>
                    <w14:schemeClr w14:val="tx1"/>
                  </w14:solidFill>
                </w14:textFill>
              </w:rPr>
              <w:t xml:space="preserve"> </w:t>
            </w:r>
            <w:r>
              <w:rPr>
                <w:rFonts w:hAnsi="宋体"/>
                <w:color w:val="000000" w:themeColor="text1"/>
                <w:szCs w:val="21"/>
                <w:highlight w:val="none"/>
                <w14:textFill>
                  <w14:solidFill>
                    <w14:schemeClr w14:val="tx1"/>
                  </w14:solidFill>
                </w14:textFill>
              </w:rPr>
              <w:t>氨氮的测定</w:t>
            </w:r>
            <w:r>
              <w:rPr>
                <w:color w:val="000000" w:themeColor="text1"/>
                <w:szCs w:val="21"/>
                <w:highlight w:val="none"/>
                <w14:textFill>
                  <w14:solidFill>
                    <w14:schemeClr w14:val="tx1"/>
                  </w14:solidFill>
                </w14:textFill>
              </w:rPr>
              <w:t xml:space="preserve"> </w:t>
            </w:r>
            <w:r>
              <w:rPr>
                <w:rFonts w:hAnsi="宋体"/>
                <w:color w:val="000000" w:themeColor="text1"/>
                <w:szCs w:val="21"/>
                <w:highlight w:val="none"/>
                <w14:textFill>
                  <w14:solidFill>
                    <w14:schemeClr w14:val="tx1"/>
                  </w14:solidFill>
                </w14:textFill>
              </w:rPr>
              <w:t>纳氏试剂分光光度法》</w:t>
            </w:r>
            <w:r>
              <w:rPr>
                <w:color w:val="000000" w:themeColor="text1"/>
                <w:szCs w:val="21"/>
                <w:highlight w:val="none"/>
                <w14:textFill>
                  <w14:solidFill>
                    <w14:schemeClr w14:val="tx1"/>
                  </w14:solidFill>
                </w14:textFill>
              </w:rPr>
              <w:t>HJ 535-2009</w:t>
            </w:r>
          </w:p>
        </w:tc>
        <w:tc>
          <w:tcPr>
            <w:tcW w:w="1279" w:type="dxa"/>
            <w:vAlign w:val="center"/>
          </w:tcPr>
          <w:p>
            <w:pPr>
              <w:spacing w:line="300" w:lineRule="exact"/>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0.025</w:t>
            </w:r>
          </w:p>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8</w:t>
            </w:r>
          </w:p>
        </w:tc>
        <w:tc>
          <w:tcPr>
            <w:tcW w:w="1705"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Ansi="宋体"/>
                <w:color w:val="000000" w:themeColor="text1"/>
                <w:szCs w:val="21"/>
                <w:highlight w:val="none"/>
                <w14:textFill>
                  <w14:solidFill>
                    <w14:schemeClr w14:val="tx1"/>
                  </w14:solidFill>
                </w14:textFill>
              </w:rPr>
              <w:t>总磷</w:t>
            </w:r>
          </w:p>
        </w:tc>
        <w:tc>
          <w:tcPr>
            <w:tcW w:w="4920" w:type="dxa"/>
            <w:vAlign w:val="center"/>
          </w:tcPr>
          <w:p>
            <w:pPr>
              <w:pStyle w:val="432"/>
              <w:spacing w:line="300" w:lineRule="exact"/>
              <w:ind w:firstLine="0" w:firstLineChars="0"/>
              <w:rPr>
                <w:rFonts w:ascii="Arial" w:hAnsi="Arial" w:eastAsia="宋体" w:cs="Times New Roman"/>
                <w:snapToGrid w:val="0"/>
                <w:color w:val="000000" w:themeColor="text1"/>
                <w:kern w:val="2"/>
                <w:sz w:val="24"/>
                <w:szCs w:val="21"/>
                <w:highlight w:val="none"/>
                <w:lang w:val="en-US" w:eastAsia="zh-CN" w:bidi="ar-SA"/>
                <w14:textFill>
                  <w14:solidFill>
                    <w14:schemeClr w14:val="tx1"/>
                  </w14:solidFill>
                </w14:textFill>
              </w:rPr>
            </w:pPr>
            <w:r>
              <w:rPr>
                <w:rFonts w:ascii="Times New Roman" w:hAnsi="宋体"/>
                <w:color w:val="000000" w:themeColor="text1"/>
                <w:sz w:val="21"/>
                <w:szCs w:val="21"/>
                <w:highlight w:val="none"/>
                <w14:textFill>
                  <w14:solidFill>
                    <w14:schemeClr w14:val="tx1"/>
                  </w14:solidFill>
                </w14:textFill>
              </w:rPr>
              <w:t>《水质</w:t>
            </w:r>
            <w:r>
              <w:rPr>
                <w:rFonts w:ascii="Times New Roman" w:hAnsi="Times New Roman"/>
                <w:color w:val="000000" w:themeColor="text1"/>
                <w:sz w:val="21"/>
                <w:szCs w:val="21"/>
                <w:highlight w:val="none"/>
                <w14:textFill>
                  <w14:solidFill>
                    <w14:schemeClr w14:val="tx1"/>
                  </w14:solidFill>
                </w14:textFill>
              </w:rPr>
              <w:t xml:space="preserve"> </w:t>
            </w:r>
            <w:r>
              <w:rPr>
                <w:rFonts w:ascii="Times New Roman" w:hAnsi="宋体"/>
                <w:color w:val="000000" w:themeColor="text1"/>
                <w:sz w:val="21"/>
                <w:szCs w:val="21"/>
                <w:highlight w:val="none"/>
                <w14:textFill>
                  <w14:solidFill>
                    <w14:schemeClr w14:val="tx1"/>
                  </w14:solidFill>
                </w14:textFill>
              </w:rPr>
              <w:t>总磷的测定</w:t>
            </w:r>
            <w:r>
              <w:rPr>
                <w:rFonts w:ascii="Times New Roman" w:hAnsi="Times New Roman"/>
                <w:color w:val="000000" w:themeColor="text1"/>
                <w:sz w:val="21"/>
                <w:szCs w:val="21"/>
                <w:highlight w:val="none"/>
                <w14:textFill>
                  <w14:solidFill>
                    <w14:schemeClr w14:val="tx1"/>
                  </w14:solidFill>
                </w14:textFill>
              </w:rPr>
              <w:t xml:space="preserve"> </w:t>
            </w:r>
            <w:r>
              <w:rPr>
                <w:rFonts w:ascii="Times New Roman" w:hAnsi="宋体"/>
                <w:color w:val="000000" w:themeColor="text1"/>
                <w:sz w:val="21"/>
                <w:szCs w:val="21"/>
                <w:highlight w:val="none"/>
                <w14:textFill>
                  <w14:solidFill>
                    <w14:schemeClr w14:val="tx1"/>
                  </w14:solidFill>
                </w14:textFill>
              </w:rPr>
              <w:t>钼酸铵分光光度法》</w:t>
            </w:r>
            <w:r>
              <w:rPr>
                <w:rFonts w:hint="eastAsia" w:ascii="宋体" w:hAnsi="宋体" w:eastAsia="宋体" w:cs="宋体"/>
                <w:color w:val="000000" w:themeColor="text1"/>
                <w:sz w:val="21"/>
                <w:szCs w:val="21"/>
                <w:highlight w:val="none"/>
                <w14:textFill>
                  <w14:solidFill>
                    <w14:schemeClr w14:val="tx1"/>
                  </w14:solidFill>
                </w14:textFill>
              </w:rPr>
              <w:t>GB/T 11893-1989</w:t>
            </w:r>
          </w:p>
        </w:tc>
        <w:tc>
          <w:tcPr>
            <w:tcW w:w="1279" w:type="dxa"/>
            <w:vAlign w:val="center"/>
          </w:tcPr>
          <w:p>
            <w:pPr>
              <w:spacing w:line="300" w:lineRule="exact"/>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0.01</w:t>
            </w:r>
          </w:p>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9</w:t>
            </w:r>
          </w:p>
        </w:tc>
        <w:tc>
          <w:tcPr>
            <w:tcW w:w="1705"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Ansi="宋体"/>
                <w:color w:val="000000" w:themeColor="text1"/>
                <w:szCs w:val="21"/>
                <w:highlight w:val="none"/>
                <w14:textFill>
                  <w14:solidFill>
                    <w14:schemeClr w14:val="tx1"/>
                  </w14:solidFill>
                </w14:textFill>
              </w:rPr>
              <w:t>总氮</w:t>
            </w:r>
          </w:p>
        </w:tc>
        <w:tc>
          <w:tcPr>
            <w:tcW w:w="4920"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Ansi="宋体"/>
                <w:color w:val="000000" w:themeColor="text1"/>
                <w:szCs w:val="21"/>
                <w:highlight w:val="none"/>
                <w14:textFill>
                  <w14:solidFill>
                    <w14:schemeClr w14:val="tx1"/>
                  </w14:solidFill>
                </w14:textFill>
              </w:rPr>
              <w:t>《水质</w:t>
            </w:r>
            <w:r>
              <w:rPr>
                <w:color w:val="000000" w:themeColor="text1"/>
                <w:szCs w:val="21"/>
                <w:highlight w:val="none"/>
                <w14:textFill>
                  <w14:solidFill>
                    <w14:schemeClr w14:val="tx1"/>
                  </w14:solidFill>
                </w14:textFill>
              </w:rPr>
              <w:t xml:space="preserve"> </w:t>
            </w:r>
            <w:r>
              <w:rPr>
                <w:rFonts w:hAnsi="宋体"/>
                <w:color w:val="000000" w:themeColor="text1"/>
                <w:szCs w:val="21"/>
                <w:highlight w:val="none"/>
                <w14:textFill>
                  <w14:solidFill>
                    <w14:schemeClr w14:val="tx1"/>
                  </w14:solidFill>
                </w14:textFill>
              </w:rPr>
              <w:t>总氮的测定</w:t>
            </w:r>
            <w:r>
              <w:rPr>
                <w:color w:val="000000" w:themeColor="text1"/>
                <w:szCs w:val="21"/>
                <w:highlight w:val="none"/>
                <w14:textFill>
                  <w14:solidFill>
                    <w14:schemeClr w14:val="tx1"/>
                  </w14:solidFill>
                </w14:textFill>
              </w:rPr>
              <w:t xml:space="preserve"> </w:t>
            </w:r>
            <w:r>
              <w:rPr>
                <w:rFonts w:hAnsi="宋体"/>
                <w:color w:val="000000" w:themeColor="text1"/>
                <w:szCs w:val="21"/>
                <w:highlight w:val="none"/>
                <w14:textFill>
                  <w14:solidFill>
                    <w14:schemeClr w14:val="tx1"/>
                  </w14:solidFill>
                </w14:textFill>
              </w:rPr>
              <w:t>碱性过硫酸钾消解紫外分光光度法》</w:t>
            </w:r>
            <w:r>
              <w:rPr>
                <w:color w:val="000000" w:themeColor="text1"/>
                <w:szCs w:val="21"/>
                <w:highlight w:val="none"/>
                <w14:textFill>
                  <w14:solidFill>
                    <w14:schemeClr w14:val="tx1"/>
                  </w14:solidFill>
                </w14:textFill>
              </w:rPr>
              <w:t xml:space="preserve"> HJ 636-2012</w:t>
            </w:r>
          </w:p>
        </w:tc>
        <w:tc>
          <w:tcPr>
            <w:tcW w:w="1279" w:type="dxa"/>
            <w:vAlign w:val="center"/>
          </w:tcPr>
          <w:p>
            <w:pPr>
              <w:spacing w:line="300" w:lineRule="exac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w:t>
            </w:r>
            <w:r>
              <w:rPr>
                <w:rFonts w:hint="eastAsia"/>
                <w:color w:val="000000" w:themeColor="text1"/>
                <w:szCs w:val="21"/>
                <w:highlight w:val="none"/>
                <w14:textFill>
                  <w14:solidFill>
                    <w14:schemeClr w14:val="tx1"/>
                  </w14:solidFill>
                </w14:textFill>
              </w:rPr>
              <w:t>0</w:t>
            </w:r>
            <w:r>
              <w:rPr>
                <w:color w:val="000000" w:themeColor="text1"/>
                <w:szCs w:val="21"/>
                <w:highlight w:val="none"/>
                <w14:textFill>
                  <w14:solidFill>
                    <w14:schemeClr w14:val="tx1"/>
                  </w14:solidFill>
                </w14:textFill>
              </w:rPr>
              <w:t>5</w:t>
            </w:r>
          </w:p>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ug/L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10</w:t>
            </w:r>
          </w:p>
        </w:tc>
        <w:tc>
          <w:tcPr>
            <w:tcW w:w="1705"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Ansi="宋体"/>
                <w:color w:val="000000" w:themeColor="text1"/>
                <w:szCs w:val="21"/>
                <w:highlight w:val="none"/>
                <w14:textFill>
                  <w14:solidFill>
                    <w14:schemeClr w14:val="tx1"/>
                  </w14:solidFill>
                </w14:textFill>
              </w:rPr>
              <w:t>挥发酚</w:t>
            </w:r>
          </w:p>
        </w:tc>
        <w:tc>
          <w:tcPr>
            <w:tcW w:w="4920"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Ansi="宋体"/>
                <w:color w:val="000000" w:themeColor="text1"/>
                <w:szCs w:val="21"/>
                <w:highlight w:val="none"/>
                <w14:textFill>
                  <w14:solidFill>
                    <w14:schemeClr w14:val="tx1"/>
                  </w14:solidFill>
                </w14:textFill>
              </w:rPr>
              <w:t>《水质</w:t>
            </w:r>
            <w:r>
              <w:rPr>
                <w:color w:val="000000" w:themeColor="text1"/>
                <w:szCs w:val="21"/>
                <w:highlight w:val="none"/>
                <w14:textFill>
                  <w14:solidFill>
                    <w14:schemeClr w14:val="tx1"/>
                  </w14:solidFill>
                </w14:textFill>
              </w:rPr>
              <w:t xml:space="preserve"> </w:t>
            </w:r>
            <w:r>
              <w:rPr>
                <w:rFonts w:hAnsi="宋体"/>
                <w:color w:val="000000" w:themeColor="text1"/>
                <w:szCs w:val="21"/>
                <w:highlight w:val="none"/>
                <w14:textFill>
                  <w14:solidFill>
                    <w14:schemeClr w14:val="tx1"/>
                  </w14:solidFill>
                </w14:textFill>
              </w:rPr>
              <w:t>挥发酚的测定</w:t>
            </w:r>
            <w:r>
              <w:rPr>
                <w:color w:val="000000" w:themeColor="text1"/>
                <w:szCs w:val="21"/>
                <w:highlight w:val="none"/>
                <w14:textFill>
                  <w14:solidFill>
                    <w14:schemeClr w14:val="tx1"/>
                  </w14:solidFill>
                </w14:textFill>
              </w:rPr>
              <w:t xml:space="preserve"> 4-</w:t>
            </w:r>
            <w:r>
              <w:rPr>
                <w:rFonts w:hAnsi="宋体"/>
                <w:color w:val="000000" w:themeColor="text1"/>
                <w:szCs w:val="21"/>
                <w:highlight w:val="none"/>
                <w14:textFill>
                  <w14:solidFill>
                    <w14:schemeClr w14:val="tx1"/>
                  </w14:solidFill>
                </w14:textFill>
              </w:rPr>
              <w:t>氨基安替比林分光光度法》</w:t>
            </w:r>
            <w:r>
              <w:rPr>
                <w:color w:val="000000" w:themeColor="text1"/>
                <w:szCs w:val="21"/>
                <w:highlight w:val="none"/>
                <w14:textFill>
                  <w14:solidFill>
                    <w14:schemeClr w14:val="tx1"/>
                  </w14:solidFill>
                </w14:textFill>
              </w:rPr>
              <w:t>HJ 503-2009</w:t>
            </w:r>
          </w:p>
        </w:tc>
        <w:tc>
          <w:tcPr>
            <w:tcW w:w="1279" w:type="dxa"/>
            <w:vAlign w:val="center"/>
          </w:tcPr>
          <w:p>
            <w:pPr>
              <w:spacing w:line="300" w:lineRule="exac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0.0003</w:t>
            </w:r>
          </w:p>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11</w:t>
            </w:r>
          </w:p>
        </w:tc>
        <w:tc>
          <w:tcPr>
            <w:tcW w:w="1705"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Ansi="宋体"/>
                <w:color w:val="000000" w:themeColor="text1"/>
                <w:szCs w:val="21"/>
                <w:highlight w:val="none"/>
                <w14:textFill>
                  <w14:solidFill>
                    <w14:schemeClr w14:val="tx1"/>
                  </w14:solidFill>
                </w14:textFill>
              </w:rPr>
              <w:t>氰化物</w:t>
            </w:r>
          </w:p>
        </w:tc>
        <w:tc>
          <w:tcPr>
            <w:tcW w:w="4920"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Ansi="宋体"/>
                <w:color w:val="000000" w:themeColor="text1"/>
                <w:szCs w:val="21"/>
                <w:highlight w:val="none"/>
                <w14:textFill>
                  <w14:solidFill>
                    <w14:schemeClr w14:val="tx1"/>
                  </w14:solidFill>
                </w14:textFill>
              </w:rPr>
              <w:t>水质</w:t>
            </w:r>
            <w:r>
              <w:rPr>
                <w:color w:val="000000" w:themeColor="text1"/>
                <w:szCs w:val="21"/>
                <w:highlight w:val="none"/>
                <w14:textFill>
                  <w14:solidFill>
                    <w14:schemeClr w14:val="tx1"/>
                  </w14:solidFill>
                </w14:textFill>
              </w:rPr>
              <w:t xml:space="preserve"> </w:t>
            </w:r>
            <w:r>
              <w:rPr>
                <w:rFonts w:hAnsi="宋体"/>
                <w:color w:val="000000" w:themeColor="text1"/>
                <w:szCs w:val="21"/>
                <w:highlight w:val="none"/>
                <w14:textFill>
                  <w14:solidFill>
                    <w14:schemeClr w14:val="tx1"/>
                  </w14:solidFill>
                </w14:textFill>
              </w:rPr>
              <w:t>氰化物的测定</w:t>
            </w:r>
            <w:r>
              <w:rPr>
                <w:color w:val="000000" w:themeColor="text1"/>
                <w:szCs w:val="21"/>
                <w:highlight w:val="none"/>
                <w14:textFill>
                  <w14:solidFill>
                    <w14:schemeClr w14:val="tx1"/>
                  </w14:solidFill>
                </w14:textFill>
              </w:rPr>
              <w:t xml:space="preserve"> </w:t>
            </w:r>
            <w:r>
              <w:rPr>
                <w:rFonts w:hAnsi="宋体"/>
                <w:color w:val="000000" w:themeColor="text1"/>
                <w:szCs w:val="21"/>
                <w:highlight w:val="none"/>
                <w14:textFill>
                  <w14:solidFill>
                    <w14:schemeClr w14:val="tx1"/>
                  </w14:solidFill>
                </w14:textFill>
              </w:rPr>
              <w:t>容量法和分光光度法》</w:t>
            </w:r>
            <w:r>
              <w:rPr>
                <w:color w:val="000000" w:themeColor="text1"/>
                <w:szCs w:val="21"/>
                <w:highlight w:val="none"/>
                <w14:textFill>
                  <w14:solidFill>
                    <w14:schemeClr w14:val="tx1"/>
                  </w14:solidFill>
                </w14:textFill>
              </w:rPr>
              <w:t>HJ 484-2009</w:t>
            </w:r>
            <w:r>
              <w:rPr>
                <w:rFonts w:hAnsi="宋体"/>
                <w:color w:val="000000" w:themeColor="text1"/>
                <w:szCs w:val="21"/>
                <w:highlight w:val="none"/>
                <w14:textFill>
                  <w14:solidFill>
                    <w14:schemeClr w14:val="tx1"/>
                  </w14:solidFill>
                </w14:textFill>
              </w:rPr>
              <w:t>（方法</w:t>
            </w:r>
            <w:r>
              <w:rPr>
                <w:color w:val="000000" w:themeColor="text1"/>
                <w:szCs w:val="21"/>
                <w:highlight w:val="none"/>
                <w14:textFill>
                  <w14:solidFill>
                    <w14:schemeClr w14:val="tx1"/>
                  </w14:solidFill>
                </w14:textFill>
              </w:rPr>
              <w:t xml:space="preserve"> 2 </w:t>
            </w:r>
            <w:r>
              <w:rPr>
                <w:rFonts w:hAnsi="宋体"/>
                <w:color w:val="000000" w:themeColor="text1"/>
                <w:szCs w:val="21"/>
                <w:highlight w:val="none"/>
                <w14:textFill>
                  <w14:solidFill>
                    <w14:schemeClr w14:val="tx1"/>
                  </w14:solidFill>
                </w14:textFill>
              </w:rPr>
              <w:t>异烟酸</w:t>
            </w:r>
            <w:r>
              <w:rPr>
                <w:color w:val="000000" w:themeColor="text1"/>
                <w:szCs w:val="21"/>
                <w:highlight w:val="none"/>
                <w14:textFill>
                  <w14:solidFill>
                    <w14:schemeClr w14:val="tx1"/>
                  </w14:solidFill>
                </w14:textFill>
              </w:rPr>
              <w:t>-</w:t>
            </w:r>
            <w:r>
              <w:rPr>
                <w:rFonts w:hAnsi="宋体"/>
                <w:color w:val="000000" w:themeColor="text1"/>
                <w:szCs w:val="21"/>
                <w:highlight w:val="none"/>
                <w14:textFill>
                  <w14:solidFill>
                    <w14:schemeClr w14:val="tx1"/>
                  </w14:solidFill>
                </w14:textFill>
              </w:rPr>
              <w:t>吡唑啉酮分光光度法）</w:t>
            </w:r>
          </w:p>
        </w:tc>
        <w:tc>
          <w:tcPr>
            <w:tcW w:w="1279" w:type="dxa"/>
            <w:vAlign w:val="center"/>
          </w:tcPr>
          <w:p>
            <w:pPr>
              <w:spacing w:line="300" w:lineRule="exac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0.004</w:t>
            </w:r>
          </w:p>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12</w:t>
            </w:r>
          </w:p>
        </w:tc>
        <w:tc>
          <w:tcPr>
            <w:tcW w:w="1705"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六价铬</w:t>
            </w:r>
          </w:p>
        </w:tc>
        <w:tc>
          <w:tcPr>
            <w:tcW w:w="4920"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Ansi="宋体"/>
                <w:color w:val="000000" w:themeColor="text1"/>
                <w:szCs w:val="21"/>
                <w:highlight w:val="none"/>
                <w14:textFill>
                  <w14:solidFill>
                    <w14:schemeClr w14:val="tx1"/>
                  </w14:solidFill>
                </w14:textFill>
              </w:rPr>
              <w:t>《水质</w:t>
            </w:r>
            <w:r>
              <w:rPr>
                <w:color w:val="000000" w:themeColor="text1"/>
                <w:szCs w:val="21"/>
                <w:highlight w:val="none"/>
                <w14:textFill>
                  <w14:solidFill>
                    <w14:schemeClr w14:val="tx1"/>
                  </w14:solidFill>
                </w14:textFill>
              </w:rPr>
              <w:t xml:space="preserve"> </w:t>
            </w:r>
            <w:r>
              <w:rPr>
                <w:rFonts w:hAnsi="宋体"/>
                <w:color w:val="000000" w:themeColor="text1"/>
                <w:szCs w:val="21"/>
                <w:highlight w:val="none"/>
                <w14:textFill>
                  <w14:solidFill>
                    <w14:schemeClr w14:val="tx1"/>
                  </w14:solidFill>
                </w14:textFill>
              </w:rPr>
              <w:t>六价铬的测定</w:t>
            </w:r>
            <w:r>
              <w:rPr>
                <w:color w:val="000000" w:themeColor="text1"/>
                <w:szCs w:val="21"/>
                <w:highlight w:val="none"/>
                <w14:textFill>
                  <w14:solidFill>
                    <w14:schemeClr w14:val="tx1"/>
                  </w14:solidFill>
                </w14:textFill>
              </w:rPr>
              <w:t xml:space="preserve"> </w:t>
            </w:r>
            <w:r>
              <w:rPr>
                <w:rFonts w:hAnsi="宋体"/>
                <w:color w:val="000000" w:themeColor="text1"/>
                <w:szCs w:val="21"/>
                <w:highlight w:val="none"/>
                <w14:textFill>
                  <w14:solidFill>
                    <w14:schemeClr w14:val="tx1"/>
                  </w14:solidFill>
                </w14:textFill>
              </w:rPr>
              <w:t>二苯碳酰二肼分光光度法》</w:t>
            </w:r>
            <w:r>
              <w:rPr>
                <w:color w:val="000000" w:themeColor="text1"/>
                <w:szCs w:val="21"/>
                <w:highlight w:val="none"/>
                <w14:textFill>
                  <w14:solidFill>
                    <w14:schemeClr w14:val="tx1"/>
                  </w14:solidFill>
                </w14:textFill>
              </w:rPr>
              <w:t>GB/T 7467-1987</w:t>
            </w:r>
          </w:p>
        </w:tc>
        <w:tc>
          <w:tcPr>
            <w:tcW w:w="1279"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0.0</w:t>
            </w:r>
            <w:r>
              <w:rPr>
                <w:rFonts w:hint="eastAsia"/>
                <w:color w:val="000000" w:themeColor="text1"/>
                <w:szCs w:val="21"/>
                <w:highlight w:val="none"/>
                <w14:textFill>
                  <w14:solidFill>
                    <w14:schemeClr w14:val="tx1"/>
                  </w14:solidFill>
                </w14:textFill>
              </w:rPr>
              <w:t>04</w:t>
            </w:r>
            <w:r>
              <w:rPr>
                <w:color w:val="000000" w:themeColor="text1"/>
                <w:szCs w:val="21"/>
                <w:highlight w:val="none"/>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13</w:t>
            </w:r>
          </w:p>
        </w:tc>
        <w:tc>
          <w:tcPr>
            <w:tcW w:w="1705"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硫化物</w:t>
            </w:r>
          </w:p>
        </w:tc>
        <w:tc>
          <w:tcPr>
            <w:tcW w:w="4920"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《水质硫化物的测定亚甲基蓝分光光度法》HJ 1226-2021</w:t>
            </w:r>
          </w:p>
        </w:tc>
        <w:tc>
          <w:tcPr>
            <w:tcW w:w="1279"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0.01</w:t>
            </w:r>
            <w:r>
              <w:rPr>
                <w:color w:val="000000" w:themeColor="text1"/>
                <w:szCs w:val="21"/>
                <w:highlight w:val="none"/>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14</w:t>
            </w:r>
          </w:p>
        </w:tc>
        <w:tc>
          <w:tcPr>
            <w:tcW w:w="1705" w:type="dxa"/>
            <w:vAlign w:val="center"/>
          </w:tcPr>
          <w:p>
            <w:pPr>
              <w:spacing w:line="300" w:lineRule="exact"/>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石油类</w:t>
            </w:r>
          </w:p>
        </w:tc>
        <w:tc>
          <w:tcPr>
            <w:tcW w:w="4920" w:type="dxa"/>
            <w:vAlign w:val="center"/>
          </w:tcPr>
          <w:p>
            <w:pPr>
              <w:spacing w:line="300" w:lineRule="exact"/>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《水质石油类的测定紫外分光光度法（试行）》HJ 970-2018</w:t>
            </w:r>
          </w:p>
        </w:tc>
        <w:tc>
          <w:tcPr>
            <w:tcW w:w="1279" w:type="dxa"/>
            <w:vAlign w:val="center"/>
          </w:tcPr>
          <w:p>
            <w:pPr>
              <w:spacing w:line="300" w:lineRule="exact"/>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0.01</w:t>
            </w:r>
            <w:r>
              <w:rPr>
                <w:color w:val="000000" w:themeColor="text1"/>
                <w:szCs w:val="21"/>
                <w:highlight w:val="none"/>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15</w:t>
            </w:r>
          </w:p>
        </w:tc>
        <w:tc>
          <w:tcPr>
            <w:tcW w:w="1705"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Ansi="宋体"/>
                <w:color w:val="000000" w:themeColor="text1"/>
                <w:szCs w:val="21"/>
                <w:highlight w:val="none"/>
                <w14:textFill>
                  <w14:solidFill>
                    <w14:schemeClr w14:val="tx1"/>
                  </w14:solidFill>
                </w14:textFill>
              </w:rPr>
              <w:t>五日生化需氧量</w:t>
            </w:r>
          </w:p>
        </w:tc>
        <w:tc>
          <w:tcPr>
            <w:tcW w:w="4920"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Ansi="宋体"/>
                <w:color w:val="000000" w:themeColor="text1"/>
                <w:szCs w:val="21"/>
                <w:highlight w:val="none"/>
                <w14:textFill>
                  <w14:solidFill>
                    <w14:schemeClr w14:val="tx1"/>
                  </w14:solidFill>
                </w14:textFill>
              </w:rPr>
              <w:t>《水质</w:t>
            </w:r>
            <w:r>
              <w:rPr>
                <w:color w:val="000000" w:themeColor="text1"/>
                <w:szCs w:val="21"/>
                <w:highlight w:val="none"/>
                <w14:textFill>
                  <w14:solidFill>
                    <w14:schemeClr w14:val="tx1"/>
                  </w14:solidFill>
                </w14:textFill>
              </w:rPr>
              <w:t xml:space="preserve"> </w:t>
            </w:r>
            <w:r>
              <w:rPr>
                <w:rFonts w:hAnsi="宋体"/>
                <w:color w:val="000000" w:themeColor="text1"/>
                <w:szCs w:val="21"/>
                <w:highlight w:val="none"/>
                <w14:textFill>
                  <w14:solidFill>
                    <w14:schemeClr w14:val="tx1"/>
                  </w14:solidFill>
                </w14:textFill>
              </w:rPr>
              <w:t>五日生化需氧量（</w:t>
            </w:r>
            <w:r>
              <w:rPr>
                <w:color w:val="000000" w:themeColor="text1"/>
                <w:szCs w:val="21"/>
                <w:highlight w:val="none"/>
                <w14:textFill>
                  <w14:solidFill>
                    <w14:schemeClr w14:val="tx1"/>
                  </w14:solidFill>
                </w14:textFill>
              </w:rPr>
              <w:t xml:space="preserve">BOD </w:t>
            </w:r>
            <w:r>
              <w:rPr>
                <w:color w:val="000000" w:themeColor="text1"/>
                <w:szCs w:val="21"/>
                <w:highlight w:val="none"/>
                <w:vertAlign w:val="subscript"/>
                <w14:textFill>
                  <w14:solidFill>
                    <w14:schemeClr w14:val="tx1"/>
                  </w14:solidFill>
                </w14:textFill>
              </w:rPr>
              <w:t>5</w:t>
            </w:r>
            <w:r>
              <w:rPr>
                <w:color w:val="000000" w:themeColor="text1"/>
                <w:szCs w:val="21"/>
                <w:highlight w:val="none"/>
                <w14:textFill>
                  <w14:solidFill>
                    <w14:schemeClr w14:val="tx1"/>
                  </w14:solidFill>
                </w14:textFill>
              </w:rPr>
              <w:t xml:space="preserve"> </w:t>
            </w:r>
            <w:r>
              <w:rPr>
                <w:rFonts w:hAnsi="宋体"/>
                <w:color w:val="000000" w:themeColor="text1"/>
                <w:szCs w:val="21"/>
                <w:highlight w:val="none"/>
                <w14:textFill>
                  <w14:solidFill>
                    <w14:schemeClr w14:val="tx1"/>
                  </w14:solidFill>
                </w14:textFill>
              </w:rPr>
              <w:t>）的测定</w:t>
            </w:r>
            <w:r>
              <w:rPr>
                <w:color w:val="000000" w:themeColor="text1"/>
                <w:szCs w:val="21"/>
                <w:highlight w:val="none"/>
                <w14:textFill>
                  <w14:solidFill>
                    <w14:schemeClr w14:val="tx1"/>
                  </w14:solidFill>
                </w14:textFill>
              </w:rPr>
              <w:t xml:space="preserve"> </w:t>
            </w:r>
            <w:r>
              <w:rPr>
                <w:rFonts w:hAnsi="宋体"/>
                <w:color w:val="000000" w:themeColor="text1"/>
                <w:szCs w:val="21"/>
                <w:highlight w:val="none"/>
                <w14:textFill>
                  <w14:solidFill>
                    <w14:schemeClr w14:val="tx1"/>
                  </w14:solidFill>
                </w14:textFill>
              </w:rPr>
              <w:t>稀释与接种法》</w:t>
            </w:r>
            <w:r>
              <w:rPr>
                <w:color w:val="000000" w:themeColor="text1"/>
                <w:szCs w:val="21"/>
                <w:highlight w:val="none"/>
                <w14:textFill>
                  <w14:solidFill>
                    <w14:schemeClr w14:val="tx1"/>
                  </w14:solidFill>
                </w14:textFill>
              </w:rPr>
              <w:t xml:space="preserve"> HJ 505-2009</w:t>
            </w:r>
          </w:p>
        </w:tc>
        <w:tc>
          <w:tcPr>
            <w:tcW w:w="1279"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0.5</w:t>
            </w:r>
            <w:r>
              <w:rPr>
                <w:color w:val="000000" w:themeColor="text1"/>
                <w:szCs w:val="21"/>
                <w:highlight w:val="none"/>
                <w14:textFill>
                  <w14:solidFill>
                    <w14:schemeClr w14:val="tx1"/>
                  </w14:solidFill>
                </w14:textFill>
              </w:rPr>
              <w:t>ug/L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16</w:t>
            </w:r>
          </w:p>
        </w:tc>
        <w:tc>
          <w:tcPr>
            <w:tcW w:w="1705"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Ansi="宋体"/>
                <w:color w:val="000000" w:themeColor="text1"/>
                <w:szCs w:val="21"/>
                <w:highlight w:val="none"/>
                <w14:textFill>
                  <w14:solidFill>
                    <w14:schemeClr w14:val="tx1"/>
                  </w14:solidFill>
                </w14:textFill>
              </w:rPr>
              <w:t>铜</w:t>
            </w:r>
          </w:p>
        </w:tc>
        <w:tc>
          <w:tcPr>
            <w:tcW w:w="4920" w:type="dxa"/>
            <w:vMerge w:val="restart"/>
            <w:vAlign w:val="center"/>
          </w:tcPr>
          <w:p>
            <w:pPr>
              <w:spacing w:line="300" w:lineRule="exact"/>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Ansi="宋体"/>
                <w:color w:val="000000" w:themeColor="text1"/>
                <w:szCs w:val="21"/>
                <w:highlight w:val="none"/>
                <w14:textFill>
                  <w14:solidFill>
                    <w14:schemeClr w14:val="tx1"/>
                  </w14:solidFill>
                </w14:textFill>
              </w:rPr>
              <w:t>《水质</w:t>
            </w:r>
            <w:r>
              <w:rPr>
                <w:color w:val="000000" w:themeColor="text1"/>
                <w:szCs w:val="21"/>
                <w:highlight w:val="none"/>
                <w14:textFill>
                  <w14:solidFill>
                    <w14:schemeClr w14:val="tx1"/>
                  </w14:solidFill>
                </w14:textFill>
              </w:rPr>
              <w:t xml:space="preserve"> </w:t>
            </w:r>
            <w:r>
              <w:rPr>
                <w:rFonts w:hAnsi="宋体"/>
                <w:color w:val="000000" w:themeColor="text1"/>
                <w:szCs w:val="21"/>
                <w:highlight w:val="none"/>
                <w14:textFill>
                  <w14:solidFill>
                    <w14:schemeClr w14:val="tx1"/>
                  </w14:solidFill>
                </w14:textFill>
              </w:rPr>
              <w:t>铜、锌、铅、镉的测定</w:t>
            </w:r>
            <w:r>
              <w:rPr>
                <w:color w:val="000000" w:themeColor="text1"/>
                <w:szCs w:val="21"/>
                <w:highlight w:val="none"/>
                <w14:textFill>
                  <w14:solidFill>
                    <w14:schemeClr w14:val="tx1"/>
                  </w14:solidFill>
                </w14:textFill>
              </w:rPr>
              <w:t xml:space="preserve"> </w:t>
            </w:r>
            <w:r>
              <w:rPr>
                <w:rFonts w:hAnsi="宋体"/>
                <w:color w:val="000000" w:themeColor="text1"/>
                <w:szCs w:val="21"/>
                <w:highlight w:val="none"/>
                <w14:textFill>
                  <w14:solidFill>
                    <w14:schemeClr w14:val="tx1"/>
                  </w14:solidFill>
                </w14:textFill>
              </w:rPr>
              <w:t>原子吸收分光光度法》</w:t>
            </w:r>
            <w:r>
              <w:rPr>
                <w:color w:val="000000" w:themeColor="text1"/>
                <w:szCs w:val="21"/>
                <w:highlight w:val="none"/>
                <w14:textFill>
                  <w14:solidFill>
                    <w14:schemeClr w14:val="tx1"/>
                  </w14:solidFill>
                </w14:textFill>
              </w:rPr>
              <w:t xml:space="preserve"> GB/T 7475-1987 </w:t>
            </w:r>
            <w:r>
              <w:rPr>
                <w:rFonts w:hAnsi="宋体"/>
                <w:color w:val="000000" w:themeColor="text1"/>
                <w:szCs w:val="21"/>
                <w:highlight w:val="none"/>
                <w14:textFill>
                  <w14:solidFill>
                    <w14:schemeClr w14:val="tx1"/>
                  </w14:solidFill>
                </w14:textFill>
              </w:rPr>
              <w:t>第一部分</w:t>
            </w:r>
            <w:r>
              <w:rPr>
                <w:color w:val="000000" w:themeColor="text1"/>
                <w:szCs w:val="21"/>
                <w:highlight w:val="none"/>
                <w14:textFill>
                  <w14:solidFill>
                    <w14:schemeClr w14:val="tx1"/>
                  </w14:solidFill>
                </w14:textFill>
              </w:rPr>
              <w:t xml:space="preserve"> </w:t>
            </w:r>
            <w:r>
              <w:rPr>
                <w:rFonts w:hAnsi="宋体"/>
                <w:color w:val="000000" w:themeColor="text1"/>
                <w:szCs w:val="21"/>
                <w:highlight w:val="none"/>
                <w14:textFill>
                  <w14:solidFill>
                    <w14:schemeClr w14:val="tx1"/>
                  </w14:solidFill>
                </w14:textFill>
              </w:rPr>
              <w:t>直接法</w:t>
            </w:r>
          </w:p>
        </w:tc>
        <w:tc>
          <w:tcPr>
            <w:tcW w:w="1279"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0.0</w:t>
            </w:r>
            <w:r>
              <w:rPr>
                <w:rFonts w:hint="eastAsia"/>
                <w:color w:val="000000" w:themeColor="text1"/>
                <w:szCs w:val="21"/>
                <w:highlight w:val="none"/>
                <w14:textFill>
                  <w14:solidFill>
                    <w14:schemeClr w14:val="tx1"/>
                  </w14:solidFill>
                </w14:textFill>
              </w:rPr>
              <w:t>1</w:t>
            </w:r>
            <w:r>
              <w:rPr>
                <w:color w:val="000000" w:themeColor="text1"/>
                <w:szCs w:val="21"/>
                <w:highlight w:val="none"/>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17</w:t>
            </w:r>
          </w:p>
        </w:tc>
        <w:tc>
          <w:tcPr>
            <w:tcW w:w="1705"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锌</w:t>
            </w:r>
          </w:p>
        </w:tc>
        <w:tc>
          <w:tcPr>
            <w:tcW w:w="4920" w:type="dxa"/>
            <w:vMerge w:val="continue"/>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1279"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0.0</w:t>
            </w:r>
            <w:r>
              <w:rPr>
                <w:rFonts w:hint="eastAsia"/>
                <w:color w:val="000000" w:themeColor="text1"/>
                <w:szCs w:val="21"/>
                <w:highlight w:val="none"/>
                <w14:textFill>
                  <w14:solidFill>
                    <w14:schemeClr w14:val="tx1"/>
                  </w14:solidFill>
                </w14:textFill>
              </w:rPr>
              <w:t>1</w:t>
            </w:r>
            <w:r>
              <w:rPr>
                <w:color w:val="000000" w:themeColor="text1"/>
                <w:szCs w:val="21"/>
                <w:highlight w:val="none"/>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18</w:t>
            </w:r>
          </w:p>
        </w:tc>
        <w:tc>
          <w:tcPr>
            <w:tcW w:w="1705"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铅</w:t>
            </w:r>
          </w:p>
        </w:tc>
        <w:tc>
          <w:tcPr>
            <w:tcW w:w="4920" w:type="dxa"/>
            <w:vMerge w:val="continue"/>
            <w:vAlign w:val="center"/>
          </w:tcPr>
          <w:p>
            <w:pPr>
              <w:spacing w:line="300" w:lineRule="exact"/>
              <w:jc w:val="center"/>
              <w:rPr>
                <w:color w:val="000000" w:themeColor="text1"/>
                <w:szCs w:val="21"/>
                <w:highlight w:val="none"/>
                <w14:textFill>
                  <w14:solidFill>
                    <w14:schemeClr w14:val="tx1"/>
                  </w14:solidFill>
                </w14:textFill>
              </w:rPr>
            </w:pPr>
          </w:p>
        </w:tc>
        <w:tc>
          <w:tcPr>
            <w:tcW w:w="1279"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0.0</w:t>
            </w:r>
            <w:r>
              <w:rPr>
                <w:rFonts w:hint="eastAsia"/>
                <w:color w:val="000000" w:themeColor="text1"/>
                <w:szCs w:val="21"/>
                <w:highlight w:val="none"/>
                <w14:textFill>
                  <w14:solidFill>
                    <w14:schemeClr w14:val="tx1"/>
                  </w14:solidFill>
                </w14:textFill>
              </w:rPr>
              <w:t>03</w:t>
            </w:r>
            <w:r>
              <w:rPr>
                <w:color w:val="000000" w:themeColor="text1"/>
                <w:szCs w:val="21"/>
                <w:highlight w:val="none"/>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0"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19</w:t>
            </w:r>
          </w:p>
        </w:tc>
        <w:tc>
          <w:tcPr>
            <w:tcW w:w="1705"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镉</w:t>
            </w:r>
          </w:p>
        </w:tc>
        <w:tc>
          <w:tcPr>
            <w:tcW w:w="4920" w:type="dxa"/>
            <w:vMerge w:val="continue"/>
            <w:vAlign w:val="center"/>
          </w:tcPr>
          <w:p>
            <w:pPr>
              <w:spacing w:line="300" w:lineRule="exact"/>
              <w:jc w:val="center"/>
              <w:rPr>
                <w:color w:val="000000" w:themeColor="text1"/>
                <w:szCs w:val="21"/>
                <w:highlight w:val="none"/>
                <w14:textFill>
                  <w14:solidFill>
                    <w14:schemeClr w14:val="tx1"/>
                  </w14:solidFill>
                </w14:textFill>
              </w:rPr>
            </w:pPr>
          </w:p>
        </w:tc>
        <w:tc>
          <w:tcPr>
            <w:tcW w:w="1279"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0.0</w:t>
            </w:r>
            <w:r>
              <w:rPr>
                <w:rFonts w:hint="eastAsia"/>
                <w:color w:val="000000" w:themeColor="text1"/>
                <w:szCs w:val="21"/>
                <w:highlight w:val="none"/>
                <w14:textFill>
                  <w14:solidFill>
                    <w14:schemeClr w14:val="tx1"/>
                  </w14:solidFill>
                </w14:textFill>
              </w:rPr>
              <w:t>03</w:t>
            </w:r>
            <w:r>
              <w:rPr>
                <w:color w:val="000000" w:themeColor="text1"/>
                <w:szCs w:val="21"/>
                <w:highlight w:val="none"/>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spacing w:line="300" w:lineRule="exact"/>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20</w:t>
            </w:r>
          </w:p>
        </w:tc>
        <w:tc>
          <w:tcPr>
            <w:tcW w:w="1705" w:type="dxa"/>
            <w:vAlign w:val="center"/>
          </w:tcPr>
          <w:p>
            <w:pPr>
              <w:spacing w:line="300" w:lineRule="exact"/>
              <w:jc w:val="center"/>
              <w:rPr>
                <w:color w:val="000000" w:themeColor="text1"/>
                <w:szCs w:val="21"/>
                <w:highlight w:val="none"/>
                <w14:textFill>
                  <w14:solidFill>
                    <w14:schemeClr w14:val="tx1"/>
                  </w14:solidFill>
                </w14:textFill>
              </w:rPr>
            </w:pPr>
            <w:r>
              <w:rPr>
                <w:rFonts w:hint="eastAsia" w:ascii="Times New Roman" w:hAnsi="Times New Roman" w:cs="Times New Roman"/>
                <w:color w:val="000000" w:themeColor="text1"/>
                <w:szCs w:val="21"/>
                <w:highlight w:val="none"/>
                <w14:textFill>
                  <w14:solidFill>
                    <w14:schemeClr w14:val="tx1"/>
                  </w14:solidFill>
                </w14:textFill>
              </w:rPr>
              <w:t>氟化物</w:t>
            </w:r>
          </w:p>
        </w:tc>
        <w:tc>
          <w:tcPr>
            <w:tcW w:w="4920" w:type="dxa"/>
            <w:vAlign w:val="center"/>
          </w:tcPr>
          <w:p>
            <w:pPr>
              <w:spacing w:line="300" w:lineRule="exact"/>
              <w:jc w:val="center"/>
              <w:rPr>
                <w:rFonts w:hint="eastAsia" w:ascii="Times New Roman" w:hAnsi="Times New Roman" w:cs="Times New Roman"/>
                <w:color w:val="000000" w:themeColor="text1"/>
                <w:szCs w:val="21"/>
                <w:highlight w:val="none"/>
                <w14:textFill>
                  <w14:solidFill>
                    <w14:schemeClr w14:val="tx1"/>
                  </w14:solidFill>
                </w14:textFill>
              </w:rPr>
            </w:pPr>
            <w:r>
              <w:rPr>
                <w:rFonts w:hint="eastAsia" w:ascii="Times New Roman" w:hAnsi="Times New Roman" w:cs="Times New Roman"/>
                <w:color w:val="000000" w:themeColor="text1"/>
                <w:szCs w:val="21"/>
                <w:highlight w:val="none"/>
                <w14:textFill>
                  <w14:solidFill>
                    <w14:schemeClr w14:val="tx1"/>
                  </w14:solidFill>
                </w14:textFill>
              </w:rPr>
              <w:t>《水质氟化物的测定离子选择电</w:t>
            </w:r>
          </w:p>
          <w:p>
            <w:pPr>
              <w:spacing w:line="300" w:lineRule="exact"/>
              <w:jc w:val="center"/>
              <w:rPr>
                <w:rFonts w:hint="eastAsia" w:ascii="Times New Roman" w:hAnsi="Times New Roman" w:cs="Times New Roman"/>
                <w:color w:val="000000" w:themeColor="text1"/>
                <w:szCs w:val="21"/>
                <w:highlight w:val="none"/>
                <w14:textFill>
                  <w14:solidFill>
                    <w14:schemeClr w14:val="tx1"/>
                  </w14:solidFill>
                </w14:textFill>
              </w:rPr>
            </w:pPr>
            <w:r>
              <w:rPr>
                <w:rFonts w:hint="eastAsia" w:ascii="Times New Roman" w:hAnsi="Times New Roman" w:cs="Times New Roman"/>
                <w:color w:val="000000" w:themeColor="text1"/>
                <w:szCs w:val="21"/>
                <w:highlight w:val="none"/>
                <w14:textFill>
                  <w14:solidFill>
                    <w14:schemeClr w14:val="tx1"/>
                  </w14:solidFill>
                </w14:textFill>
              </w:rPr>
              <w:t>极法》GB/T 7484-1987</w:t>
            </w:r>
          </w:p>
        </w:tc>
        <w:tc>
          <w:tcPr>
            <w:tcW w:w="1279" w:type="dxa"/>
            <w:vAlign w:val="center"/>
          </w:tcPr>
          <w:p>
            <w:pPr>
              <w:spacing w:line="300" w:lineRule="exact"/>
              <w:jc w:val="center"/>
              <w:rPr>
                <w:rFonts w:hint="default" w:ascii="Times New Roman" w:hAnsi="Times New Roman" w:cs="Times New Roman"/>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0.05</w:t>
            </w:r>
            <w:r>
              <w:rPr>
                <w:rFonts w:hint="eastAsia" w:ascii="Times New Roman" w:hAnsi="Times New Roman" w:cs="Times New Roman"/>
                <w:color w:val="000000" w:themeColor="text1"/>
                <w:szCs w:val="21"/>
                <w:highlight w:val="none"/>
                <w14:textFill>
                  <w14:solidFill>
                    <w14:schemeClr w14:val="tx1"/>
                  </w14:solidFill>
                </w14:textFill>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spacing w:line="300" w:lineRule="exact"/>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21</w:t>
            </w:r>
          </w:p>
        </w:tc>
        <w:tc>
          <w:tcPr>
            <w:tcW w:w="1705"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汞</w:t>
            </w:r>
          </w:p>
        </w:tc>
        <w:tc>
          <w:tcPr>
            <w:tcW w:w="4920" w:type="dxa"/>
            <w:vMerge w:val="restart"/>
            <w:vAlign w:val="center"/>
          </w:tcPr>
          <w:p>
            <w:pPr>
              <w:spacing w:line="300" w:lineRule="exact"/>
              <w:jc w:val="center"/>
              <w:rPr>
                <w:color w:val="000000" w:themeColor="text1"/>
                <w:szCs w:val="21"/>
                <w:highlight w:val="none"/>
                <w14:textFill>
                  <w14:solidFill>
                    <w14:schemeClr w14:val="tx1"/>
                  </w14:solidFill>
                </w14:textFill>
              </w:rPr>
            </w:pPr>
            <w:r>
              <w:rPr>
                <w:rFonts w:hAnsi="宋体"/>
                <w:color w:val="000000" w:themeColor="text1"/>
                <w:szCs w:val="21"/>
                <w:highlight w:val="none"/>
                <w14:textFill>
                  <w14:solidFill>
                    <w14:schemeClr w14:val="tx1"/>
                  </w14:solidFill>
                </w14:textFill>
              </w:rPr>
              <w:t>《水质</w:t>
            </w:r>
            <w:r>
              <w:rPr>
                <w:color w:val="000000" w:themeColor="text1"/>
                <w:szCs w:val="21"/>
                <w:highlight w:val="none"/>
                <w14:textFill>
                  <w14:solidFill>
                    <w14:schemeClr w14:val="tx1"/>
                  </w14:solidFill>
                </w14:textFill>
              </w:rPr>
              <w:t xml:space="preserve"> </w:t>
            </w:r>
            <w:r>
              <w:rPr>
                <w:rFonts w:hAnsi="宋体"/>
                <w:color w:val="000000" w:themeColor="text1"/>
                <w:szCs w:val="21"/>
                <w:highlight w:val="none"/>
                <w14:textFill>
                  <w14:solidFill>
                    <w14:schemeClr w14:val="tx1"/>
                  </w14:solidFill>
                </w14:textFill>
              </w:rPr>
              <w:t>汞、砷、硒、铋和锑的测定</w:t>
            </w:r>
            <w:r>
              <w:rPr>
                <w:color w:val="000000" w:themeColor="text1"/>
                <w:szCs w:val="21"/>
                <w:highlight w:val="none"/>
                <w14:textFill>
                  <w14:solidFill>
                    <w14:schemeClr w14:val="tx1"/>
                  </w14:solidFill>
                </w14:textFill>
              </w:rPr>
              <w:t xml:space="preserve"> </w:t>
            </w:r>
            <w:r>
              <w:rPr>
                <w:rFonts w:hAnsi="宋体"/>
                <w:color w:val="000000" w:themeColor="text1"/>
                <w:szCs w:val="21"/>
                <w:highlight w:val="none"/>
                <w14:textFill>
                  <w14:solidFill>
                    <w14:schemeClr w14:val="tx1"/>
                  </w14:solidFill>
                </w14:textFill>
              </w:rPr>
              <w:t>原子荧光法》</w:t>
            </w:r>
            <w:r>
              <w:rPr>
                <w:color w:val="000000" w:themeColor="text1"/>
                <w:szCs w:val="21"/>
                <w:highlight w:val="none"/>
                <w14:textFill>
                  <w14:solidFill>
                    <w14:schemeClr w14:val="tx1"/>
                  </w14:solidFill>
                </w14:textFill>
              </w:rPr>
              <w:t>HJ 694-2014</w:t>
            </w:r>
          </w:p>
        </w:tc>
        <w:tc>
          <w:tcPr>
            <w:tcW w:w="1279" w:type="dxa"/>
            <w:vAlign w:val="center"/>
          </w:tcPr>
          <w:p>
            <w:pPr>
              <w:spacing w:line="300" w:lineRule="exact"/>
              <w:jc w:val="center"/>
              <w:rPr>
                <w:rFonts w:hint="eastAsia"/>
                <w:highlight w:val="none"/>
              </w:rPr>
            </w:pPr>
            <w:r>
              <w:rPr>
                <w:color w:val="000000" w:themeColor="text1"/>
                <w:szCs w:val="21"/>
                <w:highlight w:val="none"/>
                <w14:textFill>
                  <w14:solidFill>
                    <w14:schemeClr w14:val="tx1"/>
                  </w14:solidFill>
                </w14:textFill>
              </w:rPr>
              <w:t>0.0</w:t>
            </w:r>
            <w:r>
              <w:rPr>
                <w:rFonts w:hint="eastAsia"/>
                <w:color w:val="000000" w:themeColor="text1"/>
                <w:szCs w:val="21"/>
                <w:highlight w:val="none"/>
                <w14:textFill>
                  <w14:solidFill>
                    <w14:schemeClr w14:val="tx1"/>
                  </w14:solidFill>
                </w14:textFill>
              </w:rPr>
              <w:t>4</w:t>
            </w:r>
          </w:p>
          <w:p>
            <w:pPr>
              <w:spacing w:line="300" w:lineRule="exact"/>
              <w:jc w:val="center"/>
              <w:rPr>
                <w:rFonts w:hint="default" w:eastAsia="宋体"/>
                <w:color w:val="000000" w:themeColor="text1"/>
                <w:szCs w:val="21"/>
                <w:highlight w:val="none"/>
                <w:lang w:val="en-US" w:eastAsia="zh-CN"/>
                <w14:textFill>
                  <w14:solidFill>
                    <w14:schemeClr w14:val="tx1"/>
                  </w14:solidFill>
                </w14:textFill>
              </w:rPr>
            </w:pPr>
            <w:r>
              <w:rPr>
                <w:color w:val="000000" w:themeColor="text1"/>
                <w:szCs w:val="21"/>
                <w:highlight w:val="none"/>
                <w14:textFill>
                  <w14:solidFill>
                    <w14:schemeClr w14:val="tx1"/>
                  </w14:solidFill>
                </w14:textFill>
              </w:rPr>
              <w:t>µg /L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spacing w:line="300" w:lineRule="exact"/>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22</w:t>
            </w:r>
          </w:p>
        </w:tc>
        <w:tc>
          <w:tcPr>
            <w:tcW w:w="1705" w:type="dxa"/>
            <w:vAlign w:val="center"/>
          </w:tcPr>
          <w:p>
            <w:pPr>
              <w:spacing w:line="300" w:lineRule="exact"/>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砷</w:t>
            </w:r>
          </w:p>
        </w:tc>
        <w:tc>
          <w:tcPr>
            <w:tcW w:w="4920" w:type="dxa"/>
            <w:vMerge w:val="continue"/>
            <w:vAlign w:val="center"/>
          </w:tcPr>
          <w:p>
            <w:pPr>
              <w:spacing w:line="300" w:lineRule="exact"/>
              <w:jc w:val="center"/>
              <w:rPr>
                <w:color w:val="000000" w:themeColor="text1"/>
                <w:szCs w:val="21"/>
                <w:highlight w:val="none"/>
                <w14:textFill>
                  <w14:solidFill>
                    <w14:schemeClr w14:val="tx1"/>
                  </w14:solidFill>
                </w14:textFill>
              </w:rPr>
            </w:pPr>
          </w:p>
        </w:tc>
        <w:tc>
          <w:tcPr>
            <w:tcW w:w="1279" w:type="dxa"/>
            <w:vAlign w:val="center"/>
          </w:tcPr>
          <w:p>
            <w:pPr>
              <w:spacing w:line="300" w:lineRule="exact"/>
              <w:jc w:val="center"/>
              <w:rPr>
                <w:rFonts w:hint="default" w:eastAsia="宋体"/>
                <w:color w:val="000000" w:themeColor="text1"/>
                <w:szCs w:val="21"/>
                <w:highlight w:val="none"/>
                <w:lang w:val="en-US" w:eastAsia="zh-CN"/>
                <w14:textFill>
                  <w14:solidFill>
                    <w14:schemeClr w14:val="tx1"/>
                  </w14:solidFill>
                </w14:textFill>
              </w:rPr>
            </w:pPr>
            <w:r>
              <w:rPr>
                <w:color w:val="000000" w:themeColor="text1"/>
                <w:szCs w:val="21"/>
                <w:highlight w:val="none"/>
                <w14:textFill>
                  <w14:solidFill>
                    <w14:schemeClr w14:val="tx1"/>
                  </w14:solidFill>
                </w14:textFill>
              </w:rPr>
              <w:t>0.</w:t>
            </w:r>
            <w:r>
              <w:rPr>
                <w:rFonts w:hint="eastAsia"/>
                <w:color w:val="000000" w:themeColor="text1"/>
                <w:szCs w:val="21"/>
                <w:highlight w:val="none"/>
                <w14:textFill>
                  <w14:solidFill>
                    <w14:schemeClr w14:val="tx1"/>
                  </w14:solidFill>
                </w14:textFill>
              </w:rPr>
              <w:t>3</w:t>
            </w:r>
            <w:r>
              <w:rPr>
                <w:color w:val="000000" w:themeColor="text1"/>
                <w:szCs w:val="21"/>
                <w:highlight w:val="none"/>
                <w14:textFill>
                  <w14:solidFill>
                    <w14:schemeClr w14:val="tx1"/>
                  </w14:solidFill>
                </w14:textFill>
              </w:rPr>
              <w:t>µg /L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spacing w:line="300" w:lineRule="exact"/>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23</w:t>
            </w:r>
          </w:p>
        </w:tc>
        <w:tc>
          <w:tcPr>
            <w:tcW w:w="1705" w:type="dxa"/>
            <w:vAlign w:val="center"/>
          </w:tcPr>
          <w:p>
            <w:pPr>
              <w:spacing w:line="300" w:lineRule="exact"/>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粪大肠</w:t>
            </w:r>
          </w:p>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菌群*</w:t>
            </w:r>
          </w:p>
        </w:tc>
        <w:tc>
          <w:tcPr>
            <w:tcW w:w="4920"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《水质粪大肠菌群的测定多管发酵法》HJ 347.2-2018</w:t>
            </w:r>
          </w:p>
        </w:tc>
        <w:tc>
          <w:tcPr>
            <w:tcW w:w="1279" w:type="dxa"/>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20MPN/L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spacing w:line="300" w:lineRule="exact"/>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24</w:t>
            </w:r>
          </w:p>
        </w:tc>
        <w:tc>
          <w:tcPr>
            <w:tcW w:w="1705" w:type="dxa"/>
            <w:vAlign w:val="center"/>
          </w:tcPr>
          <w:p>
            <w:pPr>
              <w:spacing w:line="300" w:lineRule="exact"/>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叶绿素a</w:t>
            </w:r>
          </w:p>
        </w:tc>
        <w:tc>
          <w:tcPr>
            <w:tcW w:w="4920" w:type="dxa"/>
            <w:vAlign w:val="center"/>
          </w:tcPr>
          <w:p>
            <w:pPr>
              <w:spacing w:line="300" w:lineRule="exact"/>
              <w:jc w:val="center"/>
              <w:rPr>
                <w:rFonts w:hint="eastAsia" w:ascii="Times New Roman" w:hAnsi="Times New Roman" w:cs="Times New Roman"/>
                <w:color w:val="000000" w:themeColor="text1"/>
                <w:szCs w:val="21"/>
                <w:highlight w:val="none"/>
                <w14:textFill>
                  <w14:solidFill>
                    <w14:schemeClr w14:val="tx1"/>
                  </w14:solidFill>
                </w14:textFill>
              </w:rPr>
            </w:pPr>
            <w:r>
              <w:rPr>
                <w:rFonts w:hint="eastAsia" w:ascii="Times New Roman" w:hAnsi="Times New Roman" w:cs="Times New Roman"/>
                <w:color w:val="000000" w:themeColor="text1"/>
                <w:szCs w:val="21"/>
                <w:highlight w:val="none"/>
                <w14:textFill>
                  <w14:solidFill>
                    <w14:schemeClr w14:val="tx1"/>
                  </w14:solidFill>
                </w14:textFill>
              </w:rPr>
              <w:t>《水质叶绿素a 的测定分光光度</w:t>
            </w:r>
          </w:p>
          <w:p>
            <w:pPr>
              <w:spacing w:line="300" w:lineRule="exact"/>
              <w:jc w:val="center"/>
              <w:rPr>
                <w:rFonts w:hint="eastAsia" w:ascii="Times New Roman" w:hAnsi="Times New Roman" w:cs="Times New Roman"/>
                <w:color w:val="000000" w:themeColor="text1"/>
                <w:szCs w:val="21"/>
                <w:highlight w:val="none"/>
                <w14:textFill>
                  <w14:solidFill>
                    <w14:schemeClr w14:val="tx1"/>
                  </w14:solidFill>
                </w14:textFill>
              </w:rPr>
            </w:pPr>
            <w:r>
              <w:rPr>
                <w:rFonts w:hint="eastAsia" w:ascii="Times New Roman" w:hAnsi="Times New Roman" w:cs="Times New Roman"/>
                <w:color w:val="000000" w:themeColor="text1"/>
                <w:szCs w:val="21"/>
                <w:highlight w:val="none"/>
                <w14:textFill>
                  <w14:solidFill>
                    <w14:schemeClr w14:val="tx1"/>
                  </w14:solidFill>
                </w14:textFill>
              </w:rPr>
              <w:t>法》HJ 897-2017</w:t>
            </w:r>
          </w:p>
        </w:tc>
        <w:tc>
          <w:tcPr>
            <w:tcW w:w="1279" w:type="dxa"/>
            <w:vAlign w:val="center"/>
          </w:tcPr>
          <w:p>
            <w:pPr>
              <w:spacing w:line="300" w:lineRule="exact"/>
              <w:jc w:val="center"/>
              <w:rPr>
                <w:rFonts w:hint="eastAsia" w:ascii="Times New Roman" w:hAnsi="Times New Roman" w:cs="Times New Roman"/>
                <w:color w:val="000000" w:themeColor="text1"/>
                <w:szCs w:val="21"/>
                <w:highlight w:val="none"/>
                <w14:textFill>
                  <w14:solidFill>
                    <w14:schemeClr w14:val="tx1"/>
                  </w14:solidFill>
                </w14:textFill>
              </w:rPr>
            </w:pPr>
            <w:r>
              <w:rPr>
                <w:rFonts w:hint="eastAsia" w:ascii="Times New Roman" w:hAnsi="Times New Roman" w:cs="Times New Roman"/>
                <w:color w:val="000000" w:themeColor="text1"/>
                <w:szCs w:val="21"/>
                <w:highlight w:val="none"/>
                <w14:textFill>
                  <w14:solidFill>
                    <w14:schemeClr w14:val="tx1"/>
                  </w14:solidFill>
                </w14:textFill>
              </w:rPr>
              <w:t>2μg/L</w:t>
            </w:r>
          </w:p>
        </w:tc>
      </w:tr>
    </w:tbl>
    <w:p>
      <w:pPr>
        <w:snapToGrid w:val="0"/>
        <w:spacing w:line="480" w:lineRule="exact"/>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（4）评价方法</w:t>
      </w:r>
    </w:p>
    <w:p>
      <w:pPr>
        <w:snapToGrid w:val="0"/>
        <w:spacing w:line="480" w:lineRule="exact"/>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根据原环保部发布的《地表水环境质量评价办法（试 行）》（2011年3月），水质评价指标地表水水质评价指标为：《地表水环境质量标准》（GB3838-2002）表 1 中除水温、总氮、粪大肠菌群以外的 21 项指标。水温、总氮、粪大肠菌群作为参考指标单独评价（河流总氮除外）。可采用一次监测数据评价。</w:t>
      </w:r>
    </w:p>
    <w:p>
      <w:pPr>
        <w:snapToGrid w:val="0"/>
        <w:spacing w:line="480" w:lineRule="exact"/>
        <w:ind w:firstLine="480" w:firstLineChars="200"/>
        <w:rPr>
          <w:sz w:val="24"/>
          <w:highlight w:val="none"/>
        </w:rPr>
      </w:pPr>
      <w:r>
        <w:rPr>
          <w:color w:val="000000" w:themeColor="text1"/>
          <w:sz w:val="24"/>
          <w:highlight w:val="none"/>
          <w14:textFill>
            <w14:solidFill>
              <w14:schemeClr w14:val="tx1"/>
            </w14:solidFill>
          </w14:textFill>
        </w:rPr>
        <w:t>评价模式</w:t>
      </w:r>
      <w:r>
        <w:rPr>
          <w:sz w:val="24"/>
          <w:highlight w:val="none"/>
        </w:rPr>
        <w:t xml:space="preserve">采用单因子污染指数法。 </w:t>
      </w:r>
    </w:p>
    <w:p>
      <w:pPr>
        <w:spacing w:line="480" w:lineRule="exact"/>
        <w:ind w:firstLine="480" w:firstLineChars="200"/>
        <w:jc w:val="left"/>
        <w:rPr>
          <w:color w:val="000000"/>
          <w:sz w:val="24"/>
          <w:highlight w:val="none"/>
        </w:rPr>
      </w:pPr>
      <w:r>
        <w:rPr>
          <w:color w:val="000000"/>
          <w:sz w:val="24"/>
          <w:highlight w:val="none"/>
        </w:rPr>
        <w:fldChar w:fldCharType="begin"/>
      </w:r>
      <w:r>
        <w:rPr>
          <w:color w:val="000000"/>
          <w:sz w:val="24"/>
          <w:highlight w:val="none"/>
        </w:rPr>
        <w:instrText xml:space="preserve"> = 1 \* GB3 </w:instrText>
      </w:r>
      <w:r>
        <w:rPr>
          <w:color w:val="000000"/>
          <w:sz w:val="24"/>
          <w:highlight w:val="none"/>
        </w:rPr>
        <w:fldChar w:fldCharType="separate"/>
      </w:r>
      <w:r>
        <w:rPr>
          <w:rFonts w:hint="eastAsia" w:ascii="宋体" w:hAnsi="宋体" w:cs="宋体"/>
          <w:color w:val="000000"/>
          <w:sz w:val="24"/>
          <w:highlight w:val="none"/>
        </w:rPr>
        <w:t>①</w:t>
      </w:r>
      <w:r>
        <w:rPr>
          <w:color w:val="000000"/>
          <w:sz w:val="24"/>
          <w:highlight w:val="none"/>
        </w:rPr>
        <w:fldChar w:fldCharType="end"/>
      </w:r>
      <w:r>
        <w:rPr>
          <w:color w:val="000000"/>
          <w:sz w:val="24"/>
          <w:highlight w:val="none"/>
        </w:rPr>
        <w:t>采用单因子标准指数法，其计算公式为：</w:t>
      </w:r>
    </w:p>
    <w:p>
      <w:pPr>
        <w:spacing w:line="360" w:lineRule="auto"/>
        <w:ind w:firstLine="1680" w:firstLineChars="700"/>
        <w:rPr>
          <w:bCs/>
          <w:color w:val="000000"/>
          <w:sz w:val="24"/>
          <w:highlight w:val="none"/>
        </w:rPr>
      </w:pPr>
      <w:r>
        <w:rPr>
          <w:bCs/>
          <w:color w:val="000000"/>
          <w:sz w:val="24"/>
          <w:highlight w:val="none"/>
        </w:rPr>
        <w:object>
          <v:shape id="_x0000_i1025" o:spt="75" type="#_x0000_t75" style="height:34.5pt;width:44.25pt;" o:ole="t" filled="f" o:preferrelative="t" stroked="f" coordsize="21600,21600">
            <v:path/>
            <v:fill on="f" focussize="0,0"/>
            <v:stroke on="f" joinstyle="miter"/>
            <v:imagedata r:id="rId53" o:title=""/>
            <o:lock v:ext="edit" aspectratio="t"/>
            <w10:wrap type="none"/>
            <w10:anchorlock/>
          </v:shape>
          <o:OLEObject Type="Embed" ProgID="Equation.3" ShapeID="_x0000_i1025" DrawAspect="Content" ObjectID="_1468075725" r:id="rId52">
            <o:LockedField>false</o:LockedField>
          </o:OLEObject>
        </w:object>
      </w:r>
    </w:p>
    <w:p>
      <w:pPr>
        <w:spacing w:line="360" w:lineRule="auto"/>
        <w:ind w:firstLine="480" w:firstLineChars="200"/>
        <w:jc w:val="left"/>
        <w:rPr>
          <w:bCs/>
          <w:color w:val="000000"/>
          <w:sz w:val="24"/>
          <w:highlight w:val="none"/>
        </w:rPr>
      </w:pPr>
      <w:r>
        <w:rPr>
          <w:bCs/>
          <w:color w:val="000000"/>
          <w:sz w:val="24"/>
          <w:highlight w:val="none"/>
        </w:rPr>
        <w:t>式中：P</w:t>
      </w:r>
      <w:r>
        <w:rPr>
          <w:bCs/>
          <w:color w:val="000000"/>
          <w:sz w:val="24"/>
          <w:highlight w:val="none"/>
          <w:vertAlign w:val="subscript"/>
        </w:rPr>
        <w:t>i</w:t>
      </w:r>
      <w:r>
        <w:rPr>
          <w:bCs/>
          <w:color w:val="000000"/>
          <w:sz w:val="24"/>
          <w:highlight w:val="none"/>
        </w:rPr>
        <w:t>—i评价因子标准指数；</w:t>
      </w:r>
    </w:p>
    <w:p>
      <w:pPr>
        <w:spacing w:line="360" w:lineRule="auto"/>
        <w:ind w:left="735" w:leftChars="350" w:firstLine="480" w:firstLineChars="200"/>
        <w:jc w:val="left"/>
        <w:rPr>
          <w:bCs/>
          <w:color w:val="000000"/>
          <w:sz w:val="24"/>
          <w:highlight w:val="none"/>
        </w:rPr>
      </w:pPr>
      <w:r>
        <w:rPr>
          <w:bCs/>
          <w:color w:val="000000"/>
          <w:sz w:val="24"/>
          <w:highlight w:val="none"/>
        </w:rPr>
        <w:t>C</w:t>
      </w:r>
      <w:r>
        <w:rPr>
          <w:bCs/>
          <w:color w:val="000000"/>
          <w:sz w:val="24"/>
          <w:highlight w:val="none"/>
          <w:vertAlign w:val="subscript"/>
        </w:rPr>
        <w:t>i</w:t>
      </w:r>
      <w:r>
        <w:rPr>
          <w:bCs/>
          <w:color w:val="000000"/>
          <w:sz w:val="24"/>
          <w:highlight w:val="none"/>
        </w:rPr>
        <w:t>—i评价因子监测浓度，mg/L；</w:t>
      </w:r>
    </w:p>
    <w:p>
      <w:pPr>
        <w:spacing w:line="360" w:lineRule="auto"/>
        <w:ind w:left="735" w:leftChars="350" w:firstLine="480" w:firstLineChars="200"/>
        <w:jc w:val="left"/>
        <w:rPr>
          <w:bCs/>
          <w:color w:val="000000"/>
          <w:sz w:val="24"/>
          <w:highlight w:val="none"/>
        </w:rPr>
      </w:pPr>
      <w:r>
        <w:rPr>
          <w:bCs/>
          <w:color w:val="000000"/>
          <w:sz w:val="24"/>
          <w:highlight w:val="none"/>
        </w:rPr>
        <w:t>C</w:t>
      </w:r>
      <w:r>
        <w:rPr>
          <w:bCs/>
          <w:color w:val="000000"/>
          <w:sz w:val="24"/>
          <w:highlight w:val="none"/>
          <w:vertAlign w:val="subscript"/>
        </w:rPr>
        <w:t>si</w:t>
      </w:r>
      <w:r>
        <w:rPr>
          <w:bCs/>
          <w:color w:val="000000"/>
          <w:sz w:val="24"/>
          <w:highlight w:val="none"/>
        </w:rPr>
        <w:t>—i评价因子标准浓度，mg/L。</w:t>
      </w:r>
    </w:p>
    <w:p>
      <w:pPr>
        <w:adjustRightInd w:val="0"/>
        <w:snapToGrid w:val="0"/>
        <w:spacing w:line="480" w:lineRule="exact"/>
        <w:ind w:firstLine="480" w:firstLineChars="200"/>
        <w:jc w:val="left"/>
        <w:rPr>
          <w:color w:val="000000"/>
          <w:sz w:val="24"/>
          <w:highlight w:val="none"/>
        </w:rPr>
      </w:pPr>
      <w:r>
        <w:rPr>
          <w:bCs/>
          <w:color w:val="000000"/>
          <w:sz w:val="24"/>
          <w:highlight w:val="none"/>
        </w:rPr>
        <w:fldChar w:fldCharType="begin"/>
      </w:r>
      <w:r>
        <w:rPr>
          <w:bCs/>
          <w:color w:val="000000"/>
          <w:sz w:val="24"/>
          <w:highlight w:val="none"/>
        </w:rPr>
        <w:instrText xml:space="preserve"> = 2 \* GB3 </w:instrText>
      </w:r>
      <w:r>
        <w:rPr>
          <w:bCs/>
          <w:color w:val="000000"/>
          <w:sz w:val="24"/>
          <w:highlight w:val="none"/>
        </w:rPr>
        <w:fldChar w:fldCharType="separate"/>
      </w:r>
      <w:r>
        <w:rPr>
          <w:rFonts w:hint="eastAsia" w:ascii="宋体" w:hAnsi="宋体" w:cs="宋体"/>
          <w:bCs/>
          <w:color w:val="000000"/>
          <w:sz w:val="24"/>
          <w:highlight w:val="none"/>
        </w:rPr>
        <w:t>②</w:t>
      </w:r>
      <w:r>
        <w:rPr>
          <w:bCs/>
          <w:color w:val="000000"/>
          <w:sz w:val="24"/>
          <w:highlight w:val="none"/>
        </w:rPr>
        <w:fldChar w:fldCharType="end"/>
      </w:r>
      <w:r>
        <w:rPr>
          <w:color w:val="000000"/>
          <w:sz w:val="24"/>
          <w:highlight w:val="none"/>
        </w:rPr>
        <w:t>对于评价标准为区间值的水质因子（如pH值），其标准指数计算公式：</w:t>
      </w:r>
    </w:p>
    <w:p>
      <w:pPr>
        <w:spacing w:line="360" w:lineRule="auto"/>
        <w:ind w:firstLine="1440" w:firstLineChars="600"/>
        <w:rPr>
          <w:color w:val="000000"/>
          <w:sz w:val="24"/>
          <w:highlight w:val="none"/>
        </w:rPr>
      </w:pPr>
      <w:r>
        <w:rPr>
          <w:color w:val="000000"/>
          <w:sz w:val="24"/>
          <w:highlight w:val="none"/>
        </w:rPr>
        <w:object>
          <v:shape id="_x0000_i1026" o:spt="75" type="#_x0000_t75" style="height:33.75pt;width:86.25pt;" o:ole="t" filled="f" o:preferrelative="t" stroked="f" coordsize="21600,21600">
            <v:path/>
            <v:fill on="f" focussize="0,0"/>
            <v:stroke on="f" joinstyle="miter"/>
            <v:imagedata r:id="rId55" o:title=""/>
            <o:lock v:ext="edit" aspectratio="t"/>
            <w10:wrap type="none"/>
            <w10:anchorlock/>
          </v:shape>
          <o:OLEObject Type="Embed" ProgID="Equation.3" ShapeID="_x0000_i1026" DrawAspect="Content" ObjectID="_1468075726" r:id="rId54">
            <o:LockedField>false</o:LockedField>
          </o:OLEObject>
        </w:object>
      </w:r>
      <w:r>
        <w:rPr>
          <w:color w:val="000000"/>
          <w:sz w:val="24"/>
          <w:highlight w:val="none"/>
        </w:rPr>
        <w:t xml:space="preserve">    </w:t>
      </w:r>
      <w:r>
        <w:rPr>
          <w:color w:val="000000"/>
          <w:sz w:val="24"/>
          <w:highlight w:val="none"/>
        </w:rPr>
        <w:object>
          <v:shape id="_x0000_i1027" o:spt="75" type="#_x0000_t75" style="height:18.75pt;width:51pt;" o:ole="t" filled="f" o:preferrelative="t" stroked="f" coordsize="21600,21600">
            <v:path/>
            <v:fill on="f" focussize="0,0"/>
            <v:stroke on="f" joinstyle="miter"/>
            <v:imagedata r:id="rId57" o:title=""/>
            <o:lock v:ext="edit" aspectratio="t"/>
            <w10:wrap type="none"/>
            <w10:anchorlock/>
          </v:shape>
          <o:OLEObject Type="Embed" ProgID="Equation.3" ShapeID="_x0000_i1027" DrawAspect="Content" ObjectID="_1468075727" r:id="rId56">
            <o:LockedField>false</o:LockedField>
          </o:OLEObject>
        </w:object>
      </w:r>
    </w:p>
    <w:p>
      <w:pPr>
        <w:spacing w:line="360" w:lineRule="auto"/>
        <w:ind w:firstLine="1440" w:firstLineChars="600"/>
        <w:rPr>
          <w:color w:val="000000"/>
          <w:sz w:val="24"/>
          <w:highlight w:val="none"/>
        </w:rPr>
      </w:pPr>
      <w:r>
        <w:rPr>
          <w:color w:val="000000"/>
          <w:sz w:val="24"/>
          <w:highlight w:val="none"/>
        </w:rPr>
        <w:object>
          <v:shape id="_x0000_i1028" o:spt="75" type="#_x0000_t75" style="height:33.75pt;width:86.25pt;" o:ole="t" filled="f" o:preferrelative="t" stroked="f" coordsize="21600,21600">
            <v:path/>
            <v:fill on="f" focussize="0,0"/>
            <v:stroke on="f" joinstyle="miter"/>
            <v:imagedata r:id="rId59" o:title=""/>
            <o:lock v:ext="edit" aspectratio="t"/>
            <w10:wrap type="none"/>
            <w10:anchorlock/>
          </v:shape>
          <o:OLEObject Type="Embed" ProgID="Equation.3" ShapeID="_x0000_i1028" DrawAspect="Content" ObjectID="_1468075728" r:id="rId58">
            <o:LockedField>false</o:LockedField>
          </o:OLEObject>
        </w:object>
      </w:r>
      <w:r>
        <w:rPr>
          <w:color w:val="000000"/>
          <w:sz w:val="24"/>
          <w:highlight w:val="none"/>
        </w:rPr>
        <w:t xml:space="preserve">    </w:t>
      </w:r>
      <w:r>
        <w:rPr>
          <w:color w:val="000000"/>
          <w:sz w:val="24"/>
          <w:highlight w:val="none"/>
        </w:rPr>
        <w:object>
          <v:shape id="_x0000_i1029" o:spt="75" type="#_x0000_t75" style="height:18.75pt;width:51pt;" o:ole="t" filled="f" o:preferrelative="t" stroked="f" coordsize="21600,21600">
            <v:path/>
            <v:fill on="f" focussize="0,0"/>
            <v:stroke on="f" joinstyle="miter"/>
            <v:imagedata r:id="rId61" o:title=""/>
            <o:lock v:ext="edit" aspectratio="t"/>
            <w10:wrap type="none"/>
            <w10:anchorlock/>
          </v:shape>
          <o:OLEObject Type="Embed" ProgID="Equation.3" ShapeID="_x0000_i1029" DrawAspect="Content" ObjectID="_1468075729" r:id="rId60">
            <o:LockedField>false</o:LockedField>
          </o:OLEObject>
        </w:object>
      </w:r>
    </w:p>
    <w:p>
      <w:pPr>
        <w:adjustRightInd w:val="0"/>
        <w:snapToGrid w:val="0"/>
        <w:spacing w:line="480" w:lineRule="exact"/>
        <w:ind w:firstLine="480" w:firstLineChars="200"/>
        <w:jc w:val="left"/>
        <w:rPr>
          <w:color w:val="000000"/>
          <w:sz w:val="24"/>
          <w:highlight w:val="none"/>
        </w:rPr>
      </w:pPr>
      <w:r>
        <w:rPr>
          <w:color w:val="000000"/>
          <w:sz w:val="24"/>
          <w:highlight w:val="none"/>
        </w:rPr>
        <w:t>式中：</w:t>
      </w:r>
      <w:r>
        <w:rPr>
          <w:i/>
          <w:color w:val="000000"/>
          <w:sz w:val="24"/>
          <w:highlight w:val="none"/>
        </w:rPr>
        <w:t>P</w:t>
      </w:r>
      <w:r>
        <w:rPr>
          <w:i/>
          <w:color w:val="000000"/>
          <w:sz w:val="24"/>
          <w:highlight w:val="none"/>
          <w:vertAlign w:val="subscript"/>
        </w:rPr>
        <w:t>pH</w:t>
      </w:r>
      <w:r>
        <w:rPr>
          <w:color w:val="000000"/>
          <w:sz w:val="24"/>
          <w:highlight w:val="none"/>
        </w:rPr>
        <w:t xml:space="preserve"> —</w:t>
      </w:r>
      <w:r>
        <w:rPr>
          <w:i/>
          <w:color w:val="000000"/>
          <w:sz w:val="24"/>
          <w:highlight w:val="none"/>
        </w:rPr>
        <w:t>pH</w:t>
      </w:r>
      <w:r>
        <w:rPr>
          <w:color w:val="000000"/>
          <w:sz w:val="24"/>
          <w:highlight w:val="none"/>
        </w:rPr>
        <w:t>的标准指数，无量纲；</w:t>
      </w:r>
    </w:p>
    <w:p>
      <w:pPr>
        <w:adjustRightInd w:val="0"/>
        <w:snapToGrid w:val="0"/>
        <w:spacing w:line="480" w:lineRule="exact"/>
        <w:ind w:firstLine="960" w:firstLineChars="400"/>
        <w:jc w:val="left"/>
        <w:rPr>
          <w:color w:val="000000"/>
          <w:sz w:val="24"/>
          <w:highlight w:val="none"/>
        </w:rPr>
      </w:pPr>
      <w:r>
        <w:rPr>
          <w:i/>
          <w:color w:val="000000"/>
          <w:sz w:val="24"/>
          <w:highlight w:val="none"/>
        </w:rPr>
        <w:t>pH</w:t>
      </w:r>
      <w:r>
        <w:rPr>
          <w:color w:val="000000"/>
          <w:sz w:val="24"/>
          <w:highlight w:val="none"/>
        </w:rPr>
        <w:t xml:space="preserve"> —</w:t>
      </w:r>
      <w:r>
        <w:rPr>
          <w:i/>
          <w:color w:val="000000"/>
          <w:sz w:val="24"/>
          <w:highlight w:val="none"/>
        </w:rPr>
        <w:t>pH</w:t>
      </w:r>
      <w:r>
        <w:rPr>
          <w:color w:val="000000"/>
          <w:sz w:val="24"/>
          <w:highlight w:val="none"/>
        </w:rPr>
        <w:t>监测值；</w:t>
      </w:r>
    </w:p>
    <w:p>
      <w:pPr>
        <w:adjustRightInd w:val="0"/>
        <w:snapToGrid w:val="0"/>
        <w:spacing w:line="480" w:lineRule="exact"/>
        <w:ind w:firstLine="960" w:firstLineChars="400"/>
        <w:jc w:val="left"/>
        <w:rPr>
          <w:color w:val="000000"/>
          <w:sz w:val="24"/>
          <w:highlight w:val="none"/>
        </w:rPr>
      </w:pPr>
      <w:r>
        <w:rPr>
          <w:i/>
          <w:color w:val="000000"/>
          <w:sz w:val="24"/>
          <w:highlight w:val="none"/>
        </w:rPr>
        <w:t xml:space="preserve">pH </w:t>
      </w:r>
      <w:r>
        <w:rPr>
          <w:i/>
          <w:color w:val="000000"/>
          <w:sz w:val="24"/>
          <w:highlight w:val="none"/>
          <w:vertAlign w:val="subscript"/>
        </w:rPr>
        <w:t>su</w:t>
      </w:r>
      <w:r>
        <w:rPr>
          <w:color w:val="000000"/>
          <w:sz w:val="24"/>
          <w:highlight w:val="none"/>
        </w:rPr>
        <w:t xml:space="preserve"> —标准中</w:t>
      </w:r>
      <w:r>
        <w:rPr>
          <w:i/>
          <w:color w:val="000000"/>
          <w:sz w:val="24"/>
          <w:highlight w:val="none"/>
        </w:rPr>
        <w:t>pH</w:t>
      </w:r>
      <w:r>
        <w:rPr>
          <w:color w:val="000000"/>
          <w:sz w:val="24"/>
          <w:highlight w:val="none"/>
        </w:rPr>
        <w:t>的上限值；</w:t>
      </w:r>
    </w:p>
    <w:p>
      <w:pPr>
        <w:adjustRightInd w:val="0"/>
        <w:snapToGrid w:val="0"/>
        <w:spacing w:line="480" w:lineRule="exact"/>
        <w:ind w:firstLine="960" w:firstLineChars="400"/>
        <w:jc w:val="left"/>
        <w:rPr>
          <w:color w:val="000000"/>
          <w:sz w:val="24"/>
          <w:highlight w:val="none"/>
        </w:rPr>
      </w:pPr>
      <w:r>
        <w:rPr>
          <w:i/>
          <w:color w:val="000000"/>
          <w:sz w:val="24"/>
          <w:highlight w:val="none"/>
        </w:rPr>
        <w:t xml:space="preserve">pH </w:t>
      </w:r>
      <w:r>
        <w:rPr>
          <w:i/>
          <w:color w:val="000000"/>
          <w:sz w:val="24"/>
          <w:highlight w:val="none"/>
          <w:vertAlign w:val="subscript"/>
        </w:rPr>
        <w:t>sd</w:t>
      </w:r>
      <w:r>
        <w:rPr>
          <w:color w:val="000000"/>
          <w:sz w:val="24"/>
          <w:highlight w:val="none"/>
        </w:rPr>
        <w:t xml:space="preserve"> —标准中</w:t>
      </w:r>
      <w:r>
        <w:rPr>
          <w:i/>
          <w:color w:val="000000"/>
          <w:sz w:val="24"/>
          <w:highlight w:val="none"/>
        </w:rPr>
        <w:t xml:space="preserve"> pH</w:t>
      </w:r>
      <w:r>
        <w:rPr>
          <w:color w:val="000000"/>
          <w:sz w:val="24"/>
          <w:highlight w:val="none"/>
        </w:rPr>
        <w:t>的下限值。</w:t>
      </w:r>
    </w:p>
    <w:p>
      <w:pPr>
        <w:adjustRightInd w:val="0"/>
        <w:snapToGrid w:val="0"/>
        <w:spacing w:line="480" w:lineRule="exact"/>
        <w:ind w:firstLine="480" w:firstLineChars="200"/>
        <w:jc w:val="left"/>
        <w:rPr>
          <w:color w:val="000000"/>
          <w:szCs w:val="21"/>
          <w:highlight w:val="none"/>
        </w:rPr>
      </w:pPr>
      <w:r>
        <w:rPr>
          <w:color w:val="000000"/>
          <w:sz w:val="24"/>
          <w:highlight w:val="none"/>
        </w:rPr>
        <w:t>标准指数</w:t>
      </w:r>
      <w:r>
        <w:rPr>
          <w:i/>
          <w:color w:val="000000"/>
          <w:sz w:val="24"/>
          <w:highlight w:val="none"/>
        </w:rPr>
        <w:t>P</w:t>
      </w:r>
      <w:r>
        <w:rPr>
          <w:color w:val="000000"/>
          <w:sz w:val="24"/>
          <w:highlight w:val="none"/>
        </w:rPr>
        <w:t>&gt;1时，即表明该水质因子已经超过了规定的水质标准，且指数越大</w:t>
      </w:r>
      <w:r>
        <w:rPr>
          <w:color w:val="000000"/>
          <w:szCs w:val="21"/>
          <w:highlight w:val="none"/>
        </w:rPr>
        <w:t>，超标越严重。</w:t>
      </w:r>
    </w:p>
    <w:p>
      <w:pPr>
        <w:spacing w:line="480" w:lineRule="exact"/>
        <w:ind w:firstLine="200"/>
        <w:rPr>
          <w:szCs w:val="21"/>
          <w:highlight w:val="none"/>
        </w:rPr>
      </w:pPr>
      <w:r>
        <w:rPr>
          <w:szCs w:val="21"/>
          <w:highlight w:val="none"/>
        </w:rPr>
        <w:t>对溶解氧</w:t>
      </w:r>
      <w:r>
        <w:rPr>
          <w:rFonts w:hint="eastAsia"/>
          <w:szCs w:val="21"/>
          <w:highlight w:val="none"/>
        </w:rPr>
        <w:t>（</w:t>
      </w:r>
      <w:r>
        <w:rPr>
          <w:szCs w:val="21"/>
          <w:highlight w:val="none"/>
        </w:rPr>
        <w:t>DO</w:t>
      </w:r>
      <w:r>
        <w:rPr>
          <w:rFonts w:hint="eastAsia"/>
          <w:szCs w:val="21"/>
          <w:highlight w:val="none"/>
        </w:rPr>
        <w:t>）</w:t>
      </w:r>
      <w:r>
        <w:rPr>
          <w:szCs w:val="21"/>
          <w:highlight w:val="none"/>
        </w:rPr>
        <w:t>的标准指数计算公式为：</w:t>
      </w:r>
    </w:p>
    <w:p>
      <w:pPr>
        <w:jc w:val="center"/>
        <w:rPr>
          <w:szCs w:val="28"/>
          <w:highlight w:val="none"/>
        </w:rPr>
      </w:pPr>
      <w:r>
        <w:rPr>
          <w:szCs w:val="28"/>
          <w:highlight w:val="none"/>
        </w:rPr>
        <w:drawing>
          <wp:inline distT="0" distB="0" distL="0" distR="0">
            <wp:extent cx="1543050" cy="390525"/>
            <wp:effectExtent l="1905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62" cstate="print"/>
                    <a:srcRect/>
                    <a:stretch>
                      <a:fillRect/>
                    </a:stretch>
                  </pic:blipFill>
                  <pic:spPr>
                    <a:xfrm>
                      <a:off x="0" y="0"/>
                      <a:ext cx="1543050" cy="390525"/>
                    </a:xfrm>
                    <a:prstGeom prst="rect">
                      <a:avLst/>
                    </a:prstGeom>
                    <a:noFill/>
                    <a:ln w="9525">
                      <a:noFill/>
                      <a:miter lim="800000"/>
                      <a:headEnd/>
                      <a:tailEnd/>
                    </a:ln>
                  </pic:spPr>
                </pic:pic>
              </a:graphicData>
            </a:graphic>
          </wp:inline>
        </w:drawing>
      </w:r>
      <w:r>
        <w:rPr>
          <w:szCs w:val="28"/>
          <w:highlight w:val="none"/>
        </w:rPr>
        <w:t>；</w:t>
      </w:r>
    </w:p>
    <w:p>
      <w:pPr>
        <w:jc w:val="center"/>
        <w:rPr>
          <w:szCs w:val="28"/>
          <w:highlight w:val="none"/>
        </w:rPr>
      </w:pPr>
      <w:r>
        <w:rPr>
          <w:szCs w:val="28"/>
          <w:highlight w:val="none"/>
        </w:rPr>
        <w:drawing>
          <wp:inline distT="0" distB="0" distL="0" distR="0">
            <wp:extent cx="2085975" cy="400050"/>
            <wp:effectExtent l="19050" t="0" r="9525" b="0"/>
            <wp:docPr id="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pic:cNvPicPr>
                      <a:picLocks noChangeAspect="1" noChangeArrowheads="1"/>
                    </pic:cNvPicPr>
                  </pic:nvPicPr>
                  <pic:blipFill>
                    <a:blip r:embed="rId63" cstate="print"/>
                    <a:srcRect/>
                    <a:stretch>
                      <a:fillRect/>
                    </a:stretch>
                  </pic:blipFill>
                  <pic:spPr>
                    <a:xfrm>
                      <a:off x="0" y="0"/>
                      <a:ext cx="2085975" cy="400050"/>
                    </a:xfrm>
                    <a:prstGeom prst="rect">
                      <a:avLst/>
                    </a:prstGeom>
                    <a:noFill/>
                    <a:ln w="9525">
                      <a:noFill/>
                      <a:miter lim="800000"/>
                      <a:headEnd/>
                      <a:tailEnd/>
                    </a:ln>
                  </pic:spPr>
                </pic:pic>
              </a:graphicData>
            </a:graphic>
          </wp:inline>
        </w:drawing>
      </w:r>
    </w:p>
    <w:p>
      <w:pPr>
        <w:spacing w:line="480" w:lineRule="exact"/>
        <w:ind w:firstLine="482"/>
        <w:rPr>
          <w:sz w:val="24"/>
          <w:highlight w:val="none"/>
        </w:rPr>
      </w:pPr>
      <w:r>
        <w:rPr>
          <w:sz w:val="24"/>
          <w:highlight w:val="none"/>
        </w:rPr>
        <w:t>式中：</w:t>
      </w:r>
      <w:r>
        <w:rPr>
          <w:rFonts w:hint="eastAsia"/>
          <w:sz w:val="24"/>
          <w:highlight w:val="none"/>
        </w:rPr>
        <w:t>S</w:t>
      </w:r>
      <w:r>
        <w:rPr>
          <w:rFonts w:hint="eastAsia"/>
          <w:sz w:val="24"/>
          <w:highlight w:val="none"/>
          <w:vertAlign w:val="subscript"/>
        </w:rPr>
        <w:t>DO，j</w:t>
      </w:r>
      <w:r>
        <w:rPr>
          <w:rFonts w:hint="eastAsia"/>
          <w:sz w:val="24"/>
          <w:highlight w:val="none"/>
        </w:rPr>
        <w:t>－溶解氧标准指数，大于1表明该水质因子超标；</w:t>
      </w:r>
    </w:p>
    <w:p>
      <w:pPr>
        <w:spacing w:line="480" w:lineRule="exact"/>
        <w:ind w:firstLine="482"/>
        <w:rPr>
          <w:sz w:val="24"/>
          <w:highlight w:val="none"/>
        </w:rPr>
      </w:pPr>
      <w:r>
        <w:rPr>
          <w:rFonts w:hint="eastAsia"/>
          <w:sz w:val="24"/>
          <w:highlight w:val="none"/>
        </w:rPr>
        <w:t>DO</w:t>
      </w:r>
      <w:r>
        <w:rPr>
          <w:rFonts w:hint="eastAsia"/>
          <w:sz w:val="24"/>
          <w:highlight w:val="none"/>
          <w:vertAlign w:val="subscript"/>
        </w:rPr>
        <w:t>j</w:t>
      </w:r>
      <w:r>
        <w:rPr>
          <w:rFonts w:hint="eastAsia"/>
          <w:sz w:val="24"/>
          <w:highlight w:val="none"/>
        </w:rPr>
        <w:t>－溶解氧在j点的实测统计代表值，mg/L；</w:t>
      </w:r>
    </w:p>
    <w:p>
      <w:pPr>
        <w:spacing w:line="480" w:lineRule="exact"/>
        <w:ind w:firstLine="482"/>
        <w:rPr>
          <w:sz w:val="24"/>
          <w:highlight w:val="none"/>
        </w:rPr>
      </w:pPr>
      <w:r>
        <w:rPr>
          <w:rFonts w:hint="eastAsia"/>
          <w:sz w:val="24"/>
          <w:highlight w:val="none"/>
        </w:rPr>
        <w:t>DO</w:t>
      </w:r>
      <w:r>
        <w:rPr>
          <w:rFonts w:hint="eastAsia"/>
          <w:sz w:val="24"/>
          <w:highlight w:val="none"/>
          <w:vertAlign w:val="subscript"/>
        </w:rPr>
        <w:t>s</w:t>
      </w:r>
      <w:r>
        <w:rPr>
          <w:rFonts w:hint="eastAsia"/>
          <w:sz w:val="24"/>
          <w:highlight w:val="none"/>
        </w:rPr>
        <w:t>－溶解氧的水质评价标准限值，mg/L；</w:t>
      </w:r>
    </w:p>
    <w:p>
      <w:pPr>
        <w:spacing w:line="480" w:lineRule="exact"/>
        <w:ind w:firstLine="482"/>
        <w:rPr>
          <w:sz w:val="24"/>
          <w:highlight w:val="none"/>
        </w:rPr>
      </w:pPr>
      <w:r>
        <w:rPr>
          <w:rFonts w:hint="eastAsia"/>
          <w:sz w:val="24"/>
          <w:highlight w:val="none"/>
        </w:rPr>
        <w:t>DO</w:t>
      </w:r>
      <w:r>
        <w:rPr>
          <w:rFonts w:hint="eastAsia"/>
          <w:sz w:val="24"/>
          <w:highlight w:val="none"/>
          <w:vertAlign w:val="subscript"/>
        </w:rPr>
        <w:t>f</w:t>
      </w:r>
      <w:r>
        <w:rPr>
          <w:rFonts w:hint="eastAsia"/>
          <w:sz w:val="24"/>
          <w:highlight w:val="none"/>
        </w:rPr>
        <w:t>－饱和溶解氧浓度，mg/L，对于河流，DO</w:t>
      </w:r>
      <w:r>
        <w:rPr>
          <w:rFonts w:hint="eastAsia"/>
          <w:sz w:val="24"/>
          <w:highlight w:val="none"/>
          <w:vertAlign w:val="subscript"/>
        </w:rPr>
        <w:t>f</w:t>
      </w:r>
      <w:r>
        <w:rPr>
          <w:rFonts w:hint="eastAsia"/>
          <w:sz w:val="24"/>
          <w:highlight w:val="none"/>
        </w:rPr>
        <w:t>=468/（31.6+T）；对于盐度比较高的湖泊、水库及入海河口、近岸海域，DO</w:t>
      </w:r>
      <w:r>
        <w:rPr>
          <w:rFonts w:hint="eastAsia"/>
          <w:sz w:val="24"/>
          <w:highlight w:val="none"/>
          <w:vertAlign w:val="subscript"/>
        </w:rPr>
        <w:t>f</w:t>
      </w:r>
      <w:r>
        <w:rPr>
          <w:rFonts w:hint="eastAsia"/>
          <w:sz w:val="24"/>
          <w:highlight w:val="none"/>
        </w:rPr>
        <w:t>=（491-2.65S）/（33.5+T）。</w:t>
      </w:r>
    </w:p>
    <w:p>
      <w:pPr>
        <w:spacing w:line="480" w:lineRule="exact"/>
        <w:ind w:firstLine="480" w:firstLineChars="200"/>
        <w:rPr>
          <w:snapToGrid w:val="0"/>
          <w:kern w:val="0"/>
          <w:sz w:val="24"/>
          <w:highlight w:val="none"/>
        </w:rPr>
      </w:pPr>
      <w:r>
        <w:rPr>
          <w:rFonts w:hint="eastAsia"/>
          <w:snapToGrid w:val="0"/>
          <w:kern w:val="0"/>
          <w:sz w:val="24"/>
          <w:highlight w:val="none"/>
        </w:rPr>
        <w:t>（5）评价标准</w:t>
      </w:r>
    </w:p>
    <w:p>
      <w:pPr>
        <w:spacing w:line="480" w:lineRule="exact"/>
        <w:ind w:firstLine="480" w:firstLineChars="200"/>
        <w:rPr>
          <w:snapToGrid w:val="0"/>
          <w:kern w:val="0"/>
          <w:sz w:val="24"/>
          <w:highlight w:val="none"/>
        </w:rPr>
      </w:pPr>
      <w:r>
        <w:rPr>
          <w:rFonts w:hint="eastAsia"/>
          <w:snapToGrid w:val="0"/>
          <w:kern w:val="0"/>
          <w:sz w:val="24"/>
          <w:highlight w:val="none"/>
        </w:rPr>
        <w:t>执行《地表水环境质量标准》（GB3838-2002）Ⅲ类标准。</w:t>
      </w:r>
    </w:p>
    <w:p>
      <w:pPr>
        <w:spacing w:line="480" w:lineRule="exact"/>
        <w:ind w:firstLine="480" w:firstLineChars="200"/>
        <w:rPr>
          <w:sz w:val="24"/>
          <w:highlight w:val="none"/>
        </w:rPr>
      </w:pPr>
      <w:r>
        <w:rPr>
          <w:rFonts w:hint="eastAsia"/>
          <w:sz w:val="24"/>
          <w:highlight w:val="none"/>
        </w:rPr>
        <w:t>（6）</w:t>
      </w:r>
      <w:r>
        <w:rPr>
          <w:sz w:val="24"/>
          <w:highlight w:val="none"/>
        </w:rPr>
        <w:t>各监测因子的监测及评价结果</w:t>
      </w:r>
    </w:p>
    <w:p>
      <w:pPr>
        <w:spacing w:line="480" w:lineRule="exact"/>
        <w:ind w:firstLine="480" w:firstLineChars="200"/>
        <w:rPr>
          <w:sz w:val="24"/>
          <w:highlight w:val="none"/>
        </w:rPr>
      </w:pPr>
      <w:r>
        <w:rPr>
          <w:sz w:val="24"/>
          <w:highlight w:val="none"/>
        </w:rPr>
        <w:t>各监测因子的监测及评价结果见表</w:t>
      </w:r>
      <w:r>
        <w:rPr>
          <w:rFonts w:hint="eastAsia"/>
          <w:sz w:val="24"/>
          <w:highlight w:val="none"/>
        </w:rPr>
        <w:t>4</w:t>
      </w:r>
      <w:r>
        <w:rPr>
          <w:sz w:val="24"/>
          <w:highlight w:val="none"/>
        </w:rPr>
        <w:t>.</w:t>
      </w:r>
      <w:r>
        <w:rPr>
          <w:rFonts w:hint="eastAsia"/>
          <w:sz w:val="24"/>
          <w:highlight w:val="none"/>
        </w:rPr>
        <w:t>4</w:t>
      </w:r>
      <w:r>
        <w:rPr>
          <w:sz w:val="24"/>
          <w:highlight w:val="none"/>
        </w:rPr>
        <w:t>-</w:t>
      </w:r>
      <w:r>
        <w:rPr>
          <w:rFonts w:hint="eastAsia"/>
          <w:sz w:val="24"/>
          <w:highlight w:val="none"/>
          <w:lang w:val="en-US" w:eastAsia="zh-CN"/>
        </w:rPr>
        <w:t>5、</w:t>
      </w:r>
      <w:r>
        <w:rPr>
          <w:sz w:val="24"/>
          <w:highlight w:val="none"/>
        </w:rPr>
        <w:t>表</w:t>
      </w:r>
      <w:r>
        <w:rPr>
          <w:rFonts w:hint="eastAsia"/>
          <w:sz w:val="24"/>
          <w:highlight w:val="none"/>
        </w:rPr>
        <w:t>4.4</w:t>
      </w:r>
      <w:r>
        <w:rPr>
          <w:sz w:val="24"/>
          <w:highlight w:val="none"/>
        </w:rPr>
        <w:t>-</w:t>
      </w:r>
      <w:r>
        <w:rPr>
          <w:rFonts w:hint="eastAsia"/>
          <w:sz w:val="24"/>
          <w:highlight w:val="none"/>
          <w:lang w:val="en-US" w:eastAsia="zh-CN"/>
        </w:rPr>
        <w:t>6</w:t>
      </w:r>
      <w:r>
        <w:rPr>
          <w:sz w:val="24"/>
          <w:highlight w:val="none"/>
        </w:rPr>
        <w:t>。</w:t>
      </w:r>
    </w:p>
    <w:p>
      <w:pPr>
        <w:autoSpaceDE w:val="0"/>
        <w:autoSpaceDN w:val="0"/>
        <w:adjustRightInd w:val="0"/>
        <w:spacing w:line="480" w:lineRule="exact"/>
        <w:ind w:firstLine="2168" w:firstLineChars="900"/>
        <w:rPr>
          <w:b/>
          <w:color w:val="0000FF"/>
          <w:sz w:val="24"/>
          <w:highlight w:val="none"/>
        </w:rPr>
      </w:pPr>
    </w:p>
    <w:p>
      <w:pPr>
        <w:autoSpaceDE w:val="0"/>
        <w:autoSpaceDN w:val="0"/>
        <w:adjustRightInd w:val="0"/>
        <w:spacing w:line="480" w:lineRule="exact"/>
        <w:ind w:firstLine="2168" w:firstLineChars="900"/>
        <w:rPr>
          <w:b/>
          <w:color w:val="0000FF"/>
          <w:sz w:val="24"/>
          <w:highlight w:val="none"/>
        </w:rPr>
      </w:pPr>
    </w:p>
    <w:p>
      <w:pPr>
        <w:autoSpaceDE w:val="0"/>
        <w:autoSpaceDN w:val="0"/>
        <w:adjustRightInd w:val="0"/>
        <w:spacing w:line="480" w:lineRule="exact"/>
        <w:ind w:firstLine="2168" w:firstLineChars="900"/>
        <w:rPr>
          <w:b/>
          <w:color w:val="0000FF"/>
          <w:sz w:val="24"/>
          <w:highlight w:val="none"/>
        </w:rPr>
      </w:pPr>
    </w:p>
    <w:p>
      <w:pPr>
        <w:autoSpaceDE w:val="0"/>
        <w:autoSpaceDN w:val="0"/>
        <w:adjustRightInd w:val="0"/>
        <w:spacing w:line="480" w:lineRule="exact"/>
        <w:ind w:firstLine="2168" w:firstLineChars="900"/>
        <w:rPr>
          <w:rFonts w:hint="eastAsia" w:eastAsia="宋体"/>
          <w:b/>
          <w:color w:val="auto"/>
          <w:sz w:val="24"/>
          <w:highlight w:val="none"/>
          <w:lang w:eastAsia="zh-CN"/>
        </w:rPr>
      </w:pPr>
      <w:r>
        <w:rPr>
          <w:b/>
          <w:color w:val="auto"/>
          <w:sz w:val="24"/>
          <w:highlight w:val="none"/>
        </w:rPr>
        <w:t>表</w:t>
      </w:r>
      <w:r>
        <w:rPr>
          <w:rFonts w:hint="eastAsia"/>
          <w:b/>
          <w:color w:val="auto"/>
          <w:sz w:val="24"/>
          <w:highlight w:val="none"/>
        </w:rPr>
        <w:t>4.4</w:t>
      </w:r>
      <w:r>
        <w:rPr>
          <w:b/>
          <w:color w:val="auto"/>
          <w:sz w:val="24"/>
          <w:highlight w:val="none"/>
        </w:rPr>
        <w:t>-</w:t>
      </w:r>
      <w:r>
        <w:rPr>
          <w:rFonts w:hint="eastAsia"/>
          <w:b/>
          <w:color w:val="auto"/>
          <w:sz w:val="24"/>
          <w:highlight w:val="none"/>
          <w:lang w:val="en-US" w:eastAsia="zh-CN"/>
        </w:rPr>
        <w:t>5</w:t>
      </w:r>
      <w:r>
        <w:rPr>
          <w:b/>
          <w:color w:val="auto"/>
          <w:sz w:val="24"/>
          <w:highlight w:val="none"/>
        </w:rPr>
        <w:t xml:space="preserve">  监测因子的监测结果</w:t>
      </w:r>
      <w:r>
        <w:rPr>
          <w:rFonts w:hint="eastAsia"/>
          <w:b/>
          <w:color w:val="auto"/>
          <w:sz w:val="24"/>
          <w:highlight w:val="none"/>
          <w:lang w:eastAsia="zh-CN"/>
        </w:rPr>
        <w:t>一览表</w:t>
      </w:r>
    </w:p>
    <w:tbl>
      <w:tblPr>
        <w:tblStyle w:val="51"/>
        <w:tblW w:w="8239"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
      <w:tblGrid>
        <w:gridCol w:w="814"/>
        <w:gridCol w:w="765"/>
        <w:gridCol w:w="740"/>
        <w:gridCol w:w="740"/>
        <w:gridCol w:w="740"/>
        <w:gridCol w:w="740"/>
        <w:gridCol w:w="740"/>
        <w:gridCol w:w="740"/>
        <w:gridCol w:w="740"/>
        <w:gridCol w:w="740"/>
        <w:gridCol w:w="740"/>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93" w:hRule="atLeast"/>
          <w:jc w:val="center"/>
        </w:trPr>
        <w:tc>
          <w:tcPr>
            <w:tcW w:w="814" w:type="dxa"/>
            <w:vMerge w:val="restart"/>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项目</w:t>
            </w:r>
          </w:p>
        </w:tc>
        <w:tc>
          <w:tcPr>
            <w:tcW w:w="765" w:type="dxa"/>
            <w:vMerge w:val="restart"/>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eastAsia="zh-CN"/>
              </w:rPr>
              <w:t>单位</w:t>
            </w:r>
          </w:p>
        </w:tc>
        <w:tc>
          <w:tcPr>
            <w:tcW w:w="2220" w:type="dxa"/>
            <w:gridSpan w:val="3"/>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2023.8.3</w:t>
            </w:r>
          </w:p>
        </w:tc>
        <w:tc>
          <w:tcPr>
            <w:tcW w:w="2220" w:type="dxa"/>
            <w:gridSpan w:val="3"/>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2023.8.4</w:t>
            </w:r>
          </w:p>
        </w:tc>
        <w:tc>
          <w:tcPr>
            <w:tcW w:w="2220" w:type="dxa"/>
            <w:gridSpan w:val="3"/>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2023.8.5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93" w:hRule="atLeast"/>
          <w:jc w:val="center"/>
        </w:trPr>
        <w:tc>
          <w:tcPr>
            <w:tcW w:w="814" w:type="dxa"/>
            <w:vMerge w:val="continue"/>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default" w:eastAsiaTheme="minorEastAsia"/>
                <w:color w:val="auto"/>
                <w:kern w:val="0"/>
                <w:sz w:val="18"/>
                <w:szCs w:val="18"/>
                <w:highlight w:val="none"/>
                <w:lang w:val="en-US" w:eastAsia="zh-CN"/>
              </w:rPr>
            </w:pPr>
          </w:p>
        </w:tc>
        <w:tc>
          <w:tcPr>
            <w:tcW w:w="765" w:type="dxa"/>
            <w:vMerge w:val="continue"/>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eastAsiaTheme="minorEastAsia"/>
                <w:color w:val="auto"/>
                <w:kern w:val="0"/>
                <w:sz w:val="18"/>
                <w:szCs w:val="18"/>
                <w:highlight w:val="none"/>
                <w:lang w:eastAsia="zh-CN"/>
              </w:rPr>
            </w:pPr>
          </w:p>
        </w:tc>
        <w:tc>
          <w:tcPr>
            <w:tcW w:w="740" w:type="dxa"/>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default" w:eastAsiaTheme="minorEastAsia"/>
                <w:color w:val="auto"/>
                <w:kern w:val="0"/>
                <w:sz w:val="18"/>
                <w:szCs w:val="18"/>
                <w:highlight w:val="none"/>
                <w:lang w:val="en-US" w:eastAsia="zh-CN"/>
              </w:rPr>
            </w:pPr>
            <w:r>
              <w:rPr>
                <w:rFonts w:hint="default" w:eastAsiaTheme="minorEastAsia"/>
                <w:color w:val="auto"/>
                <w:kern w:val="0"/>
                <w:sz w:val="18"/>
                <w:szCs w:val="18"/>
                <w:highlight w:val="none"/>
                <w:lang w:val="en-US" w:eastAsia="zh-CN"/>
              </w:rPr>
              <w:t>W1：黎河橡胶坝上</w:t>
            </w:r>
          </w:p>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default" w:eastAsiaTheme="minorEastAsia"/>
                <w:color w:val="auto"/>
                <w:kern w:val="0"/>
                <w:sz w:val="18"/>
                <w:szCs w:val="18"/>
                <w:highlight w:val="none"/>
                <w:lang w:val="en-US" w:eastAsia="zh-CN"/>
              </w:rPr>
            </w:pPr>
            <w:r>
              <w:rPr>
                <w:rFonts w:hint="default" w:eastAsiaTheme="minorEastAsia"/>
                <w:color w:val="auto"/>
                <w:kern w:val="0"/>
                <w:sz w:val="18"/>
                <w:szCs w:val="18"/>
                <w:highlight w:val="none"/>
                <w:lang w:val="en-US" w:eastAsia="zh-CN"/>
              </w:rPr>
              <w:t>游100m</w:t>
            </w:r>
          </w:p>
        </w:tc>
        <w:tc>
          <w:tcPr>
            <w:tcW w:w="740" w:type="dxa"/>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eastAsia="zh-CN"/>
              </w:rPr>
              <w:t>W2：水电站下游50m</w:t>
            </w:r>
          </w:p>
        </w:tc>
        <w:tc>
          <w:tcPr>
            <w:tcW w:w="740" w:type="dxa"/>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default" w:eastAsiaTheme="minorEastAsia"/>
                <w:color w:val="auto"/>
                <w:kern w:val="0"/>
                <w:sz w:val="18"/>
                <w:szCs w:val="18"/>
                <w:highlight w:val="none"/>
                <w:lang w:val="en-US" w:eastAsia="zh-CN"/>
              </w:rPr>
            </w:pPr>
            <w:r>
              <w:rPr>
                <w:rFonts w:hint="default" w:eastAsiaTheme="minorEastAsia"/>
                <w:color w:val="auto"/>
                <w:kern w:val="0"/>
                <w:sz w:val="18"/>
                <w:szCs w:val="18"/>
                <w:highlight w:val="none"/>
                <w:lang w:val="en-US" w:eastAsia="zh-CN"/>
              </w:rPr>
              <w:t>W3：尾水渠出口下</w:t>
            </w:r>
          </w:p>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default" w:eastAsiaTheme="minorEastAsia"/>
                <w:color w:val="auto"/>
                <w:kern w:val="0"/>
                <w:sz w:val="18"/>
                <w:szCs w:val="18"/>
                <w:highlight w:val="none"/>
                <w:lang w:val="en-US" w:eastAsia="zh-CN"/>
              </w:rPr>
            </w:pPr>
            <w:r>
              <w:rPr>
                <w:rFonts w:hint="default" w:eastAsiaTheme="minorEastAsia"/>
                <w:color w:val="auto"/>
                <w:kern w:val="0"/>
                <w:sz w:val="18"/>
                <w:szCs w:val="18"/>
                <w:highlight w:val="none"/>
                <w:lang w:val="en-US" w:eastAsia="zh-CN"/>
              </w:rPr>
              <w:t>游900m</w:t>
            </w:r>
          </w:p>
        </w:tc>
        <w:tc>
          <w:tcPr>
            <w:tcW w:w="740" w:type="dxa"/>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default" w:eastAsiaTheme="minorEastAsia"/>
                <w:color w:val="auto"/>
                <w:kern w:val="0"/>
                <w:sz w:val="18"/>
                <w:szCs w:val="18"/>
                <w:highlight w:val="none"/>
                <w:lang w:val="en-US" w:eastAsia="zh-CN"/>
              </w:rPr>
            </w:pPr>
            <w:r>
              <w:rPr>
                <w:rFonts w:hint="default" w:eastAsiaTheme="minorEastAsia"/>
                <w:color w:val="auto"/>
                <w:kern w:val="0"/>
                <w:sz w:val="18"/>
                <w:szCs w:val="18"/>
                <w:highlight w:val="none"/>
                <w:lang w:val="en-US" w:eastAsia="zh-CN"/>
              </w:rPr>
              <w:t>W1：黎河橡胶坝上</w:t>
            </w:r>
          </w:p>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default" w:eastAsiaTheme="minorEastAsia"/>
                <w:color w:val="auto"/>
                <w:kern w:val="0"/>
                <w:sz w:val="18"/>
                <w:szCs w:val="18"/>
                <w:highlight w:val="none"/>
                <w:lang w:val="en-US" w:eastAsia="zh-CN"/>
              </w:rPr>
              <w:t>游100m</w:t>
            </w:r>
          </w:p>
        </w:tc>
        <w:tc>
          <w:tcPr>
            <w:tcW w:w="740" w:type="dxa"/>
            <w:tcBorders>
              <w:lef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eastAsia="zh-CN"/>
              </w:rPr>
              <w:t>W2：水电站下游50m</w:t>
            </w:r>
          </w:p>
        </w:tc>
        <w:tc>
          <w:tcPr>
            <w:tcW w:w="740" w:type="dxa"/>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default" w:eastAsiaTheme="minorEastAsia"/>
                <w:color w:val="auto"/>
                <w:kern w:val="0"/>
                <w:sz w:val="18"/>
                <w:szCs w:val="18"/>
                <w:highlight w:val="none"/>
                <w:lang w:val="en-US" w:eastAsia="zh-CN"/>
              </w:rPr>
            </w:pPr>
            <w:r>
              <w:rPr>
                <w:rFonts w:hint="default" w:eastAsiaTheme="minorEastAsia"/>
                <w:color w:val="auto"/>
                <w:kern w:val="0"/>
                <w:sz w:val="18"/>
                <w:szCs w:val="18"/>
                <w:highlight w:val="none"/>
                <w:lang w:val="en-US" w:eastAsia="zh-CN"/>
              </w:rPr>
              <w:t>W3：尾水渠出口下</w:t>
            </w:r>
          </w:p>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default" w:eastAsiaTheme="minorEastAsia"/>
                <w:color w:val="auto"/>
                <w:kern w:val="0"/>
                <w:sz w:val="18"/>
                <w:szCs w:val="18"/>
                <w:highlight w:val="none"/>
                <w:lang w:val="en-US" w:eastAsia="zh-CN"/>
              </w:rPr>
              <w:t>游900m</w:t>
            </w:r>
          </w:p>
        </w:tc>
        <w:tc>
          <w:tcPr>
            <w:tcW w:w="740" w:type="dxa"/>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default" w:eastAsiaTheme="minorEastAsia"/>
                <w:color w:val="auto"/>
                <w:kern w:val="0"/>
                <w:sz w:val="18"/>
                <w:szCs w:val="18"/>
                <w:highlight w:val="none"/>
                <w:lang w:val="en-US" w:eastAsia="zh-CN"/>
              </w:rPr>
            </w:pPr>
            <w:r>
              <w:rPr>
                <w:rFonts w:hint="default" w:eastAsiaTheme="minorEastAsia"/>
                <w:color w:val="auto"/>
                <w:kern w:val="0"/>
                <w:sz w:val="18"/>
                <w:szCs w:val="18"/>
                <w:highlight w:val="none"/>
                <w:lang w:val="en-US" w:eastAsia="zh-CN"/>
              </w:rPr>
              <w:t>W1：黎河橡胶坝上</w:t>
            </w:r>
          </w:p>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default" w:eastAsiaTheme="minorEastAsia"/>
                <w:color w:val="auto"/>
                <w:kern w:val="0"/>
                <w:sz w:val="18"/>
                <w:szCs w:val="18"/>
                <w:highlight w:val="none"/>
                <w:lang w:val="en-US" w:eastAsia="zh-CN"/>
              </w:rPr>
              <w:t>游100m</w:t>
            </w:r>
          </w:p>
        </w:tc>
        <w:tc>
          <w:tcPr>
            <w:tcW w:w="740" w:type="dxa"/>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eastAsia="zh-CN"/>
              </w:rPr>
              <w:t>W2：水电站下游50m</w:t>
            </w:r>
          </w:p>
        </w:tc>
        <w:tc>
          <w:tcPr>
            <w:tcW w:w="740" w:type="dxa"/>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default" w:eastAsiaTheme="minorEastAsia"/>
                <w:color w:val="auto"/>
                <w:kern w:val="0"/>
                <w:sz w:val="18"/>
                <w:szCs w:val="18"/>
                <w:highlight w:val="none"/>
                <w:lang w:val="en-US" w:eastAsia="zh-CN"/>
              </w:rPr>
            </w:pPr>
            <w:r>
              <w:rPr>
                <w:rFonts w:hint="default" w:eastAsiaTheme="minorEastAsia"/>
                <w:color w:val="auto"/>
                <w:kern w:val="0"/>
                <w:sz w:val="18"/>
                <w:szCs w:val="18"/>
                <w:highlight w:val="none"/>
                <w:lang w:val="en-US" w:eastAsia="zh-CN"/>
              </w:rPr>
              <w:t>W3：尾水渠出口下</w:t>
            </w:r>
          </w:p>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default" w:eastAsiaTheme="minorEastAsia"/>
                <w:color w:val="auto"/>
                <w:kern w:val="0"/>
                <w:sz w:val="18"/>
                <w:szCs w:val="18"/>
                <w:highlight w:val="none"/>
                <w:lang w:val="en-US" w:eastAsia="zh-CN"/>
              </w:rPr>
              <w:t>游900m</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val="en-US" w:eastAsia="zh-CN"/>
              </w:rPr>
              <w:t>pH</w:t>
            </w:r>
          </w:p>
        </w:tc>
        <w:tc>
          <w:tcPr>
            <w:tcW w:w="765"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eastAsia="zh-CN"/>
              </w:rPr>
              <w:t>无量纲</w:t>
            </w:r>
          </w:p>
        </w:tc>
        <w:tc>
          <w:tcPr>
            <w:tcW w:w="74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7.4</w:t>
            </w:r>
          </w:p>
        </w:tc>
        <w:tc>
          <w:tcPr>
            <w:tcW w:w="74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7.4</w:t>
            </w:r>
          </w:p>
        </w:tc>
        <w:tc>
          <w:tcPr>
            <w:tcW w:w="740" w:type="dxa"/>
            <w:tcBorders>
              <w:right w:val="single" w:color="auto"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7.3</w:t>
            </w:r>
          </w:p>
        </w:tc>
        <w:tc>
          <w:tcPr>
            <w:tcW w:w="740" w:type="dxa"/>
            <w:tcBorders>
              <w:right w:val="single" w:color="auto"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7.5</w:t>
            </w:r>
          </w:p>
        </w:tc>
        <w:tc>
          <w:tcPr>
            <w:tcW w:w="740" w:type="dxa"/>
            <w:tcBorders>
              <w:left w:val="single" w:color="auto"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7.4</w:t>
            </w:r>
          </w:p>
        </w:tc>
        <w:tc>
          <w:tcPr>
            <w:tcW w:w="74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7.4</w:t>
            </w:r>
          </w:p>
        </w:tc>
        <w:tc>
          <w:tcPr>
            <w:tcW w:w="74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7.4</w:t>
            </w:r>
          </w:p>
        </w:tc>
        <w:tc>
          <w:tcPr>
            <w:tcW w:w="74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7.3</w:t>
            </w:r>
          </w:p>
        </w:tc>
        <w:tc>
          <w:tcPr>
            <w:tcW w:w="74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7.3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eastAsia="zh-CN"/>
              </w:rPr>
              <w:t>悬浮物</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mg/L</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8</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9</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7</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8</w:t>
            </w:r>
          </w:p>
        </w:tc>
        <w:tc>
          <w:tcPr>
            <w:tcW w:w="74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9</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6</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7</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8</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6</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eastAsia="zh-CN"/>
              </w:rPr>
              <w:t>叶绿素</w:t>
            </w:r>
            <w:r>
              <w:rPr>
                <w:rFonts w:hint="eastAsia" w:eastAsiaTheme="minorEastAsia"/>
                <w:color w:val="auto"/>
                <w:kern w:val="0"/>
                <w:sz w:val="18"/>
                <w:szCs w:val="18"/>
                <w:highlight w:val="none"/>
                <w:lang w:val="en-US" w:eastAsia="zh-CN"/>
              </w:rPr>
              <w:t>a</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eastAsia="zh-CN"/>
              </w:rPr>
            </w:pPr>
            <w:r>
              <w:rPr>
                <w:rFonts w:hint="default" w:ascii="Times New Roman" w:hAnsi="Times New Roman" w:cs="Times New Roman" w:eastAsiaTheme="minorEastAsia"/>
                <w:color w:val="auto"/>
                <w:kern w:val="0"/>
                <w:sz w:val="18"/>
                <w:szCs w:val="18"/>
                <w:highlight w:val="none"/>
                <w:lang w:val="en-US" w:eastAsia="zh-CN"/>
              </w:rPr>
              <w:t>μg/L</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eastAsia="zh-CN"/>
              </w:rPr>
              <w:t>透明度</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cm</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18</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19</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19</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19</w:t>
            </w:r>
          </w:p>
        </w:tc>
        <w:tc>
          <w:tcPr>
            <w:tcW w:w="74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18</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18</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20</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18</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19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eastAsia="zh-CN"/>
              </w:rPr>
              <w:t>溶解氧</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val="en-US" w:eastAsia="zh-CN"/>
              </w:rPr>
              <w:t>mg/L</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5.4</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5.3</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5.3</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5.3</w:t>
            </w:r>
          </w:p>
        </w:tc>
        <w:tc>
          <w:tcPr>
            <w:tcW w:w="74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5.4</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5.2</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5.2</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5.4</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5.2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BOD</w:t>
            </w:r>
            <w:r>
              <w:rPr>
                <w:rFonts w:hint="eastAsia" w:eastAsiaTheme="minorEastAsia"/>
                <w:color w:val="auto"/>
                <w:kern w:val="0"/>
                <w:sz w:val="18"/>
                <w:szCs w:val="18"/>
                <w:highlight w:val="none"/>
                <w:vertAlign w:val="subscript"/>
                <w:lang w:val="en-US" w:eastAsia="zh-CN"/>
              </w:rPr>
              <w:t>5</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val="en-US" w:eastAsia="zh-CN"/>
              </w:rPr>
              <w:t>mg/L</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3.7</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3.2</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3.5</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3.3</w:t>
            </w:r>
          </w:p>
        </w:tc>
        <w:tc>
          <w:tcPr>
            <w:tcW w:w="74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3.5</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2.9</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3.5</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3.5</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3.7</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高锰酸盐指数</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val="en-US" w:eastAsia="zh-CN"/>
              </w:rPr>
              <w:t>mg/L</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1.4</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1.0</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1.9</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1.1</w:t>
            </w:r>
          </w:p>
        </w:tc>
        <w:tc>
          <w:tcPr>
            <w:tcW w:w="74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1.1</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1.8</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1.3</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0.9</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2.0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val="en-US" w:eastAsia="zh-CN"/>
              </w:rPr>
            </w:pPr>
            <w:r>
              <w:rPr>
                <w:rFonts w:hint="eastAsia" w:eastAsiaTheme="minorEastAsia"/>
                <w:color w:val="auto"/>
                <w:kern w:val="0"/>
                <w:sz w:val="18"/>
                <w:szCs w:val="18"/>
                <w:highlight w:val="none"/>
                <w:lang w:eastAsia="zh-CN"/>
              </w:rPr>
              <w:t>氨氮</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mg/L</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0.197</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0.345</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0.186</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0.351</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0.191</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0.351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eastAsia="zh-CN"/>
              </w:rPr>
              <w:t>总氮</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mg/L</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0.84</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0.68</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0.78</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0.82</w:t>
            </w:r>
          </w:p>
        </w:tc>
        <w:tc>
          <w:tcPr>
            <w:tcW w:w="74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0.68</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0.77</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0.85</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0.73</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0.82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eastAsia="zh-CN"/>
              </w:rPr>
              <w:t>总磷</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mg/L</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val="zh-CN" w:eastAsia="zh-CN"/>
              </w:rPr>
              <w:t>石油类</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mg/L</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硫化物</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mg/L</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阴离子表面活性剂</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mg/L</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zh-CN" w:eastAsia="zh-CN"/>
              </w:rPr>
              <w:t>铅</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default" w:ascii="Times New Roman" w:hAnsi="Times New Roman" w:cs="Times New Roman" w:eastAsiaTheme="minorEastAsia"/>
                <w:color w:val="auto"/>
                <w:kern w:val="0"/>
                <w:sz w:val="18"/>
                <w:szCs w:val="18"/>
                <w:highlight w:val="none"/>
                <w:lang w:val="en-US" w:eastAsia="zh-CN"/>
              </w:rPr>
              <w:t>μg/L</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val="zh-CN" w:eastAsia="zh-CN"/>
              </w:rPr>
            </w:pPr>
            <w:r>
              <w:rPr>
                <w:rFonts w:hint="eastAsia" w:eastAsiaTheme="minorEastAsia"/>
                <w:color w:val="auto"/>
                <w:kern w:val="0"/>
                <w:sz w:val="18"/>
                <w:szCs w:val="18"/>
                <w:highlight w:val="none"/>
                <w:lang w:val="zh-CN" w:eastAsia="zh-CN"/>
              </w:rPr>
              <w:t>镉</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eastAsia="zh-CN"/>
              </w:rPr>
            </w:pPr>
            <w:r>
              <w:rPr>
                <w:rFonts w:hint="default" w:ascii="Times New Roman" w:hAnsi="Times New Roman" w:cs="Times New Roman" w:eastAsiaTheme="minorEastAsia"/>
                <w:color w:val="auto"/>
                <w:kern w:val="0"/>
                <w:sz w:val="18"/>
                <w:szCs w:val="18"/>
                <w:highlight w:val="none"/>
                <w:lang w:val="en-US" w:eastAsia="zh-CN"/>
              </w:rPr>
              <w:t>μg/L</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val="zh-CN" w:eastAsia="zh-CN"/>
              </w:rPr>
            </w:pPr>
            <w:r>
              <w:rPr>
                <w:rFonts w:hint="eastAsia" w:eastAsiaTheme="minorEastAsia"/>
                <w:color w:val="auto"/>
                <w:kern w:val="0"/>
                <w:sz w:val="18"/>
                <w:szCs w:val="18"/>
                <w:highlight w:val="none"/>
                <w:lang w:val="zh-CN" w:eastAsia="zh-CN"/>
              </w:rPr>
              <w:t>汞</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eastAsia="zh-CN"/>
              </w:rPr>
            </w:pPr>
            <w:r>
              <w:rPr>
                <w:rFonts w:hint="default" w:ascii="Times New Roman" w:hAnsi="Times New Roman" w:cs="Times New Roman" w:eastAsiaTheme="minorEastAsia"/>
                <w:color w:val="auto"/>
                <w:kern w:val="0"/>
                <w:sz w:val="18"/>
                <w:szCs w:val="18"/>
                <w:highlight w:val="none"/>
                <w:lang w:val="en-US" w:eastAsia="zh-CN"/>
              </w:rPr>
              <w:t>μg/L</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val="zh-CN" w:eastAsia="zh-CN"/>
              </w:rPr>
            </w:pPr>
            <w:r>
              <w:rPr>
                <w:rFonts w:hint="eastAsia" w:eastAsiaTheme="minorEastAsia"/>
                <w:color w:val="auto"/>
                <w:kern w:val="0"/>
                <w:sz w:val="18"/>
                <w:szCs w:val="18"/>
                <w:highlight w:val="none"/>
                <w:lang w:val="zh-CN" w:eastAsia="zh-CN"/>
              </w:rPr>
              <w:t>砷</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eastAsia="zh-CN"/>
              </w:rPr>
            </w:pPr>
            <w:r>
              <w:rPr>
                <w:rFonts w:hint="default" w:ascii="Times New Roman" w:hAnsi="Times New Roman" w:cs="Times New Roman" w:eastAsiaTheme="minorEastAsia"/>
                <w:color w:val="auto"/>
                <w:kern w:val="0"/>
                <w:sz w:val="18"/>
                <w:szCs w:val="18"/>
                <w:highlight w:val="none"/>
                <w:lang w:val="en-US" w:eastAsia="zh-CN"/>
              </w:rPr>
              <w:t>μg/L</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val="zh-CN" w:eastAsia="zh-CN"/>
              </w:rPr>
            </w:pPr>
            <w:r>
              <w:rPr>
                <w:rFonts w:hint="eastAsia" w:eastAsiaTheme="minorEastAsia"/>
                <w:color w:val="auto"/>
                <w:kern w:val="0"/>
                <w:sz w:val="18"/>
                <w:szCs w:val="18"/>
                <w:highlight w:val="none"/>
                <w:lang w:val="zh-CN" w:eastAsia="zh-CN"/>
              </w:rPr>
              <w:t>六价铬</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mg/L</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val="zh-CN" w:eastAsia="zh-CN"/>
              </w:rPr>
            </w:pPr>
            <w:r>
              <w:rPr>
                <w:rFonts w:hint="eastAsia" w:eastAsiaTheme="minorEastAsia"/>
                <w:color w:val="auto"/>
                <w:kern w:val="0"/>
                <w:sz w:val="18"/>
                <w:szCs w:val="18"/>
                <w:highlight w:val="none"/>
                <w:lang w:val="zh-CN" w:eastAsia="zh-CN"/>
              </w:rPr>
              <w:t>氰化物</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mg/L</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val="zh-CN" w:eastAsia="zh-CN"/>
              </w:rPr>
            </w:pPr>
            <w:r>
              <w:rPr>
                <w:rFonts w:hint="eastAsia" w:eastAsiaTheme="minorEastAsia"/>
                <w:color w:val="auto"/>
                <w:kern w:val="0"/>
                <w:sz w:val="18"/>
                <w:szCs w:val="18"/>
                <w:highlight w:val="none"/>
                <w:lang w:val="zh-CN" w:eastAsia="zh-CN"/>
              </w:rPr>
              <w:t>铜</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mg/L</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val="zh-CN" w:eastAsia="zh-CN"/>
              </w:rPr>
            </w:pPr>
            <w:r>
              <w:rPr>
                <w:rFonts w:hint="eastAsia" w:eastAsiaTheme="minorEastAsia"/>
                <w:color w:val="auto"/>
                <w:kern w:val="0"/>
                <w:sz w:val="18"/>
                <w:szCs w:val="18"/>
                <w:highlight w:val="none"/>
                <w:lang w:val="zh-CN" w:eastAsia="zh-CN"/>
              </w:rPr>
              <w:t>锌</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mg/L</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挥发酚</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mg/L</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ND</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val="zh-CN" w:eastAsia="zh-CN"/>
              </w:rPr>
            </w:pPr>
            <w:r>
              <w:rPr>
                <w:rFonts w:hint="eastAsia" w:eastAsiaTheme="minorEastAsia"/>
                <w:color w:val="auto"/>
                <w:kern w:val="0"/>
                <w:sz w:val="18"/>
                <w:szCs w:val="18"/>
                <w:highlight w:val="none"/>
                <w:lang w:val="zh-CN" w:eastAsia="zh-CN"/>
              </w:rPr>
              <w:t>粪大肠菌群</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cs="Times New Roman" w:eastAsiaTheme="minorEastAsia"/>
                <w:color w:val="auto"/>
                <w:kern w:val="0"/>
                <w:sz w:val="18"/>
                <w:szCs w:val="18"/>
                <w:highlight w:val="none"/>
                <w:lang w:val="en-US" w:eastAsia="zh-CN" w:bidi="ar-SA"/>
              </w:rPr>
              <w:t>MPN/L</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1.7×10</w:t>
            </w:r>
            <w:r>
              <w:rPr>
                <w:rFonts w:hint="eastAsia" w:eastAsiaTheme="minorEastAsia"/>
                <w:color w:val="auto"/>
                <w:kern w:val="0"/>
                <w:sz w:val="18"/>
                <w:szCs w:val="18"/>
                <w:highlight w:val="none"/>
                <w:vertAlign w:val="superscript"/>
                <w:lang w:val="en-US" w:eastAsia="zh-CN"/>
              </w:rPr>
              <w:t>2</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90</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1.2×10</w:t>
            </w:r>
            <w:r>
              <w:rPr>
                <w:rFonts w:hint="eastAsia" w:eastAsiaTheme="minorEastAsia"/>
                <w:color w:val="auto"/>
                <w:kern w:val="0"/>
                <w:sz w:val="18"/>
                <w:szCs w:val="18"/>
                <w:highlight w:val="none"/>
                <w:vertAlign w:val="superscript"/>
                <w:lang w:val="en-US" w:eastAsia="zh-CN"/>
              </w:rPr>
              <w:t>2</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1.4×10</w:t>
            </w:r>
            <w:r>
              <w:rPr>
                <w:rFonts w:hint="eastAsia" w:eastAsiaTheme="minorEastAsia"/>
                <w:color w:val="auto"/>
                <w:kern w:val="0"/>
                <w:sz w:val="18"/>
                <w:szCs w:val="18"/>
                <w:highlight w:val="none"/>
                <w:vertAlign w:val="superscript"/>
                <w:lang w:val="en-US" w:eastAsia="zh-CN"/>
              </w:rPr>
              <w:t>2</w:t>
            </w:r>
          </w:p>
        </w:tc>
        <w:tc>
          <w:tcPr>
            <w:tcW w:w="74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80</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2.2×10</w:t>
            </w:r>
            <w:r>
              <w:rPr>
                <w:rFonts w:hint="eastAsia" w:eastAsiaTheme="minorEastAsia"/>
                <w:color w:val="auto"/>
                <w:kern w:val="0"/>
                <w:sz w:val="18"/>
                <w:szCs w:val="18"/>
                <w:highlight w:val="none"/>
                <w:vertAlign w:val="superscript"/>
                <w:lang w:val="en-US" w:eastAsia="zh-CN"/>
              </w:rPr>
              <w:t>2</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60</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60</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1.4×10</w:t>
            </w:r>
            <w:r>
              <w:rPr>
                <w:rFonts w:hint="eastAsia" w:eastAsiaTheme="minorEastAsia"/>
                <w:color w:val="auto"/>
                <w:kern w:val="0"/>
                <w:sz w:val="18"/>
                <w:szCs w:val="18"/>
                <w:highlight w:val="none"/>
                <w:vertAlign w:val="superscript"/>
                <w:lang w:val="en-US" w:eastAsia="zh-CN"/>
              </w:rPr>
              <w:t>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val="zh-CN" w:eastAsia="zh-CN"/>
              </w:rPr>
            </w:pPr>
            <w:r>
              <w:rPr>
                <w:rFonts w:hint="eastAsia" w:eastAsiaTheme="minorEastAsia"/>
                <w:color w:val="auto"/>
                <w:kern w:val="0"/>
                <w:sz w:val="18"/>
                <w:szCs w:val="18"/>
                <w:highlight w:val="none"/>
                <w:lang w:val="zh-CN" w:eastAsia="zh-CN"/>
              </w:rPr>
              <w:t>氟化物</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mg/L</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0.39</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0.38</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0.40</w:t>
            </w:r>
          </w:p>
        </w:tc>
        <w:tc>
          <w:tcPr>
            <w:tcW w:w="74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0.40</w:t>
            </w:r>
          </w:p>
        </w:tc>
        <w:tc>
          <w:tcPr>
            <w:tcW w:w="74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0.38</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0.43</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0.39</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0.39</w:t>
            </w:r>
          </w:p>
        </w:tc>
        <w:tc>
          <w:tcPr>
            <w:tcW w:w="74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0.39</w:t>
            </w:r>
          </w:p>
        </w:tc>
      </w:tr>
    </w:tbl>
    <w:p>
      <w:pPr>
        <w:pStyle w:val="26"/>
        <w:ind w:left="0" w:leftChars="0" w:right="1470"/>
        <w:rPr>
          <w:color w:val="auto"/>
          <w:highlight w:val="none"/>
        </w:rPr>
      </w:pPr>
    </w:p>
    <w:p>
      <w:pPr>
        <w:autoSpaceDE w:val="0"/>
        <w:autoSpaceDN w:val="0"/>
        <w:adjustRightInd w:val="0"/>
        <w:spacing w:line="480" w:lineRule="exact"/>
        <w:ind w:firstLine="2168" w:firstLineChars="900"/>
        <w:rPr>
          <w:b/>
          <w:color w:val="auto"/>
          <w:sz w:val="24"/>
          <w:highlight w:val="none"/>
        </w:rPr>
      </w:pPr>
    </w:p>
    <w:p>
      <w:pPr>
        <w:autoSpaceDE w:val="0"/>
        <w:autoSpaceDN w:val="0"/>
        <w:adjustRightInd w:val="0"/>
        <w:spacing w:line="480" w:lineRule="exact"/>
        <w:ind w:firstLine="2168" w:firstLineChars="900"/>
        <w:rPr>
          <w:b/>
          <w:color w:val="auto"/>
          <w:sz w:val="24"/>
          <w:highlight w:val="none"/>
        </w:rPr>
      </w:pPr>
    </w:p>
    <w:p>
      <w:pPr>
        <w:autoSpaceDE w:val="0"/>
        <w:autoSpaceDN w:val="0"/>
        <w:adjustRightInd w:val="0"/>
        <w:spacing w:line="480" w:lineRule="exact"/>
        <w:ind w:firstLine="2168" w:firstLineChars="900"/>
        <w:rPr>
          <w:b/>
          <w:color w:val="auto"/>
          <w:sz w:val="24"/>
          <w:highlight w:val="none"/>
        </w:rPr>
      </w:pPr>
    </w:p>
    <w:p>
      <w:pPr>
        <w:autoSpaceDE w:val="0"/>
        <w:autoSpaceDN w:val="0"/>
        <w:adjustRightInd w:val="0"/>
        <w:spacing w:line="480" w:lineRule="exact"/>
        <w:ind w:firstLine="2168" w:firstLineChars="900"/>
        <w:rPr>
          <w:b/>
          <w:color w:val="auto"/>
          <w:sz w:val="24"/>
          <w:highlight w:val="none"/>
        </w:rPr>
      </w:pPr>
    </w:p>
    <w:p>
      <w:pPr>
        <w:autoSpaceDE w:val="0"/>
        <w:autoSpaceDN w:val="0"/>
        <w:adjustRightInd w:val="0"/>
        <w:spacing w:line="480" w:lineRule="exact"/>
        <w:ind w:firstLine="2168" w:firstLineChars="900"/>
        <w:rPr>
          <w:b/>
          <w:color w:val="auto"/>
          <w:sz w:val="24"/>
          <w:highlight w:val="none"/>
        </w:rPr>
      </w:pPr>
    </w:p>
    <w:p>
      <w:pPr>
        <w:autoSpaceDE w:val="0"/>
        <w:autoSpaceDN w:val="0"/>
        <w:adjustRightInd w:val="0"/>
        <w:spacing w:line="480" w:lineRule="exact"/>
        <w:ind w:firstLine="2168" w:firstLineChars="900"/>
        <w:rPr>
          <w:b/>
          <w:color w:val="auto"/>
          <w:sz w:val="24"/>
          <w:highlight w:val="none"/>
        </w:rPr>
      </w:pPr>
    </w:p>
    <w:p>
      <w:pPr>
        <w:autoSpaceDE w:val="0"/>
        <w:autoSpaceDN w:val="0"/>
        <w:adjustRightInd w:val="0"/>
        <w:spacing w:line="480" w:lineRule="exact"/>
        <w:ind w:firstLine="2168" w:firstLineChars="900"/>
        <w:rPr>
          <w:rFonts w:hint="eastAsia" w:eastAsia="宋体"/>
          <w:b/>
          <w:color w:val="auto"/>
          <w:sz w:val="24"/>
          <w:highlight w:val="none"/>
          <w:lang w:eastAsia="zh-CN"/>
        </w:rPr>
      </w:pPr>
      <w:r>
        <w:rPr>
          <w:b/>
          <w:color w:val="auto"/>
          <w:sz w:val="24"/>
          <w:highlight w:val="none"/>
        </w:rPr>
        <w:t>表</w:t>
      </w:r>
      <w:r>
        <w:rPr>
          <w:rFonts w:hint="eastAsia"/>
          <w:b/>
          <w:color w:val="auto"/>
          <w:sz w:val="24"/>
          <w:highlight w:val="none"/>
        </w:rPr>
        <w:t>4.4</w:t>
      </w:r>
      <w:r>
        <w:rPr>
          <w:b/>
          <w:color w:val="auto"/>
          <w:sz w:val="24"/>
          <w:highlight w:val="none"/>
        </w:rPr>
        <w:t>-</w:t>
      </w:r>
      <w:r>
        <w:rPr>
          <w:rFonts w:hint="eastAsia"/>
          <w:b/>
          <w:color w:val="auto"/>
          <w:sz w:val="24"/>
          <w:highlight w:val="none"/>
          <w:lang w:val="en-US" w:eastAsia="zh-CN"/>
        </w:rPr>
        <w:t>5</w:t>
      </w:r>
      <w:r>
        <w:rPr>
          <w:b/>
          <w:color w:val="auto"/>
          <w:sz w:val="24"/>
          <w:highlight w:val="none"/>
        </w:rPr>
        <w:t xml:space="preserve">  监测因子的</w:t>
      </w:r>
      <w:r>
        <w:rPr>
          <w:rFonts w:hint="eastAsia"/>
          <w:b/>
          <w:color w:val="auto"/>
          <w:sz w:val="24"/>
          <w:highlight w:val="none"/>
          <w:lang w:eastAsia="zh-CN"/>
        </w:rPr>
        <w:t>评价</w:t>
      </w:r>
      <w:r>
        <w:rPr>
          <w:b/>
          <w:color w:val="auto"/>
          <w:sz w:val="24"/>
          <w:highlight w:val="none"/>
        </w:rPr>
        <w:t>结果</w:t>
      </w:r>
      <w:r>
        <w:rPr>
          <w:rFonts w:hint="eastAsia"/>
          <w:b/>
          <w:color w:val="auto"/>
          <w:sz w:val="24"/>
          <w:highlight w:val="none"/>
          <w:lang w:eastAsia="zh-CN"/>
        </w:rPr>
        <w:t>一览表（</w:t>
      </w:r>
      <w:r>
        <w:rPr>
          <w:rFonts w:hint="eastAsia"/>
          <w:b/>
          <w:color w:val="auto"/>
          <w:sz w:val="24"/>
          <w:highlight w:val="none"/>
          <w:lang w:val="en-US" w:eastAsia="zh-CN"/>
        </w:rPr>
        <w:t>Pi</w:t>
      </w:r>
      <w:r>
        <w:rPr>
          <w:rFonts w:hint="eastAsia"/>
          <w:b/>
          <w:color w:val="auto"/>
          <w:sz w:val="24"/>
          <w:highlight w:val="none"/>
          <w:lang w:eastAsia="zh-CN"/>
        </w:rPr>
        <w:t>）</w:t>
      </w:r>
    </w:p>
    <w:tbl>
      <w:tblPr>
        <w:tblStyle w:val="51"/>
        <w:tblW w:w="8665"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
      <w:tblGrid>
        <w:gridCol w:w="814"/>
        <w:gridCol w:w="765"/>
        <w:gridCol w:w="532"/>
        <w:gridCol w:w="762"/>
        <w:gridCol w:w="820"/>
        <w:gridCol w:w="793"/>
        <w:gridCol w:w="673"/>
        <w:gridCol w:w="693"/>
        <w:gridCol w:w="657"/>
        <w:gridCol w:w="672"/>
        <w:gridCol w:w="596"/>
        <w:gridCol w:w="888"/>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93" w:hRule="atLeast"/>
          <w:jc w:val="center"/>
        </w:trPr>
        <w:tc>
          <w:tcPr>
            <w:tcW w:w="814" w:type="dxa"/>
            <w:vMerge w:val="restart"/>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项目</w:t>
            </w:r>
          </w:p>
        </w:tc>
        <w:tc>
          <w:tcPr>
            <w:tcW w:w="765" w:type="dxa"/>
            <w:vMerge w:val="restart"/>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eastAsia="zh-CN"/>
              </w:rPr>
              <w:t>单位</w:t>
            </w:r>
          </w:p>
        </w:tc>
        <w:tc>
          <w:tcPr>
            <w:tcW w:w="532" w:type="dxa"/>
            <w:vMerge w:val="restart"/>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eastAsia="zh-CN"/>
              </w:rPr>
              <w:t>标</w:t>
            </w:r>
          </w:p>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eastAsia="zh-CN"/>
              </w:rPr>
              <w:t>准</w:t>
            </w:r>
          </w:p>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eastAsia="zh-CN"/>
              </w:rPr>
              <w:t>值</w:t>
            </w:r>
          </w:p>
        </w:tc>
        <w:tc>
          <w:tcPr>
            <w:tcW w:w="2375" w:type="dxa"/>
            <w:gridSpan w:val="3"/>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2023.7.9</w:t>
            </w:r>
          </w:p>
        </w:tc>
        <w:tc>
          <w:tcPr>
            <w:tcW w:w="2023" w:type="dxa"/>
            <w:gridSpan w:val="3"/>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2023.7.10</w:t>
            </w:r>
          </w:p>
        </w:tc>
        <w:tc>
          <w:tcPr>
            <w:tcW w:w="2156" w:type="dxa"/>
            <w:gridSpan w:val="3"/>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2023.7.11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93" w:hRule="atLeast"/>
          <w:jc w:val="center"/>
        </w:trPr>
        <w:tc>
          <w:tcPr>
            <w:tcW w:w="814" w:type="dxa"/>
            <w:vMerge w:val="continue"/>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p>
        </w:tc>
        <w:tc>
          <w:tcPr>
            <w:tcW w:w="765" w:type="dxa"/>
            <w:vMerge w:val="continue"/>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eastAsia="zh-CN"/>
              </w:rPr>
            </w:pPr>
          </w:p>
        </w:tc>
        <w:tc>
          <w:tcPr>
            <w:tcW w:w="532" w:type="dxa"/>
            <w:vMerge w:val="continue"/>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eastAsia="zh-CN"/>
              </w:rPr>
            </w:pPr>
          </w:p>
        </w:tc>
        <w:tc>
          <w:tcPr>
            <w:tcW w:w="762" w:type="dxa"/>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DB1橡胶坝上游100m</w:t>
            </w:r>
          </w:p>
        </w:tc>
        <w:tc>
          <w:tcPr>
            <w:tcW w:w="820" w:type="dxa"/>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DB2电站下游</w:t>
            </w:r>
          </w:p>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val="en-US" w:eastAsia="zh-CN"/>
              </w:rPr>
              <w:t>50m</w:t>
            </w:r>
          </w:p>
        </w:tc>
        <w:tc>
          <w:tcPr>
            <w:tcW w:w="793" w:type="dxa"/>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DB3电站</w:t>
            </w:r>
          </w:p>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下游</w:t>
            </w:r>
          </w:p>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900m</w:t>
            </w:r>
          </w:p>
        </w:tc>
        <w:tc>
          <w:tcPr>
            <w:tcW w:w="673" w:type="dxa"/>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DB1橡胶坝上游100m</w:t>
            </w:r>
          </w:p>
        </w:tc>
        <w:tc>
          <w:tcPr>
            <w:tcW w:w="693" w:type="dxa"/>
            <w:tcBorders>
              <w:lef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DB2电站下游50m</w:t>
            </w:r>
          </w:p>
        </w:tc>
        <w:tc>
          <w:tcPr>
            <w:tcW w:w="657" w:type="dxa"/>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DB3电站下游900m</w:t>
            </w:r>
          </w:p>
        </w:tc>
        <w:tc>
          <w:tcPr>
            <w:tcW w:w="672" w:type="dxa"/>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DB1橡胶坝上游100m</w:t>
            </w:r>
          </w:p>
        </w:tc>
        <w:tc>
          <w:tcPr>
            <w:tcW w:w="596" w:type="dxa"/>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DB2电站下游</w:t>
            </w:r>
          </w:p>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50m</w:t>
            </w:r>
          </w:p>
        </w:tc>
        <w:tc>
          <w:tcPr>
            <w:tcW w:w="888" w:type="dxa"/>
            <w:vAlign w:val="center"/>
          </w:tcPr>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DB3电站</w:t>
            </w:r>
          </w:p>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下游</w:t>
            </w:r>
          </w:p>
          <w:p>
            <w:pPr>
              <w:keepNext w:val="0"/>
              <w:keepLines w:val="0"/>
              <w:pageBreakBefore w:val="0"/>
              <w:widowControl/>
              <w:kinsoku/>
              <w:wordWrap/>
              <w:overflowPunct/>
              <w:topLinePunct w:val="0"/>
              <w:autoSpaceDE/>
              <w:autoSpaceDN/>
              <w:bidi w:val="0"/>
              <w:adjustRightInd/>
              <w:snapToGrid/>
              <w:spacing w:line="300" w:lineRule="exact"/>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900m</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val="en-US" w:eastAsia="zh-CN"/>
              </w:rPr>
              <w:t>pH</w:t>
            </w:r>
          </w:p>
        </w:tc>
        <w:tc>
          <w:tcPr>
            <w:tcW w:w="765"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eastAsia="zh-CN"/>
              </w:rPr>
              <w:t>无量纲</w:t>
            </w:r>
          </w:p>
        </w:tc>
        <w:tc>
          <w:tcPr>
            <w:tcW w:w="532"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6-9</w:t>
            </w:r>
          </w:p>
        </w:tc>
        <w:tc>
          <w:tcPr>
            <w:tcW w:w="762"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0.2</w:t>
            </w:r>
          </w:p>
        </w:tc>
        <w:tc>
          <w:tcPr>
            <w:tcW w:w="820"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0.2</w:t>
            </w:r>
          </w:p>
        </w:tc>
        <w:tc>
          <w:tcPr>
            <w:tcW w:w="793" w:type="dxa"/>
            <w:tcBorders>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0.15</w:t>
            </w:r>
          </w:p>
        </w:tc>
        <w:tc>
          <w:tcPr>
            <w:tcW w:w="673" w:type="dxa"/>
            <w:tcBorders>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0.25</w:t>
            </w:r>
          </w:p>
        </w:tc>
        <w:tc>
          <w:tcPr>
            <w:tcW w:w="693" w:type="dxa"/>
            <w:tcBorders>
              <w:lef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0.2</w:t>
            </w:r>
          </w:p>
        </w:tc>
        <w:tc>
          <w:tcPr>
            <w:tcW w:w="65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0.2</w:t>
            </w:r>
          </w:p>
        </w:tc>
        <w:tc>
          <w:tcPr>
            <w:tcW w:w="672"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0.2</w:t>
            </w:r>
          </w:p>
        </w:tc>
        <w:tc>
          <w:tcPr>
            <w:tcW w:w="596"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0.15</w:t>
            </w:r>
          </w:p>
        </w:tc>
        <w:tc>
          <w:tcPr>
            <w:tcW w:w="888"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0.15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eastAsia="zh-CN"/>
              </w:rPr>
              <w:t>悬浮物</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mg/L</w:t>
            </w:r>
          </w:p>
        </w:tc>
        <w:tc>
          <w:tcPr>
            <w:tcW w:w="5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c>
          <w:tcPr>
            <w:tcW w:w="76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c>
          <w:tcPr>
            <w:tcW w:w="82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c>
          <w:tcPr>
            <w:tcW w:w="79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c>
          <w:tcPr>
            <w:tcW w:w="67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c>
          <w:tcPr>
            <w:tcW w:w="693"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c>
          <w:tcPr>
            <w:tcW w:w="65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c>
          <w:tcPr>
            <w:tcW w:w="6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c>
          <w:tcPr>
            <w:tcW w:w="59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c>
          <w:tcPr>
            <w:tcW w:w="888"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eastAsia="zh-CN"/>
              </w:rPr>
              <w:t>叶绿素</w:t>
            </w:r>
            <w:r>
              <w:rPr>
                <w:rFonts w:hint="eastAsia" w:eastAsiaTheme="minorEastAsia"/>
                <w:color w:val="auto"/>
                <w:kern w:val="0"/>
                <w:sz w:val="18"/>
                <w:szCs w:val="18"/>
                <w:highlight w:val="none"/>
                <w:lang w:val="en-US" w:eastAsia="zh-CN"/>
              </w:rPr>
              <w:t>a</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eastAsia="zh-CN"/>
              </w:rPr>
            </w:pPr>
            <w:r>
              <w:rPr>
                <w:rFonts w:hint="default" w:ascii="Times New Roman" w:hAnsi="Times New Roman" w:cs="Times New Roman" w:eastAsiaTheme="minorEastAsia"/>
                <w:color w:val="auto"/>
                <w:kern w:val="0"/>
                <w:sz w:val="18"/>
                <w:szCs w:val="18"/>
                <w:highlight w:val="none"/>
                <w:lang w:val="en-US" w:eastAsia="zh-CN"/>
              </w:rPr>
              <w:t>μg/L</w:t>
            </w:r>
          </w:p>
        </w:tc>
        <w:tc>
          <w:tcPr>
            <w:tcW w:w="5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76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82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79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93"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5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59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888"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eastAsia="zh-CN"/>
              </w:rPr>
              <w:t>透明度</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cm</w:t>
            </w:r>
          </w:p>
        </w:tc>
        <w:tc>
          <w:tcPr>
            <w:tcW w:w="5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76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82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79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93"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5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59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888"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6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eastAsia="zh-CN"/>
              </w:rPr>
              <w:t>溶解氧</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val="en-US" w:eastAsia="zh-CN"/>
              </w:rPr>
              <w:t>mg/L</w:t>
            </w:r>
          </w:p>
        </w:tc>
        <w:tc>
          <w:tcPr>
            <w:tcW w:w="5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5</w:t>
            </w:r>
          </w:p>
        </w:tc>
        <w:tc>
          <w:tcPr>
            <w:tcW w:w="76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0.90</w:t>
            </w:r>
          </w:p>
        </w:tc>
        <w:tc>
          <w:tcPr>
            <w:tcW w:w="82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0.93</w:t>
            </w:r>
          </w:p>
        </w:tc>
        <w:tc>
          <w:tcPr>
            <w:tcW w:w="793" w:type="dxa"/>
            <w:tcBorders>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0.93</w:t>
            </w:r>
          </w:p>
        </w:tc>
        <w:tc>
          <w:tcPr>
            <w:tcW w:w="673" w:type="dxa"/>
            <w:tcBorders>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0.93</w:t>
            </w:r>
          </w:p>
        </w:tc>
        <w:tc>
          <w:tcPr>
            <w:tcW w:w="693" w:type="dxa"/>
            <w:tcBorders>
              <w:lef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0.90</w:t>
            </w:r>
          </w:p>
        </w:tc>
        <w:tc>
          <w:tcPr>
            <w:tcW w:w="657"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0.95</w:t>
            </w:r>
          </w:p>
        </w:tc>
        <w:tc>
          <w:tcPr>
            <w:tcW w:w="67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0.95</w:t>
            </w:r>
          </w:p>
        </w:tc>
        <w:tc>
          <w:tcPr>
            <w:tcW w:w="59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0.90</w:t>
            </w:r>
          </w:p>
        </w:tc>
        <w:tc>
          <w:tcPr>
            <w:tcW w:w="88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0.95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BOD</w:t>
            </w:r>
            <w:r>
              <w:rPr>
                <w:rFonts w:hint="eastAsia" w:eastAsiaTheme="minorEastAsia"/>
                <w:color w:val="auto"/>
                <w:kern w:val="0"/>
                <w:sz w:val="18"/>
                <w:szCs w:val="18"/>
                <w:highlight w:val="none"/>
                <w:vertAlign w:val="subscript"/>
                <w:lang w:val="en-US" w:eastAsia="zh-CN"/>
              </w:rPr>
              <w:t>5</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val="en-US" w:eastAsia="zh-CN"/>
              </w:rPr>
              <w:t>mg/L</w:t>
            </w:r>
          </w:p>
        </w:tc>
        <w:tc>
          <w:tcPr>
            <w:tcW w:w="5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4</w:t>
            </w:r>
          </w:p>
        </w:tc>
        <w:tc>
          <w:tcPr>
            <w:tcW w:w="76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0.8</w:t>
            </w:r>
          </w:p>
        </w:tc>
        <w:tc>
          <w:tcPr>
            <w:tcW w:w="82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0.875</w:t>
            </w:r>
          </w:p>
        </w:tc>
        <w:tc>
          <w:tcPr>
            <w:tcW w:w="793" w:type="dxa"/>
            <w:tcBorders>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0.825</w:t>
            </w:r>
          </w:p>
        </w:tc>
        <w:tc>
          <w:tcPr>
            <w:tcW w:w="673" w:type="dxa"/>
            <w:tcBorders>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0.875</w:t>
            </w:r>
          </w:p>
        </w:tc>
        <w:tc>
          <w:tcPr>
            <w:tcW w:w="693" w:type="dxa"/>
            <w:tcBorders>
              <w:lef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0.725</w:t>
            </w:r>
          </w:p>
        </w:tc>
        <w:tc>
          <w:tcPr>
            <w:tcW w:w="657"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0.875</w:t>
            </w:r>
          </w:p>
        </w:tc>
        <w:tc>
          <w:tcPr>
            <w:tcW w:w="67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0.875</w:t>
            </w:r>
          </w:p>
        </w:tc>
        <w:tc>
          <w:tcPr>
            <w:tcW w:w="59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0.925</w:t>
            </w:r>
          </w:p>
        </w:tc>
        <w:tc>
          <w:tcPr>
            <w:tcW w:w="88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0.8</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高锰酸盐指数</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val="en-US" w:eastAsia="zh-CN"/>
              </w:rPr>
              <w:t>mg/L</w:t>
            </w:r>
          </w:p>
        </w:tc>
        <w:tc>
          <w:tcPr>
            <w:tcW w:w="5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6</w:t>
            </w:r>
          </w:p>
        </w:tc>
        <w:tc>
          <w:tcPr>
            <w:tcW w:w="76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0.233 </w:t>
            </w:r>
          </w:p>
        </w:tc>
        <w:tc>
          <w:tcPr>
            <w:tcW w:w="82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0.167 </w:t>
            </w:r>
          </w:p>
        </w:tc>
        <w:tc>
          <w:tcPr>
            <w:tcW w:w="793" w:type="dxa"/>
            <w:tcBorders>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0.317 </w:t>
            </w:r>
          </w:p>
        </w:tc>
        <w:tc>
          <w:tcPr>
            <w:tcW w:w="673" w:type="dxa"/>
            <w:tcBorders>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0.183 </w:t>
            </w:r>
          </w:p>
        </w:tc>
        <w:tc>
          <w:tcPr>
            <w:tcW w:w="693" w:type="dxa"/>
            <w:tcBorders>
              <w:lef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0.183 </w:t>
            </w:r>
          </w:p>
        </w:tc>
        <w:tc>
          <w:tcPr>
            <w:tcW w:w="657"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0.300 </w:t>
            </w:r>
          </w:p>
        </w:tc>
        <w:tc>
          <w:tcPr>
            <w:tcW w:w="67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0.217 </w:t>
            </w:r>
          </w:p>
        </w:tc>
        <w:tc>
          <w:tcPr>
            <w:tcW w:w="59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0.150 </w:t>
            </w:r>
          </w:p>
        </w:tc>
        <w:tc>
          <w:tcPr>
            <w:tcW w:w="88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0.333 </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val="en-US" w:eastAsia="zh-CN"/>
              </w:rPr>
            </w:pPr>
            <w:r>
              <w:rPr>
                <w:rFonts w:hint="eastAsia" w:eastAsiaTheme="minorEastAsia"/>
                <w:color w:val="auto"/>
                <w:kern w:val="0"/>
                <w:sz w:val="18"/>
                <w:szCs w:val="18"/>
                <w:highlight w:val="none"/>
                <w:lang w:eastAsia="zh-CN"/>
              </w:rPr>
              <w:t>氨氮</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mg/L</w:t>
            </w:r>
          </w:p>
        </w:tc>
        <w:tc>
          <w:tcPr>
            <w:tcW w:w="5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1.0</w:t>
            </w:r>
          </w:p>
        </w:tc>
        <w:tc>
          <w:tcPr>
            <w:tcW w:w="76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c>
          <w:tcPr>
            <w:tcW w:w="82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0.197</w:t>
            </w:r>
          </w:p>
        </w:tc>
        <w:tc>
          <w:tcPr>
            <w:tcW w:w="793" w:type="dxa"/>
            <w:tcBorders>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0.345</w:t>
            </w:r>
          </w:p>
        </w:tc>
        <w:tc>
          <w:tcPr>
            <w:tcW w:w="673" w:type="dxa"/>
            <w:tcBorders>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c>
          <w:tcPr>
            <w:tcW w:w="693" w:type="dxa"/>
            <w:tcBorders>
              <w:lef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0186</w:t>
            </w:r>
          </w:p>
        </w:tc>
        <w:tc>
          <w:tcPr>
            <w:tcW w:w="657"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0.351</w:t>
            </w:r>
          </w:p>
        </w:tc>
        <w:tc>
          <w:tcPr>
            <w:tcW w:w="67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c>
          <w:tcPr>
            <w:tcW w:w="59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0.191</w:t>
            </w:r>
          </w:p>
        </w:tc>
        <w:tc>
          <w:tcPr>
            <w:tcW w:w="88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0.351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eastAsia="zh-CN"/>
              </w:rPr>
              <w:t>总氮</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mg/L</w:t>
            </w:r>
          </w:p>
        </w:tc>
        <w:tc>
          <w:tcPr>
            <w:tcW w:w="5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1.0</w:t>
            </w:r>
          </w:p>
        </w:tc>
        <w:tc>
          <w:tcPr>
            <w:tcW w:w="76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0.840 </w:t>
            </w:r>
          </w:p>
        </w:tc>
        <w:tc>
          <w:tcPr>
            <w:tcW w:w="82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0.680 </w:t>
            </w:r>
          </w:p>
        </w:tc>
        <w:tc>
          <w:tcPr>
            <w:tcW w:w="793" w:type="dxa"/>
            <w:tcBorders>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0.780 </w:t>
            </w:r>
          </w:p>
        </w:tc>
        <w:tc>
          <w:tcPr>
            <w:tcW w:w="673" w:type="dxa"/>
            <w:tcBorders>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0.820 </w:t>
            </w:r>
          </w:p>
        </w:tc>
        <w:tc>
          <w:tcPr>
            <w:tcW w:w="693" w:type="dxa"/>
            <w:tcBorders>
              <w:lef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0.680 </w:t>
            </w:r>
          </w:p>
        </w:tc>
        <w:tc>
          <w:tcPr>
            <w:tcW w:w="657"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0.770 </w:t>
            </w:r>
          </w:p>
        </w:tc>
        <w:tc>
          <w:tcPr>
            <w:tcW w:w="67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0.850 </w:t>
            </w:r>
          </w:p>
        </w:tc>
        <w:tc>
          <w:tcPr>
            <w:tcW w:w="59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0.730 </w:t>
            </w:r>
          </w:p>
        </w:tc>
        <w:tc>
          <w:tcPr>
            <w:tcW w:w="88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0.820 </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eastAsia="zh-CN"/>
              </w:rPr>
              <w:t>总磷</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mg/L</w:t>
            </w:r>
          </w:p>
        </w:tc>
        <w:tc>
          <w:tcPr>
            <w:tcW w:w="5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0.2</w:t>
            </w:r>
          </w:p>
        </w:tc>
        <w:tc>
          <w:tcPr>
            <w:tcW w:w="76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p>
        </w:tc>
        <w:tc>
          <w:tcPr>
            <w:tcW w:w="82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p>
        </w:tc>
        <w:tc>
          <w:tcPr>
            <w:tcW w:w="79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p>
        </w:tc>
        <w:tc>
          <w:tcPr>
            <w:tcW w:w="67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p>
        </w:tc>
        <w:tc>
          <w:tcPr>
            <w:tcW w:w="693"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p>
        </w:tc>
        <w:tc>
          <w:tcPr>
            <w:tcW w:w="65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p>
        </w:tc>
        <w:tc>
          <w:tcPr>
            <w:tcW w:w="6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p>
        </w:tc>
        <w:tc>
          <w:tcPr>
            <w:tcW w:w="59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p>
        </w:tc>
        <w:tc>
          <w:tcPr>
            <w:tcW w:w="888"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eastAsia="zh-CN"/>
              </w:rPr>
            </w:pPr>
            <w:r>
              <w:rPr>
                <w:rFonts w:hint="eastAsia" w:eastAsiaTheme="minorEastAsia"/>
                <w:color w:val="auto"/>
                <w:kern w:val="0"/>
                <w:sz w:val="18"/>
                <w:szCs w:val="18"/>
                <w:highlight w:val="none"/>
                <w:lang w:val="zh-CN" w:eastAsia="zh-CN"/>
              </w:rPr>
              <w:t>石油类</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mg/L</w:t>
            </w:r>
          </w:p>
        </w:tc>
        <w:tc>
          <w:tcPr>
            <w:tcW w:w="5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0.05</w:t>
            </w:r>
          </w:p>
        </w:tc>
        <w:tc>
          <w:tcPr>
            <w:tcW w:w="76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c>
          <w:tcPr>
            <w:tcW w:w="82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79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93"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5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59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888"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硫化物</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mg/L</w:t>
            </w:r>
          </w:p>
        </w:tc>
        <w:tc>
          <w:tcPr>
            <w:tcW w:w="5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0.2</w:t>
            </w:r>
          </w:p>
        </w:tc>
        <w:tc>
          <w:tcPr>
            <w:tcW w:w="76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c>
          <w:tcPr>
            <w:tcW w:w="82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79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93"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5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59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888"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阴离子表面活性剂</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mg/L</w:t>
            </w:r>
          </w:p>
        </w:tc>
        <w:tc>
          <w:tcPr>
            <w:tcW w:w="5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0.2</w:t>
            </w:r>
          </w:p>
        </w:tc>
        <w:tc>
          <w:tcPr>
            <w:tcW w:w="76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c>
          <w:tcPr>
            <w:tcW w:w="82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79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93"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5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59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888"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zh-CN" w:eastAsia="zh-CN"/>
              </w:rPr>
              <w:t>铅</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default" w:ascii="Times New Roman" w:hAnsi="Times New Roman" w:cs="Times New Roman" w:eastAsiaTheme="minorEastAsia"/>
                <w:color w:val="auto"/>
                <w:kern w:val="0"/>
                <w:sz w:val="18"/>
                <w:szCs w:val="18"/>
                <w:highlight w:val="none"/>
                <w:lang w:val="en-US" w:eastAsia="zh-CN"/>
              </w:rPr>
              <w:t>μg/L</w:t>
            </w:r>
          </w:p>
        </w:tc>
        <w:tc>
          <w:tcPr>
            <w:tcW w:w="5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cs="Times New Roman" w:eastAsiaTheme="minorEastAsia"/>
                <w:color w:val="auto"/>
                <w:kern w:val="0"/>
                <w:sz w:val="18"/>
                <w:szCs w:val="18"/>
                <w:highlight w:val="none"/>
                <w:lang w:val="en-US" w:eastAsia="zh-CN"/>
              </w:rPr>
              <w:t>50</w:t>
            </w:r>
          </w:p>
        </w:tc>
        <w:tc>
          <w:tcPr>
            <w:tcW w:w="76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c>
          <w:tcPr>
            <w:tcW w:w="82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79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93"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5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59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888"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val="zh-CN" w:eastAsia="zh-CN"/>
              </w:rPr>
            </w:pPr>
            <w:r>
              <w:rPr>
                <w:rFonts w:hint="eastAsia" w:eastAsiaTheme="minorEastAsia"/>
                <w:color w:val="auto"/>
                <w:kern w:val="0"/>
                <w:sz w:val="18"/>
                <w:szCs w:val="18"/>
                <w:highlight w:val="none"/>
                <w:lang w:val="zh-CN" w:eastAsia="zh-CN"/>
              </w:rPr>
              <w:t>镉</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eastAsia="zh-CN"/>
              </w:rPr>
            </w:pPr>
            <w:r>
              <w:rPr>
                <w:rFonts w:hint="default" w:ascii="Times New Roman" w:hAnsi="Times New Roman" w:cs="Times New Roman" w:eastAsiaTheme="minorEastAsia"/>
                <w:color w:val="auto"/>
                <w:kern w:val="0"/>
                <w:sz w:val="18"/>
                <w:szCs w:val="18"/>
                <w:highlight w:val="none"/>
                <w:lang w:val="en-US" w:eastAsia="zh-CN"/>
              </w:rPr>
              <w:t>μg/L</w:t>
            </w:r>
          </w:p>
        </w:tc>
        <w:tc>
          <w:tcPr>
            <w:tcW w:w="5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cs="Times New Roman" w:eastAsiaTheme="minorEastAsia"/>
                <w:color w:val="auto"/>
                <w:kern w:val="0"/>
                <w:sz w:val="18"/>
                <w:szCs w:val="18"/>
                <w:highlight w:val="none"/>
                <w:lang w:val="en-US" w:eastAsia="zh-CN"/>
              </w:rPr>
              <w:t>5</w:t>
            </w:r>
          </w:p>
        </w:tc>
        <w:tc>
          <w:tcPr>
            <w:tcW w:w="76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c>
          <w:tcPr>
            <w:tcW w:w="82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79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93"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5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59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888"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val="zh-CN" w:eastAsia="zh-CN"/>
              </w:rPr>
            </w:pPr>
            <w:r>
              <w:rPr>
                <w:rFonts w:hint="eastAsia" w:eastAsiaTheme="minorEastAsia"/>
                <w:color w:val="auto"/>
                <w:kern w:val="0"/>
                <w:sz w:val="18"/>
                <w:szCs w:val="18"/>
                <w:highlight w:val="none"/>
                <w:lang w:val="zh-CN" w:eastAsia="zh-CN"/>
              </w:rPr>
              <w:t>汞</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eastAsia="zh-CN"/>
              </w:rPr>
            </w:pPr>
            <w:r>
              <w:rPr>
                <w:rFonts w:hint="default" w:ascii="Times New Roman" w:hAnsi="Times New Roman" w:cs="Times New Roman" w:eastAsiaTheme="minorEastAsia"/>
                <w:color w:val="auto"/>
                <w:kern w:val="0"/>
                <w:sz w:val="18"/>
                <w:szCs w:val="18"/>
                <w:highlight w:val="none"/>
                <w:lang w:val="en-US" w:eastAsia="zh-CN"/>
              </w:rPr>
              <w:t>μg/L</w:t>
            </w:r>
          </w:p>
        </w:tc>
        <w:tc>
          <w:tcPr>
            <w:tcW w:w="5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cs="Times New Roman" w:eastAsiaTheme="minorEastAsia"/>
                <w:color w:val="auto"/>
                <w:kern w:val="0"/>
                <w:sz w:val="18"/>
                <w:szCs w:val="18"/>
                <w:highlight w:val="none"/>
                <w:lang w:val="en-US" w:eastAsia="zh-CN"/>
              </w:rPr>
              <w:t>0.1</w:t>
            </w:r>
          </w:p>
        </w:tc>
        <w:tc>
          <w:tcPr>
            <w:tcW w:w="76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c>
          <w:tcPr>
            <w:tcW w:w="82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79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93"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5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59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888"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val="zh-CN" w:eastAsia="zh-CN"/>
              </w:rPr>
            </w:pPr>
            <w:r>
              <w:rPr>
                <w:rFonts w:hint="eastAsia" w:eastAsiaTheme="minorEastAsia"/>
                <w:color w:val="auto"/>
                <w:kern w:val="0"/>
                <w:sz w:val="18"/>
                <w:szCs w:val="18"/>
                <w:highlight w:val="none"/>
                <w:lang w:val="zh-CN" w:eastAsia="zh-CN"/>
              </w:rPr>
              <w:t>砷</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eastAsia="zh-CN"/>
              </w:rPr>
            </w:pPr>
            <w:r>
              <w:rPr>
                <w:rFonts w:hint="default" w:ascii="Times New Roman" w:hAnsi="Times New Roman" w:cs="Times New Roman" w:eastAsiaTheme="minorEastAsia"/>
                <w:color w:val="auto"/>
                <w:kern w:val="0"/>
                <w:sz w:val="18"/>
                <w:szCs w:val="18"/>
                <w:highlight w:val="none"/>
                <w:lang w:val="en-US" w:eastAsia="zh-CN"/>
              </w:rPr>
              <w:t>μg/L</w:t>
            </w:r>
          </w:p>
        </w:tc>
        <w:tc>
          <w:tcPr>
            <w:tcW w:w="5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cs="Times New Roman" w:eastAsiaTheme="minorEastAsia"/>
                <w:color w:val="auto"/>
                <w:kern w:val="0"/>
                <w:sz w:val="18"/>
                <w:szCs w:val="18"/>
                <w:highlight w:val="none"/>
                <w:lang w:val="en-US" w:eastAsia="zh-CN"/>
              </w:rPr>
              <w:t>50</w:t>
            </w:r>
          </w:p>
        </w:tc>
        <w:tc>
          <w:tcPr>
            <w:tcW w:w="76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c>
          <w:tcPr>
            <w:tcW w:w="82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79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93"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5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59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888"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val="zh-CN" w:eastAsia="zh-CN"/>
              </w:rPr>
            </w:pPr>
            <w:r>
              <w:rPr>
                <w:rFonts w:hint="eastAsia" w:eastAsiaTheme="minorEastAsia"/>
                <w:color w:val="auto"/>
                <w:kern w:val="0"/>
                <w:sz w:val="18"/>
                <w:szCs w:val="18"/>
                <w:highlight w:val="none"/>
                <w:lang w:val="zh-CN" w:eastAsia="zh-CN"/>
              </w:rPr>
              <w:t>六价铬</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mg/L</w:t>
            </w:r>
          </w:p>
        </w:tc>
        <w:tc>
          <w:tcPr>
            <w:tcW w:w="5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0.05</w:t>
            </w:r>
          </w:p>
        </w:tc>
        <w:tc>
          <w:tcPr>
            <w:tcW w:w="76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c>
          <w:tcPr>
            <w:tcW w:w="82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79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93"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5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59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888"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val="zh-CN" w:eastAsia="zh-CN"/>
              </w:rPr>
            </w:pPr>
            <w:r>
              <w:rPr>
                <w:rFonts w:hint="eastAsia" w:eastAsiaTheme="minorEastAsia"/>
                <w:color w:val="auto"/>
                <w:kern w:val="0"/>
                <w:sz w:val="18"/>
                <w:szCs w:val="18"/>
                <w:highlight w:val="none"/>
                <w:lang w:val="zh-CN" w:eastAsia="zh-CN"/>
              </w:rPr>
              <w:t>氰化物</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mg/L</w:t>
            </w:r>
          </w:p>
        </w:tc>
        <w:tc>
          <w:tcPr>
            <w:tcW w:w="5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0.2</w:t>
            </w:r>
          </w:p>
        </w:tc>
        <w:tc>
          <w:tcPr>
            <w:tcW w:w="76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c>
          <w:tcPr>
            <w:tcW w:w="82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79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93"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5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59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888"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val="zh-CN" w:eastAsia="zh-CN"/>
              </w:rPr>
            </w:pPr>
            <w:r>
              <w:rPr>
                <w:rFonts w:hint="eastAsia" w:eastAsiaTheme="minorEastAsia"/>
                <w:color w:val="auto"/>
                <w:kern w:val="0"/>
                <w:sz w:val="18"/>
                <w:szCs w:val="18"/>
                <w:highlight w:val="none"/>
                <w:lang w:val="zh-CN" w:eastAsia="zh-CN"/>
              </w:rPr>
              <w:t>铜</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mg/L</w:t>
            </w:r>
          </w:p>
        </w:tc>
        <w:tc>
          <w:tcPr>
            <w:tcW w:w="5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1</w:t>
            </w:r>
          </w:p>
        </w:tc>
        <w:tc>
          <w:tcPr>
            <w:tcW w:w="76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c>
          <w:tcPr>
            <w:tcW w:w="82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79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93"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5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59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888"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val="zh-CN" w:eastAsia="zh-CN"/>
              </w:rPr>
            </w:pPr>
            <w:r>
              <w:rPr>
                <w:rFonts w:hint="eastAsia" w:eastAsiaTheme="minorEastAsia"/>
                <w:color w:val="auto"/>
                <w:kern w:val="0"/>
                <w:sz w:val="18"/>
                <w:szCs w:val="18"/>
                <w:highlight w:val="none"/>
                <w:lang w:val="zh-CN" w:eastAsia="zh-CN"/>
              </w:rPr>
              <w:t>锌</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mg/L</w:t>
            </w:r>
          </w:p>
        </w:tc>
        <w:tc>
          <w:tcPr>
            <w:tcW w:w="5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1</w:t>
            </w:r>
          </w:p>
        </w:tc>
        <w:tc>
          <w:tcPr>
            <w:tcW w:w="76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c>
          <w:tcPr>
            <w:tcW w:w="82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79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93"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5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59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888"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挥发酚</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mg/L</w:t>
            </w:r>
          </w:p>
        </w:tc>
        <w:tc>
          <w:tcPr>
            <w:tcW w:w="5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0.005</w:t>
            </w:r>
          </w:p>
        </w:tc>
        <w:tc>
          <w:tcPr>
            <w:tcW w:w="76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w:t>
            </w:r>
          </w:p>
        </w:tc>
        <w:tc>
          <w:tcPr>
            <w:tcW w:w="82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79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93"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5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6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59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c>
          <w:tcPr>
            <w:tcW w:w="888"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ascii="Times New Roman" w:hAnsi="Times New Roman" w:cs="Times New Roman" w:eastAsiaTheme="minorEastAsia"/>
                <w:color w:val="auto"/>
                <w:kern w:val="0"/>
                <w:sz w:val="18"/>
                <w:szCs w:val="18"/>
                <w:highlight w:val="none"/>
                <w:lang w:val="en-US" w:eastAsia="zh-CN" w:bidi="ar-SA"/>
              </w:rPr>
            </w:pPr>
            <w:r>
              <w:rPr>
                <w:rFonts w:hint="eastAsia" w:eastAsiaTheme="minorEastAsia"/>
                <w:color w:val="auto"/>
                <w:kern w:val="0"/>
                <w:sz w:val="18"/>
                <w:szCs w:val="18"/>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val="zh-CN" w:eastAsia="zh-CN"/>
              </w:rPr>
            </w:pPr>
            <w:r>
              <w:rPr>
                <w:rFonts w:hint="eastAsia" w:eastAsiaTheme="minorEastAsia"/>
                <w:color w:val="auto"/>
                <w:kern w:val="0"/>
                <w:sz w:val="18"/>
                <w:szCs w:val="18"/>
                <w:highlight w:val="none"/>
                <w:lang w:val="zh-CN" w:eastAsia="zh-CN"/>
              </w:rPr>
              <w:t>粪大肠菌群</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bidi="ar-SA"/>
              </w:rPr>
            </w:pPr>
            <w:r>
              <w:rPr>
                <w:rFonts w:hint="eastAsia" w:cs="Times New Roman" w:eastAsiaTheme="minorEastAsia"/>
                <w:color w:val="auto"/>
                <w:kern w:val="0"/>
                <w:sz w:val="18"/>
                <w:szCs w:val="18"/>
                <w:highlight w:val="none"/>
                <w:lang w:val="en-US" w:eastAsia="zh-CN" w:bidi="ar-SA"/>
              </w:rPr>
              <w:t>MPN/L</w:t>
            </w:r>
          </w:p>
        </w:tc>
        <w:tc>
          <w:tcPr>
            <w:tcW w:w="5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cs="Times New Roman" w:eastAsiaTheme="minorEastAsia"/>
                <w:color w:val="auto"/>
                <w:kern w:val="0"/>
                <w:sz w:val="18"/>
                <w:szCs w:val="18"/>
                <w:highlight w:val="none"/>
                <w:lang w:val="en-US" w:eastAsia="zh-CN" w:bidi="ar-SA"/>
              </w:rPr>
            </w:pPr>
            <w:r>
              <w:rPr>
                <w:rFonts w:hint="eastAsia" w:cs="Times New Roman" w:eastAsiaTheme="minorEastAsia"/>
                <w:color w:val="auto"/>
                <w:kern w:val="0"/>
                <w:sz w:val="18"/>
                <w:szCs w:val="18"/>
                <w:highlight w:val="none"/>
                <w:lang w:val="en-US" w:eastAsia="zh-CN" w:bidi="ar-SA"/>
              </w:rPr>
              <w:t>10000</w:t>
            </w:r>
          </w:p>
        </w:tc>
        <w:tc>
          <w:tcPr>
            <w:tcW w:w="76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0.017 </w:t>
            </w:r>
          </w:p>
        </w:tc>
        <w:tc>
          <w:tcPr>
            <w:tcW w:w="82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0.009 </w:t>
            </w:r>
          </w:p>
        </w:tc>
        <w:tc>
          <w:tcPr>
            <w:tcW w:w="79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0.012 </w:t>
            </w:r>
          </w:p>
        </w:tc>
        <w:tc>
          <w:tcPr>
            <w:tcW w:w="67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0.014 </w:t>
            </w:r>
          </w:p>
        </w:tc>
        <w:tc>
          <w:tcPr>
            <w:tcW w:w="693"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0.008 </w:t>
            </w:r>
          </w:p>
        </w:tc>
        <w:tc>
          <w:tcPr>
            <w:tcW w:w="65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0.022 </w:t>
            </w:r>
          </w:p>
        </w:tc>
        <w:tc>
          <w:tcPr>
            <w:tcW w:w="6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0.006 </w:t>
            </w:r>
          </w:p>
        </w:tc>
        <w:tc>
          <w:tcPr>
            <w:tcW w:w="59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0.006 </w:t>
            </w:r>
          </w:p>
        </w:tc>
        <w:tc>
          <w:tcPr>
            <w:tcW w:w="888"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0.014 </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81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val="zh-CN" w:eastAsia="zh-CN"/>
              </w:rPr>
            </w:pPr>
            <w:r>
              <w:rPr>
                <w:rFonts w:hint="eastAsia" w:eastAsiaTheme="minorEastAsia"/>
                <w:color w:val="auto"/>
                <w:kern w:val="0"/>
                <w:sz w:val="18"/>
                <w:szCs w:val="18"/>
                <w:highlight w:val="none"/>
                <w:lang w:val="zh-CN" w:eastAsia="zh-CN"/>
              </w:rPr>
              <w:t>氟化物</w:t>
            </w:r>
          </w:p>
        </w:tc>
        <w:tc>
          <w:tcPr>
            <w:tcW w:w="76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mg/L</w:t>
            </w:r>
          </w:p>
        </w:tc>
        <w:tc>
          <w:tcPr>
            <w:tcW w:w="5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Theme="minorEastAsia"/>
                <w:color w:val="auto"/>
                <w:kern w:val="0"/>
                <w:sz w:val="18"/>
                <w:szCs w:val="18"/>
                <w:highlight w:val="none"/>
                <w:lang w:val="en-US" w:eastAsia="zh-CN"/>
              </w:rPr>
            </w:pPr>
            <w:r>
              <w:rPr>
                <w:rFonts w:hint="eastAsia" w:eastAsiaTheme="minorEastAsia"/>
                <w:color w:val="auto"/>
                <w:kern w:val="0"/>
                <w:sz w:val="18"/>
                <w:szCs w:val="18"/>
                <w:highlight w:val="none"/>
                <w:lang w:val="en-US" w:eastAsia="zh-CN"/>
              </w:rPr>
              <w:t>1.0</w:t>
            </w:r>
          </w:p>
        </w:tc>
        <w:tc>
          <w:tcPr>
            <w:tcW w:w="76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0.390 </w:t>
            </w:r>
          </w:p>
        </w:tc>
        <w:tc>
          <w:tcPr>
            <w:tcW w:w="82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0.380 </w:t>
            </w:r>
          </w:p>
        </w:tc>
        <w:tc>
          <w:tcPr>
            <w:tcW w:w="79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0.400 </w:t>
            </w:r>
          </w:p>
        </w:tc>
        <w:tc>
          <w:tcPr>
            <w:tcW w:w="673"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0.400 </w:t>
            </w:r>
          </w:p>
        </w:tc>
        <w:tc>
          <w:tcPr>
            <w:tcW w:w="693"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0.380 </w:t>
            </w:r>
          </w:p>
        </w:tc>
        <w:tc>
          <w:tcPr>
            <w:tcW w:w="65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0.430 </w:t>
            </w:r>
          </w:p>
        </w:tc>
        <w:tc>
          <w:tcPr>
            <w:tcW w:w="6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0.390 </w:t>
            </w:r>
          </w:p>
        </w:tc>
        <w:tc>
          <w:tcPr>
            <w:tcW w:w="59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0.390 </w:t>
            </w:r>
          </w:p>
        </w:tc>
        <w:tc>
          <w:tcPr>
            <w:tcW w:w="888"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cs="Times New Roman" w:eastAsiaTheme="minorEastAsia"/>
                <w:color w:val="auto"/>
                <w:kern w:val="0"/>
                <w:sz w:val="18"/>
                <w:szCs w:val="18"/>
                <w:highlight w:val="none"/>
                <w:lang w:val="en-US" w:eastAsia="zh-CN"/>
              </w:rPr>
            </w:pPr>
            <w:r>
              <w:rPr>
                <w:rFonts w:hint="eastAsia" w:ascii="Times New Roman" w:hAnsi="Times New Roman" w:cs="Times New Roman" w:eastAsiaTheme="minorEastAsia"/>
                <w:color w:val="auto"/>
                <w:kern w:val="0"/>
                <w:sz w:val="18"/>
                <w:szCs w:val="18"/>
                <w:highlight w:val="none"/>
                <w:lang w:val="en-US" w:eastAsia="zh-CN"/>
              </w:rPr>
              <w:t xml:space="preserve">0.390 </w:t>
            </w:r>
          </w:p>
        </w:tc>
      </w:tr>
    </w:tbl>
    <w:p>
      <w:pPr>
        <w:keepNext w:val="0"/>
        <w:keepLines w:val="0"/>
        <w:pageBreakBefore w:val="0"/>
        <w:widowControl w:val="0"/>
        <w:kinsoku/>
        <w:wordWrap/>
        <w:overflowPunct/>
        <w:topLinePunct w:val="0"/>
        <w:autoSpaceDE w:val="0"/>
        <w:autoSpaceDN w:val="0"/>
        <w:bidi w:val="0"/>
        <w:adjustRightInd w:val="0"/>
        <w:spacing w:line="460" w:lineRule="exact"/>
        <w:ind w:firstLine="480" w:firstLineChars="200"/>
        <w:textAlignment w:val="auto"/>
        <w:rPr>
          <w:sz w:val="24"/>
          <w:highlight w:val="none"/>
          <w:lang w:val="zh-CN"/>
        </w:rPr>
      </w:pPr>
      <w:r>
        <w:rPr>
          <w:kern w:val="0"/>
          <w:sz w:val="24"/>
          <w:highlight w:val="none"/>
        </w:rPr>
        <w:t>从上表可以看出，</w:t>
      </w:r>
      <w:r>
        <w:rPr>
          <w:color w:val="auto"/>
          <w:kern w:val="0"/>
          <w:sz w:val="24"/>
          <w:highlight w:val="none"/>
        </w:rPr>
        <w:t>黎河输送水所测的各项指标</w:t>
      </w:r>
      <w:r>
        <w:rPr>
          <w:rFonts w:hint="eastAsia"/>
          <w:color w:val="auto"/>
          <w:kern w:val="0"/>
          <w:sz w:val="24"/>
          <w:highlight w:val="none"/>
          <w:lang w:eastAsia="zh-CN"/>
        </w:rPr>
        <w:t>污染指数</w:t>
      </w:r>
      <w:r>
        <w:rPr>
          <w:kern w:val="0"/>
          <w:sz w:val="24"/>
          <w:highlight w:val="none"/>
        </w:rPr>
        <w:t>均能达到《地表水环境质量标准》（GB3838-2002）</w:t>
      </w:r>
      <w:r>
        <w:rPr>
          <w:rFonts w:hint="eastAsia" w:ascii="宋体" w:hAnsi="宋体" w:cs="宋体"/>
          <w:kern w:val="0"/>
          <w:sz w:val="24"/>
          <w:highlight w:val="none"/>
        </w:rPr>
        <w:t>Ⅲ</w:t>
      </w:r>
      <w:r>
        <w:rPr>
          <w:kern w:val="0"/>
          <w:sz w:val="24"/>
          <w:highlight w:val="none"/>
        </w:rPr>
        <w:t>类标准要求，地表水环境质量良好</w:t>
      </w:r>
      <w:r>
        <w:rPr>
          <w:rFonts w:hint="eastAsia"/>
          <w:kern w:val="0"/>
          <w:sz w:val="24"/>
          <w:highlight w:val="none"/>
        </w:rPr>
        <w:t>。</w:t>
      </w:r>
    </w:p>
    <w:p>
      <w:pPr>
        <w:keepNext w:val="0"/>
        <w:keepLines w:val="0"/>
        <w:pageBreakBefore w:val="0"/>
        <w:widowControl w:val="0"/>
        <w:kinsoku/>
        <w:wordWrap/>
        <w:overflowPunct/>
        <w:topLinePunct w:val="0"/>
        <w:bidi w:val="0"/>
        <w:spacing w:line="460" w:lineRule="exact"/>
        <w:textAlignment w:val="auto"/>
        <w:outlineLvl w:val="1"/>
        <w:rPr>
          <w:b/>
          <w:snapToGrid w:val="0"/>
          <w:kern w:val="0"/>
          <w:sz w:val="24"/>
          <w:highlight w:val="none"/>
        </w:rPr>
      </w:pPr>
      <w:bookmarkStart w:id="182" w:name="_Toc467730400"/>
      <w:bookmarkStart w:id="183" w:name="_Toc519179250"/>
      <w:bookmarkStart w:id="184" w:name="_Toc30009"/>
      <w:r>
        <w:rPr>
          <w:rFonts w:hint="eastAsia"/>
          <w:b/>
          <w:snapToGrid w:val="0"/>
          <w:kern w:val="0"/>
          <w:sz w:val="24"/>
          <w:highlight w:val="none"/>
        </w:rPr>
        <w:t>4.5</w:t>
      </w:r>
      <w:r>
        <w:rPr>
          <w:b/>
          <w:snapToGrid w:val="0"/>
          <w:kern w:val="0"/>
          <w:sz w:val="24"/>
          <w:highlight w:val="none"/>
        </w:rPr>
        <w:t>地下水环境</w:t>
      </w:r>
      <w:bookmarkEnd w:id="182"/>
      <w:bookmarkEnd w:id="183"/>
      <w:bookmarkEnd w:id="184"/>
    </w:p>
    <w:p>
      <w:pPr>
        <w:pStyle w:val="309"/>
        <w:keepNext w:val="0"/>
        <w:keepLines w:val="0"/>
        <w:pageBreakBefore w:val="0"/>
        <w:widowControl w:val="0"/>
        <w:kinsoku/>
        <w:wordWrap/>
        <w:overflowPunct/>
        <w:topLinePunct w:val="0"/>
        <w:bidi w:val="0"/>
        <w:spacing w:line="460" w:lineRule="exact"/>
        <w:textAlignment w:val="auto"/>
        <w:rPr>
          <w:rFonts w:hint="default" w:ascii="Times New Roman" w:hAnsi="Times New Roman" w:cs="Times New Roman"/>
          <w:highlight w:val="none"/>
        </w:rPr>
      </w:pPr>
      <w:bookmarkStart w:id="185" w:name="_Toc467730401"/>
      <w:bookmarkStart w:id="186" w:name="_Toc519179251"/>
      <w:r>
        <w:rPr>
          <w:rFonts w:hint="default" w:ascii="Times New Roman" w:hAnsi="Times New Roman" w:cs="Times New Roman"/>
          <w:snapToGrid w:val="0"/>
          <w:kern w:val="0"/>
          <w:highlight w:val="none"/>
        </w:rPr>
        <w:t>根据《环境影响评价技术导则-地下水环境》（HJ 610-2016），</w:t>
      </w:r>
      <w:r>
        <w:rPr>
          <w:rFonts w:hint="default" w:ascii="Times New Roman" w:hAnsi="Times New Roman" w:cs="Times New Roman"/>
          <w:highlight w:val="none"/>
        </w:rPr>
        <w:t>本项目地下水环境影响评价工作等级为二级。评价范围两侧陆域分水岭的向河流一侧区域，呈矩形。即：橡胶坝上游750m至水电厂房尾水口下游1380m，河道总长约3230m；河道南侧约1120m，西部距离电站1450m，东部距离电站1670m；河道北侧约650m，总面积6.01km</w:t>
      </w:r>
      <w:r>
        <w:rPr>
          <w:rFonts w:hint="default" w:ascii="Times New Roman" w:hAnsi="Times New Roman" w:cs="Times New Roman"/>
          <w:highlight w:val="none"/>
          <w:vertAlign w:val="superscript"/>
        </w:rPr>
        <w:t>2</w:t>
      </w:r>
      <w:r>
        <w:rPr>
          <w:rFonts w:hint="default" w:ascii="Times New Roman" w:hAnsi="Times New Roman" w:cs="Times New Roman"/>
          <w:highlight w:val="none"/>
        </w:rPr>
        <w:t>。</w:t>
      </w:r>
    </w:p>
    <w:p>
      <w:pPr>
        <w:keepNext w:val="0"/>
        <w:keepLines w:val="0"/>
        <w:pageBreakBefore w:val="0"/>
        <w:widowControl w:val="0"/>
        <w:kinsoku/>
        <w:wordWrap/>
        <w:overflowPunct/>
        <w:topLinePunct w:val="0"/>
        <w:bidi w:val="0"/>
        <w:snapToGrid w:val="0"/>
        <w:spacing w:line="460" w:lineRule="exact"/>
        <w:textAlignment w:val="auto"/>
        <w:outlineLvl w:val="2"/>
        <w:rPr>
          <w:b/>
          <w:snapToGrid w:val="0"/>
          <w:kern w:val="0"/>
          <w:sz w:val="24"/>
          <w:highlight w:val="none"/>
        </w:rPr>
      </w:pPr>
      <w:r>
        <w:rPr>
          <w:rFonts w:hint="eastAsia"/>
          <w:b/>
          <w:snapToGrid w:val="0"/>
          <w:kern w:val="0"/>
          <w:sz w:val="24"/>
          <w:highlight w:val="none"/>
        </w:rPr>
        <w:t xml:space="preserve">4.5.1  </w:t>
      </w:r>
      <w:r>
        <w:rPr>
          <w:b/>
          <w:snapToGrid w:val="0"/>
          <w:kern w:val="0"/>
          <w:sz w:val="24"/>
          <w:highlight w:val="none"/>
        </w:rPr>
        <w:t>地下水</w:t>
      </w:r>
      <w:bookmarkEnd w:id="185"/>
      <w:bookmarkEnd w:id="186"/>
    </w:p>
    <w:p>
      <w:pPr>
        <w:keepNext w:val="0"/>
        <w:keepLines w:val="0"/>
        <w:pageBreakBefore w:val="0"/>
        <w:widowControl w:val="0"/>
        <w:kinsoku/>
        <w:wordWrap/>
        <w:overflowPunct/>
        <w:topLinePunct w:val="0"/>
        <w:bidi w:val="0"/>
        <w:spacing w:line="460" w:lineRule="exact"/>
        <w:ind w:firstLine="480" w:firstLineChars="200"/>
        <w:textAlignment w:val="auto"/>
        <w:rPr>
          <w:sz w:val="24"/>
          <w:highlight w:val="none"/>
        </w:rPr>
      </w:pPr>
      <w:r>
        <w:rPr>
          <w:sz w:val="24"/>
          <w:highlight w:val="none"/>
        </w:rPr>
        <w:t>（1）监测布点</w:t>
      </w:r>
    </w:p>
    <w:p>
      <w:pPr>
        <w:keepNext w:val="0"/>
        <w:keepLines w:val="0"/>
        <w:pageBreakBefore w:val="0"/>
        <w:widowControl w:val="0"/>
        <w:kinsoku/>
        <w:wordWrap/>
        <w:overflowPunct/>
        <w:topLinePunct w:val="0"/>
        <w:bidi w:val="0"/>
        <w:spacing w:line="460" w:lineRule="exact"/>
        <w:ind w:firstLine="480" w:firstLineChars="200"/>
        <w:textAlignment w:val="auto"/>
        <w:rPr>
          <w:rFonts w:ascii="Times New Roman" w:hAnsi="Times New Roman" w:cs="Times New Roman"/>
          <w:color w:val="auto"/>
          <w:sz w:val="24"/>
          <w:highlight w:val="none"/>
        </w:rPr>
      </w:pPr>
      <w:r>
        <w:rPr>
          <w:color w:val="auto"/>
          <w:sz w:val="24"/>
          <w:highlight w:val="none"/>
        </w:rPr>
        <w:t>评价区浅层地下水</w:t>
      </w:r>
      <w:r>
        <w:rPr>
          <w:rFonts w:hint="eastAsia"/>
          <w:color w:val="auto"/>
          <w:sz w:val="24"/>
          <w:highlight w:val="none"/>
          <w:lang w:eastAsia="zh-CN"/>
        </w:rPr>
        <w:t>、</w:t>
      </w:r>
      <w:r>
        <w:rPr>
          <w:color w:val="auto"/>
          <w:sz w:val="24"/>
          <w:highlight w:val="none"/>
        </w:rPr>
        <w:t>深层地下水整体流向为从</w:t>
      </w:r>
      <w:r>
        <w:rPr>
          <w:rFonts w:hint="eastAsia"/>
          <w:color w:val="auto"/>
          <w:sz w:val="24"/>
          <w:highlight w:val="none"/>
          <w:lang w:eastAsia="zh-CN"/>
        </w:rPr>
        <w:t>东</w:t>
      </w:r>
      <w:r>
        <w:rPr>
          <w:color w:val="auto"/>
          <w:sz w:val="24"/>
          <w:highlight w:val="none"/>
        </w:rPr>
        <w:t>向</w:t>
      </w:r>
      <w:r>
        <w:rPr>
          <w:rFonts w:hint="eastAsia"/>
          <w:color w:val="auto"/>
          <w:sz w:val="24"/>
          <w:highlight w:val="none"/>
          <w:lang w:eastAsia="zh-CN"/>
        </w:rPr>
        <w:t>西</w:t>
      </w:r>
      <w:r>
        <w:rPr>
          <w:color w:val="auto"/>
          <w:sz w:val="24"/>
          <w:highlight w:val="none"/>
        </w:rPr>
        <w:t>，水位埋深3~7m，水力坡度为0.3～0.5‰；两期水位监测表明地下水流场基本一致，且两期地下水总体流向未发生改变</w:t>
      </w:r>
      <w:r>
        <w:rPr>
          <w:rFonts w:ascii="Times New Roman" w:hAnsi="Times New Roman" w:cs="Times New Roman"/>
          <w:color w:val="auto"/>
          <w:sz w:val="24"/>
          <w:highlight w:val="none"/>
        </w:rPr>
        <w:t>。评价范围内共布设水质监测点</w:t>
      </w:r>
      <w:r>
        <w:rPr>
          <w:rFonts w:hint="eastAsia" w:cs="Times New Roman"/>
          <w:color w:val="auto"/>
          <w:sz w:val="24"/>
          <w:highlight w:val="none"/>
          <w:lang w:val="en-US" w:eastAsia="zh-CN"/>
        </w:rPr>
        <w:t>4</w:t>
      </w:r>
      <w:r>
        <w:rPr>
          <w:rFonts w:hint="default" w:ascii="Times New Roman" w:hAnsi="Times New Roman" w:cs="Times New Roman"/>
          <w:color w:val="auto"/>
          <w:sz w:val="24"/>
          <w:highlight w:val="none"/>
        </w:rPr>
        <w:t>个</w:t>
      </w:r>
      <w:r>
        <w:rPr>
          <w:rFonts w:hint="eastAsia" w:cs="Times New Roman"/>
          <w:color w:val="auto"/>
          <w:sz w:val="24"/>
          <w:highlight w:val="none"/>
          <w:lang w:eastAsia="zh-CN"/>
        </w:rPr>
        <w:t>，（其中</w:t>
      </w:r>
      <w:r>
        <w:rPr>
          <w:rFonts w:hint="eastAsia" w:cs="Times New Roman"/>
          <w:color w:val="auto"/>
          <w:sz w:val="24"/>
          <w:highlight w:val="none"/>
          <w:lang w:val="en-US" w:eastAsia="zh-CN"/>
        </w:rPr>
        <w:t>3个潜层水，1个承压水）</w:t>
      </w:r>
      <w:r>
        <w:rPr>
          <w:rFonts w:hint="default" w:ascii="Times New Roman" w:hAnsi="Times New Roman" w:cs="Times New Roman"/>
          <w:color w:val="auto"/>
          <w:sz w:val="24"/>
          <w:highlight w:val="none"/>
        </w:rPr>
        <w:t>，水位监测点位</w:t>
      </w:r>
      <w:r>
        <w:rPr>
          <w:rFonts w:hint="eastAsia" w:cs="Times New Roman"/>
          <w:color w:val="auto"/>
          <w:sz w:val="24"/>
          <w:highlight w:val="none"/>
          <w:lang w:val="en-US" w:eastAsia="zh-CN"/>
        </w:rPr>
        <w:t>8</w:t>
      </w:r>
      <w:r>
        <w:rPr>
          <w:rFonts w:hint="default" w:ascii="Times New Roman" w:hAnsi="Times New Roman" w:cs="Times New Roman"/>
          <w:color w:val="auto"/>
          <w:sz w:val="24"/>
          <w:highlight w:val="none"/>
        </w:rPr>
        <w:t>个。监</w:t>
      </w:r>
      <w:r>
        <w:rPr>
          <w:rFonts w:ascii="Times New Roman" w:hAnsi="Times New Roman" w:cs="Times New Roman"/>
          <w:color w:val="auto"/>
          <w:sz w:val="24"/>
          <w:highlight w:val="none"/>
        </w:rPr>
        <w:t>测点位一览表见</w:t>
      </w:r>
      <w:r>
        <w:rPr>
          <w:rFonts w:hint="eastAsia" w:ascii="Times New Roman" w:hAnsi="Times New Roman" w:cs="Times New Roman"/>
          <w:color w:val="auto"/>
          <w:sz w:val="24"/>
          <w:highlight w:val="none"/>
        </w:rPr>
        <w:t>下</w:t>
      </w:r>
      <w:r>
        <w:rPr>
          <w:rFonts w:ascii="Times New Roman" w:hAnsi="Times New Roman" w:cs="Times New Roman"/>
          <w:color w:val="auto"/>
          <w:sz w:val="24"/>
          <w:highlight w:val="none"/>
        </w:rPr>
        <w:t>表。</w:t>
      </w:r>
    </w:p>
    <w:p>
      <w:pPr>
        <w:adjustRightInd w:val="0"/>
        <w:snapToGrid w:val="0"/>
        <w:spacing w:line="480" w:lineRule="exact"/>
        <w:jc w:val="center"/>
        <w:rPr>
          <w:b/>
          <w:bCs/>
          <w:color w:val="auto"/>
          <w:sz w:val="24"/>
          <w:highlight w:val="none"/>
        </w:rPr>
      </w:pPr>
      <w:r>
        <w:rPr>
          <w:b/>
          <w:bCs/>
          <w:color w:val="auto"/>
          <w:sz w:val="24"/>
          <w:highlight w:val="none"/>
        </w:rPr>
        <w:t>表</w:t>
      </w:r>
      <w:r>
        <w:rPr>
          <w:rFonts w:hint="eastAsia"/>
          <w:b/>
          <w:bCs/>
          <w:color w:val="auto"/>
          <w:sz w:val="24"/>
          <w:highlight w:val="none"/>
        </w:rPr>
        <w:t xml:space="preserve">4.5-1 </w:t>
      </w:r>
      <w:r>
        <w:rPr>
          <w:b/>
          <w:snapToGrid w:val="0"/>
          <w:color w:val="auto"/>
          <w:sz w:val="24"/>
          <w:highlight w:val="none"/>
        </w:rPr>
        <w:t xml:space="preserve"> </w:t>
      </w:r>
      <w:r>
        <w:rPr>
          <w:b/>
          <w:bCs/>
          <w:color w:val="auto"/>
          <w:sz w:val="24"/>
          <w:highlight w:val="none"/>
        </w:rPr>
        <w:t>地下水环境质量现状监测点设置一览表</w:t>
      </w:r>
    </w:p>
    <w:tbl>
      <w:tblPr>
        <w:tblStyle w:val="51"/>
        <w:tblW w:w="8325" w:type="dxa"/>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997"/>
        <w:gridCol w:w="1565"/>
        <w:gridCol w:w="2094"/>
        <w:gridCol w:w="1200"/>
        <w:gridCol w:w="2469"/>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38" w:hRule="atLeast"/>
          <w:jc w:val="center"/>
        </w:trPr>
        <w:tc>
          <w:tcPr>
            <w:tcW w:w="997" w:type="dxa"/>
            <w:tcBorders>
              <w:top w:val="single" w:color="auto" w:sz="4" w:space="0"/>
              <w:left w:val="single" w:color="auto" w:sz="4" w:space="0"/>
              <w:bottom w:val="single" w:color="auto" w:sz="2" w:space="0"/>
              <w:right w:val="single" w:color="auto" w:sz="2" w:space="0"/>
            </w:tcBorders>
            <w:vAlign w:val="center"/>
          </w:tcPr>
          <w:p>
            <w:pPr>
              <w:adjustRightInd w:val="0"/>
              <w:snapToGrid w:val="0"/>
              <w:spacing w:line="260" w:lineRule="exact"/>
              <w:jc w:val="center"/>
              <w:rPr>
                <w:color w:val="auto"/>
                <w:szCs w:val="21"/>
                <w:highlight w:val="none"/>
              </w:rPr>
            </w:pPr>
            <w:r>
              <w:rPr>
                <w:color w:val="auto"/>
                <w:szCs w:val="21"/>
                <w:highlight w:val="none"/>
              </w:rPr>
              <w:t>序号</w:t>
            </w:r>
          </w:p>
        </w:tc>
        <w:tc>
          <w:tcPr>
            <w:tcW w:w="1565" w:type="dxa"/>
            <w:tcBorders>
              <w:top w:val="single" w:color="auto" w:sz="4" w:space="0"/>
              <w:left w:val="single" w:color="auto" w:sz="2" w:space="0"/>
              <w:bottom w:val="single" w:color="auto" w:sz="2" w:space="0"/>
              <w:right w:val="single" w:color="auto" w:sz="4" w:space="0"/>
            </w:tcBorders>
            <w:vAlign w:val="center"/>
          </w:tcPr>
          <w:p>
            <w:pPr>
              <w:adjustRightInd w:val="0"/>
              <w:snapToGrid w:val="0"/>
              <w:spacing w:line="260" w:lineRule="exact"/>
              <w:jc w:val="center"/>
              <w:rPr>
                <w:color w:val="auto"/>
                <w:szCs w:val="21"/>
                <w:highlight w:val="none"/>
              </w:rPr>
            </w:pPr>
            <w:r>
              <w:rPr>
                <w:color w:val="auto"/>
                <w:szCs w:val="21"/>
                <w:highlight w:val="none"/>
              </w:rPr>
              <w:t>监测点位置</w:t>
            </w:r>
          </w:p>
        </w:tc>
        <w:tc>
          <w:tcPr>
            <w:tcW w:w="2094" w:type="dxa"/>
            <w:tcBorders>
              <w:top w:val="single" w:color="auto" w:sz="4" w:space="0"/>
              <w:left w:val="single" w:color="auto" w:sz="4" w:space="0"/>
              <w:bottom w:val="single" w:color="auto" w:sz="2" w:space="0"/>
              <w:right w:val="single" w:color="auto" w:sz="2" w:space="0"/>
            </w:tcBorders>
            <w:vAlign w:val="center"/>
          </w:tcPr>
          <w:p>
            <w:pPr>
              <w:adjustRightInd w:val="0"/>
              <w:snapToGrid w:val="0"/>
              <w:spacing w:line="260" w:lineRule="exact"/>
              <w:jc w:val="center"/>
              <w:rPr>
                <w:color w:val="auto"/>
                <w:szCs w:val="21"/>
                <w:highlight w:val="none"/>
              </w:rPr>
            </w:pPr>
            <w:r>
              <w:rPr>
                <w:color w:val="auto"/>
                <w:szCs w:val="21"/>
                <w:highlight w:val="none"/>
              </w:rPr>
              <w:t>与项目方位距离</w:t>
            </w:r>
          </w:p>
        </w:tc>
        <w:tc>
          <w:tcPr>
            <w:tcW w:w="1200" w:type="dxa"/>
            <w:tcBorders>
              <w:top w:val="single" w:color="auto" w:sz="4" w:space="0"/>
              <w:left w:val="single" w:color="auto" w:sz="2" w:space="0"/>
              <w:bottom w:val="single" w:color="auto" w:sz="2" w:space="0"/>
              <w:right w:val="single" w:color="auto" w:sz="2" w:space="0"/>
            </w:tcBorders>
            <w:vAlign w:val="center"/>
          </w:tcPr>
          <w:p>
            <w:pPr>
              <w:adjustRightInd w:val="0"/>
              <w:snapToGrid w:val="0"/>
              <w:spacing w:line="260" w:lineRule="exact"/>
              <w:jc w:val="center"/>
              <w:rPr>
                <w:color w:val="auto"/>
                <w:szCs w:val="21"/>
                <w:highlight w:val="none"/>
              </w:rPr>
            </w:pPr>
            <w:r>
              <w:rPr>
                <w:color w:val="auto"/>
                <w:szCs w:val="21"/>
                <w:highlight w:val="none"/>
              </w:rPr>
              <w:t>功  能</w:t>
            </w:r>
          </w:p>
        </w:tc>
        <w:tc>
          <w:tcPr>
            <w:tcW w:w="2469" w:type="dxa"/>
            <w:tcBorders>
              <w:top w:val="single" w:color="auto" w:sz="4" w:space="0"/>
              <w:left w:val="single" w:color="auto" w:sz="2" w:space="0"/>
              <w:bottom w:val="single" w:color="auto" w:sz="2" w:space="0"/>
              <w:right w:val="single" w:color="auto" w:sz="4" w:space="0"/>
            </w:tcBorders>
            <w:vAlign w:val="center"/>
          </w:tcPr>
          <w:p>
            <w:pPr>
              <w:adjustRightInd w:val="0"/>
              <w:snapToGrid w:val="0"/>
              <w:spacing w:line="260" w:lineRule="exact"/>
              <w:jc w:val="center"/>
              <w:rPr>
                <w:color w:val="auto"/>
                <w:szCs w:val="21"/>
                <w:highlight w:val="none"/>
              </w:rPr>
            </w:pPr>
            <w:r>
              <w:rPr>
                <w:color w:val="auto"/>
                <w:szCs w:val="21"/>
                <w:highlight w:val="none"/>
              </w:rPr>
              <w:t>备    注</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38" w:hRule="atLeast"/>
          <w:jc w:val="center"/>
        </w:trPr>
        <w:tc>
          <w:tcPr>
            <w:tcW w:w="997" w:type="dxa"/>
            <w:tcBorders>
              <w:top w:val="single" w:color="auto" w:sz="2" w:space="0"/>
              <w:left w:val="single" w:color="auto" w:sz="4" w:space="0"/>
              <w:bottom w:val="single" w:color="auto" w:sz="2" w:space="0"/>
              <w:right w:val="single" w:color="auto" w:sz="2" w:space="0"/>
            </w:tcBorders>
            <w:vAlign w:val="center"/>
          </w:tcPr>
          <w:p>
            <w:pPr>
              <w:adjustRightInd w:val="0"/>
              <w:snapToGrid w:val="0"/>
              <w:spacing w:line="260" w:lineRule="exact"/>
              <w:jc w:val="center"/>
              <w:rPr>
                <w:color w:val="auto"/>
                <w:szCs w:val="21"/>
                <w:highlight w:val="none"/>
              </w:rPr>
            </w:pPr>
            <w:r>
              <w:rPr>
                <w:color w:val="auto"/>
                <w:szCs w:val="21"/>
                <w:highlight w:val="none"/>
              </w:rPr>
              <w:t>1#</w:t>
            </w:r>
          </w:p>
        </w:tc>
        <w:tc>
          <w:tcPr>
            <w:tcW w:w="1565" w:type="dxa"/>
            <w:tcBorders>
              <w:top w:val="single" w:color="auto" w:sz="2" w:space="0"/>
              <w:left w:val="single" w:color="auto" w:sz="2" w:space="0"/>
              <w:bottom w:val="single" w:color="auto" w:sz="2" w:space="0"/>
              <w:right w:val="single" w:color="auto" w:sz="4" w:space="0"/>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东埔村</w:t>
            </w:r>
          </w:p>
        </w:tc>
        <w:tc>
          <w:tcPr>
            <w:tcW w:w="2094" w:type="dxa"/>
            <w:tcBorders>
              <w:top w:val="single" w:color="auto" w:sz="2" w:space="0"/>
              <w:left w:val="single" w:color="auto" w:sz="4" w:space="0"/>
              <w:bottom w:val="single" w:color="auto" w:sz="2" w:space="0"/>
              <w:right w:val="single" w:color="auto" w:sz="2"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eastAsia="zh-CN"/>
              </w:rPr>
              <w:t>东</w:t>
            </w:r>
            <w:r>
              <w:rPr>
                <w:rFonts w:hint="eastAsia"/>
                <w:color w:val="auto"/>
                <w:szCs w:val="21"/>
                <w:highlight w:val="none"/>
                <w:lang w:val="en-US" w:eastAsia="zh-CN"/>
              </w:rPr>
              <w:t>1570m</w:t>
            </w:r>
          </w:p>
        </w:tc>
        <w:tc>
          <w:tcPr>
            <w:tcW w:w="1200" w:type="dxa"/>
            <w:tcBorders>
              <w:top w:val="single" w:color="auto" w:sz="2" w:space="0"/>
              <w:left w:val="single" w:color="auto" w:sz="2" w:space="0"/>
              <w:bottom w:val="single" w:color="auto" w:sz="2" w:space="0"/>
              <w:right w:val="single" w:color="auto" w:sz="2" w:space="0"/>
            </w:tcBorders>
          </w:tcPr>
          <w:p>
            <w:pPr>
              <w:jc w:val="center"/>
              <w:rPr>
                <w:color w:val="auto"/>
                <w:highlight w:val="none"/>
              </w:rPr>
            </w:pPr>
            <w:r>
              <w:rPr>
                <w:color w:val="auto"/>
                <w:szCs w:val="21"/>
                <w:highlight w:val="none"/>
              </w:rPr>
              <w:t>潜层水</w:t>
            </w:r>
          </w:p>
        </w:tc>
        <w:tc>
          <w:tcPr>
            <w:tcW w:w="2469" w:type="dxa"/>
            <w:tcBorders>
              <w:top w:val="single" w:color="auto" w:sz="2" w:space="0"/>
              <w:left w:val="single" w:color="auto" w:sz="2" w:space="0"/>
              <w:bottom w:val="single" w:color="auto" w:sz="2" w:space="0"/>
              <w:right w:val="single" w:color="auto" w:sz="4" w:space="0"/>
            </w:tcBorders>
            <w:vAlign w:val="center"/>
          </w:tcPr>
          <w:p>
            <w:pPr>
              <w:adjustRightInd w:val="0"/>
              <w:snapToGrid w:val="0"/>
              <w:spacing w:line="280" w:lineRule="exact"/>
              <w:jc w:val="center"/>
              <w:rPr>
                <w:color w:val="auto"/>
                <w:szCs w:val="21"/>
                <w:highlight w:val="none"/>
              </w:rPr>
            </w:pPr>
            <w:r>
              <w:rPr>
                <w:color w:val="auto"/>
                <w:szCs w:val="21"/>
                <w:highlight w:val="none"/>
              </w:rPr>
              <w:t>水质、水位监测点</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38" w:hRule="atLeast"/>
          <w:jc w:val="center"/>
        </w:trPr>
        <w:tc>
          <w:tcPr>
            <w:tcW w:w="997" w:type="dxa"/>
            <w:tcBorders>
              <w:top w:val="single" w:color="auto" w:sz="2" w:space="0"/>
              <w:left w:val="single" w:color="auto" w:sz="4" w:space="0"/>
              <w:bottom w:val="single" w:color="auto" w:sz="2" w:space="0"/>
              <w:right w:val="single" w:color="auto" w:sz="2" w:space="0"/>
            </w:tcBorders>
            <w:vAlign w:val="center"/>
          </w:tcPr>
          <w:p>
            <w:pPr>
              <w:adjustRightInd w:val="0"/>
              <w:snapToGrid w:val="0"/>
              <w:spacing w:line="260" w:lineRule="exact"/>
              <w:jc w:val="center"/>
              <w:rPr>
                <w:color w:val="auto"/>
                <w:szCs w:val="21"/>
                <w:highlight w:val="none"/>
              </w:rPr>
            </w:pPr>
            <w:r>
              <w:rPr>
                <w:color w:val="auto"/>
                <w:szCs w:val="21"/>
                <w:highlight w:val="none"/>
              </w:rPr>
              <w:t>2#</w:t>
            </w:r>
          </w:p>
        </w:tc>
        <w:tc>
          <w:tcPr>
            <w:tcW w:w="1565" w:type="dxa"/>
            <w:tcBorders>
              <w:top w:val="single" w:color="auto" w:sz="2" w:space="0"/>
              <w:left w:val="single" w:color="auto" w:sz="2" w:space="0"/>
              <w:bottom w:val="single" w:color="auto" w:sz="2" w:space="0"/>
              <w:right w:val="single" w:color="auto" w:sz="4" w:space="0"/>
            </w:tcBorders>
            <w:vAlign w:val="center"/>
          </w:tcPr>
          <w:p>
            <w:pPr>
              <w:spacing w:line="3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西埔村</w:t>
            </w:r>
          </w:p>
        </w:tc>
        <w:tc>
          <w:tcPr>
            <w:tcW w:w="2094" w:type="dxa"/>
            <w:tcBorders>
              <w:top w:val="single" w:color="auto" w:sz="2" w:space="0"/>
              <w:left w:val="single" w:color="auto" w:sz="4" w:space="0"/>
              <w:bottom w:val="single" w:color="auto" w:sz="2" w:space="0"/>
              <w:right w:val="single" w:color="auto" w:sz="2" w:space="0"/>
            </w:tcBorders>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东1200m</w:t>
            </w:r>
          </w:p>
        </w:tc>
        <w:tc>
          <w:tcPr>
            <w:tcW w:w="1200" w:type="dxa"/>
            <w:tcBorders>
              <w:top w:val="single" w:color="auto" w:sz="2" w:space="0"/>
              <w:left w:val="single" w:color="auto" w:sz="2" w:space="0"/>
              <w:bottom w:val="single" w:color="auto" w:sz="2" w:space="0"/>
              <w:right w:val="single" w:color="auto" w:sz="2" w:space="0"/>
            </w:tcBorders>
          </w:tcPr>
          <w:p>
            <w:pPr>
              <w:jc w:val="center"/>
              <w:rPr>
                <w:rFonts w:hint="eastAsia" w:eastAsia="宋体"/>
                <w:color w:val="auto"/>
                <w:highlight w:val="none"/>
                <w:lang w:eastAsia="zh-CN"/>
              </w:rPr>
            </w:pPr>
            <w:r>
              <w:rPr>
                <w:color w:val="auto"/>
                <w:szCs w:val="21"/>
                <w:highlight w:val="none"/>
              </w:rPr>
              <w:t>潜层水</w:t>
            </w:r>
          </w:p>
        </w:tc>
        <w:tc>
          <w:tcPr>
            <w:tcW w:w="2469" w:type="dxa"/>
            <w:tcBorders>
              <w:top w:val="single" w:color="auto" w:sz="2" w:space="0"/>
              <w:left w:val="single" w:color="auto" w:sz="2" w:space="0"/>
              <w:bottom w:val="single" w:color="auto" w:sz="2" w:space="0"/>
              <w:right w:val="single" w:color="auto" w:sz="4" w:space="0"/>
            </w:tcBorders>
            <w:vAlign w:val="center"/>
          </w:tcPr>
          <w:p>
            <w:pPr>
              <w:adjustRightInd w:val="0"/>
              <w:snapToGrid w:val="0"/>
              <w:spacing w:line="280" w:lineRule="exact"/>
              <w:jc w:val="center"/>
              <w:rPr>
                <w:color w:val="auto"/>
                <w:szCs w:val="21"/>
                <w:highlight w:val="none"/>
              </w:rPr>
            </w:pPr>
            <w:r>
              <w:rPr>
                <w:color w:val="auto"/>
                <w:szCs w:val="21"/>
                <w:highlight w:val="none"/>
              </w:rPr>
              <w:t>水质、水位监测点</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38" w:hRule="atLeast"/>
          <w:jc w:val="center"/>
        </w:trPr>
        <w:tc>
          <w:tcPr>
            <w:tcW w:w="997" w:type="dxa"/>
            <w:tcBorders>
              <w:top w:val="single" w:color="auto" w:sz="2" w:space="0"/>
              <w:left w:val="single" w:color="auto" w:sz="4" w:space="0"/>
              <w:bottom w:val="single" w:color="auto" w:sz="2" w:space="0"/>
              <w:right w:val="single" w:color="auto" w:sz="2" w:space="0"/>
            </w:tcBorders>
            <w:vAlign w:val="center"/>
          </w:tcPr>
          <w:p>
            <w:pPr>
              <w:adjustRightInd w:val="0"/>
              <w:snapToGrid w:val="0"/>
              <w:spacing w:line="260" w:lineRule="exact"/>
              <w:jc w:val="center"/>
              <w:rPr>
                <w:color w:val="auto"/>
                <w:szCs w:val="21"/>
                <w:highlight w:val="none"/>
              </w:rPr>
            </w:pPr>
            <w:r>
              <w:rPr>
                <w:color w:val="auto"/>
                <w:szCs w:val="21"/>
                <w:highlight w:val="none"/>
              </w:rPr>
              <w:t>3#</w:t>
            </w:r>
          </w:p>
        </w:tc>
        <w:tc>
          <w:tcPr>
            <w:tcW w:w="1565" w:type="dxa"/>
            <w:tcBorders>
              <w:top w:val="single" w:color="auto" w:sz="2" w:space="0"/>
              <w:left w:val="single" w:color="auto" w:sz="2" w:space="0"/>
              <w:bottom w:val="single" w:color="auto" w:sz="2" w:space="0"/>
              <w:right w:val="single" w:color="auto" w:sz="4" w:space="0"/>
            </w:tcBorders>
            <w:vAlign w:val="center"/>
          </w:tcPr>
          <w:p>
            <w:pPr>
              <w:spacing w:line="300" w:lineRule="exact"/>
              <w:jc w:val="center"/>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大安乐庄村</w:t>
            </w:r>
          </w:p>
        </w:tc>
        <w:tc>
          <w:tcPr>
            <w:tcW w:w="2094" w:type="dxa"/>
            <w:tcBorders>
              <w:top w:val="single" w:color="auto" w:sz="2" w:space="0"/>
              <w:left w:val="single" w:color="auto" w:sz="4" w:space="0"/>
              <w:bottom w:val="single" w:color="auto" w:sz="2" w:space="0"/>
              <w:right w:val="single" w:color="auto" w:sz="2" w:space="0"/>
            </w:tcBorders>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eastAsia="zh-CN"/>
              </w:rPr>
              <w:t>西南</w:t>
            </w:r>
            <w:r>
              <w:rPr>
                <w:rFonts w:hint="eastAsia"/>
                <w:color w:val="auto"/>
                <w:szCs w:val="21"/>
                <w:highlight w:val="none"/>
                <w:lang w:val="en-US" w:eastAsia="zh-CN"/>
              </w:rPr>
              <w:t>1210m</w:t>
            </w:r>
          </w:p>
        </w:tc>
        <w:tc>
          <w:tcPr>
            <w:tcW w:w="1200" w:type="dxa"/>
            <w:tcBorders>
              <w:top w:val="single" w:color="auto" w:sz="2" w:space="0"/>
              <w:left w:val="single" w:color="auto" w:sz="2" w:space="0"/>
              <w:bottom w:val="single" w:color="auto" w:sz="2" w:space="0"/>
              <w:right w:val="single" w:color="auto" w:sz="2" w:space="0"/>
            </w:tcBorders>
          </w:tcPr>
          <w:p>
            <w:pPr>
              <w:jc w:val="center"/>
              <w:rPr>
                <w:color w:val="auto"/>
                <w:highlight w:val="none"/>
              </w:rPr>
            </w:pPr>
            <w:r>
              <w:rPr>
                <w:color w:val="auto"/>
                <w:szCs w:val="21"/>
                <w:highlight w:val="none"/>
              </w:rPr>
              <w:t>潜层水</w:t>
            </w:r>
          </w:p>
        </w:tc>
        <w:tc>
          <w:tcPr>
            <w:tcW w:w="2469" w:type="dxa"/>
            <w:tcBorders>
              <w:top w:val="single" w:color="auto" w:sz="2" w:space="0"/>
              <w:left w:val="single" w:color="auto" w:sz="2" w:space="0"/>
              <w:bottom w:val="single" w:color="auto" w:sz="2" w:space="0"/>
              <w:right w:val="single" w:color="auto" w:sz="4" w:space="0"/>
            </w:tcBorders>
            <w:vAlign w:val="center"/>
          </w:tcPr>
          <w:p>
            <w:pPr>
              <w:adjustRightInd w:val="0"/>
              <w:snapToGrid w:val="0"/>
              <w:spacing w:line="280" w:lineRule="exact"/>
              <w:jc w:val="center"/>
              <w:rPr>
                <w:color w:val="auto"/>
                <w:szCs w:val="21"/>
                <w:highlight w:val="none"/>
              </w:rPr>
            </w:pPr>
            <w:r>
              <w:rPr>
                <w:color w:val="auto"/>
                <w:szCs w:val="21"/>
                <w:highlight w:val="none"/>
              </w:rPr>
              <w:t>水质、水位监测点</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38" w:hRule="atLeast"/>
          <w:jc w:val="center"/>
        </w:trPr>
        <w:tc>
          <w:tcPr>
            <w:tcW w:w="997" w:type="dxa"/>
            <w:tcBorders>
              <w:top w:val="single" w:color="auto" w:sz="2" w:space="0"/>
              <w:left w:val="single" w:color="auto" w:sz="4" w:space="0"/>
              <w:bottom w:val="single" w:color="auto" w:sz="2" w:space="0"/>
              <w:right w:val="single" w:color="auto" w:sz="2" w:space="0"/>
            </w:tcBorders>
            <w:vAlign w:val="center"/>
          </w:tcPr>
          <w:p>
            <w:pPr>
              <w:adjustRightInd w:val="0"/>
              <w:snapToGrid w:val="0"/>
              <w:spacing w:line="2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4#</w:t>
            </w:r>
          </w:p>
        </w:tc>
        <w:tc>
          <w:tcPr>
            <w:tcW w:w="1565" w:type="dxa"/>
            <w:tcBorders>
              <w:top w:val="single" w:color="auto" w:sz="2" w:space="0"/>
              <w:left w:val="single" w:color="auto" w:sz="2" w:space="0"/>
              <w:bottom w:val="single" w:color="auto" w:sz="2" w:space="0"/>
              <w:right w:val="single" w:color="auto" w:sz="4" w:space="0"/>
            </w:tcBorders>
            <w:vAlign w:val="center"/>
          </w:tcPr>
          <w:p>
            <w:pPr>
              <w:spacing w:line="3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西埔村</w:t>
            </w:r>
          </w:p>
        </w:tc>
        <w:tc>
          <w:tcPr>
            <w:tcW w:w="2094" w:type="dxa"/>
            <w:tcBorders>
              <w:top w:val="single" w:color="auto" w:sz="2" w:space="0"/>
              <w:left w:val="single" w:color="auto" w:sz="4" w:space="0"/>
              <w:bottom w:val="single" w:color="auto" w:sz="2" w:space="0"/>
              <w:right w:val="single" w:color="auto" w:sz="2" w:space="0"/>
            </w:tcBorders>
            <w:vAlign w:val="center"/>
          </w:tcPr>
          <w:p>
            <w:pPr>
              <w:adjustRightInd w:val="0"/>
              <w:snapToGrid w:val="0"/>
              <w:jc w:val="center"/>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东1200m</w:t>
            </w:r>
          </w:p>
        </w:tc>
        <w:tc>
          <w:tcPr>
            <w:tcW w:w="1200" w:type="dxa"/>
            <w:tcBorders>
              <w:top w:val="single" w:color="auto" w:sz="2" w:space="0"/>
              <w:left w:val="single" w:color="auto" w:sz="2" w:space="0"/>
              <w:bottom w:val="single" w:color="auto" w:sz="2" w:space="0"/>
              <w:right w:val="single" w:color="auto" w:sz="2" w:space="0"/>
            </w:tcBorders>
            <w:vAlign w:val="top"/>
          </w:tcPr>
          <w:p>
            <w:pPr>
              <w:jc w:val="center"/>
              <w:rPr>
                <w:rFonts w:hint="eastAsia" w:ascii="Times New Roman" w:hAnsi="Times New Roman" w:eastAsia="宋体" w:cs="Times New Roman"/>
                <w:color w:val="auto"/>
                <w:kern w:val="2"/>
                <w:sz w:val="21"/>
                <w:szCs w:val="24"/>
                <w:highlight w:val="none"/>
                <w:lang w:val="en-US" w:eastAsia="zh-CN" w:bidi="ar-SA"/>
              </w:rPr>
            </w:pPr>
            <w:r>
              <w:rPr>
                <w:rFonts w:hint="eastAsia"/>
                <w:color w:val="auto"/>
                <w:szCs w:val="21"/>
                <w:highlight w:val="none"/>
                <w:lang w:eastAsia="zh-CN"/>
              </w:rPr>
              <w:t>承压水</w:t>
            </w:r>
          </w:p>
        </w:tc>
        <w:tc>
          <w:tcPr>
            <w:tcW w:w="2469" w:type="dxa"/>
            <w:tcBorders>
              <w:top w:val="single" w:color="auto" w:sz="2" w:space="0"/>
              <w:left w:val="single" w:color="auto" w:sz="2" w:space="0"/>
              <w:bottom w:val="single" w:color="auto" w:sz="2" w:space="0"/>
              <w:right w:val="single" w:color="auto" w:sz="4" w:space="0"/>
            </w:tcBorders>
            <w:vAlign w:val="center"/>
          </w:tcPr>
          <w:p>
            <w:pPr>
              <w:adjustRightInd w:val="0"/>
              <w:snapToGrid w:val="0"/>
              <w:spacing w:line="280" w:lineRule="exact"/>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水质、水位监测点</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38" w:hRule="atLeast"/>
          <w:jc w:val="center"/>
        </w:trPr>
        <w:tc>
          <w:tcPr>
            <w:tcW w:w="997" w:type="dxa"/>
            <w:tcBorders>
              <w:top w:val="single" w:color="auto" w:sz="2" w:space="0"/>
              <w:left w:val="single" w:color="auto" w:sz="4" w:space="0"/>
              <w:bottom w:val="single" w:color="auto" w:sz="2" w:space="0"/>
              <w:right w:val="single" w:color="auto" w:sz="2" w:space="0"/>
            </w:tcBorders>
            <w:vAlign w:val="center"/>
          </w:tcPr>
          <w:p>
            <w:pPr>
              <w:adjustRightInd w:val="0"/>
              <w:snapToGrid w:val="0"/>
              <w:spacing w:line="2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5#</w:t>
            </w:r>
          </w:p>
        </w:tc>
        <w:tc>
          <w:tcPr>
            <w:tcW w:w="1565" w:type="dxa"/>
            <w:tcBorders>
              <w:top w:val="single" w:color="auto" w:sz="2" w:space="0"/>
              <w:left w:val="single" w:color="auto" w:sz="2" w:space="0"/>
              <w:bottom w:val="single" w:color="auto" w:sz="2" w:space="0"/>
              <w:right w:val="single" w:color="auto" w:sz="4" w:space="0"/>
            </w:tcBorders>
            <w:vAlign w:val="center"/>
          </w:tcPr>
          <w:p>
            <w:pPr>
              <w:spacing w:line="3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小安乐庄村</w:t>
            </w:r>
          </w:p>
        </w:tc>
        <w:tc>
          <w:tcPr>
            <w:tcW w:w="2094" w:type="dxa"/>
            <w:tcBorders>
              <w:top w:val="single" w:color="auto" w:sz="2" w:space="0"/>
              <w:left w:val="single" w:color="auto" w:sz="4" w:space="0"/>
              <w:bottom w:val="single" w:color="auto" w:sz="2" w:space="0"/>
              <w:right w:val="single" w:color="auto" w:sz="2" w:space="0"/>
            </w:tcBorders>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西1100m</w:t>
            </w:r>
          </w:p>
        </w:tc>
        <w:tc>
          <w:tcPr>
            <w:tcW w:w="1200" w:type="dxa"/>
            <w:tcBorders>
              <w:top w:val="single" w:color="auto" w:sz="2" w:space="0"/>
              <w:left w:val="single" w:color="auto" w:sz="2" w:space="0"/>
              <w:bottom w:val="single" w:color="auto" w:sz="2" w:space="0"/>
              <w:right w:val="single" w:color="auto" w:sz="2" w:space="0"/>
            </w:tcBorders>
            <w:vAlign w:val="top"/>
          </w:tcPr>
          <w:p>
            <w:pPr>
              <w:jc w:val="center"/>
              <w:rPr>
                <w:rFonts w:ascii="Times New Roman" w:hAnsi="Times New Roman" w:eastAsia="宋体" w:cs="Times New Roman"/>
                <w:color w:val="auto"/>
                <w:kern w:val="2"/>
                <w:sz w:val="21"/>
                <w:szCs w:val="24"/>
                <w:highlight w:val="none"/>
                <w:lang w:val="en-US" w:eastAsia="zh-CN" w:bidi="ar-SA"/>
              </w:rPr>
            </w:pPr>
            <w:r>
              <w:rPr>
                <w:color w:val="auto"/>
                <w:szCs w:val="21"/>
                <w:highlight w:val="none"/>
              </w:rPr>
              <w:t>潜层水</w:t>
            </w:r>
          </w:p>
        </w:tc>
        <w:tc>
          <w:tcPr>
            <w:tcW w:w="2469" w:type="dxa"/>
            <w:tcBorders>
              <w:top w:val="single" w:color="auto" w:sz="2" w:space="0"/>
              <w:left w:val="single" w:color="auto" w:sz="2" w:space="0"/>
              <w:bottom w:val="single" w:color="auto" w:sz="2" w:space="0"/>
              <w:right w:val="single" w:color="auto" w:sz="4" w:space="0"/>
            </w:tcBorders>
            <w:vAlign w:val="center"/>
          </w:tcPr>
          <w:p>
            <w:pPr>
              <w:adjustRightInd w:val="0"/>
              <w:snapToGrid w:val="0"/>
              <w:spacing w:line="280" w:lineRule="exact"/>
              <w:jc w:val="center"/>
              <w:rPr>
                <w:rFonts w:hint="default" w:eastAsia="宋体"/>
                <w:color w:val="auto"/>
                <w:szCs w:val="21"/>
                <w:highlight w:val="none"/>
                <w:lang w:val="en-US" w:eastAsia="zh-CN"/>
              </w:rPr>
            </w:pPr>
            <w:r>
              <w:rPr>
                <w:rFonts w:hint="eastAsia"/>
                <w:color w:val="auto"/>
                <w:szCs w:val="21"/>
                <w:highlight w:val="none"/>
                <w:lang w:val="en-US" w:eastAsia="zh-CN"/>
              </w:rPr>
              <w:t>水位</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38" w:hRule="atLeast"/>
          <w:jc w:val="center"/>
        </w:trPr>
        <w:tc>
          <w:tcPr>
            <w:tcW w:w="997" w:type="dxa"/>
            <w:tcBorders>
              <w:top w:val="single" w:color="auto" w:sz="2" w:space="0"/>
              <w:left w:val="single" w:color="auto" w:sz="4" w:space="0"/>
              <w:bottom w:val="single" w:color="auto" w:sz="2" w:space="0"/>
              <w:right w:val="single" w:color="auto" w:sz="2" w:space="0"/>
            </w:tcBorders>
            <w:vAlign w:val="center"/>
          </w:tcPr>
          <w:p>
            <w:pPr>
              <w:adjustRightInd w:val="0"/>
              <w:snapToGrid w:val="0"/>
              <w:spacing w:line="260" w:lineRule="exact"/>
              <w:jc w:val="center"/>
              <w:rPr>
                <w:rFonts w:hint="default" w:eastAsia="宋体"/>
                <w:color w:val="auto"/>
                <w:szCs w:val="21"/>
                <w:highlight w:val="none"/>
                <w:lang w:val="en-US" w:eastAsia="zh-CN"/>
              </w:rPr>
            </w:pPr>
            <w:r>
              <w:rPr>
                <w:rFonts w:hint="eastAsia"/>
                <w:color w:val="auto"/>
                <w:szCs w:val="21"/>
                <w:highlight w:val="none"/>
                <w:lang w:val="en-US" w:eastAsia="zh-CN"/>
              </w:rPr>
              <w:t>6#</w:t>
            </w:r>
          </w:p>
        </w:tc>
        <w:tc>
          <w:tcPr>
            <w:tcW w:w="1565" w:type="dxa"/>
            <w:tcBorders>
              <w:top w:val="single" w:color="auto" w:sz="2" w:space="0"/>
              <w:left w:val="single" w:color="auto" w:sz="2" w:space="0"/>
              <w:bottom w:val="single" w:color="auto" w:sz="2" w:space="0"/>
              <w:right w:val="single" w:color="auto" w:sz="4" w:space="0"/>
            </w:tcBorders>
            <w:vAlign w:val="center"/>
          </w:tcPr>
          <w:p>
            <w:pPr>
              <w:spacing w:line="3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大于家沟</w:t>
            </w:r>
            <w:r>
              <w:rPr>
                <w:color w:val="auto"/>
                <w:szCs w:val="21"/>
                <w:highlight w:val="none"/>
              </w:rPr>
              <w:t>村</w:t>
            </w:r>
          </w:p>
        </w:tc>
        <w:tc>
          <w:tcPr>
            <w:tcW w:w="2094" w:type="dxa"/>
            <w:tcBorders>
              <w:top w:val="single" w:color="auto" w:sz="2" w:space="0"/>
              <w:left w:val="single" w:color="auto" w:sz="4" w:space="0"/>
              <w:bottom w:val="single" w:color="auto" w:sz="2" w:space="0"/>
              <w:right w:val="single" w:color="auto" w:sz="2" w:space="0"/>
            </w:tcBorders>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东北1410m</w:t>
            </w:r>
          </w:p>
        </w:tc>
        <w:tc>
          <w:tcPr>
            <w:tcW w:w="1200" w:type="dxa"/>
            <w:tcBorders>
              <w:top w:val="single" w:color="auto" w:sz="2" w:space="0"/>
              <w:left w:val="single" w:color="auto" w:sz="2" w:space="0"/>
              <w:bottom w:val="single" w:color="auto" w:sz="2" w:space="0"/>
              <w:right w:val="single" w:color="auto" w:sz="2" w:space="0"/>
            </w:tcBorders>
            <w:vAlign w:val="top"/>
          </w:tcPr>
          <w:p>
            <w:pPr>
              <w:jc w:val="center"/>
              <w:rPr>
                <w:rFonts w:ascii="Times New Roman" w:hAnsi="Times New Roman" w:eastAsia="宋体" w:cs="Times New Roman"/>
                <w:color w:val="auto"/>
                <w:kern w:val="2"/>
                <w:sz w:val="21"/>
                <w:szCs w:val="24"/>
                <w:highlight w:val="none"/>
                <w:lang w:val="en-US" w:eastAsia="zh-CN" w:bidi="ar-SA"/>
              </w:rPr>
            </w:pPr>
            <w:r>
              <w:rPr>
                <w:color w:val="auto"/>
                <w:szCs w:val="21"/>
                <w:highlight w:val="none"/>
              </w:rPr>
              <w:t>潜层水</w:t>
            </w:r>
          </w:p>
        </w:tc>
        <w:tc>
          <w:tcPr>
            <w:tcW w:w="2469" w:type="dxa"/>
            <w:tcBorders>
              <w:top w:val="single" w:color="auto" w:sz="2" w:space="0"/>
              <w:left w:val="single" w:color="auto" w:sz="2" w:space="0"/>
              <w:bottom w:val="single" w:color="auto" w:sz="2" w:space="0"/>
              <w:right w:val="single" w:color="auto" w:sz="4" w:space="0"/>
            </w:tcBorders>
            <w:vAlign w:val="center"/>
          </w:tcPr>
          <w:p>
            <w:pPr>
              <w:adjustRightInd w:val="0"/>
              <w:snapToGrid w:val="0"/>
              <w:spacing w:line="280" w:lineRule="exact"/>
              <w:jc w:val="center"/>
              <w:rPr>
                <w:rFonts w:hint="eastAsia" w:eastAsia="宋体"/>
                <w:color w:val="auto"/>
                <w:szCs w:val="21"/>
                <w:highlight w:val="none"/>
                <w:lang w:eastAsia="zh-CN"/>
              </w:rPr>
            </w:pPr>
            <w:r>
              <w:rPr>
                <w:rFonts w:hint="eastAsia"/>
                <w:color w:val="auto"/>
                <w:szCs w:val="21"/>
                <w:highlight w:val="none"/>
                <w:lang w:eastAsia="zh-CN"/>
              </w:rPr>
              <w:t>水位</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38" w:hRule="atLeast"/>
          <w:jc w:val="center"/>
        </w:trPr>
        <w:tc>
          <w:tcPr>
            <w:tcW w:w="997" w:type="dxa"/>
            <w:tcBorders>
              <w:top w:val="single" w:color="auto" w:sz="2" w:space="0"/>
              <w:left w:val="single" w:color="auto" w:sz="4" w:space="0"/>
              <w:bottom w:val="single" w:color="auto" w:sz="2" w:space="0"/>
              <w:right w:val="single" w:color="auto" w:sz="2" w:space="0"/>
            </w:tcBorders>
            <w:vAlign w:val="center"/>
          </w:tcPr>
          <w:p>
            <w:pPr>
              <w:adjustRightInd w:val="0"/>
              <w:snapToGrid w:val="0"/>
              <w:spacing w:line="260" w:lineRule="exact"/>
              <w:jc w:val="center"/>
              <w:rPr>
                <w:rFonts w:hint="default"/>
                <w:color w:val="auto"/>
                <w:szCs w:val="21"/>
                <w:highlight w:val="none"/>
                <w:lang w:val="en-US" w:eastAsia="zh-CN"/>
              </w:rPr>
            </w:pPr>
            <w:r>
              <w:rPr>
                <w:rFonts w:hint="eastAsia"/>
                <w:color w:val="auto"/>
                <w:szCs w:val="21"/>
                <w:highlight w:val="none"/>
                <w:lang w:val="en-US" w:eastAsia="zh-CN"/>
              </w:rPr>
              <w:t>7#</w:t>
            </w:r>
          </w:p>
        </w:tc>
        <w:tc>
          <w:tcPr>
            <w:tcW w:w="1565" w:type="dxa"/>
            <w:tcBorders>
              <w:top w:val="single" w:color="auto" w:sz="2" w:space="0"/>
              <w:left w:val="single" w:color="auto" w:sz="2" w:space="0"/>
              <w:bottom w:val="single" w:color="auto" w:sz="2" w:space="0"/>
              <w:right w:val="single" w:color="auto" w:sz="4" w:space="0"/>
            </w:tcBorders>
            <w:vAlign w:val="center"/>
          </w:tcPr>
          <w:p>
            <w:pPr>
              <w:spacing w:line="3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庄户沟村</w:t>
            </w:r>
          </w:p>
        </w:tc>
        <w:tc>
          <w:tcPr>
            <w:tcW w:w="2094" w:type="dxa"/>
            <w:tcBorders>
              <w:top w:val="single" w:color="auto" w:sz="2" w:space="0"/>
              <w:left w:val="single" w:color="auto" w:sz="4" w:space="0"/>
              <w:bottom w:val="single" w:color="auto" w:sz="2" w:space="0"/>
              <w:right w:val="single" w:color="auto" w:sz="2" w:space="0"/>
            </w:tcBorders>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eastAsia="zh-CN"/>
              </w:rPr>
              <w:t>南</w:t>
            </w:r>
            <w:r>
              <w:rPr>
                <w:rFonts w:hint="eastAsia"/>
                <w:color w:val="auto"/>
                <w:szCs w:val="21"/>
                <w:highlight w:val="none"/>
                <w:lang w:val="en-US" w:eastAsia="zh-CN"/>
              </w:rPr>
              <w:t>180m</w:t>
            </w:r>
          </w:p>
        </w:tc>
        <w:tc>
          <w:tcPr>
            <w:tcW w:w="1200" w:type="dxa"/>
            <w:tcBorders>
              <w:top w:val="single" w:color="auto" w:sz="2" w:space="0"/>
              <w:left w:val="single" w:color="auto" w:sz="2" w:space="0"/>
              <w:bottom w:val="single" w:color="auto" w:sz="2" w:space="0"/>
              <w:right w:val="single" w:color="auto" w:sz="2" w:space="0"/>
            </w:tcBorders>
            <w:vAlign w:val="top"/>
          </w:tcPr>
          <w:p>
            <w:pPr>
              <w:jc w:val="center"/>
              <w:rPr>
                <w:rFonts w:ascii="Times New Roman" w:hAnsi="Times New Roman" w:eastAsia="宋体" w:cs="Times New Roman"/>
                <w:color w:val="auto"/>
                <w:kern w:val="2"/>
                <w:sz w:val="21"/>
                <w:szCs w:val="24"/>
                <w:highlight w:val="none"/>
                <w:lang w:val="en-US" w:eastAsia="zh-CN" w:bidi="ar-SA"/>
              </w:rPr>
            </w:pPr>
            <w:r>
              <w:rPr>
                <w:color w:val="auto"/>
                <w:szCs w:val="21"/>
                <w:highlight w:val="none"/>
              </w:rPr>
              <w:t>潜层水</w:t>
            </w:r>
          </w:p>
        </w:tc>
        <w:tc>
          <w:tcPr>
            <w:tcW w:w="2469" w:type="dxa"/>
            <w:tcBorders>
              <w:top w:val="single" w:color="auto" w:sz="2" w:space="0"/>
              <w:left w:val="single" w:color="auto" w:sz="2" w:space="0"/>
              <w:bottom w:val="single" w:color="auto" w:sz="2" w:space="0"/>
              <w:right w:val="single" w:color="auto" w:sz="4" w:space="0"/>
            </w:tcBorders>
            <w:vAlign w:val="center"/>
          </w:tcPr>
          <w:p>
            <w:pPr>
              <w:adjustRightInd w:val="0"/>
              <w:snapToGrid w:val="0"/>
              <w:spacing w:line="28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水位</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38" w:hRule="atLeast"/>
          <w:jc w:val="center"/>
        </w:trPr>
        <w:tc>
          <w:tcPr>
            <w:tcW w:w="997" w:type="dxa"/>
            <w:tcBorders>
              <w:top w:val="single" w:color="auto" w:sz="2" w:space="0"/>
              <w:left w:val="single" w:color="auto" w:sz="4" w:space="0"/>
              <w:bottom w:val="single" w:color="auto" w:sz="2" w:space="0"/>
              <w:right w:val="single" w:color="auto" w:sz="2" w:space="0"/>
            </w:tcBorders>
            <w:vAlign w:val="center"/>
          </w:tcPr>
          <w:p>
            <w:pPr>
              <w:adjustRightInd w:val="0"/>
              <w:snapToGrid w:val="0"/>
              <w:spacing w:line="260" w:lineRule="exact"/>
              <w:jc w:val="center"/>
              <w:rPr>
                <w:rFonts w:hint="default"/>
                <w:color w:val="auto"/>
                <w:szCs w:val="21"/>
                <w:highlight w:val="none"/>
                <w:lang w:val="en-US" w:eastAsia="zh-CN"/>
              </w:rPr>
            </w:pPr>
            <w:r>
              <w:rPr>
                <w:rFonts w:hint="eastAsia"/>
                <w:color w:val="auto"/>
                <w:szCs w:val="21"/>
                <w:highlight w:val="none"/>
                <w:lang w:val="en-US" w:eastAsia="zh-CN"/>
              </w:rPr>
              <w:t>8#</w:t>
            </w:r>
          </w:p>
        </w:tc>
        <w:tc>
          <w:tcPr>
            <w:tcW w:w="1565" w:type="dxa"/>
            <w:tcBorders>
              <w:top w:val="single" w:color="auto" w:sz="2" w:space="0"/>
              <w:left w:val="single" w:color="auto" w:sz="2" w:space="0"/>
              <w:bottom w:val="single" w:color="auto" w:sz="2" w:space="0"/>
              <w:right w:val="single" w:color="auto" w:sz="4" w:space="0"/>
            </w:tcBorders>
            <w:vAlign w:val="center"/>
          </w:tcPr>
          <w:p>
            <w:pPr>
              <w:spacing w:line="3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陈家湾村</w:t>
            </w:r>
          </w:p>
        </w:tc>
        <w:tc>
          <w:tcPr>
            <w:tcW w:w="2094" w:type="dxa"/>
            <w:tcBorders>
              <w:top w:val="single" w:color="auto" w:sz="2" w:space="0"/>
              <w:left w:val="single" w:color="auto" w:sz="4" w:space="0"/>
              <w:bottom w:val="single" w:color="auto" w:sz="2" w:space="0"/>
              <w:right w:val="single" w:color="auto" w:sz="2" w:space="0"/>
            </w:tcBorders>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eastAsia="zh-CN"/>
              </w:rPr>
              <w:t>东南</w:t>
            </w:r>
            <w:r>
              <w:rPr>
                <w:rFonts w:hint="eastAsia"/>
                <w:color w:val="auto"/>
                <w:szCs w:val="21"/>
                <w:highlight w:val="none"/>
                <w:lang w:val="en-US" w:eastAsia="zh-CN"/>
              </w:rPr>
              <w:t>1190m</w:t>
            </w:r>
          </w:p>
        </w:tc>
        <w:tc>
          <w:tcPr>
            <w:tcW w:w="1200" w:type="dxa"/>
            <w:tcBorders>
              <w:top w:val="single" w:color="auto" w:sz="2" w:space="0"/>
              <w:left w:val="single" w:color="auto" w:sz="2" w:space="0"/>
              <w:bottom w:val="single" w:color="auto" w:sz="2" w:space="0"/>
              <w:right w:val="single" w:color="auto" w:sz="2" w:space="0"/>
            </w:tcBorders>
            <w:vAlign w:val="top"/>
          </w:tcPr>
          <w:p>
            <w:pPr>
              <w:jc w:val="center"/>
              <w:rPr>
                <w:rFonts w:ascii="Times New Roman" w:hAnsi="Times New Roman" w:eastAsia="宋体" w:cs="Times New Roman"/>
                <w:color w:val="auto"/>
                <w:kern w:val="2"/>
                <w:sz w:val="21"/>
                <w:szCs w:val="24"/>
                <w:highlight w:val="none"/>
                <w:lang w:val="en-US" w:eastAsia="zh-CN" w:bidi="ar-SA"/>
              </w:rPr>
            </w:pPr>
            <w:r>
              <w:rPr>
                <w:color w:val="auto"/>
                <w:szCs w:val="21"/>
                <w:highlight w:val="none"/>
              </w:rPr>
              <w:t>潜层水</w:t>
            </w:r>
          </w:p>
        </w:tc>
        <w:tc>
          <w:tcPr>
            <w:tcW w:w="2469" w:type="dxa"/>
            <w:tcBorders>
              <w:top w:val="single" w:color="auto" w:sz="2" w:space="0"/>
              <w:left w:val="single" w:color="auto" w:sz="2" w:space="0"/>
              <w:bottom w:val="single" w:color="auto" w:sz="2" w:space="0"/>
              <w:right w:val="single" w:color="auto" w:sz="4" w:space="0"/>
            </w:tcBorders>
            <w:vAlign w:val="center"/>
          </w:tcPr>
          <w:p>
            <w:pPr>
              <w:adjustRightInd w:val="0"/>
              <w:snapToGrid w:val="0"/>
              <w:spacing w:line="28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水位</w:t>
            </w:r>
          </w:p>
        </w:tc>
      </w:tr>
    </w:tbl>
    <w:p>
      <w:pPr>
        <w:spacing w:line="480" w:lineRule="exact"/>
        <w:ind w:firstLine="480" w:firstLineChars="200"/>
        <w:rPr>
          <w:snapToGrid w:val="0"/>
          <w:sz w:val="24"/>
          <w:highlight w:val="none"/>
        </w:rPr>
      </w:pPr>
      <w:r>
        <w:rPr>
          <w:snapToGrid w:val="0"/>
          <w:sz w:val="24"/>
          <w:highlight w:val="none"/>
        </w:rPr>
        <w:t>（2）监测井要求</w:t>
      </w:r>
    </w:p>
    <w:p>
      <w:pPr>
        <w:spacing w:line="480" w:lineRule="exact"/>
        <w:ind w:firstLine="480" w:firstLineChars="200"/>
        <w:rPr>
          <w:snapToGrid w:val="0"/>
          <w:color w:val="auto"/>
          <w:sz w:val="24"/>
          <w:highlight w:val="none"/>
        </w:rPr>
      </w:pPr>
      <w:r>
        <w:rPr>
          <w:snapToGrid w:val="0"/>
          <w:sz w:val="24"/>
          <w:highlight w:val="none"/>
        </w:rPr>
        <w:t>各监测井点的层位应为潜水和有开发利用价值的含水层，对于地下水水质每个监测井只取一个水质样品，取样点深度应在井水位以下1.0m之内。从井中采集水样，需充分</w:t>
      </w:r>
      <w:r>
        <w:rPr>
          <w:snapToGrid w:val="0"/>
          <w:color w:val="auto"/>
          <w:sz w:val="24"/>
          <w:highlight w:val="none"/>
        </w:rPr>
        <w:t>抽汲后进行，抽汲量不得小于3倍的井筒水（量）体积。监测采样同时测量井深、水位。</w:t>
      </w:r>
    </w:p>
    <w:p>
      <w:pPr>
        <w:spacing w:line="480" w:lineRule="exact"/>
        <w:ind w:firstLine="482"/>
        <w:rPr>
          <w:color w:val="auto"/>
          <w:sz w:val="24"/>
          <w:highlight w:val="none"/>
        </w:rPr>
      </w:pPr>
      <w:bookmarkStart w:id="187" w:name="_Toc458509872"/>
      <w:bookmarkStart w:id="188" w:name="_Toc457368726"/>
      <w:bookmarkStart w:id="189" w:name="_Toc458147872"/>
      <w:r>
        <w:rPr>
          <w:color w:val="auto"/>
          <w:sz w:val="24"/>
          <w:highlight w:val="none"/>
        </w:rPr>
        <w:t>（3）监测项目及方法</w:t>
      </w:r>
      <w:bookmarkEnd w:id="187"/>
      <w:bookmarkEnd w:id="188"/>
      <w:bookmarkEnd w:id="189"/>
    </w:p>
    <w:p>
      <w:pPr>
        <w:spacing w:line="480" w:lineRule="exact"/>
        <w:ind w:firstLine="480" w:firstLineChars="200"/>
        <w:rPr>
          <w:color w:val="auto"/>
          <w:sz w:val="24"/>
          <w:highlight w:val="none"/>
        </w:rPr>
      </w:pPr>
      <w:r>
        <w:rPr>
          <w:color w:val="auto"/>
          <w:sz w:val="24"/>
          <w:highlight w:val="none"/>
        </w:rPr>
        <w:t>按《生活饮用水标准</w:t>
      </w:r>
      <w:r>
        <w:rPr>
          <w:bCs/>
          <w:color w:val="auto"/>
          <w:sz w:val="24"/>
          <w:highlight w:val="none"/>
        </w:rPr>
        <w:t>检验</w:t>
      </w:r>
      <w:r>
        <w:rPr>
          <w:color w:val="auto"/>
          <w:sz w:val="24"/>
          <w:highlight w:val="none"/>
        </w:rPr>
        <w:t>方法》(GB5750-2006)和《地下水环境监测技术规范》(H164-20</w:t>
      </w:r>
      <w:r>
        <w:rPr>
          <w:rFonts w:hint="eastAsia"/>
          <w:color w:val="auto"/>
          <w:sz w:val="24"/>
          <w:highlight w:val="none"/>
          <w:lang w:val="en-US" w:eastAsia="zh-CN"/>
        </w:rPr>
        <w:t>20</w:t>
      </w:r>
      <w:r>
        <w:rPr>
          <w:color w:val="auto"/>
          <w:sz w:val="24"/>
          <w:highlight w:val="none"/>
        </w:rPr>
        <w:t>)进行。</w:t>
      </w:r>
    </w:p>
    <w:p>
      <w:pPr>
        <w:spacing w:line="480" w:lineRule="exact"/>
        <w:ind w:firstLine="480" w:firstLineChars="200"/>
        <w:rPr>
          <w:color w:val="auto"/>
          <w:sz w:val="24"/>
          <w:highlight w:val="none"/>
        </w:rPr>
      </w:pPr>
      <w:r>
        <w:rPr>
          <w:color w:val="auto"/>
          <w:sz w:val="24"/>
          <w:highlight w:val="none"/>
        </w:rPr>
        <w:t>各水质监测项目检测方法及检出限见表</w:t>
      </w:r>
      <w:r>
        <w:rPr>
          <w:rFonts w:hint="eastAsia"/>
          <w:color w:val="auto"/>
          <w:sz w:val="24"/>
          <w:highlight w:val="none"/>
        </w:rPr>
        <w:t>4</w:t>
      </w:r>
      <w:r>
        <w:rPr>
          <w:color w:val="auto"/>
          <w:sz w:val="24"/>
          <w:highlight w:val="none"/>
        </w:rPr>
        <w:t>.</w:t>
      </w:r>
      <w:r>
        <w:rPr>
          <w:rFonts w:hint="eastAsia"/>
          <w:color w:val="auto"/>
          <w:sz w:val="24"/>
          <w:highlight w:val="none"/>
        </w:rPr>
        <w:t>5-</w:t>
      </w:r>
      <w:r>
        <w:rPr>
          <w:rFonts w:hint="eastAsia"/>
          <w:color w:val="auto"/>
          <w:sz w:val="24"/>
          <w:highlight w:val="none"/>
          <w:lang w:val="en-US" w:eastAsia="zh-CN"/>
        </w:rPr>
        <w:t>2</w:t>
      </w:r>
      <w:r>
        <w:rPr>
          <w:color w:val="auto"/>
          <w:sz w:val="24"/>
          <w:highlight w:val="none"/>
        </w:rPr>
        <w:t>。</w:t>
      </w:r>
    </w:p>
    <w:p>
      <w:pPr>
        <w:pStyle w:val="21"/>
        <w:spacing w:before="67" w:after="5"/>
        <w:jc w:val="center"/>
        <w:rPr>
          <w:rFonts w:hint="default" w:ascii="Times New Roman" w:hAnsi="Times New Roman"/>
          <w:b/>
          <w:color w:val="auto"/>
          <w:sz w:val="24"/>
          <w:highlight w:val="none"/>
        </w:rPr>
      </w:pPr>
      <w:r>
        <w:rPr>
          <w:rFonts w:hint="default" w:ascii="Times New Roman" w:hAnsi="Times New Roman"/>
          <w:b/>
          <w:color w:val="auto"/>
          <w:sz w:val="24"/>
          <w:highlight w:val="none"/>
        </w:rPr>
        <w:t>表</w:t>
      </w:r>
      <w:r>
        <w:rPr>
          <w:rFonts w:ascii="Times New Roman" w:hAnsi="Times New Roman" w:eastAsiaTheme="minorEastAsia"/>
          <w:b/>
          <w:color w:val="auto"/>
          <w:sz w:val="24"/>
          <w:highlight w:val="none"/>
        </w:rPr>
        <w:t>4</w:t>
      </w:r>
      <w:r>
        <w:rPr>
          <w:rFonts w:hint="default" w:ascii="Times New Roman" w:hAnsi="Times New Roman" w:eastAsia="Times New Roman"/>
          <w:b/>
          <w:color w:val="auto"/>
          <w:sz w:val="24"/>
          <w:highlight w:val="none"/>
        </w:rPr>
        <w:t>.</w:t>
      </w:r>
      <w:r>
        <w:rPr>
          <w:rFonts w:ascii="Times New Roman" w:hAnsi="Times New Roman" w:eastAsiaTheme="minorEastAsia"/>
          <w:b/>
          <w:color w:val="auto"/>
          <w:sz w:val="24"/>
          <w:highlight w:val="none"/>
        </w:rPr>
        <w:t>5-</w:t>
      </w:r>
      <w:r>
        <w:rPr>
          <w:rFonts w:hint="eastAsia" w:ascii="Times New Roman" w:hAnsi="Times New Roman" w:eastAsiaTheme="minorEastAsia"/>
          <w:b/>
          <w:color w:val="auto"/>
          <w:sz w:val="24"/>
          <w:highlight w:val="none"/>
          <w:lang w:val="en-US" w:eastAsia="zh-CN"/>
        </w:rPr>
        <w:t>2</w:t>
      </w:r>
      <w:r>
        <w:rPr>
          <w:rFonts w:hint="default" w:ascii="Times New Roman" w:hAnsi="Times New Roman"/>
          <w:b/>
          <w:color w:val="auto"/>
          <w:sz w:val="24"/>
          <w:highlight w:val="none"/>
        </w:rPr>
        <w:t xml:space="preserve">  地下水检测分析方法及仪器情况表</w:t>
      </w:r>
    </w:p>
    <w:tbl>
      <w:tblPr>
        <w:tblStyle w:val="51"/>
        <w:tblW w:w="852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86"/>
        <w:gridCol w:w="855"/>
        <w:gridCol w:w="3867"/>
        <w:gridCol w:w="2032"/>
        <w:gridCol w:w="118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8" w:hRule="atLeast"/>
          <w:tblHeader/>
          <w:jc w:val="center"/>
        </w:trPr>
        <w:tc>
          <w:tcPr>
            <w:tcW w:w="586" w:type="dxa"/>
            <w:tcBorders>
              <w:bottom w:val="single" w:color="000000" w:sz="6" w:space="0"/>
              <w:right w:val="single" w:color="000000" w:sz="6" w:space="0"/>
            </w:tcBorders>
            <w:vAlign w:val="center"/>
          </w:tcPr>
          <w:p>
            <w:pPr>
              <w:pStyle w:val="402"/>
              <w:spacing w:line="320" w:lineRule="exact"/>
              <w:ind w:left="62" w:right="51"/>
              <w:jc w:val="center"/>
              <w:rPr>
                <w:rFonts w:ascii="Times New Roman" w:hAnsi="Times New Roman"/>
                <w:color w:val="auto"/>
                <w:sz w:val="21"/>
                <w:szCs w:val="21"/>
                <w:highlight w:val="none"/>
              </w:rPr>
            </w:pPr>
            <w:r>
              <w:rPr>
                <w:rFonts w:ascii="Times New Roman" w:hAnsi="Times New Roman"/>
                <w:color w:val="auto"/>
                <w:sz w:val="21"/>
                <w:szCs w:val="21"/>
                <w:highlight w:val="none"/>
              </w:rPr>
              <w:t>序号</w:t>
            </w:r>
          </w:p>
        </w:tc>
        <w:tc>
          <w:tcPr>
            <w:tcW w:w="855" w:type="dxa"/>
            <w:tcBorders>
              <w:left w:val="single" w:color="000000" w:sz="6" w:space="0"/>
              <w:bottom w:val="single" w:color="000000" w:sz="6" w:space="0"/>
              <w:right w:val="single" w:color="000000" w:sz="6" w:space="0"/>
            </w:tcBorders>
            <w:vAlign w:val="center"/>
          </w:tcPr>
          <w:p>
            <w:pPr>
              <w:pStyle w:val="402"/>
              <w:spacing w:line="320" w:lineRule="exact"/>
              <w:ind w:left="212" w:right="202"/>
              <w:jc w:val="center"/>
              <w:rPr>
                <w:rFonts w:ascii="Times New Roman" w:hAnsi="Times New Roman"/>
                <w:color w:val="auto"/>
                <w:sz w:val="21"/>
                <w:szCs w:val="21"/>
                <w:highlight w:val="none"/>
              </w:rPr>
            </w:pPr>
            <w:r>
              <w:rPr>
                <w:rFonts w:ascii="Times New Roman" w:hAnsi="Times New Roman"/>
                <w:color w:val="auto"/>
                <w:sz w:val="21"/>
                <w:szCs w:val="21"/>
                <w:highlight w:val="none"/>
              </w:rPr>
              <w:t>检测项目</w:t>
            </w:r>
          </w:p>
        </w:tc>
        <w:tc>
          <w:tcPr>
            <w:tcW w:w="3867" w:type="dxa"/>
            <w:tcBorders>
              <w:left w:val="single" w:color="000000" w:sz="6" w:space="0"/>
              <w:bottom w:val="single" w:color="000000" w:sz="6" w:space="0"/>
              <w:right w:val="single" w:color="000000" w:sz="6" w:space="0"/>
            </w:tcBorders>
            <w:vAlign w:val="center"/>
          </w:tcPr>
          <w:p>
            <w:pPr>
              <w:pStyle w:val="402"/>
              <w:spacing w:line="32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rPr>
              <w:t>分析方法及国标代号</w:t>
            </w:r>
          </w:p>
        </w:tc>
        <w:tc>
          <w:tcPr>
            <w:tcW w:w="2032" w:type="dxa"/>
            <w:tcBorders>
              <w:left w:val="single" w:color="000000" w:sz="6" w:space="0"/>
              <w:bottom w:val="single" w:color="000000" w:sz="6" w:space="0"/>
              <w:right w:val="single" w:color="000000" w:sz="6" w:space="0"/>
            </w:tcBorders>
            <w:vAlign w:val="center"/>
          </w:tcPr>
          <w:p>
            <w:pPr>
              <w:pStyle w:val="402"/>
              <w:spacing w:line="320" w:lineRule="exact"/>
              <w:ind w:left="20" w:right="15"/>
              <w:jc w:val="center"/>
              <w:rPr>
                <w:rFonts w:ascii="Times New Roman" w:hAnsi="Times New Roman"/>
                <w:color w:val="auto"/>
                <w:sz w:val="21"/>
                <w:szCs w:val="21"/>
                <w:highlight w:val="none"/>
              </w:rPr>
            </w:pPr>
            <w:r>
              <w:rPr>
                <w:rFonts w:ascii="Times New Roman" w:hAnsi="Times New Roman"/>
                <w:color w:val="auto"/>
                <w:sz w:val="21"/>
                <w:szCs w:val="21"/>
                <w:highlight w:val="none"/>
              </w:rPr>
              <w:t>仪器名称</w:t>
            </w:r>
          </w:p>
        </w:tc>
        <w:tc>
          <w:tcPr>
            <w:tcW w:w="1185" w:type="dxa"/>
            <w:tcBorders>
              <w:left w:val="single" w:color="000000" w:sz="6" w:space="0"/>
              <w:bottom w:val="single" w:color="000000" w:sz="6" w:space="0"/>
            </w:tcBorders>
            <w:vAlign w:val="center"/>
          </w:tcPr>
          <w:p>
            <w:pPr>
              <w:pStyle w:val="402"/>
              <w:spacing w:line="320" w:lineRule="exact"/>
              <w:ind w:left="37" w:right="27"/>
              <w:jc w:val="center"/>
              <w:rPr>
                <w:rFonts w:ascii="Times New Roman" w:hAnsi="Times New Roman"/>
                <w:color w:val="auto"/>
                <w:sz w:val="21"/>
                <w:szCs w:val="21"/>
                <w:highlight w:val="none"/>
              </w:rPr>
            </w:pPr>
            <w:r>
              <w:rPr>
                <w:rFonts w:ascii="Times New Roman" w:hAnsi="Times New Roman"/>
                <w:color w:val="auto"/>
                <w:sz w:val="21"/>
                <w:szCs w:val="21"/>
                <w:highlight w:val="none"/>
              </w:rPr>
              <w:t>检出限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5"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rPr>
              <w:t>1</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right="186"/>
              <w:jc w:val="center"/>
              <w:rPr>
                <w:rFonts w:ascii="Times New Roman" w:hAnsi="Times New Roman"/>
                <w:color w:val="auto"/>
                <w:sz w:val="21"/>
                <w:szCs w:val="21"/>
                <w:highlight w:val="none"/>
              </w:rPr>
            </w:pPr>
            <w:r>
              <w:rPr>
                <w:rFonts w:ascii="Times New Roman" w:hAnsi="Times New Roman"/>
                <w:color w:val="auto"/>
                <w:sz w:val="21"/>
                <w:szCs w:val="21"/>
                <w:highlight w:val="none"/>
              </w:rPr>
              <w:t>pH</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4" w:leftChars="0" w:right="95" w:firstLine="99" w:firstLineChars="0"/>
              <w:jc w:val="center"/>
              <w:rPr>
                <w:rFonts w:hint="eastAsia" w:ascii="Times New Roman" w:hAnsi="Times New Roman"/>
                <w:color w:val="auto"/>
                <w:sz w:val="21"/>
                <w:szCs w:val="21"/>
                <w:highlight w:val="none"/>
              </w:rPr>
            </w:pPr>
            <w:r>
              <w:rPr>
                <w:rFonts w:hint="eastAsia" w:ascii="Times New Roman" w:hAnsi="Times New Roman"/>
                <w:color w:val="auto"/>
                <w:sz w:val="21"/>
                <w:szCs w:val="21"/>
                <w:highlight w:val="none"/>
              </w:rPr>
              <w:t>《水质pH 值的测定电极法》</w:t>
            </w:r>
          </w:p>
          <w:p>
            <w:pPr>
              <w:pStyle w:val="402"/>
              <w:spacing w:line="320" w:lineRule="exact"/>
              <w:ind w:left="4" w:leftChars="0" w:right="95" w:firstLine="99" w:firstLineChars="0"/>
              <w:jc w:val="center"/>
              <w:rPr>
                <w:rFonts w:ascii="Times New Roman" w:hAnsi="Times New Roman"/>
                <w:color w:val="auto"/>
                <w:sz w:val="21"/>
                <w:szCs w:val="21"/>
                <w:highlight w:val="none"/>
              </w:rPr>
            </w:pPr>
            <w:r>
              <w:rPr>
                <w:rFonts w:hint="eastAsia" w:ascii="Times New Roman" w:hAnsi="Times New Roman"/>
                <w:color w:val="auto"/>
                <w:sz w:val="21"/>
                <w:szCs w:val="21"/>
                <w:highlight w:val="none"/>
              </w:rPr>
              <w:t>HJ 1147-2020</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20" w:right="15"/>
              <w:jc w:val="center"/>
              <w:rPr>
                <w:rFonts w:hint="eastAsia" w:ascii="Times New Roman" w:hAnsi="Times New Roman"/>
                <w:color w:val="auto"/>
                <w:sz w:val="21"/>
                <w:szCs w:val="21"/>
                <w:highlight w:val="none"/>
              </w:rPr>
            </w:pPr>
            <w:r>
              <w:rPr>
                <w:rFonts w:hint="eastAsia" w:ascii="Times New Roman" w:hAnsi="Times New Roman"/>
                <w:color w:val="auto"/>
                <w:sz w:val="21"/>
                <w:szCs w:val="21"/>
                <w:highlight w:val="none"/>
              </w:rPr>
              <w:t>YHBJ-262 便携式</w:t>
            </w:r>
          </w:p>
          <w:p>
            <w:pPr>
              <w:pStyle w:val="402"/>
              <w:spacing w:line="320" w:lineRule="exact"/>
              <w:ind w:left="20" w:right="15"/>
              <w:jc w:val="center"/>
              <w:rPr>
                <w:rFonts w:ascii="Times New Roman" w:hAnsi="Times New Roman"/>
                <w:color w:val="auto"/>
                <w:sz w:val="21"/>
                <w:szCs w:val="21"/>
                <w:highlight w:val="none"/>
              </w:rPr>
            </w:pPr>
            <w:r>
              <w:rPr>
                <w:rFonts w:hint="eastAsia" w:ascii="Times New Roman" w:hAnsi="Times New Roman"/>
                <w:color w:val="auto"/>
                <w:sz w:val="21"/>
                <w:szCs w:val="21"/>
                <w:highlight w:val="none"/>
              </w:rPr>
              <w:t>pH/ORP 计（S159）</w:t>
            </w:r>
          </w:p>
        </w:tc>
        <w:tc>
          <w:tcPr>
            <w:tcW w:w="1185" w:type="dxa"/>
            <w:tcBorders>
              <w:top w:val="single" w:color="000000" w:sz="6" w:space="0"/>
              <w:left w:val="single" w:color="000000" w:sz="6" w:space="0"/>
              <w:bottom w:val="single" w:color="000000" w:sz="6" w:space="0"/>
            </w:tcBorders>
            <w:vAlign w:val="center"/>
          </w:tcPr>
          <w:p>
            <w:pPr>
              <w:spacing w:line="320" w:lineRule="exact"/>
              <w:ind w:leftChars="-66" w:hanging="138" w:hangingChars="66"/>
              <w:jc w:val="center"/>
              <w:rPr>
                <w:rFonts w:hint="eastAsia" w:eastAsia="宋体"/>
                <w:color w:val="auto"/>
                <w:szCs w:val="21"/>
                <w:highlight w:val="none"/>
                <w:lang w:eastAsia="zh-CN"/>
              </w:rPr>
            </w:pPr>
            <w:r>
              <w:rPr>
                <w:rFonts w:hint="eastAsia"/>
                <w:color w:val="auto"/>
                <w:szCs w:val="21"/>
                <w:highlight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7"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rPr>
              <w:t>2</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rPr>
              <w:t>总硬度</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39" w:firstLine="64"/>
              <w:jc w:val="center"/>
              <w:rPr>
                <w:rFonts w:ascii="Times New Roman" w:hAnsi="Times New Roman"/>
                <w:color w:val="auto"/>
                <w:sz w:val="21"/>
                <w:szCs w:val="21"/>
                <w:highlight w:val="none"/>
              </w:rPr>
            </w:pPr>
            <w:r>
              <w:rPr>
                <w:rFonts w:ascii="Times New Roman" w:hAnsi="Times New Roman"/>
                <w:color w:val="auto"/>
                <w:sz w:val="21"/>
                <w:szCs w:val="21"/>
                <w:highlight w:val="none"/>
              </w:rPr>
              <w:t>《生活饮用水标准检验方法感官性状和物理指标》</w:t>
            </w:r>
            <w:r>
              <w:rPr>
                <w:rFonts w:ascii="Times New Roman" w:hAnsi="Times New Roman" w:eastAsia="Times New Roman"/>
                <w:color w:val="auto"/>
                <w:sz w:val="21"/>
                <w:szCs w:val="21"/>
                <w:highlight w:val="none"/>
              </w:rPr>
              <w:t xml:space="preserve">GB/T 5750.4-2006 7.1 </w:t>
            </w:r>
            <w:r>
              <w:rPr>
                <w:rFonts w:ascii="Times New Roman" w:hAnsi="Times New Roman"/>
                <w:color w:val="auto"/>
                <w:sz w:val="21"/>
                <w:szCs w:val="21"/>
                <w:highlight w:val="none"/>
              </w:rPr>
              <w:t>乙二胺四乙酸二钠滴定法</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20" w:right="15"/>
              <w:jc w:val="center"/>
              <w:rPr>
                <w:rFonts w:hint="eastAsia" w:ascii="Times New Roman" w:hAnsi="Times New Roman" w:eastAsia="宋体"/>
                <w:color w:val="auto"/>
                <w:sz w:val="21"/>
                <w:szCs w:val="21"/>
                <w:highlight w:val="none"/>
                <w:lang w:eastAsia="zh-CN"/>
              </w:rPr>
            </w:pPr>
            <w:r>
              <w:rPr>
                <w:rFonts w:hint="eastAsia" w:ascii="Times New Roman" w:hAnsi="Times New Roman" w:eastAsia="宋体"/>
                <w:color w:val="auto"/>
                <w:sz w:val="21"/>
                <w:szCs w:val="21"/>
                <w:highlight w:val="none"/>
                <w:lang w:val="en-US" w:eastAsia="zh-CN"/>
              </w:rPr>
              <w:t>/</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auto"/>
                <w:szCs w:val="21"/>
                <w:highlight w:val="none"/>
              </w:rPr>
            </w:pPr>
            <w:r>
              <w:rPr>
                <w:color w:val="auto"/>
                <w:szCs w:val="21"/>
                <w:highlight w:val="none"/>
              </w:rPr>
              <w:t>1.0 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5"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3</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212" w:right="-15" w:hanging="209"/>
              <w:jc w:val="center"/>
              <w:rPr>
                <w:rFonts w:ascii="Times New Roman" w:hAnsi="Times New Roman"/>
                <w:color w:val="000000"/>
                <w:sz w:val="21"/>
                <w:szCs w:val="21"/>
                <w:highlight w:val="none"/>
              </w:rPr>
            </w:pPr>
            <w:r>
              <w:rPr>
                <w:rFonts w:ascii="Times New Roman" w:hAnsi="Times New Roman"/>
                <w:color w:val="000000"/>
                <w:spacing w:val="-1"/>
                <w:sz w:val="21"/>
                <w:szCs w:val="21"/>
                <w:highlight w:val="none"/>
              </w:rPr>
              <w:t>溶解性总固体</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tabs>
                <w:tab w:val="left" w:pos="2874"/>
              </w:tabs>
              <w:spacing w:line="320" w:lineRule="exact"/>
              <w:ind w:left="4" w:leftChars="0" w:right="95" w:firstLine="99" w:firstLineChars="0"/>
              <w:jc w:val="center"/>
              <w:rPr>
                <w:rFonts w:ascii="Times New Roman" w:hAnsi="Times New Roman"/>
                <w:color w:val="000000"/>
                <w:sz w:val="21"/>
                <w:szCs w:val="21"/>
                <w:highlight w:val="none"/>
              </w:rPr>
            </w:pPr>
            <w:r>
              <w:rPr>
                <w:rFonts w:ascii="Times New Roman" w:hAnsi="Times New Roman"/>
                <w:color w:val="000000"/>
                <w:sz w:val="21"/>
                <w:szCs w:val="21"/>
                <w:highlight w:val="none"/>
              </w:rPr>
              <w:t>《生</w:t>
            </w:r>
            <w:r>
              <w:rPr>
                <w:rFonts w:ascii="Times New Roman" w:hAnsi="Times New Roman"/>
                <w:color w:val="000000"/>
                <w:spacing w:val="-3"/>
                <w:sz w:val="21"/>
                <w:szCs w:val="21"/>
                <w:highlight w:val="none"/>
              </w:rPr>
              <w:t>活</w:t>
            </w:r>
            <w:r>
              <w:rPr>
                <w:rFonts w:ascii="Times New Roman" w:hAnsi="Times New Roman"/>
                <w:color w:val="000000"/>
                <w:sz w:val="21"/>
                <w:szCs w:val="21"/>
                <w:highlight w:val="none"/>
              </w:rPr>
              <w:t>饮</w:t>
            </w:r>
            <w:r>
              <w:rPr>
                <w:rFonts w:ascii="Times New Roman" w:hAnsi="Times New Roman"/>
                <w:color w:val="000000"/>
                <w:spacing w:val="-3"/>
                <w:sz w:val="21"/>
                <w:szCs w:val="21"/>
                <w:highlight w:val="none"/>
              </w:rPr>
              <w:t>用</w:t>
            </w:r>
            <w:r>
              <w:rPr>
                <w:rFonts w:ascii="Times New Roman" w:hAnsi="Times New Roman"/>
                <w:color w:val="000000"/>
                <w:sz w:val="21"/>
                <w:szCs w:val="21"/>
                <w:highlight w:val="none"/>
              </w:rPr>
              <w:t>水</w:t>
            </w:r>
            <w:r>
              <w:rPr>
                <w:rFonts w:ascii="Times New Roman" w:hAnsi="Times New Roman"/>
                <w:color w:val="000000"/>
                <w:spacing w:val="-3"/>
                <w:sz w:val="21"/>
                <w:szCs w:val="21"/>
                <w:highlight w:val="none"/>
              </w:rPr>
              <w:t>标</w:t>
            </w:r>
            <w:r>
              <w:rPr>
                <w:rFonts w:ascii="Times New Roman" w:hAnsi="Times New Roman"/>
                <w:color w:val="000000"/>
                <w:sz w:val="21"/>
                <w:szCs w:val="21"/>
                <w:highlight w:val="none"/>
              </w:rPr>
              <w:t>准</w:t>
            </w:r>
            <w:r>
              <w:rPr>
                <w:rFonts w:ascii="Times New Roman" w:hAnsi="Times New Roman"/>
                <w:color w:val="000000"/>
                <w:spacing w:val="-3"/>
                <w:sz w:val="21"/>
                <w:szCs w:val="21"/>
                <w:highlight w:val="none"/>
              </w:rPr>
              <w:t>检</w:t>
            </w:r>
            <w:r>
              <w:rPr>
                <w:rFonts w:ascii="Times New Roman" w:hAnsi="Times New Roman"/>
                <w:color w:val="000000"/>
                <w:sz w:val="21"/>
                <w:szCs w:val="21"/>
                <w:highlight w:val="none"/>
              </w:rPr>
              <w:t>验方法</w:t>
            </w:r>
            <w:r>
              <w:rPr>
                <w:rFonts w:ascii="Times New Roman" w:hAnsi="Times New Roman"/>
                <w:color w:val="000000"/>
                <w:spacing w:val="-3"/>
                <w:sz w:val="21"/>
                <w:szCs w:val="21"/>
                <w:highlight w:val="none"/>
              </w:rPr>
              <w:t>感</w:t>
            </w:r>
            <w:r>
              <w:rPr>
                <w:rFonts w:ascii="Times New Roman" w:hAnsi="Times New Roman"/>
                <w:color w:val="000000"/>
                <w:sz w:val="21"/>
                <w:szCs w:val="21"/>
                <w:highlight w:val="none"/>
              </w:rPr>
              <w:t>官</w:t>
            </w:r>
            <w:r>
              <w:rPr>
                <w:rFonts w:ascii="Times New Roman" w:hAnsi="Times New Roman"/>
                <w:color w:val="000000"/>
                <w:spacing w:val="-3"/>
                <w:sz w:val="21"/>
                <w:szCs w:val="21"/>
                <w:highlight w:val="none"/>
              </w:rPr>
              <w:t>性</w:t>
            </w:r>
            <w:r>
              <w:rPr>
                <w:rFonts w:ascii="Times New Roman" w:hAnsi="Times New Roman"/>
                <w:color w:val="000000"/>
                <w:sz w:val="21"/>
                <w:szCs w:val="21"/>
                <w:highlight w:val="none"/>
              </w:rPr>
              <w:t>状</w:t>
            </w:r>
            <w:r>
              <w:rPr>
                <w:rFonts w:ascii="Times New Roman" w:hAnsi="Times New Roman"/>
                <w:color w:val="000000"/>
                <w:spacing w:val="-3"/>
                <w:sz w:val="21"/>
                <w:szCs w:val="21"/>
                <w:highlight w:val="none"/>
              </w:rPr>
              <w:t>和</w:t>
            </w:r>
            <w:r>
              <w:rPr>
                <w:rFonts w:ascii="Times New Roman" w:hAnsi="Times New Roman"/>
                <w:color w:val="000000"/>
                <w:sz w:val="21"/>
                <w:szCs w:val="21"/>
                <w:highlight w:val="none"/>
              </w:rPr>
              <w:t>物</w:t>
            </w:r>
            <w:r>
              <w:rPr>
                <w:rFonts w:ascii="Times New Roman" w:hAnsi="Times New Roman"/>
                <w:color w:val="000000"/>
                <w:spacing w:val="-3"/>
                <w:sz w:val="21"/>
                <w:szCs w:val="21"/>
                <w:highlight w:val="none"/>
              </w:rPr>
              <w:t>理</w:t>
            </w:r>
            <w:r>
              <w:rPr>
                <w:rFonts w:ascii="Times New Roman" w:hAnsi="Times New Roman"/>
                <w:color w:val="000000"/>
                <w:sz w:val="21"/>
                <w:szCs w:val="21"/>
                <w:highlight w:val="none"/>
              </w:rPr>
              <w:t>指标</w:t>
            </w:r>
            <w:r>
              <w:rPr>
                <w:rFonts w:ascii="Times New Roman" w:hAnsi="Times New Roman"/>
                <w:color w:val="000000"/>
                <w:spacing w:val="-3"/>
                <w:sz w:val="21"/>
                <w:szCs w:val="21"/>
                <w:highlight w:val="none"/>
              </w:rPr>
              <w:t>》</w:t>
            </w:r>
            <w:r>
              <w:rPr>
                <w:rFonts w:ascii="Times New Roman" w:hAnsi="Times New Roman" w:eastAsia="Times New Roman"/>
                <w:color w:val="000000"/>
                <w:sz w:val="21"/>
                <w:szCs w:val="21"/>
                <w:highlight w:val="none"/>
              </w:rPr>
              <w:t>GB/T 5750.4-2006</w:t>
            </w:r>
            <w:r>
              <w:rPr>
                <w:rFonts w:ascii="Times New Roman" w:hAnsi="Times New Roman" w:eastAsia="Times New Roman"/>
                <w:color w:val="000000"/>
                <w:sz w:val="21"/>
                <w:szCs w:val="21"/>
                <w:highlight w:val="none"/>
              </w:rPr>
              <w:tab/>
            </w:r>
            <w:r>
              <w:rPr>
                <w:rFonts w:ascii="Times New Roman" w:hAnsi="Times New Roman" w:eastAsia="Times New Roman"/>
                <w:color w:val="000000"/>
                <w:sz w:val="21"/>
                <w:szCs w:val="21"/>
                <w:highlight w:val="none"/>
              </w:rPr>
              <w:t xml:space="preserve">8.1 </w:t>
            </w:r>
            <w:r>
              <w:rPr>
                <w:rFonts w:ascii="Times New Roman" w:hAnsi="Times New Roman"/>
                <w:color w:val="000000"/>
                <w:sz w:val="21"/>
                <w:szCs w:val="21"/>
                <w:highlight w:val="none"/>
              </w:rPr>
              <w:t>称</w:t>
            </w:r>
            <w:r>
              <w:rPr>
                <w:rFonts w:ascii="Times New Roman" w:hAnsi="Times New Roman"/>
                <w:color w:val="000000"/>
                <w:spacing w:val="-3"/>
                <w:sz w:val="21"/>
                <w:szCs w:val="21"/>
                <w:highlight w:val="none"/>
              </w:rPr>
              <w:t>量</w:t>
            </w:r>
            <w:r>
              <w:rPr>
                <w:rFonts w:ascii="Times New Roman" w:hAnsi="Times New Roman"/>
                <w:color w:val="000000"/>
                <w:sz w:val="21"/>
                <w:szCs w:val="21"/>
                <w:highlight w:val="none"/>
              </w:rPr>
              <w:t>法</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20" w:right="15"/>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AUW120D 电子天平</w:t>
            </w:r>
          </w:p>
          <w:p>
            <w:pPr>
              <w:pStyle w:val="402"/>
              <w:spacing w:line="320" w:lineRule="exact"/>
              <w:ind w:left="20" w:right="15"/>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(S021)</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rFonts w:hint="eastAsia"/>
                <w:color w:val="000000"/>
                <w:szCs w:val="21"/>
                <w:highlight w:val="none"/>
                <w:lang w:val="en-US" w:eastAsia="zh-CN"/>
              </w:rPr>
              <w:t>1</w:t>
            </w:r>
            <w:r>
              <w:rPr>
                <w:color w:val="000000"/>
                <w:szCs w:val="21"/>
                <w:highlight w:val="none"/>
              </w:rPr>
              <w:t>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8"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4</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8"/>
              <w:jc w:val="center"/>
              <w:rPr>
                <w:rFonts w:ascii="Times New Roman" w:hAnsi="Times New Roman"/>
                <w:color w:val="000000"/>
                <w:sz w:val="21"/>
                <w:szCs w:val="21"/>
                <w:highlight w:val="none"/>
              </w:rPr>
            </w:pPr>
            <w:r>
              <w:rPr>
                <w:rFonts w:ascii="Times New Roman" w:hAnsi="Times New Roman"/>
                <w:color w:val="000000"/>
                <w:sz w:val="21"/>
                <w:szCs w:val="21"/>
                <w:highlight w:val="none"/>
              </w:rPr>
              <w:t>耗氧量</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3"/>
              <w:jc w:val="center"/>
              <w:rPr>
                <w:rFonts w:ascii="Times New Roman" w:hAnsi="Times New Roman"/>
                <w:color w:val="000000"/>
                <w:sz w:val="21"/>
                <w:szCs w:val="21"/>
                <w:highlight w:val="none"/>
              </w:rPr>
            </w:pPr>
            <w:r>
              <w:rPr>
                <w:rFonts w:ascii="Times New Roman" w:hAnsi="Times New Roman"/>
                <w:color w:val="000000"/>
                <w:sz w:val="21"/>
                <w:szCs w:val="21"/>
                <w:highlight w:val="none"/>
              </w:rPr>
              <w:t>《生活饮用水标准检验方法有机物综合指标》</w:t>
            </w:r>
            <w:r>
              <w:rPr>
                <w:rFonts w:ascii="Times New Roman" w:hAnsi="Times New Roman" w:eastAsia="Times New Roman"/>
                <w:color w:val="000000"/>
                <w:sz w:val="21"/>
                <w:szCs w:val="21"/>
                <w:highlight w:val="none"/>
              </w:rPr>
              <w:t>GB/T5750.7-2006</w:t>
            </w:r>
            <w:r>
              <w:rPr>
                <w:rFonts w:ascii="Times New Roman" w:hAnsi="Times New Roman" w:eastAsia="Times New Roman"/>
                <w:color w:val="000000"/>
                <w:sz w:val="21"/>
                <w:szCs w:val="21"/>
                <w:highlight w:val="none"/>
              </w:rPr>
              <w:tab/>
            </w:r>
            <w:r>
              <w:rPr>
                <w:rFonts w:ascii="Times New Roman" w:hAnsi="Times New Roman" w:eastAsia="Times New Roman"/>
                <w:color w:val="000000"/>
                <w:sz w:val="21"/>
                <w:szCs w:val="21"/>
                <w:highlight w:val="none"/>
              </w:rPr>
              <w:t>1.1</w:t>
            </w:r>
            <w:r>
              <w:rPr>
                <w:rFonts w:ascii="Times New Roman" w:hAnsi="Times New Roman"/>
                <w:color w:val="000000"/>
                <w:spacing w:val="-3"/>
                <w:sz w:val="21"/>
                <w:szCs w:val="21"/>
                <w:highlight w:val="none"/>
              </w:rPr>
              <w:t>酸性高锰酸钾滴定法</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adjustRightInd w:val="0"/>
              <w:spacing w:line="320" w:lineRule="exact"/>
              <w:jc w:val="center"/>
              <w:rPr>
                <w:rFonts w:hint="eastAsia" w:ascii="Times New Roman" w:hAnsi="Times New Roman" w:eastAsia="宋体"/>
                <w:color w:val="000000"/>
                <w:sz w:val="21"/>
                <w:szCs w:val="21"/>
                <w:highlight w:val="none"/>
                <w:lang w:eastAsia="zh-CN"/>
              </w:rPr>
            </w:pPr>
            <w:r>
              <w:rPr>
                <w:rFonts w:hint="eastAsia" w:ascii="Times New Roman" w:hAnsi="Times New Roman" w:eastAsia="宋体"/>
                <w:color w:val="000000"/>
                <w:sz w:val="21"/>
                <w:szCs w:val="21"/>
                <w:highlight w:val="none"/>
                <w:lang w:val="en-US" w:eastAsia="zh-CN"/>
              </w:rPr>
              <w:t>/</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color w:val="000000"/>
                <w:szCs w:val="21"/>
                <w:highlight w:val="none"/>
              </w:rPr>
              <w:t>0.5mg/L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6"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5</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硝酸盐</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4"/>
              <w:jc w:val="center"/>
              <w:rPr>
                <w:rFonts w:ascii="Times New Roman" w:hAnsi="Times New Roman"/>
                <w:color w:val="000000"/>
                <w:sz w:val="21"/>
                <w:szCs w:val="21"/>
                <w:highlight w:val="none"/>
              </w:rPr>
            </w:pPr>
            <w:r>
              <w:rPr>
                <w:rFonts w:ascii="Times New Roman" w:hAnsi="Times New Roman"/>
                <w:color w:val="000000"/>
                <w:sz w:val="21"/>
                <w:szCs w:val="21"/>
                <w:highlight w:val="none"/>
              </w:rPr>
              <w:t>《生活饮用水标准检验方法无机非金属指标》</w:t>
            </w:r>
            <w:r>
              <w:rPr>
                <w:rFonts w:ascii="Times New Roman" w:hAnsi="Times New Roman" w:eastAsia="Times New Roman"/>
                <w:color w:val="000000"/>
                <w:sz w:val="21"/>
                <w:szCs w:val="21"/>
                <w:highlight w:val="none"/>
              </w:rPr>
              <w:t xml:space="preserve">GB/T 5750.5-2006 5.2 </w:t>
            </w:r>
            <w:r>
              <w:rPr>
                <w:rFonts w:ascii="Times New Roman" w:hAnsi="Times New Roman"/>
                <w:color w:val="000000"/>
                <w:sz w:val="21"/>
                <w:szCs w:val="21"/>
                <w:highlight w:val="none"/>
              </w:rPr>
              <w:t>紫外分光光度法</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adjustRightInd w:val="0"/>
              <w:spacing w:line="320" w:lineRule="exact"/>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T6 新世纪紫外可见</w:t>
            </w:r>
          </w:p>
          <w:p>
            <w:pPr>
              <w:pStyle w:val="402"/>
              <w:adjustRightInd w:val="0"/>
              <w:spacing w:line="320" w:lineRule="exact"/>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分光光度计(S037)</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color w:val="000000"/>
                <w:szCs w:val="21"/>
                <w:highlight w:val="none"/>
              </w:rPr>
              <w:t>0.</w:t>
            </w:r>
            <w:r>
              <w:rPr>
                <w:rFonts w:hint="eastAsia"/>
                <w:color w:val="000000"/>
                <w:szCs w:val="21"/>
                <w:highlight w:val="none"/>
                <w:lang w:val="en-US" w:eastAsia="zh-CN"/>
              </w:rPr>
              <w:t>2</w:t>
            </w:r>
            <w:r>
              <w:rPr>
                <w:color w:val="000000"/>
                <w:szCs w:val="21"/>
                <w:highlight w:val="none"/>
              </w:rPr>
              <w:t>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4"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6</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right="-15"/>
              <w:jc w:val="center"/>
              <w:rPr>
                <w:rFonts w:ascii="Times New Roman" w:hAnsi="Times New Roman"/>
                <w:color w:val="000000"/>
                <w:sz w:val="21"/>
                <w:szCs w:val="21"/>
                <w:highlight w:val="none"/>
              </w:rPr>
            </w:pPr>
            <w:r>
              <w:rPr>
                <w:rFonts w:ascii="Times New Roman" w:hAnsi="Times New Roman"/>
                <w:color w:val="000000"/>
                <w:spacing w:val="-1"/>
                <w:sz w:val="21"/>
                <w:szCs w:val="21"/>
                <w:highlight w:val="none"/>
              </w:rPr>
              <w:t>亚硝酸盐</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128"/>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《水质亚硝酸盐氮的测定分光光</w:t>
            </w:r>
          </w:p>
          <w:p>
            <w:pPr>
              <w:pStyle w:val="402"/>
              <w:spacing w:line="320" w:lineRule="exact"/>
              <w:ind w:left="128"/>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度法》GB/T 7493-1987</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adjustRightInd w:val="0"/>
              <w:spacing w:line="320" w:lineRule="exact"/>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T6 新世纪紫外可见</w:t>
            </w:r>
          </w:p>
          <w:p>
            <w:pPr>
              <w:pStyle w:val="402"/>
              <w:spacing w:line="320" w:lineRule="exact"/>
              <w:ind w:right="240"/>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分光光度计(S037)</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color w:val="000000"/>
                <w:szCs w:val="21"/>
                <w:highlight w:val="none"/>
              </w:rPr>
              <w:t>0.00</w:t>
            </w:r>
            <w:r>
              <w:rPr>
                <w:rFonts w:hint="eastAsia"/>
                <w:color w:val="000000"/>
                <w:szCs w:val="21"/>
                <w:highlight w:val="none"/>
                <w:lang w:val="en-US" w:eastAsia="zh-CN"/>
              </w:rPr>
              <w:t>3</w:t>
            </w:r>
            <w:r>
              <w:rPr>
                <w:color w:val="000000"/>
                <w:szCs w:val="21"/>
                <w:highlight w:val="none"/>
              </w:rPr>
              <w:t>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8"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7</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right="32"/>
              <w:jc w:val="center"/>
              <w:rPr>
                <w:rFonts w:ascii="Times New Roman" w:hAnsi="Times New Roman"/>
                <w:color w:val="000000"/>
                <w:sz w:val="21"/>
                <w:szCs w:val="21"/>
                <w:highlight w:val="none"/>
              </w:rPr>
            </w:pPr>
            <w:r>
              <w:rPr>
                <w:rFonts w:ascii="Times New Roman" w:hAnsi="Times New Roman"/>
                <w:color w:val="000000"/>
                <w:sz w:val="21"/>
                <w:szCs w:val="21"/>
                <w:highlight w:val="none"/>
              </w:rPr>
              <w:t>氨氮</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6"/>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《水质氨氮的测定纳氏试剂分光</w:t>
            </w:r>
          </w:p>
          <w:p>
            <w:pPr>
              <w:pStyle w:val="402"/>
              <w:spacing w:line="320" w:lineRule="exact"/>
              <w:ind w:left="6"/>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光度法》HJ 535-2009</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124" w:right="15"/>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722G 可见分光光度</w:t>
            </w:r>
          </w:p>
          <w:p>
            <w:pPr>
              <w:pStyle w:val="402"/>
              <w:spacing w:line="320" w:lineRule="exact"/>
              <w:ind w:left="124" w:right="15"/>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计(S052)</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color w:val="000000"/>
                <w:szCs w:val="21"/>
                <w:highlight w:val="none"/>
              </w:rPr>
              <w:t>0.025mg/L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65"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8</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8"/>
              <w:jc w:val="center"/>
              <w:rPr>
                <w:rFonts w:ascii="Times New Roman" w:hAnsi="Times New Roman"/>
                <w:color w:val="000000"/>
                <w:sz w:val="21"/>
                <w:szCs w:val="21"/>
                <w:highlight w:val="none"/>
              </w:rPr>
            </w:pPr>
            <w:r>
              <w:rPr>
                <w:rFonts w:ascii="Times New Roman" w:hAnsi="Times New Roman"/>
                <w:color w:val="000000"/>
                <w:sz w:val="21"/>
                <w:szCs w:val="21"/>
                <w:highlight w:val="none"/>
              </w:rPr>
              <w:t>氟化物</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5"/>
              <w:jc w:val="center"/>
              <w:rPr>
                <w:rFonts w:ascii="Times New Roman" w:hAnsi="Times New Roman"/>
                <w:color w:val="000000"/>
                <w:sz w:val="21"/>
                <w:szCs w:val="21"/>
                <w:highlight w:val="none"/>
              </w:rPr>
            </w:pPr>
            <w:r>
              <w:rPr>
                <w:rFonts w:ascii="Times New Roman" w:hAnsi="Times New Roman"/>
                <w:color w:val="000000"/>
                <w:sz w:val="21"/>
                <w:szCs w:val="21"/>
                <w:highlight w:val="none"/>
              </w:rPr>
              <w:t>《水质氟化物的测定离子选择电极法》</w:t>
            </w:r>
          </w:p>
          <w:p>
            <w:pPr>
              <w:pStyle w:val="402"/>
              <w:spacing w:line="320" w:lineRule="exact"/>
              <w:ind w:left="60"/>
              <w:jc w:val="center"/>
              <w:rPr>
                <w:rFonts w:ascii="Times New Roman" w:hAnsi="Times New Roman"/>
                <w:color w:val="000000"/>
                <w:sz w:val="21"/>
                <w:szCs w:val="21"/>
                <w:highlight w:val="none"/>
              </w:rPr>
            </w:pPr>
            <w:r>
              <w:rPr>
                <w:rFonts w:ascii="Times New Roman" w:hAnsi="Times New Roman"/>
                <w:color w:val="000000"/>
                <w:sz w:val="21"/>
                <w:szCs w:val="21"/>
                <w:highlight w:val="none"/>
              </w:rPr>
              <w:t>GB/T7484-1987</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18" w:right="15"/>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PXSJ-216 离子计</w:t>
            </w:r>
          </w:p>
          <w:p>
            <w:pPr>
              <w:pStyle w:val="402"/>
              <w:spacing w:line="320" w:lineRule="exact"/>
              <w:ind w:left="18" w:right="15"/>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（S005）</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color w:val="000000"/>
                <w:szCs w:val="21"/>
                <w:highlight w:val="none"/>
              </w:rPr>
              <w:t>0.</w:t>
            </w:r>
            <w:r>
              <w:rPr>
                <w:rFonts w:hint="eastAsia"/>
                <w:color w:val="000000"/>
                <w:szCs w:val="21"/>
                <w:highlight w:val="none"/>
                <w:lang w:val="en-US" w:eastAsia="zh-CN"/>
              </w:rPr>
              <w:t>05</w:t>
            </w:r>
            <w:r>
              <w:rPr>
                <w:color w:val="000000"/>
                <w:szCs w:val="21"/>
                <w:highlight w:val="none"/>
              </w:rPr>
              <w:t>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56"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9</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8"/>
              <w:jc w:val="center"/>
              <w:rPr>
                <w:rFonts w:ascii="Times New Roman" w:hAnsi="Times New Roman"/>
                <w:color w:val="000000"/>
                <w:sz w:val="21"/>
                <w:szCs w:val="21"/>
                <w:highlight w:val="none"/>
              </w:rPr>
            </w:pPr>
            <w:r>
              <w:rPr>
                <w:rFonts w:ascii="Times New Roman" w:hAnsi="Times New Roman"/>
                <w:color w:val="000000"/>
                <w:sz w:val="21"/>
                <w:szCs w:val="21"/>
                <w:highlight w:val="none"/>
              </w:rPr>
              <w:t>氯化物</w:t>
            </w:r>
          </w:p>
        </w:tc>
        <w:tc>
          <w:tcPr>
            <w:tcW w:w="3867" w:type="dxa"/>
            <w:tcBorders>
              <w:top w:val="single" w:color="000000" w:sz="6" w:space="0"/>
              <w:left w:val="single" w:color="000000" w:sz="6" w:space="0"/>
              <w:right w:val="single" w:color="000000" w:sz="6" w:space="0"/>
            </w:tcBorders>
            <w:vAlign w:val="center"/>
          </w:tcPr>
          <w:p>
            <w:pPr>
              <w:pStyle w:val="402"/>
              <w:spacing w:line="320" w:lineRule="exact"/>
              <w:ind w:left="7"/>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《水质氯化物的测定硝酸银滴定</w:t>
            </w:r>
          </w:p>
          <w:p>
            <w:pPr>
              <w:pStyle w:val="402"/>
              <w:spacing w:line="320" w:lineRule="exact"/>
              <w:ind w:left="7"/>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法》GB/T 11896-1989</w:t>
            </w:r>
          </w:p>
        </w:tc>
        <w:tc>
          <w:tcPr>
            <w:tcW w:w="2032" w:type="dxa"/>
            <w:tcBorders>
              <w:top w:val="single" w:color="000000" w:sz="6" w:space="0"/>
              <w:left w:val="single" w:color="000000" w:sz="6" w:space="0"/>
              <w:right w:val="single" w:color="000000" w:sz="6" w:space="0"/>
            </w:tcBorders>
            <w:vAlign w:val="center"/>
          </w:tcPr>
          <w:p>
            <w:pPr>
              <w:pStyle w:val="402"/>
              <w:spacing w:line="320" w:lineRule="exact"/>
              <w:ind w:left="23" w:right="15"/>
              <w:jc w:val="center"/>
              <w:rPr>
                <w:rFonts w:hint="eastAsia" w:ascii="Times New Roman" w:hAnsi="Times New Roman" w:eastAsia="宋体"/>
                <w:color w:val="000000"/>
                <w:sz w:val="21"/>
                <w:szCs w:val="21"/>
                <w:highlight w:val="none"/>
                <w:lang w:eastAsia="zh-CN"/>
              </w:rPr>
            </w:pPr>
            <w:r>
              <w:rPr>
                <w:rFonts w:hint="eastAsia" w:ascii="Times New Roman" w:hAnsi="Times New Roman"/>
                <w:color w:val="000000"/>
                <w:sz w:val="21"/>
                <w:szCs w:val="21"/>
                <w:highlight w:val="none"/>
                <w:lang w:val="en-US" w:eastAsia="zh-CN"/>
              </w:rPr>
              <w:t>/</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rFonts w:hint="eastAsia"/>
                <w:color w:val="000000"/>
                <w:szCs w:val="21"/>
                <w:highlight w:val="none"/>
                <w:lang w:val="en-US" w:eastAsia="zh-CN"/>
              </w:rPr>
              <w:t>10</w:t>
            </w:r>
            <w:r>
              <w:rPr>
                <w:color w:val="000000"/>
                <w:szCs w:val="21"/>
                <w:highlight w:val="none"/>
              </w:rPr>
              <w:t>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35"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10</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8"/>
              <w:jc w:val="center"/>
              <w:rPr>
                <w:rFonts w:ascii="Times New Roman" w:hAnsi="Times New Roman"/>
                <w:color w:val="000000"/>
                <w:sz w:val="21"/>
                <w:szCs w:val="21"/>
                <w:highlight w:val="none"/>
              </w:rPr>
            </w:pPr>
            <w:r>
              <w:rPr>
                <w:rFonts w:ascii="Times New Roman" w:hAnsi="Times New Roman"/>
                <w:color w:val="000000"/>
                <w:sz w:val="21"/>
                <w:szCs w:val="21"/>
                <w:highlight w:val="none"/>
              </w:rPr>
              <w:t>硫酸盐</w:t>
            </w:r>
          </w:p>
        </w:tc>
        <w:tc>
          <w:tcPr>
            <w:tcW w:w="3867" w:type="dxa"/>
            <w:tcBorders>
              <w:left w:val="single" w:color="000000" w:sz="6" w:space="0"/>
              <w:bottom w:val="single" w:color="000000" w:sz="6" w:space="0"/>
              <w:right w:val="single" w:color="000000" w:sz="6" w:space="0"/>
            </w:tcBorders>
            <w:vAlign w:val="center"/>
          </w:tcPr>
          <w:p>
            <w:pPr>
              <w:pStyle w:val="402"/>
              <w:spacing w:line="320" w:lineRule="exact"/>
              <w:ind w:left="6"/>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《水质硫酸盐的测定铬酸钡分光</w:t>
            </w:r>
          </w:p>
          <w:p>
            <w:pPr>
              <w:pStyle w:val="402"/>
              <w:spacing w:line="320" w:lineRule="exact"/>
              <w:ind w:left="6"/>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光度法（试行）》HJ/T 342-2007</w:t>
            </w:r>
          </w:p>
        </w:tc>
        <w:tc>
          <w:tcPr>
            <w:tcW w:w="2032" w:type="dxa"/>
            <w:tcBorders>
              <w:left w:val="single" w:color="000000" w:sz="6" w:space="0"/>
              <w:bottom w:val="single" w:color="000000" w:sz="6" w:space="0"/>
              <w:right w:val="single" w:color="000000" w:sz="6" w:space="0"/>
            </w:tcBorders>
            <w:vAlign w:val="center"/>
          </w:tcPr>
          <w:p>
            <w:pPr>
              <w:pStyle w:val="402"/>
              <w:spacing w:line="320" w:lineRule="exact"/>
              <w:ind w:left="23" w:right="15"/>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722G 可见分光光度</w:t>
            </w:r>
          </w:p>
          <w:p>
            <w:pPr>
              <w:pStyle w:val="402"/>
              <w:spacing w:line="320" w:lineRule="exact"/>
              <w:ind w:left="23" w:right="15"/>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计(S052)</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rFonts w:hint="eastAsia"/>
                <w:color w:val="000000"/>
                <w:szCs w:val="21"/>
                <w:highlight w:val="none"/>
                <w:lang w:val="en-US" w:eastAsia="zh-CN"/>
              </w:rPr>
              <w:t>8</w:t>
            </w:r>
            <w:r>
              <w:rPr>
                <w:color w:val="000000"/>
                <w:szCs w:val="21"/>
                <w:highlight w:val="none"/>
              </w:rPr>
              <w:t>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68"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11</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4" w:right="-15"/>
              <w:jc w:val="center"/>
              <w:rPr>
                <w:rFonts w:ascii="Times New Roman" w:hAnsi="Times New Roman"/>
                <w:color w:val="000000"/>
                <w:sz w:val="21"/>
                <w:szCs w:val="21"/>
                <w:highlight w:val="none"/>
              </w:rPr>
            </w:pPr>
            <w:r>
              <w:rPr>
                <w:rFonts w:ascii="Times New Roman" w:hAnsi="Times New Roman"/>
                <w:color w:val="000000"/>
                <w:spacing w:val="-1"/>
                <w:sz w:val="21"/>
                <w:szCs w:val="21"/>
                <w:highlight w:val="none"/>
              </w:rPr>
              <w:t>挥发酚</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8" w:leftChars="0" w:right="85" w:firstLine="85" w:firstLineChars="0"/>
              <w:jc w:val="center"/>
              <w:rPr>
                <w:rFonts w:ascii="Times New Roman" w:hAnsi="Times New Roman" w:eastAsia="Times New Roman"/>
                <w:color w:val="000000"/>
                <w:sz w:val="21"/>
                <w:szCs w:val="21"/>
                <w:highlight w:val="none"/>
              </w:rPr>
            </w:pPr>
            <w:r>
              <w:rPr>
                <w:rFonts w:ascii="Times New Roman" w:hAnsi="Times New Roman"/>
                <w:color w:val="000000"/>
                <w:spacing w:val="-12"/>
                <w:sz w:val="21"/>
                <w:szCs w:val="21"/>
                <w:highlight w:val="none"/>
              </w:rPr>
              <w:t>《水质挥发酚的测定</w:t>
            </w:r>
            <w:r>
              <w:rPr>
                <w:rFonts w:ascii="Times New Roman" w:hAnsi="Times New Roman" w:eastAsia="Times New Roman"/>
                <w:color w:val="000000"/>
                <w:sz w:val="21"/>
                <w:szCs w:val="21"/>
                <w:highlight w:val="none"/>
              </w:rPr>
              <w:t>4-</w:t>
            </w:r>
            <w:r>
              <w:rPr>
                <w:rFonts w:ascii="Times New Roman" w:hAnsi="Times New Roman"/>
                <w:color w:val="000000"/>
                <w:spacing w:val="-3"/>
                <w:sz w:val="21"/>
                <w:szCs w:val="21"/>
                <w:highlight w:val="none"/>
              </w:rPr>
              <w:t>氨基安替比林分光光度</w:t>
            </w:r>
            <w:r>
              <w:rPr>
                <w:rFonts w:ascii="Times New Roman" w:hAnsi="Times New Roman"/>
                <w:color w:val="000000"/>
                <w:spacing w:val="-21"/>
                <w:sz w:val="21"/>
                <w:szCs w:val="21"/>
                <w:highlight w:val="none"/>
              </w:rPr>
              <w:t>法》</w:t>
            </w:r>
            <w:r>
              <w:rPr>
                <w:rFonts w:ascii="Times New Roman" w:hAnsi="Times New Roman" w:eastAsia="Times New Roman"/>
                <w:color w:val="000000"/>
                <w:sz w:val="21"/>
                <w:szCs w:val="21"/>
                <w:highlight w:val="none"/>
              </w:rPr>
              <w:t>HJ 503-2009</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124" w:right="15"/>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T6 新世纪紫外可见</w:t>
            </w:r>
          </w:p>
          <w:p>
            <w:pPr>
              <w:pStyle w:val="402"/>
              <w:spacing w:line="320" w:lineRule="exact"/>
              <w:ind w:left="124" w:right="15"/>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分光光度计(S037)</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color w:val="000000"/>
                <w:szCs w:val="21"/>
                <w:highlight w:val="none"/>
              </w:rPr>
              <w:t>0.0003mg/L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68"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12</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4" w:right="-15"/>
              <w:jc w:val="center"/>
              <w:rPr>
                <w:rFonts w:ascii="Times New Roman" w:hAnsi="Times New Roman"/>
                <w:color w:val="000000"/>
                <w:spacing w:val="-1"/>
                <w:sz w:val="21"/>
                <w:szCs w:val="21"/>
                <w:highlight w:val="none"/>
              </w:rPr>
            </w:pPr>
            <w:r>
              <w:rPr>
                <w:rFonts w:ascii="Times New Roman" w:hAnsi="Times New Roman"/>
                <w:color w:val="000000"/>
                <w:spacing w:val="-1"/>
                <w:sz w:val="21"/>
                <w:szCs w:val="21"/>
                <w:highlight w:val="none"/>
              </w:rPr>
              <w:t>氰化物</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4" w:right="-15"/>
              <w:jc w:val="center"/>
              <w:rPr>
                <w:rFonts w:ascii="Times New Roman" w:hAnsi="Times New Roman"/>
                <w:color w:val="000000"/>
                <w:spacing w:val="-12"/>
                <w:sz w:val="21"/>
                <w:szCs w:val="21"/>
                <w:highlight w:val="none"/>
              </w:rPr>
            </w:pPr>
            <w:r>
              <w:rPr>
                <w:rFonts w:ascii="Times New Roman" w:hAnsi="Times New Roman"/>
                <w:color w:val="000000"/>
                <w:spacing w:val="-1"/>
                <w:sz w:val="21"/>
                <w:szCs w:val="21"/>
                <w:highlight w:val="none"/>
              </w:rPr>
              <w:t>《生活饮用水标准检验方法 无机非金属指标》GB/T 5750.5-2006 4.1 异烟酸-吡唑啉酮分光光度法</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23" w:right="15"/>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T6 新世纪紫外可见</w:t>
            </w:r>
          </w:p>
          <w:p>
            <w:pPr>
              <w:pStyle w:val="402"/>
              <w:spacing w:line="320" w:lineRule="exact"/>
              <w:ind w:left="23" w:right="15"/>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分光光度计(S037)</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color w:val="000000"/>
                <w:szCs w:val="21"/>
                <w:highlight w:val="none"/>
              </w:rPr>
              <w:t>0.002mg/L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5"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13</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right="97"/>
              <w:jc w:val="center"/>
              <w:rPr>
                <w:rFonts w:ascii="Times New Roman" w:hAnsi="Times New Roman"/>
                <w:color w:val="000000"/>
                <w:sz w:val="21"/>
                <w:szCs w:val="21"/>
                <w:highlight w:val="none"/>
              </w:rPr>
            </w:pPr>
            <w:r>
              <w:rPr>
                <w:rFonts w:ascii="Times New Roman" w:hAnsi="Times New Roman"/>
                <w:color w:val="000000"/>
                <w:sz w:val="21"/>
                <w:szCs w:val="21"/>
                <w:highlight w:val="none"/>
              </w:rPr>
              <w:t>铬（六价）</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233" w:leftChars="0" w:right="174" w:hanging="50" w:firstLineChars="0"/>
              <w:jc w:val="center"/>
              <w:rPr>
                <w:rFonts w:hint="eastAsia"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《生活饮用水标准检验方法金属指</w:t>
            </w:r>
          </w:p>
          <w:p>
            <w:pPr>
              <w:pStyle w:val="402"/>
              <w:spacing w:line="320" w:lineRule="exact"/>
              <w:ind w:left="233" w:leftChars="0" w:right="174" w:hanging="50" w:firstLineChars="0"/>
              <w:jc w:val="center"/>
              <w:rPr>
                <w:rFonts w:hint="eastAsia"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标》GB/T 5750.6-2006</w:t>
            </w:r>
          </w:p>
          <w:p>
            <w:pPr>
              <w:pStyle w:val="402"/>
              <w:spacing w:line="320" w:lineRule="exact"/>
              <w:ind w:left="233" w:leftChars="0" w:right="174" w:hanging="50" w:firstLineChars="0"/>
              <w:jc w:val="center"/>
              <w:rPr>
                <w:rFonts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10.1 二苯碳酰二肼分光光度法</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124" w:right="15"/>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T6 新世纪紫外可见</w:t>
            </w:r>
          </w:p>
          <w:p>
            <w:pPr>
              <w:pStyle w:val="402"/>
              <w:spacing w:line="320" w:lineRule="exact"/>
              <w:ind w:left="124" w:right="15"/>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分光光度计(S037)</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color w:val="000000"/>
                <w:szCs w:val="21"/>
                <w:highlight w:val="none"/>
              </w:rPr>
              <w:t>0.004mg/L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817"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14</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铅</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7"/>
              <w:jc w:val="center"/>
              <w:rPr>
                <w:rFonts w:ascii="Times New Roman" w:hAnsi="Times New Roman"/>
                <w:color w:val="000000"/>
                <w:sz w:val="21"/>
                <w:szCs w:val="21"/>
                <w:highlight w:val="none"/>
              </w:rPr>
            </w:pPr>
            <w:r>
              <w:rPr>
                <w:rFonts w:ascii="Times New Roman" w:hAnsi="Times New Roman"/>
                <w:color w:val="000000"/>
                <w:sz w:val="21"/>
                <w:szCs w:val="21"/>
                <w:highlight w:val="none"/>
              </w:rPr>
              <w:t>《生活饮用水标准检验方法金属指标》</w:t>
            </w:r>
          </w:p>
          <w:p>
            <w:pPr>
              <w:pStyle w:val="402"/>
              <w:spacing w:line="320" w:lineRule="exact"/>
              <w:ind w:left="1"/>
              <w:jc w:val="center"/>
              <w:rPr>
                <w:rFonts w:ascii="Times New Roman" w:hAnsi="Times New Roman"/>
                <w:color w:val="000000"/>
                <w:sz w:val="21"/>
                <w:szCs w:val="21"/>
                <w:highlight w:val="none"/>
              </w:rPr>
            </w:pPr>
            <w:r>
              <w:rPr>
                <w:rFonts w:ascii="Times New Roman" w:hAnsi="Times New Roman" w:eastAsia="Times New Roman"/>
                <w:color w:val="000000"/>
                <w:sz w:val="21"/>
                <w:szCs w:val="21"/>
                <w:highlight w:val="none"/>
              </w:rPr>
              <w:t xml:space="preserve">GB/T 5750.6-2006 11.2 </w:t>
            </w:r>
            <w:r>
              <w:rPr>
                <w:rFonts w:ascii="Times New Roman" w:hAnsi="Times New Roman"/>
                <w:color w:val="000000"/>
                <w:sz w:val="21"/>
                <w:szCs w:val="21"/>
                <w:highlight w:val="none"/>
              </w:rPr>
              <w:t>无火焰原子吸收分光光度法</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81" w:right="31" w:hanging="44"/>
              <w:jc w:val="center"/>
              <w:rPr>
                <w:rFonts w:hint="eastAsia"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TAS-990AFG 原子吸</w:t>
            </w:r>
          </w:p>
          <w:p>
            <w:pPr>
              <w:pStyle w:val="402"/>
              <w:spacing w:line="320" w:lineRule="exact"/>
              <w:ind w:left="81" w:right="31" w:hanging="44"/>
              <w:jc w:val="center"/>
              <w:rPr>
                <w:rFonts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收分光光度计（S023）</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color w:val="000000"/>
                <w:szCs w:val="21"/>
                <w:highlight w:val="none"/>
              </w:rPr>
              <w:t>2.5μg/L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68"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15</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镉</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tabs>
                <w:tab w:val="left" w:pos="1869"/>
              </w:tabs>
              <w:spacing w:line="320" w:lineRule="exact"/>
              <w:ind w:left="7"/>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《生活饮用水标准检验方法金属指</w:t>
            </w:r>
          </w:p>
          <w:p>
            <w:pPr>
              <w:pStyle w:val="402"/>
              <w:tabs>
                <w:tab w:val="left" w:pos="1869"/>
              </w:tabs>
              <w:spacing w:line="320" w:lineRule="exact"/>
              <w:ind w:left="7"/>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标》GB/T 5750.6-2006</w:t>
            </w:r>
          </w:p>
          <w:p>
            <w:pPr>
              <w:pStyle w:val="402"/>
              <w:tabs>
                <w:tab w:val="left" w:pos="1869"/>
              </w:tabs>
              <w:spacing w:line="320" w:lineRule="exact"/>
              <w:ind w:left="7"/>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9.1 无火焰原子吸收分光光度法</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81" w:right="31" w:hanging="44"/>
              <w:jc w:val="center"/>
              <w:rPr>
                <w:rFonts w:hint="eastAsia"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TAS-990AFG 原子吸</w:t>
            </w:r>
          </w:p>
          <w:p>
            <w:pPr>
              <w:pStyle w:val="402"/>
              <w:spacing w:line="320" w:lineRule="exact"/>
              <w:ind w:left="81" w:right="31" w:hanging="44"/>
              <w:jc w:val="center"/>
              <w:rPr>
                <w:rFonts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收分光光度计（S023）</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color w:val="000000"/>
                <w:szCs w:val="21"/>
                <w:highlight w:val="none"/>
              </w:rPr>
              <w:t>0.5μg/L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6"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16</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铁</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4"/>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《水质铁、锰的测定火焰原子吸收</w:t>
            </w:r>
          </w:p>
          <w:p>
            <w:pPr>
              <w:pStyle w:val="402"/>
              <w:spacing w:line="320" w:lineRule="exact"/>
              <w:ind w:left="4"/>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分光光度法》GB/T 11911-1989</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81" w:right="31" w:hanging="44"/>
              <w:jc w:val="center"/>
              <w:rPr>
                <w:rFonts w:hint="eastAsia"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TAS-990AFG 原子吸</w:t>
            </w:r>
          </w:p>
          <w:p>
            <w:pPr>
              <w:pStyle w:val="402"/>
              <w:spacing w:line="320" w:lineRule="exact"/>
              <w:ind w:left="81" w:right="31" w:hanging="44"/>
              <w:jc w:val="center"/>
              <w:rPr>
                <w:rFonts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收分光光度计（S023）</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color w:val="000000"/>
                <w:szCs w:val="21"/>
                <w:highlight w:val="none"/>
              </w:rPr>
              <w:t>0.03mg/L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8"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17</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锰</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4"/>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《水质铁、锰的测定火焰原子吸收</w:t>
            </w:r>
          </w:p>
          <w:p>
            <w:pPr>
              <w:pStyle w:val="402"/>
              <w:spacing w:line="320" w:lineRule="exact"/>
              <w:ind w:left="4"/>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分光光度法》GB/T 11911-1989</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81" w:right="31" w:hanging="44"/>
              <w:jc w:val="center"/>
              <w:rPr>
                <w:rFonts w:hint="eastAsia"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TAS-990AFG 原子吸</w:t>
            </w:r>
          </w:p>
          <w:p>
            <w:pPr>
              <w:pStyle w:val="402"/>
              <w:spacing w:line="320" w:lineRule="exact"/>
              <w:ind w:left="81" w:right="31" w:hanging="44"/>
              <w:jc w:val="center"/>
              <w:rPr>
                <w:rFonts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收分光光度计（S023）</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color w:val="000000"/>
                <w:szCs w:val="21"/>
                <w:highlight w:val="none"/>
              </w:rPr>
              <w:t>0.01mg/L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8"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18</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汞</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《水质汞、砷、硒、铋和锑的测定原</w:t>
            </w:r>
          </w:p>
          <w:p>
            <w:pPr>
              <w:pStyle w:val="402"/>
              <w:adjustRightInd w:val="0"/>
              <w:snapToGrid w:val="0"/>
              <w:spacing w:line="320" w:lineRule="exact"/>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子荧光法》HJ 694-2014</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AFS-8520 原子荧光</w:t>
            </w:r>
          </w:p>
          <w:p>
            <w:pPr>
              <w:pStyle w:val="402"/>
              <w:adjustRightInd w:val="0"/>
              <w:snapToGrid w:val="0"/>
              <w:spacing w:line="320" w:lineRule="exact"/>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光度计(S024)</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color w:val="000000"/>
                <w:szCs w:val="21"/>
                <w:highlight w:val="none"/>
              </w:rPr>
              <w:t>0.1μg/L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5"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19</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砷</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tabs>
                <w:tab w:val="left" w:pos="1975"/>
              </w:tabs>
              <w:adjustRightInd w:val="0"/>
              <w:snapToGrid w:val="0"/>
              <w:spacing w:line="320" w:lineRule="exact"/>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《水质汞、砷、硒、铋和锑的测定原</w:t>
            </w:r>
          </w:p>
          <w:p>
            <w:pPr>
              <w:pStyle w:val="402"/>
              <w:tabs>
                <w:tab w:val="left" w:pos="1975"/>
              </w:tabs>
              <w:adjustRightInd w:val="0"/>
              <w:snapToGrid w:val="0"/>
              <w:spacing w:line="320" w:lineRule="exact"/>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子荧光法》HJ 694-2014</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hint="eastAsia"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AFS-8520 原子荧光</w:t>
            </w:r>
          </w:p>
          <w:p>
            <w:pPr>
              <w:pStyle w:val="402"/>
              <w:adjustRightInd w:val="0"/>
              <w:snapToGrid w:val="0"/>
              <w:spacing w:line="320" w:lineRule="exact"/>
              <w:jc w:val="center"/>
              <w:rPr>
                <w:rFonts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光度计（S024）</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color w:val="000000"/>
                <w:szCs w:val="21"/>
                <w:highlight w:val="none"/>
              </w:rPr>
              <w:t>1.0μg/L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7"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20</w:t>
            </w:r>
          </w:p>
        </w:tc>
        <w:tc>
          <w:tcPr>
            <w:tcW w:w="855" w:type="dxa"/>
            <w:tcBorders>
              <w:top w:val="single" w:color="000000" w:sz="6" w:space="0"/>
              <w:left w:val="single" w:color="000000" w:sz="6" w:space="0"/>
              <w:bottom w:val="single" w:color="000000" w:sz="6" w:space="0"/>
              <w:right w:val="single" w:color="000000" w:sz="6" w:space="0"/>
            </w:tcBorders>
            <w:vAlign w:val="center"/>
          </w:tcPr>
          <w:p>
            <w:pPr>
              <w:spacing w:line="320" w:lineRule="exact"/>
              <w:jc w:val="center"/>
              <w:rPr>
                <w:color w:val="000000"/>
                <w:szCs w:val="21"/>
                <w:highlight w:val="none"/>
              </w:rPr>
            </w:pPr>
            <w:r>
              <w:rPr>
                <w:color w:val="000000"/>
                <w:szCs w:val="21"/>
                <w:highlight w:val="none"/>
              </w:rPr>
              <w:t>K+</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《水质钾和钠的测定火焰原子吸</w:t>
            </w:r>
          </w:p>
          <w:p>
            <w:pPr>
              <w:pStyle w:val="402"/>
              <w:adjustRightInd w:val="0"/>
              <w:snapToGrid w:val="0"/>
              <w:spacing w:line="320" w:lineRule="exact"/>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收分光光度法》</w:t>
            </w:r>
          </w:p>
          <w:p>
            <w:pPr>
              <w:pStyle w:val="402"/>
              <w:adjustRightInd w:val="0"/>
              <w:snapToGrid w:val="0"/>
              <w:spacing w:line="320" w:lineRule="exact"/>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GB/T 11904-1989</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hint="eastAsia"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TAS-990AFG 原子吸</w:t>
            </w:r>
          </w:p>
          <w:p>
            <w:pPr>
              <w:pStyle w:val="402"/>
              <w:adjustRightInd w:val="0"/>
              <w:snapToGrid w:val="0"/>
              <w:spacing w:line="320" w:lineRule="exact"/>
              <w:jc w:val="center"/>
              <w:rPr>
                <w:rFonts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收分光光度计（S023）</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color w:val="000000"/>
                <w:szCs w:val="21"/>
                <w:highlight w:val="none"/>
              </w:rPr>
              <w:t>0.05mg/L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8"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21</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Na</w:t>
            </w:r>
            <w:r>
              <w:rPr>
                <w:rFonts w:ascii="Times New Roman" w:hAnsi="Times New Roman"/>
                <w:color w:val="000000"/>
                <w:position w:val="7"/>
                <w:sz w:val="21"/>
                <w:szCs w:val="21"/>
                <w:highlight w:val="none"/>
              </w:rPr>
              <w:t>+</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《水质钾和钠的测定火焰原子吸</w:t>
            </w:r>
          </w:p>
          <w:p>
            <w:pPr>
              <w:pStyle w:val="402"/>
              <w:adjustRightInd w:val="0"/>
              <w:snapToGrid w:val="0"/>
              <w:spacing w:line="320" w:lineRule="exact"/>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收分光光度法》GB/T 11904-1989</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hint="eastAsia"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TAS-990AFG 原子吸</w:t>
            </w:r>
          </w:p>
          <w:p>
            <w:pPr>
              <w:pStyle w:val="402"/>
              <w:adjustRightInd w:val="0"/>
              <w:snapToGrid w:val="0"/>
              <w:spacing w:line="320" w:lineRule="exact"/>
              <w:jc w:val="center"/>
              <w:rPr>
                <w:rFonts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收分光光度计（S023）</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color w:val="000000"/>
                <w:szCs w:val="21"/>
                <w:highlight w:val="none"/>
              </w:rPr>
              <w:t>0.01mg/L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5"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22</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position w:val="-6"/>
                <w:sz w:val="21"/>
                <w:szCs w:val="21"/>
                <w:highlight w:val="none"/>
              </w:rPr>
              <w:t>Ca</w:t>
            </w:r>
            <w:r>
              <w:rPr>
                <w:rFonts w:ascii="Times New Roman" w:hAnsi="Times New Roman"/>
                <w:color w:val="000000"/>
                <w:sz w:val="21"/>
                <w:szCs w:val="21"/>
                <w:highlight w:val="none"/>
                <w:vertAlign w:val="superscript"/>
              </w:rPr>
              <w:t>2+</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《水质钙和镁的测定原子吸收分</w:t>
            </w:r>
          </w:p>
          <w:p>
            <w:pPr>
              <w:pStyle w:val="402"/>
              <w:adjustRightInd w:val="0"/>
              <w:snapToGrid w:val="0"/>
              <w:spacing w:line="320" w:lineRule="exact"/>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光光度法》GB/T 11905-1989</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hint="eastAsia"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TAS-990AFG 原子吸</w:t>
            </w:r>
          </w:p>
          <w:p>
            <w:pPr>
              <w:pStyle w:val="402"/>
              <w:adjustRightInd w:val="0"/>
              <w:snapToGrid w:val="0"/>
              <w:spacing w:line="320" w:lineRule="exact"/>
              <w:jc w:val="center"/>
              <w:rPr>
                <w:rFonts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收分光光度计（S023）</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color w:val="000000"/>
                <w:szCs w:val="21"/>
                <w:highlight w:val="none"/>
              </w:rPr>
              <w:t>0.02mg/L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8"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23</w:t>
            </w:r>
          </w:p>
        </w:tc>
        <w:tc>
          <w:tcPr>
            <w:tcW w:w="855" w:type="dxa"/>
            <w:tcBorders>
              <w:top w:val="single" w:color="000000" w:sz="6" w:space="0"/>
              <w:left w:val="single" w:color="000000" w:sz="6" w:space="0"/>
              <w:bottom w:val="single" w:color="000000" w:sz="6" w:space="0"/>
              <w:right w:val="single" w:color="000000" w:sz="6" w:space="0"/>
            </w:tcBorders>
            <w:vAlign w:val="center"/>
          </w:tcPr>
          <w:p>
            <w:pPr>
              <w:spacing w:line="320" w:lineRule="exact"/>
              <w:jc w:val="center"/>
              <w:rPr>
                <w:color w:val="000000"/>
                <w:szCs w:val="21"/>
                <w:highlight w:val="none"/>
              </w:rPr>
            </w:pPr>
            <w:r>
              <w:rPr>
                <w:color w:val="000000"/>
                <w:szCs w:val="21"/>
                <w:highlight w:val="none"/>
              </w:rPr>
              <w:t>Mg</w:t>
            </w:r>
            <w:r>
              <w:rPr>
                <w:color w:val="000000"/>
                <w:szCs w:val="21"/>
                <w:highlight w:val="none"/>
                <w:vertAlign w:val="superscript"/>
              </w:rPr>
              <w:t>2+</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《水质钙和镁的测定原子吸收分</w:t>
            </w:r>
          </w:p>
          <w:p>
            <w:pPr>
              <w:pStyle w:val="402"/>
              <w:adjustRightInd w:val="0"/>
              <w:snapToGrid w:val="0"/>
              <w:spacing w:line="320" w:lineRule="exact"/>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光光度法》GB/T 11905-1989</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hint="eastAsia"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TAS-990AFG 原子吸</w:t>
            </w:r>
          </w:p>
          <w:p>
            <w:pPr>
              <w:pStyle w:val="402"/>
              <w:adjustRightInd w:val="0"/>
              <w:snapToGrid w:val="0"/>
              <w:spacing w:line="320" w:lineRule="exact"/>
              <w:jc w:val="center"/>
              <w:rPr>
                <w:rFonts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收分光光度计（S023）</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color w:val="000000"/>
                <w:szCs w:val="21"/>
                <w:highlight w:val="none"/>
              </w:rPr>
              <w:t>0.002mg/L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5"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24</w:t>
            </w:r>
          </w:p>
        </w:tc>
        <w:tc>
          <w:tcPr>
            <w:tcW w:w="855" w:type="dxa"/>
            <w:tcBorders>
              <w:top w:val="single" w:color="000000" w:sz="6" w:space="0"/>
              <w:left w:val="single" w:color="000000" w:sz="6" w:space="0"/>
              <w:bottom w:val="single" w:color="000000" w:sz="6" w:space="0"/>
              <w:right w:val="single" w:color="000000" w:sz="6" w:space="0"/>
            </w:tcBorders>
            <w:vAlign w:val="center"/>
          </w:tcPr>
          <w:p>
            <w:pPr>
              <w:spacing w:line="320" w:lineRule="exact"/>
              <w:jc w:val="center"/>
              <w:rPr>
                <w:color w:val="000000"/>
                <w:szCs w:val="21"/>
                <w:highlight w:val="none"/>
              </w:rPr>
            </w:pPr>
            <w:r>
              <w:rPr>
                <w:color w:val="000000"/>
                <w:szCs w:val="21"/>
                <w:highlight w:val="none"/>
              </w:rPr>
              <w:t>CO</w:t>
            </w:r>
            <w:r>
              <w:rPr>
                <w:color w:val="000000"/>
                <w:szCs w:val="21"/>
                <w:highlight w:val="none"/>
                <w:vertAlign w:val="subscript"/>
              </w:rPr>
              <w:t>3</w:t>
            </w:r>
            <w:r>
              <w:rPr>
                <w:color w:val="000000"/>
                <w:szCs w:val="21"/>
                <w:highlight w:val="none"/>
                <w:vertAlign w:val="superscript"/>
              </w:rPr>
              <w:t>2-</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hint="eastAsia"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《地下水质分析方法第49 部分碳</w:t>
            </w:r>
          </w:p>
          <w:p>
            <w:pPr>
              <w:pStyle w:val="402"/>
              <w:adjustRightInd w:val="0"/>
              <w:snapToGrid w:val="0"/>
              <w:spacing w:line="320" w:lineRule="exact"/>
              <w:jc w:val="center"/>
              <w:rPr>
                <w:rFonts w:hint="eastAsia"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酸根、重碳酸根和氢氧根离子的测定</w:t>
            </w:r>
          </w:p>
          <w:p>
            <w:pPr>
              <w:pStyle w:val="402"/>
              <w:adjustRightInd w:val="0"/>
              <w:snapToGrid w:val="0"/>
              <w:spacing w:line="320" w:lineRule="exact"/>
              <w:jc w:val="center"/>
              <w:rPr>
                <w:rFonts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滴定法》DZ/T 0064.49-2021</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hint="eastAsia" w:ascii="Times New Roman" w:hAnsi="Times New Roman" w:eastAsia="宋体"/>
                <w:color w:val="000000"/>
                <w:sz w:val="21"/>
                <w:szCs w:val="21"/>
                <w:highlight w:val="none"/>
                <w:lang w:eastAsia="zh-CN"/>
              </w:rPr>
            </w:pPr>
            <w:r>
              <w:rPr>
                <w:rFonts w:hint="eastAsia" w:ascii="Times New Roman" w:hAnsi="Times New Roman" w:eastAsia="宋体"/>
                <w:color w:val="000000"/>
                <w:sz w:val="21"/>
                <w:szCs w:val="21"/>
                <w:highlight w:val="none"/>
                <w:lang w:val="en-US" w:eastAsia="zh-CN"/>
              </w:rPr>
              <w:t>/</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color w:val="000000"/>
                <w:szCs w:val="21"/>
                <w:highlight w:val="none"/>
              </w:rPr>
              <w:t>5mg/L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8"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25</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HCO</w:t>
            </w:r>
            <w:r>
              <w:rPr>
                <w:rFonts w:ascii="Times New Roman" w:hAnsi="Times New Roman"/>
                <w:color w:val="000000"/>
                <w:w w:val="99"/>
                <w:sz w:val="21"/>
                <w:szCs w:val="21"/>
                <w:highlight w:val="none"/>
                <w:vertAlign w:val="subscript"/>
              </w:rPr>
              <w:t>3</w:t>
            </w:r>
            <w:r>
              <w:rPr>
                <w:rFonts w:ascii="Times New Roman" w:hAnsi="Times New Roman"/>
                <w:color w:val="000000"/>
                <w:position w:val="7"/>
                <w:sz w:val="21"/>
                <w:szCs w:val="21"/>
                <w:highlight w:val="none"/>
              </w:rPr>
              <w:t>-</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hint="eastAsia"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《地下水质分析方法第49 部分碳</w:t>
            </w:r>
          </w:p>
          <w:p>
            <w:pPr>
              <w:pStyle w:val="402"/>
              <w:adjustRightInd w:val="0"/>
              <w:snapToGrid w:val="0"/>
              <w:spacing w:line="320" w:lineRule="exact"/>
              <w:jc w:val="center"/>
              <w:rPr>
                <w:rFonts w:hint="eastAsia"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酸根、重碳酸根和氢氧根离子的测定</w:t>
            </w:r>
          </w:p>
          <w:p>
            <w:pPr>
              <w:pStyle w:val="402"/>
              <w:adjustRightInd w:val="0"/>
              <w:snapToGrid w:val="0"/>
              <w:spacing w:line="320" w:lineRule="exact"/>
              <w:jc w:val="center"/>
              <w:rPr>
                <w:rFonts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滴定法》DZ/T 0064.49-2021</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hint="eastAsia" w:ascii="Times New Roman" w:hAnsi="Times New Roman" w:eastAsia="宋体"/>
                <w:color w:val="000000"/>
                <w:sz w:val="21"/>
                <w:szCs w:val="21"/>
                <w:highlight w:val="none"/>
                <w:lang w:eastAsia="zh-CN"/>
              </w:rPr>
            </w:pPr>
            <w:r>
              <w:rPr>
                <w:rFonts w:hint="eastAsia" w:ascii="Times New Roman" w:hAnsi="Times New Roman" w:eastAsia="宋体"/>
                <w:color w:val="000000"/>
                <w:sz w:val="21"/>
                <w:szCs w:val="21"/>
                <w:highlight w:val="none"/>
                <w:lang w:val="en-US" w:eastAsia="zh-CN"/>
              </w:rPr>
              <w:t>/</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color w:val="000000"/>
                <w:szCs w:val="21"/>
                <w:highlight w:val="none"/>
              </w:rPr>
              <w:t>5mg/L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5"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26</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Cl</w:t>
            </w:r>
            <w:r>
              <w:rPr>
                <w:rFonts w:ascii="Times New Roman" w:hAnsi="Times New Roman"/>
                <w:color w:val="000000"/>
                <w:position w:val="7"/>
                <w:sz w:val="21"/>
                <w:szCs w:val="21"/>
                <w:highlight w:val="none"/>
              </w:rPr>
              <w:t>-</w:t>
            </w:r>
          </w:p>
        </w:tc>
        <w:tc>
          <w:tcPr>
            <w:tcW w:w="3867" w:type="dxa"/>
            <w:tcBorders>
              <w:top w:val="single" w:color="000000" w:sz="6" w:space="0"/>
              <w:left w:val="single" w:color="000000" w:sz="6" w:space="0"/>
              <w:right w:val="single" w:color="000000" w:sz="6" w:space="0"/>
            </w:tcBorders>
            <w:vAlign w:val="center"/>
          </w:tcPr>
          <w:p>
            <w:pPr>
              <w:pStyle w:val="402"/>
              <w:adjustRightInd w:val="0"/>
              <w:snapToGrid w:val="0"/>
              <w:spacing w:line="320" w:lineRule="exact"/>
              <w:jc w:val="center"/>
              <w:rPr>
                <w:rFonts w:hint="eastAsia"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《水质氯化物的测定硝酸银滴定</w:t>
            </w:r>
          </w:p>
          <w:p>
            <w:pPr>
              <w:pStyle w:val="402"/>
              <w:adjustRightInd w:val="0"/>
              <w:snapToGrid w:val="0"/>
              <w:spacing w:line="320" w:lineRule="exact"/>
              <w:jc w:val="center"/>
              <w:rPr>
                <w:rFonts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法》GB/T 11896-1989</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hint="eastAsia" w:ascii="Times New Roman" w:hAnsi="Times New Roman" w:eastAsia="宋体"/>
                <w:color w:val="000000"/>
                <w:sz w:val="21"/>
                <w:szCs w:val="21"/>
                <w:highlight w:val="none"/>
                <w:lang w:eastAsia="zh-CN"/>
              </w:rPr>
            </w:pPr>
            <w:r>
              <w:rPr>
                <w:rFonts w:hint="eastAsia" w:ascii="Times New Roman" w:hAnsi="Times New Roman"/>
                <w:color w:val="000000"/>
                <w:sz w:val="21"/>
                <w:szCs w:val="21"/>
                <w:highlight w:val="none"/>
                <w:lang w:val="en-US" w:eastAsia="zh-CN"/>
              </w:rPr>
              <w:t>/</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rFonts w:hint="eastAsia"/>
                <w:color w:val="000000"/>
                <w:szCs w:val="21"/>
                <w:highlight w:val="none"/>
                <w:lang w:val="en-US" w:eastAsia="zh-CN"/>
              </w:rPr>
              <w:t>10</w:t>
            </w:r>
            <w:r>
              <w:rPr>
                <w:color w:val="000000"/>
                <w:szCs w:val="21"/>
                <w:highlight w:val="none"/>
              </w:rPr>
              <w:t>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8"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27</w:t>
            </w:r>
          </w:p>
        </w:tc>
        <w:tc>
          <w:tcPr>
            <w:tcW w:w="855" w:type="dxa"/>
            <w:tcBorders>
              <w:top w:val="single" w:color="000000" w:sz="6" w:space="0"/>
              <w:left w:val="single" w:color="000000" w:sz="6" w:space="0"/>
              <w:bottom w:val="single" w:color="000000" w:sz="6" w:space="0"/>
              <w:right w:val="single" w:color="000000" w:sz="6" w:space="0"/>
            </w:tcBorders>
            <w:vAlign w:val="center"/>
          </w:tcPr>
          <w:p>
            <w:pPr>
              <w:spacing w:line="320" w:lineRule="exact"/>
              <w:jc w:val="center"/>
              <w:rPr>
                <w:color w:val="000000"/>
                <w:szCs w:val="21"/>
                <w:highlight w:val="none"/>
              </w:rPr>
            </w:pPr>
            <w:r>
              <w:rPr>
                <w:color w:val="000000"/>
                <w:szCs w:val="21"/>
                <w:highlight w:val="none"/>
              </w:rPr>
              <w:t>SO</w:t>
            </w:r>
            <w:r>
              <w:rPr>
                <w:color w:val="000000"/>
                <w:szCs w:val="21"/>
                <w:highlight w:val="none"/>
                <w:vertAlign w:val="subscript"/>
              </w:rPr>
              <w:t>4</w:t>
            </w:r>
            <w:r>
              <w:rPr>
                <w:color w:val="000000"/>
                <w:szCs w:val="21"/>
                <w:highlight w:val="none"/>
                <w:vertAlign w:val="superscript"/>
              </w:rPr>
              <w:t>2-</w:t>
            </w:r>
          </w:p>
        </w:tc>
        <w:tc>
          <w:tcPr>
            <w:tcW w:w="3867" w:type="dxa"/>
            <w:tcBorders>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《水质硫酸盐的测定铬酸钡分光</w:t>
            </w:r>
          </w:p>
          <w:p>
            <w:pPr>
              <w:pStyle w:val="402"/>
              <w:adjustRightInd w:val="0"/>
              <w:snapToGrid w:val="0"/>
              <w:spacing w:line="320" w:lineRule="exact"/>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光度法（试行）》HJ/T 342-2007</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722G 可见分光光度</w:t>
            </w:r>
          </w:p>
          <w:p>
            <w:pPr>
              <w:pStyle w:val="402"/>
              <w:adjustRightInd w:val="0"/>
              <w:snapToGrid w:val="0"/>
              <w:spacing w:line="320" w:lineRule="exact"/>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计(S052)</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rFonts w:hint="eastAsia"/>
                <w:color w:val="000000"/>
                <w:szCs w:val="21"/>
                <w:highlight w:val="none"/>
                <w:lang w:val="en-US" w:eastAsia="zh-CN"/>
              </w:rPr>
              <w:t>8</w:t>
            </w:r>
            <w:r>
              <w:rPr>
                <w:color w:val="000000"/>
                <w:szCs w:val="21"/>
                <w:highlight w:val="none"/>
              </w:rPr>
              <w:t>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68" w:hRule="atLeast"/>
          <w:jc w:val="center"/>
        </w:trPr>
        <w:tc>
          <w:tcPr>
            <w:tcW w:w="586" w:type="dxa"/>
            <w:tcBorders>
              <w:top w:val="single" w:color="000000" w:sz="6" w:space="0"/>
              <w:bottom w:val="single" w:color="000000" w:sz="6" w:space="0"/>
              <w:right w:val="single" w:color="000000" w:sz="6" w:space="0"/>
            </w:tcBorders>
            <w:vAlign w:val="center"/>
          </w:tcPr>
          <w:p>
            <w:pPr>
              <w:pStyle w:val="402"/>
              <w:spacing w:line="320" w:lineRule="exact"/>
              <w:ind w:left="57" w:right="51"/>
              <w:jc w:val="center"/>
              <w:rPr>
                <w:rFonts w:ascii="Times New Roman" w:hAnsi="Times New Roman"/>
                <w:color w:val="000000"/>
                <w:sz w:val="21"/>
                <w:szCs w:val="21"/>
                <w:highlight w:val="none"/>
              </w:rPr>
            </w:pPr>
            <w:r>
              <w:rPr>
                <w:rFonts w:ascii="Times New Roman" w:hAnsi="Times New Roman"/>
                <w:color w:val="000000"/>
                <w:sz w:val="21"/>
                <w:szCs w:val="21"/>
                <w:highlight w:val="none"/>
              </w:rPr>
              <w:t>28</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18" w:leftChars="0" w:right="-15" w:hanging="15" w:firstLineChars="0"/>
              <w:jc w:val="center"/>
              <w:rPr>
                <w:rFonts w:ascii="Times New Roman" w:hAnsi="Times New Roman"/>
                <w:color w:val="000000"/>
                <w:sz w:val="21"/>
                <w:szCs w:val="21"/>
                <w:highlight w:val="none"/>
              </w:rPr>
            </w:pPr>
            <w:r>
              <w:rPr>
                <w:rFonts w:ascii="Times New Roman" w:hAnsi="Times New Roman"/>
                <w:color w:val="000000"/>
                <w:spacing w:val="-1"/>
                <w:sz w:val="21"/>
                <w:szCs w:val="21"/>
                <w:highlight w:val="none"/>
              </w:rPr>
              <w:t>总大肠菌群</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7"/>
              <w:jc w:val="center"/>
              <w:rPr>
                <w:rFonts w:ascii="Times New Roman" w:hAnsi="Times New Roman"/>
                <w:color w:val="000000"/>
                <w:sz w:val="21"/>
                <w:szCs w:val="21"/>
                <w:highlight w:val="none"/>
              </w:rPr>
            </w:pPr>
            <w:r>
              <w:rPr>
                <w:rFonts w:ascii="Times New Roman" w:hAnsi="Times New Roman"/>
                <w:color w:val="000000"/>
                <w:sz w:val="21"/>
                <w:szCs w:val="21"/>
                <w:highlight w:val="none"/>
              </w:rPr>
              <w:t>《生活饮用水标准检验方法微生物指标》</w:t>
            </w:r>
          </w:p>
          <w:p>
            <w:pPr>
              <w:pStyle w:val="402"/>
              <w:spacing w:line="320" w:lineRule="exact"/>
              <w:ind w:left="7"/>
              <w:jc w:val="center"/>
              <w:rPr>
                <w:rFonts w:ascii="Times New Roman" w:hAnsi="Times New Roman"/>
                <w:color w:val="000000"/>
                <w:sz w:val="21"/>
                <w:szCs w:val="21"/>
                <w:highlight w:val="none"/>
              </w:rPr>
            </w:pPr>
            <w:r>
              <w:rPr>
                <w:rFonts w:ascii="Times New Roman" w:hAnsi="Times New Roman"/>
                <w:color w:val="000000"/>
                <w:sz w:val="21"/>
                <w:szCs w:val="21"/>
                <w:highlight w:val="none"/>
              </w:rPr>
              <w:t>GB/T 5750.12-2006</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274" w:right="24" w:hanging="174"/>
              <w:jc w:val="center"/>
              <w:rPr>
                <w:rFonts w:hint="eastAsia"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DHP-9272 型电热恒</w:t>
            </w:r>
          </w:p>
          <w:p>
            <w:pPr>
              <w:pStyle w:val="402"/>
              <w:spacing w:line="320" w:lineRule="exact"/>
              <w:ind w:left="274" w:right="24" w:hanging="174"/>
              <w:jc w:val="center"/>
              <w:rPr>
                <w:rFonts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温培养箱/TYYQ-117</w:t>
            </w:r>
          </w:p>
        </w:tc>
        <w:tc>
          <w:tcPr>
            <w:tcW w:w="1185" w:type="dxa"/>
            <w:tcBorders>
              <w:top w:val="single" w:color="000000" w:sz="6" w:space="0"/>
              <w:left w:val="single" w:color="000000" w:sz="6" w:space="0"/>
              <w:bottom w:val="single" w:color="000000" w:sz="6" w:space="0"/>
            </w:tcBorders>
            <w:vAlign w:val="center"/>
          </w:tcPr>
          <w:p>
            <w:pPr>
              <w:pStyle w:val="402"/>
              <w:spacing w:line="320" w:lineRule="exact"/>
              <w:ind w:left="77" w:right="76"/>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2MPN/</w:t>
            </w:r>
          </w:p>
          <w:p>
            <w:pPr>
              <w:pStyle w:val="402"/>
              <w:spacing w:line="320" w:lineRule="exact"/>
              <w:ind w:left="77" w:right="76"/>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100mL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68" w:hRule="atLeast"/>
          <w:jc w:val="center"/>
        </w:trPr>
        <w:tc>
          <w:tcPr>
            <w:tcW w:w="586" w:type="dxa"/>
            <w:tcBorders>
              <w:top w:val="single" w:color="000000" w:sz="6" w:space="0"/>
              <w:bottom w:val="single" w:color="000000" w:sz="6" w:space="0"/>
              <w:right w:val="single" w:color="000000" w:sz="6" w:space="0"/>
            </w:tcBorders>
            <w:vAlign w:val="center"/>
          </w:tcPr>
          <w:p>
            <w:pPr>
              <w:pStyle w:val="402"/>
              <w:spacing w:line="320" w:lineRule="exact"/>
              <w:ind w:left="57" w:right="51"/>
              <w:jc w:val="center"/>
              <w:rPr>
                <w:rFonts w:ascii="Times New Roman" w:hAnsi="Times New Roman"/>
                <w:color w:val="000000"/>
                <w:sz w:val="21"/>
                <w:szCs w:val="21"/>
                <w:highlight w:val="none"/>
              </w:rPr>
            </w:pPr>
            <w:r>
              <w:rPr>
                <w:rFonts w:ascii="Times New Roman" w:hAnsi="Times New Roman"/>
                <w:color w:val="000000"/>
                <w:sz w:val="21"/>
                <w:szCs w:val="21"/>
                <w:highlight w:val="none"/>
              </w:rPr>
              <w:t>29</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菌落总数</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《生活饮用水标准检验方法微生物</w:t>
            </w:r>
          </w:p>
          <w:p>
            <w:pPr>
              <w:pStyle w:val="402"/>
              <w:adjustRightInd w:val="0"/>
              <w:snapToGrid w:val="0"/>
              <w:spacing w:line="320" w:lineRule="exact"/>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指标》GB/T 5750.12-2006</w:t>
            </w:r>
          </w:p>
          <w:p>
            <w:pPr>
              <w:pStyle w:val="402"/>
              <w:adjustRightInd w:val="0"/>
              <w:snapToGrid w:val="0"/>
              <w:spacing w:line="320" w:lineRule="exact"/>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1.1 平皿计数法</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274" w:right="24" w:hanging="174"/>
              <w:jc w:val="center"/>
              <w:rPr>
                <w:rFonts w:hint="eastAsia"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DHP-9272 型电热恒</w:t>
            </w:r>
          </w:p>
          <w:p>
            <w:pPr>
              <w:pStyle w:val="402"/>
              <w:spacing w:line="320" w:lineRule="exact"/>
              <w:ind w:left="274" w:right="24" w:hanging="174"/>
              <w:jc w:val="center"/>
              <w:rPr>
                <w:rFonts w:ascii="Times New Roman" w:hAnsi="Times New Roman" w:eastAsia="Times New Roman"/>
                <w:color w:val="000000"/>
                <w:sz w:val="21"/>
                <w:szCs w:val="21"/>
                <w:highlight w:val="none"/>
              </w:rPr>
            </w:pPr>
            <w:r>
              <w:rPr>
                <w:rFonts w:hint="eastAsia" w:ascii="Times New Roman" w:hAnsi="Times New Roman" w:eastAsia="Times New Roman"/>
                <w:color w:val="000000"/>
                <w:sz w:val="21"/>
                <w:szCs w:val="21"/>
                <w:highlight w:val="none"/>
              </w:rPr>
              <w:t>温培养箱/TYYQ-117</w:t>
            </w:r>
          </w:p>
        </w:tc>
        <w:tc>
          <w:tcPr>
            <w:tcW w:w="1185" w:type="dxa"/>
            <w:tcBorders>
              <w:top w:val="single" w:color="000000" w:sz="6" w:space="0"/>
              <w:left w:val="single" w:color="000000" w:sz="6" w:space="0"/>
              <w:bottom w:val="single" w:color="000000" w:sz="6" w:space="0"/>
            </w:tcBorders>
            <w:vAlign w:val="center"/>
          </w:tcPr>
          <w:p>
            <w:pPr>
              <w:pStyle w:val="402"/>
              <w:spacing w:line="320" w:lineRule="exact"/>
              <w:ind w:left="77" w:right="76"/>
              <w:jc w:val="center"/>
              <w:rPr>
                <w:rFonts w:ascii="Times New Roman" w:hAnsi="Times New Roman"/>
                <w:color w:val="000000"/>
                <w:sz w:val="21"/>
                <w:szCs w:val="21"/>
                <w:highlight w:val="none"/>
              </w:rPr>
            </w:pPr>
            <w:r>
              <w:rPr>
                <w:rFonts w:ascii="Times New Roman" w:hAnsi="Times New Roman"/>
                <w:color w:val="000000"/>
                <w:sz w:val="21"/>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8" w:hRule="atLeast"/>
          <w:jc w:val="center"/>
        </w:trPr>
        <w:tc>
          <w:tcPr>
            <w:tcW w:w="586" w:type="dxa"/>
            <w:tcBorders>
              <w:top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30</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石油类</w:t>
            </w:r>
          </w:p>
        </w:tc>
        <w:tc>
          <w:tcPr>
            <w:tcW w:w="3867"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20" w:lineRule="exact"/>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《水质石油类的测定紫外分光光</w:t>
            </w:r>
          </w:p>
          <w:p>
            <w:pPr>
              <w:pStyle w:val="402"/>
              <w:adjustRightInd w:val="0"/>
              <w:snapToGrid w:val="0"/>
              <w:spacing w:line="320" w:lineRule="exact"/>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度法（试行）》HJ 970-2018</w:t>
            </w:r>
          </w:p>
        </w:tc>
        <w:tc>
          <w:tcPr>
            <w:tcW w:w="2032" w:type="dxa"/>
            <w:tcBorders>
              <w:top w:val="single" w:color="000000" w:sz="6" w:space="0"/>
              <w:left w:val="single" w:color="000000" w:sz="6" w:space="0"/>
              <w:bottom w:val="single" w:color="000000" w:sz="6" w:space="0"/>
              <w:right w:val="single" w:color="000000" w:sz="6" w:space="0"/>
            </w:tcBorders>
            <w:vAlign w:val="center"/>
          </w:tcPr>
          <w:p>
            <w:pPr>
              <w:pStyle w:val="402"/>
              <w:spacing w:line="320" w:lineRule="exact"/>
              <w:ind w:left="20" w:right="15"/>
              <w:jc w:val="center"/>
              <w:rPr>
                <w:rFonts w:hint="eastAsia" w:ascii="Times New Roman" w:hAnsi="Times New Roman"/>
                <w:color w:val="000000"/>
                <w:sz w:val="21"/>
                <w:szCs w:val="21"/>
                <w:highlight w:val="none"/>
              </w:rPr>
            </w:pPr>
            <w:r>
              <w:rPr>
                <w:rFonts w:hint="eastAsia" w:ascii="Times New Roman" w:hAnsi="Times New Roman"/>
                <w:color w:val="000000"/>
                <w:sz w:val="21"/>
                <w:szCs w:val="21"/>
                <w:highlight w:val="none"/>
              </w:rPr>
              <w:t>T6 新世纪紫外可见</w:t>
            </w:r>
          </w:p>
          <w:p>
            <w:pPr>
              <w:pStyle w:val="402"/>
              <w:spacing w:line="320" w:lineRule="exact"/>
              <w:ind w:left="20" w:right="15"/>
              <w:jc w:val="center"/>
              <w:rPr>
                <w:rFonts w:ascii="Times New Roman" w:hAnsi="Times New Roman"/>
                <w:color w:val="000000"/>
                <w:sz w:val="21"/>
                <w:szCs w:val="21"/>
                <w:highlight w:val="none"/>
              </w:rPr>
            </w:pPr>
            <w:r>
              <w:rPr>
                <w:rFonts w:hint="eastAsia" w:ascii="Times New Roman" w:hAnsi="Times New Roman"/>
                <w:color w:val="000000"/>
                <w:sz w:val="21"/>
                <w:szCs w:val="21"/>
                <w:highlight w:val="none"/>
              </w:rPr>
              <w:t>分光光度计（S037）</w:t>
            </w:r>
          </w:p>
        </w:tc>
        <w:tc>
          <w:tcPr>
            <w:tcW w:w="1185" w:type="dxa"/>
            <w:tcBorders>
              <w:top w:val="single" w:color="000000" w:sz="6" w:space="0"/>
              <w:left w:val="single" w:color="000000" w:sz="6" w:space="0"/>
              <w:bottom w:val="single" w:color="000000" w:sz="6" w:space="0"/>
            </w:tcBorders>
            <w:vAlign w:val="center"/>
          </w:tcPr>
          <w:p>
            <w:pPr>
              <w:spacing w:line="320" w:lineRule="exact"/>
              <w:jc w:val="center"/>
              <w:rPr>
                <w:color w:val="000000"/>
                <w:szCs w:val="21"/>
                <w:highlight w:val="none"/>
              </w:rPr>
            </w:pPr>
            <w:r>
              <w:rPr>
                <w:color w:val="000000"/>
                <w:szCs w:val="21"/>
                <w:highlight w:val="none"/>
              </w:rPr>
              <w:t>0.01mg/L</w:t>
            </w:r>
          </w:p>
        </w:tc>
      </w:tr>
    </w:tbl>
    <w:p>
      <w:pPr>
        <w:pStyle w:val="284"/>
        <w:autoSpaceDE w:val="0"/>
        <w:autoSpaceDN w:val="0"/>
        <w:adjustRightInd w:val="0"/>
        <w:snapToGrid w:val="0"/>
        <w:spacing w:line="480" w:lineRule="exact"/>
        <w:ind w:firstLine="500"/>
        <w:jc w:val="left"/>
        <w:rPr>
          <w:sz w:val="24"/>
          <w:highlight w:val="none"/>
          <w:lang w:val="sv-SE"/>
        </w:rPr>
      </w:pPr>
      <w:r>
        <w:rPr>
          <w:rFonts w:hint="eastAsia" w:ascii="Times New Roman"/>
          <w:color w:val="000000"/>
          <w:sz w:val="24"/>
          <w:szCs w:val="24"/>
          <w:highlight w:val="none"/>
        </w:rPr>
        <w:t>（4）</w:t>
      </w:r>
      <w:r>
        <w:rPr>
          <w:sz w:val="24"/>
          <w:highlight w:val="none"/>
        </w:rPr>
        <w:t>评价标准</w:t>
      </w:r>
    </w:p>
    <w:p>
      <w:pPr>
        <w:pStyle w:val="284"/>
        <w:autoSpaceDE w:val="0"/>
        <w:autoSpaceDN w:val="0"/>
        <w:adjustRightInd w:val="0"/>
        <w:snapToGrid w:val="0"/>
        <w:spacing w:line="480" w:lineRule="exact"/>
        <w:ind w:firstLine="500"/>
        <w:jc w:val="left"/>
        <w:rPr>
          <w:rFonts w:ascii="Times New Roman"/>
          <w:color w:val="000000"/>
          <w:sz w:val="24"/>
          <w:szCs w:val="24"/>
          <w:highlight w:val="none"/>
        </w:rPr>
      </w:pPr>
      <w:r>
        <w:rPr>
          <w:color w:val="000000"/>
          <w:sz w:val="24"/>
          <w:highlight w:val="none"/>
        </w:rPr>
        <w:t>根据《环境</w:t>
      </w:r>
      <w:r>
        <w:rPr>
          <w:rFonts w:ascii="Times New Roman"/>
          <w:color w:val="000000"/>
          <w:sz w:val="24"/>
          <w:highlight w:val="none"/>
        </w:rPr>
        <w:t>影响评价技术导则地下水环境》的要求，地下水水质现状评价以本次对评价区采集的水质样品分析结果为依据，以单项指标测定值作为水质评价参数，对照《地下水质量标准》（GB/T14848-2017）（</w:t>
      </w:r>
      <w:r>
        <w:rPr>
          <w:rFonts w:ascii="Times New Roman"/>
          <w:color w:val="auto"/>
          <w:sz w:val="24"/>
          <w:highlight w:val="none"/>
        </w:rPr>
        <w:t>Ⅲ</w:t>
      </w:r>
      <w:r>
        <w:rPr>
          <w:rFonts w:ascii="Times New Roman"/>
          <w:color w:val="000000"/>
          <w:sz w:val="24"/>
          <w:highlight w:val="none"/>
        </w:rPr>
        <w:t>类标准），石油类参照《地表水环境质量标准》（GB3838-2002）（Ⅲ类标准），采用标准指数法进行评价。</w:t>
      </w:r>
    </w:p>
    <w:p>
      <w:pPr>
        <w:pStyle w:val="284"/>
        <w:autoSpaceDE w:val="0"/>
        <w:autoSpaceDN w:val="0"/>
        <w:adjustRightInd w:val="0"/>
        <w:snapToGrid w:val="0"/>
        <w:spacing w:line="480" w:lineRule="exact"/>
        <w:ind w:firstLine="500"/>
        <w:jc w:val="left"/>
        <w:rPr>
          <w:rFonts w:ascii="Times New Roman"/>
          <w:color w:val="000000"/>
          <w:sz w:val="24"/>
          <w:szCs w:val="24"/>
          <w:highlight w:val="none"/>
        </w:rPr>
      </w:pPr>
      <w:r>
        <w:rPr>
          <w:sz w:val="24"/>
          <w:highlight w:val="none"/>
          <w:lang w:val="sv-SE"/>
        </w:rPr>
        <w:t>（</w:t>
      </w:r>
      <w:r>
        <w:rPr>
          <w:rFonts w:hint="eastAsia"/>
          <w:sz w:val="24"/>
          <w:highlight w:val="none"/>
          <w:lang w:val="sv-SE"/>
        </w:rPr>
        <w:t>5</w:t>
      </w:r>
      <w:r>
        <w:rPr>
          <w:sz w:val="24"/>
          <w:highlight w:val="none"/>
          <w:lang w:val="sv-SE"/>
        </w:rPr>
        <w:t>）</w:t>
      </w:r>
      <w:r>
        <w:rPr>
          <w:rFonts w:ascii="Times New Roman"/>
          <w:color w:val="000000"/>
          <w:sz w:val="24"/>
          <w:szCs w:val="24"/>
          <w:highlight w:val="none"/>
        </w:rPr>
        <w:t>地下水质量现状监测结果</w:t>
      </w:r>
    </w:p>
    <w:p>
      <w:pPr>
        <w:spacing w:line="480" w:lineRule="exact"/>
        <w:ind w:firstLine="480" w:firstLineChars="200"/>
        <w:rPr>
          <w:color w:val="000000"/>
          <w:sz w:val="24"/>
          <w:highlight w:val="none"/>
        </w:rPr>
      </w:pPr>
      <w:r>
        <w:rPr>
          <w:color w:val="000000"/>
          <w:sz w:val="24"/>
          <w:highlight w:val="none"/>
        </w:rPr>
        <w:fldChar w:fldCharType="begin"/>
      </w:r>
      <w:r>
        <w:rPr>
          <w:color w:val="000000"/>
          <w:sz w:val="24"/>
          <w:highlight w:val="none"/>
        </w:rPr>
        <w:instrText xml:space="preserve"> </w:instrText>
      </w:r>
      <w:r>
        <w:rPr>
          <w:rFonts w:hint="eastAsia"/>
          <w:color w:val="000000"/>
          <w:sz w:val="24"/>
          <w:highlight w:val="none"/>
        </w:rPr>
        <w:instrText xml:space="preserve">= 1 \* GB3</w:instrText>
      </w:r>
      <w:r>
        <w:rPr>
          <w:color w:val="000000"/>
          <w:sz w:val="24"/>
          <w:highlight w:val="none"/>
        </w:rPr>
        <w:instrText xml:space="preserve"> </w:instrText>
      </w:r>
      <w:r>
        <w:rPr>
          <w:color w:val="000000"/>
          <w:sz w:val="24"/>
          <w:highlight w:val="none"/>
        </w:rPr>
        <w:fldChar w:fldCharType="separate"/>
      </w:r>
      <w:r>
        <w:rPr>
          <w:rFonts w:hint="eastAsia"/>
          <w:color w:val="000000"/>
          <w:sz w:val="24"/>
          <w:highlight w:val="none"/>
        </w:rPr>
        <w:t>①</w:t>
      </w:r>
      <w:r>
        <w:rPr>
          <w:color w:val="000000"/>
          <w:sz w:val="24"/>
          <w:highlight w:val="none"/>
        </w:rPr>
        <w:fldChar w:fldCharType="end"/>
      </w:r>
      <w:r>
        <w:rPr>
          <w:color w:val="000000"/>
          <w:sz w:val="24"/>
          <w:highlight w:val="none"/>
        </w:rPr>
        <w:t>评价区地下水现状监测结果见</w:t>
      </w:r>
      <w:r>
        <w:rPr>
          <w:color w:val="000000"/>
          <w:sz w:val="24"/>
          <w:highlight w:val="none"/>
        </w:rPr>
        <w:fldChar w:fldCharType="begin"/>
      </w:r>
      <w:r>
        <w:rPr>
          <w:color w:val="000000"/>
          <w:sz w:val="24"/>
          <w:highlight w:val="none"/>
        </w:rPr>
        <w:instrText xml:space="preserve"> HYPERLINK \l "_bookmark131" </w:instrText>
      </w:r>
      <w:r>
        <w:rPr>
          <w:color w:val="000000"/>
          <w:sz w:val="24"/>
          <w:highlight w:val="none"/>
        </w:rPr>
        <w:fldChar w:fldCharType="separate"/>
      </w:r>
      <w:r>
        <w:rPr>
          <w:color w:val="000000"/>
          <w:sz w:val="24"/>
          <w:highlight w:val="none"/>
        </w:rPr>
        <w:t>表</w:t>
      </w:r>
      <w:r>
        <w:rPr>
          <w:rFonts w:hint="eastAsia"/>
          <w:color w:val="000000"/>
          <w:sz w:val="24"/>
          <w:highlight w:val="none"/>
        </w:rPr>
        <w:t>4</w:t>
      </w:r>
      <w:r>
        <w:rPr>
          <w:color w:val="000000"/>
          <w:sz w:val="24"/>
          <w:highlight w:val="none"/>
        </w:rPr>
        <w:t>.</w:t>
      </w:r>
      <w:r>
        <w:rPr>
          <w:rFonts w:hint="eastAsia"/>
          <w:color w:val="000000"/>
          <w:sz w:val="24"/>
          <w:highlight w:val="none"/>
        </w:rPr>
        <w:t>5-</w:t>
      </w:r>
      <w:r>
        <w:rPr>
          <w:rFonts w:hint="eastAsia"/>
          <w:color w:val="000000"/>
          <w:sz w:val="24"/>
          <w:highlight w:val="none"/>
          <w:lang w:val="en-US" w:eastAsia="zh-CN"/>
        </w:rPr>
        <w:t>3</w:t>
      </w:r>
      <w:r>
        <w:rPr>
          <w:rFonts w:hint="eastAsia"/>
          <w:color w:val="000000"/>
          <w:sz w:val="24"/>
          <w:highlight w:val="none"/>
        </w:rPr>
        <w:t>。</w:t>
      </w:r>
      <w:r>
        <w:rPr>
          <w:rFonts w:hint="eastAsia"/>
          <w:color w:val="000000"/>
          <w:sz w:val="24"/>
          <w:highlight w:val="none"/>
        </w:rPr>
        <w:fldChar w:fldCharType="end"/>
      </w:r>
    </w:p>
    <w:p>
      <w:pPr>
        <w:pStyle w:val="309"/>
        <w:ind w:left="0" w:leftChars="0" w:right="0" w:rightChars="0" w:firstLine="0" w:firstLineChars="0"/>
        <w:jc w:val="center"/>
        <w:rPr>
          <w:rFonts w:hint="eastAsia"/>
          <w:b/>
          <w:sz w:val="24"/>
          <w:highlight w:val="none"/>
          <w:lang w:val="zh-CN"/>
        </w:rPr>
      </w:pPr>
    </w:p>
    <w:p>
      <w:pPr>
        <w:pStyle w:val="309"/>
        <w:ind w:left="0" w:leftChars="0" w:right="0" w:rightChars="0" w:firstLine="0" w:firstLineChars="0"/>
        <w:jc w:val="center"/>
        <w:rPr>
          <w:rFonts w:hint="eastAsia"/>
          <w:color w:val="auto"/>
          <w:sz w:val="24"/>
          <w:highlight w:val="none"/>
          <w:lang w:eastAsia="zh-CN"/>
        </w:rPr>
      </w:pPr>
      <w:r>
        <w:rPr>
          <w:rFonts w:hint="eastAsia"/>
          <w:b/>
          <w:sz w:val="24"/>
          <w:highlight w:val="none"/>
          <w:lang w:val="zh-CN"/>
        </w:rPr>
        <w:t>表</w:t>
      </w:r>
      <w:r>
        <w:rPr>
          <w:rFonts w:hint="default" w:ascii="Times New Roman" w:hAnsi="Times New Roman" w:cs="Times New Roman"/>
          <w:b/>
          <w:sz w:val="24"/>
          <w:highlight w:val="none"/>
          <w:lang w:val="en-US" w:eastAsia="zh-CN"/>
        </w:rPr>
        <w:t xml:space="preserve">4.5-3   </w:t>
      </w:r>
      <w:r>
        <w:rPr>
          <w:rFonts w:hint="eastAsia"/>
          <w:b/>
          <w:sz w:val="24"/>
          <w:highlight w:val="none"/>
          <w:lang w:val="zh-CN"/>
        </w:rPr>
        <w:t>地下水水质情况统计表</w:t>
      </w:r>
    </w:p>
    <w:tbl>
      <w:tblPr>
        <w:tblStyle w:val="51"/>
        <w:tblW w:w="10652"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
      <w:tblGrid>
        <w:gridCol w:w="1432"/>
        <w:gridCol w:w="1019"/>
        <w:gridCol w:w="994"/>
        <w:gridCol w:w="907"/>
        <w:gridCol w:w="907"/>
        <w:gridCol w:w="907"/>
        <w:gridCol w:w="927"/>
        <w:gridCol w:w="900"/>
        <w:gridCol w:w="800"/>
        <w:gridCol w:w="929"/>
        <w:gridCol w:w="930"/>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93" w:hRule="atLeast"/>
          <w:jc w:val="center"/>
        </w:trPr>
        <w:tc>
          <w:tcPr>
            <w:tcW w:w="1432" w:type="dxa"/>
            <w:vMerge w:val="restar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项目</w:t>
            </w:r>
          </w:p>
        </w:tc>
        <w:tc>
          <w:tcPr>
            <w:tcW w:w="1019" w:type="dxa"/>
            <w:vMerge w:val="restar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eastAsia="zh-CN"/>
              </w:rPr>
            </w:pPr>
            <w:r>
              <w:rPr>
                <w:rFonts w:hint="eastAsia" w:eastAsiaTheme="minorEastAsia"/>
                <w:kern w:val="0"/>
                <w:sz w:val="21"/>
                <w:szCs w:val="21"/>
                <w:highlight w:val="none"/>
                <w:lang w:eastAsia="zh-CN"/>
              </w:rPr>
              <w:t>单位</w:t>
            </w:r>
          </w:p>
        </w:tc>
        <w:tc>
          <w:tcPr>
            <w:tcW w:w="994" w:type="dxa"/>
            <w:vMerge w:val="restart"/>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eastAsia="zh-CN"/>
              </w:rPr>
            </w:pPr>
            <w:r>
              <w:rPr>
                <w:rFonts w:hint="eastAsia" w:eastAsiaTheme="minorEastAsia"/>
                <w:kern w:val="0"/>
                <w:sz w:val="21"/>
                <w:szCs w:val="21"/>
                <w:highlight w:val="none"/>
                <w:lang w:eastAsia="zh-CN"/>
              </w:rPr>
              <w:t>标准值</w:t>
            </w:r>
          </w:p>
        </w:tc>
        <w:tc>
          <w:tcPr>
            <w:tcW w:w="3648" w:type="dxa"/>
            <w:gridSpan w:val="4"/>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rFonts w:hint="eastAsia" w:eastAsiaTheme="minorEastAsia"/>
                <w:kern w:val="0"/>
                <w:sz w:val="21"/>
                <w:szCs w:val="21"/>
                <w:highlight w:val="none"/>
                <w:lang w:val="en-US" w:eastAsia="zh-CN"/>
              </w:rPr>
              <w:t>2023.7.9</w:t>
            </w:r>
          </w:p>
        </w:tc>
        <w:tc>
          <w:tcPr>
            <w:tcW w:w="3559" w:type="dxa"/>
            <w:gridSpan w:val="4"/>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2023.7.9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93" w:hRule="atLeast"/>
          <w:jc w:val="center"/>
        </w:trPr>
        <w:tc>
          <w:tcPr>
            <w:tcW w:w="1432" w:type="dxa"/>
            <w:vMerge w:val="continue"/>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p>
        </w:tc>
        <w:tc>
          <w:tcPr>
            <w:tcW w:w="1019" w:type="dxa"/>
            <w:vMerge w:val="continue"/>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eastAsia="zh-CN"/>
              </w:rPr>
            </w:pPr>
          </w:p>
        </w:tc>
        <w:tc>
          <w:tcPr>
            <w:tcW w:w="994" w:type="dxa"/>
            <w:vMerge w:val="continue"/>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eastAsia="zh-CN"/>
              </w:rPr>
            </w:pPr>
          </w:p>
        </w:tc>
        <w:tc>
          <w:tcPr>
            <w:tcW w:w="3648" w:type="dxa"/>
            <w:gridSpan w:val="4"/>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rFonts w:hint="eastAsia" w:eastAsiaTheme="minorEastAsia"/>
                <w:kern w:val="0"/>
                <w:sz w:val="21"/>
                <w:szCs w:val="21"/>
                <w:highlight w:val="none"/>
                <w:lang w:val="en-US" w:eastAsia="zh-CN"/>
              </w:rPr>
              <w:t>监测结果</w:t>
            </w:r>
          </w:p>
        </w:tc>
        <w:tc>
          <w:tcPr>
            <w:tcW w:w="3559" w:type="dxa"/>
            <w:gridSpan w:val="4"/>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Pi</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93" w:hRule="atLeast"/>
          <w:jc w:val="center"/>
        </w:trPr>
        <w:tc>
          <w:tcPr>
            <w:tcW w:w="1432" w:type="dxa"/>
            <w:vMerge w:val="continue"/>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p>
        </w:tc>
        <w:tc>
          <w:tcPr>
            <w:tcW w:w="1019" w:type="dxa"/>
            <w:vMerge w:val="continue"/>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eastAsia="zh-CN"/>
              </w:rPr>
            </w:pPr>
          </w:p>
        </w:tc>
        <w:tc>
          <w:tcPr>
            <w:tcW w:w="994" w:type="dxa"/>
            <w:vMerge w:val="continue"/>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eastAsia="zh-CN"/>
              </w:rPr>
            </w:pPr>
          </w:p>
        </w:tc>
        <w:tc>
          <w:tcPr>
            <w:tcW w:w="907"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rFonts w:hint="eastAsia" w:eastAsiaTheme="minorEastAsia"/>
                <w:kern w:val="0"/>
                <w:sz w:val="21"/>
                <w:szCs w:val="21"/>
                <w:highlight w:val="none"/>
                <w:lang w:val="en-US" w:eastAsia="zh-CN"/>
              </w:rPr>
              <w:t>DX1</w:t>
            </w:r>
          </w:p>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东铺村</w:t>
            </w:r>
          </w:p>
        </w:tc>
        <w:tc>
          <w:tcPr>
            <w:tcW w:w="907"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rFonts w:hint="eastAsia" w:eastAsiaTheme="minorEastAsia"/>
                <w:kern w:val="0"/>
                <w:sz w:val="21"/>
                <w:szCs w:val="21"/>
                <w:highlight w:val="none"/>
                <w:lang w:val="en-US" w:eastAsia="zh-CN"/>
              </w:rPr>
              <w:t>DX2</w:t>
            </w:r>
          </w:p>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rFonts w:hint="eastAsia" w:eastAsiaTheme="minorEastAsia"/>
                <w:kern w:val="0"/>
                <w:sz w:val="21"/>
                <w:szCs w:val="21"/>
                <w:highlight w:val="none"/>
                <w:lang w:val="en-US" w:eastAsia="zh-CN"/>
              </w:rPr>
              <w:t>西铺村</w:t>
            </w:r>
          </w:p>
        </w:tc>
        <w:tc>
          <w:tcPr>
            <w:tcW w:w="907" w:type="dxa"/>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rFonts w:hint="eastAsia" w:eastAsiaTheme="minorEastAsia"/>
                <w:kern w:val="0"/>
                <w:sz w:val="21"/>
                <w:szCs w:val="21"/>
                <w:highlight w:val="none"/>
                <w:lang w:val="en-US" w:eastAsia="zh-CN"/>
              </w:rPr>
              <w:t>DX3</w:t>
            </w:r>
          </w:p>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大安乐庄</w:t>
            </w:r>
          </w:p>
        </w:tc>
        <w:tc>
          <w:tcPr>
            <w:tcW w:w="927" w:type="dxa"/>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rFonts w:hint="eastAsia" w:eastAsiaTheme="minorEastAsia"/>
                <w:kern w:val="0"/>
                <w:sz w:val="21"/>
                <w:szCs w:val="21"/>
                <w:highlight w:val="none"/>
                <w:lang w:val="en-US" w:eastAsia="zh-CN"/>
              </w:rPr>
              <w:t>DX3</w:t>
            </w:r>
          </w:p>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rFonts w:hint="eastAsia" w:eastAsiaTheme="minorEastAsia"/>
                <w:kern w:val="0"/>
                <w:sz w:val="21"/>
                <w:szCs w:val="21"/>
                <w:highlight w:val="none"/>
                <w:lang w:val="en-US" w:eastAsia="zh-CN"/>
              </w:rPr>
              <w:t>西铺村</w:t>
            </w:r>
          </w:p>
        </w:tc>
        <w:tc>
          <w:tcPr>
            <w:tcW w:w="900" w:type="dxa"/>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rFonts w:hint="eastAsia" w:eastAsiaTheme="minorEastAsia"/>
                <w:kern w:val="0"/>
                <w:sz w:val="21"/>
                <w:szCs w:val="21"/>
                <w:highlight w:val="none"/>
                <w:lang w:val="en-US" w:eastAsia="zh-CN"/>
              </w:rPr>
              <w:t>DX1</w:t>
            </w:r>
          </w:p>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东铺村</w:t>
            </w:r>
          </w:p>
        </w:tc>
        <w:tc>
          <w:tcPr>
            <w:tcW w:w="800" w:type="dxa"/>
            <w:tcBorders>
              <w:lef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rFonts w:hint="eastAsia" w:eastAsiaTheme="minorEastAsia"/>
                <w:kern w:val="0"/>
                <w:sz w:val="21"/>
                <w:szCs w:val="21"/>
                <w:highlight w:val="none"/>
                <w:lang w:val="en-US" w:eastAsia="zh-CN"/>
              </w:rPr>
              <w:t>DX2</w:t>
            </w:r>
          </w:p>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西铺村</w:t>
            </w:r>
          </w:p>
        </w:tc>
        <w:tc>
          <w:tcPr>
            <w:tcW w:w="929"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rFonts w:hint="eastAsia" w:eastAsiaTheme="minorEastAsia"/>
                <w:kern w:val="0"/>
                <w:sz w:val="21"/>
                <w:szCs w:val="21"/>
                <w:highlight w:val="none"/>
                <w:lang w:val="en-US" w:eastAsia="zh-CN"/>
              </w:rPr>
              <w:t>DX3</w:t>
            </w:r>
          </w:p>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大安乐庄</w:t>
            </w:r>
          </w:p>
        </w:tc>
        <w:tc>
          <w:tcPr>
            <w:tcW w:w="930"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rFonts w:hint="eastAsia" w:eastAsiaTheme="minorEastAsia"/>
                <w:kern w:val="0"/>
                <w:sz w:val="21"/>
                <w:szCs w:val="21"/>
                <w:highlight w:val="none"/>
                <w:lang w:val="en-US" w:eastAsia="zh-CN"/>
              </w:rPr>
              <w:t>DX3</w:t>
            </w:r>
          </w:p>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西铺村</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432"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eastAsia="zh-CN"/>
              </w:rPr>
            </w:pPr>
            <w:r>
              <w:rPr>
                <w:rFonts w:hint="eastAsia" w:eastAsiaTheme="minorEastAsia"/>
                <w:kern w:val="0"/>
                <w:sz w:val="21"/>
                <w:szCs w:val="21"/>
                <w:highlight w:val="none"/>
                <w:lang w:val="en-US" w:eastAsia="zh-CN"/>
              </w:rPr>
              <w:t>pH</w:t>
            </w:r>
          </w:p>
        </w:tc>
        <w:tc>
          <w:tcPr>
            <w:tcW w:w="101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eastAsia="zh-CN"/>
              </w:rPr>
            </w:pPr>
            <w:r>
              <w:rPr>
                <w:rFonts w:hint="eastAsia" w:eastAsiaTheme="minorEastAsia"/>
                <w:kern w:val="0"/>
                <w:sz w:val="21"/>
                <w:szCs w:val="21"/>
                <w:highlight w:val="none"/>
                <w:lang w:eastAsia="zh-CN"/>
              </w:rPr>
              <w:t>无量纲</w:t>
            </w:r>
          </w:p>
        </w:tc>
        <w:tc>
          <w:tcPr>
            <w:tcW w:w="994"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eastAsia="zh-CN"/>
              </w:rPr>
            </w:pPr>
            <w:r>
              <w:rPr>
                <w:sz w:val="21"/>
                <w:szCs w:val="21"/>
                <w:highlight w:val="none"/>
              </w:rPr>
              <w:t>6.5-8.5</w:t>
            </w:r>
          </w:p>
        </w:tc>
        <w:tc>
          <w:tcPr>
            <w:tcW w:w="907"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eastAsiaTheme="minorEastAsia"/>
                <w:kern w:val="0"/>
                <w:sz w:val="21"/>
                <w:szCs w:val="21"/>
                <w:lang w:val="en-US" w:eastAsia="zh-CN"/>
              </w:rPr>
              <w:t>7.1</w:t>
            </w:r>
          </w:p>
        </w:tc>
        <w:tc>
          <w:tcPr>
            <w:tcW w:w="907"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7.2</w:t>
            </w:r>
          </w:p>
        </w:tc>
        <w:tc>
          <w:tcPr>
            <w:tcW w:w="907" w:type="dxa"/>
            <w:tcBorders>
              <w:right w:val="single" w:color="auto"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7.1</w:t>
            </w:r>
          </w:p>
        </w:tc>
        <w:tc>
          <w:tcPr>
            <w:tcW w:w="927" w:type="dxa"/>
            <w:tcBorders>
              <w:right w:val="single" w:color="auto"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7.1</w:t>
            </w:r>
          </w:p>
        </w:tc>
        <w:tc>
          <w:tcPr>
            <w:tcW w:w="900" w:type="dxa"/>
            <w:tcBorders>
              <w:right w:val="single" w:color="auto"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0.07</w:t>
            </w:r>
          </w:p>
        </w:tc>
        <w:tc>
          <w:tcPr>
            <w:tcW w:w="800" w:type="dxa"/>
            <w:tcBorders>
              <w:left w:val="single" w:color="auto"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0.14</w:t>
            </w:r>
          </w:p>
        </w:tc>
        <w:tc>
          <w:tcPr>
            <w:tcW w:w="929"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0.07</w:t>
            </w:r>
          </w:p>
        </w:tc>
        <w:tc>
          <w:tcPr>
            <w:tcW w:w="930" w:type="dxa"/>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0.07</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总硬度</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mg/L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sz w:val="21"/>
                <w:szCs w:val="21"/>
                <w:highlight w:val="none"/>
              </w:rPr>
              <w:t>≤450</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eastAsiaTheme="minorEastAsia"/>
                <w:kern w:val="0"/>
                <w:sz w:val="21"/>
                <w:szCs w:val="21"/>
                <w:lang w:val="en-US" w:eastAsia="zh-CN"/>
              </w:rPr>
              <w:t>201</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367</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388</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309</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0.45</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0.82</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0.86</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0.69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eastAsia="zh-CN"/>
              </w:rPr>
              <w:t>溶解性总固体</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mg/L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rPr>
            </w:pPr>
            <w:r>
              <w:rPr>
                <w:sz w:val="21"/>
                <w:szCs w:val="21"/>
                <w:highlight w:val="none"/>
              </w:rPr>
              <w:t>≤1000</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lang w:val="en-US" w:eastAsia="zh-CN" w:bidi="ar-SA"/>
              </w:rPr>
            </w:pPr>
            <w:r>
              <w:rPr>
                <w:rFonts w:hint="eastAsia" w:eastAsiaTheme="minorEastAsia"/>
                <w:color w:val="auto"/>
                <w:kern w:val="0"/>
                <w:sz w:val="21"/>
                <w:szCs w:val="21"/>
                <w:lang w:val="en-US" w:eastAsia="zh-CN"/>
              </w:rPr>
              <w:t>433</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21"/>
                <w:szCs w:val="21"/>
                <w:highlight w:val="none"/>
                <w:lang w:val="en-US" w:eastAsia="zh-CN"/>
              </w:rPr>
            </w:pPr>
            <w:r>
              <w:rPr>
                <w:rFonts w:hint="eastAsia" w:eastAsiaTheme="minorEastAsia"/>
                <w:color w:val="auto"/>
                <w:kern w:val="0"/>
                <w:sz w:val="21"/>
                <w:szCs w:val="21"/>
                <w:highlight w:val="none"/>
                <w:lang w:val="en-US" w:eastAsia="zh-CN"/>
              </w:rPr>
              <w:t>451</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21"/>
                <w:szCs w:val="21"/>
                <w:highlight w:val="none"/>
                <w:lang w:val="en-US" w:eastAsia="zh-CN"/>
              </w:rPr>
            </w:pPr>
            <w:r>
              <w:rPr>
                <w:rFonts w:hint="eastAsia" w:eastAsiaTheme="minorEastAsia"/>
                <w:color w:val="auto"/>
                <w:kern w:val="0"/>
                <w:sz w:val="21"/>
                <w:szCs w:val="21"/>
                <w:highlight w:val="none"/>
                <w:lang w:val="en-US" w:eastAsia="zh-CN"/>
              </w:rPr>
              <w:t>574</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335</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0.43</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0.45</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0.57</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0.34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eastAsia="zh-CN"/>
              </w:rPr>
            </w:pPr>
            <w:r>
              <w:rPr>
                <w:rFonts w:hint="eastAsia" w:eastAsiaTheme="minorEastAsia"/>
                <w:kern w:val="0"/>
                <w:sz w:val="21"/>
                <w:szCs w:val="21"/>
                <w:highlight w:val="none"/>
                <w:lang w:eastAsia="zh-CN"/>
              </w:rPr>
              <w:t>硫酸盐</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mg/L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sz w:val="21"/>
                <w:szCs w:val="21"/>
                <w:highlight w:val="none"/>
              </w:rPr>
              <w:t>≤250</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lang w:val="en-US" w:eastAsia="zh-CN" w:bidi="ar-SA"/>
              </w:rPr>
            </w:pPr>
            <w:r>
              <w:rPr>
                <w:rFonts w:hint="eastAsia" w:eastAsiaTheme="minorEastAsia"/>
                <w:color w:val="auto"/>
                <w:kern w:val="0"/>
                <w:sz w:val="21"/>
                <w:szCs w:val="21"/>
                <w:lang w:val="en-US" w:eastAsia="zh-CN"/>
              </w:rPr>
              <w:t>102</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21"/>
                <w:szCs w:val="21"/>
                <w:highlight w:val="none"/>
                <w:lang w:val="en-US" w:eastAsia="zh-CN"/>
              </w:rPr>
            </w:pPr>
            <w:r>
              <w:rPr>
                <w:rFonts w:hint="eastAsia" w:eastAsiaTheme="minorEastAsia"/>
                <w:color w:val="auto"/>
                <w:kern w:val="0"/>
                <w:sz w:val="21"/>
                <w:szCs w:val="21"/>
                <w:highlight w:val="none"/>
                <w:lang w:val="en-US" w:eastAsia="zh-CN"/>
              </w:rPr>
              <w:t>84</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21"/>
                <w:szCs w:val="21"/>
                <w:highlight w:val="none"/>
                <w:lang w:val="en-US" w:eastAsia="zh-CN"/>
              </w:rPr>
            </w:pPr>
            <w:r>
              <w:rPr>
                <w:rFonts w:hint="eastAsia" w:eastAsiaTheme="minorEastAsia"/>
                <w:color w:val="auto"/>
                <w:kern w:val="0"/>
                <w:sz w:val="21"/>
                <w:szCs w:val="21"/>
                <w:highlight w:val="none"/>
                <w:lang w:val="en-US" w:eastAsia="zh-CN"/>
              </w:rPr>
              <w:t>94</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46</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0.41</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0.34</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0.38</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0.18</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eastAsia="zh-CN"/>
              </w:rPr>
              <w:t>氯化物</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mg/L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sz w:val="21"/>
                <w:szCs w:val="21"/>
                <w:highlight w:val="none"/>
              </w:rPr>
              <w:t>≤250</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21"/>
                <w:szCs w:val="21"/>
                <w:lang w:val="en-US" w:eastAsia="zh-CN" w:bidi="ar-SA"/>
              </w:rPr>
            </w:pPr>
            <w:r>
              <w:rPr>
                <w:rFonts w:hint="eastAsia" w:eastAsiaTheme="minorEastAsia"/>
                <w:color w:val="auto"/>
                <w:kern w:val="0"/>
                <w:sz w:val="21"/>
                <w:szCs w:val="21"/>
                <w:lang w:val="en-US" w:eastAsia="zh-CN"/>
              </w:rPr>
              <w:t>82.4</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65</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85</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23</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0.33</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0.26</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0.34</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0.09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eastAsia="zh-CN"/>
              </w:rPr>
              <w:t>铁</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mg/L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color w:val="000000"/>
                <w:sz w:val="21"/>
                <w:szCs w:val="21"/>
                <w:highlight w:val="none"/>
              </w:rPr>
              <w:t>≤0.3</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21"/>
                <w:szCs w:val="21"/>
                <w:lang w:val="en-US" w:eastAsia="zh-CN" w:bidi="ar-SA"/>
              </w:rPr>
            </w:pPr>
            <w:r>
              <w:rPr>
                <w:rFonts w:hint="eastAsia" w:cs="Times New Roman" w:eastAsiaTheme="minorEastAsia"/>
                <w:color w:val="auto"/>
                <w:kern w:val="0"/>
                <w:sz w:val="21"/>
                <w:szCs w:val="21"/>
                <w:highlight w:val="none"/>
                <w:lang w:val="en-US" w:eastAsia="zh-CN" w:bidi="ar-SA"/>
              </w:rPr>
              <w:t>ND</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60"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eastAsia="zh-CN"/>
              </w:rPr>
            </w:pPr>
            <w:r>
              <w:rPr>
                <w:rFonts w:hint="eastAsia" w:eastAsiaTheme="minorEastAsia"/>
                <w:kern w:val="0"/>
                <w:sz w:val="21"/>
                <w:szCs w:val="21"/>
                <w:highlight w:val="none"/>
                <w:lang w:eastAsia="zh-CN"/>
              </w:rPr>
              <w:t>锰</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rFonts w:hint="eastAsia" w:eastAsiaTheme="minorEastAsia"/>
                <w:kern w:val="0"/>
                <w:sz w:val="21"/>
                <w:szCs w:val="21"/>
                <w:highlight w:val="none"/>
                <w:lang w:val="en-US" w:eastAsia="zh-CN"/>
              </w:rPr>
              <w:t>mg/L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color w:val="000000"/>
                <w:sz w:val="21"/>
                <w:szCs w:val="21"/>
                <w:highlight w:val="none"/>
              </w:rPr>
              <w:t>≤0.10</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lang w:val="en-US" w:eastAsia="zh-CN" w:bidi="ar-SA"/>
              </w:rPr>
            </w:pPr>
            <w:r>
              <w:rPr>
                <w:rFonts w:hint="eastAsia" w:cs="Times New Roman" w:eastAsiaTheme="minorEastAsia"/>
                <w:color w:val="auto"/>
                <w:kern w:val="0"/>
                <w:sz w:val="21"/>
                <w:szCs w:val="21"/>
                <w:highlight w:val="none"/>
                <w:lang w:val="en-US" w:eastAsia="zh-CN" w:bidi="ar-SA"/>
              </w:rPr>
              <w:t>ND</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bidi="ar-SA"/>
              </w:rPr>
              <w:t>ND</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bidi="ar-SA"/>
              </w:rPr>
              <w:t>ND</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170"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挥发酚</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mg/L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sz w:val="21"/>
                <w:szCs w:val="21"/>
                <w:highlight w:val="none"/>
              </w:rPr>
              <w:t>≤0.002</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lang w:val="en-US" w:eastAsia="zh-CN" w:bidi="ar-SA"/>
              </w:rPr>
            </w:pPr>
            <w:r>
              <w:rPr>
                <w:rFonts w:hint="eastAsia" w:cs="Times New Roman" w:eastAsiaTheme="minorEastAsia"/>
                <w:color w:val="auto"/>
                <w:kern w:val="0"/>
                <w:sz w:val="21"/>
                <w:szCs w:val="21"/>
                <w:highlight w:val="none"/>
                <w:lang w:val="en-US" w:eastAsia="zh-CN" w:bidi="ar-SA"/>
              </w:rPr>
              <w:t>ND</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耗氧量</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eastAsia="zh-CN"/>
              </w:rPr>
            </w:pPr>
            <w:r>
              <w:rPr>
                <w:rFonts w:hint="eastAsia" w:eastAsiaTheme="minorEastAsia"/>
                <w:kern w:val="0"/>
                <w:sz w:val="21"/>
                <w:szCs w:val="21"/>
                <w:highlight w:val="none"/>
                <w:lang w:val="en-US" w:eastAsia="zh-CN"/>
              </w:rPr>
              <w:t>mg/L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sz w:val="21"/>
                <w:szCs w:val="21"/>
                <w:highlight w:val="none"/>
              </w:rPr>
              <w:t>≤3.0</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lang w:val="en-US" w:eastAsia="zh-CN" w:bidi="ar-SA"/>
              </w:rPr>
            </w:pPr>
            <w:r>
              <w:rPr>
                <w:rFonts w:hint="eastAsia" w:eastAsiaTheme="minorEastAsia"/>
                <w:color w:val="auto"/>
                <w:kern w:val="0"/>
                <w:sz w:val="21"/>
                <w:szCs w:val="21"/>
                <w:lang w:val="en-US" w:eastAsia="zh-CN"/>
              </w:rPr>
              <w:t>0.55</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21"/>
                <w:szCs w:val="21"/>
                <w:highlight w:val="none"/>
                <w:lang w:val="en-US" w:eastAsia="zh-CN"/>
              </w:rPr>
            </w:pPr>
            <w:r>
              <w:rPr>
                <w:rFonts w:hint="eastAsia" w:eastAsiaTheme="minorEastAsia"/>
                <w:color w:val="auto"/>
                <w:kern w:val="0"/>
                <w:sz w:val="21"/>
                <w:szCs w:val="21"/>
                <w:highlight w:val="none"/>
                <w:lang w:val="en-US" w:eastAsia="zh-CN"/>
              </w:rPr>
              <w:t>1.0</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21"/>
                <w:szCs w:val="21"/>
                <w:highlight w:val="none"/>
                <w:lang w:val="en-US" w:eastAsia="zh-CN"/>
              </w:rPr>
            </w:pPr>
            <w:r>
              <w:rPr>
                <w:rFonts w:hint="eastAsia" w:eastAsiaTheme="minorEastAsia"/>
                <w:color w:val="auto"/>
                <w:kern w:val="0"/>
                <w:sz w:val="21"/>
                <w:szCs w:val="21"/>
                <w:highlight w:val="none"/>
                <w:lang w:val="en-US" w:eastAsia="zh-CN"/>
              </w:rPr>
              <w:t>0.9</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0.18</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0.33</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0.30</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eastAsia="zh-CN"/>
              </w:rPr>
              <w:t>氨氮</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mg/L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sz w:val="21"/>
                <w:szCs w:val="21"/>
                <w:highlight w:val="none"/>
              </w:rPr>
              <w:t>≤0.5</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lang w:val="en-US" w:eastAsia="zh-CN" w:bidi="ar-SA"/>
              </w:rPr>
            </w:pPr>
            <w:r>
              <w:rPr>
                <w:rFonts w:hint="eastAsia" w:cs="Times New Roman" w:eastAsiaTheme="minorEastAsia"/>
                <w:color w:val="auto"/>
                <w:kern w:val="0"/>
                <w:sz w:val="21"/>
                <w:szCs w:val="21"/>
                <w:highlight w:val="none"/>
                <w:lang w:val="en-US" w:eastAsia="zh-CN" w:bidi="ar-SA"/>
              </w:rPr>
              <w:t>ND</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21"/>
                <w:szCs w:val="21"/>
                <w:highlight w:val="none"/>
                <w:lang w:val="en-US" w:eastAsia="zh-CN"/>
              </w:rPr>
            </w:pPr>
            <w:r>
              <w:rPr>
                <w:rFonts w:hint="eastAsia" w:eastAsiaTheme="minorEastAsia"/>
                <w:color w:val="auto"/>
                <w:kern w:val="0"/>
                <w:sz w:val="21"/>
                <w:szCs w:val="21"/>
                <w:highlight w:val="none"/>
                <w:lang w:val="en-US" w:eastAsia="zh-CN"/>
              </w:rPr>
              <w:t>0.216</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21"/>
                <w:szCs w:val="21"/>
                <w:highlight w:val="none"/>
                <w:lang w:val="en-US" w:eastAsia="zh-CN"/>
              </w:rPr>
            </w:pPr>
            <w:r>
              <w:rPr>
                <w:rFonts w:hint="eastAsia" w:eastAsiaTheme="minorEastAsia"/>
                <w:color w:val="auto"/>
                <w:kern w:val="0"/>
                <w:sz w:val="21"/>
                <w:szCs w:val="21"/>
                <w:highlight w:val="none"/>
                <w:lang w:val="en-US" w:eastAsia="zh-CN"/>
              </w:rPr>
              <w:t>0.194</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0.43</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0.39</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zh-CN" w:eastAsia="zh-CN"/>
              </w:rPr>
              <w:t>粪大肠菌群</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MPN/L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宋体"/>
                <w:kern w:val="0"/>
                <w:sz w:val="21"/>
                <w:szCs w:val="21"/>
                <w:highlight w:val="none"/>
                <w:lang w:val="en-US" w:eastAsia="zh-CN"/>
              </w:rPr>
            </w:pPr>
            <w:r>
              <w:rPr>
                <w:sz w:val="21"/>
                <w:szCs w:val="21"/>
                <w:highlight w:val="none"/>
              </w:rPr>
              <w:t>≤0.0</w:t>
            </w:r>
            <w:r>
              <w:rPr>
                <w:rFonts w:hint="eastAsia"/>
                <w:sz w:val="21"/>
                <w:szCs w:val="21"/>
                <w:highlight w:val="none"/>
                <w:lang w:val="en-US" w:eastAsia="zh-CN"/>
              </w:rPr>
              <w:t>3</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lang w:val="en-US" w:eastAsia="zh-CN" w:bidi="ar-SA"/>
              </w:rPr>
            </w:pPr>
            <w:r>
              <w:rPr>
                <w:rFonts w:hint="eastAsia" w:eastAsiaTheme="minorEastAsia"/>
                <w:color w:val="auto"/>
                <w:kern w:val="0"/>
                <w:sz w:val="21"/>
                <w:szCs w:val="21"/>
                <w:highlight w:val="none"/>
                <w:lang w:val="en-US" w:eastAsia="zh-CN"/>
              </w:rPr>
              <w:t>未检出</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21"/>
                <w:szCs w:val="21"/>
                <w:highlight w:val="none"/>
                <w:lang w:val="en-US" w:eastAsia="zh-CN"/>
              </w:rPr>
            </w:pPr>
            <w:r>
              <w:rPr>
                <w:rFonts w:hint="eastAsia" w:eastAsiaTheme="minorEastAsia"/>
                <w:color w:val="auto"/>
                <w:kern w:val="0"/>
                <w:sz w:val="21"/>
                <w:szCs w:val="21"/>
                <w:highlight w:val="none"/>
                <w:lang w:val="en-US" w:eastAsia="zh-CN"/>
              </w:rPr>
              <w:t>未检出</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color w:val="auto"/>
                <w:kern w:val="0"/>
                <w:sz w:val="21"/>
                <w:szCs w:val="21"/>
                <w:highlight w:val="none"/>
                <w:lang w:val="en-US" w:eastAsia="zh-CN"/>
              </w:rPr>
            </w:pPr>
            <w:r>
              <w:rPr>
                <w:rFonts w:hint="eastAsia" w:eastAsiaTheme="minorEastAsia"/>
                <w:color w:val="auto"/>
                <w:kern w:val="0"/>
                <w:sz w:val="21"/>
                <w:szCs w:val="21"/>
                <w:highlight w:val="none"/>
                <w:lang w:val="en-US" w:eastAsia="zh-CN"/>
              </w:rPr>
              <w:t>未检出</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21"/>
                <w:szCs w:val="21"/>
                <w:highlight w:val="none"/>
                <w:lang w:val="en-US" w:eastAsia="zh-CN" w:bidi="ar-SA"/>
              </w:rPr>
            </w:pPr>
            <w:r>
              <w:rPr>
                <w:rFonts w:hint="eastAsia" w:eastAsiaTheme="minorEastAsia"/>
                <w:color w:val="auto"/>
                <w:kern w:val="0"/>
                <w:sz w:val="21"/>
                <w:szCs w:val="21"/>
                <w:highlight w:val="none"/>
                <w:lang w:val="en-US" w:eastAsia="zh-CN"/>
              </w:rPr>
              <w:t>未检出</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zh-CN" w:eastAsia="zh-CN"/>
              </w:rPr>
            </w:pPr>
            <w:r>
              <w:rPr>
                <w:rFonts w:hint="eastAsia" w:eastAsiaTheme="minorEastAsia"/>
                <w:kern w:val="0"/>
                <w:sz w:val="21"/>
                <w:szCs w:val="21"/>
                <w:highlight w:val="none"/>
                <w:lang w:val="zh-CN" w:eastAsia="zh-CN"/>
              </w:rPr>
              <w:t>菌落总数</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CFU/mL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color w:val="000000"/>
                <w:sz w:val="21"/>
                <w:szCs w:val="21"/>
                <w:highlight w:val="none"/>
              </w:rPr>
              <w:t>≤100</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lang w:val="en-US" w:eastAsia="zh-CN" w:bidi="ar-SA"/>
              </w:rPr>
            </w:pPr>
            <w:r>
              <w:rPr>
                <w:rFonts w:hint="eastAsia" w:eastAsiaTheme="minorEastAsia"/>
                <w:color w:val="auto"/>
                <w:kern w:val="0"/>
                <w:sz w:val="21"/>
                <w:szCs w:val="21"/>
                <w:lang w:val="en-US" w:eastAsia="zh-CN"/>
              </w:rPr>
              <w:t>36</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77</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41</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56</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0.36</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0.77</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0.41</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0.56</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eastAsia="zh-CN"/>
              </w:rPr>
            </w:pPr>
            <w:r>
              <w:rPr>
                <w:rFonts w:hint="eastAsia" w:eastAsiaTheme="minorEastAsia"/>
                <w:kern w:val="0"/>
                <w:sz w:val="21"/>
                <w:szCs w:val="21"/>
                <w:highlight w:val="none"/>
                <w:lang w:eastAsia="zh-CN"/>
              </w:rPr>
              <w:t>亚硝酸盐氮</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mg/L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sz w:val="21"/>
                <w:szCs w:val="21"/>
                <w:highlight w:val="none"/>
              </w:rPr>
              <w:t>≤1.0</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cs="Times New Roman" w:eastAsiaTheme="minorEastAsia"/>
                <w:color w:val="auto"/>
                <w:kern w:val="0"/>
                <w:sz w:val="21"/>
                <w:szCs w:val="21"/>
                <w:highlight w:val="none"/>
                <w:lang w:val="en-US" w:eastAsia="zh-CN" w:bidi="ar-SA"/>
              </w:rPr>
              <w:t>ND</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cs="Times New Roman" w:eastAsiaTheme="minorEastAsia"/>
                <w:color w:val="auto"/>
                <w:kern w:val="0"/>
                <w:sz w:val="21"/>
                <w:szCs w:val="21"/>
                <w:highlight w:val="none"/>
                <w:lang w:val="en-US" w:eastAsia="zh-CN" w:bidi="ar-SA"/>
              </w:rPr>
              <w:t>ND</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cs="Times New Roman" w:eastAsiaTheme="minorEastAsia"/>
                <w:color w:val="auto"/>
                <w:kern w:val="0"/>
                <w:sz w:val="21"/>
                <w:szCs w:val="21"/>
                <w:highlight w:val="none"/>
                <w:lang w:val="en-US" w:eastAsia="zh-CN" w:bidi="ar-SA"/>
              </w:rPr>
              <w:t>ND</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eastAsia="zh-CN"/>
              </w:rPr>
            </w:pPr>
            <w:r>
              <w:rPr>
                <w:rFonts w:hint="eastAsia" w:eastAsiaTheme="minorEastAsia"/>
                <w:kern w:val="0"/>
                <w:sz w:val="21"/>
                <w:szCs w:val="21"/>
                <w:highlight w:val="none"/>
                <w:lang w:eastAsia="zh-CN"/>
              </w:rPr>
              <w:t>硝酸盐氮</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mg/L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sz w:val="21"/>
                <w:szCs w:val="21"/>
                <w:highlight w:val="none"/>
              </w:rPr>
              <w:t>≤20</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eastAsiaTheme="minorEastAsia"/>
                <w:kern w:val="0"/>
                <w:sz w:val="21"/>
                <w:szCs w:val="21"/>
                <w:lang w:val="en-US" w:eastAsia="zh-CN"/>
              </w:rPr>
              <w:t>3.2</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12.3</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13.4</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6.3</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0.16</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0.62</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0.67</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0.32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eastAsia="zh-CN"/>
              </w:rPr>
            </w:pPr>
            <w:r>
              <w:rPr>
                <w:rFonts w:hint="eastAsia" w:eastAsiaTheme="minorEastAsia"/>
                <w:kern w:val="0"/>
                <w:sz w:val="21"/>
                <w:szCs w:val="21"/>
                <w:highlight w:val="none"/>
                <w:lang w:eastAsia="zh-CN"/>
              </w:rPr>
              <w:t>氰化物</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rFonts w:hint="eastAsia" w:eastAsiaTheme="minorEastAsia"/>
                <w:kern w:val="0"/>
                <w:sz w:val="21"/>
                <w:szCs w:val="21"/>
                <w:highlight w:val="none"/>
                <w:lang w:val="en-US" w:eastAsia="zh-CN"/>
              </w:rPr>
              <w:t>mg/L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宋体"/>
                <w:kern w:val="0"/>
                <w:sz w:val="21"/>
                <w:szCs w:val="21"/>
                <w:highlight w:val="none"/>
                <w:lang w:val="en-US" w:eastAsia="zh-CN"/>
              </w:rPr>
            </w:pPr>
            <w:r>
              <w:rPr>
                <w:sz w:val="21"/>
                <w:szCs w:val="21"/>
                <w:highlight w:val="none"/>
              </w:rPr>
              <w:t>≤</w:t>
            </w:r>
            <w:r>
              <w:rPr>
                <w:rFonts w:hint="eastAsia"/>
                <w:sz w:val="21"/>
                <w:szCs w:val="21"/>
                <w:highlight w:val="none"/>
                <w:lang w:val="en-US" w:eastAsia="zh-CN"/>
              </w:rPr>
              <w:t>0.05</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cs="Times New Roman" w:eastAsiaTheme="minorEastAsia"/>
                <w:color w:val="auto"/>
                <w:kern w:val="0"/>
                <w:sz w:val="21"/>
                <w:szCs w:val="21"/>
                <w:highlight w:val="none"/>
                <w:lang w:val="en-US" w:eastAsia="zh-CN" w:bidi="ar-SA"/>
              </w:rPr>
              <w:t>ND</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74"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zh-CN" w:eastAsia="zh-CN" w:bidi="ar-SA"/>
              </w:rPr>
            </w:pPr>
            <w:r>
              <w:rPr>
                <w:rFonts w:hint="eastAsia" w:eastAsiaTheme="minorEastAsia"/>
                <w:kern w:val="0"/>
                <w:sz w:val="21"/>
                <w:szCs w:val="21"/>
                <w:highlight w:val="none"/>
                <w:lang w:val="zh-CN" w:eastAsia="zh-CN"/>
              </w:rPr>
              <w:t>氟化物</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mg/L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sz w:val="21"/>
                <w:szCs w:val="21"/>
                <w:highlight w:val="none"/>
              </w:rPr>
              <w:t>≤1.0</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eastAsiaTheme="minorEastAsia"/>
                <w:kern w:val="0"/>
                <w:sz w:val="21"/>
                <w:szCs w:val="21"/>
                <w:lang w:val="en-US" w:eastAsia="zh-CN"/>
              </w:rPr>
              <w:t>0.50</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0.24</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0.30</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0.81</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0.50</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0.24</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0.30</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0.81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74"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zh-CN" w:eastAsia="zh-CN" w:bidi="ar-SA"/>
              </w:rPr>
            </w:pPr>
            <w:r>
              <w:rPr>
                <w:rFonts w:hint="eastAsia" w:eastAsiaTheme="minorEastAsia"/>
                <w:kern w:val="0"/>
                <w:sz w:val="21"/>
                <w:szCs w:val="21"/>
                <w:highlight w:val="none"/>
                <w:lang w:val="zh-CN" w:eastAsia="zh-CN"/>
              </w:rPr>
              <w:t>汞</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default" w:ascii="Times New Roman" w:hAnsi="Times New Roman" w:cs="Times New Roman" w:eastAsiaTheme="minorEastAsia"/>
                <w:kern w:val="0"/>
                <w:sz w:val="21"/>
                <w:szCs w:val="21"/>
                <w:highlight w:val="none"/>
                <w:lang w:val="en-US" w:eastAsia="zh-CN"/>
              </w:rPr>
              <w:t>μg/L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color w:val="000000"/>
                <w:sz w:val="21"/>
                <w:szCs w:val="21"/>
                <w:highlight w:val="none"/>
              </w:rPr>
              <w:t>≤0.001</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cs="Times New Roman" w:eastAsiaTheme="minorEastAsia"/>
                <w:color w:val="auto"/>
                <w:kern w:val="0"/>
                <w:sz w:val="21"/>
                <w:szCs w:val="21"/>
                <w:highlight w:val="none"/>
                <w:lang w:val="en-US" w:eastAsia="zh-CN" w:bidi="ar-SA"/>
              </w:rPr>
              <w:t>ND</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cs="Times New Roman" w:eastAsiaTheme="minorEastAsia"/>
                <w:color w:val="auto"/>
                <w:kern w:val="0"/>
                <w:sz w:val="21"/>
                <w:szCs w:val="21"/>
                <w:highlight w:val="none"/>
                <w:lang w:val="en-US" w:eastAsia="zh-CN" w:bidi="ar-SA"/>
              </w:rPr>
              <w:t>ND</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cs="Times New Roman" w:eastAsiaTheme="minorEastAsia"/>
                <w:color w:val="auto"/>
                <w:kern w:val="0"/>
                <w:sz w:val="21"/>
                <w:szCs w:val="21"/>
                <w:highlight w:val="none"/>
                <w:lang w:val="en-US" w:eastAsia="zh-CN" w:bidi="ar-SA"/>
              </w:rPr>
              <w:t>ND</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74"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zh-CN" w:eastAsia="zh-CN" w:bidi="ar-SA"/>
              </w:rPr>
            </w:pPr>
            <w:r>
              <w:rPr>
                <w:rFonts w:hint="eastAsia" w:eastAsiaTheme="minorEastAsia"/>
                <w:kern w:val="0"/>
                <w:sz w:val="21"/>
                <w:szCs w:val="21"/>
                <w:highlight w:val="none"/>
                <w:lang w:val="zh-CN" w:eastAsia="zh-CN"/>
              </w:rPr>
              <w:t>砷</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default" w:ascii="Times New Roman" w:hAnsi="Times New Roman" w:cs="Times New Roman" w:eastAsiaTheme="minorEastAsia"/>
                <w:kern w:val="0"/>
                <w:sz w:val="21"/>
                <w:szCs w:val="21"/>
                <w:highlight w:val="none"/>
                <w:lang w:val="en-US" w:eastAsia="zh-CN"/>
              </w:rPr>
              <w:t>μg/L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color w:val="000000"/>
                <w:sz w:val="21"/>
                <w:szCs w:val="21"/>
                <w:highlight w:val="none"/>
              </w:rPr>
              <w:t>≤0.01</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lang w:val="en-US" w:eastAsia="zh-CN" w:bidi="ar-SA"/>
              </w:rPr>
            </w:pPr>
            <w:r>
              <w:rPr>
                <w:rFonts w:hint="eastAsia" w:cs="Times New Roman" w:eastAsiaTheme="minorEastAsia"/>
                <w:color w:val="auto"/>
                <w:kern w:val="0"/>
                <w:sz w:val="21"/>
                <w:szCs w:val="21"/>
                <w:highlight w:val="none"/>
                <w:lang w:val="en-US" w:eastAsia="zh-CN" w:bidi="ar-SA"/>
              </w:rPr>
              <w:t>ND</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74"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zh-CN" w:eastAsia="zh-CN" w:bidi="ar-SA"/>
              </w:rPr>
            </w:pPr>
            <w:r>
              <w:rPr>
                <w:rFonts w:hint="eastAsia" w:eastAsiaTheme="minorEastAsia"/>
                <w:kern w:val="0"/>
                <w:sz w:val="21"/>
                <w:szCs w:val="21"/>
                <w:highlight w:val="none"/>
                <w:lang w:val="zh-CN" w:eastAsia="zh-CN"/>
              </w:rPr>
              <w:t>镉</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default" w:ascii="Times New Roman" w:hAnsi="Times New Roman" w:cs="Times New Roman" w:eastAsiaTheme="minorEastAsia"/>
                <w:kern w:val="0"/>
                <w:sz w:val="21"/>
                <w:szCs w:val="21"/>
                <w:highlight w:val="none"/>
                <w:lang w:val="en-US" w:eastAsia="zh-CN"/>
              </w:rPr>
              <w:t>μg/L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color w:val="000000"/>
                <w:sz w:val="21"/>
                <w:szCs w:val="21"/>
                <w:highlight w:val="none"/>
              </w:rPr>
              <w:t>≤0.005</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cs="Times New Roman" w:eastAsiaTheme="minorEastAsia"/>
                <w:color w:val="auto"/>
                <w:kern w:val="0"/>
                <w:sz w:val="21"/>
                <w:szCs w:val="21"/>
                <w:highlight w:val="none"/>
                <w:lang w:val="en-US" w:eastAsia="zh-CN" w:bidi="ar-SA"/>
              </w:rPr>
              <w:t>ND</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74"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zh-CN" w:eastAsia="zh-CN" w:bidi="ar-SA"/>
              </w:rPr>
            </w:pPr>
            <w:r>
              <w:rPr>
                <w:rFonts w:hint="eastAsia" w:eastAsiaTheme="minorEastAsia"/>
                <w:kern w:val="0"/>
                <w:sz w:val="21"/>
                <w:szCs w:val="21"/>
                <w:highlight w:val="none"/>
                <w:lang w:val="zh-CN" w:eastAsia="zh-CN"/>
              </w:rPr>
              <w:t>六价铬</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mg/L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color w:val="000000"/>
                <w:sz w:val="21"/>
                <w:szCs w:val="21"/>
                <w:highlight w:val="none"/>
              </w:rPr>
              <w:t>≤0.05</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lang w:val="en-US" w:eastAsia="zh-CN" w:bidi="ar-SA"/>
              </w:rPr>
            </w:pPr>
            <w:r>
              <w:rPr>
                <w:rFonts w:hint="eastAsia" w:cs="Times New Roman" w:eastAsiaTheme="minorEastAsia"/>
                <w:color w:val="auto"/>
                <w:kern w:val="0"/>
                <w:sz w:val="21"/>
                <w:szCs w:val="21"/>
                <w:highlight w:val="none"/>
                <w:lang w:val="en-US" w:eastAsia="zh-CN" w:bidi="ar-SA"/>
              </w:rPr>
              <w:t>ND</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274"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zh-CN" w:eastAsia="zh-CN" w:bidi="ar-SA"/>
              </w:rPr>
            </w:pPr>
            <w:r>
              <w:rPr>
                <w:rFonts w:hint="eastAsia" w:eastAsiaTheme="minorEastAsia"/>
                <w:kern w:val="0"/>
                <w:sz w:val="21"/>
                <w:szCs w:val="21"/>
                <w:highlight w:val="none"/>
                <w:lang w:val="zh-CN" w:eastAsia="zh-CN"/>
              </w:rPr>
              <w:t>铅</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default" w:ascii="Times New Roman" w:hAnsi="Times New Roman" w:cs="Times New Roman" w:eastAsiaTheme="minorEastAsia"/>
                <w:kern w:val="0"/>
                <w:sz w:val="21"/>
                <w:szCs w:val="21"/>
                <w:highlight w:val="none"/>
                <w:lang w:val="en-US" w:eastAsia="zh-CN"/>
              </w:rPr>
              <w:t>μg/L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color w:val="000000"/>
                <w:sz w:val="21"/>
                <w:szCs w:val="21"/>
                <w:highlight w:val="none"/>
                <w:lang w:val="en-US" w:eastAsia="zh-CN"/>
              </w:rPr>
            </w:pPr>
            <w:r>
              <w:rPr>
                <w:color w:val="000000"/>
                <w:sz w:val="21"/>
                <w:szCs w:val="21"/>
                <w:highlight w:val="none"/>
              </w:rPr>
              <w:t>≤0.01</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cs="Times New Roman" w:eastAsiaTheme="minorEastAsia"/>
                <w:color w:val="auto"/>
                <w:kern w:val="0"/>
                <w:sz w:val="21"/>
                <w:szCs w:val="21"/>
                <w:highlight w:val="none"/>
                <w:lang w:val="en-US" w:eastAsia="zh-CN" w:bidi="ar-SA"/>
              </w:rPr>
              <w:t>ND</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eastAsia="zh-CN"/>
              </w:rPr>
            </w:pPr>
            <w:r>
              <w:rPr>
                <w:rFonts w:hint="eastAsia" w:eastAsiaTheme="minorEastAsia"/>
                <w:kern w:val="0"/>
                <w:sz w:val="21"/>
                <w:szCs w:val="21"/>
                <w:highlight w:val="none"/>
                <w:lang w:val="zh-CN" w:eastAsia="zh-CN"/>
              </w:rPr>
              <w:t>石油类</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mg/L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color w:val="000000"/>
                <w:sz w:val="21"/>
                <w:szCs w:val="21"/>
                <w:highlight w:val="none"/>
                <w:lang w:val="en-US" w:eastAsia="zh-CN"/>
              </w:rPr>
            </w:pPr>
            <w:r>
              <w:rPr>
                <w:color w:val="000000"/>
                <w:sz w:val="21"/>
                <w:szCs w:val="21"/>
                <w:highlight w:val="none"/>
              </w:rPr>
              <w:t>≤0.05</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cs="Times New Roman" w:eastAsiaTheme="minorEastAsia"/>
                <w:color w:val="auto"/>
                <w:kern w:val="0"/>
                <w:sz w:val="21"/>
                <w:szCs w:val="21"/>
                <w:highlight w:val="none"/>
                <w:lang w:val="en-US" w:eastAsia="zh-CN" w:bidi="ar-SA"/>
              </w:rPr>
              <w:t>ND</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钾</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mg/L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rFonts w:hint="eastAsia" w:eastAsiaTheme="minorEastAsia"/>
                <w:kern w:val="0"/>
                <w:sz w:val="21"/>
                <w:szCs w:val="21"/>
                <w:highlight w:val="none"/>
                <w:lang w:val="en-US" w:eastAsia="zh-CN"/>
              </w:rPr>
              <w:t>/</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cs="Times New Roman" w:eastAsiaTheme="minorEastAsia"/>
                <w:kern w:val="0"/>
                <w:sz w:val="21"/>
                <w:szCs w:val="21"/>
                <w:lang w:val="en-US" w:eastAsia="zh-CN" w:bidi="ar-SA"/>
              </w:rPr>
              <w:t>1.00</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4.55</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4.44</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1.30</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rFonts w:hint="eastAsia" w:eastAsiaTheme="minorEastAsia"/>
                <w:kern w:val="0"/>
                <w:sz w:val="21"/>
                <w:szCs w:val="21"/>
                <w:highlight w:val="none"/>
                <w:lang w:val="en-US" w:eastAsia="zh-CN"/>
              </w:rPr>
              <w:t>钠</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mg/L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cs="Times New Roman" w:eastAsiaTheme="minorEastAsia"/>
                <w:kern w:val="0"/>
                <w:sz w:val="21"/>
                <w:szCs w:val="21"/>
                <w:lang w:val="en-US" w:eastAsia="zh-CN" w:bidi="ar-SA"/>
              </w:rPr>
              <w:t>83.1</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15.2</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15.5</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2.72</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r>
              <w:rPr>
                <w:rFonts w:hint="eastAsia" w:eastAsiaTheme="minorEastAsia"/>
                <w:kern w:val="0"/>
                <w:sz w:val="21"/>
                <w:szCs w:val="21"/>
                <w:highlight w:val="none"/>
                <w:lang w:val="en-US" w:eastAsia="zh-CN"/>
              </w:rPr>
              <w:t>钙</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mg/L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cs="Times New Roman" w:eastAsiaTheme="minorEastAsia"/>
                <w:kern w:val="0"/>
                <w:sz w:val="21"/>
                <w:szCs w:val="21"/>
                <w:lang w:val="en-US" w:eastAsia="zh-CN" w:bidi="ar-SA"/>
              </w:rPr>
              <w:t>66.6</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113</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115</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89.2</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zh-CN" w:eastAsia="zh-CN"/>
              </w:rPr>
            </w:pPr>
            <w:r>
              <w:rPr>
                <w:rFonts w:hint="eastAsia" w:eastAsiaTheme="minorEastAsia"/>
                <w:kern w:val="0"/>
                <w:sz w:val="21"/>
                <w:szCs w:val="21"/>
                <w:highlight w:val="none"/>
                <w:lang w:val="zh-CN" w:eastAsia="zh-CN"/>
              </w:rPr>
              <w:t>镁</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mg/L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cs="Times New Roman" w:eastAsiaTheme="minorEastAsia"/>
                <w:kern w:val="0"/>
                <w:sz w:val="21"/>
                <w:szCs w:val="21"/>
                <w:lang w:val="en-US" w:eastAsia="zh-CN" w:bidi="ar-SA"/>
              </w:rPr>
              <w:t>8.86</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21.8</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20.8</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22.8</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zh-CN" w:eastAsia="zh-CN"/>
              </w:rPr>
            </w:pPr>
            <w:r>
              <w:rPr>
                <w:rFonts w:hint="eastAsia" w:eastAsiaTheme="minorEastAsia"/>
                <w:kern w:val="0"/>
                <w:sz w:val="21"/>
                <w:szCs w:val="21"/>
                <w:highlight w:val="none"/>
                <w:lang w:val="zh-CN" w:eastAsia="zh-CN"/>
              </w:rPr>
              <w:t>碳酸根</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mg/L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rPr>
            </w:pPr>
            <w:r>
              <w:rPr>
                <w:rFonts w:hint="eastAsia" w:cs="Times New Roman" w:eastAsiaTheme="minorEastAsia"/>
                <w:kern w:val="0"/>
                <w:sz w:val="21"/>
                <w:szCs w:val="21"/>
                <w:highlight w:val="none"/>
                <w:lang w:val="en-US" w:eastAsia="zh-CN"/>
              </w:rPr>
              <w:t>/</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cs="Times New Roman" w:eastAsiaTheme="minorEastAsia"/>
                <w:color w:val="auto"/>
                <w:kern w:val="0"/>
                <w:sz w:val="21"/>
                <w:szCs w:val="21"/>
                <w:highlight w:val="none"/>
                <w:lang w:val="en-US" w:eastAsia="zh-CN" w:bidi="ar-SA"/>
              </w:rPr>
              <w:t>ND</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zh-CN" w:eastAsia="zh-CN" w:bidi="ar-SA"/>
              </w:rPr>
            </w:pPr>
            <w:r>
              <w:rPr>
                <w:rFonts w:hint="eastAsia" w:eastAsiaTheme="minorEastAsia"/>
                <w:kern w:val="0"/>
                <w:sz w:val="21"/>
                <w:szCs w:val="21"/>
                <w:highlight w:val="none"/>
                <w:lang w:val="zh-CN" w:eastAsia="zh-CN"/>
              </w:rPr>
              <w:t>重碳酸根</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mg/L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cs="Times New Roman" w:eastAsiaTheme="minorEastAsia"/>
                <w:kern w:val="0"/>
                <w:sz w:val="21"/>
                <w:szCs w:val="21"/>
                <w:highlight w:val="none"/>
                <w:lang w:val="en-US" w:eastAsia="zh-CN"/>
              </w:rPr>
            </w:pPr>
            <w:r>
              <w:rPr>
                <w:rFonts w:hint="eastAsia" w:cs="Times New Roman" w:eastAsiaTheme="minorEastAsia"/>
                <w:color w:val="auto"/>
                <w:kern w:val="0"/>
                <w:sz w:val="21"/>
                <w:szCs w:val="21"/>
                <w:highlight w:val="none"/>
                <w:lang w:val="en-US" w:eastAsia="zh-CN"/>
              </w:rPr>
              <w:t>/</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cs="Times New Roman" w:eastAsiaTheme="minorEastAsia"/>
                <w:kern w:val="0"/>
                <w:sz w:val="21"/>
                <w:szCs w:val="21"/>
                <w:lang w:val="en-US" w:eastAsia="zh-CN" w:bidi="ar-SA"/>
              </w:rPr>
              <w:t>182</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257</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266</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275</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zh-CN" w:eastAsia="zh-CN"/>
              </w:rPr>
            </w:pPr>
            <w:r>
              <w:rPr>
                <w:rFonts w:hint="eastAsia" w:eastAsiaTheme="minorEastAsia"/>
                <w:kern w:val="0"/>
                <w:sz w:val="21"/>
                <w:szCs w:val="21"/>
                <w:highlight w:val="none"/>
                <w:lang w:val="zh-CN" w:eastAsia="zh-CN"/>
              </w:rPr>
              <w:t>氯离子</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mg/L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rPr>
            </w:pPr>
            <w:r>
              <w:rPr>
                <w:rFonts w:hint="eastAsia" w:cs="Times New Roman" w:eastAsiaTheme="minorEastAsia"/>
                <w:kern w:val="0"/>
                <w:sz w:val="21"/>
                <w:szCs w:val="21"/>
                <w:highlight w:val="none"/>
                <w:lang w:val="en-US" w:eastAsia="zh-CN"/>
              </w:rPr>
              <w:t>/</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eastAsiaTheme="minorEastAsia"/>
                <w:color w:val="auto"/>
                <w:kern w:val="0"/>
                <w:sz w:val="21"/>
                <w:szCs w:val="21"/>
                <w:lang w:val="en-US" w:eastAsia="zh-CN"/>
              </w:rPr>
              <w:t>82.4</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65</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85</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23</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143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eastAsiaTheme="minorEastAsia"/>
                <w:kern w:val="0"/>
                <w:sz w:val="21"/>
                <w:szCs w:val="21"/>
                <w:highlight w:val="none"/>
                <w:lang w:val="zh-CN" w:eastAsia="zh-CN"/>
              </w:rPr>
            </w:pPr>
            <w:r>
              <w:rPr>
                <w:rFonts w:hint="eastAsia" w:eastAsiaTheme="minorEastAsia"/>
                <w:kern w:val="0"/>
                <w:sz w:val="21"/>
                <w:szCs w:val="21"/>
                <w:highlight w:val="none"/>
                <w:lang w:val="zh-CN" w:eastAsia="zh-CN"/>
              </w:rPr>
              <w:t>硫酸根</w:t>
            </w:r>
          </w:p>
        </w:tc>
        <w:tc>
          <w:tcPr>
            <w:tcW w:w="101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mg/L</w:t>
            </w:r>
          </w:p>
        </w:tc>
        <w:tc>
          <w:tcPr>
            <w:tcW w:w="994"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eastAsiaTheme="minorEastAsia"/>
                <w:kern w:val="0"/>
                <w:sz w:val="21"/>
                <w:szCs w:val="21"/>
                <w:highlight w:val="none"/>
                <w:lang w:val="en-US" w:eastAsia="zh-CN"/>
              </w:rPr>
            </w:pPr>
            <w:r>
              <w:rPr>
                <w:rFonts w:hint="eastAsia" w:eastAsiaTheme="minorEastAsia"/>
                <w:kern w:val="0"/>
                <w:sz w:val="21"/>
                <w:szCs w:val="21"/>
                <w:highlight w:val="none"/>
                <w:lang w:val="en-US" w:eastAsia="zh-CN"/>
              </w:rPr>
              <w:t>/</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eastAsiaTheme="minorEastAsia"/>
                <w:color w:val="auto"/>
                <w:kern w:val="0"/>
                <w:sz w:val="21"/>
                <w:szCs w:val="21"/>
                <w:lang w:val="en-US" w:eastAsia="zh-CN"/>
              </w:rPr>
              <w:t>102</w:t>
            </w:r>
          </w:p>
        </w:tc>
        <w:tc>
          <w:tcPr>
            <w:tcW w:w="907"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eastAsiaTheme="minorEastAsia"/>
                <w:color w:val="auto"/>
                <w:kern w:val="0"/>
                <w:sz w:val="21"/>
                <w:szCs w:val="21"/>
                <w:highlight w:val="none"/>
                <w:lang w:val="en-US" w:eastAsia="zh-CN"/>
              </w:rPr>
              <w:t>84</w:t>
            </w:r>
          </w:p>
        </w:tc>
        <w:tc>
          <w:tcPr>
            <w:tcW w:w="90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eastAsiaTheme="minorEastAsia"/>
                <w:color w:val="auto"/>
                <w:kern w:val="0"/>
                <w:sz w:val="21"/>
                <w:szCs w:val="21"/>
                <w:highlight w:val="none"/>
                <w:lang w:val="en-US" w:eastAsia="zh-CN"/>
              </w:rPr>
              <w:t>94</w:t>
            </w:r>
          </w:p>
        </w:tc>
        <w:tc>
          <w:tcPr>
            <w:tcW w:w="927"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46</w:t>
            </w:r>
          </w:p>
        </w:tc>
        <w:tc>
          <w:tcPr>
            <w:tcW w:w="900" w:type="dxa"/>
            <w:tcBorders>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800" w:type="dxa"/>
            <w:tcBorders>
              <w:lef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29"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c>
          <w:tcPr>
            <w:tcW w:w="930"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eastAsiaTheme="minorEastAsia"/>
                <w:kern w:val="0"/>
                <w:sz w:val="21"/>
                <w:szCs w:val="21"/>
                <w:highlight w:val="none"/>
                <w:lang w:val="en-US" w:eastAsia="zh-CN"/>
              </w:rPr>
              <w:t>/</w:t>
            </w:r>
          </w:p>
        </w:tc>
      </w:tr>
    </w:tbl>
    <w:p>
      <w:pPr>
        <w:spacing w:line="480" w:lineRule="exact"/>
        <w:ind w:firstLine="480" w:firstLineChars="200"/>
        <w:rPr>
          <w:color w:val="000000"/>
          <w:sz w:val="24"/>
          <w:highlight w:val="none"/>
        </w:rPr>
      </w:pPr>
      <w:r>
        <w:rPr>
          <w:color w:val="000000"/>
          <w:sz w:val="24"/>
          <w:highlight w:val="none"/>
        </w:rPr>
        <w:fldChar w:fldCharType="begin"/>
      </w:r>
      <w:r>
        <w:rPr>
          <w:color w:val="000000"/>
          <w:sz w:val="24"/>
          <w:highlight w:val="none"/>
        </w:rPr>
        <w:instrText xml:space="preserve"> </w:instrText>
      </w:r>
      <w:r>
        <w:rPr>
          <w:rFonts w:hint="eastAsia"/>
          <w:color w:val="000000"/>
          <w:sz w:val="24"/>
          <w:highlight w:val="none"/>
        </w:rPr>
        <w:instrText xml:space="preserve">= 2 \* GB3</w:instrText>
      </w:r>
      <w:r>
        <w:rPr>
          <w:color w:val="000000"/>
          <w:sz w:val="24"/>
          <w:highlight w:val="none"/>
        </w:rPr>
        <w:instrText xml:space="preserve"> </w:instrText>
      </w:r>
      <w:r>
        <w:rPr>
          <w:color w:val="000000"/>
          <w:sz w:val="24"/>
          <w:highlight w:val="none"/>
        </w:rPr>
        <w:fldChar w:fldCharType="separate"/>
      </w:r>
      <w:r>
        <w:rPr>
          <w:rFonts w:hint="eastAsia"/>
          <w:color w:val="000000"/>
          <w:sz w:val="24"/>
          <w:highlight w:val="none"/>
        </w:rPr>
        <w:t>②</w:t>
      </w:r>
      <w:r>
        <w:rPr>
          <w:color w:val="000000"/>
          <w:sz w:val="24"/>
          <w:highlight w:val="none"/>
        </w:rPr>
        <w:fldChar w:fldCharType="end"/>
      </w:r>
      <w:r>
        <w:rPr>
          <w:color w:val="000000"/>
          <w:sz w:val="24"/>
          <w:highlight w:val="none"/>
        </w:rPr>
        <w:t>评价区地下水</w:t>
      </w:r>
      <w:r>
        <w:rPr>
          <w:rFonts w:hint="eastAsia"/>
          <w:color w:val="000000"/>
          <w:sz w:val="24"/>
          <w:highlight w:val="none"/>
        </w:rPr>
        <w:t>化学类型</w:t>
      </w:r>
    </w:p>
    <w:p>
      <w:pPr>
        <w:pStyle w:val="429"/>
        <w:snapToGrid/>
        <w:spacing w:line="480" w:lineRule="exact"/>
        <w:ind w:firstLine="496"/>
        <w:textAlignment w:val="baseline"/>
        <w:rPr>
          <w:color w:val="000000"/>
          <w:highlight w:val="none"/>
        </w:rPr>
      </w:pPr>
      <w:r>
        <w:rPr>
          <w:color w:val="000000"/>
          <w:highlight w:val="none"/>
        </w:rPr>
        <w:t>评价区内地下水化学特征分类，采用国内常用的舒卡列夫分类法：根据地下水6种主要离子（K</w:t>
      </w:r>
      <w:r>
        <w:rPr>
          <w:color w:val="000000"/>
          <w:highlight w:val="none"/>
          <w:vertAlign w:val="superscript"/>
        </w:rPr>
        <w:t>+</w:t>
      </w:r>
      <w:r>
        <w:rPr>
          <w:color w:val="000000"/>
          <w:highlight w:val="none"/>
        </w:rPr>
        <w:t>合并与Na</w:t>
      </w:r>
      <w:r>
        <w:rPr>
          <w:color w:val="000000"/>
          <w:highlight w:val="none"/>
          <w:vertAlign w:val="superscript"/>
        </w:rPr>
        <w:t>+</w:t>
      </w:r>
      <w:r>
        <w:rPr>
          <w:color w:val="000000"/>
          <w:highlight w:val="none"/>
        </w:rPr>
        <w:t>中）及TDS划分。含量大于25%毫克当量的的阴离子和阳离子进行组合，共分49型水，每型以一个阿拉伯数字作为代号。按TDS又划分为4组，A组TDS＜1.5g/L，B组TDS＞1.5～10g/L，C组TDS＞10～40g/L，D组TDS＞40g/L。</w:t>
      </w:r>
    </w:p>
    <w:p>
      <w:pPr>
        <w:pStyle w:val="429"/>
        <w:snapToGrid/>
        <w:spacing w:line="480" w:lineRule="exact"/>
        <w:ind w:firstLine="496"/>
        <w:textAlignment w:val="baseline"/>
        <w:rPr>
          <w:color w:val="000000"/>
          <w:highlight w:val="none"/>
        </w:rPr>
      </w:pPr>
      <w:r>
        <w:rPr>
          <w:color w:val="000000"/>
          <w:highlight w:val="none"/>
        </w:rPr>
        <w:t>舒卡列夫分类表</w:t>
      </w:r>
      <w:r>
        <w:rPr>
          <w:rFonts w:hint="eastAsia"/>
          <w:color w:val="000000"/>
          <w:highlight w:val="none"/>
        </w:rPr>
        <w:t>见表4.5-</w:t>
      </w:r>
      <w:r>
        <w:rPr>
          <w:rFonts w:hint="eastAsia"/>
          <w:color w:val="000000"/>
          <w:highlight w:val="none"/>
          <w:lang w:val="en-US" w:eastAsia="zh-CN"/>
        </w:rPr>
        <w:t>4</w:t>
      </w:r>
      <w:r>
        <w:rPr>
          <w:rFonts w:hint="eastAsia"/>
          <w:color w:val="000000"/>
          <w:highlight w:val="none"/>
        </w:rPr>
        <w:t>、表4.5-</w:t>
      </w:r>
      <w:r>
        <w:rPr>
          <w:rFonts w:hint="eastAsia"/>
          <w:color w:val="000000"/>
          <w:highlight w:val="none"/>
          <w:lang w:val="en-US" w:eastAsia="zh-CN"/>
        </w:rPr>
        <w:t>5</w:t>
      </w:r>
      <w:r>
        <w:rPr>
          <w:rFonts w:hint="eastAsia"/>
          <w:color w:val="000000"/>
          <w:highlight w:val="none"/>
        </w:rPr>
        <w:t>；</w:t>
      </w:r>
    </w:p>
    <w:p>
      <w:pPr>
        <w:spacing w:line="480" w:lineRule="exact"/>
        <w:jc w:val="center"/>
        <w:rPr>
          <w:b/>
          <w:bCs/>
          <w:szCs w:val="22"/>
          <w:highlight w:val="none"/>
        </w:rPr>
      </w:pPr>
      <w:r>
        <w:rPr>
          <w:b/>
          <w:bCs/>
          <w:color w:val="000000"/>
          <w:sz w:val="24"/>
          <w:highlight w:val="none"/>
        </w:rPr>
        <w:t>表</w:t>
      </w:r>
      <w:r>
        <w:rPr>
          <w:rFonts w:hint="eastAsia"/>
          <w:b/>
          <w:bCs/>
          <w:color w:val="000000"/>
          <w:sz w:val="24"/>
          <w:highlight w:val="none"/>
        </w:rPr>
        <w:t>4.5-</w:t>
      </w:r>
      <w:r>
        <w:rPr>
          <w:rFonts w:hint="eastAsia"/>
          <w:b/>
          <w:bCs/>
          <w:color w:val="000000"/>
          <w:sz w:val="24"/>
          <w:highlight w:val="none"/>
          <w:lang w:val="en-US" w:eastAsia="zh-CN"/>
        </w:rPr>
        <w:t>4</w:t>
      </w:r>
      <w:r>
        <w:rPr>
          <w:b/>
          <w:bCs/>
          <w:color w:val="000000"/>
          <w:sz w:val="24"/>
          <w:highlight w:val="none"/>
        </w:rPr>
        <w:t xml:space="preserve">  舒卡列夫分类表</w:t>
      </w:r>
    </w:p>
    <w:tbl>
      <w:tblPr>
        <w:tblStyle w:val="51"/>
        <w:tblW w:w="0" w:type="auto"/>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1511"/>
        <w:gridCol w:w="818"/>
        <w:gridCol w:w="1236"/>
        <w:gridCol w:w="1533"/>
        <w:gridCol w:w="1053"/>
        <w:gridCol w:w="665"/>
        <w:gridCol w:w="896"/>
        <w:gridCol w:w="514"/>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1511" w:type="dxa"/>
            <w:vAlign w:val="center"/>
          </w:tcPr>
          <w:p>
            <w:pPr>
              <w:topLinePunct/>
              <w:snapToGrid w:val="0"/>
              <w:spacing w:line="300" w:lineRule="exact"/>
              <w:jc w:val="center"/>
              <w:rPr>
                <w:bCs/>
                <w:highlight w:val="none"/>
              </w:rPr>
            </w:pPr>
            <w:r>
              <w:rPr>
                <w:bCs/>
                <w:highlight w:val="none"/>
              </w:rPr>
              <w:t>超过25%毫克</w:t>
            </w:r>
          </w:p>
          <w:p>
            <w:pPr>
              <w:topLinePunct/>
              <w:snapToGrid w:val="0"/>
              <w:spacing w:line="300" w:lineRule="exact"/>
              <w:jc w:val="center"/>
              <w:rPr>
                <w:highlight w:val="none"/>
              </w:rPr>
            </w:pPr>
            <w:r>
              <w:rPr>
                <w:bCs/>
                <w:highlight w:val="none"/>
              </w:rPr>
              <w:t>当量的离子</w:t>
            </w:r>
          </w:p>
        </w:tc>
        <w:tc>
          <w:tcPr>
            <w:tcW w:w="818" w:type="dxa"/>
            <w:vAlign w:val="center"/>
          </w:tcPr>
          <w:p>
            <w:pPr>
              <w:topLinePunct/>
              <w:snapToGrid w:val="0"/>
              <w:spacing w:line="300" w:lineRule="exact"/>
              <w:jc w:val="center"/>
              <w:rPr>
                <w:highlight w:val="none"/>
              </w:rPr>
            </w:pPr>
            <w:r>
              <w:rPr>
                <w:highlight w:val="none"/>
              </w:rPr>
              <w:t>HCO</w:t>
            </w:r>
            <w:r>
              <w:rPr>
                <w:highlight w:val="none"/>
                <w:vertAlign w:val="subscript"/>
              </w:rPr>
              <w:t>3</w:t>
            </w:r>
          </w:p>
        </w:tc>
        <w:tc>
          <w:tcPr>
            <w:tcW w:w="1236" w:type="dxa"/>
            <w:vAlign w:val="center"/>
          </w:tcPr>
          <w:p>
            <w:pPr>
              <w:topLinePunct/>
              <w:snapToGrid w:val="0"/>
              <w:spacing w:line="300" w:lineRule="exact"/>
              <w:jc w:val="center"/>
              <w:rPr>
                <w:highlight w:val="none"/>
              </w:rPr>
            </w:pPr>
            <w:r>
              <w:rPr>
                <w:highlight w:val="none"/>
              </w:rPr>
              <w:t>HCO</w:t>
            </w:r>
            <w:r>
              <w:rPr>
                <w:highlight w:val="none"/>
                <w:vertAlign w:val="subscript"/>
              </w:rPr>
              <w:t>3</w:t>
            </w:r>
            <w:r>
              <w:rPr>
                <w:highlight w:val="none"/>
              </w:rPr>
              <w:t>+SO</w:t>
            </w:r>
            <w:r>
              <w:rPr>
                <w:highlight w:val="none"/>
                <w:vertAlign w:val="subscript"/>
              </w:rPr>
              <w:t>4</w:t>
            </w:r>
          </w:p>
        </w:tc>
        <w:tc>
          <w:tcPr>
            <w:tcW w:w="1533" w:type="dxa"/>
            <w:vAlign w:val="center"/>
          </w:tcPr>
          <w:p>
            <w:pPr>
              <w:topLinePunct/>
              <w:snapToGrid w:val="0"/>
              <w:spacing w:line="300" w:lineRule="exact"/>
              <w:jc w:val="center"/>
              <w:rPr>
                <w:highlight w:val="none"/>
              </w:rPr>
            </w:pPr>
            <w:r>
              <w:rPr>
                <w:highlight w:val="none"/>
              </w:rPr>
              <w:t>HCO</w:t>
            </w:r>
            <w:r>
              <w:rPr>
                <w:highlight w:val="none"/>
                <w:vertAlign w:val="subscript"/>
              </w:rPr>
              <w:t>3</w:t>
            </w:r>
            <w:r>
              <w:rPr>
                <w:highlight w:val="none"/>
              </w:rPr>
              <w:t>+SO</w:t>
            </w:r>
            <w:r>
              <w:rPr>
                <w:highlight w:val="none"/>
                <w:vertAlign w:val="subscript"/>
              </w:rPr>
              <w:t>4</w:t>
            </w:r>
            <w:r>
              <w:rPr>
                <w:highlight w:val="none"/>
              </w:rPr>
              <w:t>+Cl</w:t>
            </w:r>
          </w:p>
        </w:tc>
        <w:tc>
          <w:tcPr>
            <w:tcW w:w="1053" w:type="dxa"/>
            <w:vAlign w:val="center"/>
          </w:tcPr>
          <w:p>
            <w:pPr>
              <w:topLinePunct/>
              <w:snapToGrid w:val="0"/>
              <w:spacing w:line="300" w:lineRule="exact"/>
              <w:jc w:val="center"/>
              <w:rPr>
                <w:highlight w:val="none"/>
              </w:rPr>
            </w:pPr>
            <w:r>
              <w:rPr>
                <w:highlight w:val="none"/>
              </w:rPr>
              <w:t>HCO</w:t>
            </w:r>
            <w:r>
              <w:rPr>
                <w:highlight w:val="none"/>
                <w:vertAlign w:val="subscript"/>
              </w:rPr>
              <w:t>3</w:t>
            </w:r>
            <w:r>
              <w:rPr>
                <w:highlight w:val="none"/>
              </w:rPr>
              <w:t>+Cl</w:t>
            </w:r>
          </w:p>
        </w:tc>
        <w:tc>
          <w:tcPr>
            <w:tcW w:w="665" w:type="dxa"/>
            <w:vAlign w:val="center"/>
          </w:tcPr>
          <w:p>
            <w:pPr>
              <w:topLinePunct/>
              <w:snapToGrid w:val="0"/>
              <w:spacing w:line="300" w:lineRule="exact"/>
              <w:jc w:val="center"/>
              <w:rPr>
                <w:highlight w:val="none"/>
              </w:rPr>
            </w:pPr>
            <w:r>
              <w:rPr>
                <w:highlight w:val="none"/>
              </w:rPr>
              <w:t>SO</w:t>
            </w:r>
            <w:r>
              <w:rPr>
                <w:highlight w:val="none"/>
                <w:vertAlign w:val="subscript"/>
              </w:rPr>
              <w:t>4</w:t>
            </w:r>
          </w:p>
        </w:tc>
        <w:tc>
          <w:tcPr>
            <w:tcW w:w="896" w:type="dxa"/>
            <w:vAlign w:val="center"/>
          </w:tcPr>
          <w:p>
            <w:pPr>
              <w:topLinePunct/>
              <w:snapToGrid w:val="0"/>
              <w:spacing w:line="300" w:lineRule="exact"/>
              <w:jc w:val="center"/>
              <w:rPr>
                <w:highlight w:val="none"/>
              </w:rPr>
            </w:pPr>
            <w:r>
              <w:rPr>
                <w:highlight w:val="none"/>
              </w:rPr>
              <w:t>SO</w:t>
            </w:r>
            <w:r>
              <w:rPr>
                <w:highlight w:val="none"/>
                <w:vertAlign w:val="subscript"/>
              </w:rPr>
              <w:t>4</w:t>
            </w:r>
            <w:r>
              <w:rPr>
                <w:highlight w:val="none"/>
              </w:rPr>
              <w:t>+Cl</w:t>
            </w:r>
          </w:p>
        </w:tc>
        <w:tc>
          <w:tcPr>
            <w:tcW w:w="514" w:type="dxa"/>
            <w:vAlign w:val="center"/>
          </w:tcPr>
          <w:p>
            <w:pPr>
              <w:topLinePunct/>
              <w:snapToGrid w:val="0"/>
              <w:spacing w:line="300" w:lineRule="exact"/>
              <w:jc w:val="center"/>
              <w:rPr>
                <w:highlight w:val="none"/>
              </w:rPr>
            </w:pPr>
            <w:r>
              <w:rPr>
                <w:highlight w:val="none"/>
              </w:rPr>
              <w:t>Cl</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38" w:hRule="atLeast"/>
          <w:jc w:val="center"/>
        </w:trPr>
        <w:tc>
          <w:tcPr>
            <w:tcW w:w="1511" w:type="dxa"/>
            <w:vAlign w:val="center"/>
          </w:tcPr>
          <w:p>
            <w:pPr>
              <w:topLinePunct/>
              <w:snapToGrid w:val="0"/>
              <w:spacing w:line="300" w:lineRule="exact"/>
              <w:jc w:val="center"/>
              <w:rPr>
                <w:highlight w:val="none"/>
              </w:rPr>
            </w:pPr>
            <w:r>
              <w:rPr>
                <w:highlight w:val="none"/>
              </w:rPr>
              <w:t>Ca</w:t>
            </w:r>
          </w:p>
        </w:tc>
        <w:tc>
          <w:tcPr>
            <w:tcW w:w="818" w:type="dxa"/>
            <w:vAlign w:val="center"/>
          </w:tcPr>
          <w:p>
            <w:pPr>
              <w:topLinePunct/>
              <w:snapToGrid w:val="0"/>
              <w:spacing w:line="300" w:lineRule="exact"/>
              <w:jc w:val="center"/>
              <w:rPr>
                <w:highlight w:val="none"/>
              </w:rPr>
            </w:pPr>
            <w:r>
              <w:rPr>
                <w:highlight w:val="none"/>
              </w:rPr>
              <w:t>1</w:t>
            </w:r>
          </w:p>
        </w:tc>
        <w:tc>
          <w:tcPr>
            <w:tcW w:w="1236" w:type="dxa"/>
            <w:vAlign w:val="center"/>
          </w:tcPr>
          <w:p>
            <w:pPr>
              <w:topLinePunct/>
              <w:snapToGrid w:val="0"/>
              <w:spacing w:line="300" w:lineRule="exact"/>
              <w:jc w:val="center"/>
              <w:rPr>
                <w:highlight w:val="none"/>
              </w:rPr>
            </w:pPr>
            <w:r>
              <w:rPr>
                <w:highlight w:val="none"/>
              </w:rPr>
              <w:t>8</w:t>
            </w:r>
          </w:p>
        </w:tc>
        <w:tc>
          <w:tcPr>
            <w:tcW w:w="1533" w:type="dxa"/>
            <w:vAlign w:val="center"/>
          </w:tcPr>
          <w:p>
            <w:pPr>
              <w:topLinePunct/>
              <w:snapToGrid w:val="0"/>
              <w:spacing w:line="300" w:lineRule="exact"/>
              <w:jc w:val="center"/>
              <w:rPr>
                <w:highlight w:val="none"/>
              </w:rPr>
            </w:pPr>
            <w:r>
              <w:rPr>
                <w:highlight w:val="none"/>
              </w:rPr>
              <w:t>15</w:t>
            </w:r>
          </w:p>
        </w:tc>
        <w:tc>
          <w:tcPr>
            <w:tcW w:w="1053" w:type="dxa"/>
            <w:vAlign w:val="center"/>
          </w:tcPr>
          <w:p>
            <w:pPr>
              <w:topLinePunct/>
              <w:snapToGrid w:val="0"/>
              <w:spacing w:line="300" w:lineRule="exact"/>
              <w:jc w:val="center"/>
              <w:rPr>
                <w:highlight w:val="none"/>
              </w:rPr>
            </w:pPr>
            <w:r>
              <w:rPr>
                <w:highlight w:val="none"/>
              </w:rPr>
              <w:t>22</w:t>
            </w:r>
          </w:p>
        </w:tc>
        <w:tc>
          <w:tcPr>
            <w:tcW w:w="665" w:type="dxa"/>
            <w:vAlign w:val="center"/>
          </w:tcPr>
          <w:p>
            <w:pPr>
              <w:topLinePunct/>
              <w:snapToGrid w:val="0"/>
              <w:spacing w:line="300" w:lineRule="exact"/>
              <w:jc w:val="center"/>
              <w:rPr>
                <w:highlight w:val="none"/>
              </w:rPr>
            </w:pPr>
            <w:r>
              <w:rPr>
                <w:highlight w:val="none"/>
              </w:rPr>
              <w:t>29</w:t>
            </w:r>
          </w:p>
        </w:tc>
        <w:tc>
          <w:tcPr>
            <w:tcW w:w="896" w:type="dxa"/>
            <w:vAlign w:val="center"/>
          </w:tcPr>
          <w:p>
            <w:pPr>
              <w:topLinePunct/>
              <w:snapToGrid w:val="0"/>
              <w:spacing w:line="300" w:lineRule="exact"/>
              <w:jc w:val="center"/>
              <w:rPr>
                <w:highlight w:val="none"/>
              </w:rPr>
            </w:pPr>
            <w:r>
              <w:rPr>
                <w:highlight w:val="none"/>
              </w:rPr>
              <w:t>36</w:t>
            </w:r>
          </w:p>
        </w:tc>
        <w:tc>
          <w:tcPr>
            <w:tcW w:w="514" w:type="dxa"/>
            <w:vAlign w:val="center"/>
          </w:tcPr>
          <w:p>
            <w:pPr>
              <w:topLinePunct/>
              <w:snapToGrid w:val="0"/>
              <w:spacing w:line="300" w:lineRule="exact"/>
              <w:jc w:val="center"/>
              <w:rPr>
                <w:highlight w:val="none"/>
              </w:rPr>
            </w:pPr>
            <w:r>
              <w:rPr>
                <w:highlight w:val="none"/>
              </w:rPr>
              <w:t>43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38" w:hRule="atLeast"/>
          <w:jc w:val="center"/>
        </w:trPr>
        <w:tc>
          <w:tcPr>
            <w:tcW w:w="1511" w:type="dxa"/>
            <w:vAlign w:val="center"/>
          </w:tcPr>
          <w:p>
            <w:pPr>
              <w:topLinePunct/>
              <w:snapToGrid w:val="0"/>
              <w:spacing w:line="300" w:lineRule="exact"/>
              <w:jc w:val="center"/>
              <w:rPr>
                <w:highlight w:val="none"/>
              </w:rPr>
            </w:pPr>
            <w:r>
              <w:rPr>
                <w:highlight w:val="none"/>
              </w:rPr>
              <w:t>Ca+Mg</w:t>
            </w:r>
          </w:p>
        </w:tc>
        <w:tc>
          <w:tcPr>
            <w:tcW w:w="818" w:type="dxa"/>
            <w:vAlign w:val="center"/>
          </w:tcPr>
          <w:p>
            <w:pPr>
              <w:topLinePunct/>
              <w:snapToGrid w:val="0"/>
              <w:spacing w:line="300" w:lineRule="exact"/>
              <w:jc w:val="center"/>
              <w:rPr>
                <w:highlight w:val="none"/>
              </w:rPr>
            </w:pPr>
            <w:r>
              <w:rPr>
                <w:highlight w:val="none"/>
              </w:rPr>
              <w:t>2</w:t>
            </w:r>
          </w:p>
        </w:tc>
        <w:tc>
          <w:tcPr>
            <w:tcW w:w="1236" w:type="dxa"/>
            <w:vAlign w:val="center"/>
          </w:tcPr>
          <w:p>
            <w:pPr>
              <w:topLinePunct/>
              <w:snapToGrid w:val="0"/>
              <w:spacing w:line="300" w:lineRule="exact"/>
              <w:jc w:val="center"/>
              <w:rPr>
                <w:highlight w:val="none"/>
              </w:rPr>
            </w:pPr>
            <w:r>
              <w:rPr>
                <w:highlight w:val="none"/>
              </w:rPr>
              <w:t>9</w:t>
            </w:r>
          </w:p>
        </w:tc>
        <w:tc>
          <w:tcPr>
            <w:tcW w:w="1533" w:type="dxa"/>
            <w:vAlign w:val="center"/>
          </w:tcPr>
          <w:p>
            <w:pPr>
              <w:topLinePunct/>
              <w:snapToGrid w:val="0"/>
              <w:spacing w:line="300" w:lineRule="exact"/>
              <w:jc w:val="center"/>
              <w:rPr>
                <w:highlight w:val="none"/>
              </w:rPr>
            </w:pPr>
            <w:r>
              <w:rPr>
                <w:highlight w:val="none"/>
              </w:rPr>
              <w:t>16</w:t>
            </w:r>
          </w:p>
        </w:tc>
        <w:tc>
          <w:tcPr>
            <w:tcW w:w="1053" w:type="dxa"/>
            <w:vAlign w:val="center"/>
          </w:tcPr>
          <w:p>
            <w:pPr>
              <w:topLinePunct/>
              <w:snapToGrid w:val="0"/>
              <w:spacing w:line="300" w:lineRule="exact"/>
              <w:jc w:val="center"/>
              <w:rPr>
                <w:highlight w:val="none"/>
              </w:rPr>
            </w:pPr>
            <w:r>
              <w:rPr>
                <w:highlight w:val="none"/>
              </w:rPr>
              <w:t>23</w:t>
            </w:r>
          </w:p>
        </w:tc>
        <w:tc>
          <w:tcPr>
            <w:tcW w:w="665" w:type="dxa"/>
            <w:vAlign w:val="center"/>
          </w:tcPr>
          <w:p>
            <w:pPr>
              <w:topLinePunct/>
              <w:snapToGrid w:val="0"/>
              <w:spacing w:line="300" w:lineRule="exact"/>
              <w:jc w:val="center"/>
              <w:rPr>
                <w:highlight w:val="none"/>
              </w:rPr>
            </w:pPr>
            <w:r>
              <w:rPr>
                <w:highlight w:val="none"/>
              </w:rPr>
              <w:t>30</w:t>
            </w:r>
          </w:p>
        </w:tc>
        <w:tc>
          <w:tcPr>
            <w:tcW w:w="896" w:type="dxa"/>
            <w:vAlign w:val="center"/>
          </w:tcPr>
          <w:p>
            <w:pPr>
              <w:topLinePunct/>
              <w:snapToGrid w:val="0"/>
              <w:spacing w:line="300" w:lineRule="exact"/>
              <w:jc w:val="center"/>
              <w:rPr>
                <w:highlight w:val="none"/>
              </w:rPr>
            </w:pPr>
            <w:r>
              <w:rPr>
                <w:highlight w:val="none"/>
              </w:rPr>
              <w:t>37</w:t>
            </w:r>
          </w:p>
        </w:tc>
        <w:tc>
          <w:tcPr>
            <w:tcW w:w="514" w:type="dxa"/>
            <w:vAlign w:val="center"/>
          </w:tcPr>
          <w:p>
            <w:pPr>
              <w:topLinePunct/>
              <w:snapToGrid w:val="0"/>
              <w:spacing w:line="300" w:lineRule="exact"/>
              <w:jc w:val="center"/>
              <w:rPr>
                <w:highlight w:val="none"/>
              </w:rPr>
            </w:pPr>
            <w:r>
              <w:rPr>
                <w:highlight w:val="none"/>
              </w:rPr>
              <w:t>44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38" w:hRule="atLeast"/>
          <w:jc w:val="center"/>
        </w:trPr>
        <w:tc>
          <w:tcPr>
            <w:tcW w:w="1511" w:type="dxa"/>
            <w:vAlign w:val="center"/>
          </w:tcPr>
          <w:p>
            <w:pPr>
              <w:topLinePunct/>
              <w:snapToGrid w:val="0"/>
              <w:spacing w:line="300" w:lineRule="exact"/>
              <w:jc w:val="center"/>
              <w:rPr>
                <w:highlight w:val="none"/>
              </w:rPr>
            </w:pPr>
            <w:r>
              <w:rPr>
                <w:highlight w:val="none"/>
              </w:rPr>
              <w:t>Mg</w:t>
            </w:r>
          </w:p>
        </w:tc>
        <w:tc>
          <w:tcPr>
            <w:tcW w:w="818" w:type="dxa"/>
            <w:vAlign w:val="center"/>
          </w:tcPr>
          <w:p>
            <w:pPr>
              <w:topLinePunct/>
              <w:snapToGrid w:val="0"/>
              <w:spacing w:line="300" w:lineRule="exact"/>
              <w:jc w:val="center"/>
              <w:rPr>
                <w:highlight w:val="none"/>
              </w:rPr>
            </w:pPr>
            <w:r>
              <w:rPr>
                <w:highlight w:val="none"/>
              </w:rPr>
              <w:t>3</w:t>
            </w:r>
          </w:p>
        </w:tc>
        <w:tc>
          <w:tcPr>
            <w:tcW w:w="1236" w:type="dxa"/>
            <w:vAlign w:val="center"/>
          </w:tcPr>
          <w:p>
            <w:pPr>
              <w:topLinePunct/>
              <w:snapToGrid w:val="0"/>
              <w:spacing w:line="300" w:lineRule="exact"/>
              <w:jc w:val="center"/>
              <w:rPr>
                <w:highlight w:val="none"/>
              </w:rPr>
            </w:pPr>
            <w:r>
              <w:rPr>
                <w:highlight w:val="none"/>
              </w:rPr>
              <w:t>10</w:t>
            </w:r>
          </w:p>
        </w:tc>
        <w:tc>
          <w:tcPr>
            <w:tcW w:w="1533" w:type="dxa"/>
            <w:vAlign w:val="center"/>
          </w:tcPr>
          <w:p>
            <w:pPr>
              <w:topLinePunct/>
              <w:snapToGrid w:val="0"/>
              <w:spacing w:line="300" w:lineRule="exact"/>
              <w:jc w:val="center"/>
              <w:rPr>
                <w:highlight w:val="none"/>
              </w:rPr>
            </w:pPr>
            <w:r>
              <w:rPr>
                <w:highlight w:val="none"/>
              </w:rPr>
              <w:t>17</w:t>
            </w:r>
          </w:p>
        </w:tc>
        <w:tc>
          <w:tcPr>
            <w:tcW w:w="1053" w:type="dxa"/>
            <w:vAlign w:val="center"/>
          </w:tcPr>
          <w:p>
            <w:pPr>
              <w:topLinePunct/>
              <w:snapToGrid w:val="0"/>
              <w:spacing w:line="300" w:lineRule="exact"/>
              <w:jc w:val="center"/>
              <w:rPr>
                <w:highlight w:val="none"/>
              </w:rPr>
            </w:pPr>
            <w:r>
              <w:rPr>
                <w:highlight w:val="none"/>
              </w:rPr>
              <w:t>24</w:t>
            </w:r>
          </w:p>
        </w:tc>
        <w:tc>
          <w:tcPr>
            <w:tcW w:w="665" w:type="dxa"/>
            <w:vAlign w:val="center"/>
          </w:tcPr>
          <w:p>
            <w:pPr>
              <w:topLinePunct/>
              <w:snapToGrid w:val="0"/>
              <w:spacing w:line="300" w:lineRule="exact"/>
              <w:jc w:val="center"/>
              <w:rPr>
                <w:highlight w:val="none"/>
              </w:rPr>
            </w:pPr>
            <w:r>
              <w:rPr>
                <w:highlight w:val="none"/>
              </w:rPr>
              <w:t>31</w:t>
            </w:r>
          </w:p>
        </w:tc>
        <w:tc>
          <w:tcPr>
            <w:tcW w:w="896" w:type="dxa"/>
            <w:vAlign w:val="center"/>
          </w:tcPr>
          <w:p>
            <w:pPr>
              <w:topLinePunct/>
              <w:snapToGrid w:val="0"/>
              <w:spacing w:line="300" w:lineRule="exact"/>
              <w:jc w:val="center"/>
              <w:rPr>
                <w:highlight w:val="none"/>
              </w:rPr>
            </w:pPr>
            <w:r>
              <w:rPr>
                <w:highlight w:val="none"/>
              </w:rPr>
              <w:t>38</w:t>
            </w:r>
          </w:p>
        </w:tc>
        <w:tc>
          <w:tcPr>
            <w:tcW w:w="514" w:type="dxa"/>
            <w:vAlign w:val="center"/>
          </w:tcPr>
          <w:p>
            <w:pPr>
              <w:topLinePunct/>
              <w:snapToGrid w:val="0"/>
              <w:spacing w:line="300" w:lineRule="exact"/>
              <w:jc w:val="center"/>
              <w:rPr>
                <w:highlight w:val="none"/>
              </w:rPr>
            </w:pPr>
            <w:r>
              <w:rPr>
                <w:highlight w:val="none"/>
              </w:rPr>
              <w:t>45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38" w:hRule="atLeast"/>
          <w:jc w:val="center"/>
        </w:trPr>
        <w:tc>
          <w:tcPr>
            <w:tcW w:w="1511" w:type="dxa"/>
            <w:vAlign w:val="center"/>
          </w:tcPr>
          <w:p>
            <w:pPr>
              <w:topLinePunct/>
              <w:snapToGrid w:val="0"/>
              <w:spacing w:line="300" w:lineRule="exact"/>
              <w:jc w:val="center"/>
              <w:rPr>
                <w:highlight w:val="none"/>
              </w:rPr>
            </w:pPr>
            <w:r>
              <w:rPr>
                <w:highlight w:val="none"/>
              </w:rPr>
              <w:t>Na+Ca</w:t>
            </w:r>
          </w:p>
        </w:tc>
        <w:tc>
          <w:tcPr>
            <w:tcW w:w="818" w:type="dxa"/>
            <w:vAlign w:val="center"/>
          </w:tcPr>
          <w:p>
            <w:pPr>
              <w:topLinePunct/>
              <w:snapToGrid w:val="0"/>
              <w:spacing w:line="300" w:lineRule="exact"/>
              <w:jc w:val="center"/>
              <w:rPr>
                <w:highlight w:val="none"/>
              </w:rPr>
            </w:pPr>
            <w:r>
              <w:rPr>
                <w:highlight w:val="none"/>
              </w:rPr>
              <w:t>4</w:t>
            </w:r>
          </w:p>
        </w:tc>
        <w:tc>
          <w:tcPr>
            <w:tcW w:w="1236" w:type="dxa"/>
            <w:vAlign w:val="center"/>
          </w:tcPr>
          <w:p>
            <w:pPr>
              <w:topLinePunct/>
              <w:snapToGrid w:val="0"/>
              <w:spacing w:line="300" w:lineRule="exact"/>
              <w:jc w:val="center"/>
              <w:rPr>
                <w:highlight w:val="none"/>
              </w:rPr>
            </w:pPr>
            <w:r>
              <w:rPr>
                <w:highlight w:val="none"/>
              </w:rPr>
              <w:t>11</w:t>
            </w:r>
          </w:p>
        </w:tc>
        <w:tc>
          <w:tcPr>
            <w:tcW w:w="1533" w:type="dxa"/>
            <w:vAlign w:val="center"/>
          </w:tcPr>
          <w:p>
            <w:pPr>
              <w:topLinePunct/>
              <w:snapToGrid w:val="0"/>
              <w:spacing w:line="300" w:lineRule="exact"/>
              <w:jc w:val="center"/>
              <w:rPr>
                <w:highlight w:val="none"/>
              </w:rPr>
            </w:pPr>
            <w:r>
              <w:rPr>
                <w:highlight w:val="none"/>
              </w:rPr>
              <w:t>18</w:t>
            </w:r>
          </w:p>
        </w:tc>
        <w:tc>
          <w:tcPr>
            <w:tcW w:w="1053" w:type="dxa"/>
            <w:vAlign w:val="center"/>
          </w:tcPr>
          <w:p>
            <w:pPr>
              <w:topLinePunct/>
              <w:snapToGrid w:val="0"/>
              <w:spacing w:line="300" w:lineRule="exact"/>
              <w:jc w:val="center"/>
              <w:rPr>
                <w:highlight w:val="none"/>
              </w:rPr>
            </w:pPr>
            <w:r>
              <w:rPr>
                <w:highlight w:val="none"/>
              </w:rPr>
              <w:t>25</w:t>
            </w:r>
          </w:p>
        </w:tc>
        <w:tc>
          <w:tcPr>
            <w:tcW w:w="665" w:type="dxa"/>
            <w:vAlign w:val="center"/>
          </w:tcPr>
          <w:p>
            <w:pPr>
              <w:topLinePunct/>
              <w:snapToGrid w:val="0"/>
              <w:spacing w:line="300" w:lineRule="exact"/>
              <w:jc w:val="center"/>
              <w:rPr>
                <w:highlight w:val="none"/>
              </w:rPr>
            </w:pPr>
            <w:r>
              <w:rPr>
                <w:highlight w:val="none"/>
              </w:rPr>
              <w:t>32</w:t>
            </w:r>
          </w:p>
        </w:tc>
        <w:tc>
          <w:tcPr>
            <w:tcW w:w="896" w:type="dxa"/>
            <w:vAlign w:val="center"/>
          </w:tcPr>
          <w:p>
            <w:pPr>
              <w:topLinePunct/>
              <w:snapToGrid w:val="0"/>
              <w:spacing w:line="300" w:lineRule="exact"/>
              <w:jc w:val="center"/>
              <w:rPr>
                <w:highlight w:val="none"/>
              </w:rPr>
            </w:pPr>
            <w:r>
              <w:rPr>
                <w:highlight w:val="none"/>
              </w:rPr>
              <w:t>39</w:t>
            </w:r>
          </w:p>
        </w:tc>
        <w:tc>
          <w:tcPr>
            <w:tcW w:w="514" w:type="dxa"/>
            <w:vAlign w:val="center"/>
          </w:tcPr>
          <w:p>
            <w:pPr>
              <w:topLinePunct/>
              <w:snapToGrid w:val="0"/>
              <w:spacing w:line="300" w:lineRule="exact"/>
              <w:jc w:val="center"/>
              <w:rPr>
                <w:highlight w:val="none"/>
              </w:rPr>
            </w:pPr>
            <w:r>
              <w:rPr>
                <w:highlight w:val="none"/>
              </w:rPr>
              <w:t>46</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38" w:hRule="atLeast"/>
          <w:jc w:val="center"/>
        </w:trPr>
        <w:tc>
          <w:tcPr>
            <w:tcW w:w="1511" w:type="dxa"/>
            <w:vAlign w:val="center"/>
          </w:tcPr>
          <w:p>
            <w:pPr>
              <w:topLinePunct/>
              <w:snapToGrid w:val="0"/>
              <w:spacing w:line="300" w:lineRule="exact"/>
              <w:jc w:val="center"/>
              <w:rPr>
                <w:highlight w:val="none"/>
              </w:rPr>
            </w:pPr>
            <w:r>
              <w:rPr>
                <w:highlight w:val="none"/>
              </w:rPr>
              <w:t>Na+Ca+Mg</w:t>
            </w:r>
          </w:p>
        </w:tc>
        <w:tc>
          <w:tcPr>
            <w:tcW w:w="818" w:type="dxa"/>
            <w:vAlign w:val="center"/>
          </w:tcPr>
          <w:p>
            <w:pPr>
              <w:topLinePunct/>
              <w:snapToGrid w:val="0"/>
              <w:spacing w:line="300" w:lineRule="exact"/>
              <w:jc w:val="center"/>
              <w:rPr>
                <w:highlight w:val="none"/>
              </w:rPr>
            </w:pPr>
            <w:r>
              <w:rPr>
                <w:highlight w:val="none"/>
              </w:rPr>
              <w:t>5</w:t>
            </w:r>
          </w:p>
        </w:tc>
        <w:tc>
          <w:tcPr>
            <w:tcW w:w="1236" w:type="dxa"/>
            <w:vAlign w:val="center"/>
          </w:tcPr>
          <w:p>
            <w:pPr>
              <w:topLinePunct/>
              <w:snapToGrid w:val="0"/>
              <w:spacing w:line="300" w:lineRule="exact"/>
              <w:jc w:val="center"/>
              <w:rPr>
                <w:highlight w:val="none"/>
              </w:rPr>
            </w:pPr>
            <w:r>
              <w:rPr>
                <w:highlight w:val="none"/>
              </w:rPr>
              <w:t>12</w:t>
            </w:r>
          </w:p>
        </w:tc>
        <w:tc>
          <w:tcPr>
            <w:tcW w:w="1533" w:type="dxa"/>
            <w:vAlign w:val="center"/>
          </w:tcPr>
          <w:p>
            <w:pPr>
              <w:topLinePunct/>
              <w:snapToGrid w:val="0"/>
              <w:spacing w:line="300" w:lineRule="exact"/>
              <w:jc w:val="center"/>
              <w:rPr>
                <w:highlight w:val="none"/>
              </w:rPr>
            </w:pPr>
            <w:r>
              <w:rPr>
                <w:highlight w:val="none"/>
              </w:rPr>
              <w:t>19</w:t>
            </w:r>
          </w:p>
        </w:tc>
        <w:tc>
          <w:tcPr>
            <w:tcW w:w="1053" w:type="dxa"/>
            <w:vAlign w:val="center"/>
          </w:tcPr>
          <w:p>
            <w:pPr>
              <w:topLinePunct/>
              <w:snapToGrid w:val="0"/>
              <w:spacing w:line="300" w:lineRule="exact"/>
              <w:jc w:val="center"/>
              <w:rPr>
                <w:highlight w:val="none"/>
              </w:rPr>
            </w:pPr>
            <w:r>
              <w:rPr>
                <w:highlight w:val="none"/>
              </w:rPr>
              <w:t>26</w:t>
            </w:r>
          </w:p>
        </w:tc>
        <w:tc>
          <w:tcPr>
            <w:tcW w:w="665" w:type="dxa"/>
            <w:vAlign w:val="center"/>
          </w:tcPr>
          <w:p>
            <w:pPr>
              <w:topLinePunct/>
              <w:snapToGrid w:val="0"/>
              <w:spacing w:line="300" w:lineRule="exact"/>
              <w:jc w:val="center"/>
              <w:rPr>
                <w:highlight w:val="none"/>
              </w:rPr>
            </w:pPr>
            <w:r>
              <w:rPr>
                <w:highlight w:val="none"/>
              </w:rPr>
              <w:t>33</w:t>
            </w:r>
          </w:p>
        </w:tc>
        <w:tc>
          <w:tcPr>
            <w:tcW w:w="896" w:type="dxa"/>
            <w:vAlign w:val="center"/>
          </w:tcPr>
          <w:p>
            <w:pPr>
              <w:topLinePunct/>
              <w:snapToGrid w:val="0"/>
              <w:spacing w:line="300" w:lineRule="exact"/>
              <w:jc w:val="center"/>
              <w:rPr>
                <w:highlight w:val="none"/>
              </w:rPr>
            </w:pPr>
            <w:r>
              <w:rPr>
                <w:highlight w:val="none"/>
              </w:rPr>
              <w:t>40</w:t>
            </w:r>
          </w:p>
        </w:tc>
        <w:tc>
          <w:tcPr>
            <w:tcW w:w="514" w:type="dxa"/>
            <w:vAlign w:val="center"/>
          </w:tcPr>
          <w:p>
            <w:pPr>
              <w:topLinePunct/>
              <w:snapToGrid w:val="0"/>
              <w:spacing w:line="300" w:lineRule="exact"/>
              <w:jc w:val="center"/>
              <w:rPr>
                <w:highlight w:val="none"/>
              </w:rPr>
            </w:pPr>
            <w:r>
              <w:rPr>
                <w:highlight w:val="none"/>
              </w:rPr>
              <w:t>47</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38" w:hRule="atLeast"/>
          <w:jc w:val="center"/>
        </w:trPr>
        <w:tc>
          <w:tcPr>
            <w:tcW w:w="1511" w:type="dxa"/>
            <w:vAlign w:val="center"/>
          </w:tcPr>
          <w:p>
            <w:pPr>
              <w:topLinePunct/>
              <w:snapToGrid w:val="0"/>
              <w:spacing w:line="300" w:lineRule="exact"/>
              <w:jc w:val="center"/>
              <w:rPr>
                <w:highlight w:val="none"/>
              </w:rPr>
            </w:pPr>
            <w:r>
              <w:rPr>
                <w:highlight w:val="none"/>
              </w:rPr>
              <w:t>Na+Mg</w:t>
            </w:r>
          </w:p>
        </w:tc>
        <w:tc>
          <w:tcPr>
            <w:tcW w:w="818" w:type="dxa"/>
            <w:vAlign w:val="center"/>
          </w:tcPr>
          <w:p>
            <w:pPr>
              <w:topLinePunct/>
              <w:snapToGrid w:val="0"/>
              <w:spacing w:line="300" w:lineRule="exact"/>
              <w:jc w:val="center"/>
              <w:rPr>
                <w:highlight w:val="none"/>
              </w:rPr>
            </w:pPr>
            <w:r>
              <w:rPr>
                <w:highlight w:val="none"/>
              </w:rPr>
              <w:t>6</w:t>
            </w:r>
          </w:p>
        </w:tc>
        <w:tc>
          <w:tcPr>
            <w:tcW w:w="1236" w:type="dxa"/>
            <w:vAlign w:val="center"/>
          </w:tcPr>
          <w:p>
            <w:pPr>
              <w:topLinePunct/>
              <w:snapToGrid w:val="0"/>
              <w:spacing w:line="300" w:lineRule="exact"/>
              <w:jc w:val="center"/>
              <w:rPr>
                <w:highlight w:val="none"/>
              </w:rPr>
            </w:pPr>
            <w:r>
              <w:rPr>
                <w:highlight w:val="none"/>
              </w:rPr>
              <w:t>13</w:t>
            </w:r>
          </w:p>
        </w:tc>
        <w:tc>
          <w:tcPr>
            <w:tcW w:w="1533" w:type="dxa"/>
            <w:vAlign w:val="center"/>
          </w:tcPr>
          <w:p>
            <w:pPr>
              <w:topLinePunct/>
              <w:snapToGrid w:val="0"/>
              <w:spacing w:line="300" w:lineRule="exact"/>
              <w:jc w:val="center"/>
              <w:rPr>
                <w:highlight w:val="none"/>
              </w:rPr>
            </w:pPr>
            <w:r>
              <w:rPr>
                <w:highlight w:val="none"/>
              </w:rPr>
              <w:t>20</w:t>
            </w:r>
          </w:p>
        </w:tc>
        <w:tc>
          <w:tcPr>
            <w:tcW w:w="1053" w:type="dxa"/>
            <w:vAlign w:val="center"/>
          </w:tcPr>
          <w:p>
            <w:pPr>
              <w:topLinePunct/>
              <w:snapToGrid w:val="0"/>
              <w:spacing w:line="300" w:lineRule="exact"/>
              <w:jc w:val="center"/>
              <w:rPr>
                <w:highlight w:val="none"/>
              </w:rPr>
            </w:pPr>
            <w:r>
              <w:rPr>
                <w:highlight w:val="none"/>
              </w:rPr>
              <w:t>27</w:t>
            </w:r>
          </w:p>
        </w:tc>
        <w:tc>
          <w:tcPr>
            <w:tcW w:w="665" w:type="dxa"/>
            <w:vAlign w:val="center"/>
          </w:tcPr>
          <w:p>
            <w:pPr>
              <w:topLinePunct/>
              <w:snapToGrid w:val="0"/>
              <w:spacing w:line="300" w:lineRule="exact"/>
              <w:jc w:val="center"/>
              <w:rPr>
                <w:highlight w:val="none"/>
              </w:rPr>
            </w:pPr>
            <w:r>
              <w:rPr>
                <w:highlight w:val="none"/>
              </w:rPr>
              <w:t>34</w:t>
            </w:r>
          </w:p>
        </w:tc>
        <w:tc>
          <w:tcPr>
            <w:tcW w:w="896" w:type="dxa"/>
            <w:vAlign w:val="center"/>
          </w:tcPr>
          <w:p>
            <w:pPr>
              <w:topLinePunct/>
              <w:snapToGrid w:val="0"/>
              <w:spacing w:line="300" w:lineRule="exact"/>
              <w:jc w:val="center"/>
              <w:rPr>
                <w:highlight w:val="none"/>
              </w:rPr>
            </w:pPr>
            <w:r>
              <w:rPr>
                <w:highlight w:val="none"/>
              </w:rPr>
              <w:t>41</w:t>
            </w:r>
          </w:p>
        </w:tc>
        <w:tc>
          <w:tcPr>
            <w:tcW w:w="514" w:type="dxa"/>
            <w:vAlign w:val="center"/>
          </w:tcPr>
          <w:p>
            <w:pPr>
              <w:topLinePunct/>
              <w:snapToGrid w:val="0"/>
              <w:spacing w:line="300" w:lineRule="exact"/>
              <w:jc w:val="center"/>
              <w:rPr>
                <w:highlight w:val="none"/>
              </w:rPr>
            </w:pPr>
            <w:r>
              <w:rPr>
                <w:highlight w:val="none"/>
              </w:rPr>
              <w:t>48</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54" w:hRule="atLeast"/>
          <w:jc w:val="center"/>
        </w:trPr>
        <w:tc>
          <w:tcPr>
            <w:tcW w:w="1511" w:type="dxa"/>
            <w:vAlign w:val="center"/>
          </w:tcPr>
          <w:p>
            <w:pPr>
              <w:topLinePunct/>
              <w:snapToGrid w:val="0"/>
              <w:spacing w:line="300" w:lineRule="exact"/>
              <w:jc w:val="center"/>
              <w:rPr>
                <w:highlight w:val="none"/>
              </w:rPr>
            </w:pPr>
            <w:r>
              <w:rPr>
                <w:highlight w:val="none"/>
              </w:rPr>
              <w:t>Na</w:t>
            </w:r>
          </w:p>
        </w:tc>
        <w:tc>
          <w:tcPr>
            <w:tcW w:w="818" w:type="dxa"/>
            <w:vAlign w:val="center"/>
          </w:tcPr>
          <w:p>
            <w:pPr>
              <w:topLinePunct/>
              <w:snapToGrid w:val="0"/>
              <w:spacing w:line="300" w:lineRule="exact"/>
              <w:jc w:val="center"/>
              <w:rPr>
                <w:highlight w:val="none"/>
              </w:rPr>
            </w:pPr>
            <w:r>
              <w:rPr>
                <w:highlight w:val="none"/>
              </w:rPr>
              <w:t>7</w:t>
            </w:r>
          </w:p>
        </w:tc>
        <w:tc>
          <w:tcPr>
            <w:tcW w:w="1236" w:type="dxa"/>
            <w:vAlign w:val="center"/>
          </w:tcPr>
          <w:p>
            <w:pPr>
              <w:topLinePunct/>
              <w:snapToGrid w:val="0"/>
              <w:spacing w:line="300" w:lineRule="exact"/>
              <w:jc w:val="center"/>
              <w:rPr>
                <w:highlight w:val="none"/>
              </w:rPr>
            </w:pPr>
            <w:r>
              <w:rPr>
                <w:highlight w:val="none"/>
              </w:rPr>
              <w:t>14</w:t>
            </w:r>
          </w:p>
        </w:tc>
        <w:tc>
          <w:tcPr>
            <w:tcW w:w="1533" w:type="dxa"/>
            <w:vAlign w:val="center"/>
          </w:tcPr>
          <w:p>
            <w:pPr>
              <w:topLinePunct/>
              <w:snapToGrid w:val="0"/>
              <w:spacing w:line="300" w:lineRule="exact"/>
              <w:jc w:val="center"/>
              <w:rPr>
                <w:highlight w:val="none"/>
              </w:rPr>
            </w:pPr>
            <w:r>
              <w:rPr>
                <w:highlight w:val="none"/>
              </w:rPr>
              <w:t>21</w:t>
            </w:r>
          </w:p>
        </w:tc>
        <w:tc>
          <w:tcPr>
            <w:tcW w:w="1053" w:type="dxa"/>
            <w:vAlign w:val="center"/>
          </w:tcPr>
          <w:p>
            <w:pPr>
              <w:topLinePunct/>
              <w:snapToGrid w:val="0"/>
              <w:spacing w:line="300" w:lineRule="exact"/>
              <w:jc w:val="center"/>
              <w:rPr>
                <w:highlight w:val="none"/>
              </w:rPr>
            </w:pPr>
            <w:r>
              <w:rPr>
                <w:highlight w:val="none"/>
              </w:rPr>
              <w:t>28</w:t>
            </w:r>
          </w:p>
        </w:tc>
        <w:tc>
          <w:tcPr>
            <w:tcW w:w="665" w:type="dxa"/>
            <w:vAlign w:val="center"/>
          </w:tcPr>
          <w:p>
            <w:pPr>
              <w:topLinePunct/>
              <w:snapToGrid w:val="0"/>
              <w:spacing w:line="300" w:lineRule="exact"/>
              <w:jc w:val="center"/>
              <w:rPr>
                <w:highlight w:val="none"/>
              </w:rPr>
            </w:pPr>
            <w:r>
              <w:rPr>
                <w:highlight w:val="none"/>
              </w:rPr>
              <w:t>35</w:t>
            </w:r>
          </w:p>
        </w:tc>
        <w:tc>
          <w:tcPr>
            <w:tcW w:w="896" w:type="dxa"/>
            <w:vAlign w:val="center"/>
          </w:tcPr>
          <w:p>
            <w:pPr>
              <w:topLinePunct/>
              <w:snapToGrid w:val="0"/>
              <w:spacing w:line="300" w:lineRule="exact"/>
              <w:jc w:val="center"/>
              <w:rPr>
                <w:highlight w:val="none"/>
              </w:rPr>
            </w:pPr>
            <w:r>
              <w:rPr>
                <w:highlight w:val="none"/>
              </w:rPr>
              <w:t>42</w:t>
            </w:r>
          </w:p>
        </w:tc>
        <w:tc>
          <w:tcPr>
            <w:tcW w:w="514" w:type="dxa"/>
            <w:vAlign w:val="center"/>
          </w:tcPr>
          <w:p>
            <w:pPr>
              <w:topLinePunct/>
              <w:snapToGrid w:val="0"/>
              <w:spacing w:line="300" w:lineRule="exact"/>
              <w:jc w:val="center"/>
              <w:rPr>
                <w:highlight w:val="none"/>
              </w:rPr>
            </w:pPr>
            <w:r>
              <w:rPr>
                <w:highlight w:val="none"/>
              </w:rPr>
              <w:t>49</w:t>
            </w:r>
          </w:p>
        </w:tc>
      </w:tr>
    </w:tbl>
    <w:p>
      <w:pPr>
        <w:spacing w:line="480" w:lineRule="exact"/>
        <w:jc w:val="center"/>
        <w:rPr>
          <w:b/>
          <w:color w:val="000000"/>
          <w:sz w:val="24"/>
          <w:highlight w:val="none"/>
        </w:rPr>
      </w:pPr>
    </w:p>
    <w:p>
      <w:pPr>
        <w:spacing w:line="480" w:lineRule="exact"/>
        <w:jc w:val="center"/>
        <w:rPr>
          <w:b/>
          <w:color w:val="000000"/>
          <w:sz w:val="24"/>
          <w:highlight w:val="none"/>
        </w:rPr>
      </w:pPr>
      <w:r>
        <w:rPr>
          <w:b/>
          <w:color w:val="000000"/>
          <w:sz w:val="24"/>
          <w:highlight w:val="none"/>
        </w:rPr>
        <w:t>表</w:t>
      </w:r>
      <w:r>
        <w:rPr>
          <w:rFonts w:hint="eastAsia"/>
          <w:b/>
          <w:color w:val="000000"/>
          <w:sz w:val="24"/>
          <w:highlight w:val="none"/>
        </w:rPr>
        <w:t>4</w:t>
      </w:r>
      <w:r>
        <w:rPr>
          <w:b/>
          <w:color w:val="000000"/>
          <w:sz w:val="24"/>
          <w:highlight w:val="none"/>
        </w:rPr>
        <w:t>.</w:t>
      </w:r>
      <w:r>
        <w:rPr>
          <w:rFonts w:hint="eastAsia"/>
          <w:b/>
          <w:color w:val="000000"/>
          <w:sz w:val="24"/>
          <w:highlight w:val="none"/>
        </w:rPr>
        <w:t>5-</w:t>
      </w:r>
      <w:r>
        <w:rPr>
          <w:rFonts w:hint="eastAsia"/>
          <w:b/>
          <w:color w:val="000000"/>
          <w:sz w:val="24"/>
          <w:highlight w:val="none"/>
          <w:lang w:val="en-US" w:eastAsia="zh-CN"/>
        </w:rPr>
        <w:t>5</w:t>
      </w:r>
      <w:r>
        <w:rPr>
          <w:b/>
          <w:color w:val="000000"/>
          <w:sz w:val="24"/>
          <w:highlight w:val="none"/>
        </w:rPr>
        <w:t xml:space="preserve">  地下水</w:t>
      </w:r>
      <w:r>
        <w:rPr>
          <w:b/>
          <w:bCs/>
          <w:color w:val="000000"/>
          <w:sz w:val="24"/>
          <w:highlight w:val="none"/>
        </w:rPr>
        <w:t>地下化学类型</w:t>
      </w:r>
      <w:r>
        <w:rPr>
          <w:b/>
          <w:color w:val="000000"/>
          <w:sz w:val="24"/>
          <w:highlight w:val="none"/>
        </w:rPr>
        <w:t>检测结果</w:t>
      </w:r>
    </w:p>
    <w:tbl>
      <w:tblPr>
        <w:tblStyle w:val="5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8"/>
        <w:gridCol w:w="1016"/>
        <w:gridCol w:w="1590"/>
        <w:gridCol w:w="1321"/>
        <w:gridCol w:w="1421"/>
        <w:gridCol w:w="14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6" w:type="pct"/>
            <w:vAlign w:val="center"/>
          </w:tcPr>
          <w:p>
            <w:pPr>
              <w:spacing w:line="320" w:lineRule="exact"/>
              <w:jc w:val="center"/>
              <w:rPr>
                <w:color w:val="000000"/>
                <w:szCs w:val="21"/>
                <w:highlight w:val="none"/>
              </w:rPr>
            </w:pPr>
            <w:r>
              <w:rPr>
                <w:color w:val="000000"/>
                <w:szCs w:val="21"/>
                <w:highlight w:val="none"/>
              </w:rPr>
              <w:t>检测项目</w:t>
            </w:r>
          </w:p>
        </w:tc>
        <w:tc>
          <w:tcPr>
            <w:tcW w:w="596" w:type="pct"/>
            <w:vAlign w:val="center"/>
          </w:tcPr>
          <w:p>
            <w:pPr>
              <w:spacing w:line="320" w:lineRule="exact"/>
              <w:jc w:val="center"/>
              <w:rPr>
                <w:color w:val="000000"/>
                <w:szCs w:val="21"/>
                <w:highlight w:val="none"/>
              </w:rPr>
            </w:pPr>
            <w:r>
              <w:rPr>
                <w:color w:val="000000"/>
                <w:szCs w:val="21"/>
                <w:highlight w:val="none"/>
              </w:rPr>
              <w:t>单位</w:t>
            </w:r>
          </w:p>
        </w:tc>
        <w:tc>
          <w:tcPr>
            <w:tcW w:w="933"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color w:val="000000"/>
                <w:szCs w:val="21"/>
                <w:highlight w:val="none"/>
              </w:rPr>
            </w:pPr>
            <w:r>
              <w:rPr>
                <w:rFonts w:hint="eastAsia" w:eastAsiaTheme="minorEastAsia"/>
                <w:kern w:val="0"/>
                <w:sz w:val="21"/>
                <w:szCs w:val="21"/>
                <w:highlight w:val="none"/>
                <w:lang w:val="en-US" w:eastAsia="zh-CN"/>
              </w:rPr>
              <w:t>东铺村</w:t>
            </w:r>
          </w:p>
        </w:tc>
        <w:tc>
          <w:tcPr>
            <w:tcW w:w="775"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color w:val="000000" w:themeColor="text1"/>
                <w:szCs w:val="21"/>
                <w:highlight w:val="none"/>
                <w14:textFill>
                  <w14:solidFill>
                    <w14:schemeClr w14:val="tx1"/>
                  </w14:solidFill>
                </w14:textFill>
              </w:rPr>
            </w:pPr>
            <w:r>
              <w:rPr>
                <w:rFonts w:hint="eastAsia" w:eastAsiaTheme="minorEastAsia"/>
                <w:kern w:val="0"/>
                <w:sz w:val="21"/>
                <w:szCs w:val="21"/>
                <w:highlight w:val="none"/>
                <w:lang w:val="en-US" w:eastAsia="zh-CN"/>
              </w:rPr>
              <w:t>西铺村</w:t>
            </w:r>
          </w:p>
        </w:tc>
        <w:tc>
          <w:tcPr>
            <w:tcW w:w="834"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color w:val="000000"/>
                <w:szCs w:val="21"/>
                <w:highlight w:val="none"/>
              </w:rPr>
            </w:pPr>
            <w:r>
              <w:rPr>
                <w:rFonts w:hint="eastAsia" w:eastAsiaTheme="minorEastAsia"/>
                <w:kern w:val="0"/>
                <w:sz w:val="21"/>
                <w:szCs w:val="21"/>
                <w:highlight w:val="none"/>
                <w:lang w:val="en-US" w:eastAsia="zh-CN"/>
              </w:rPr>
              <w:t>大安乐庄</w:t>
            </w:r>
          </w:p>
        </w:tc>
        <w:tc>
          <w:tcPr>
            <w:tcW w:w="834"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color w:val="000000"/>
                <w:szCs w:val="21"/>
                <w:highlight w:val="none"/>
              </w:rPr>
            </w:pPr>
            <w:r>
              <w:rPr>
                <w:rFonts w:hint="eastAsia" w:eastAsiaTheme="minorEastAsia"/>
                <w:kern w:val="0"/>
                <w:sz w:val="21"/>
                <w:szCs w:val="21"/>
                <w:highlight w:val="none"/>
                <w:lang w:val="en-US" w:eastAsia="zh-CN"/>
              </w:rPr>
              <w:t>西铺村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26" w:type="pct"/>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K</w:t>
            </w:r>
            <w:r>
              <w:rPr>
                <w:rFonts w:ascii="Times New Roman" w:hAnsi="Times New Roman"/>
                <w:color w:val="000000"/>
                <w:sz w:val="21"/>
                <w:szCs w:val="21"/>
                <w:highlight w:val="none"/>
                <w:vertAlign w:val="superscript"/>
              </w:rPr>
              <w:t>+</w:t>
            </w:r>
          </w:p>
        </w:tc>
        <w:tc>
          <w:tcPr>
            <w:tcW w:w="596" w:type="pct"/>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mg/L</w:t>
            </w:r>
          </w:p>
        </w:tc>
        <w:tc>
          <w:tcPr>
            <w:tcW w:w="933"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cs="Times New Roman" w:eastAsiaTheme="minorEastAsia"/>
                <w:kern w:val="0"/>
                <w:sz w:val="21"/>
                <w:szCs w:val="21"/>
                <w:lang w:val="en-US" w:eastAsia="zh-CN" w:bidi="ar-SA"/>
              </w:rPr>
              <w:t>1.00</w:t>
            </w:r>
          </w:p>
        </w:tc>
        <w:tc>
          <w:tcPr>
            <w:tcW w:w="775"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4.55</w:t>
            </w:r>
          </w:p>
        </w:tc>
        <w:tc>
          <w:tcPr>
            <w:tcW w:w="834"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4.44</w:t>
            </w:r>
          </w:p>
        </w:tc>
        <w:tc>
          <w:tcPr>
            <w:tcW w:w="834"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26" w:type="pct"/>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Na</w:t>
            </w:r>
            <w:r>
              <w:rPr>
                <w:rFonts w:ascii="Times New Roman" w:hAnsi="Times New Roman"/>
                <w:color w:val="000000"/>
                <w:sz w:val="21"/>
                <w:szCs w:val="21"/>
                <w:highlight w:val="none"/>
                <w:vertAlign w:val="superscript"/>
              </w:rPr>
              <w:t>+</w:t>
            </w:r>
          </w:p>
        </w:tc>
        <w:tc>
          <w:tcPr>
            <w:tcW w:w="596" w:type="pct"/>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mg/L</w:t>
            </w:r>
          </w:p>
        </w:tc>
        <w:tc>
          <w:tcPr>
            <w:tcW w:w="933"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cs="Times New Roman" w:eastAsiaTheme="minorEastAsia"/>
                <w:kern w:val="0"/>
                <w:sz w:val="21"/>
                <w:szCs w:val="21"/>
                <w:lang w:val="en-US" w:eastAsia="zh-CN" w:bidi="ar-SA"/>
              </w:rPr>
              <w:t>83.1</w:t>
            </w:r>
          </w:p>
        </w:tc>
        <w:tc>
          <w:tcPr>
            <w:tcW w:w="775"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15.2</w:t>
            </w:r>
          </w:p>
        </w:tc>
        <w:tc>
          <w:tcPr>
            <w:tcW w:w="834"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15.5</w:t>
            </w:r>
          </w:p>
        </w:tc>
        <w:tc>
          <w:tcPr>
            <w:tcW w:w="834"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2.72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trPr>
        <w:tc>
          <w:tcPr>
            <w:tcW w:w="1026" w:type="pct"/>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Ca</w:t>
            </w:r>
            <w:r>
              <w:rPr>
                <w:rFonts w:ascii="Times New Roman" w:hAnsi="Times New Roman"/>
                <w:color w:val="000000"/>
                <w:sz w:val="21"/>
                <w:szCs w:val="21"/>
                <w:highlight w:val="none"/>
                <w:vertAlign w:val="superscript"/>
              </w:rPr>
              <w:t>2+</w:t>
            </w:r>
          </w:p>
        </w:tc>
        <w:tc>
          <w:tcPr>
            <w:tcW w:w="596" w:type="pct"/>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mg/L</w:t>
            </w:r>
          </w:p>
        </w:tc>
        <w:tc>
          <w:tcPr>
            <w:tcW w:w="933"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cs="Times New Roman" w:eastAsiaTheme="minorEastAsia"/>
                <w:kern w:val="0"/>
                <w:sz w:val="21"/>
                <w:szCs w:val="21"/>
                <w:lang w:val="en-US" w:eastAsia="zh-CN" w:bidi="ar-SA"/>
              </w:rPr>
              <w:t>66.6</w:t>
            </w:r>
          </w:p>
        </w:tc>
        <w:tc>
          <w:tcPr>
            <w:tcW w:w="775"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113</w:t>
            </w:r>
          </w:p>
        </w:tc>
        <w:tc>
          <w:tcPr>
            <w:tcW w:w="834"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115</w:t>
            </w:r>
          </w:p>
        </w:tc>
        <w:tc>
          <w:tcPr>
            <w:tcW w:w="834"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89.2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26" w:type="pct"/>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Mg</w:t>
            </w:r>
            <w:r>
              <w:rPr>
                <w:rFonts w:ascii="Times New Roman" w:hAnsi="Times New Roman"/>
                <w:color w:val="000000"/>
                <w:sz w:val="21"/>
                <w:szCs w:val="21"/>
                <w:highlight w:val="none"/>
                <w:vertAlign w:val="superscript"/>
              </w:rPr>
              <w:t>2+</w:t>
            </w:r>
          </w:p>
        </w:tc>
        <w:tc>
          <w:tcPr>
            <w:tcW w:w="596" w:type="pct"/>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mg/L</w:t>
            </w:r>
          </w:p>
        </w:tc>
        <w:tc>
          <w:tcPr>
            <w:tcW w:w="933"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cs="Times New Roman" w:eastAsiaTheme="minorEastAsia"/>
                <w:kern w:val="0"/>
                <w:sz w:val="21"/>
                <w:szCs w:val="21"/>
                <w:lang w:val="en-US" w:eastAsia="zh-CN" w:bidi="ar-SA"/>
              </w:rPr>
              <w:t>8.86</w:t>
            </w:r>
          </w:p>
        </w:tc>
        <w:tc>
          <w:tcPr>
            <w:tcW w:w="775"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21.8</w:t>
            </w:r>
          </w:p>
        </w:tc>
        <w:tc>
          <w:tcPr>
            <w:tcW w:w="834"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20.8</w:t>
            </w:r>
          </w:p>
        </w:tc>
        <w:tc>
          <w:tcPr>
            <w:tcW w:w="834"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22.8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026" w:type="pct"/>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CO</w:t>
            </w:r>
            <w:r>
              <w:rPr>
                <w:rFonts w:ascii="Times New Roman" w:hAnsi="Times New Roman"/>
                <w:color w:val="000000"/>
                <w:sz w:val="21"/>
                <w:szCs w:val="21"/>
                <w:highlight w:val="none"/>
                <w:vertAlign w:val="subscript"/>
              </w:rPr>
              <w:t>3</w:t>
            </w:r>
            <w:r>
              <w:rPr>
                <w:rFonts w:ascii="Times New Roman" w:hAnsi="Times New Roman"/>
                <w:color w:val="000000"/>
                <w:sz w:val="21"/>
                <w:szCs w:val="21"/>
                <w:highlight w:val="none"/>
                <w:vertAlign w:val="superscript"/>
              </w:rPr>
              <w:t>2-</w:t>
            </w:r>
          </w:p>
        </w:tc>
        <w:tc>
          <w:tcPr>
            <w:tcW w:w="596" w:type="pct"/>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mg/L</w:t>
            </w:r>
          </w:p>
        </w:tc>
        <w:tc>
          <w:tcPr>
            <w:tcW w:w="933"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cs="Times New Roman" w:eastAsiaTheme="minorEastAsia"/>
                <w:color w:val="auto"/>
                <w:kern w:val="0"/>
                <w:sz w:val="21"/>
                <w:szCs w:val="21"/>
                <w:highlight w:val="none"/>
                <w:lang w:val="en-US" w:eastAsia="zh-CN" w:bidi="ar-SA"/>
              </w:rPr>
              <w:t>ND</w:t>
            </w:r>
          </w:p>
        </w:tc>
        <w:tc>
          <w:tcPr>
            <w:tcW w:w="775"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834"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c>
          <w:tcPr>
            <w:tcW w:w="834"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color w:val="auto"/>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1026" w:type="pct"/>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HCO</w:t>
            </w:r>
            <w:r>
              <w:rPr>
                <w:rFonts w:ascii="Times New Roman" w:hAnsi="Times New Roman"/>
                <w:color w:val="000000"/>
                <w:sz w:val="21"/>
                <w:szCs w:val="21"/>
                <w:highlight w:val="none"/>
                <w:vertAlign w:val="subscript"/>
              </w:rPr>
              <w:t>3</w:t>
            </w:r>
            <w:r>
              <w:rPr>
                <w:rFonts w:ascii="Times New Roman" w:hAnsi="Times New Roman"/>
                <w:color w:val="000000"/>
                <w:sz w:val="21"/>
                <w:szCs w:val="21"/>
                <w:highlight w:val="none"/>
                <w:vertAlign w:val="superscript"/>
              </w:rPr>
              <w:t>-</w:t>
            </w:r>
          </w:p>
        </w:tc>
        <w:tc>
          <w:tcPr>
            <w:tcW w:w="596" w:type="pct"/>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mg/L</w:t>
            </w:r>
          </w:p>
        </w:tc>
        <w:tc>
          <w:tcPr>
            <w:tcW w:w="933"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cs="Times New Roman" w:eastAsiaTheme="minorEastAsia"/>
                <w:kern w:val="0"/>
                <w:sz w:val="21"/>
                <w:szCs w:val="21"/>
                <w:lang w:val="en-US" w:eastAsia="zh-CN" w:bidi="ar-SA"/>
              </w:rPr>
              <w:t>182</w:t>
            </w:r>
          </w:p>
        </w:tc>
        <w:tc>
          <w:tcPr>
            <w:tcW w:w="775"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257</w:t>
            </w:r>
          </w:p>
        </w:tc>
        <w:tc>
          <w:tcPr>
            <w:tcW w:w="834"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266</w:t>
            </w:r>
          </w:p>
        </w:tc>
        <w:tc>
          <w:tcPr>
            <w:tcW w:w="834" w:type="pct"/>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cs="Times New Roman" w:eastAsiaTheme="minorEastAsia"/>
                <w:kern w:val="0"/>
                <w:sz w:val="21"/>
                <w:szCs w:val="21"/>
                <w:highlight w:val="none"/>
                <w:lang w:val="en-US" w:eastAsia="zh-CN" w:bidi="ar-SA"/>
              </w:rPr>
              <w:t>275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26" w:type="pct"/>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Cl</w:t>
            </w:r>
            <w:r>
              <w:rPr>
                <w:rFonts w:ascii="Times New Roman" w:hAnsi="Times New Roman"/>
                <w:color w:val="000000"/>
                <w:sz w:val="21"/>
                <w:szCs w:val="21"/>
                <w:highlight w:val="none"/>
                <w:vertAlign w:val="superscript"/>
              </w:rPr>
              <w:t>-</w:t>
            </w:r>
          </w:p>
        </w:tc>
        <w:tc>
          <w:tcPr>
            <w:tcW w:w="596" w:type="pct"/>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mg/L</w:t>
            </w:r>
          </w:p>
        </w:tc>
        <w:tc>
          <w:tcPr>
            <w:tcW w:w="1590"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eastAsiaTheme="minorEastAsia"/>
                <w:color w:val="auto"/>
                <w:kern w:val="0"/>
                <w:sz w:val="21"/>
                <w:szCs w:val="21"/>
                <w:lang w:val="en-US" w:eastAsia="zh-CN"/>
              </w:rPr>
              <w:t>82.4</w:t>
            </w:r>
          </w:p>
        </w:tc>
        <w:tc>
          <w:tcPr>
            <w:tcW w:w="1321"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65</w:t>
            </w:r>
          </w:p>
        </w:tc>
        <w:tc>
          <w:tcPr>
            <w:tcW w:w="1421"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85</w:t>
            </w:r>
          </w:p>
        </w:tc>
        <w:tc>
          <w:tcPr>
            <w:tcW w:w="1422"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26" w:type="pct"/>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SO</w:t>
            </w:r>
            <w:r>
              <w:rPr>
                <w:rFonts w:ascii="Times New Roman" w:hAnsi="Times New Roman"/>
                <w:color w:val="000000"/>
                <w:sz w:val="21"/>
                <w:szCs w:val="21"/>
                <w:highlight w:val="none"/>
                <w:vertAlign w:val="subscript"/>
              </w:rPr>
              <w:t>4</w:t>
            </w:r>
            <w:r>
              <w:rPr>
                <w:rFonts w:ascii="Times New Roman" w:hAnsi="Times New Roman"/>
                <w:color w:val="000000"/>
                <w:sz w:val="21"/>
                <w:szCs w:val="21"/>
                <w:highlight w:val="none"/>
                <w:vertAlign w:val="superscript"/>
              </w:rPr>
              <w:t>2-</w:t>
            </w:r>
          </w:p>
        </w:tc>
        <w:tc>
          <w:tcPr>
            <w:tcW w:w="596" w:type="pct"/>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mg/L</w:t>
            </w:r>
          </w:p>
        </w:tc>
        <w:tc>
          <w:tcPr>
            <w:tcW w:w="1590"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lang w:val="en-US" w:eastAsia="zh-CN" w:bidi="ar-SA"/>
              </w:rPr>
            </w:pPr>
            <w:r>
              <w:rPr>
                <w:rFonts w:hint="eastAsia" w:eastAsiaTheme="minorEastAsia"/>
                <w:color w:val="auto"/>
                <w:kern w:val="0"/>
                <w:sz w:val="21"/>
                <w:szCs w:val="21"/>
                <w:lang w:val="en-US" w:eastAsia="zh-CN"/>
              </w:rPr>
              <w:t>102</w:t>
            </w:r>
          </w:p>
        </w:tc>
        <w:tc>
          <w:tcPr>
            <w:tcW w:w="1321"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eastAsiaTheme="minorEastAsia"/>
                <w:color w:val="auto"/>
                <w:kern w:val="0"/>
                <w:sz w:val="21"/>
                <w:szCs w:val="21"/>
                <w:highlight w:val="none"/>
                <w:lang w:val="en-US" w:eastAsia="zh-CN"/>
              </w:rPr>
              <w:t>84</w:t>
            </w:r>
          </w:p>
        </w:tc>
        <w:tc>
          <w:tcPr>
            <w:tcW w:w="1421"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eastAsiaTheme="minorEastAsia"/>
                <w:kern w:val="0"/>
                <w:sz w:val="21"/>
                <w:szCs w:val="21"/>
                <w:highlight w:val="none"/>
                <w:lang w:val="en-US" w:eastAsia="zh-CN" w:bidi="ar-SA"/>
              </w:rPr>
            </w:pPr>
            <w:r>
              <w:rPr>
                <w:rFonts w:hint="eastAsia" w:eastAsiaTheme="minorEastAsia"/>
                <w:color w:val="auto"/>
                <w:kern w:val="0"/>
                <w:sz w:val="21"/>
                <w:szCs w:val="21"/>
                <w:highlight w:val="none"/>
                <w:lang w:val="en-US" w:eastAsia="zh-CN"/>
              </w:rPr>
              <w:t>94</w:t>
            </w:r>
          </w:p>
        </w:tc>
        <w:tc>
          <w:tcPr>
            <w:tcW w:w="1422" w:type="dxa"/>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eastAsia" w:ascii="Times New Roman" w:hAnsi="Times New Roman" w:cs="Times New Roman" w:eastAsiaTheme="minorEastAsia"/>
                <w:kern w:val="0"/>
                <w:sz w:val="21"/>
                <w:szCs w:val="21"/>
                <w:highlight w:val="none"/>
                <w:lang w:val="en-US" w:eastAsia="zh-CN" w:bidi="ar-SA"/>
              </w:rPr>
            </w:pPr>
            <w:r>
              <w:rPr>
                <w:rFonts w:hint="eastAsia" w:cs="Times New Roman" w:eastAsiaTheme="minorEastAsia"/>
                <w:color w:val="auto"/>
                <w:kern w:val="0"/>
                <w:sz w:val="21"/>
                <w:szCs w:val="21"/>
                <w:highlight w:val="none"/>
                <w:lang w:val="en-US" w:eastAsia="zh-CN" w:bidi="ar-SA"/>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26" w:type="pct"/>
          </w:tcPr>
          <w:p>
            <w:pPr>
              <w:pStyle w:val="402"/>
              <w:adjustRightInd w:val="0"/>
              <w:snapToGrid w:val="0"/>
              <w:spacing w:line="32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水化学类型</w:t>
            </w:r>
          </w:p>
        </w:tc>
        <w:tc>
          <w:tcPr>
            <w:tcW w:w="596" w:type="pct"/>
          </w:tcPr>
          <w:p>
            <w:pPr>
              <w:pStyle w:val="402"/>
              <w:adjustRightInd w:val="0"/>
              <w:snapToGrid w:val="0"/>
              <w:spacing w:line="320" w:lineRule="exact"/>
              <w:jc w:val="center"/>
              <w:rPr>
                <w:rFonts w:ascii="Times New Roman" w:hAnsi="Times New Roman"/>
                <w:color w:val="000000"/>
                <w:sz w:val="21"/>
                <w:szCs w:val="21"/>
                <w:highlight w:val="none"/>
              </w:rPr>
            </w:pPr>
          </w:p>
        </w:tc>
        <w:tc>
          <w:tcPr>
            <w:tcW w:w="3377" w:type="pct"/>
            <w:gridSpan w:val="4"/>
          </w:tcPr>
          <w:p>
            <w:pPr>
              <w:pStyle w:val="402"/>
              <w:adjustRightInd w:val="0"/>
              <w:snapToGrid w:val="0"/>
              <w:spacing w:line="320" w:lineRule="exact"/>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HCO</w:t>
            </w:r>
            <w:r>
              <w:rPr>
                <w:rFonts w:ascii="Times New Roman" w:hAnsi="Times New Roman"/>
                <w:color w:val="000000" w:themeColor="text1"/>
                <w:sz w:val="21"/>
                <w:szCs w:val="21"/>
                <w:highlight w:val="none"/>
                <w:vertAlign w:val="subscript"/>
                <w14:textFill>
                  <w14:solidFill>
                    <w14:schemeClr w14:val="tx1"/>
                  </w14:solidFill>
                </w14:textFill>
              </w:rPr>
              <w:t>3</w:t>
            </w:r>
            <w:r>
              <w:rPr>
                <w:rFonts w:ascii="Times New Roman" w:hAnsi="Times New Roman"/>
                <w:color w:val="000000" w:themeColor="text1"/>
                <w:sz w:val="21"/>
                <w:szCs w:val="21"/>
                <w:highlight w:val="none"/>
                <w14:textFill>
                  <w14:solidFill>
                    <w14:schemeClr w14:val="tx1"/>
                  </w14:solidFill>
                </w14:textFill>
              </w:rPr>
              <w:t>·SO</w:t>
            </w:r>
            <w:r>
              <w:rPr>
                <w:rFonts w:ascii="Times New Roman" w:hAnsi="Times New Roman"/>
                <w:color w:val="000000" w:themeColor="text1"/>
                <w:sz w:val="21"/>
                <w:szCs w:val="21"/>
                <w:highlight w:val="none"/>
                <w:vertAlign w:val="subscript"/>
                <w14:textFill>
                  <w14:solidFill>
                    <w14:schemeClr w14:val="tx1"/>
                  </w14:solidFill>
                </w14:textFill>
              </w:rPr>
              <w:t>4</w:t>
            </w:r>
            <w:r>
              <w:rPr>
                <w:rFonts w:ascii="Times New Roman" w:hAnsi="Times New Roman"/>
                <w:color w:val="000000" w:themeColor="text1"/>
                <w:sz w:val="21"/>
                <w:szCs w:val="21"/>
                <w:highlight w:val="none"/>
                <w14:textFill>
                  <w14:solidFill>
                    <w14:schemeClr w14:val="tx1"/>
                  </w14:solidFill>
                </w14:textFill>
              </w:rPr>
              <w:t xml:space="preserve"> -Ca·Na型</w:t>
            </w:r>
          </w:p>
        </w:tc>
      </w:tr>
    </w:tbl>
    <w:p>
      <w:pPr>
        <w:spacing w:line="480" w:lineRule="exact"/>
        <w:ind w:firstLine="480" w:firstLineChars="200"/>
        <w:rPr>
          <w:color w:val="FF0000"/>
          <w:highlight w:val="none"/>
        </w:rPr>
      </w:pPr>
      <w:r>
        <w:rPr>
          <w:kern w:val="24"/>
          <w:sz w:val="24"/>
          <w:highlight w:val="none"/>
        </w:rPr>
        <w:t>由上述结果可知，</w:t>
      </w:r>
      <w:r>
        <w:rPr>
          <w:sz w:val="24"/>
          <w:highlight w:val="none"/>
        </w:rPr>
        <w:t>在参与检测的样品中潜水含水层中的CO</w:t>
      </w:r>
      <w:r>
        <w:rPr>
          <w:sz w:val="24"/>
          <w:highlight w:val="none"/>
          <w:vertAlign w:val="subscript"/>
        </w:rPr>
        <w:t>3</w:t>
      </w:r>
      <w:r>
        <w:rPr>
          <w:sz w:val="24"/>
          <w:highlight w:val="none"/>
          <w:vertAlign w:val="superscript"/>
        </w:rPr>
        <w:t>2-</w:t>
      </w:r>
      <w:r>
        <w:rPr>
          <w:sz w:val="24"/>
          <w:highlight w:val="none"/>
        </w:rPr>
        <w:t>未被检出，根据舒卡列夫分类法确定厂区地下水的类型为HCO</w:t>
      </w:r>
      <w:r>
        <w:rPr>
          <w:sz w:val="24"/>
          <w:highlight w:val="none"/>
          <w:vertAlign w:val="subscript"/>
        </w:rPr>
        <w:t>3</w:t>
      </w:r>
      <w:r>
        <w:rPr>
          <w:rFonts w:hint="eastAsia"/>
          <w:sz w:val="24"/>
          <w:highlight w:val="none"/>
        </w:rPr>
        <w:t>-</w:t>
      </w:r>
      <w:r>
        <w:rPr>
          <w:sz w:val="24"/>
          <w:highlight w:val="none"/>
        </w:rPr>
        <w:t>Ca</w:t>
      </w:r>
      <w:r>
        <w:rPr>
          <w:rFonts w:eastAsia="MS Mincho"/>
          <w:sz w:val="24"/>
          <w:highlight w:val="none"/>
        </w:rPr>
        <w:t>▪</w:t>
      </w:r>
      <w:r>
        <w:rPr>
          <w:rFonts w:hint="eastAsia"/>
          <w:sz w:val="24"/>
          <w:highlight w:val="none"/>
        </w:rPr>
        <w:t>Na</w:t>
      </w:r>
      <w:r>
        <w:rPr>
          <w:sz w:val="24"/>
          <w:highlight w:val="none"/>
        </w:rPr>
        <w:t>型；</w:t>
      </w:r>
      <w:r>
        <w:rPr>
          <w:kern w:val="24"/>
          <w:sz w:val="24"/>
          <w:highlight w:val="none"/>
        </w:rPr>
        <w:t>评价区内水质各项指标满足《地下水质量标准》（GB/T 14848-2017）</w:t>
      </w:r>
      <w:r>
        <w:rPr>
          <w:rFonts w:hint="eastAsia" w:ascii="宋体" w:hAnsi="宋体" w:cs="宋体"/>
          <w:kern w:val="24"/>
          <w:sz w:val="24"/>
          <w:highlight w:val="none"/>
        </w:rPr>
        <w:t>Ⅲ</w:t>
      </w:r>
      <w:r>
        <w:rPr>
          <w:kern w:val="24"/>
          <w:sz w:val="24"/>
          <w:highlight w:val="none"/>
        </w:rPr>
        <w:t>类标准要求，地下水质量较好。</w:t>
      </w:r>
    </w:p>
    <w:p>
      <w:pPr>
        <w:spacing w:line="480" w:lineRule="exact"/>
        <w:ind w:firstLine="480" w:firstLineChars="200"/>
        <w:rPr>
          <w:sz w:val="24"/>
          <w:highlight w:val="none"/>
        </w:rPr>
      </w:pPr>
      <w:bookmarkStart w:id="190" w:name="_Toc458509874"/>
      <w:bookmarkStart w:id="191" w:name="_Toc458147874"/>
      <w:bookmarkStart w:id="192" w:name="_Toc457368728"/>
      <w:r>
        <w:rPr>
          <w:sz w:val="24"/>
          <w:highlight w:val="none"/>
        </w:rPr>
        <w:t>（</w:t>
      </w:r>
      <w:r>
        <w:rPr>
          <w:rFonts w:hint="eastAsia"/>
          <w:sz w:val="24"/>
          <w:highlight w:val="none"/>
        </w:rPr>
        <w:t>6</w:t>
      </w:r>
      <w:r>
        <w:rPr>
          <w:sz w:val="24"/>
          <w:highlight w:val="none"/>
        </w:rPr>
        <w:t>）评价结果及分析</w:t>
      </w:r>
      <w:bookmarkEnd w:id="190"/>
      <w:bookmarkEnd w:id="191"/>
      <w:bookmarkEnd w:id="192"/>
    </w:p>
    <w:p>
      <w:pPr>
        <w:spacing w:line="480" w:lineRule="exact"/>
        <w:ind w:firstLine="480" w:firstLineChars="200"/>
        <w:rPr>
          <w:sz w:val="24"/>
          <w:highlight w:val="none"/>
        </w:rPr>
      </w:pPr>
      <w:r>
        <w:rPr>
          <w:sz w:val="24"/>
          <w:highlight w:val="none"/>
        </w:rPr>
        <w:t>根据评价方法及评价标准，对现状监测结果进行评价，并对评价结果进行分析。评价结果见表</w:t>
      </w:r>
      <w:r>
        <w:rPr>
          <w:rFonts w:hint="eastAsia"/>
          <w:sz w:val="24"/>
          <w:highlight w:val="none"/>
        </w:rPr>
        <w:t>4</w:t>
      </w:r>
      <w:r>
        <w:rPr>
          <w:sz w:val="24"/>
          <w:highlight w:val="none"/>
        </w:rPr>
        <w:t>.</w:t>
      </w:r>
      <w:r>
        <w:rPr>
          <w:rFonts w:hint="eastAsia"/>
          <w:sz w:val="24"/>
          <w:highlight w:val="none"/>
        </w:rPr>
        <w:t>5-</w:t>
      </w:r>
      <w:r>
        <w:rPr>
          <w:rFonts w:hint="eastAsia"/>
          <w:sz w:val="24"/>
          <w:highlight w:val="none"/>
          <w:lang w:val="en-US" w:eastAsia="zh-CN"/>
        </w:rPr>
        <w:t>3</w:t>
      </w:r>
      <w:r>
        <w:rPr>
          <w:sz w:val="24"/>
          <w:highlight w:val="none"/>
        </w:rPr>
        <w:t>。</w:t>
      </w:r>
    </w:p>
    <w:p>
      <w:pPr>
        <w:spacing w:line="480" w:lineRule="exact"/>
        <w:ind w:firstLine="480" w:firstLineChars="200"/>
        <w:rPr>
          <w:sz w:val="24"/>
          <w:highlight w:val="none"/>
        </w:rPr>
      </w:pPr>
      <w:r>
        <w:rPr>
          <w:sz w:val="24"/>
          <w:highlight w:val="none"/>
        </w:rPr>
        <w:t>由</w:t>
      </w:r>
      <w:r>
        <w:rPr>
          <w:rFonts w:hint="eastAsia"/>
          <w:sz w:val="24"/>
          <w:highlight w:val="none"/>
        </w:rPr>
        <w:t>上</w:t>
      </w:r>
      <w:r>
        <w:rPr>
          <w:sz w:val="24"/>
          <w:highlight w:val="none"/>
        </w:rPr>
        <w:t>表可以看出，本项目区域内地下水潜水水质总体较好，各地下水监测点各项监测因子中，监测因子标准指数均小于1，监测结果满足《地下水环境质量标准》（GB1484-2017）</w:t>
      </w:r>
      <w:r>
        <w:rPr>
          <w:rFonts w:hint="eastAsia" w:ascii="宋体" w:hAnsi="宋体" w:cs="宋体"/>
          <w:sz w:val="24"/>
          <w:highlight w:val="none"/>
        </w:rPr>
        <w:t>Ⅲ</w:t>
      </w:r>
      <w:r>
        <w:rPr>
          <w:sz w:val="24"/>
          <w:highlight w:val="none"/>
        </w:rPr>
        <w:t>类标准要求。</w:t>
      </w:r>
    </w:p>
    <w:bookmarkEnd w:id="113"/>
    <w:bookmarkEnd w:id="170"/>
    <w:bookmarkEnd w:id="171"/>
    <w:bookmarkEnd w:id="172"/>
    <w:bookmarkEnd w:id="173"/>
    <w:bookmarkEnd w:id="174"/>
    <w:bookmarkEnd w:id="175"/>
    <w:bookmarkEnd w:id="176"/>
    <w:p>
      <w:pPr>
        <w:spacing w:line="480" w:lineRule="exact"/>
        <w:outlineLvl w:val="1"/>
        <w:rPr>
          <w:b/>
          <w:snapToGrid w:val="0"/>
          <w:kern w:val="0"/>
          <w:sz w:val="24"/>
          <w:highlight w:val="none"/>
        </w:rPr>
      </w:pPr>
      <w:bookmarkStart w:id="193" w:name="_Toc15426"/>
      <w:bookmarkStart w:id="194" w:name="_Toc467730403"/>
      <w:bookmarkStart w:id="195" w:name="_Toc519179366"/>
      <w:bookmarkStart w:id="196" w:name="_Toc246763535"/>
      <w:r>
        <w:rPr>
          <w:rFonts w:hint="eastAsia"/>
          <w:b/>
          <w:snapToGrid w:val="0"/>
          <w:kern w:val="0"/>
          <w:sz w:val="24"/>
          <w:highlight w:val="none"/>
        </w:rPr>
        <w:t>4</w:t>
      </w:r>
      <w:r>
        <w:rPr>
          <w:b/>
          <w:snapToGrid w:val="0"/>
          <w:kern w:val="0"/>
          <w:sz w:val="24"/>
          <w:highlight w:val="none"/>
        </w:rPr>
        <w:t>.</w:t>
      </w:r>
      <w:r>
        <w:rPr>
          <w:rFonts w:hint="eastAsia"/>
          <w:b/>
          <w:snapToGrid w:val="0"/>
          <w:kern w:val="0"/>
          <w:sz w:val="24"/>
          <w:highlight w:val="none"/>
        </w:rPr>
        <w:t>6</w:t>
      </w:r>
      <w:r>
        <w:rPr>
          <w:b/>
          <w:snapToGrid w:val="0"/>
          <w:kern w:val="0"/>
          <w:sz w:val="24"/>
          <w:highlight w:val="none"/>
        </w:rPr>
        <w:t>声环境</w:t>
      </w:r>
      <w:bookmarkEnd w:id="193"/>
      <w:bookmarkEnd w:id="194"/>
      <w:bookmarkEnd w:id="195"/>
    </w:p>
    <w:p>
      <w:pPr>
        <w:spacing w:line="480" w:lineRule="exact"/>
        <w:ind w:firstLine="480" w:firstLineChars="200"/>
        <w:rPr>
          <w:color w:val="000000"/>
          <w:sz w:val="24"/>
          <w:highlight w:val="none"/>
        </w:rPr>
      </w:pPr>
      <w:r>
        <w:rPr>
          <w:color w:val="000000"/>
          <w:sz w:val="24"/>
          <w:highlight w:val="none"/>
        </w:rPr>
        <w:t>（1）监测点布设</w:t>
      </w:r>
    </w:p>
    <w:p>
      <w:pPr>
        <w:spacing w:line="480" w:lineRule="exact"/>
        <w:ind w:firstLine="480" w:firstLineChars="200"/>
        <w:rPr>
          <w:color w:val="000000"/>
          <w:sz w:val="24"/>
          <w:highlight w:val="none"/>
        </w:rPr>
      </w:pPr>
      <w:r>
        <w:rPr>
          <w:rFonts w:hint="eastAsia"/>
          <w:color w:val="auto"/>
          <w:sz w:val="24"/>
          <w:highlight w:val="none"/>
          <w:lang w:eastAsia="zh-CN"/>
        </w:rPr>
        <w:t>本项目噪声评价等级为二级，评价范围</w:t>
      </w:r>
      <w:r>
        <w:rPr>
          <w:rFonts w:hint="eastAsia"/>
          <w:color w:val="auto"/>
          <w:sz w:val="24"/>
          <w:highlight w:val="none"/>
          <w:lang w:val="en-US" w:eastAsia="zh-CN"/>
        </w:rPr>
        <w:t>200m，在评价范围内为声环境敏感点。</w:t>
      </w:r>
      <w:r>
        <w:rPr>
          <w:color w:val="auto"/>
          <w:sz w:val="24"/>
          <w:highlight w:val="none"/>
        </w:rPr>
        <w:t>在</w:t>
      </w:r>
      <w:r>
        <w:rPr>
          <w:color w:val="000000"/>
          <w:sz w:val="24"/>
          <w:highlight w:val="none"/>
        </w:rPr>
        <w:t>项目所在厂区东、西、南、北厂界</w:t>
      </w:r>
      <w:r>
        <w:rPr>
          <w:rFonts w:hint="eastAsia"/>
          <w:color w:val="000000"/>
          <w:sz w:val="24"/>
          <w:highlight w:val="none"/>
          <w:lang w:eastAsia="zh-CN"/>
        </w:rPr>
        <w:t>、庄户沟村</w:t>
      </w:r>
      <w:r>
        <w:rPr>
          <w:color w:val="000000"/>
          <w:sz w:val="24"/>
          <w:highlight w:val="none"/>
        </w:rPr>
        <w:t>各布设1个监测点，共计</w:t>
      </w:r>
      <w:r>
        <w:rPr>
          <w:rFonts w:hint="eastAsia"/>
          <w:color w:val="000000"/>
          <w:sz w:val="24"/>
          <w:highlight w:val="none"/>
          <w:lang w:val="en-US" w:eastAsia="zh-CN"/>
        </w:rPr>
        <w:t>5</w:t>
      </w:r>
      <w:r>
        <w:rPr>
          <w:color w:val="000000"/>
          <w:sz w:val="24"/>
          <w:highlight w:val="none"/>
        </w:rPr>
        <w:t>个监测点。</w:t>
      </w:r>
      <w:r>
        <w:rPr>
          <w:rFonts w:hint="eastAsia"/>
          <w:color w:val="000000"/>
          <w:sz w:val="24"/>
          <w:highlight w:val="none"/>
          <w:lang w:eastAsia="zh-CN"/>
        </w:rPr>
        <w:t>为</w:t>
      </w:r>
      <w:r>
        <w:rPr>
          <w:color w:val="000000"/>
          <w:sz w:val="24"/>
          <w:highlight w:val="none"/>
        </w:rPr>
        <w:t>监测点具体位置见附图7-1。</w:t>
      </w:r>
    </w:p>
    <w:p>
      <w:pPr>
        <w:spacing w:line="480" w:lineRule="exact"/>
        <w:ind w:firstLine="480" w:firstLineChars="200"/>
        <w:rPr>
          <w:color w:val="000000"/>
          <w:sz w:val="24"/>
          <w:highlight w:val="none"/>
        </w:rPr>
      </w:pPr>
      <w:r>
        <w:rPr>
          <w:color w:val="000000"/>
          <w:sz w:val="24"/>
          <w:highlight w:val="none"/>
        </w:rPr>
        <w:t>（2）监测因子</w:t>
      </w:r>
    </w:p>
    <w:p>
      <w:pPr>
        <w:spacing w:line="480" w:lineRule="exact"/>
        <w:ind w:firstLine="480" w:firstLineChars="200"/>
        <w:rPr>
          <w:color w:val="000000"/>
          <w:sz w:val="24"/>
          <w:highlight w:val="none"/>
        </w:rPr>
      </w:pPr>
      <w:r>
        <w:rPr>
          <w:color w:val="000000"/>
          <w:sz w:val="24"/>
          <w:highlight w:val="none"/>
        </w:rPr>
        <w:t>等效连续A声级：Leq</w:t>
      </w:r>
      <w:r>
        <w:rPr>
          <w:color w:val="000000"/>
          <w:sz w:val="24"/>
          <w:highlight w:val="none"/>
          <w:vertAlign w:val="subscript"/>
        </w:rPr>
        <w:t>（A）</w:t>
      </w:r>
    </w:p>
    <w:p>
      <w:pPr>
        <w:spacing w:line="480" w:lineRule="exact"/>
        <w:ind w:firstLine="480" w:firstLineChars="200"/>
        <w:rPr>
          <w:color w:val="000000"/>
          <w:sz w:val="24"/>
          <w:highlight w:val="none"/>
        </w:rPr>
      </w:pPr>
      <w:r>
        <w:rPr>
          <w:color w:val="000000"/>
          <w:sz w:val="24"/>
          <w:highlight w:val="none"/>
        </w:rPr>
        <w:t>（3）监测时间及频率</w:t>
      </w:r>
    </w:p>
    <w:p>
      <w:pPr>
        <w:spacing w:line="480" w:lineRule="exact"/>
        <w:ind w:firstLine="480" w:firstLineChars="200"/>
        <w:rPr>
          <w:color w:val="000000"/>
          <w:sz w:val="24"/>
          <w:highlight w:val="none"/>
        </w:rPr>
      </w:pPr>
      <w:r>
        <w:rPr>
          <w:color w:val="000000"/>
          <w:sz w:val="24"/>
          <w:highlight w:val="none"/>
        </w:rPr>
        <w:t>监测时间为</w:t>
      </w:r>
      <w:r>
        <w:rPr>
          <w:sz w:val="24"/>
          <w:highlight w:val="none"/>
        </w:rPr>
        <w:t>202</w:t>
      </w:r>
      <w:r>
        <w:rPr>
          <w:rFonts w:hint="eastAsia"/>
          <w:sz w:val="24"/>
          <w:highlight w:val="none"/>
          <w:lang w:val="en-US" w:eastAsia="zh-CN"/>
        </w:rPr>
        <w:t>3</w:t>
      </w:r>
      <w:r>
        <w:rPr>
          <w:sz w:val="24"/>
          <w:highlight w:val="none"/>
        </w:rPr>
        <w:t>年</w:t>
      </w:r>
      <w:r>
        <w:rPr>
          <w:rFonts w:hint="eastAsia"/>
          <w:sz w:val="24"/>
          <w:highlight w:val="none"/>
          <w:lang w:val="en-US" w:eastAsia="zh-CN"/>
        </w:rPr>
        <w:t>7</w:t>
      </w:r>
      <w:r>
        <w:rPr>
          <w:sz w:val="24"/>
          <w:highlight w:val="none"/>
        </w:rPr>
        <w:t>月</w:t>
      </w:r>
      <w:r>
        <w:rPr>
          <w:rFonts w:hint="eastAsia"/>
          <w:sz w:val="24"/>
          <w:highlight w:val="none"/>
        </w:rPr>
        <w:t>11</w:t>
      </w:r>
      <w:r>
        <w:rPr>
          <w:sz w:val="24"/>
          <w:highlight w:val="none"/>
        </w:rPr>
        <w:t>日</w:t>
      </w:r>
      <w:r>
        <w:rPr>
          <w:color w:val="000000"/>
          <w:sz w:val="24"/>
          <w:highlight w:val="none"/>
        </w:rPr>
        <w:t>，昼、夜各一次。昼间06：00-22：00，夜间22：00-06：00。</w:t>
      </w:r>
    </w:p>
    <w:p>
      <w:pPr>
        <w:spacing w:line="480" w:lineRule="exact"/>
        <w:ind w:firstLine="480" w:firstLineChars="200"/>
        <w:rPr>
          <w:color w:val="000000"/>
          <w:sz w:val="24"/>
          <w:highlight w:val="none"/>
        </w:rPr>
      </w:pPr>
      <w:r>
        <w:rPr>
          <w:color w:val="000000"/>
          <w:sz w:val="24"/>
          <w:highlight w:val="none"/>
        </w:rPr>
        <w:t>（4）监测方法</w:t>
      </w:r>
    </w:p>
    <w:p>
      <w:pPr>
        <w:spacing w:line="480" w:lineRule="exact"/>
        <w:ind w:firstLine="425"/>
        <w:rPr>
          <w:color w:val="000000"/>
          <w:sz w:val="24"/>
          <w:highlight w:val="none"/>
        </w:rPr>
      </w:pPr>
      <w:r>
        <w:rPr>
          <w:color w:val="000000"/>
          <w:sz w:val="24"/>
          <w:highlight w:val="none"/>
        </w:rPr>
        <w:t>采用点测法，按照《声环境质量标准》(GB3096—2008)的规定进行。</w:t>
      </w:r>
    </w:p>
    <w:p>
      <w:pPr>
        <w:spacing w:line="480" w:lineRule="exact"/>
        <w:ind w:firstLine="425"/>
        <w:rPr>
          <w:sz w:val="24"/>
          <w:highlight w:val="none"/>
        </w:rPr>
      </w:pPr>
      <w:r>
        <w:rPr>
          <w:sz w:val="24"/>
          <w:highlight w:val="none"/>
        </w:rPr>
        <w:t>（5）评价结果</w:t>
      </w:r>
    </w:p>
    <w:p>
      <w:pPr>
        <w:spacing w:line="480" w:lineRule="exact"/>
        <w:rPr>
          <w:sz w:val="24"/>
          <w:highlight w:val="none"/>
        </w:rPr>
      </w:pPr>
      <w:r>
        <w:rPr>
          <w:sz w:val="24"/>
          <w:highlight w:val="none"/>
        </w:rPr>
        <w:t>根据监测，厂界噪声监测结果表</w:t>
      </w:r>
      <w:r>
        <w:rPr>
          <w:rFonts w:hint="eastAsia"/>
          <w:sz w:val="24"/>
          <w:highlight w:val="none"/>
        </w:rPr>
        <w:t>4</w:t>
      </w:r>
      <w:r>
        <w:rPr>
          <w:sz w:val="24"/>
          <w:highlight w:val="none"/>
        </w:rPr>
        <w:t>.</w:t>
      </w:r>
      <w:r>
        <w:rPr>
          <w:rFonts w:hint="eastAsia"/>
          <w:sz w:val="24"/>
          <w:highlight w:val="none"/>
        </w:rPr>
        <w:t>6-1</w:t>
      </w:r>
      <w:r>
        <w:rPr>
          <w:sz w:val="24"/>
          <w:highlight w:val="none"/>
        </w:rPr>
        <w:t>：</w:t>
      </w:r>
    </w:p>
    <w:p>
      <w:pPr>
        <w:spacing w:line="480" w:lineRule="exact"/>
        <w:jc w:val="center"/>
        <w:rPr>
          <w:b/>
          <w:color w:val="000000"/>
          <w:sz w:val="24"/>
          <w:highlight w:val="none"/>
        </w:rPr>
      </w:pPr>
      <w:r>
        <w:rPr>
          <w:b/>
          <w:color w:val="000000"/>
          <w:sz w:val="24"/>
          <w:highlight w:val="none"/>
        </w:rPr>
        <w:t>表</w:t>
      </w:r>
      <w:r>
        <w:rPr>
          <w:rFonts w:hint="eastAsia"/>
          <w:b/>
          <w:color w:val="000000"/>
          <w:sz w:val="24"/>
          <w:highlight w:val="none"/>
        </w:rPr>
        <w:t>4</w:t>
      </w:r>
      <w:r>
        <w:rPr>
          <w:b/>
          <w:color w:val="000000"/>
          <w:sz w:val="24"/>
          <w:highlight w:val="none"/>
        </w:rPr>
        <w:t>.</w:t>
      </w:r>
      <w:r>
        <w:rPr>
          <w:rFonts w:hint="eastAsia"/>
          <w:b/>
          <w:color w:val="000000"/>
          <w:sz w:val="24"/>
          <w:highlight w:val="none"/>
        </w:rPr>
        <w:t>6-1</w:t>
      </w:r>
      <w:r>
        <w:rPr>
          <w:b/>
          <w:color w:val="000000"/>
          <w:sz w:val="24"/>
          <w:highlight w:val="none"/>
        </w:rPr>
        <w:t xml:space="preserve">  声环境质量现状监测及评价结果一览表</w:t>
      </w:r>
    </w:p>
    <w:tbl>
      <w:tblPr>
        <w:tblStyle w:val="51"/>
        <w:tblW w:w="95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8"/>
        <w:gridCol w:w="1350"/>
        <w:gridCol w:w="1450"/>
        <w:gridCol w:w="1557"/>
        <w:gridCol w:w="1571"/>
        <w:gridCol w:w="15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028" w:type="dxa"/>
            <w:vAlign w:val="center"/>
          </w:tcPr>
          <w:p>
            <w:pPr>
              <w:spacing w:line="320" w:lineRule="exact"/>
              <w:jc w:val="center"/>
              <w:rPr>
                <w:caps/>
                <w:color w:val="000000"/>
                <w:szCs w:val="21"/>
                <w:highlight w:val="none"/>
              </w:rPr>
            </w:pPr>
            <w:r>
              <w:rPr>
                <w:caps/>
                <w:color w:val="000000"/>
                <w:szCs w:val="21"/>
                <w:highlight w:val="none"/>
              </w:rPr>
              <w:t>监测点</w:t>
            </w:r>
          </w:p>
        </w:tc>
        <w:tc>
          <w:tcPr>
            <w:tcW w:w="1350" w:type="dxa"/>
            <w:vAlign w:val="center"/>
          </w:tcPr>
          <w:p>
            <w:pPr>
              <w:spacing w:line="320" w:lineRule="exact"/>
              <w:jc w:val="center"/>
              <w:rPr>
                <w:caps/>
                <w:color w:val="000000"/>
                <w:szCs w:val="21"/>
                <w:highlight w:val="none"/>
              </w:rPr>
            </w:pPr>
            <w:r>
              <w:rPr>
                <w:caps/>
                <w:color w:val="000000"/>
                <w:szCs w:val="21"/>
                <w:highlight w:val="none"/>
              </w:rPr>
              <w:t>东厂界</w:t>
            </w:r>
          </w:p>
        </w:tc>
        <w:tc>
          <w:tcPr>
            <w:tcW w:w="1450" w:type="dxa"/>
            <w:vAlign w:val="center"/>
          </w:tcPr>
          <w:p>
            <w:pPr>
              <w:spacing w:line="320" w:lineRule="exact"/>
              <w:jc w:val="center"/>
              <w:rPr>
                <w:caps/>
                <w:color w:val="000000"/>
                <w:szCs w:val="21"/>
                <w:highlight w:val="none"/>
              </w:rPr>
            </w:pPr>
            <w:r>
              <w:rPr>
                <w:caps/>
                <w:color w:val="000000"/>
                <w:szCs w:val="21"/>
                <w:highlight w:val="none"/>
              </w:rPr>
              <w:t>南厂界</w:t>
            </w:r>
          </w:p>
        </w:tc>
        <w:tc>
          <w:tcPr>
            <w:tcW w:w="1557" w:type="dxa"/>
            <w:vAlign w:val="center"/>
          </w:tcPr>
          <w:p>
            <w:pPr>
              <w:spacing w:line="320" w:lineRule="exact"/>
              <w:jc w:val="center"/>
              <w:rPr>
                <w:caps/>
                <w:color w:val="000000"/>
                <w:szCs w:val="21"/>
                <w:highlight w:val="none"/>
              </w:rPr>
            </w:pPr>
            <w:r>
              <w:rPr>
                <w:caps/>
                <w:color w:val="000000"/>
                <w:szCs w:val="21"/>
                <w:highlight w:val="none"/>
              </w:rPr>
              <w:t>西厂界</w:t>
            </w:r>
          </w:p>
        </w:tc>
        <w:tc>
          <w:tcPr>
            <w:tcW w:w="1571" w:type="dxa"/>
            <w:vAlign w:val="center"/>
          </w:tcPr>
          <w:p>
            <w:pPr>
              <w:spacing w:line="320" w:lineRule="exact"/>
              <w:jc w:val="center"/>
              <w:rPr>
                <w:caps/>
                <w:color w:val="000000"/>
                <w:szCs w:val="21"/>
                <w:highlight w:val="none"/>
              </w:rPr>
            </w:pPr>
            <w:r>
              <w:rPr>
                <w:caps/>
                <w:color w:val="000000"/>
                <w:szCs w:val="21"/>
                <w:highlight w:val="none"/>
              </w:rPr>
              <w:t>北厂界</w:t>
            </w:r>
          </w:p>
        </w:tc>
        <w:tc>
          <w:tcPr>
            <w:tcW w:w="1571" w:type="dxa"/>
            <w:vAlign w:val="center"/>
          </w:tcPr>
          <w:p>
            <w:pPr>
              <w:spacing w:line="320" w:lineRule="exact"/>
              <w:jc w:val="center"/>
              <w:rPr>
                <w:rFonts w:hint="eastAsia" w:eastAsia="宋体"/>
                <w:caps/>
                <w:color w:val="000000"/>
                <w:szCs w:val="21"/>
                <w:highlight w:val="none"/>
                <w:lang w:eastAsia="zh-CN"/>
              </w:rPr>
            </w:pPr>
            <w:r>
              <w:rPr>
                <w:rFonts w:hint="eastAsia"/>
                <w:caps/>
                <w:color w:val="000000"/>
                <w:szCs w:val="21"/>
                <w:highlight w:val="none"/>
                <w:lang w:eastAsia="zh-CN"/>
              </w:rPr>
              <w:t>庄户沟村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2028" w:type="dxa"/>
            <w:vAlign w:val="center"/>
          </w:tcPr>
          <w:p>
            <w:pPr>
              <w:spacing w:line="320" w:lineRule="exact"/>
              <w:jc w:val="center"/>
              <w:rPr>
                <w:rFonts w:hint="eastAsia" w:eastAsia="宋体"/>
                <w:color w:val="000000"/>
                <w:szCs w:val="21"/>
                <w:highlight w:val="none"/>
                <w:lang w:val="en-US" w:eastAsia="zh-CN"/>
              </w:rPr>
            </w:pPr>
            <w:r>
              <w:rPr>
                <w:color w:val="000000"/>
                <w:szCs w:val="21"/>
                <w:highlight w:val="none"/>
              </w:rPr>
              <w:t>监测值</w:t>
            </w:r>
            <w:r>
              <w:rPr>
                <w:rFonts w:hint="eastAsia"/>
                <w:color w:val="000000"/>
                <w:szCs w:val="21"/>
                <w:highlight w:val="none"/>
                <w:lang w:eastAsia="zh-CN"/>
              </w:rPr>
              <w:t>：</w:t>
            </w:r>
            <w:r>
              <w:rPr>
                <w:color w:val="000000"/>
                <w:szCs w:val="21"/>
                <w:highlight w:val="none"/>
              </w:rPr>
              <w:t>昼间</w:t>
            </w:r>
            <w:r>
              <w:rPr>
                <w:rFonts w:hint="eastAsia"/>
                <w:color w:val="000000"/>
                <w:szCs w:val="21"/>
                <w:highlight w:val="none"/>
                <w:lang w:val="en-US" w:eastAsia="zh-CN"/>
              </w:rPr>
              <w:t>/</w:t>
            </w:r>
            <w:r>
              <w:rPr>
                <w:color w:val="000000"/>
                <w:szCs w:val="21"/>
                <w:highlight w:val="none"/>
              </w:rPr>
              <w:t>夜间</w:t>
            </w:r>
          </w:p>
        </w:tc>
        <w:tc>
          <w:tcPr>
            <w:tcW w:w="1350" w:type="dxa"/>
            <w:vAlign w:val="center"/>
          </w:tcPr>
          <w:p>
            <w:pPr>
              <w:tabs>
                <w:tab w:val="left" w:pos="735"/>
              </w:tabs>
              <w:spacing w:line="320" w:lineRule="exact"/>
              <w:jc w:val="center"/>
              <w:rPr>
                <w:rFonts w:hint="eastAsia" w:eastAsia="宋体"/>
                <w:szCs w:val="21"/>
                <w:highlight w:val="none"/>
                <w:lang w:val="en-US" w:eastAsia="zh-CN"/>
              </w:rPr>
            </w:pPr>
            <w:r>
              <w:rPr>
                <w:rFonts w:hint="eastAsia"/>
                <w:szCs w:val="21"/>
                <w:highlight w:val="none"/>
              </w:rPr>
              <w:t>5</w:t>
            </w:r>
            <w:r>
              <w:rPr>
                <w:rFonts w:hint="eastAsia"/>
                <w:szCs w:val="21"/>
                <w:highlight w:val="none"/>
                <w:lang w:val="en-US" w:eastAsia="zh-CN"/>
              </w:rPr>
              <w:t>5/</w:t>
            </w:r>
            <w:r>
              <w:rPr>
                <w:rFonts w:hint="eastAsia"/>
                <w:szCs w:val="21"/>
                <w:highlight w:val="none"/>
              </w:rPr>
              <w:t>4</w:t>
            </w:r>
            <w:r>
              <w:rPr>
                <w:rFonts w:hint="eastAsia"/>
                <w:szCs w:val="21"/>
                <w:highlight w:val="none"/>
                <w:lang w:val="en-US" w:eastAsia="zh-CN"/>
              </w:rPr>
              <w:t>4</w:t>
            </w:r>
          </w:p>
        </w:tc>
        <w:tc>
          <w:tcPr>
            <w:tcW w:w="1450" w:type="dxa"/>
            <w:vAlign w:val="center"/>
          </w:tcPr>
          <w:p>
            <w:pPr>
              <w:tabs>
                <w:tab w:val="left" w:pos="735"/>
              </w:tabs>
              <w:spacing w:line="320" w:lineRule="exact"/>
              <w:jc w:val="center"/>
              <w:rPr>
                <w:rFonts w:hint="eastAsia" w:eastAsia="宋体"/>
                <w:szCs w:val="21"/>
                <w:highlight w:val="none"/>
                <w:lang w:val="en-US" w:eastAsia="zh-CN"/>
              </w:rPr>
            </w:pPr>
            <w:r>
              <w:rPr>
                <w:rFonts w:hint="eastAsia"/>
                <w:szCs w:val="21"/>
                <w:highlight w:val="none"/>
              </w:rPr>
              <w:t>5</w:t>
            </w:r>
            <w:r>
              <w:rPr>
                <w:rFonts w:hint="eastAsia"/>
                <w:szCs w:val="21"/>
                <w:highlight w:val="none"/>
                <w:lang w:val="en-US" w:eastAsia="zh-CN"/>
              </w:rPr>
              <w:t>5/</w:t>
            </w:r>
            <w:r>
              <w:rPr>
                <w:rFonts w:hint="eastAsia"/>
                <w:szCs w:val="21"/>
                <w:highlight w:val="none"/>
              </w:rPr>
              <w:t>4</w:t>
            </w:r>
            <w:r>
              <w:rPr>
                <w:rFonts w:hint="eastAsia"/>
                <w:szCs w:val="21"/>
                <w:highlight w:val="none"/>
                <w:lang w:val="en-US" w:eastAsia="zh-CN"/>
              </w:rPr>
              <w:t>5</w:t>
            </w:r>
          </w:p>
        </w:tc>
        <w:tc>
          <w:tcPr>
            <w:tcW w:w="1557" w:type="dxa"/>
            <w:vAlign w:val="center"/>
          </w:tcPr>
          <w:p>
            <w:pPr>
              <w:tabs>
                <w:tab w:val="left" w:pos="735"/>
              </w:tabs>
              <w:spacing w:line="320" w:lineRule="exact"/>
              <w:jc w:val="center"/>
              <w:rPr>
                <w:rFonts w:hint="eastAsia" w:eastAsia="宋体"/>
                <w:szCs w:val="21"/>
                <w:highlight w:val="none"/>
                <w:lang w:val="en-US" w:eastAsia="zh-CN"/>
              </w:rPr>
            </w:pPr>
            <w:r>
              <w:rPr>
                <w:rFonts w:hint="eastAsia"/>
                <w:szCs w:val="21"/>
                <w:highlight w:val="none"/>
              </w:rPr>
              <w:t>54</w:t>
            </w:r>
            <w:r>
              <w:rPr>
                <w:rFonts w:hint="eastAsia"/>
                <w:szCs w:val="21"/>
                <w:highlight w:val="none"/>
                <w:lang w:val="en-US" w:eastAsia="zh-CN"/>
              </w:rPr>
              <w:t>/</w:t>
            </w:r>
            <w:r>
              <w:rPr>
                <w:rFonts w:hint="eastAsia"/>
                <w:szCs w:val="21"/>
                <w:highlight w:val="none"/>
              </w:rPr>
              <w:t>4</w:t>
            </w:r>
            <w:r>
              <w:rPr>
                <w:rFonts w:hint="eastAsia"/>
                <w:szCs w:val="21"/>
                <w:highlight w:val="none"/>
                <w:lang w:val="en-US" w:eastAsia="zh-CN"/>
              </w:rPr>
              <w:t>6</w:t>
            </w:r>
          </w:p>
        </w:tc>
        <w:tc>
          <w:tcPr>
            <w:tcW w:w="1571" w:type="dxa"/>
            <w:vAlign w:val="center"/>
          </w:tcPr>
          <w:p>
            <w:pPr>
              <w:tabs>
                <w:tab w:val="left" w:pos="735"/>
              </w:tabs>
              <w:spacing w:line="320" w:lineRule="exact"/>
              <w:jc w:val="center"/>
              <w:rPr>
                <w:rFonts w:hint="eastAsia" w:eastAsia="宋体"/>
                <w:szCs w:val="21"/>
                <w:highlight w:val="none"/>
                <w:lang w:val="en-US" w:eastAsia="zh-CN"/>
              </w:rPr>
            </w:pPr>
            <w:r>
              <w:rPr>
                <w:rFonts w:hint="eastAsia"/>
                <w:szCs w:val="21"/>
                <w:highlight w:val="none"/>
              </w:rPr>
              <w:t>53</w:t>
            </w:r>
            <w:r>
              <w:rPr>
                <w:rFonts w:hint="eastAsia"/>
                <w:szCs w:val="21"/>
                <w:highlight w:val="none"/>
                <w:lang w:val="en-US" w:eastAsia="zh-CN"/>
              </w:rPr>
              <w:t>/</w:t>
            </w:r>
            <w:r>
              <w:rPr>
                <w:rFonts w:hint="eastAsia"/>
                <w:szCs w:val="21"/>
                <w:highlight w:val="none"/>
              </w:rPr>
              <w:t>44</w:t>
            </w:r>
          </w:p>
        </w:tc>
        <w:tc>
          <w:tcPr>
            <w:tcW w:w="1571" w:type="dxa"/>
            <w:vAlign w:val="center"/>
          </w:tcPr>
          <w:p>
            <w:pPr>
              <w:tabs>
                <w:tab w:val="left" w:pos="735"/>
              </w:tabs>
              <w:spacing w:line="320" w:lineRule="exact"/>
              <w:jc w:val="center"/>
              <w:rPr>
                <w:rFonts w:hint="eastAsia" w:eastAsia="宋体"/>
                <w:szCs w:val="21"/>
                <w:highlight w:val="none"/>
                <w:lang w:eastAsia="zh-CN"/>
              </w:rPr>
            </w:pPr>
            <w:r>
              <w:rPr>
                <w:rFonts w:hint="eastAsia"/>
                <w:szCs w:val="21"/>
                <w:highlight w:val="none"/>
              </w:rPr>
              <w:t>53</w:t>
            </w:r>
            <w:r>
              <w:rPr>
                <w:rFonts w:hint="eastAsia"/>
                <w:szCs w:val="21"/>
                <w:highlight w:val="none"/>
                <w:lang w:val="en-US" w:eastAsia="zh-CN"/>
              </w:rPr>
              <w:t>/</w:t>
            </w:r>
            <w:r>
              <w:rPr>
                <w:rFonts w:hint="eastAsia"/>
                <w:szCs w:val="21"/>
                <w:highlight w:val="none"/>
              </w:rPr>
              <w:t>4</w:t>
            </w:r>
            <w:r>
              <w:rPr>
                <w:rFonts w:hint="eastAsia"/>
                <w:szCs w:val="21"/>
                <w:highlight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2028" w:type="dxa"/>
            <w:vAlign w:val="center"/>
          </w:tcPr>
          <w:p>
            <w:pPr>
              <w:spacing w:line="320" w:lineRule="exact"/>
              <w:jc w:val="center"/>
              <w:rPr>
                <w:color w:val="000000"/>
                <w:szCs w:val="21"/>
                <w:highlight w:val="none"/>
              </w:rPr>
            </w:pPr>
            <w:r>
              <w:rPr>
                <w:color w:val="000000"/>
                <w:szCs w:val="21"/>
                <w:highlight w:val="none"/>
              </w:rPr>
              <w:t>评价标准</w:t>
            </w:r>
          </w:p>
        </w:tc>
        <w:tc>
          <w:tcPr>
            <w:tcW w:w="7499" w:type="dxa"/>
            <w:gridSpan w:val="5"/>
            <w:vAlign w:val="center"/>
          </w:tcPr>
          <w:p>
            <w:pPr>
              <w:jc w:val="center"/>
              <w:rPr>
                <w:color w:val="000000"/>
                <w:highlight w:val="none"/>
              </w:rPr>
            </w:pPr>
            <w:r>
              <w:rPr>
                <w:color w:val="000000"/>
                <w:highlight w:val="none"/>
              </w:rPr>
              <w:t>60</w:t>
            </w:r>
            <w:r>
              <w:rPr>
                <w:rFonts w:hint="eastAsia"/>
                <w:color w:val="000000"/>
                <w:highlight w:val="none"/>
                <w:lang w:val="en-US" w:eastAsia="zh-CN"/>
              </w:rPr>
              <w:t>/</w:t>
            </w:r>
            <w:r>
              <w:rPr>
                <w:color w:val="000000"/>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2028" w:type="dxa"/>
            <w:vAlign w:val="center"/>
          </w:tcPr>
          <w:p>
            <w:pPr>
              <w:spacing w:line="320" w:lineRule="exact"/>
              <w:jc w:val="center"/>
              <w:rPr>
                <w:color w:val="000000"/>
                <w:szCs w:val="21"/>
                <w:highlight w:val="none"/>
              </w:rPr>
            </w:pPr>
            <w:r>
              <w:rPr>
                <w:color w:val="000000"/>
                <w:szCs w:val="21"/>
                <w:highlight w:val="none"/>
              </w:rPr>
              <w:t>评价结果</w:t>
            </w:r>
          </w:p>
        </w:tc>
        <w:tc>
          <w:tcPr>
            <w:tcW w:w="1350" w:type="dxa"/>
            <w:vAlign w:val="center"/>
          </w:tcPr>
          <w:p>
            <w:pPr>
              <w:spacing w:line="320" w:lineRule="exact"/>
              <w:jc w:val="center"/>
              <w:rPr>
                <w:color w:val="000000"/>
                <w:szCs w:val="21"/>
                <w:highlight w:val="none"/>
              </w:rPr>
            </w:pPr>
            <w:r>
              <w:rPr>
                <w:color w:val="000000"/>
                <w:szCs w:val="21"/>
                <w:highlight w:val="none"/>
              </w:rPr>
              <w:t>达标</w:t>
            </w:r>
          </w:p>
        </w:tc>
        <w:tc>
          <w:tcPr>
            <w:tcW w:w="1450" w:type="dxa"/>
            <w:vAlign w:val="center"/>
          </w:tcPr>
          <w:p>
            <w:pPr>
              <w:spacing w:line="320" w:lineRule="exact"/>
              <w:jc w:val="center"/>
              <w:rPr>
                <w:color w:val="000000"/>
                <w:szCs w:val="21"/>
                <w:highlight w:val="none"/>
              </w:rPr>
            </w:pPr>
            <w:r>
              <w:rPr>
                <w:color w:val="000000"/>
                <w:szCs w:val="21"/>
                <w:highlight w:val="none"/>
              </w:rPr>
              <w:t>达标</w:t>
            </w:r>
          </w:p>
        </w:tc>
        <w:tc>
          <w:tcPr>
            <w:tcW w:w="1557" w:type="dxa"/>
            <w:vAlign w:val="center"/>
          </w:tcPr>
          <w:p>
            <w:pPr>
              <w:spacing w:line="320" w:lineRule="exact"/>
              <w:jc w:val="center"/>
              <w:rPr>
                <w:color w:val="000000"/>
                <w:szCs w:val="21"/>
                <w:highlight w:val="none"/>
              </w:rPr>
            </w:pPr>
            <w:r>
              <w:rPr>
                <w:color w:val="000000"/>
                <w:szCs w:val="21"/>
                <w:highlight w:val="none"/>
              </w:rPr>
              <w:t>达标</w:t>
            </w:r>
          </w:p>
        </w:tc>
        <w:tc>
          <w:tcPr>
            <w:tcW w:w="1571" w:type="dxa"/>
            <w:vAlign w:val="center"/>
          </w:tcPr>
          <w:p>
            <w:pPr>
              <w:spacing w:line="320" w:lineRule="exact"/>
              <w:jc w:val="center"/>
              <w:rPr>
                <w:color w:val="000000"/>
                <w:szCs w:val="21"/>
                <w:highlight w:val="none"/>
              </w:rPr>
            </w:pPr>
            <w:r>
              <w:rPr>
                <w:color w:val="000000"/>
                <w:szCs w:val="21"/>
                <w:highlight w:val="none"/>
              </w:rPr>
              <w:t>达标</w:t>
            </w:r>
          </w:p>
        </w:tc>
        <w:tc>
          <w:tcPr>
            <w:tcW w:w="1571" w:type="dxa"/>
            <w:vAlign w:val="center"/>
          </w:tcPr>
          <w:p>
            <w:pPr>
              <w:spacing w:line="320" w:lineRule="exact"/>
              <w:jc w:val="center"/>
              <w:rPr>
                <w:color w:val="000000"/>
                <w:szCs w:val="21"/>
                <w:highlight w:val="none"/>
              </w:rPr>
            </w:pPr>
            <w:r>
              <w:rPr>
                <w:color w:val="000000"/>
                <w:szCs w:val="21"/>
                <w:highlight w:val="none"/>
              </w:rPr>
              <w:t>达标</w:t>
            </w:r>
          </w:p>
        </w:tc>
      </w:tr>
    </w:tbl>
    <w:p>
      <w:pPr>
        <w:spacing w:line="480" w:lineRule="exact"/>
        <w:ind w:firstLine="425"/>
        <w:rPr>
          <w:sz w:val="24"/>
          <w:highlight w:val="none"/>
          <w:lang w:val="zh-CN"/>
        </w:rPr>
      </w:pPr>
      <w:r>
        <w:rPr>
          <w:sz w:val="24"/>
          <w:highlight w:val="none"/>
          <w:lang w:val="zh-CN"/>
        </w:rPr>
        <w:t>厂界四周</w:t>
      </w:r>
      <w:r>
        <w:rPr>
          <w:rFonts w:hint="eastAsia"/>
          <w:sz w:val="24"/>
          <w:highlight w:val="none"/>
          <w:lang w:val="zh-CN"/>
        </w:rPr>
        <w:t>、庄户沟村</w:t>
      </w:r>
      <w:r>
        <w:rPr>
          <w:sz w:val="24"/>
          <w:highlight w:val="none"/>
          <w:lang w:val="zh-CN"/>
        </w:rPr>
        <w:t>声环境满足国家《声环境质量标准》（GB3096-2008）2类标准限值要求。</w:t>
      </w:r>
    </w:p>
    <w:p>
      <w:pPr>
        <w:spacing w:line="480" w:lineRule="exact"/>
        <w:outlineLvl w:val="1"/>
        <w:rPr>
          <w:b/>
          <w:snapToGrid w:val="0"/>
          <w:kern w:val="0"/>
          <w:sz w:val="24"/>
          <w:highlight w:val="none"/>
        </w:rPr>
      </w:pPr>
      <w:bookmarkStart w:id="197" w:name="_Toc5246"/>
      <w:r>
        <w:rPr>
          <w:rFonts w:hint="eastAsia"/>
          <w:b/>
          <w:snapToGrid w:val="0"/>
          <w:kern w:val="0"/>
          <w:sz w:val="24"/>
          <w:highlight w:val="none"/>
        </w:rPr>
        <w:t>4</w:t>
      </w:r>
      <w:r>
        <w:rPr>
          <w:b/>
          <w:snapToGrid w:val="0"/>
          <w:kern w:val="0"/>
          <w:sz w:val="24"/>
          <w:highlight w:val="none"/>
        </w:rPr>
        <w:t>.</w:t>
      </w:r>
      <w:r>
        <w:rPr>
          <w:rFonts w:hint="eastAsia"/>
          <w:b/>
          <w:snapToGrid w:val="0"/>
          <w:kern w:val="0"/>
          <w:sz w:val="24"/>
          <w:highlight w:val="none"/>
        </w:rPr>
        <w:t>7</w:t>
      </w:r>
      <w:bookmarkStart w:id="198" w:name="_Toc40196657"/>
      <w:r>
        <w:rPr>
          <w:b/>
          <w:snapToGrid w:val="0"/>
          <w:kern w:val="0"/>
          <w:sz w:val="24"/>
          <w:highlight w:val="none"/>
        </w:rPr>
        <w:t>土壤环境</w:t>
      </w:r>
      <w:bookmarkEnd w:id="197"/>
      <w:bookmarkEnd w:id="198"/>
    </w:p>
    <w:p>
      <w:pPr>
        <w:pStyle w:val="420"/>
        <w:spacing w:line="480" w:lineRule="exact"/>
        <w:ind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（1）监测点位</w:t>
      </w:r>
    </w:p>
    <w:p>
      <w:pPr>
        <w:pStyle w:val="420"/>
        <w:spacing w:line="480" w:lineRule="exact"/>
        <w:ind w:firstLine="480" w:firstLineChars="200"/>
        <w:rPr>
          <w:color w:val="auto"/>
          <w:highlight w:val="none"/>
        </w:rPr>
      </w:pPr>
      <w:r>
        <w:rPr>
          <w:color w:val="auto"/>
          <w:highlight w:val="none"/>
        </w:rPr>
        <w:t>根据《环境影响评价技术导则 土壤环境》（HJ964-2018）规范要求，项目为</w:t>
      </w:r>
      <w:r>
        <w:rPr>
          <w:rFonts w:hint="eastAsia"/>
          <w:color w:val="auto"/>
          <w:highlight w:val="none"/>
        </w:rPr>
        <w:t>生态、</w:t>
      </w:r>
      <w:r>
        <w:rPr>
          <w:color w:val="auto"/>
          <w:highlight w:val="none"/>
        </w:rPr>
        <w:t>污染影响型</w:t>
      </w:r>
      <w:r>
        <w:rPr>
          <w:rFonts w:hint="eastAsia"/>
          <w:color w:val="auto"/>
          <w:highlight w:val="none"/>
        </w:rPr>
        <w:t>三</w:t>
      </w:r>
      <w:r>
        <w:rPr>
          <w:color w:val="auto"/>
          <w:highlight w:val="none"/>
        </w:rPr>
        <w:t>级评价项目，厂内需布设</w:t>
      </w:r>
      <w:r>
        <w:rPr>
          <w:rFonts w:hint="eastAsia"/>
          <w:color w:val="auto"/>
          <w:highlight w:val="none"/>
          <w:lang w:val="en-US" w:eastAsia="zh-CN"/>
        </w:rPr>
        <w:t>1</w:t>
      </w:r>
      <w:r>
        <w:rPr>
          <w:color w:val="auto"/>
          <w:highlight w:val="none"/>
        </w:rPr>
        <w:t>个表层监测点，厂外</w:t>
      </w:r>
      <w:r>
        <w:rPr>
          <w:rFonts w:hint="eastAsia"/>
          <w:color w:val="auto"/>
          <w:highlight w:val="none"/>
        </w:rPr>
        <w:t>1</w:t>
      </w:r>
      <w:r>
        <w:rPr>
          <w:color w:val="auto"/>
          <w:highlight w:val="none"/>
        </w:rPr>
        <w:t>00m范围内布设2个表层监测点，监测点位图见附图7-1</w:t>
      </w:r>
      <w:r>
        <w:rPr>
          <w:rFonts w:hint="eastAsia"/>
          <w:color w:val="auto"/>
          <w:highlight w:val="none"/>
        </w:rPr>
        <w:t>。</w:t>
      </w:r>
    </w:p>
    <w:p>
      <w:pPr>
        <w:pStyle w:val="420"/>
        <w:spacing w:line="480" w:lineRule="exact"/>
        <w:ind w:firstLine="480" w:firstLineChars="200"/>
        <w:rPr>
          <w:color w:val="auto"/>
          <w:highlight w:val="none"/>
        </w:rPr>
      </w:pPr>
      <w:r>
        <w:rPr>
          <w:rFonts w:hint="eastAsia"/>
          <w:color w:val="auto"/>
          <w:highlight w:val="none"/>
        </w:rPr>
        <w:t>（2）</w:t>
      </w:r>
      <w:r>
        <w:rPr>
          <w:color w:val="auto"/>
          <w:highlight w:val="none"/>
        </w:rPr>
        <w:t>执行标准</w:t>
      </w:r>
    </w:p>
    <w:p>
      <w:pPr>
        <w:pStyle w:val="420"/>
        <w:spacing w:line="480" w:lineRule="exact"/>
        <w:ind w:firstLine="480" w:firstLineChars="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土壤环境</w:t>
      </w:r>
      <w:r>
        <w:rPr>
          <w:color w:val="000000" w:themeColor="text1"/>
          <w:highlight w:val="none"/>
          <w14:textFill>
            <w14:solidFill>
              <w14:schemeClr w14:val="tx1"/>
            </w14:solidFill>
          </w14:textFill>
        </w:rPr>
        <w:t>执行《土壤环境质量 建设用地土壤污染风险管控标准》（GB36600-</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2018）第二类用地筛选值标准要求。</w:t>
      </w:r>
    </w:p>
    <w:p>
      <w:pPr>
        <w:pStyle w:val="420"/>
        <w:spacing w:line="480" w:lineRule="exact"/>
        <w:ind w:firstLine="480" w:firstLineChars="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土壤酸化、碱化分级标准采用《环境影响评价技术导则-土壤环境（试行）》（HJ964-2018）附录D相关标准，土壤酸化、碱化分级标准见下表。</w:t>
      </w:r>
    </w:p>
    <w:p>
      <w:pPr>
        <w:pStyle w:val="420"/>
        <w:spacing w:line="480" w:lineRule="exact"/>
        <w:jc w:val="center"/>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表4.7-1 土壤酸化、碱化分级标准</w:t>
      </w:r>
    </w:p>
    <w:tbl>
      <w:tblPr>
        <w:tblStyle w:val="5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04"/>
        <w:gridCol w:w="4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3704" w:type="dxa"/>
            <w:vAlign w:val="center"/>
          </w:tcPr>
          <w:p>
            <w:pPr>
              <w:pStyle w:val="420"/>
              <w:spacing w:line="320" w:lineRule="exact"/>
              <w:jc w:val="center"/>
              <w:rPr>
                <w:color w:val="000000"/>
                <w:sz w:val="21"/>
                <w:szCs w:val="21"/>
                <w:highlight w:val="none"/>
              </w:rPr>
            </w:pPr>
            <w:r>
              <w:rPr>
                <w:rFonts w:hint="eastAsia"/>
                <w:color w:val="000000"/>
                <w:sz w:val="21"/>
                <w:szCs w:val="21"/>
                <w:highlight w:val="none"/>
              </w:rPr>
              <w:t xml:space="preserve">土壤 pH 值 </w:t>
            </w:r>
          </w:p>
        </w:tc>
        <w:tc>
          <w:tcPr>
            <w:tcW w:w="4060" w:type="dxa"/>
            <w:vAlign w:val="center"/>
          </w:tcPr>
          <w:p>
            <w:pPr>
              <w:pStyle w:val="420"/>
              <w:spacing w:line="320" w:lineRule="exact"/>
              <w:jc w:val="center"/>
              <w:rPr>
                <w:color w:val="000000"/>
                <w:sz w:val="21"/>
                <w:szCs w:val="21"/>
                <w:highlight w:val="none"/>
              </w:rPr>
            </w:pPr>
            <w:r>
              <w:rPr>
                <w:rFonts w:hint="eastAsia"/>
                <w:color w:val="000000"/>
                <w:sz w:val="21"/>
                <w:szCs w:val="21"/>
                <w:highlight w:val="none"/>
              </w:rPr>
              <w:t>土壤酸化、碱化强度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4" w:type="dxa"/>
            <w:vAlign w:val="center"/>
          </w:tcPr>
          <w:p>
            <w:pPr>
              <w:pStyle w:val="420"/>
              <w:spacing w:line="320" w:lineRule="exact"/>
              <w:jc w:val="center"/>
              <w:rPr>
                <w:color w:val="000000"/>
                <w:sz w:val="21"/>
                <w:szCs w:val="21"/>
                <w:highlight w:val="none"/>
              </w:rPr>
            </w:pPr>
            <w:r>
              <w:rPr>
                <w:rFonts w:hint="eastAsia"/>
                <w:color w:val="000000" w:themeColor="text1"/>
                <w:sz w:val="21"/>
                <w:szCs w:val="21"/>
                <w:highlight w:val="none"/>
                <w14:textFill>
                  <w14:solidFill>
                    <w14:schemeClr w14:val="tx1"/>
                  </w14:solidFill>
                </w14:textFill>
              </w:rPr>
              <w:t>pH＜3.5</w:t>
            </w:r>
          </w:p>
        </w:tc>
        <w:tc>
          <w:tcPr>
            <w:tcW w:w="4060" w:type="dxa"/>
            <w:vAlign w:val="center"/>
          </w:tcPr>
          <w:p>
            <w:pPr>
              <w:pStyle w:val="420"/>
              <w:spacing w:line="320" w:lineRule="exact"/>
              <w:jc w:val="center"/>
              <w:rPr>
                <w:color w:val="000000"/>
                <w:sz w:val="21"/>
                <w:szCs w:val="21"/>
                <w:highlight w:val="none"/>
              </w:rPr>
            </w:pPr>
            <w:r>
              <w:rPr>
                <w:rFonts w:hint="eastAsia"/>
                <w:color w:val="000000" w:themeColor="text1"/>
                <w:sz w:val="21"/>
                <w:szCs w:val="21"/>
                <w:highlight w:val="none"/>
                <w14:textFill>
                  <w14:solidFill>
                    <w14:schemeClr w14:val="tx1"/>
                  </w14:solidFill>
                </w14:textFill>
              </w:rPr>
              <w:t>极重度酸化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4" w:type="dxa"/>
            <w:vAlign w:val="center"/>
          </w:tcPr>
          <w:p>
            <w:pPr>
              <w:pStyle w:val="420"/>
              <w:spacing w:line="320" w:lineRule="exact"/>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3.5≤pH＜4.0</w:t>
            </w:r>
          </w:p>
        </w:tc>
        <w:tc>
          <w:tcPr>
            <w:tcW w:w="4060" w:type="dxa"/>
            <w:vAlign w:val="center"/>
          </w:tcPr>
          <w:p>
            <w:pPr>
              <w:pStyle w:val="420"/>
              <w:spacing w:line="320" w:lineRule="exact"/>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重度酸化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4" w:type="dxa"/>
            <w:vAlign w:val="center"/>
          </w:tcPr>
          <w:p>
            <w:pPr>
              <w:pStyle w:val="420"/>
              <w:spacing w:line="320" w:lineRule="exact"/>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4.0≤pH＜4.5</w:t>
            </w:r>
          </w:p>
        </w:tc>
        <w:tc>
          <w:tcPr>
            <w:tcW w:w="4060" w:type="dxa"/>
            <w:vAlign w:val="center"/>
          </w:tcPr>
          <w:p>
            <w:pPr>
              <w:pStyle w:val="420"/>
              <w:spacing w:line="320" w:lineRule="exact"/>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 xml:space="preserve"> 中度酸化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4" w:type="dxa"/>
            <w:vAlign w:val="center"/>
          </w:tcPr>
          <w:p>
            <w:pPr>
              <w:pStyle w:val="420"/>
              <w:spacing w:line="320" w:lineRule="exact"/>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4.5≤pH＜5.5</w:t>
            </w:r>
          </w:p>
        </w:tc>
        <w:tc>
          <w:tcPr>
            <w:tcW w:w="4060" w:type="dxa"/>
            <w:vAlign w:val="center"/>
          </w:tcPr>
          <w:p>
            <w:pPr>
              <w:pStyle w:val="420"/>
              <w:spacing w:line="320" w:lineRule="exact"/>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轻度酸化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4" w:type="dxa"/>
            <w:vAlign w:val="center"/>
          </w:tcPr>
          <w:p>
            <w:pPr>
              <w:pStyle w:val="420"/>
              <w:spacing w:line="320" w:lineRule="exact"/>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5.5≤pH＜8.5</w:t>
            </w:r>
          </w:p>
        </w:tc>
        <w:tc>
          <w:tcPr>
            <w:tcW w:w="4060" w:type="dxa"/>
            <w:vAlign w:val="center"/>
          </w:tcPr>
          <w:p>
            <w:pPr>
              <w:pStyle w:val="420"/>
              <w:spacing w:line="320" w:lineRule="exact"/>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无酸化或碱化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4" w:type="dxa"/>
            <w:vAlign w:val="center"/>
          </w:tcPr>
          <w:p>
            <w:pPr>
              <w:pStyle w:val="420"/>
              <w:spacing w:line="320" w:lineRule="exact"/>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8.5≤pH＜9.0</w:t>
            </w:r>
          </w:p>
        </w:tc>
        <w:tc>
          <w:tcPr>
            <w:tcW w:w="4060" w:type="dxa"/>
            <w:vAlign w:val="center"/>
          </w:tcPr>
          <w:p>
            <w:pPr>
              <w:pStyle w:val="420"/>
              <w:spacing w:line="320" w:lineRule="exact"/>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轻度碱化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4" w:type="dxa"/>
            <w:vAlign w:val="center"/>
          </w:tcPr>
          <w:p>
            <w:pPr>
              <w:pStyle w:val="420"/>
              <w:spacing w:line="320" w:lineRule="exact"/>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9.0≤pH＜9.5</w:t>
            </w:r>
          </w:p>
        </w:tc>
        <w:tc>
          <w:tcPr>
            <w:tcW w:w="4060" w:type="dxa"/>
            <w:vAlign w:val="center"/>
          </w:tcPr>
          <w:p>
            <w:pPr>
              <w:pStyle w:val="420"/>
              <w:spacing w:line="320" w:lineRule="exact"/>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中度碱化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4" w:type="dxa"/>
            <w:vAlign w:val="center"/>
          </w:tcPr>
          <w:p>
            <w:pPr>
              <w:pStyle w:val="420"/>
              <w:spacing w:line="320" w:lineRule="exact"/>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9.5≤pH＜10.0</w:t>
            </w:r>
          </w:p>
        </w:tc>
        <w:tc>
          <w:tcPr>
            <w:tcW w:w="4060" w:type="dxa"/>
            <w:vAlign w:val="center"/>
          </w:tcPr>
          <w:p>
            <w:pPr>
              <w:pStyle w:val="420"/>
              <w:spacing w:line="320" w:lineRule="exact"/>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重度碱化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04" w:type="dxa"/>
            <w:vAlign w:val="center"/>
          </w:tcPr>
          <w:p>
            <w:pPr>
              <w:pStyle w:val="420"/>
              <w:spacing w:line="320" w:lineRule="exact"/>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pH≥10.0</w:t>
            </w:r>
          </w:p>
        </w:tc>
        <w:tc>
          <w:tcPr>
            <w:tcW w:w="4060" w:type="dxa"/>
            <w:vAlign w:val="center"/>
          </w:tcPr>
          <w:p>
            <w:pPr>
              <w:pStyle w:val="420"/>
              <w:spacing w:line="320" w:lineRule="exact"/>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极重度碱化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64" w:type="dxa"/>
            <w:gridSpan w:val="2"/>
            <w:vAlign w:val="center"/>
          </w:tcPr>
          <w:p>
            <w:pPr>
              <w:pStyle w:val="420"/>
              <w:spacing w:line="320" w:lineRule="exact"/>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注：土壤酸化、碱化强度指受人为影响后呈现的土壤 pH 值，可根据区域自然背景状况适当调整。</w:t>
            </w:r>
          </w:p>
        </w:tc>
      </w:tr>
    </w:tbl>
    <w:p>
      <w:pPr>
        <w:pStyle w:val="420"/>
        <w:spacing w:line="480" w:lineRule="exact"/>
        <w:ind w:firstLine="420" w:firstLineChars="200"/>
        <w:rPr>
          <w:color w:val="000000"/>
          <w:highlight w:val="none"/>
        </w:rPr>
      </w:pPr>
      <w:r>
        <w:rPr>
          <w:rFonts w:hint="eastAsia"/>
          <w:color w:val="000000" w:themeColor="text1"/>
          <w:sz w:val="21"/>
          <w:szCs w:val="21"/>
          <w:highlight w:val="none"/>
          <w14:textFill>
            <w14:solidFill>
              <w14:schemeClr w14:val="tx1"/>
            </w14:solidFill>
          </w14:textFill>
        </w:rPr>
        <w:t xml:space="preserve"> </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）监测时间及点位</w:t>
      </w:r>
      <w:r>
        <w:rPr>
          <w:color w:val="000000"/>
          <w:highlight w:val="none"/>
        </w:rPr>
        <w:t>。</w:t>
      </w:r>
      <w:r>
        <w:rPr>
          <w:rFonts w:hint="eastAsia"/>
          <w:color w:val="000000"/>
          <w:highlight w:val="none"/>
        </w:rPr>
        <w:t>见下表：</w:t>
      </w:r>
    </w:p>
    <w:p>
      <w:pPr>
        <w:pStyle w:val="420"/>
        <w:spacing w:line="480" w:lineRule="exact"/>
        <w:jc w:val="center"/>
        <w:rPr>
          <w:color w:val="000000"/>
          <w:highlight w:val="none"/>
        </w:rPr>
      </w:pPr>
      <w:r>
        <w:rPr>
          <w:b/>
          <w:color w:val="000000"/>
          <w:highlight w:val="none"/>
        </w:rPr>
        <w:t>表</w:t>
      </w:r>
      <w:r>
        <w:rPr>
          <w:rFonts w:hint="eastAsia"/>
          <w:b/>
          <w:color w:val="000000"/>
          <w:highlight w:val="none"/>
        </w:rPr>
        <w:t>4</w:t>
      </w:r>
      <w:r>
        <w:rPr>
          <w:b/>
          <w:color w:val="000000"/>
          <w:highlight w:val="none"/>
        </w:rPr>
        <w:t>.</w:t>
      </w:r>
      <w:r>
        <w:rPr>
          <w:rFonts w:hint="eastAsia"/>
          <w:b/>
          <w:color w:val="000000"/>
          <w:highlight w:val="none"/>
        </w:rPr>
        <w:t>7-2</w:t>
      </w:r>
      <w:r>
        <w:rPr>
          <w:b/>
          <w:color w:val="000000"/>
          <w:highlight w:val="none"/>
        </w:rPr>
        <w:t xml:space="preserve">   项目土壤检测点位一览表</w:t>
      </w:r>
    </w:p>
    <w:tbl>
      <w:tblPr>
        <w:tblStyle w:val="5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7"/>
        <w:gridCol w:w="2104"/>
        <w:gridCol w:w="1704"/>
        <w:gridCol w:w="1800"/>
        <w:gridCol w:w="14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Align w:val="center"/>
          </w:tcPr>
          <w:p>
            <w:pPr>
              <w:pStyle w:val="420"/>
              <w:spacing w:line="320" w:lineRule="exact"/>
              <w:jc w:val="center"/>
              <w:rPr>
                <w:color w:val="000000"/>
                <w:sz w:val="21"/>
                <w:szCs w:val="21"/>
                <w:highlight w:val="none"/>
              </w:rPr>
            </w:pPr>
            <w:r>
              <w:rPr>
                <w:color w:val="000000"/>
                <w:sz w:val="21"/>
                <w:szCs w:val="21"/>
                <w:highlight w:val="none"/>
              </w:rPr>
              <w:t>序号</w:t>
            </w:r>
          </w:p>
        </w:tc>
        <w:tc>
          <w:tcPr>
            <w:tcW w:w="2104" w:type="dxa"/>
            <w:vAlign w:val="center"/>
          </w:tcPr>
          <w:p>
            <w:pPr>
              <w:pStyle w:val="420"/>
              <w:spacing w:line="320" w:lineRule="exact"/>
              <w:jc w:val="center"/>
              <w:rPr>
                <w:color w:val="000000"/>
                <w:sz w:val="21"/>
                <w:szCs w:val="21"/>
                <w:highlight w:val="none"/>
              </w:rPr>
            </w:pPr>
            <w:r>
              <w:rPr>
                <w:color w:val="000000"/>
                <w:sz w:val="21"/>
                <w:szCs w:val="21"/>
                <w:highlight w:val="none"/>
              </w:rPr>
              <w:t>点位</w:t>
            </w:r>
          </w:p>
        </w:tc>
        <w:tc>
          <w:tcPr>
            <w:tcW w:w="1704" w:type="dxa"/>
            <w:vAlign w:val="center"/>
          </w:tcPr>
          <w:p>
            <w:pPr>
              <w:pStyle w:val="420"/>
              <w:spacing w:line="320" w:lineRule="exact"/>
              <w:jc w:val="center"/>
              <w:rPr>
                <w:color w:val="000000"/>
                <w:sz w:val="21"/>
                <w:szCs w:val="21"/>
                <w:highlight w:val="none"/>
              </w:rPr>
            </w:pPr>
            <w:r>
              <w:rPr>
                <w:color w:val="000000"/>
                <w:sz w:val="21"/>
                <w:szCs w:val="21"/>
                <w:highlight w:val="none"/>
              </w:rPr>
              <w:t>样品类型</w:t>
            </w:r>
          </w:p>
        </w:tc>
        <w:tc>
          <w:tcPr>
            <w:tcW w:w="1800" w:type="dxa"/>
            <w:vAlign w:val="center"/>
          </w:tcPr>
          <w:p>
            <w:pPr>
              <w:pStyle w:val="420"/>
              <w:spacing w:line="320" w:lineRule="exact"/>
              <w:jc w:val="center"/>
              <w:rPr>
                <w:color w:val="000000"/>
                <w:sz w:val="21"/>
                <w:szCs w:val="21"/>
                <w:highlight w:val="none"/>
              </w:rPr>
            </w:pPr>
            <w:r>
              <w:rPr>
                <w:color w:val="000000"/>
                <w:sz w:val="21"/>
                <w:szCs w:val="21"/>
                <w:highlight w:val="none"/>
              </w:rPr>
              <w:t>检测时间</w:t>
            </w:r>
          </w:p>
        </w:tc>
        <w:tc>
          <w:tcPr>
            <w:tcW w:w="1405" w:type="dxa"/>
            <w:vAlign w:val="center"/>
          </w:tcPr>
          <w:p>
            <w:pPr>
              <w:pStyle w:val="420"/>
              <w:spacing w:line="320" w:lineRule="exact"/>
              <w:jc w:val="center"/>
              <w:rPr>
                <w:color w:val="000000"/>
                <w:sz w:val="21"/>
                <w:szCs w:val="21"/>
                <w:highlight w:val="none"/>
              </w:rPr>
            </w:pPr>
            <w:r>
              <w:rPr>
                <w:color w:val="000000"/>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Align w:val="center"/>
          </w:tcPr>
          <w:p>
            <w:pPr>
              <w:pStyle w:val="420"/>
              <w:spacing w:line="320" w:lineRule="exact"/>
              <w:jc w:val="center"/>
              <w:rPr>
                <w:color w:val="000000"/>
                <w:sz w:val="21"/>
                <w:szCs w:val="21"/>
                <w:highlight w:val="none"/>
              </w:rPr>
            </w:pPr>
            <w:r>
              <w:rPr>
                <w:color w:val="000000"/>
                <w:sz w:val="21"/>
                <w:szCs w:val="21"/>
                <w:highlight w:val="none"/>
              </w:rPr>
              <w:t>1#</w:t>
            </w:r>
          </w:p>
        </w:tc>
        <w:tc>
          <w:tcPr>
            <w:tcW w:w="2104" w:type="dxa"/>
            <w:vAlign w:val="center"/>
          </w:tcPr>
          <w:p>
            <w:pPr>
              <w:pStyle w:val="420"/>
              <w:spacing w:line="320" w:lineRule="exact"/>
              <w:jc w:val="center"/>
              <w:rPr>
                <w:color w:val="000000"/>
                <w:sz w:val="21"/>
                <w:szCs w:val="21"/>
                <w:highlight w:val="none"/>
              </w:rPr>
            </w:pPr>
            <w:r>
              <w:rPr>
                <w:color w:val="000000"/>
                <w:sz w:val="21"/>
                <w:szCs w:val="21"/>
                <w:highlight w:val="none"/>
              </w:rPr>
              <w:t>厂区内</w:t>
            </w:r>
          </w:p>
        </w:tc>
        <w:tc>
          <w:tcPr>
            <w:tcW w:w="1704" w:type="dxa"/>
            <w:vAlign w:val="center"/>
          </w:tcPr>
          <w:p>
            <w:pPr>
              <w:pStyle w:val="420"/>
              <w:spacing w:line="320" w:lineRule="exact"/>
              <w:jc w:val="center"/>
              <w:rPr>
                <w:color w:val="000000"/>
                <w:sz w:val="21"/>
                <w:szCs w:val="21"/>
                <w:highlight w:val="none"/>
              </w:rPr>
            </w:pPr>
            <w:r>
              <w:rPr>
                <w:color w:val="000000"/>
                <w:sz w:val="21"/>
                <w:szCs w:val="21"/>
                <w:highlight w:val="none"/>
              </w:rPr>
              <w:t>表层样</w:t>
            </w:r>
          </w:p>
        </w:tc>
        <w:tc>
          <w:tcPr>
            <w:tcW w:w="1800" w:type="dxa"/>
            <w:vMerge w:val="restart"/>
            <w:vAlign w:val="center"/>
          </w:tcPr>
          <w:p>
            <w:pPr>
              <w:pStyle w:val="420"/>
              <w:spacing w:line="320" w:lineRule="exact"/>
              <w:jc w:val="center"/>
              <w:rPr>
                <w:color w:val="000000"/>
                <w:sz w:val="21"/>
                <w:szCs w:val="21"/>
                <w:highlight w:val="none"/>
              </w:rPr>
            </w:pPr>
            <w:r>
              <w:rPr>
                <w:color w:val="000000"/>
                <w:sz w:val="21"/>
                <w:szCs w:val="21"/>
                <w:highlight w:val="none"/>
              </w:rPr>
              <w:t>202</w:t>
            </w:r>
            <w:r>
              <w:rPr>
                <w:rFonts w:hint="eastAsia"/>
                <w:color w:val="000000"/>
                <w:sz w:val="21"/>
                <w:szCs w:val="21"/>
                <w:highlight w:val="none"/>
                <w:lang w:val="en-US" w:eastAsia="zh-CN"/>
              </w:rPr>
              <w:t>3</w:t>
            </w:r>
            <w:r>
              <w:rPr>
                <w:color w:val="000000"/>
                <w:sz w:val="21"/>
                <w:szCs w:val="21"/>
                <w:highlight w:val="none"/>
              </w:rPr>
              <w:t>年</w:t>
            </w:r>
            <w:r>
              <w:rPr>
                <w:rFonts w:hint="eastAsia"/>
                <w:color w:val="000000"/>
                <w:sz w:val="21"/>
                <w:szCs w:val="21"/>
                <w:highlight w:val="none"/>
                <w:lang w:val="en-US" w:eastAsia="zh-CN"/>
              </w:rPr>
              <w:t>8</w:t>
            </w:r>
            <w:r>
              <w:rPr>
                <w:color w:val="000000"/>
                <w:sz w:val="21"/>
                <w:szCs w:val="21"/>
                <w:highlight w:val="none"/>
              </w:rPr>
              <w:t>月</w:t>
            </w:r>
            <w:r>
              <w:rPr>
                <w:rFonts w:hint="eastAsia"/>
                <w:color w:val="000000"/>
                <w:sz w:val="21"/>
                <w:szCs w:val="21"/>
                <w:highlight w:val="none"/>
                <w:lang w:val="en-US" w:eastAsia="zh-CN"/>
              </w:rPr>
              <w:t>5</w:t>
            </w:r>
            <w:r>
              <w:rPr>
                <w:color w:val="000000"/>
                <w:sz w:val="21"/>
                <w:szCs w:val="21"/>
                <w:highlight w:val="none"/>
              </w:rPr>
              <w:t>日</w:t>
            </w:r>
          </w:p>
        </w:tc>
        <w:tc>
          <w:tcPr>
            <w:tcW w:w="1405" w:type="dxa"/>
            <w:vMerge w:val="restart"/>
            <w:vAlign w:val="center"/>
          </w:tcPr>
          <w:p>
            <w:pPr>
              <w:pStyle w:val="420"/>
              <w:spacing w:line="320" w:lineRule="exact"/>
              <w:jc w:val="center"/>
              <w:rPr>
                <w:color w:val="000000"/>
                <w:sz w:val="21"/>
                <w:szCs w:val="21"/>
                <w:highlight w:val="none"/>
              </w:rPr>
            </w:pPr>
            <w:r>
              <w:rPr>
                <w:rFonts w:hint="eastAsia"/>
                <w:color w:val="000000"/>
                <w:sz w:val="21"/>
                <w:szCs w:val="21"/>
                <w:highlight w:val="none"/>
              </w:rPr>
              <w:t xml:space="preserve"> 取样深度0~0.2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17" w:type="dxa"/>
            <w:vAlign w:val="center"/>
          </w:tcPr>
          <w:p>
            <w:pPr>
              <w:pStyle w:val="420"/>
              <w:spacing w:line="320" w:lineRule="exact"/>
              <w:jc w:val="center"/>
              <w:rPr>
                <w:color w:val="000000"/>
                <w:sz w:val="21"/>
                <w:szCs w:val="21"/>
                <w:highlight w:val="none"/>
              </w:rPr>
            </w:pPr>
            <w:r>
              <w:rPr>
                <w:rFonts w:hint="eastAsia"/>
                <w:color w:val="000000"/>
                <w:sz w:val="21"/>
                <w:szCs w:val="21"/>
                <w:highlight w:val="none"/>
                <w:lang w:val="en-US" w:eastAsia="zh-CN"/>
              </w:rPr>
              <w:t>2</w:t>
            </w:r>
            <w:r>
              <w:rPr>
                <w:color w:val="000000"/>
                <w:sz w:val="21"/>
                <w:szCs w:val="21"/>
                <w:highlight w:val="none"/>
              </w:rPr>
              <w:t>#</w:t>
            </w:r>
          </w:p>
        </w:tc>
        <w:tc>
          <w:tcPr>
            <w:tcW w:w="2104" w:type="dxa"/>
            <w:vAlign w:val="center"/>
          </w:tcPr>
          <w:p>
            <w:pPr>
              <w:pStyle w:val="420"/>
              <w:spacing w:line="320" w:lineRule="exact"/>
              <w:jc w:val="center"/>
              <w:rPr>
                <w:color w:val="000000"/>
                <w:sz w:val="21"/>
                <w:szCs w:val="21"/>
                <w:highlight w:val="none"/>
              </w:rPr>
            </w:pPr>
            <w:r>
              <w:rPr>
                <w:color w:val="000000"/>
                <w:sz w:val="21"/>
                <w:szCs w:val="21"/>
                <w:highlight w:val="none"/>
              </w:rPr>
              <w:t>厂区</w:t>
            </w:r>
            <w:r>
              <w:rPr>
                <w:rFonts w:hint="eastAsia"/>
                <w:color w:val="000000"/>
                <w:sz w:val="21"/>
                <w:szCs w:val="21"/>
                <w:highlight w:val="none"/>
              </w:rPr>
              <w:t>东</w:t>
            </w:r>
            <w:r>
              <w:rPr>
                <w:rFonts w:hint="eastAsia"/>
                <w:color w:val="000000"/>
                <w:sz w:val="21"/>
                <w:szCs w:val="21"/>
                <w:highlight w:val="none"/>
                <w:lang w:eastAsia="zh-CN"/>
              </w:rPr>
              <w:t>北</w:t>
            </w:r>
            <w:r>
              <w:rPr>
                <w:color w:val="000000"/>
                <w:sz w:val="21"/>
                <w:szCs w:val="21"/>
                <w:highlight w:val="none"/>
              </w:rPr>
              <w:t>侧</w:t>
            </w:r>
            <w:r>
              <w:rPr>
                <w:rFonts w:hint="eastAsia"/>
                <w:color w:val="000000"/>
                <w:sz w:val="21"/>
                <w:szCs w:val="21"/>
                <w:highlight w:val="none"/>
                <w:lang w:val="en-US" w:eastAsia="zh-CN"/>
              </w:rPr>
              <w:t>25</w:t>
            </w:r>
            <w:r>
              <w:rPr>
                <w:color w:val="000000"/>
                <w:sz w:val="21"/>
                <w:szCs w:val="21"/>
                <w:highlight w:val="none"/>
              </w:rPr>
              <w:t>m</w:t>
            </w:r>
          </w:p>
        </w:tc>
        <w:tc>
          <w:tcPr>
            <w:tcW w:w="1704" w:type="dxa"/>
            <w:vAlign w:val="center"/>
          </w:tcPr>
          <w:p>
            <w:pPr>
              <w:pStyle w:val="420"/>
              <w:spacing w:line="320" w:lineRule="exact"/>
              <w:jc w:val="center"/>
              <w:rPr>
                <w:color w:val="000000"/>
                <w:sz w:val="21"/>
                <w:szCs w:val="21"/>
                <w:highlight w:val="none"/>
              </w:rPr>
            </w:pPr>
            <w:r>
              <w:rPr>
                <w:color w:val="000000"/>
                <w:sz w:val="21"/>
                <w:szCs w:val="21"/>
                <w:highlight w:val="none"/>
              </w:rPr>
              <w:t>表层样</w:t>
            </w:r>
          </w:p>
        </w:tc>
        <w:tc>
          <w:tcPr>
            <w:tcW w:w="1800" w:type="dxa"/>
            <w:vMerge w:val="continue"/>
            <w:vAlign w:val="center"/>
          </w:tcPr>
          <w:p>
            <w:pPr>
              <w:pStyle w:val="420"/>
              <w:spacing w:line="320" w:lineRule="exact"/>
              <w:jc w:val="center"/>
              <w:rPr>
                <w:color w:val="000000"/>
                <w:sz w:val="21"/>
                <w:szCs w:val="21"/>
                <w:highlight w:val="none"/>
              </w:rPr>
            </w:pPr>
          </w:p>
        </w:tc>
        <w:tc>
          <w:tcPr>
            <w:tcW w:w="1405" w:type="dxa"/>
            <w:vMerge w:val="continue"/>
            <w:vAlign w:val="center"/>
          </w:tcPr>
          <w:p>
            <w:pPr>
              <w:pStyle w:val="420"/>
              <w:spacing w:line="320" w:lineRule="exact"/>
              <w:jc w:val="center"/>
              <w:rPr>
                <w:color w:val="00000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vAlign w:val="center"/>
          </w:tcPr>
          <w:p>
            <w:pPr>
              <w:pStyle w:val="420"/>
              <w:spacing w:line="320" w:lineRule="exact"/>
              <w:jc w:val="center"/>
              <w:rPr>
                <w:color w:val="000000"/>
                <w:sz w:val="21"/>
                <w:szCs w:val="21"/>
                <w:highlight w:val="none"/>
              </w:rPr>
            </w:pPr>
            <w:r>
              <w:rPr>
                <w:rFonts w:hint="eastAsia"/>
                <w:color w:val="000000"/>
                <w:sz w:val="21"/>
                <w:szCs w:val="21"/>
                <w:highlight w:val="none"/>
                <w:lang w:val="en-US" w:eastAsia="zh-CN"/>
              </w:rPr>
              <w:t>3</w:t>
            </w:r>
            <w:r>
              <w:rPr>
                <w:color w:val="000000"/>
                <w:sz w:val="21"/>
                <w:szCs w:val="21"/>
                <w:highlight w:val="none"/>
              </w:rPr>
              <w:t>#</w:t>
            </w:r>
          </w:p>
        </w:tc>
        <w:tc>
          <w:tcPr>
            <w:tcW w:w="2104" w:type="dxa"/>
            <w:vAlign w:val="center"/>
          </w:tcPr>
          <w:p>
            <w:pPr>
              <w:pStyle w:val="420"/>
              <w:spacing w:line="320" w:lineRule="exact"/>
              <w:jc w:val="center"/>
              <w:rPr>
                <w:color w:val="000000"/>
                <w:sz w:val="21"/>
                <w:szCs w:val="21"/>
                <w:highlight w:val="none"/>
              </w:rPr>
            </w:pPr>
            <w:r>
              <w:rPr>
                <w:color w:val="000000"/>
                <w:sz w:val="21"/>
                <w:szCs w:val="21"/>
                <w:highlight w:val="none"/>
              </w:rPr>
              <w:t>厂区</w:t>
            </w:r>
            <w:r>
              <w:rPr>
                <w:rFonts w:hint="eastAsia"/>
                <w:color w:val="000000"/>
                <w:sz w:val="21"/>
                <w:szCs w:val="21"/>
                <w:highlight w:val="none"/>
                <w:lang w:eastAsia="zh-CN"/>
              </w:rPr>
              <w:t>西</w:t>
            </w:r>
            <w:r>
              <w:rPr>
                <w:color w:val="000000"/>
                <w:sz w:val="21"/>
                <w:szCs w:val="21"/>
                <w:highlight w:val="none"/>
              </w:rPr>
              <w:t>南侧</w:t>
            </w:r>
            <w:r>
              <w:rPr>
                <w:rFonts w:hint="eastAsia"/>
                <w:color w:val="000000"/>
                <w:sz w:val="21"/>
                <w:szCs w:val="21"/>
                <w:highlight w:val="none"/>
                <w:lang w:val="en-US" w:eastAsia="zh-CN"/>
              </w:rPr>
              <w:t>8</w:t>
            </w:r>
            <w:r>
              <w:rPr>
                <w:color w:val="000000"/>
                <w:sz w:val="21"/>
                <w:szCs w:val="21"/>
                <w:highlight w:val="none"/>
              </w:rPr>
              <w:t>0m</w:t>
            </w:r>
          </w:p>
        </w:tc>
        <w:tc>
          <w:tcPr>
            <w:tcW w:w="1704" w:type="dxa"/>
            <w:vAlign w:val="center"/>
          </w:tcPr>
          <w:p>
            <w:pPr>
              <w:pStyle w:val="420"/>
              <w:spacing w:line="320" w:lineRule="exact"/>
              <w:jc w:val="center"/>
              <w:rPr>
                <w:color w:val="000000"/>
                <w:sz w:val="21"/>
                <w:szCs w:val="21"/>
                <w:highlight w:val="none"/>
              </w:rPr>
            </w:pPr>
            <w:r>
              <w:rPr>
                <w:color w:val="000000"/>
                <w:sz w:val="21"/>
                <w:szCs w:val="21"/>
                <w:highlight w:val="none"/>
              </w:rPr>
              <w:t>表层样</w:t>
            </w:r>
          </w:p>
        </w:tc>
        <w:tc>
          <w:tcPr>
            <w:tcW w:w="1800" w:type="dxa"/>
            <w:vMerge w:val="continue"/>
            <w:vAlign w:val="center"/>
          </w:tcPr>
          <w:p>
            <w:pPr>
              <w:pStyle w:val="420"/>
              <w:spacing w:line="320" w:lineRule="exact"/>
              <w:jc w:val="center"/>
              <w:rPr>
                <w:color w:val="000000"/>
                <w:sz w:val="21"/>
                <w:szCs w:val="21"/>
                <w:highlight w:val="none"/>
              </w:rPr>
            </w:pPr>
          </w:p>
        </w:tc>
        <w:tc>
          <w:tcPr>
            <w:tcW w:w="1405" w:type="dxa"/>
            <w:vMerge w:val="continue"/>
            <w:vAlign w:val="center"/>
          </w:tcPr>
          <w:p>
            <w:pPr>
              <w:pStyle w:val="420"/>
              <w:spacing w:line="320" w:lineRule="exact"/>
              <w:jc w:val="center"/>
              <w:rPr>
                <w:color w:val="000000"/>
                <w:sz w:val="21"/>
                <w:szCs w:val="21"/>
                <w:highlight w:val="none"/>
              </w:rPr>
            </w:pPr>
          </w:p>
        </w:tc>
      </w:tr>
    </w:tbl>
    <w:p>
      <w:pPr>
        <w:pStyle w:val="420"/>
        <w:spacing w:line="480" w:lineRule="exact"/>
        <w:ind w:firstLine="480" w:firstLineChars="200"/>
        <w:rPr>
          <w:color w:val="000000"/>
          <w:highlight w:val="none"/>
        </w:rPr>
      </w:pPr>
      <w:r>
        <w:rPr>
          <w:color w:val="000000"/>
          <w:highlight w:val="none"/>
        </w:rPr>
        <w:t>（</w:t>
      </w:r>
      <w:r>
        <w:rPr>
          <w:rFonts w:hint="eastAsia"/>
          <w:color w:val="000000"/>
          <w:highlight w:val="none"/>
        </w:rPr>
        <w:t>4</w:t>
      </w:r>
      <w:r>
        <w:rPr>
          <w:color w:val="000000"/>
          <w:highlight w:val="none"/>
        </w:rPr>
        <w:t>）检测因子</w:t>
      </w:r>
    </w:p>
    <w:p>
      <w:pPr>
        <w:pStyle w:val="420"/>
        <w:spacing w:line="480" w:lineRule="exact"/>
        <w:ind w:firstLine="480" w:firstLineChars="200"/>
        <w:rPr>
          <w:color w:val="000000"/>
          <w:highlight w:val="none"/>
        </w:rPr>
      </w:pPr>
      <w:r>
        <w:rPr>
          <w:color w:val="000000"/>
          <w:highlight w:val="none"/>
        </w:rPr>
        <w:t>《土壤环境质量 建设用地土壤污染风险管控标准》（GB36600-2018）表1（基拟建项目）中45项，补充监测石油</w:t>
      </w:r>
      <w:r>
        <w:rPr>
          <w:rFonts w:hint="eastAsia"/>
          <w:color w:val="000000"/>
          <w:highlight w:val="none"/>
          <w:lang w:eastAsia="zh-CN"/>
        </w:rPr>
        <w:t>烃</w:t>
      </w:r>
      <w:r>
        <w:rPr>
          <w:color w:val="000000"/>
          <w:highlight w:val="none"/>
        </w:rPr>
        <w:t>、pH。</w:t>
      </w:r>
    </w:p>
    <w:p>
      <w:pPr>
        <w:pStyle w:val="420"/>
        <w:spacing w:line="480" w:lineRule="exact"/>
        <w:ind w:firstLine="480" w:firstLineChars="200"/>
        <w:rPr>
          <w:color w:val="000000"/>
          <w:highlight w:val="none"/>
        </w:rPr>
      </w:pPr>
      <w:r>
        <w:rPr>
          <w:color w:val="000000"/>
          <w:highlight w:val="none"/>
        </w:rPr>
        <w:t>（</w:t>
      </w:r>
      <w:r>
        <w:rPr>
          <w:rFonts w:hint="eastAsia"/>
          <w:color w:val="000000"/>
          <w:highlight w:val="none"/>
        </w:rPr>
        <w:t>5</w:t>
      </w:r>
      <w:r>
        <w:rPr>
          <w:color w:val="000000"/>
          <w:highlight w:val="none"/>
        </w:rPr>
        <w:t>）评价方法</w:t>
      </w:r>
    </w:p>
    <w:p>
      <w:pPr>
        <w:pStyle w:val="420"/>
        <w:widowControl w:val="0"/>
        <w:spacing w:line="480" w:lineRule="exact"/>
        <w:ind w:firstLine="480" w:firstLineChars="200"/>
        <w:jc w:val="both"/>
        <w:rPr>
          <w:color w:val="000000"/>
          <w:highlight w:val="none"/>
        </w:rPr>
      </w:pPr>
      <w:r>
        <w:rPr>
          <w:color w:val="000000"/>
          <w:highlight w:val="none"/>
        </w:rPr>
        <w:t>采用单因子污染指数法进行评价。公式如下：Pi=Ci/Si</w:t>
      </w:r>
    </w:p>
    <w:p>
      <w:pPr>
        <w:pStyle w:val="420"/>
        <w:widowControl w:val="0"/>
        <w:spacing w:line="480" w:lineRule="exact"/>
        <w:ind w:firstLine="480" w:firstLineChars="200"/>
        <w:jc w:val="both"/>
        <w:rPr>
          <w:color w:val="000000"/>
          <w:highlight w:val="none"/>
        </w:rPr>
      </w:pPr>
      <w:r>
        <w:rPr>
          <w:color w:val="000000"/>
          <w:highlight w:val="none"/>
        </w:rPr>
        <w:t>式中：Pi—i 污染物的分指数；</w:t>
      </w:r>
    </w:p>
    <w:p>
      <w:pPr>
        <w:pStyle w:val="420"/>
        <w:widowControl w:val="0"/>
        <w:spacing w:line="480" w:lineRule="exact"/>
        <w:ind w:firstLine="1080" w:firstLineChars="450"/>
        <w:jc w:val="both"/>
        <w:rPr>
          <w:color w:val="000000"/>
          <w:highlight w:val="none"/>
        </w:rPr>
      </w:pPr>
      <w:r>
        <w:rPr>
          <w:color w:val="000000"/>
          <w:highlight w:val="none"/>
        </w:rPr>
        <w:t>Ci—污染物i的实测浓度，mg/m</w:t>
      </w:r>
      <w:r>
        <w:rPr>
          <w:color w:val="000000"/>
          <w:highlight w:val="none"/>
          <w:vertAlign w:val="superscript"/>
        </w:rPr>
        <w:t>3</w:t>
      </w:r>
      <w:r>
        <w:rPr>
          <w:color w:val="000000"/>
          <w:highlight w:val="none"/>
        </w:rPr>
        <w:t>；</w:t>
      </w:r>
    </w:p>
    <w:p>
      <w:pPr>
        <w:pStyle w:val="420"/>
        <w:widowControl w:val="0"/>
        <w:spacing w:line="480" w:lineRule="exact"/>
        <w:ind w:firstLine="1080" w:firstLineChars="450"/>
        <w:jc w:val="both"/>
        <w:rPr>
          <w:color w:val="000000"/>
          <w:highlight w:val="none"/>
        </w:rPr>
      </w:pPr>
      <w:r>
        <w:rPr>
          <w:color w:val="000000"/>
          <w:highlight w:val="none"/>
        </w:rPr>
        <w:t>Si—污染物i的评价标准，mg/m</w:t>
      </w:r>
      <w:r>
        <w:rPr>
          <w:color w:val="000000"/>
          <w:highlight w:val="none"/>
          <w:vertAlign w:val="superscript"/>
        </w:rPr>
        <w:t>3</w:t>
      </w:r>
      <w:r>
        <w:rPr>
          <w:color w:val="000000"/>
          <w:highlight w:val="none"/>
        </w:rPr>
        <w:t>。</w:t>
      </w:r>
    </w:p>
    <w:p>
      <w:pPr>
        <w:pStyle w:val="420"/>
        <w:widowControl w:val="0"/>
        <w:spacing w:line="480" w:lineRule="exact"/>
        <w:ind w:firstLine="480" w:firstLineChars="200"/>
        <w:jc w:val="both"/>
        <w:rPr>
          <w:color w:val="000000"/>
          <w:highlight w:val="none"/>
        </w:rPr>
      </w:pPr>
      <w:r>
        <w:rPr>
          <w:color w:val="000000"/>
          <w:highlight w:val="none"/>
        </w:rPr>
        <w:t>（</w:t>
      </w:r>
      <w:r>
        <w:rPr>
          <w:rFonts w:hint="eastAsia"/>
          <w:highlight w:val="none"/>
        </w:rPr>
        <w:t>6</w:t>
      </w:r>
      <w:r>
        <w:rPr>
          <w:color w:val="000000"/>
          <w:highlight w:val="none"/>
        </w:rPr>
        <w:t>）评价结果</w:t>
      </w:r>
    </w:p>
    <w:p>
      <w:pPr>
        <w:pStyle w:val="420"/>
        <w:widowControl w:val="0"/>
        <w:spacing w:line="480" w:lineRule="exact"/>
        <w:ind w:firstLine="480" w:firstLineChars="200"/>
        <w:jc w:val="both"/>
        <w:rPr>
          <w:rFonts w:hint="eastAsia"/>
          <w:color w:val="000000"/>
          <w:highlight w:val="none"/>
        </w:rPr>
      </w:pPr>
      <w:r>
        <w:rPr>
          <w:color w:val="000000"/>
          <w:highlight w:val="none"/>
        </w:rPr>
        <w:t>监测结果见表</w:t>
      </w:r>
      <w:r>
        <w:rPr>
          <w:rFonts w:hint="eastAsia"/>
          <w:color w:val="000000"/>
          <w:highlight w:val="none"/>
        </w:rPr>
        <w:t>4.7-3。</w:t>
      </w:r>
    </w:p>
    <w:p>
      <w:pPr>
        <w:spacing w:line="480" w:lineRule="exact"/>
        <w:ind w:firstLine="482" w:firstLineChars="200"/>
        <w:jc w:val="center"/>
        <w:rPr>
          <w:b/>
          <w:color w:val="auto"/>
          <w:sz w:val="24"/>
          <w:szCs w:val="24"/>
          <w:highlight w:val="none"/>
        </w:rPr>
      </w:pPr>
    </w:p>
    <w:p>
      <w:pPr>
        <w:spacing w:line="480" w:lineRule="exact"/>
        <w:ind w:firstLine="482" w:firstLineChars="200"/>
        <w:jc w:val="center"/>
        <w:rPr>
          <w:b/>
          <w:color w:val="auto"/>
          <w:sz w:val="24"/>
          <w:szCs w:val="24"/>
          <w:highlight w:val="none"/>
        </w:rPr>
      </w:pPr>
    </w:p>
    <w:p>
      <w:pPr>
        <w:spacing w:line="480" w:lineRule="exact"/>
        <w:ind w:firstLine="482" w:firstLineChars="200"/>
        <w:jc w:val="center"/>
        <w:rPr>
          <w:rFonts w:hint="eastAsia"/>
          <w:b/>
          <w:color w:val="auto"/>
          <w:sz w:val="24"/>
          <w:szCs w:val="24"/>
          <w:highlight w:val="none"/>
        </w:rPr>
      </w:pPr>
      <w:r>
        <w:rPr>
          <w:b/>
          <w:color w:val="auto"/>
          <w:sz w:val="24"/>
          <w:szCs w:val="24"/>
          <w:highlight w:val="none"/>
        </w:rPr>
        <w:t>表</w:t>
      </w:r>
      <w:r>
        <w:rPr>
          <w:rFonts w:hint="eastAsia"/>
          <w:b/>
          <w:color w:val="auto"/>
          <w:sz w:val="24"/>
          <w:szCs w:val="24"/>
          <w:highlight w:val="none"/>
        </w:rPr>
        <w:t>4</w:t>
      </w:r>
      <w:r>
        <w:rPr>
          <w:b/>
          <w:color w:val="auto"/>
          <w:sz w:val="24"/>
          <w:szCs w:val="24"/>
          <w:highlight w:val="none"/>
        </w:rPr>
        <w:t>.</w:t>
      </w:r>
      <w:r>
        <w:rPr>
          <w:rFonts w:hint="eastAsia"/>
          <w:b/>
          <w:color w:val="auto"/>
          <w:sz w:val="24"/>
          <w:szCs w:val="24"/>
          <w:highlight w:val="none"/>
        </w:rPr>
        <w:t>7-3</w:t>
      </w:r>
      <w:r>
        <w:rPr>
          <w:b/>
          <w:color w:val="auto"/>
          <w:sz w:val="24"/>
          <w:szCs w:val="24"/>
          <w:highlight w:val="none"/>
        </w:rPr>
        <w:t xml:space="preserve">  土壤环境质量现状监测结果一览表</w:t>
      </w:r>
      <w:r>
        <w:rPr>
          <w:color w:val="auto"/>
          <w:sz w:val="24"/>
          <w:szCs w:val="24"/>
          <w:highlight w:val="none"/>
        </w:rPr>
        <w:t xml:space="preserve"> </w:t>
      </w:r>
      <w:r>
        <w:rPr>
          <w:rFonts w:hint="eastAsia"/>
          <w:color w:val="auto"/>
          <w:sz w:val="24"/>
          <w:szCs w:val="24"/>
          <w:highlight w:val="none"/>
        </w:rPr>
        <w:t xml:space="preserve">  单位：</w:t>
      </w:r>
      <w:r>
        <w:rPr>
          <w:color w:val="auto"/>
          <w:sz w:val="24"/>
          <w:szCs w:val="24"/>
          <w:highlight w:val="none"/>
        </w:rPr>
        <w:t>mg/kg</w:t>
      </w:r>
    </w:p>
    <w:tbl>
      <w:tblPr>
        <w:tblStyle w:val="51"/>
        <w:tblW w:w="8262"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3031"/>
        <w:gridCol w:w="1743"/>
        <w:gridCol w:w="1743"/>
        <w:gridCol w:w="1745"/>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25" w:hRule="atLeast"/>
          <w:tblHeader/>
          <w:jc w:val="center"/>
        </w:trPr>
        <w:tc>
          <w:tcPr>
            <w:tcW w:w="3031" w:type="dxa"/>
            <w:vMerge w:val="restart"/>
            <w:tcBorders>
              <w:tl2br w:val="nil"/>
              <w:tr2bl w:val="nil"/>
            </w:tcBorders>
            <w:noWrap w:val="0"/>
            <w:vAlign w:val="center"/>
          </w:tcPr>
          <w:p>
            <w:pPr>
              <w:spacing w:line="280" w:lineRule="exact"/>
              <w:jc w:val="center"/>
              <w:rPr>
                <w:color w:val="auto"/>
                <w:szCs w:val="21"/>
                <w:highlight w:val="none"/>
              </w:rPr>
            </w:pPr>
            <w:r>
              <w:rPr>
                <w:color w:val="auto"/>
                <w:szCs w:val="21"/>
                <w:highlight w:val="none"/>
              </w:rPr>
              <w:t>检测项目</w:t>
            </w:r>
          </w:p>
        </w:tc>
        <w:tc>
          <w:tcPr>
            <w:tcW w:w="5231" w:type="dxa"/>
            <w:gridSpan w:val="3"/>
            <w:tcBorders>
              <w:tl2br w:val="nil"/>
              <w:tr2bl w:val="nil"/>
            </w:tcBorders>
            <w:noWrap w:val="0"/>
            <w:vAlign w:val="center"/>
          </w:tcPr>
          <w:p>
            <w:pPr>
              <w:pStyle w:val="29"/>
              <w:adjustRightInd w:val="0"/>
              <w:snapToGrid w:val="0"/>
              <w:spacing w:line="280" w:lineRule="exact"/>
              <w:jc w:val="center"/>
              <w:rPr>
                <w:rFonts w:hint="default"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2022.8.5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83" w:hRule="atLeast"/>
          <w:tblHeader/>
          <w:jc w:val="center"/>
        </w:trPr>
        <w:tc>
          <w:tcPr>
            <w:tcW w:w="3031" w:type="dxa"/>
            <w:vMerge w:val="continue"/>
            <w:tcBorders>
              <w:tl2br w:val="nil"/>
              <w:tr2bl w:val="nil"/>
            </w:tcBorders>
            <w:noWrap w:val="0"/>
            <w:vAlign w:val="center"/>
          </w:tcPr>
          <w:p>
            <w:pPr>
              <w:spacing w:line="280" w:lineRule="exact"/>
              <w:jc w:val="center"/>
              <w:rPr>
                <w:color w:val="auto"/>
                <w:szCs w:val="21"/>
                <w:highlight w:val="none"/>
              </w:rPr>
            </w:pPr>
          </w:p>
        </w:tc>
        <w:tc>
          <w:tcPr>
            <w:tcW w:w="1743" w:type="dxa"/>
            <w:tcBorders>
              <w:tl2br w:val="nil"/>
              <w:tr2bl w:val="nil"/>
            </w:tcBorders>
            <w:noWrap w:val="0"/>
            <w:vAlign w:val="center"/>
          </w:tcPr>
          <w:p>
            <w:pPr>
              <w:spacing w:line="280" w:lineRule="exact"/>
              <w:jc w:val="center"/>
              <w:rPr>
                <w:color w:val="auto"/>
                <w:szCs w:val="21"/>
                <w:highlight w:val="none"/>
              </w:rPr>
            </w:pPr>
            <w:r>
              <w:rPr>
                <w:rFonts w:hint="eastAsia"/>
                <w:color w:val="auto"/>
                <w:szCs w:val="21"/>
                <w:highlight w:val="none"/>
                <w:lang w:val="en-US" w:eastAsia="zh-CN"/>
              </w:rPr>
              <w:t>1#厂区内</w:t>
            </w:r>
          </w:p>
        </w:tc>
        <w:tc>
          <w:tcPr>
            <w:tcW w:w="1743" w:type="dxa"/>
            <w:tcBorders>
              <w:tl2br w:val="nil"/>
              <w:tr2bl w:val="nil"/>
            </w:tcBorders>
            <w:noWrap w:val="0"/>
            <w:vAlign w:val="center"/>
          </w:tcPr>
          <w:p>
            <w:pPr>
              <w:spacing w:line="280" w:lineRule="exact"/>
              <w:jc w:val="center"/>
              <w:rPr>
                <w:rFonts w:hint="default"/>
                <w:color w:val="auto"/>
                <w:szCs w:val="21"/>
                <w:highlight w:val="none"/>
                <w:lang w:val="en-US" w:eastAsia="zh-CN"/>
              </w:rPr>
            </w:pPr>
            <w:r>
              <w:rPr>
                <w:rFonts w:hint="eastAsia"/>
                <w:color w:val="auto"/>
                <w:szCs w:val="21"/>
                <w:highlight w:val="none"/>
                <w:lang w:val="en-US" w:eastAsia="zh-CN"/>
              </w:rPr>
              <w:t>2#</w:t>
            </w:r>
          </w:p>
          <w:p>
            <w:pPr>
              <w:spacing w:line="280" w:lineRule="exact"/>
              <w:jc w:val="center"/>
              <w:rPr>
                <w:color w:val="auto"/>
                <w:szCs w:val="21"/>
                <w:highlight w:val="none"/>
              </w:rPr>
            </w:pPr>
            <w:r>
              <w:rPr>
                <w:rFonts w:hint="eastAsia"/>
                <w:color w:val="000000"/>
                <w:sz w:val="21"/>
                <w:szCs w:val="21"/>
                <w:highlight w:val="none"/>
              </w:rPr>
              <w:t>东</w:t>
            </w:r>
            <w:r>
              <w:rPr>
                <w:rFonts w:hint="eastAsia"/>
                <w:color w:val="000000"/>
                <w:sz w:val="21"/>
                <w:szCs w:val="21"/>
                <w:highlight w:val="none"/>
                <w:lang w:eastAsia="zh-CN"/>
              </w:rPr>
              <w:t>北</w:t>
            </w:r>
            <w:r>
              <w:rPr>
                <w:color w:val="000000"/>
                <w:sz w:val="21"/>
                <w:szCs w:val="21"/>
                <w:highlight w:val="none"/>
              </w:rPr>
              <w:t>侧</w:t>
            </w:r>
            <w:r>
              <w:rPr>
                <w:rFonts w:hint="eastAsia"/>
                <w:color w:val="000000"/>
                <w:sz w:val="21"/>
                <w:szCs w:val="21"/>
                <w:highlight w:val="none"/>
                <w:lang w:val="en-US" w:eastAsia="zh-CN"/>
              </w:rPr>
              <w:t>25</w:t>
            </w:r>
            <w:r>
              <w:rPr>
                <w:color w:val="000000"/>
                <w:sz w:val="21"/>
                <w:szCs w:val="21"/>
                <w:highlight w:val="none"/>
              </w:rPr>
              <w:t>m</w:t>
            </w:r>
          </w:p>
        </w:tc>
        <w:tc>
          <w:tcPr>
            <w:tcW w:w="1745" w:type="dxa"/>
            <w:tcBorders>
              <w:tl2br w:val="nil"/>
              <w:tr2bl w:val="nil"/>
            </w:tcBorders>
            <w:noWrap w:val="0"/>
            <w:vAlign w:val="center"/>
          </w:tcPr>
          <w:p>
            <w:pPr>
              <w:spacing w:line="280" w:lineRule="exact"/>
              <w:jc w:val="center"/>
              <w:rPr>
                <w:color w:val="auto"/>
                <w:szCs w:val="21"/>
                <w:highlight w:val="none"/>
              </w:rPr>
            </w:pPr>
            <w:r>
              <w:rPr>
                <w:rFonts w:hint="eastAsia"/>
                <w:color w:val="auto"/>
                <w:szCs w:val="21"/>
                <w:highlight w:val="none"/>
                <w:lang w:val="en-US" w:eastAsia="zh-CN"/>
              </w:rPr>
              <w:t>3#</w:t>
            </w:r>
            <w:r>
              <w:rPr>
                <w:rFonts w:hint="eastAsia"/>
                <w:color w:val="000000"/>
                <w:sz w:val="21"/>
                <w:szCs w:val="21"/>
                <w:highlight w:val="none"/>
                <w:lang w:eastAsia="zh-CN"/>
              </w:rPr>
              <w:t>西</w:t>
            </w:r>
            <w:r>
              <w:rPr>
                <w:color w:val="000000"/>
                <w:sz w:val="21"/>
                <w:szCs w:val="21"/>
                <w:highlight w:val="none"/>
              </w:rPr>
              <w:t>南侧</w:t>
            </w:r>
            <w:r>
              <w:rPr>
                <w:rFonts w:hint="eastAsia"/>
                <w:color w:val="000000"/>
                <w:sz w:val="21"/>
                <w:szCs w:val="21"/>
                <w:highlight w:val="none"/>
                <w:lang w:val="en-US" w:eastAsia="zh-CN"/>
              </w:rPr>
              <w:t>8</w:t>
            </w:r>
            <w:r>
              <w:rPr>
                <w:color w:val="000000"/>
                <w:sz w:val="21"/>
                <w:szCs w:val="21"/>
                <w:highlight w:val="none"/>
              </w:rPr>
              <w:t>0m</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8"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pH</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s="Times New Roman"/>
                <w:color w:val="auto"/>
                <w:kern w:val="2"/>
                <w:sz w:val="21"/>
                <w:szCs w:val="21"/>
                <w:highlight w:val="none"/>
                <w:lang w:val="en-US" w:eastAsia="zh-CN" w:bidi="ar"/>
              </w:rPr>
              <w:t>8.02</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s="Times New Roman"/>
                <w:color w:val="auto"/>
                <w:kern w:val="2"/>
                <w:sz w:val="21"/>
                <w:szCs w:val="21"/>
                <w:highlight w:val="none"/>
                <w:lang w:val="en-US" w:eastAsia="zh-CN" w:bidi="ar"/>
              </w:rPr>
              <w:t>7.53</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s="Times New Roman"/>
                <w:color w:val="auto"/>
                <w:kern w:val="2"/>
                <w:sz w:val="21"/>
                <w:szCs w:val="21"/>
                <w:highlight w:val="none"/>
                <w:lang w:val="en-US" w:eastAsia="zh-CN" w:bidi="ar"/>
              </w:rPr>
              <w:t>8.00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8"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ascii="Times New Roman" w:hAnsi="Times New Roman" w:eastAsia="宋体" w:cs="Times New Roman"/>
                <w:color w:val="auto"/>
                <w:kern w:val="2"/>
                <w:sz w:val="21"/>
                <w:szCs w:val="21"/>
                <w:highlight w:val="none"/>
                <w:lang w:val="en-US" w:eastAsia="zh-CN" w:bidi="ar-SA"/>
              </w:rPr>
            </w:pPr>
            <w:r>
              <w:rPr>
                <w:color w:val="auto"/>
                <w:szCs w:val="21"/>
                <w:highlight w:val="none"/>
              </w:rPr>
              <w:t>砷（mg/kg）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s="Times New Roman"/>
                <w:color w:val="auto"/>
                <w:kern w:val="2"/>
                <w:sz w:val="21"/>
                <w:szCs w:val="21"/>
                <w:highlight w:val="none"/>
                <w:lang w:val="en-US" w:eastAsia="zh-CN" w:bidi="ar"/>
              </w:rPr>
              <w:t>16.3</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s="Times New Roman"/>
                <w:color w:val="auto"/>
                <w:kern w:val="2"/>
                <w:sz w:val="21"/>
                <w:szCs w:val="21"/>
                <w:highlight w:val="none"/>
                <w:lang w:val="en-US" w:eastAsia="zh-CN" w:bidi="ar"/>
              </w:rPr>
              <w:t>1.72</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s="Times New Roman"/>
                <w:color w:val="auto"/>
                <w:kern w:val="2"/>
                <w:sz w:val="21"/>
                <w:szCs w:val="21"/>
                <w:highlight w:val="none"/>
                <w:lang w:val="en-US" w:eastAsia="zh-CN" w:bidi="ar"/>
              </w:rPr>
              <w:t>1.63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8"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ascii="Times New Roman" w:hAnsi="Times New Roman" w:eastAsia="宋体" w:cs="Times New Roman"/>
                <w:color w:val="auto"/>
                <w:kern w:val="2"/>
                <w:sz w:val="21"/>
                <w:szCs w:val="21"/>
                <w:highlight w:val="none"/>
                <w:lang w:val="en-US" w:eastAsia="zh-CN" w:bidi="ar-SA"/>
              </w:rPr>
            </w:pPr>
            <w:r>
              <w:rPr>
                <w:color w:val="auto"/>
                <w:szCs w:val="21"/>
                <w:highlight w:val="none"/>
              </w:rPr>
              <w:t>镉（mg/kg）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Cs w:val="21"/>
                <w:highlight w:val="none"/>
                <w:lang w:val="en-US" w:eastAsia="zh-CN" w:bidi="ar"/>
              </w:rPr>
            </w:pPr>
            <w:r>
              <w:rPr>
                <w:rFonts w:hint="eastAsia"/>
                <w:color w:val="auto"/>
                <w:szCs w:val="21"/>
                <w:highlight w:val="none"/>
                <w:lang w:val="en-US" w:eastAsia="zh-CN" w:bidi="ar"/>
              </w:rPr>
              <w:t>0.10</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Cs w:val="21"/>
                <w:highlight w:val="none"/>
                <w:lang w:val="en-US" w:eastAsia="zh-CN" w:bidi="ar"/>
              </w:rPr>
            </w:pPr>
            <w:r>
              <w:rPr>
                <w:rFonts w:hint="eastAsia"/>
                <w:color w:val="auto"/>
                <w:szCs w:val="21"/>
                <w:highlight w:val="none"/>
                <w:lang w:val="en-US" w:eastAsia="zh-CN" w:bidi="ar"/>
              </w:rPr>
              <w:t>0.07</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Cs w:val="21"/>
                <w:highlight w:val="none"/>
                <w:lang w:val="en-US" w:eastAsia="zh-CN" w:bidi="ar"/>
              </w:rPr>
            </w:pPr>
            <w:r>
              <w:rPr>
                <w:rFonts w:hint="eastAsia"/>
                <w:color w:val="auto"/>
                <w:szCs w:val="21"/>
                <w:highlight w:val="none"/>
                <w:lang w:val="en-US" w:eastAsia="zh-CN" w:bidi="ar"/>
              </w:rPr>
              <w:t>0.05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8"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ascii="Times New Roman" w:hAnsi="Times New Roman" w:eastAsia="宋体" w:cs="Times New Roman"/>
                <w:color w:val="auto"/>
                <w:kern w:val="2"/>
                <w:sz w:val="21"/>
                <w:szCs w:val="21"/>
                <w:highlight w:val="none"/>
                <w:lang w:val="en-US" w:eastAsia="zh-CN" w:bidi="ar-SA"/>
              </w:rPr>
            </w:pPr>
            <w:r>
              <w:rPr>
                <w:color w:val="auto"/>
                <w:szCs w:val="21"/>
                <w:highlight w:val="none"/>
              </w:rPr>
              <w:t>铜（mg/kg）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Cs w:val="21"/>
                <w:highlight w:val="none"/>
                <w:lang w:val="en-US" w:eastAsia="zh-CN" w:bidi="ar"/>
              </w:rPr>
            </w:pPr>
            <w:r>
              <w:rPr>
                <w:rFonts w:hint="eastAsia"/>
                <w:color w:val="auto"/>
                <w:szCs w:val="21"/>
                <w:highlight w:val="none"/>
                <w:lang w:val="en-US" w:eastAsia="zh-CN" w:bidi="ar"/>
              </w:rPr>
              <w:t>143</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Cs w:val="21"/>
                <w:highlight w:val="none"/>
                <w:lang w:val="en-US" w:eastAsia="zh-CN" w:bidi="ar"/>
              </w:rPr>
            </w:pPr>
            <w:r>
              <w:rPr>
                <w:rFonts w:hint="eastAsia"/>
                <w:color w:val="auto"/>
                <w:szCs w:val="21"/>
                <w:highlight w:val="none"/>
                <w:lang w:val="en-US" w:eastAsia="zh-CN" w:bidi="ar"/>
              </w:rPr>
              <w:t>59</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Cs w:val="21"/>
                <w:highlight w:val="none"/>
                <w:lang w:val="en-US" w:eastAsia="zh-CN" w:bidi="ar"/>
              </w:rPr>
            </w:pPr>
            <w:r>
              <w:rPr>
                <w:rFonts w:hint="eastAsia"/>
                <w:color w:val="auto"/>
                <w:szCs w:val="21"/>
                <w:highlight w:val="none"/>
                <w:lang w:val="en-US" w:eastAsia="zh-CN" w:bidi="ar"/>
              </w:rPr>
              <w:t>70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8"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ascii="Times New Roman" w:hAnsi="Times New Roman" w:eastAsia="宋体" w:cs="Times New Roman"/>
                <w:color w:val="auto"/>
                <w:kern w:val="2"/>
                <w:sz w:val="21"/>
                <w:szCs w:val="21"/>
                <w:highlight w:val="none"/>
                <w:lang w:val="en-US" w:eastAsia="zh-CN" w:bidi="ar-SA"/>
              </w:rPr>
            </w:pPr>
            <w:r>
              <w:rPr>
                <w:color w:val="auto"/>
                <w:szCs w:val="21"/>
                <w:highlight w:val="none"/>
              </w:rPr>
              <w:t>铅（mg/kg）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Cs w:val="21"/>
                <w:highlight w:val="none"/>
                <w:lang w:val="en-US" w:eastAsia="zh-CN" w:bidi="ar"/>
              </w:rPr>
            </w:pPr>
            <w:r>
              <w:rPr>
                <w:rFonts w:hint="eastAsia"/>
                <w:color w:val="auto"/>
                <w:szCs w:val="21"/>
                <w:highlight w:val="none"/>
                <w:lang w:val="en-US" w:eastAsia="zh-CN" w:bidi="ar"/>
              </w:rPr>
              <w:t>29</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Cs w:val="21"/>
                <w:highlight w:val="none"/>
                <w:lang w:val="en-US" w:eastAsia="zh-CN" w:bidi="ar"/>
              </w:rPr>
            </w:pPr>
            <w:r>
              <w:rPr>
                <w:rFonts w:hint="eastAsia"/>
                <w:color w:val="auto"/>
                <w:szCs w:val="21"/>
                <w:highlight w:val="none"/>
                <w:lang w:val="en-US" w:eastAsia="zh-CN" w:bidi="ar"/>
              </w:rPr>
              <w:t>50</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Cs w:val="21"/>
                <w:highlight w:val="none"/>
                <w:lang w:val="en-US" w:eastAsia="zh-CN" w:bidi="ar"/>
              </w:rPr>
            </w:pPr>
            <w:r>
              <w:rPr>
                <w:rFonts w:hint="eastAsia"/>
                <w:color w:val="auto"/>
                <w:szCs w:val="21"/>
                <w:highlight w:val="none"/>
                <w:lang w:val="en-US" w:eastAsia="zh-CN" w:bidi="ar"/>
              </w:rPr>
              <w:t>27</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8"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ascii="Times New Roman" w:hAnsi="Times New Roman" w:eastAsia="宋体" w:cs="Times New Roman"/>
                <w:color w:val="auto"/>
                <w:kern w:val="2"/>
                <w:sz w:val="21"/>
                <w:szCs w:val="21"/>
                <w:highlight w:val="none"/>
                <w:lang w:val="en-US" w:eastAsia="zh-CN" w:bidi="ar-SA"/>
              </w:rPr>
            </w:pPr>
            <w:r>
              <w:rPr>
                <w:color w:val="auto"/>
                <w:szCs w:val="21"/>
                <w:highlight w:val="none"/>
              </w:rPr>
              <w:t>镍（mg/kg）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Cs w:val="21"/>
                <w:highlight w:val="none"/>
                <w:lang w:val="en-US" w:eastAsia="zh-CN" w:bidi="ar"/>
              </w:rPr>
            </w:pPr>
            <w:r>
              <w:rPr>
                <w:rFonts w:hint="eastAsia"/>
                <w:color w:val="auto"/>
                <w:szCs w:val="21"/>
                <w:highlight w:val="none"/>
                <w:lang w:val="en-US" w:eastAsia="zh-CN" w:bidi="ar"/>
              </w:rPr>
              <w:t>99</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Cs w:val="21"/>
                <w:highlight w:val="none"/>
                <w:lang w:val="en-US" w:eastAsia="zh-CN" w:bidi="ar"/>
              </w:rPr>
            </w:pPr>
            <w:r>
              <w:rPr>
                <w:rFonts w:hint="eastAsia"/>
                <w:color w:val="auto"/>
                <w:szCs w:val="21"/>
                <w:highlight w:val="none"/>
                <w:lang w:val="en-US" w:eastAsia="zh-CN" w:bidi="ar"/>
              </w:rPr>
              <w:t>56</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Cs w:val="21"/>
                <w:highlight w:val="none"/>
                <w:lang w:val="en-US" w:eastAsia="zh-CN" w:bidi="ar"/>
              </w:rPr>
            </w:pPr>
            <w:r>
              <w:rPr>
                <w:rFonts w:hint="eastAsia"/>
                <w:color w:val="auto"/>
                <w:szCs w:val="21"/>
                <w:highlight w:val="none"/>
                <w:lang w:val="en-US" w:eastAsia="zh-CN" w:bidi="ar"/>
              </w:rPr>
              <w:t>67</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8"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ascii="Times New Roman" w:hAnsi="Times New Roman" w:eastAsia="宋体" w:cs="Times New Roman"/>
                <w:color w:val="auto"/>
                <w:kern w:val="2"/>
                <w:sz w:val="21"/>
                <w:szCs w:val="21"/>
                <w:highlight w:val="none"/>
                <w:lang w:val="en-US" w:eastAsia="zh-CN" w:bidi="ar-SA"/>
              </w:rPr>
            </w:pPr>
            <w:r>
              <w:rPr>
                <w:color w:val="auto"/>
                <w:szCs w:val="21"/>
                <w:highlight w:val="none"/>
              </w:rPr>
              <w:t>汞（mg/kg）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Cs w:val="21"/>
                <w:highlight w:val="none"/>
                <w:lang w:val="en-US" w:eastAsia="zh-CN" w:bidi="ar"/>
              </w:rPr>
            </w:pPr>
            <w:r>
              <w:rPr>
                <w:rFonts w:hint="eastAsia"/>
                <w:color w:val="auto"/>
                <w:szCs w:val="21"/>
                <w:highlight w:val="none"/>
                <w:lang w:val="en-US" w:eastAsia="zh-CN" w:bidi="ar"/>
              </w:rPr>
              <w:t>0.039</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Cs w:val="21"/>
                <w:highlight w:val="none"/>
                <w:lang w:val="en-US" w:eastAsia="zh-CN" w:bidi="ar"/>
              </w:rPr>
            </w:pPr>
            <w:r>
              <w:rPr>
                <w:rFonts w:hint="eastAsia"/>
                <w:color w:val="auto"/>
                <w:szCs w:val="21"/>
                <w:highlight w:val="none"/>
                <w:lang w:val="en-US" w:eastAsia="zh-CN" w:bidi="ar"/>
              </w:rPr>
              <w:t>0.058</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Cs w:val="21"/>
                <w:highlight w:val="none"/>
                <w:lang w:val="en-US" w:eastAsia="zh-CN" w:bidi="ar"/>
              </w:rPr>
            </w:pPr>
            <w:r>
              <w:rPr>
                <w:rFonts w:hint="eastAsia"/>
                <w:color w:val="auto"/>
                <w:szCs w:val="21"/>
                <w:highlight w:val="none"/>
                <w:lang w:val="en-US" w:eastAsia="zh-CN" w:bidi="ar"/>
              </w:rPr>
              <w:t>0.011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8"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ascii="Times New Roman" w:hAnsi="Times New Roman" w:eastAsia="宋体" w:cs="Times New Roman"/>
                <w:color w:val="auto"/>
                <w:kern w:val="2"/>
                <w:sz w:val="21"/>
                <w:szCs w:val="21"/>
                <w:highlight w:val="none"/>
                <w:lang w:val="en-US" w:eastAsia="zh-CN" w:bidi="ar-SA"/>
              </w:rPr>
            </w:pPr>
            <w:r>
              <w:rPr>
                <w:color w:val="auto"/>
                <w:szCs w:val="21"/>
                <w:highlight w:val="none"/>
              </w:rPr>
              <w:t>六价铬（mg/kg）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Cs w:val="21"/>
                <w:highlight w:val="none"/>
                <w:lang w:val="en-US" w:eastAsia="zh-CN" w:bidi="ar"/>
              </w:rPr>
            </w:pPr>
            <w:r>
              <w:rPr>
                <w:rFonts w:hint="eastAsia"/>
                <w:color w:val="auto"/>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Cs w:val="21"/>
                <w:highlight w:val="none"/>
                <w:lang w:val="en-US" w:eastAsia="zh-CN" w:bidi="ar"/>
              </w:rPr>
            </w:pPr>
            <w:r>
              <w:rPr>
                <w:rFonts w:hint="eastAsia"/>
                <w:color w:val="auto"/>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303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color w:val="auto"/>
                <w:szCs w:val="21"/>
                <w:highlight w:val="none"/>
              </w:rPr>
            </w:pPr>
            <w:r>
              <w:rPr>
                <w:color w:val="auto"/>
                <w:szCs w:val="21"/>
                <w:highlight w:val="none"/>
              </w:rPr>
              <w:t>四氯化碳（mg/kg）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color w:val="auto"/>
                <w:szCs w:val="21"/>
                <w:highlight w:val="none"/>
              </w:rPr>
            </w:pPr>
            <w:r>
              <w:rPr>
                <w:color w:val="auto"/>
                <w:szCs w:val="21"/>
                <w:highlight w:val="none"/>
              </w:rPr>
              <w:t>氯仿（mg/kg）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color w:val="auto"/>
                <w:szCs w:val="21"/>
                <w:highlight w:val="none"/>
              </w:rPr>
            </w:pPr>
            <w:r>
              <w:rPr>
                <w:color w:val="auto"/>
                <w:szCs w:val="21"/>
                <w:highlight w:val="none"/>
              </w:rPr>
              <w:t>氯甲烷（mg/kg）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color w:val="auto"/>
                <w:szCs w:val="21"/>
                <w:highlight w:val="none"/>
              </w:rPr>
            </w:pPr>
            <w:r>
              <w:rPr>
                <w:color w:val="auto"/>
                <w:szCs w:val="21"/>
                <w:highlight w:val="none"/>
              </w:rPr>
              <w:t>1，1-二氯乙烷（mg/kg）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color w:val="auto"/>
                <w:szCs w:val="21"/>
                <w:highlight w:val="none"/>
              </w:rPr>
            </w:pPr>
            <w:r>
              <w:rPr>
                <w:color w:val="auto"/>
                <w:szCs w:val="21"/>
                <w:highlight w:val="none"/>
              </w:rPr>
              <w:t>1，2-二氯乙烷（mg/kg）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color w:val="auto"/>
                <w:szCs w:val="21"/>
                <w:highlight w:val="none"/>
              </w:rPr>
            </w:pPr>
            <w:r>
              <w:rPr>
                <w:color w:val="auto"/>
                <w:szCs w:val="21"/>
                <w:highlight w:val="none"/>
              </w:rPr>
              <w:t>1，1二氯乙烯（mg/kg）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color w:val="auto"/>
                <w:szCs w:val="21"/>
                <w:highlight w:val="none"/>
              </w:rPr>
            </w:pPr>
            <w:r>
              <w:rPr>
                <w:color w:val="auto"/>
                <w:szCs w:val="21"/>
                <w:highlight w:val="none"/>
              </w:rPr>
              <w:t>顺1，2二氯乙烯（mg/kg）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color w:val="auto"/>
                <w:szCs w:val="21"/>
                <w:highlight w:val="none"/>
              </w:rPr>
            </w:pPr>
            <w:r>
              <w:rPr>
                <w:color w:val="auto"/>
                <w:szCs w:val="21"/>
                <w:highlight w:val="none"/>
              </w:rPr>
              <w:t>反1，2二氯乙烯（mg/kg）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color w:val="auto"/>
                <w:szCs w:val="21"/>
                <w:highlight w:val="none"/>
              </w:rPr>
            </w:pPr>
            <w:r>
              <w:rPr>
                <w:color w:val="auto"/>
                <w:szCs w:val="21"/>
                <w:highlight w:val="none"/>
              </w:rPr>
              <w:t>二氯甲烷（mg/kg）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color w:val="auto"/>
                <w:szCs w:val="21"/>
                <w:highlight w:val="none"/>
              </w:rPr>
            </w:pPr>
            <w:r>
              <w:rPr>
                <w:color w:val="auto"/>
                <w:szCs w:val="21"/>
                <w:highlight w:val="none"/>
              </w:rPr>
              <w:t>1，2-二氯丙烷（mg/kg）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color w:val="auto"/>
                <w:szCs w:val="21"/>
                <w:highlight w:val="none"/>
              </w:rPr>
            </w:pPr>
            <w:r>
              <w:rPr>
                <w:color w:val="auto"/>
                <w:szCs w:val="21"/>
                <w:highlight w:val="none"/>
              </w:rPr>
              <w:t>1，1，1，2-四氯乙烷（mg/kg）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color w:val="auto"/>
                <w:szCs w:val="21"/>
                <w:highlight w:val="none"/>
              </w:rPr>
            </w:pPr>
            <w:r>
              <w:rPr>
                <w:color w:val="auto"/>
                <w:szCs w:val="21"/>
                <w:highlight w:val="none"/>
              </w:rPr>
              <w:t>1，1，2，2-四氯乙烷（mg/kg）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color w:val="auto"/>
                <w:szCs w:val="21"/>
                <w:highlight w:val="none"/>
              </w:rPr>
            </w:pPr>
            <w:r>
              <w:rPr>
                <w:color w:val="auto"/>
                <w:szCs w:val="21"/>
                <w:highlight w:val="none"/>
              </w:rPr>
              <w:t>四氯乙烯（mg/kg）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color w:val="auto"/>
                <w:szCs w:val="21"/>
                <w:highlight w:val="none"/>
              </w:rPr>
            </w:pPr>
            <w:r>
              <w:rPr>
                <w:color w:val="auto"/>
                <w:szCs w:val="21"/>
                <w:highlight w:val="none"/>
              </w:rPr>
              <w:t>1，1，1-三氯乙烷（mg/kg）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color w:val="auto"/>
                <w:szCs w:val="21"/>
                <w:highlight w:val="none"/>
              </w:rPr>
            </w:pPr>
            <w:r>
              <w:rPr>
                <w:color w:val="auto"/>
                <w:szCs w:val="21"/>
                <w:highlight w:val="none"/>
              </w:rPr>
              <w:t>1，1，2-三氯乙烷（mg/kg）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color w:val="auto"/>
                <w:szCs w:val="21"/>
                <w:highlight w:val="none"/>
              </w:rPr>
            </w:pPr>
            <w:r>
              <w:rPr>
                <w:color w:val="auto"/>
                <w:szCs w:val="21"/>
                <w:highlight w:val="none"/>
              </w:rPr>
              <w:t>三氯乙烯（mg/kg）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82"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color w:val="auto"/>
                <w:szCs w:val="21"/>
                <w:highlight w:val="none"/>
              </w:rPr>
            </w:pPr>
            <w:r>
              <w:rPr>
                <w:color w:val="auto"/>
                <w:szCs w:val="21"/>
                <w:highlight w:val="none"/>
              </w:rPr>
              <w:t>1，2，3-三氯丙烷（mg/kg）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1"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color w:val="auto"/>
                <w:szCs w:val="21"/>
                <w:highlight w:val="none"/>
              </w:rPr>
            </w:pPr>
            <w:r>
              <w:rPr>
                <w:color w:val="auto"/>
                <w:szCs w:val="21"/>
                <w:highlight w:val="none"/>
              </w:rPr>
              <w:t>氯乙烯（mg/kg）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17"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color w:val="auto"/>
                <w:szCs w:val="21"/>
                <w:highlight w:val="none"/>
              </w:rPr>
            </w:pPr>
            <w:r>
              <w:rPr>
                <w:color w:val="auto"/>
                <w:szCs w:val="21"/>
                <w:highlight w:val="none"/>
              </w:rPr>
              <w:t>苯（mg/kg）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9"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color w:val="auto"/>
                <w:szCs w:val="21"/>
                <w:highlight w:val="none"/>
              </w:rPr>
            </w:pPr>
            <w:r>
              <w:rPr>
                <w:color w:val="auto"/>
                <w:szCs w:val="21"/>
                <w:highlight w:val="none"/>
              </w:rPr>
              <w:t>氯苯（mg/kg）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35"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color w:val="auto"/>
                <w:szCs w:val="21"/>
                <w:highlight w:val="none"/>
              </w:rPr>
            </w:pPr>
            <w:r>
              <w:rPr>
                <w:color w:val="auto"/>
                <w:szCs w:val="21"/>
                <w:highlight w:val="none"/>
              </w:rPr>
              <w:t>1，2-二氯苯（mg/kg）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17" w:hRule="atLeast"/>
          <w:tblHeader/>
          <w:jc w:val="center"/>
        </w:trPr>
        <w:tc>
          <w:tcPr>
            <w:tcW w:w="303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80" w:lineRule="exact"/>
              <w:jc w:val="center"/>
              <w:textAlignment w:val="auto"/>
              <w:rPr>
                <w:color w:val="auto"/>
                <w:szCs w:val="21"/>
                <w:highlight w:val="none"/>
              </w:rPr>
            </w:pPr>
            <w:r>
              <w:rPr>
                <w:color w:val="auto"/>
                <w:szCs w:val="21"/>
                <w:highlight w:val="none"/>
              </w:rPr>
              <w:t>1，4-二氯苯（mg/kg）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1"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rPr>
            </w:pPr>
            <w:r>
              <w:rPr>
                <w:szCs w:val="21"/>
                <w:highlight w:val="none"/>
              </w:rPr>
              <w:t>乙苯（mg/kg）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0"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rPr>
            </w:pPr>
            <w:r>
              <w:rPr>
                <w:szCs w:val="21"/>
                <w:highlight w:val="none"/>
              </w:rPr>
              <w:t>苯乙烯（mg/kg）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17"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rPr>
            </w:pPr>
            <w:r>
              <w:rPr>
                <w:szCs w:val="21"/>
                <w:highlight w:val="none"/>
              </w:rPr>
              <w:t>甲苯（mg/kg）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82"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rPr>
            </w:pPr>
            <w:r>
              <w:rPr>
                <w:szCs w:val="21"/>
                <w:highlight w:val="none"/>
              </w:rPr>
              <w:t>间二甲苯+对二甲苯（mg/kg）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82"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rPr>
            </w:pPr>
            <w:r>
              <w:rPr>
                <w:szCs w:val="21"/>
                <w:highlight w:val="none"/>
              </w:rPr>
              <w:t>邻二甲苯（mg/kg）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rPr>
            </w:pPr>
            <w:r>
              <w:rPr>
                <w:szCs w:val="21"/>
                <w:highlight w:val="none"/>
              </w:rPr>
              <w:t>硝基苯（mg/kg）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2"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rPr>
            </w:pPr>
            <w:r>
              <w:rPr>
                <w:szCs w:val="21"/>
                <w:highlight w:val="none"/>
              </w:rPr>
              <w:t>苯胺（mg/kg）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2"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rPr>
            </w:pPr>
            <w:r>
              <w:rPr>
                <w:szCs w:val="21"/>
                <w:highlight w:val="none"/>
              </w:rPr>
              <w:t>2-氯酚（mg/kg）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7"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rPr>
            </w:pPr>
            <w:r>
              <w:rPr>
                <w:szCs w:val="21"/>
                <w:highlight w:val="none"/>
              </w:rPr>
              <w:t>苯并[a]蒽（mg/kg）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52"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rPr>
            </w:pPr>
            <w:r>
              <w:rPr>
                <w:szCs w:val="21"/>
                <w:highlight w:val="none"/>
              </w:rPr>
              <w:t>苯并[a]芘（mg/kg）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rPr>
            </w:pPr>
            <w:r>
              <w:rPr>
                <w:szCs w:val="21"/>
                <w:highlight w:val="none"/>
              </w:rPr>
              <w:t>苯并[b]荧蒽（mg/kg）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rPr>
            </w:pPr>
            <w:r>
              <w:rPr>
                <w:szCs w:val="21"/>
                <w:highlight w:val="none"/>
              </w:rPr>
              <w:t>苯并[k]荧蒽（mg/kg）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70"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rPr>
            </w:pPr>
            <w:r>
              <w:rPr>
                <w:szCs w:val="21"/>
                <w:highlight w:val="none"/>
              </w:rPr>
              <w:t>䓛（mg/kg）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kern w:val="2"/>
                <w:sz w:val="21"/>
                <w:szCs w:val="21"/>
                <w:highlight w:val="none"/>
                <w:lang w:val="en-US" w:eastAsia="zh-CN" w:bidi="ar"/>
              </w:rPr>
            </w:pPr>
            <w:r>
              <w:rPr>
                <w:rFonts w:hint="eastAsia"/>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2"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rPr>
            </w:pPr>
            <w:r>
              <w:rPr>
                <w:szCs w:val="21"/>
                <w:highlight w:val="none"/>
              </w:rPr>
              <w:t>二苯并[a，h]蒽（mg/kg）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lang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lang w:bidi="ar"/>
              </w:rPr>
            </w:pPr>
            <w:r>
              <w:rPr>
                <w:rFonts w:hint="eastAsia"/>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lang w:bidi="ar"/>
              </w:rPr>
            </w:pPr>
            <w:r>
              <w:rPr>
                <w:rFonts w:hint="eastAsia"/>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7"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rPr>
            </w:pPr>
            <w:r>
              <w:rPr>
                <w:szCs w:val="21"/>
                <w:highlight w:val="none"/>
              </w:rPr>
              <w:t>茚并[1，2，3-cd]芘（mg/kg）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lang w:bidi="ar"/>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lang w:bidi="ar"/>
              </w:rPr>
            </w:pPr>
            <w:r>
              <w:rPr>
                <w:rFonts w:hint="eastAsia"/>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lang w:bidi="ar"/>
              </w:rPr>
            </w:pPr>
            <w:r>
              <w:rPr>
                <w:rFonts w:hint="eastAsia"/>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2"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rPr>
            </w:pPr>
            <w:r>
              <w:rPr>
                <w:szCs w:val="21"/>
                <w:highlight w:val="none"/>
              </w:rPr>
              <w:t>萘（mg/kg）</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rPr>
            </w:pPr>
            <w:r>
              <w:rPr>
                <w:rFonts w:hint="eastAsia"/>
                <w:color w:val="auto"/>
                <w:szCs w:val="21"/>
                <w:highlight w:val="none"/>
                <w:lang w:val="en-US" w:eastAsia="zh-CN" w:bidi="ar"/>
              </w:rPr>
              <w:t>ND</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rPr>
            </w:pPr>
            <w:r>
              <w:rPr>
                <w:rFonts w:hint="eastAsia"/>
                <w:szCs w:val="21"/>
                <w:highlight w:val="none"/>
                <w:lang w:val="en-US" w:eastAsia="zh-CN" w:bidi="ar"/>
              </w:rPr>
              <w:t>ND</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szCs w:val="21"/>
                <w:highlight w:val="none"/>
                <w:lang w:bidi="ar"/>
              </w:rPr>
            </w:pPr>
            <w:r>
              <w:rPr>
                <w:rFonts w:hint="eastAsia"/>
                <w:szCs w:val="21"/>
                <w:highlight w:val="none"/>
                <w:lang w:val="en-US" w:eastAsia="zh-CN" w:bidi="ar"/>
              </w:rPr>
              <w:t>ND</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7" w:hRule="atLeast"/>
          <w:tblHeader/>
          <w:jc w:val="center"/>
        </w:trPr>
        <w:tc>
          <w:tcPr>
            <w:tcW w:w="3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eastAsia"/>
                <w:color w:val="auto"/>
                <w:szCs w:val="21"/>
                <w:highlight w:val="none"/>
              </w:rPr>
            </w:pPr>
            <w:r>
              <w:rPr>
                <w:rFonts w:hint="eastAsia"/>
                <w:color w:val="auto"/>
                <w:szCs w:val="21"/>
                <w:highlight w:val="none"/>
              </w:rPr>
              <w:t>石油烃</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Cs w:val="21"/>
                <w:highlight w:val="none"/>
                <w:lang w:val="en-US" w:eastAsia="zh-CN" w:bidi="ar"/>
              </w:rPr>
            </w:pPr>
            <w:r>
              <w:rPr>
                <w:rFonts w:hint="eastAsia"/>
                <w:color w:val="auto"/>
                <w:szCs w:val="21"/>
                <w:highlight w:val="none"/>
                <w:lang w:val="en-US" w:eastAsia="zh-CN" w:bidi="ar"/>
              </w:rPr>
              <w:t>17</w:t>
            </w:r>
          </w:p>
        </w:tc>
        <w:tc>
          <w:tcPr>
            <w:tcW w:w="1743"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Cs w:val="21"/>
                <w:highlight w:val="none"/>
                <w:lang w:val="en-US" w:eastAsia="zh-CN" w:bidi="ar"/>
              </w:rPr>
            </w:pPr>
            <w:r>
              <w:rPr>
                <w:rFonts w:hint="eastAsia"/>
                <w:color w:val="auto"/>
                <w:szCs w:val="21"/>
                <w:highlight w:val="none"/>
                <w:lang w:val="en-US" w:eastAsia="zh-CN" w:bidi="ar"/>
              </w:rPr>
              <w:t>32</w:t>
            </w:r>
          </w:p>
        </w:tc>
        <w:tc>
          <w:tcPr>
            <w:tcW w:w="174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eastAsia="宋体"/>
                <w:color w:val="auto"/>
                <w:szCs w:val="21"/>
                <w:highlight w:val="none"/>
                <w:lang w:val="en-US" w:eastAsia="zh-CN" w:bidi="ar"/>
              </w:rPr>
            </w:pPr>
            <w:r>
              <w:rPr>
                <w:rFonts w:hint="eastAsia"/>
                <w:color w:val="auto"/>
                <w:szCs w:val="21"/>
                <w:highlight w:val="none"/>
                <w:lang w:val="en-US" w:eastAsia="zh-CN" w:bidi="ar"/>
              </w:rPr>
              <w:t>24</w:t>
            </w:r>
          </w:p>
        </w:tc>
      </w:tr>
    </w:tbl>
    <w:p>
      <w:pPr>
        <w:spacing w:line="480" w:lineRule="exact"/>
        <w:ind w:firstLine="482" w:firstLineChars="200"/>
        <w:jc w:val="center"/>
        <w:rPr>
          <w:rFonts w:hint="eastAsia"/>
          <w:b/>
          <w:color w:val="auto"/>
          <w:sz w:val="24"/>
          <w:szCs w:val="24"/>
          <w:highlight w:val="none"/>
        </w:rPr>
      </w:pPr>
      <w:r>
        <w:rPr>
          <w:b/>
          <w:color w:val="auto"/>
          <w:sz w:val="24"/>
          <w:szCs w:val="24"/>
          <w:highlight w:val="none"/>
        </w:rPr>
        <w:t>表</w:t>
      </w:r>
      <w:r>
        <w:rPr>
          <w:rFonts w:hint="eastAsia"/>
          <w:b/>
          <w:color w:val="auto"/>
          <w:sz w:val="24"/>
          <w:szCs w:val="24"/>
          <w:highlight w:val="none"/>
        </w:rPr>
        <w:t>4</w:t>
      </w:r>
      <w:r>
        <w:rPr>
          <w:b/>
          <w:color w:val="auto"/>
          <w:sz w:val="24"/>
          <w:szCs w:val="24"/>
          <w:highlight w:val="none"/>
        </w:rPr>
        <w:t>.</w:t>
      </w:r>
      <w:r>
        <w:rPr>
          <w:rFonts w:hint="eastAsia"/>
          <w:b/>
          <w:color w:val="auto"/>
          <w:sz w:val="24"/>
          <w:szCs w:val="24"/>
          <w:highlight w:val="none"/>
        </w:rPr>
        <w:t>7-</w:t>
      </w:r>
      <w:r>
        <w:rPr>
          <w:rFonts w:hint="eastAsia"/>
          <w:b/>
          <w:color w:val="auto"/>
          <w:sz w:val="24"/>
          <w:szCs w:val="24"/>
          <w:highlight w:val="none"/>
          <w:lang w:val="en-US" w:eastAsia="zh-CN"/>
        </w:rPr>
        <w:t>4</w:t>
      </w:r>
      <w:r>
        <w:rPr>
          <w:b/>
          <w:color w:val="auto"/>
          <w:sz w:val="24"/>
          <w:szCs w:val="24"/>
          <w:highlight w:val="none"/>
        </w:rPr>
        <w:t xml:space="preserve">  土壤环境质量现状</w:t>
      </w:r>
      <w:r>
        <w:rPr>
          <w:rFonts w:hint="eastAsia"/>
          <w:b/>
          <w:color w:val="auto"/>
          <w:sz w:val="24"/>
          <w:szCs w:val="24"/>
          <w:highlight w:val="none"/>
          <w:lang w:eastAsia="zh-CN"/>
        </w:rPr>
        <w:t>评价</w:t>
      </w:r>
      <w:r>
        <w:rPr>
          <w:b/>
          <w:color w:val="auto"/>
          <w:sz w:val="24"/>
          <w:szCs w:val="24"/>
          <w:highlight w:val="none"/>
        </w:rPr>
        <w:t>一览表</w:t>
      </w:r>
      <w:r>
        <w:rPr>
          <w:color w:val="auto"/>
          <w:sz w:val="24"/>
          <w:szCs w:val="24"/>
          <w:highlight w:val="none"/>
        </w:rPr>
        <w:t xml:space="preserve"> </w:t>
      </w:r>
      <w:r>
        <w:rPr>
          <w:rFonts w:hint="eastAsia"/>
          <w:color w:val="auto"/>
          <w:sz w:val="24"/>
          <w:szCs w:val="24"/>
          <w:highlight w:val="none"/>
        </w:rPr>
        <w:t xml:space="preserve">  单位：</w:t>
      </w:r>
      <w:r>
        <w:rPr>
          <w:color w:val="auto"/>
          <w:sz w:val="24"/>
          <w:szCs w:val="24"/>
          <w:highlight w:val="none"/>
        </w:rPr>
        <w:t>mg/kg</w:t>
      </w:r>
    </w:p>
    <w:tbl>
      <w:tblPr>
        <w:tblStyle w:val="51"/>
        <w:tblW w:w="8183"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2149"/>
        <w:gridCol w:w="1661"/>
        <w:gridCol w:w="1661"/>
        <w:gridCol w:w="1662"/>
        <w:gridCol w:w="1050"/>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25" w:hRule="atLeast"/>
          <w:tblHeader/>
          <w:jc w:val="center"/>
        </w:trPr>
        <w:tc>
          <w:tcPr>
            <w:tcW w:w="2149" w:type="dxa"/>
            <w:vMerge w:val="restart"/>
            <w:tcBorders>
              <w:tl2br w:val="nil"/>
              <w:tr2bl w:val="nil"/>
            </w:tcBorders>
            <w:noWrap w:val="0"/>
            <w:vAlign w:val="center"/>
          </w:tcPr>
          <w:p>
            <w:pPr>
              <w:spacing w:line="28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检测项目</w:t>
            </w:r>
          </w:p>
        </w:tc>
        <w:tc>
          <w:tcPr>
            <w:tcW w:w="4984" w:type="dxa"/>
            <w:gridSpan w:val="3"/>
            <w:tcBorders>
              <w:tl2br w:val="nil"/>
              <w:tr2bl w:val="nil"/>
            </w:tcBorders>
            <w:noWrap w:val="0"/>
            <w:vAlign w:val="center"/>
          </w:tcPr>
          <w:p>
            <w:pPr>
              <w:pStyle w:val="29"/>
              <w:adjustRightInd w:val="0"/>
              <w:snapToGrid w:val="0"/>
              <w:spacing w:line="280" w:lineRule="exact"/>
              <w:jc w:val="center"/>
              <w:rPr>
                <w:rFonts w:hint="default" w:ascii="Times New Roman" w:hAnsi="Times New Roman" w:cs="Times New Roman"/>
                <w:color w:val="auto"/>
                <w:szCs w:val="21"/>
                <w:highlight w:val="none"/>
                <w:lang w:val="en-US" w:eastAsia="zh-CN"/>
              </w:rPr>
            </w:pPr>
            <w:r>
              <w:rPr>
                <w:rFonts w:hint="eastAsia" w:ascii="Times New Roman" w:hAnsi="Times New Roman"/>
                <w:color w:val="auto"/>
                <w:szCs w:val="21"/>
                <w:highlight w:val="none"/>
                <w:lang w:val="en-US" w:eastAsia="zh-CN"/>
              </w:rPr>
              <w:t>2022.8.5</w:t>
            </w:r>
          </w:p>
        </w:tc>
        <w:tc>
          <w:tcPr>
            <w:tcW w:w="1050" w:type="dxa"/>
            <w:vMerge w:val="restart"/>
            <w:tcBorders>
              <w:tl2br w:val="nil"/>
              <w:tr2bl w:val="nil"/>
            </w:tcBorders>
            <w:noWrap w:val="0"/>
            <w:vAlign w:val="center"/>
          </w:tcPr>
          <w:p>
            <w:pPr>
              <w:spacing w:line="28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标准值</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2149" w:type="dxa"/>
            <w:vMerge w:val="continue"/>
            <w:tcBorders>
              <w:tl2br w:val="nil"/>
              <w:tr2bl w:val="nil"/>
            </w:tcBorders>
            <w:noWrap w:val="0"/>
            <w:vAlign w:val="center"/>
          </w:tcPr>
          <w:p>
            <w:pPr>
              <w:spacing w:line="280" w:lineRule="exact"/>
              <w:jc w:val="center"/>
              <w:rPr>
                <w:rFonts w:hint="default" w:ascii="Times New Roman" w:hAnsi="Times New Roman" w:cs="Times New Roman"/>
                <w:color w:val="auto"/>
                <w:szCs w:val="21"/>
                <w:highlight w:val="none"/>
              </w:rPr>
            </w:pPr>
          </w:p>
        </w:tc>
        <w:tc>
          <w:tcPr>
            <w:tcW w:w="1661" w:type="dxa"/>
            <w:tcBorders>
              <w:tl2br w:val="nil"/>
              <w:tr2bl w:val="nil"/>
            </w:tcBorders>
            <w:noWrap w:val="0"/>
            <w:vAlign w:val="center"/>
          </w:tcPr>
          <w:p>
            <w:pPr>
              <w:spacing w:line="28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1#厂区内</w:t>
            </w:r>
          </w:p>
        </w:tc>
        <w:tc>
          <w:tcPr>
            <w:tcW w:w="1661" w:type="dxa"/>
            <w:tcBorders>
              <w:tl2br w:val="nil"/>
              <w:tr2bl w:val="nil"/>
            </w:tcBorders>
            <w:noWrap w:val="0"/>
            <w:vAlign w:val="center"/>
          </w:tcPr>
          <w:p>
            <w:pPr>
              <w:spacing w:line="280" w:lineRule="exact"/>
              <w:jc w:val="center"/>
              <w:rPr>
                <w:rFonts w:hint="default"/>
                <w:color w:val="auto"/>
                <w:szCs w:val="21"/>
                <w:highlight w:val="none"/>
                <w:lang w:val="en-US" w:eastAsia="zh-CN"/>
              </w:rPr>
            </w:pPr>
            <w:r>
              <w:rPr>
                <w:rFonts w:hint="eastAsia"/>
                <w:color w:val="auto"/>
                <w:szCs w:val="21"/>
                <w:highlight w:val="none"/>
                <w:lang w:val="en-US" w:eastAsia="zh-CN"/>
              </w:rPr>
              <w:t>2#</w:t>
            </w:r>
          </w:p>
          <w:p>
            <w:pPr>
              <w:spacing w:line="28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000000"/>
                <w:sz w:val="21"/>
                <w:szCs w:val="21"/>
                <w:highlight w:val="none"/>
              </w:rPr>
              <w:t>东</w:t>
            </w:r>
            <w:r>
              <w:rPr>
                <w:rFonts w:hint="eastAsia"/>
                <w:color w:val="000000"/>
                <w:sz w:val="21"/>
                <w:szCs w:val="21"/>
                <w:highlight w:val="none"/>
                <w:lang w:eastAsia="zh-CN"/>
              </w:rPr>
              <w:t>北</w:t>
            </w:r>
            <w:r>
              <w:rPr>
                <w:color w:val="000000"/>
                <w:sz w:val="21"/>
                <w:szCs w:val="21"/>
                <w:highlight w:val="none"/>
              </w:rPr>
              <w:t>侧</w:t>
            </w:r>
            <w:r>
              <w:rPr>
                <w:rFonts w:hint="eastAsia"/>
                <w:color w:val="000000"/>
                <w:sz w:val="21"/>
                <w:szCs w:val="21"/>
                <w:highlight w:val="none"/>
                <w:lang w:val="en-US" w:eastAsia="zh-CN"/>
              </w:rPr>
              <w:t>25</w:t>
            </w:r>
            <w:r>
              <w:rPr>
                <w:color w:val="000000"/>
                <w:sz w:val="21"/>
                <w:szCs w:val="21"/>
                <w:highlight w:val="none"/>
              </w:rPr>
              <w:t>m</w:t>
            </w:r>
          </w:p>
        </w:tc>
        <w:tc>
          <w:tcPr>
            <w:tcW w:w="1662" w:type="dxa"/>
            <w:tcBorders>
              <w:tl2br w:val="nil"/>
              <w:tr2bl w:val="nil"/>
            </w:tcBorders>
            <w:noWrap w:val="0"/>
            <w:vAlign w:val="center"/>
          </w:tcPr>
          <w:p>
            <w:pPr>
              <w:spacing w:line="28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3#</w:t>
            </w:r>
            <w:r>
              <w:rPr>
                <w:rFonts w:hint="eastAsia"/>
                <w:color w:val="000000"/>
                <w:sz w:val="21"/>
                <w:szCs w:val="21"/>
                <w:highlight w:val="none"/>
                <w:lang w:eastAsia="zh-CN"/>
              </w:rPr>
              <w:t>西</w:t>
            </w:r>
            <w:r>
              <w:rPr>
                <w:color w:val="000000"/>
                <w:sz w:val="21"/>
                <w:szCs w:val="21"/>
                <w:highlight w:val="none"/>
              </w:rPr>
              <w:t>南侧</w:t>
            </w:r>
            <w:r>
              <w:rPr>
                <w:rFonts w:hint="eastAsia"/>
                <w:color w:val="000000"/>
                <w:sz w:val="21"/>
                <w:szCs w:val="21"/>
                <w:highlight w:val="none"/>
                <w:lang w:val="en-US" w:eastAsia="zh-CN"/>
              </w:rPr>
              <w:t>8</w:t>
            </w:r>
            <w:r>
              <w:rPr>
                <w:color w:val="000000"/>
                <w:sz w:val="21"/>
                <w:szCs w:val="21"/>
                <w:highlight w:val="none"/>
              </w:rPr>
              <w:t>0m</w:t>
            </w:r>
          </w:p>
        </w:tc>
        <w:tc>
          <w:tcPr>
            <w:tcW w:w="1050" w:type="dxa"/>
            <w:vMerge w:val="continue"/>
            <w:tcBorders>
              <w:tl2br w:val="nil"/>
              <w:tr2bl w:val="nil"/>
            </w:tcBorders>
            <w:noWrap w:val="0"/>
            <w:vAlign w:val="center"/>
          </w:tcPr>
          <w:p>
            <w:pPr>
              <w:spacing w:line="280" w:lineRule="exact"/>
              <w:jc w:val="center"/>
              <w:rPr>
                <w:rFonts w:hint="default" w:ascii="Times New Roman" w:hAnsi="Times New Roman" w:cs="Times New Roman"/>
                <w:color w:val="auto"/>
                <w:szCs w:val="21"/>
                <w:highlight w:val="none"/>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8" w:hRule="atLeast"/>
          <w:tblHeader/>
          <w:jc w:val="center"/>
        </w:trPr>
        <w:tc>
          <w:tcPr>
            <w:tcW w:w="2149" w:type="dxa"/>
            <w:tcBorders>
              <w:tl2br w:val="nil"/>
              <w:tr2bl w:val="nil"/>
            </w:tcBorders>
            <w:noWrap w:val="0"/>
            <w:vAlign w:val="center"/>
          </w:tcPr>
          <w:p>
            <w:pPr>
              <w:spacing w:line="28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砷（mg/kg）</w:t>
            </w:r>
          </w:p>
        </w:tc>
        <w:tc>
          <w:tcPr>
            <w:tcW w:w="166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s="Times New Roman"/>
                <w:color w:val="auto"/>
                <w:kern w:val="2"/>
                <w:sz w:val="21"/>
                <w:szCs w:val="21"/>
                <w:highlight w:val="none"/>
                <w:lang w:val="en-US" w:eastAsia="zh-CN" w:bidi="ar"/>
              </w:rPr>
              <w:t>16.3</w:t>
            </w:r>
          </w:p>
        </w:tc>
        <w:tc>
          <w:tcPr>
            <w:tcW w:w="166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s="Times New Roman"/>
                <w:color w:val="auto"/>
                <w:kern w:val="2"/>
                <w:sz w:val="21"/>
                <w:szCs w:val="21"/>
                <w:highlight w:val="none"/>
                <w:lang w:val="en-US" w:eastAsia="zh-CN" w:bidi="ar"/>
              </w:rPr>
              <w:t>1.72</w:t>
            </w:r>
          </w:p>
        </w:tc>
        <w:tc>
          <w:tcPr>
            <w:tcW w:w="1662"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s="Times New Roman"/>
                <w:color w:val="auto"/>
                <w:kern w:val="2"/>
                <w:sz w:val="21"/>
                <w:szCs w:val="21"/>
                <w:highlight w:val="none"/>
                <w:lang w:val="en-US" w:eastAsia="zh-CN" w:bidi="ar"/>
              </w:rPr>
              <w:t>1.63</w:t>
            </w:r>
          </w:p>
        </w:tc>
        <w:tc>
          <w:tcPr>
            <w:tcW w:w="1050" w:type="dxa"/>
            <w:tcBorders>
              <w:tl2br w:val="nil"/>
              <w:tr2bl w:val="nil"/>
            </w:tcBorders>
            <w:noWrap w:val="0"/>
            <w:vAlign w:val="center"/>
          </w:tcPr>
          <w:p>
            <w:pPr>
              <w:spacing w:line="280" w:lineRule="exact"/>
              <w:jc w:val="center"/>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cs="Times New Roman"/>
                <w:color w:val="auto"/>
                <w:szCs w:val="21"/>
                <w:highlight w:val="none"/>
                <w:lang w:bidi="ar"/>
              </w:rPr>
              <w:t>60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8" w:hRule="atLeast"/>
          <w:tblHeader/>
          <w:jc w:val="center"/>
        </w:trPr>
        <w:tc>
          <w:tcPr>
            <w:tcW w:w="2149" w:type="dxa"/>
            <w:tcBorders>
              <w:tl2br w:val="nil"/>
              <w:tr2bl w:val="nil"/>
            </w:tcBorders>
            <w:noWrap w:val="0"/>
            <w:vAlign w:val="center"/>
          </w:tcPr>
          <w:p>
            <w:pPr>
              <w:spacing w:line="28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镉（mg/kg）</w:t>
            </w:r>
          </w:p>
        </w:tc>
        <w:tc>
          <w:tcPr>
            <w:tcW w:w="166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0.10</w:t>
            </w:r>
          </w:p>
        </w:tc>
        <w:tc>
          <w:tcPr>
            <w:tcW w:w="166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0.07</w:t>
            </w:r>
          </w:p>
        </w:tc>
        <w:tc>
          <w:tcPr>
            <w:tcW w:w="1662"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0.05</w:t>
            </w:r>
          </w:p>
        </w:tc>
        <w:tc>
          <w:tcPr>
            <w:tcW w:w="1050" w:type="dxa"/>
            <w:tcBorders>
              <w:tl2br w:val="nil"/>
              <w:tr2bl w:val="nil"/>
            </w:tcBorders>
            <w:noWrap w:val="0"/>
            <w:vAlign w:val="center"/>
          </w:tcPr>
          <w:p>
            <w:pPr>
              <w:spacing w:line="280" w:lineRule="exact"/>
              <w:jc w:val="center"/>
              <w:rPr>
                <w:rFonts w:hint="default" w:ascii="Times New Roman" w:hAnsi="Times New Roman" w:cs="Times New Roman"/>
                <w:color w:val="auto"/>
                <w:szCs w:val="21"/>
                <w:highlight w:val="none"/>
                <w:lang w:bidi="ar"/>
              </w:rPr>
            </w:pPr>
            <w:r>
              <w:rPr>
                <w:rFonts w:hint="default" w:ascii="Times New Roman" w:hAnsi="Times New Roman" w:cs="Times New Roman"/>
                <w:color w:val="auto"/>
                <w:szCs w:val="21"/>
                <w:highlight w:val="none"/>
                <w:lang w:bidi="ar"/>
              </w:rPr>
              <w:t>65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8" w:hRule="atLeast"/>
          <w:tblHeader/>
          <w:jc w:val="center"/>
        </w:trPr>
        <w:tc>
          <w:tcPr>
            <w:tcW w:w="2149" w:type="dxa"/>
            <w:tcBorders>
              <w:tl2br w:val="nil"/>
              <w:tr2bl w:val="nil"/>
            </w:tcBorders>
            <w:noWrap w:val="0"/>
            <w:vAlign w:val="center"/>
          </w:tcPr>
          <w:p>
            <w:pPr>
              <w:spacing w:line="28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铜（mg/kg）</w:t>
            </w:r>
          </w:p>
        </w:tc>
        <w:tc>
          <w:tcPr>
            <w:tcW w:w="166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143</w:t>
            </w:r>
          </w:p>
        </w:tc>
        <w:tc>
          <w:tcPr>
            <w:tcW w:w="166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59</w:t>
            </w:r>
          </w:p>
        </w:tc>
        <w:tc>
          <w:tcPr>
            <w:tcW w:w="1662"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70</w:t>
            </w:r>
          </w:p>
        </w:tc>
        <w:tc>
          <w:tcPr>
            <w:tcW w:w="1050" w:type="dxa"/>
            <w:tcBorders>
              <w:tl2br w:val="nil"/>
              <w:tr2bl w:val="nil"/>
            </w:tcBorders>
            <w:noWrap w:val="0"/>
            <w:vAlign w:val="center"/>
          </w:tcPr>
          <w:p>
            <w:pPr>
              <w:spacing w:line="280" w:lineRule="exact"/>
              <w:jc w:val="center"/>
              <w:rPr>
                <w:rFonts w:hint="default" w:ascii="Times New Roman" w:hAnsi="Times New Roman" w:cs="Times New Roman"/>
                <w:color w:val="auto"/>
                <w:szCs w:val="21"/>
                <w:highlight w:val="none"/>
                <w:lang w:bidi="ar"/>
              </w:rPr>
            </w:pPr>
            <w:r>
              <w:rPr>
                <w:rFonts w:hint="default" w:ascii="Times New Roman" w:hAnsi="Times New Roman" w:cs="Times New Roman"/>
                <w:color w:val="auto"/>
                <w:szCs w:val="21"/>
                <w:highlight w:val="none"/>
                <w:lang w:bidi="ar"/>
              </w:rPr>
              <w:t>18000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8" w:hRule="atLeast"/>
          <w:tblHeader/>
          <w:jc w:val="center"/>
        </w:trPr>
        <w:tc>
          <w:tcPr>
            <w:tcW w:w="2149" w:type="dxa"/>
            <w:tcBorders>
              <w:tl2br w:val="nil"/>
              <w:tr2bl w:val="nil"/>
            </w:tcBorders>
            <w:noWrap w:val="0"/>
            <w:vAlign w:val="center"/>
          </w:tcPr>
          <w:p>
            <w:pPr>
              <w:spacing w:line="28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铅（mg/kg）</w:t>
            </w:r>
          </w:p>
        </w:tc>
        <w:tc>
          <w:tcPr>
            <w:tcW w:w="166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29</w:t>
            </w:r>
          </w:p>
        </w:tc>
        <w:tc>
          <w:tcPr>
            <w:tcW w:w="166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50</w:t>
            </w:r>
          </w:p>
        </w:tc>
        <w:tc>
          <w:tcPr>
            <w:tcW w:w="1662"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27</w:t>
            </w:r>
          </w:p>
        </w:tc>
        <w:tc>
          <w:tcPr>
            <w:tcW w:w="1050" w:type="dxa"/>
            <w:tcBorders>
              <w:tl2br w:val="nil"/>
              <w:tr2bl w:val="nil"/>
            </w:tcBorders>
            <w:noWrap w:val="0"/>
            <w:vAlign w:val="center"/>
          </w:tcPr>
          <w:p>
            <w:pPr>
              <w:spacing w:line="280" w:lineRule="exact"/>
              <w:jc w:val="center"/>
              <w:rPr>
                <w:rFonts w:hint="default" w:ascii="Times New Roman" w:hAnsi="Times New Roman" w:cs="Times New Roman"/>
                <w:color w:val="auto"/>
                <w:szCs w:val="21"/>
                <w:highlight w:val="none"/>
                <w:lang w:bidi="ar"/>
              </w:rPr>
            </w:pPr>
            <w:r>
              <w:rPr>
                <w:rFonts w:hint="default" w:ascii="Times New Roman" w:hAnsi="Times New Roman" w:cs="Times New Roman"/>
                <w:color w:val="auto"/>
                <w:szCs w:val="21"/>
                <w:highlight w:val="none"/>
                <w:lang w:bidi="ar"/>
              </w:rPr>
              <w:t>800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8" w:hRule="atLeast"/>
          <w:tblHeader/>
          <w:jc w:val="center"/>
        </w:trPr>
        <w:tc>
          <w:tcPr>
            <w:tcW w:w="2149" w:type="dxa"/>
            <w:tcBorders>
              <w:tl2br w:val="nil"/>
              <w:tr2bl w:val="nil"/>
            </w:tcBorders>
            <w:noWrap w:val="0"/>
            <w:vAlign w:val="center"/>
          </w:tcPr>
          <w:p>
            <w:pPr>
              <w:spacing w:line="28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镍（mg/kg）</w:t>
            </w:r>
          </w:p>
        </w:tc>
        <w:tc>
          <w:tcPr>
            <w:tcW w:w="166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99</w:t>
            </w:r>
          </w:p>
        </w:tc>
        <w:tc>
          <w:tcPr>
            <w:tcW w:w="166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56</w:t>
            </w:r>
          </w:p>
        </w:tc>
        <w:tc>
          <w:tcPr>
            <w:tcW w:w="1662"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67</w:t>
            </w:r>
          </w:p>
        </w:tc>
        <w:tc>
          <w:tcPr>
            <w:tcW w:w="1050" w:type="dxa"/>
            <w:tcBorders>
              <w:tl2br w:val="nil"/>
              <w:tr2bl w:val="nil"/>
            </w:tcBorders>
            <w:noWrap w:val="0"/>
            <w:vAlign w:val="center"/>
          </w:tcPr>
          <w:p>
            <w:pPr>
              <w:spacing w:line="280" w:lineRule="exact"/>
              <w:jc w:val="center"/>
              <w:rPr>
                <w:rFonts w:hint="default" w:ascii="Times New Roman" w:hAnsi="Times New Roman" w:cs="Times New Roman"/>
                <w:color w:val="auto"/>
                <w:szCs w:val="21"/>
                <w:highlight w:val="none"/>
                <w:lang w:bidi="ar"/>
              </w:rPr>
            </w:pPr>
            <w:r>
              <w:rPr>
                <w:rFonts w:hint="default" w:ascii="Times New Roman" w:hAnsi="Times New Roman" w:cs="Times New Roman"/>
                <w:color w:val="auto"/>
                <w:szCs w:val="21"/>
                <w:highlight w:val="none"/>
                <w:lang w:bidi="ar"/>
              </w:rPr>
              <w:t>900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8" w:hRule="atLeast"/>
          <w:tblHeader/>
          <w:jc w:val="center"/>
        </w:trPr>
        <w:tc>
          <w:tcPr>
            <w:tcW w:w="2149" w:type="dxa"/>
            <w:tcBorders>
              <w:tl2br w:val="nil"/>
              <w:tr2bl w:val="nil"/>
            </w:tcBorders>
            <w:noWrap w:val="0"/>
            <w:vAlign w:val="center"/>
          </w:tcPr>
          <w:p>
            <w:pPr>
              <w:spacing w:line="28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汞（mg/kg）</w:t>
            </w:r>
          </w:p>
        </w:tc>
        <w:tc>
          <w:tcPr>
            <w:tcW w:w="166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0.039</w:t>
            </w:r>
          </w:p>
        </w:tc>
        <w:tc>
          <w:tcPr>
            <w:tcW w:w="166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0.058</w:t>
            </w:r>
          </w:p>
        </w:tc>
        <w:tc>
          <w:tcPr>
            <w:tcW w:w="1662"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0.011</w:t>
            </w:r>
          </w:p>
        </w:tc>
        <w:tc>
          <w:tcPr>
            <w:tcW w:w="1050" w:type="dxa"/>
            <w:tcBorders>
              <w:tl2br w:val="nil"/>
              <w:tr2bl w:val="nil"/>
            </w:tcBorders>
            <w:noWrap w:val="0"/>
            <w:vAlign w:val="center"/>
          </w:tcPr>
          <w:p>
            <w:pPr>
              <w:spacing w:line="280" w:lineRule="exact"/>
              <w:jc w:val="center"/>
              <w:rPr>
                <w:rFonts w:hint="default" w:ascii="Times New Roman" w:hAnsi="Times New Roman" w:cs="Times New Roman"/>
                <w:color w:val="auto"/>
                <w:szCs w:val="21"/>
                <w:highlight w:val="none"/>
                <w:lang w:bidi="ar"/>
              </w:rPr>
            </w:pPr>
            <w:r>
              <w:rPr>
                <w:rFonts w:hint="default" w:ascii="Times New Roman" w:hAnsi="Times New Roman" w:cs="Times New Roman"/>
                <w:color w:val="auto"/>
                <w:szCs w:val="21"/>
                <w:highlight w:val="none"/>
                <w:lang w:bidi="ar"/>
              </w:rPr>
              <w:t>38</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23" w:hRule="atLeast"/>
          <w:tblHeader/>
          <w:jc w:val="center"/>
        </w:trPr>
        <w:tc>
          <w:tcPr>
            <w:tcW w:w="2149" w:type="dxa"/>
            <w:tcBorders>
              <w:tl2br w:val="nil"/>
              <w:tr2bl w:val="nil"/>
            </w:tcBorders>
            <w:noWrap w:val="0"/>
            <w:vAlign w:val="center"/>
          </w:tcPr>
          <w:p>
            <w:pPr>
              <w:spacing w:line="28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六价铬（mg/kg）</w:t>
            </w:r>
          </w:p>
        </w:tc>
        <w:tc>
          <w:tcPr>
            <w:tcW w:w="166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66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662"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ND</w:t>
            </w:r>
          </w:p>
        </w:tc>
        <w:tc>
          <w:tcPr>
            <w:tcW w:w="1050" w:type="dxa"/>
            <w:tcBorders>
              <w:tl2br w:val="nil"/>
              <w:tr2bl w:val="nil"/>
            </w:tcBorders>
            <w:noWrap w:val="0"/>
            <w:vAlign w:val="center"/>
          </w:tcPr>
          <w:p>
            <w:pPr>
              <w:spacing w:line="280" w:lineRule="exact"/>
              <w:jc w:val="center"/>
              <w:rPr>
                <w:rFonts w:hint="default" w:ascii="Times New Roman" w:hAnsi="Times New Roman" w:cs="Times New Roman"/>
                <w:color w:val="auto"/>
                <w:szCs w:val="21"/>
                <w:highlight w:val="none"/>
                <w:lang w:bidi="ar"/>
              </w:rPr>
            </w:pPr>
            <w:r>
              <w:rPr>
                <w:rFonts w:hint="default" w:ascii="Times New Roman" w:hAnsi="Times New Roman" w:cs="Times New Roman"/>
                <w:color w:val="auto"/>
                <w:szCs w:val="21"/>
                <w:highlight w:val="none"/>
                <w:lang w:bidi="ar"/>
              </w:rPr>
              <w:t>5.7</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7" w:hRule="atLeast"/>
          <w:tblHeader/>
          <w:jc w:val="center"/>
        </w:trPr>
        <w:tc>
          <w:tcPr>
            <w:tcW w:w="2149" w:type="dxa"/>
            <w:tcBorders>
              <w:tl2br w:val="nil"/>
              <w:tr2bl w:val="nil"/>
            </w:tcBorders>
            <w:noWrap w:val="0"/>
            <w:vAlign w:val="center"/>
          </w:tcPr>
          <w:p>
            <w:pPr>
              <w:spacing w:line="28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石油烃（mg/kg）</w:t>
            </w:r>
          </w:p>
        </w:tc>
        <w:tc>
          <w:tcPr>
            <w:tcW w:w="166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17</w:t>
            </w:r>
          </w:p>
        </w:tc>
        <w:tc>
          <w:tcPr>
            <w:tcW w:w="166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32</w:t>
            </w:r>
          </w:p>
        </w:tc>
        <w:tc>
          <w:tcPr>
            <w:tcW w:w="1662"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80" w:lineRule="exact"/>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val="en-US" w:eastAsia="zh-CN" w:bidi="ar"/>
              </w:rPr>
              <w:t>24</w:t>
            </w:r>
          </w:p>
        </w:tc>
        <w:tc>
          <w:tcPr>
            <w:tcW w:w="1050" w:type="dxa"/>
            <w:tcBorders>
              <w:tl2br w:val="nil"/>
              <w:tr2bl w:val="nil"/>
            </w:tcBorders>
            <w:noWrap w:val="0"/>
            <w:vAlign w:val="center"/>
          </w:tcPr>
          <w:p>
            <w:pPr>
              <w:spacing w:line="28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4500</w:t>
            </w:r>
          </w:p>
        </w:tc>
      </w:tr>
    </w:tbl>
    <w:p>
      <w:pPr>
        <w:pStyle w:val="420"/>
        <w:widowControl w:val="0"/>
        <w:spacing w:line="480" w:lineRule="exact"/>
        <w:ind w:firstLine="480" w:firstLineChars="200"/>
        <w:jc w:val="both"/>
        <w:rPr>
          <w:color w:val="000000"/>
          <w:highlight w:val="none"/>
        </w:rPr>
      </w:pPr>
      <w:r>
        <w:rPr>
          <w:color w:val="000000"/>
          <w:highlight w:val="none"/>
        </w:rPr>
        <w:t>通过检测结果可知</w:t>
      </w:r>
      <w:r>
        <w:rPr>
          <w:rFonts w:hint="eastAsia"/>
          <w:color w:val="000000"/>
          <w:highlight w:val="none"/>
        </w:rPr>
        <w:t>：</w:t>
      </w:r>
    </w:p>
    <w:p>
      <w:pPr>
        <w:pStyle w:val="420"/>
        <w:widowControl w:val="0"/>
        <w:spacing w:line="480" w:lineRule="exact"/>
        <w:ind w:firstLine="480" w:firstLineChars="200"/>
        <w:jc w:val="both"/>
        <w:rPr>
          <w:color w:val="000000"/>
          <w:highlight w:val="none"/>
        </w:rPr>
      </w:pPr>
      <w:r>
        <w:rPr>
          <w:rFonts w:hint="eastAsia"/>
          <w:color w:val="000000"/>
          <w:highlight w:val="none"/>
        </w:rPr>
        <w:t>（1）</w:t>
      </w:r>
      <w:r>
        <w:rPr>
          <w:color w:val="000000"/>
          <w:highlight w:val="none"/>
        </w:rPr>
        <w:t>项目厂区范围内以及厂外200m范围内土壤环境质量现状均满足《土壤环境质量建设用地土壤污染风险管控标准（试行）》（GB36600</w:t>
      </w:r>
      <w:r>
        <w:rPr>
          <w:rFonts w:hint="eastAsia"/>
          <w:color w:val="000000"/>
          <w:highlight w:val="none"/>
        </w:rPr>
        <w:t xml:space="preserve"> </w:t>
      </w:r>
      <w:r>
        <w:rPr>
          <w:color w:val="000000"/>
          <w:highlight w:val="none"/>
        </w:rPr>
        <w:t>-2018）第二类用地筛选值标准要求，区域土壤环境较好</w:t>
      </w:r>
      <w:r>
        <w:rPr>
          <w:rFonts w:hint="eastAsia"/>
          <w:color w:val="000000"/>
          <w:highlight w:val="none"/>
        </w:rPr>
        <w:t>。</w:t>
      </w:r>
    </w:p>
    <w:p>
      <w:pPr>
        <w:pStyle w:val="420"/>
        <w:widowControl w:val="0"/>
        <w:spacing w:line="480" w:lineRule="exact"/>
        <w:ind w:firstLine="480" w:firstLineChars="200"/>
        <w:jc w:val="both"/>
        <w:rPr>
          <w:rFonts w:hint="eastAsia"/>
          <w:color w:val="auto"/>
          <w:highlight w:val="none"/>
        </w:rPr>
      </w:pPr>
      <w:r>
        <w:rPr>
          <w:rFonts w:hint="eastAsia"/>
          <w:color w:val="000000"/>
          <w:highlight w:val="none"/>
        </w:rPr>
        <w:t>（2）本次所选取的各土壤监测点的pH值均处于 5.5≤pH＜8.5 之间，现状土壤无</w:t>
      </w:r>
      <w:r>
        <w:rPr>
          <w:rFonts w:hint="eastAsia"/>
          <w:color w:val="auto"/>
          <w:highlight w:val="none"/>
        </w:rPr>
        <w:t>酸化或碱化。</w:t>
      </w:r>
    </w:p>
    <w:p>
      <w:pPr>
        <w:keepNext w:val="0"/>
        <w:keepLines w:val="0"/>
        <w:pageBreakBefore w:val="0"/>
        <w:widowControl w:val="0"/>
        <w:shd w:val="clear" w:color="auto" w:fill="FFFFFF"/>
        <w:kinsoku/>
        <w:wordWrap/>
        <w:overflowPunct/>
        <w:topLinePunct w:val="0"/>
        <w:autoSpaceDE w:val="0"/>
        <w:autoSpaceDN w:val="0"/>
        <w:bidi w:val="0"/>
        <w:adjustRightInd w:val="0"/>
        <w:snapToGrid/>
        <w:spacing w:line="440" w:lineRule="exact"/>
        <w:ind w:firstLine="482"/>
        <w:textAlignment w:val="auto"/>
        <w:rPr>
          <w:rFonts w:hint="eastAsia" w:eastAsia="宋体"/>
          <w:color w:val="auto"/>
          <w:sz w:val="24"/>
          <w:highlight w:val="none"/>
          <w:lang w:eastAsia="zh-CN"/>
        </w:rPr>
      </w:pPr>
      <w:r>
        <w:rPr>
          <w:rFonts w:hint="eastAsia"/>
          <w:color w:val="auto"/>
          <w:sz w:val="24"/>
          <w:highlight w:val="none"/>
        </w:rPr>
        <w:t>滦河大黑汀水库上游所在流域为</w:t>
      </w:r>
      <w:r>
        <w:rPr>
          <w:rFonts w:hint="eastAsia"/>
          <w:color w:val="auto"/>
          <w:sz w:val="24"/>
          <w:highlight w:val="none"/>
          <w:lang w:eastAsia="zh-CN"/>
        </w:rPr>
        <w:t>岩石</w:t>
      </w:r>
      <w:r>
        <w:rPr>
          <w:rFonts w:hint="eastAsia"/>
          <w:color w:val="auto"/>
          <w:sz w:val="24"/>
          <w:highlight w:val="none"/>
        </w:rPr>
        <w:t>山区，“引滦入津工程”</w:t>
      </w:r>
      <w:r>
        <w:rPr>
          <w:rFonts w:hint="eastAsia"/>
          <w:color w:val="auto"/>
          <w:sz w:val="24"/>
          <w:highlight w:val="none"/>
          <w:lang w:eastAsia="zh-CN"/>
        </w:rPr>
        <w:t>本身为天津供水工程</w:t>
      </w:r>
      <w:r>
        <w:rPr>
          <w:rFonts w:hint="eastAsia"/>
          <w:color w:val="auto"/>
          <w:sz w:val="24"/>
          <w:highlight w:val="none"/>
        </w:rPr>
        <w:t>，由大黑汀水库引水到本项目橡胶坝前，主要是封闭钢筋混凝土输水管道和隧道，中途无外来水注入，无泥沙</w:t>
      </w:r>
      <w:r>
        <w:rPr>
          <w:rFonts w:hint="eastAsia"/>
          <w:color w:val="auto"/>
          <w:sz w:val="24"/>
          <w:highlight w:val="none"/>
          <w:lang w:eastAsia="zh-CN"/>
        </w:rPr>
        <w:t>和其它污染物</w:t>
      </w:r>
      <w:r>
        <w:rPr>
          <w:rFonts w:hint="eastAsia"/>
          <w:color w:val="auto"/>
          <w:sz w:val="24"/>
          <w:highlight w:val="none"/>
        </w:rPr>
        <w:t>注入</w:t>
      </w:r>
      <w:r>
        <w:rPr>
          <w:rFonts w:hint="eastAsia"/>
          <w:color w:val="auto"/>
          <w:sz w:val="24"/>
          <w:highlight w:val="none"/>
          <w:lang w:eastAsia="zh-CN"/>
        </w:rPr>
        <w:t>，橡胶坝前、后不存在底泥污染问题。</w:t>
      </w:r>
    </w:p>
    <w:p>
      <w:pPr>
        <w:spacing w:line="480" w:lineRule="exact"/>
        <w:outlineLvl w:val="1"/>
        <w:rPr>
          <w:b/>
          <w:snapToGrid w:val="0"/>
          <w:kern w:val="0"/>
          <w:sz w:val="24"/>
          <w:highlight w:val="none"/>
        </w:rPr>
      </w:pPr>
      <w:bookmarkStart w:id="199" w:name="_Toc30197"/>
      <w:r>
        <w:rPr>
          <w:rFonts w:hint="eastAsia"/>
          <w:b/>
          <w:snapToGrid w:val="0"/>
          <w:kern w:val="0"/>
          <w:sz w:val="24"/>
          <w:highlight w:val="none"/>
        </w:rPr>
        <w:t>4.</w:t>
      </w:r>
      <w:r>
        <w:rPr>
          <w:b/>
          <w:snapToGrid w:val="0"/>
          <w:kern w:val="0"/>
          <w:sz w:val="24"/>
          <w:highlight w:val="none"/>
        </w:rPr>
        <w:t>8</w:t>
      </w:r>
      <w:r>
        <w:rPr>
          <w:rFonts w:hint="eastAsia"/>
          <w:b/>
          <w:snapToGrid w:val="0"/>
          <w:kern w:val="0"/>
          <w:sz w:val="24"/>
          <w:highlight w:val="none"/>
        </w:rPr>
        <w:t xml:space="preserve"> 富营养化现状</w:t>
      </w:r>
      <w:r>
        <w:rPr>
          <w:b/>
          <w:snapToGrid w:val="0"/>
          <w:kern w:val="0"/>
          <w:sz w:val="24"/>
          <w:highlight w:val="none"/>
        </w:rPr>
        <w:t>调查</w:t>
      </w:r>
      <w:bookmarkEnd w:id="199"/>
    </w:p>
    <w:p>
      <w:pPr>
        <w:tabs>
          <w:tab w:val="left" w:pos="1170"/>
        </w:tabs>
        <w:spacing w:line="480" w:lineRule="exact"/>
        <w:outlineLvl w:val="2"/>
        <w:rPr>
          <w:b/>
          <w:sz w:val="24"/>
          <w:highlight w:val="none"/>
        </w:rPr>
      </w:pPr>
      <w:r>
        <w:rPr>
          <w:rFonts w:hint="eastAsia"/>
          <w:b/>
          <w:sz w:val="24"/>
          <w:highlight w:val="none"/>
        </w:rPr>
        <w:t>4.</w:t>
      </w:r>
      <w:r>
        <w:rPr>
          <w:b/>
          <w:sz w:val="24"/>
          <w:highlight w:val="none"/>
        </w:rPr>
        <w:t>8</w:t>
      </w:r>
      <w:r>
        <w:rPr>
          <w:rFonts w:hint="eastAsia"/>
          <w:b/>
          <w:sz w:val="24"/>
          <w:highlight w:val="none"/>
        </w:rPr>
        <w:t>.1 评价标准与评价项目</w:t>
      </w:r>
    </w:p>
    <w:p>
      <w:pPr>
        <w:pStyle w:val="420"/>
        <w:widowControl w:val="0"/>
        <w:spacing w:line="480" w:lineRule="exact"/>
        <w:ind w:firstLine="480" w:firstLineChars="200"/>
        <w:jc w:val="both"/>
        <w:rPr>
          <w:bCs/>
          <w:color w:val="000000"/>
          <w:highlight w:val="none"/>
        </w:rPr>
      </w:pPr>
      <w:r>
        <w:rPr>
          <w:rFonts w:hint="eastAsia"/>
          <w:bCs/>
          <w:color w:val="000000"/>
          <w:highlight w:val="none"/>
        </w:rPr>
        <w:t>参照水利行业标准《地表水资源质量评价技术规程》（SL395-2007），富营养化评价采用综合营养状态指数法。按“贫”、“中”、“富”评价。富营养化状况评价指标主要有：叶绿素a（Chla）、总磷（TP）、总氮（TN）、透明度（SD）、高锰酸盐指数（COD</w:t>
      </w:r>
      <w:r>
        <w:rPr>
          <w:rFonts w:hint="eastAsia"/>
          <w:bCs/>
          <w:color w:val="000000"/>
          <w:highlight w:val="none"/>
          <w:vertAlign w:val="subscript"/>
        </w:rPr>
        <w:t xml:space="preserve"> Mn</w:t>
      </w:r>
      <w:r>
        <w:rPr>
          <w:rFonts w:hint="eastAsia"/>
          <w:bCs/>
          <w:color w:val="000000"/>
          <w:highlight w:val="none"/>
        </w:rPr>
        <w:t>）等5项。</w:t>
      </w:r>
    </w:p>
    <w:p>
      <w:pPr>
        <w:pStyle w:val="420"/>
        <w:widowControl w:val="0"/>
        <w:spacing w:line="480" w:lineRule="exact"/>
        <w:ind w:firstLine="480" w:firstLineChars="200"/>
        <w:jc w:val="both"/>
        <w:rPr>
          <w:bCs/>
          <w:color w:val="000000"/>
          <w:highlight w:val="none"/>
        </w:rPr>
      </w:pPr>
      <w:r>
        <w:rPr>
          <w:rFonts w:hint="eastAsia"/>
          <w:bCs/>
          <w:color w:val="000000"/>
          <w:highlight w:val="none"/>
        </w:rPr>
        <w:t>（1）综合营养状态指数计算公式</w:t>
      </w:r>
    </w:p>
    <w:p>
      <w:pPr>
        <w:pStyle w:val="420"/>
        <w:widowControl w:val="0"/>
        <w:spacing w:line="480" w:lineRule="exact"/>
        <w:ind w:firstLine="480" w:firstLineChars="200"/>
        <w:jc w:val="both"/>
        <w:rPr>
          <w:bCs/>
          <w:color w:val="000000"/>
          <w:highlight w:val="none"/>
        </w:rPr>
      </w:pPr>
      <w:r>
        <w:rPr>
          <w:rFonts w:hint="eastAsia"/>
          <w:bCs/>
          <w:color w:val="000000"/>
          <w:highlight w:val="none"/>
        </w:rPr>
        <w:t>综合营养状态指数采用卡尔森指数方法，计算公式如下：</w:t>
      </w:r>
    </w:p>
    <w:p>
      <w:pPr>
        <w:rPr>
          <w:highlight w:val="none"/>
        </w:rPr>
      </w:pPr>
      <w:r>
        <w:rPr>
          <w:highlight w:val="none"/>
        </w:rPr>
        <w:drawing>
          <wp:anchor distT="0" distB="0" distL="114300" distR="114300" simplePos="0" relativeHeight="251662336" behindDoc="1" locked="0" layoutInCell="1" allowOverlap="1">
            <wp:simplePos x="0" y="0"/>
            <wp:positionH relativeFrom="column">
              <wp:posOffset>1038225</wp:posOffset>
            </wp:positionH>
            <wp:positionV relativeFrom="paragraph">
              <wp:posOffset>127635</wp:posOffset>
            </wp:positionV>
            <wp:extent cx="1685925" cy="609600"/>
            <wp:effectExtent l="0" t="0" r="9525" b="0"/>
            <wp:wrapTight wrapText="bothSides">
              <wp:wrapPolygon>
                <wp:start x="0" y="0"/>
                <wp:lineTo x="0" y="20925"/>
                <wp:lineTo x="21478" y="20925"/>
                <wp:lineTo x="21478" y="0"/>
                <wp:lineTo x="0" y="0"/>
              </wp:wrapPolygon>
            </wp:wrapTight>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4"/>
                    <a:stretch>
                      <a:fillRect/>
                    </a:stretch>
                  </pic:blipFill>
                  <pic:spPr>
                    <a:xfrm>
                      <a:off x="0" y="0"/>
                      <a:ext cx="1685925" cy="609600"/>
                    </a:xfrm>
                    <a:prstGeom prst="rect">
                      <a:avLst/>
                    </a:prstGeom>
                    <a:noFill/>
                    <a:ln>
                      <a:noFill/>
                    </a:ln>
                  </pic:spPr>
                </pic:pic>
              </a:graphicData>
            </a:graphic>
          </wp:anchor>
        </w:drawing>
      </w:r>
    </w:p>
    <w:p>
      <w:pPr>
        <w:tabs>
          <w:tab w:val="left" w:pos="5400"/>
        </w:tabs>
        <w:spacing w:line="480" w:lineRule="exact"/>
        <w:ind w:firstLine="480" w:firstLineChars="200"/>
        <w:jc w:val="left"/>
        <w:rPr>
          <w:sz w:val="24"/>
          <w:highlight w:val="none"/>
        </w:rPr>
      </w:pPr>
    </w:p>
    <w:p>
      <w:pPr>
        <w:tabs>
          <w:tab w:val="left" w:pos="5400"/>
        </w:tabs>
        <w:spacing w:line="480" w:lineRule="exact"/>
        <w:ind w:firstLine="480" w:firstLineChars="200"/>
        <w:jc w:val="left"/>
        <w:rPr>
          <w:sz w:val="24"/>
          <w:highlight w:val="none"/>
        </w:rPr>
      </w:pPr>
      <w:r>
        <w:rPr>
          <w:rFonts w:hint="eastAsia"/>
          <w:sz w:val="24"/>
          <w:highlight w:val="none"/>
        </w:rPr>
        <w:t xml:space="preserve"> </w:t>
      </w:r>
    </w:p>
    <w:p>
      <w:pPr>
        <w:tabs>
          <w:tab w:val="left" w:pos="5400"/>
        </w:tabs>
        <w:spacing w:line="480" w:lineRule="exact"/>
        <w:ind w:firstLine="480" w:firstLineChars="200"/>
        <w:jc w:val="left"/>
        <w:rPr>
          <w:sz w:val="24"/>
          <w:highlight w:val="none"/>
        </w:rPr>
      </w:pPr>
      <w:r>
        <w:rPr>
          <w:rFonts w:hint="eastAsia"/>
          <w:sz w:val="24"/>
          <w:highlight w:val="none"/>
        </w:rPr>
        <w:t>式中：TLI(∑)—综合营养状态指数；</w:t>
      </w:r>
    </w:p>
    <w:p>
      <w:pPr>
        <w:tabs>
          <w:tab w:val="left" w:pos="5400"/>
        </w:tabs>
        <w:spacing w:line="480" w:lineRule="exact"/>
        <w:ind w:firstLine="480" w:firstLineChars="200"/>
        <w:jc w:val="left"/>
        <w:rPr>
          <w:sz w:val="24"/>
          <w:highlight w:val="none"/>
        </w:rPr>
      </w:pPr>
      <w:r>
        <w:rPr>
          <w:rFonts w:hint="eastAsia"/>
          <w:sz w:val="24"/>
          <w:highlight w:val="none"/>
        </w:rPr>
        <w:t>W</w:t>
      </w:r>
      <w:r>
        <w:rPr>
          <w:rFonts w:hint="eastAsia"/>
          <w:sz w:val="24"/>
          <w:highlight w:val="none"/>
          <w:vertAlign w:val="subscript"/>
        </w:rPr>
        <w:t xml:space="preserve"> j</w:t>
      </w:r>
      <w:r>
        <w:rPr>
          <w:rFonts w:hint="eastAsia"/>
          <w:sz w:val="24"/>
          <w:highlight w:val="none"/>
        </w:rPr>
        <w:t xml:space="preserve"> —第 j 种参数的营养状态指数的相关权重；</w:t>
      </w:r>
    </w:p>
    <w:p>
      <w:pPr>
        <w:tabs>
          <w:tab w:val="left" w:pos="5400"/>
        </w:tabs>
        <w:spacing w:line="480" w:lineRule="exact"/>
        <w:ind w:firstLine="480" w:firstLineChars="200"/>
        <w:jc w:val="left"/>
        <w:rPr>
          <w:sz w:val="24"/>
          <w:highlight w:val="none"/>
        </w:rPr>
      </w:pPr>
      <w:r>
        <w:rPr>
          <w:rFonts w:hint="eastAsia"/>
          <w:sz w:val="24"/>
          <w:highlight w:val="none"/>
        </w:rPr>
        <w:t>TLI(j)—代表第 j 种参数的营养状态指数。</w:t>
      </w:r>
    </w:p>
    <w:p>
      <w:pPr>
        <w:tabs>
          <w:tab w:val="left" w:pos="5400"/>
        </w:tabs>
        <w:spacing w:line="480" w:lineRule="exact"/>
        <w:ind w:firstLine="480" w:firstLineChars="200"/>
        <w:jc w:val="left"/>
        <w:rPr>
          <w:sz w:val="24"/>
          <w:highlight w:val="none"/>
        </w:rPr>
      </w:pPr>
      <w:r>
        <w:rPr>
          <w:rFonts w:hint="eastAsia"/>
          <w:sz w:val="24"/>
          <w:highlight w:val="none"/>
        </w:rPr>
        <w:t>以 Chla 作为基准参数，则第 j 种参数的归一化的相关权重计算公式为：</w:t>
      </w:r>
    </w:p>
    <w:p>
      <w:pPr>
        <w:tabs>
          <w:tab w:val="left" w:pos="5400"/>
        </w:tabs>
        <w:spacing w:line="480" w:lineRule="exact"/>
        <w:ind w:firstLine="420" w:firstLineChars="200"/>
        <w:jc w:val="left"/>
        <w:rPr>
          <w:sz w:val="24"/>
          <w:highlight w:val="none"/>
        </w:rPr>
      </w:pPr>
      <w:r>
        <w:rPr>
          <w:highlight w:val="none"/>
        </w:rPr>
        <w:drawing>
          <wp:anchor distT="0" distB="0" distL="114300" distR="114300" simplePos="0" relativeHeight="251663360" behindDoc="1" locked="0" layoutInCell="1" allowOverlap="1">
            <wp:simplePos x="0" y="0"/>
            <wp:positionH relativeFrom="column">
              <wp:posOffset>1438275</wp:posOffset>
            </wp:positionH>
            <wp:positionV relativeFrom="paragraph">
              <wp:posOffset>211455</wp:posOffset>
            </wp:positionV>
            <wp:extent cx="1228725" cy="790575"/>
            <wp:effectExtent l="0" t="0" r="9525" b="47625"/>
            <wp:wrapTight wrapText="bothSides">
              <wp:wrapPolygon>
                <wp:start x="0" y="0"/>
                <wp:lineTo x="0" y="21340"/>
                <wp:lineTo x="21433" y="21340"/>
                <wp:lineTo x="21433" y="0"/>
                <wp:lineTo x="0" y="0"/>
              </wp:wrapPolygon>
            </wp:wrapTight>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65"/>
                    <a:stretch>
                      <a:fillRect/>
                    </a:stretch>
                  </pic:blipFill>
                  <pic:spPr>
                    <a:xfrm>
                      <a:off x="0" y="0"/>
                      <a:ext cx="1228725" cy="790575"/>
                    </a:xfrm>
                    <a:prstGeom prst="rect">
                      <a:avLst/>
                    </a:prstGeom>
                    <a:noFill/>
                    <a:ln>
                      <a:noFill/>
                    </a:ln>
                  </pic:spPr>
                </pic:pic>
              </a:graphicData>
            </a:graphic>
          </wp:anchor>
        </w:drawing>
      </w:r>
      <w:r>
        <w:rPr>
          <w:rFonts w:hint="eastAsia"/>
          <w:sz w:val="24"/>
          <w:highlight w:val="none"/>
        </w:rPr>
        <w:t xml:space="preserve"> </w:t>
      </w:r>
    </w:p>
    <w:p>
      <w:pPr>
        <w:rPr>
          <w:highlight w:val="none"/>
        </w:rPr>
      </w:pPr>
    </w:p>
    <w:p>
      <w:pPr>
        <w:ind w:firstLine="420"/>
        <w:rPr>
          <w:szCs w:val="20"/>
          <w:highlight w:val="none"/>
        </w:rPr>
      </w:pPr>
    </w:p>
    <w:p>
      <w:pPr>
        <w:tabs>
          <w:tab w:val="left" w:pos="5400"/>
        </w:tabs>
        <w:spacing w:line="480" w:lineRule="exact"/>
        <w:ind w:firstLine="480" w:firstLineChars="200"/>
        <w:jc w:val="left"/>
        <w:rPr>
          <w:sz w:val="24"/>
          <w:highlight w:val="none"/>
        </w:rPr>
      </w:pPr>
    </w:p>
    <w:p>
      <w:pPr>
        <w:tabs>
          <w:tab w:val="left" w:pos="5400"/>
        </w:tabs>
        <w:spacing w:line="480" w:lineRule="exact"/>
        <w:ind w:firstLine="480" w:firstLineChars="200"/>
        <w:jc w:val="left"/>
        <w:rPr>
          <w:sz w:val="24"/>
          <w:highlight w:val="none"/>
        </w:rPr>
      </w:pPr>
      <w:r>
        <w:rPr>
          <w:rFonts w:hint="eastAsia"/>
          <w:sz w:val="24"/>
          <w:highlight w:val="none"/>
        </w:rPr>
        <w:t>式中：r</w:t>
      </w:r>
      <w:r>
        <w:rPr>
          <w:rFonts w:hint="eastAsia"/>
          <w:sz w:val="24"/>
          <w:highlight w:val="none"/>
          <w:vertAlign w:val="subscript"/>
        </w:rPr>
        <w:t xml:space="preserve"> ij</w:t>
      </w:r>
      <w:r>
        <w:rPr>
          <w:rFonts w:hint="eastAsia"/>
          <w:sz w:val="24"/>
          <w:highlight w:val="none"/>
        </w:rPr>
        <w:t xml:space="preserve"> —第 j 种参数与基准参数 Chla 的相关系数；</w:t>
      </w:r>
    </w:p>
    <w:p>
      <w:pPr>
        <w:tabs>
          <w:tab w:val="left" w:pos="5400"/>
        </w:tabs>
        <w:spacing w:line="480" w:lineRule="exact"/>
        <w:ind w:firstLine="480" w:firstLineChars="200"/>
        <w:jc w:val="left"/>
        <w:rPr>
          <w:sz w:val="24"/>
          <w:highlight w:val="none"/>
        </w:rPr>
      </w:pPr>
      <w:r>
        <w:rPr>
          <w:rFonts w:hint="eastAsia"/>
          <w:sz w:val="24"/>
          <w:highlight w:val="none"/>
        </w:rPr>
        <w:t>m—评价参数的个数。</w:t>
      </w:r>
    </w:p>
    <w:p>
      <w:pPr>
        <w:tabs>
          <w:tab w:val="left" w:pos="5400"/>
        </w:tabs>
        <w:spacing w:line="480" w:lineRule="exact"/>
        <w:ind w:firstLine="480" w:firstLineChars="200"/>
        <w:jc w:val="left"/>
        <w:rPr>
          <w:sz w:val="24"/>
          <w:highlight w:val="none"/>
        </w:rPr>
      </w:pPr>
      <w:r>
        <w:rPr>
          <w:rFonts w:hint="eastAsia"/>
          <w:sz w:val="24"/>
          <w:highlight w:val="none"/>
        </w:rPr>
        <w:t>中国湖泊（水库）的 Chla 与其它参数之间的相关关系 r</w:t>
      </w:r>
      <w:r>
        <w:rPr>
          <w:rFonts w:hint="eastAsia"/>
          <w:sz w:val="24"/>
          <w:highlight w:val="none"/>
          <w:vertAlign w:val="subscript"/>
        </w:rPr>
        <w:t xml:space="preserve"> ij</w:t>
      </w:r>
      <w:r>
        <w:rPr>
          <w:rFonts w:hint="eastAsia"/>
          <w:sz w:val="24"/>
          <w:highlight w:val="none"/>
        </w:rPr>
        <w:t>及r</w:t>
      </w:r>
      <w:r>
        <w:rPr>
          <w:rFonts w:hint="eastAsia"/>
          <w:sz w:val="24"/>
          <w:highlight w:val="none"/>
          <w:vertAlign w:val="subscript"/>
        </w:rPr>
        <w:t xml:space="preserve"> ij</w:t>
      </w:r>
      <w:r>
        <w:rPr>
          <w:rFonts w:hint="eastAsia"/>
          <w:sz w:val="24"/>
          <w:highlight w:val="none"/>
          <w:vertAlign w:val="superscript"/>
        </w:rPr>
        <w:t>2</w:t>
      </w:r>
      <w:r>
        <w:rPr>
          <w:rFonts w:hint="eastAsia"/>
          <w:sz w:val="24"/>
          <w:highlight w:val="none"/>
        </w:rPr>
        <w:t xml:space="preserve"> 见表4.</w:t>
      </w:r>
      <w:r>
        <w:rPr>
          <w:rFonts w:hint="eastAsia"/>
          <w:sz w:val="24"/>
          <w:highlight w:val="none"/>
          <w:lang w:val="en-US" w:eastAsia="zh-CN"/>
        </w:rPr>
        <w:t>8</w:t>
      </w:r>
      <w:r>
        <w:rPr>
          <w:rFonts w:hint="eastAsia"/>
          <w:sz w:val="24"/>
          <w:highlight w:val="none"/>
        </w:rPr>
        <w:t xml:space="preserve">-1。  </w:t>
      </w:r>
    </w:p>
    <w:p>
      <w:pPr>
        <w:tabs>
          <w:tab w:val="left" w:pos="5400"/>
        </w:tabs>
        <w:spacing w:line="480" w:lineRule="exact"/>
        <w:jc w:val="center"/>
        <w:rPr>
          <w:b/>
          <w:bCs/>
          <w:sz w:val="24"/>
          <w:highlight w:val="none"/>
        </w:rPr>
      </w:pPr>
      <w:r>
        <w:rPr>
          <w:rFonts w:hint="eastAsia"/>
          <w:b/>
          <w:bCs/>
          <w:sz w:val="24"/>
          <w:highlight w:val="none"/>
        </w:rPr>
        <w:t>表4.</w:t>
      </w:r>
      <w:r>
        <w:rPr>
          <w:rFonts w:hint="eastAsia"/>
          <w:b/>
          <w:bCs/>
          <w:sz w:val="24"/>
          <w:highlight w:val="none"/>
          <w:lang w:val="en-US" w:eastAsia="zh-CN"/>
        </w:rPr>
        <w:t>8</w:t>
      </w:r>
      <w:r>
        <w:rPr>
          <w:rFonts w:hint="eastAsia"/>
          <w:b/>
          <w:bCs/>
          <w:sz w:val="24"/>
          <w:highlight w:val="none"/>
        </w:rPr>
        <w:t>-1 中国湖泊(水库)部分参数与Chla的相关关系rij 及 r ij</w:t>
      </w:r>
      <w:r>
        <w:rPr>
          <w:rFonts w:hint="eastAsia"/>
          <w:b/>
          <w:bCs/>
          <w:sz w:val="24"/>
          <w:highlight w:val="none"/>
          <w:vertAlign w:val="superscript"/>
        </w:rPr>
        <w:t>2</w:t>
      </w:r>
      <w:r>
        <w:rPr>
          <w:rFonts w:hint="eastAsia"/>
          <w:b/>
          <w:bCs/>
          <w:sz w:val="24"/>
          <w:highlight w:val="none"/>
        </w:rPr>
        <w:t>值</w:t>
      </w:r>
    </w:p>
    <w:tbl>
      <w:tblPr>
        <w:tblStyle w:val="51"/>
        <w:tblW w:w="4661"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149"/>
        <w:gridCol w:w="1559"/>
        <w:gridCol w:w="1005"/>
        <w:gridCol w:w="1112"/>
        <w:gridCol w:w="1340"/>
        <w:gridCol w:w="177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60" w:hRule="atLeast"/>
          <w:jc w:val="center"/>
        </w:trPr>
        <w:tc>
          <w:tcPr>
            <w:tcW w:w="723" w:type="pct"/>
            <w:noWrap/>
            <w:vAlign w:val="center"/>
          </w:tcPr>
          <w:p>
            <w:pPr>
              <w:widowControl/>
              <w:adjustRightInd w:val="0"/>
              <w:spacing w:line="300" w:lineRule="exact"/>
              <w:jc w:val="center"/>
              <w:textAlignment w:val="baseline"/>
              <w:rPr>
                <w:szCs w:val="21"/>
                <w:highlight w:val="none"/>
              </w:rPr>
            </w:pPr>
            <w:r>
              <w:rPr>
                <w:rFonts w:hint="eastAsia"/>
                <w:szCs w:val="21"/>
                <w:highlight w:val="none"/>
              </w:rPr>
              <w:t>参数</w:t>
            </w:r>
          </w:p>
        </w:tc>
        <w:tc>
          <w:tcPr>
            <w:tcW w:w="981" w:type="pct"/>
            <w:vAlign w:val="center"/>
          </w:tcPr>
          <w:p>
            <w:pPr>
              <w:widowControl/>
              <w:adjustRightInd w:val="0"/>
              <w:spacing w:line="300" w:lineRule="exact"/>
              <w:jc w:val="center"/>
              <w:textAlignment w:val="baseline"/>
              <w:rPr>
                <w:bCs/>
                <w:color w:val="000000"/>
                <w:szCs w:val="21"/>
                <w:highlight w:val="none"/>
              </w:rPr>
            </w:pPr>
            <w:r>
              <w:rPr>
                <w:rFonts w:hint="eastAsia"/>
                <w:bCs/>
                <w:color w:val="000000"/>
                <w:szCs w:val="21"/>
                <w:highlight w:val="none"/>
              </w:rPr>
              <w:t>叶绿素a</w:t>
            </w:r>
          </w:p>
          <w:p>
            <w:pPr>
              <w:widowControl/>
              <w:adjustRightInd w:val="0"/>
              <w:spacing w:line="300" w:lineRule="exact"/>
              <w:jc w:val="center"/>
              <w:textAlignment w:val="baseline"/>
              <w:rPr>
                <w:szCs w:val="21"/>
                <w:highlight w:val="none"/>
              </w:rPr>
            </w:pPr>
            <w:r>
              <w:rPr>
                <w:rFonts w:hint="eastAsia"/>
                <w:bCs/>
                <w:color w:val="000000"/>
                <w:szCs w:val="21"/>
                <w:highlight w:val="none"/>
              </w:rPr>
              <w:t>（Chla）</w:t>
            </w:r>
          </w:p>
        </w:tc>
        <w:tc>
          <w:tcPr>
            <w:tcW w:w="632" w:type="pct"/>
            <w:vAlign w:val="center"/>
          </w:tcPr>
          <w:p>
            <w:pPr>
              <w:widowControl/>
              <w:adjustRightInd w:val="0"/>
              <w:spacing w:line="300" w:lineRule="exact"/>
              <w:jc w:val="center"/>
              <w:textAlignment w:val="baseline"/>
              <w:rPr>
                <w:bCs/>
                <w:color w:val="000000"/>
                <w:szCs w:val="21"/>
                <w:highlight w:val="none"/>
              </w:rPr>
            </w:pPr>
            <w:r>
              <w:rPr>
                <w:rFonts w:hint="eastAsia"/>
                <w:bCs/>
                <w:color w:val="000000"/>
                <w:szCs w:val="21"/>
                <w:highlight w:val="none"/>
              </w:rPr>
              <w:t>总磷</w:t>
            </w:r>
          </w:p>
          <w:p>
            <w:pPr>
              <w:widowControl/>
              <w:adjustRightInd w:val="0"/>
              <w:spacing w:line="300" w:lineRule="exact"/>
              <w:jc w:val="center"/>
              <w:textAlignment w:val="baseline"/>
              <w:rPr>
                <w:szCs w:val="21"/>
                <w:highlight w:val="none"/>
              </w:rPr>
            </w:pPr>
            <w:r>
              <w:rPr>
                <w:rFonts w:hint="eastAsia"/>
                <w:bCs/>
                <w:color w:val="000000"/>
                <w:szCs w:val="21"/>
                <w:highlight w:val="none"/>
              </w:rPr>
              <w:t>（TP）</w:t>
            </w:r>
          </w:p>
        </w:tc>
        <w:tc>
          <w:tcPr>
            <w:tcW w:w="699" w:type="pct"/>
            <w:vAlign w:val="center"/>
          </w:tcPr>
          <w:p>
            <w:pPr>
              <w:widowControl/>
              <w:adjustRightInd w:val="0"/>
              <w:spacing w:line="300" w:lineRule="exact"/>
              <w:jc w:val="center"/>
              <w:textAlignment w:val="baseline"/>
              <w:rPr>
                <w:bCs/>
                <w:color w:val="000000"/>
                <w:szCs w:val="21"/>
                <w:highlight w:val="none"/>
              </w:rPr>
            </w:pPr>
            <w:r>
              <w:rPr>
                <w:rFonts w:hint="eastAsia"/>
                <w:bCs/>
                <w:color w:val="000000"/>
                <w:szCs w:val="21"/>
                <w:highlight w:val="none"/>
              </w:rPr>
              <w:t>总氮</w:t>
            </w:r>
          </w:p>
          <w:p>
            <w:pPr>
              <w:widowControl/>
              <w:adjustRightInd w:val="0"/>
              <w:spacing w:line="300" w:lineRule="exact"/>
              <w:jc w:val="center"/>
              <w:textAlignment w:val="baseline"/>
              <w:rPr>
                <w:szCs w:val="21"/>
                <w:highlight w:val="none"/>
              </w:rPr>
            </w:pPr>
            <w:r>
              <w:rPr>
                <w:rFonts w:hint="eastAsia"/>
                <w:bCs/>
                <w:color w:val="000000"/>
                <w:szCs w:val="21"/>
                <w:highlight w:val="none"/>
              </w:rPr>
              <w:t>（TN）</w:t>
            </w:r>
          </w:p>
        </w:tc>
        <w:tc>
          <w:tcPr>
            <w:tcW w:w="843" w:type="pct"/>
            <w:tcBorders>
              <w:right w:val="single" w:color="auto" w:sz="4" w:space="0"/>
            </w:tcBorders>
            <w:vAlign w:val="center"/>
          </w:tcPr>
          <w:p>
            <w:pPr>
              <w:widowControl/>
              <w:adjustRightInd w:val="0"/>
              <w:spacing w:line="300" w:lineRule="exact"/>
              <w:jc w:val="center"/>
              <w:textAlignment w:val="baseline"/>
              <w:rPr>
                <w:bCs/>
                <w:color w:val="000000"/>
                <w:szCs w:val="21"/>
                <w:highlight w:val="none"/>
              </w:rPr>
            </w:pPr>
            <w:r>
              <w:rPr>
                <w:rFonts w:hint="eastAsia"/>
                <w:bCs/>
                <w:color w:val="000000"/>
                <w:szCs w:val="21"/>
                <w:highlight w:val="none"/>
              </w:rPr>
              <w:t>透明度</w:t>
            </w:r>
          </w:p>
          <w:p>
            <w:pPr>
              <w:widowControl/>
              <w:adjustRightInd w:val="0"/>
              <w:spacing w:line="300" w:lineRule="exact"/>
              <w:jc w:val="center"/>
              <w:textAlignment w:val="baseline"/>
              <w:rPr>
                <w:szCs w:val="21"/>
                <w:highlight w:val="none"/>
              </w:rPr>
            </w:pPr>
            <w:r>
              <w:rPr>
                <w:rFonts w:hint="eastAsia"/>
                <w:bCs/>
                <w:color w:val="000000"/>
                <w:szCs w:val="21"/>
                <w:highlight w:val="none"/>
              </w:rPr>
              <w:t>（SD）</w:t>
            </w:r>
          </w:p>
        </w:tc>
        <w:tc>
          <w:tcPr>
            <w:tcW w:w="1118" w:type="pct"/>
            <w:noWrap/>
            <w:vAlign w:val="center"/>
          </w:tcPr>
          <w:p>
            <w:pPr>
              <w:widowControl/>
              <w:adjustRightInd w:val="0"/>
              <w:spacing w:line="300" w:lineRule="exact"/>
              <w:jc w:val="center"/>
              <w:textAlignment w:val="baseline"/>
              <w:rPr>
                <w:bCs/>
                <w:color w:val="000000"/>
                <w:szCs w:val="21"/>
                <w:highlight w:val="none"/>
              </w:rPr>
            </w:pPr>
            <w:r>
              <w:rPr>
                <w:rFonts w:hint="eastAsia"/>
                <w:bCs/>
                <w:color w:val="000000"/>
                <w:szCs w:val="21"/>
                <w:highlight w:val="none"/>
              </w:rPr>
              <w:t>高锰酸盐指数</w:t>
            </w:r>
          </w:p>
          <w:p>
            <w:pPr>
              <w:widowControl/>
              <w:adjustRightInd w:val="0"/>
              <w:spacing w:line="300" w:lineRule="exact"/>
              <w:jc w:val="center"/>
              <w:textAlignment w:val="baseline"/>
              <w:rPr>
                <w:szCs w:val="21"/>
                <w:highlight w:val="none"/>
              </w:rPr>
            </w:pPr>
            <w:r>
              <w:rPr>
                <w:rFonts w:hint="eastAsia"/>
                <w:bCs/>
                <w:color w:val="000000"/>
                <w:szCs w:val="21"/>
                <w:highlight w:val="none"/>
              </w:rPr>
              <w:t>（COD</w:t>
            </w:r>
            <w:r>
              <w:rPr>
                <w:rFonts w:hint="eastAsia"/>
                <w:bCs/>
                <w:color w:val="000000"/>
                <w:szCs w:val="21"/>
                <w:highlight w:val="none"/>
                <w:vertAlign w:val="subscript"/>
              </w:rPr>
              <w:t xml:space="preserve"> Mn</w:t>
            </w:r>
            <w:r>
              <w:rPr>
                <w:rFonts w:hint="eastAsia"/>
                <w:bCs/>
                <w:color w:val="00000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723" w:type="pct"/>
            <w:noWrap/>
            <w:vAlign w:val="center"/>
          </w:tcPr>
          <w:p>
            <w:pPr>
              <w:widowControl/>
              <w:adjustRightInd w:val="0"/>
              <w:spacing w:line="300" w:lineRule="exact"/>
              <w:jc w:val="center"/>
              <w:textAlignment w:val="baseline"/>
              <w:rPr>
                <w:szCs w:val="21"/>
                <w:highlight w:val="none"/>
              </w:rPr>
            </w:pPr>
            <w:r>
              <w:rPr>
                <w:rFonts w:hint="eastAsia"/>
                <w:sz w:val="24"/>
                <w:highlight w:val="none"/>
              </w:rPr>
              <w:t>r</w:t>
            </w:r>
            <w:r>
              <w:rPr>
                <w:rFonts w:hint="eastAsia"/>
                <w:sz w:val="24"/>
                <w:highlight w:val="none"/>
                <w:vertAlign w:val="subscript"/>
              </w:rPr>
              <w:t xml:space="preserve"> ij</w:t>
            </w:r>
          </w:p>
        </w:tc>
        <w:tc>
          <w:tcPr>
            <w:tcW w:w="981" w:type="pct"/>
            <w:vAlign w:val="center"/>
          </w:tcPr>
          <w:p>
            <w:pPr>
              <w:widowControl/>
              <w:adjustRightInd w:val="0"/>
              <w:spacing w:line="300" w:lineRule="exact"/>
              <w:jc w:val="center"/>
              <w:textAlignment w:val="baseline"/>
              <w:rPr>
                <w:szCs w:val="21"/>
                <w:highlight w:val="none"/>
              </w:rPr>
            </w:pPr>
            <w:r>
              <w:rPr>
                <w:rFonts w:hint="eastAsia"/>
                <w:szCs w:val="21"/>
                <w:highlight w:val="none"/>
              </w:rPr>
              <w:t>1</w:t>
            </w:r>
          </w:p>
        </w:tc>
        <w:tc>
          <w:tcPr>
            <w:tcW w:w="632" w:type="pct"/>
            <w:vAlign w:val="center"/>
          </w:tcPr>
          <w:p>
            <w:pPr>
              <w:widowControl/>
              <w:adjustRightInd w:val="0"/>
              <w:spacing w:line="300" w:lineRule="exact"/>
              <w:jc w:val="center"/>
              <w:textAlignment w:val="baseline"/>
              <w:rPr>
                <w:szCs w:val="21"/>
                <w:highlight w:val="none"/>
              </w:rPr>
            </w:pPr>
            <w:r>
              <w:rPr>
                <w:rFonts w:hint="eastAsia"/>
                <w:szCs w:val="21"/>
                <w:highlight w:val="none"/>
              </w:rPr>
              <w:t>0.84</w:t>
            </w:r>
          </w:p>
        </w:tc>
        <w:tc>
          <w:tcPr>
            <w:tcW w:w="699" w:type="pct"/>
            <w:vAlign w:val="center"/>
          </w:tcPr>
          <w:p>
            <w:pPr>
              <w:widowControl/>
              <w:adjustRightInd w:val="0"/>
              <w:spacing w:line="300" w:lineRule="exact"/>
              <w:jc w:val="center"/>
              <w:textAlignment w:val="baseline"/>
              <w:rPr>
                <w:szCs w:val="21"/>
                <w:highlight w:val="none"/>
              </w:rPr>
            </w:pPr>
            <w:r>
              <w:rPr>
                <w:rFonts w:hint="eastAsia"/>
                <w:szCs w:val="21"/>
                <w:highlight w:val="none"/>
              </w:rPr>
              <w:t>0.82</w:t>
            </w:r>
          </w:p>
        </w:tc>
        <w:tc>
          <w:tcPr>
            <w:tcW w:w="843" w:type="pct"/>
            <w:tcBorders>
              <w:right w:val="single" w:color="auto" w:sz="4" w:space="0"/>
            </w:tcBorders>
            <w:vAlign w:val="center"/>
          </w:tcPr>
          <w:p>
            <w:pPr>
              <w:widowControl/>
              <w:adjustRightInd w:val="0"/>
              <w:spacing w:line="300" w:lineRule="exact"/>
              <w:jc w:val="center"/>
              <w:textAlignment w:val="baseline"/>
              <w:rPr>
                <w:szCs w:val="21"/>
                <w:highlight w:val="none"/>
              </w:rPr>
            </w:pPr>
            <w:r>
              <w:rPr>
                <w:rFonts w:hint="eastAsia"/>
                <w:szCs w:val="21"/>
                <w:highlight w:val="none"/>
              </w:rPr>
              <w:t>-0.83</w:t>
            </w:r>
          </w:p>
        </w:tc>
        <w:tc>
          <w:tcPr>
            <w:tcW w:w="1118" w:type="pct"/>
            <w:noWrap/>
            <w:vAlign w:val="center"/>
          </w:tcPr>
          <w:p>
            <w:pPr>
              <w:widowControl/>
              <w:adjustRightInd w:val="0"/>
              <w:spacing w:line="300" w:lineRule="exact"/>
              <w:jc w:val="center"/>
              <w:textAlignment w:val="baseline"/>
              <w:rPr>
                <w:szCs w:val="21"/>
                <w:highlight w:val="none"/>
              </w:rPr>
            </w:pPr>
            <w:r>
              <w:rPr>
                <w:rFonts w:hint="eastAsia"/>
                <w:szCs w:val="21"/>
                <w:highlight w:val="none"/>
              </w:rPr>
              <w:t>0.83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23" w:type="pct"/>
            <w:noWrap/>
            <w:vAlign w:val="center"/>
          </w:tcPr>
          <w:p>
            <w:pPr>
              <w:widowControl/>
              <w:adjustRightInd w:val="0"/>
              <w:spacing w:line="320" w:lineRule="exact"/>
              <w:jc w:val="center"/>
              <w:textAlignment w:val="baseline"/>
              <w:rPr>
                <w:color w:val="000000"/>
                <w:kern w:val="0"/>
                <w:szCs w:val="21"/>
                <w:highlight w:val="none"/>
              </w:rPr>
            </w:pPr>
            <w:r>
              <w:rPr>
                <w:rFonts w:hint="eastAsia"/>
                <w:sz w:val="24"/>
                <w:highlight w:val="none"/>
              </w:rPr>
              <w:t>r</w:t>
            </w:r>
            <w:r>
              <w:rPr>
                <w:rFonts w:hint="eastAsia"/>
                <w:sz w:val="24"/>
                <w:highlight w:val="none"/>
                <w:vertAlign w:val="subscript"/>
              </w:rPr>
              <w:t xml:space="preserve"> ij</w:t>
            </w:r>
            <w:r>
              <w:rPr>
                <w:rFonts w:hint="eastAsia"/>
                <w:sz w:val="24"/>
                <w:highlight w:val="none"/>
                <w:vertAlign w:val="superscript"/>
              </w:rPr>
              <w:t>2</w:t>
            </w:r>
            <w:r>
              <w:rPr>
                <w:rFonts w:hint="eastAsia"/>
                <w:sz w:val="24"/>
                <w:highlight w:val="none"/>
              </w:rPr>
              <w:t xml:space="preserve"> </w:t>
            </w:r>
          </w:p>
        </w:tc>
        <w:tc>
          <w:tcPr>
            <w:tcW w:w="981" w:type="pct"/>
            <w:vAlign w:val="center"/>
          </w:tcPr>
          <w:p>
            <w:pPr>
              <w:widowControl/>
              <w:adjustRightInd w:val="0"/>
              <w:spacing w:line="320" w:lineRule="exact"/>
              <w:jc w:val="center"/>
              <w:textAlignment w:val="baseline"/>
              <w:rPr>
                <w:color w:val="000000"/>
                <w:kern w:val="0"/>
                <w:szCs w:val="21"/>
                <w:highlight w:val="none"/>
              </w:rPr>
            </w:pPr>
            <w:r>
              <w:rPr>
                <w:rFonts w:hint="eastAsia"/>
                <w:color w:val="000000"/>
                <w:kern w:val="0"/>
                <w:szCs w:val="21"/>
                <w:highlight w:val="none"/>
              </w:rPr>
              <w:t>1</w:t>
            </w:r>
          </w:p>
        </w:tc>
        <w:tc>
          <w:tcPr>
            <w:tcW w:w="632" w:type="pct"/>
            <w:vAlign w:val="center"/>
          </w:tcPr>
          <w:p>
            <w:pPr>
              <w:adjustRightInd w:val="0"/>
              <w:spacing w:line="320" w:lineRule="exact"/>
              <w:jc w:val="center"/>
              <w:textAlignment w:val="baseline"/>
              <w:rPr>
                <w:color w:val="000000"/>
                <w:kern w:val="0"/>
                <w:szCs w:val="21"/>
                <w:highlight w:val="none"/>
              </w:rPr>
            </w:pPr>
            <w:r>
              <w:rPr>
                <w:rFonts w:hint="eastAsia"/>
                <w:color w:val="000000"/>
                <w:kern w:val="0"/>
                <w:szCs w:val="21"/>
                <w:highlight w:val="none"/>
              </w:rPr>
              <w:t>0.7056</w:t>
            </w:r>
          </w:p>
        </w:tc>
        <w:tc>
          <w:tcPr>
            <w:tcW w:w="699" w:type="pct"/>
            <w:vAlign w:val="center"/>
          </w:tcPr>
          <w:p>
            <w:pPr>
              <w:adjustRightInd w:val="0"/>
              <w:spacing w:line="320" w:lineRule="exact"/>
              <w:jc w:val="center"/>
              <w:textAlignment w:val="baseline"/>
              <w:rPr>
                <w:color w:val="000000"/>
                <w:kern w:val="0"/>
                <w:szCs w:val="21"/>
                <w:highlight w:val="none"/>
              </w:rPr>
            </w:pPr>
            <w:r>
              <w:rPr>
                <w:rFonts w:hint="eastAsia"/>
                <w:color w:val="000000"/>
                <w:kern w:val="0"/>
                <w:szCs w:val="21"/>
                <w:highlight w:val="none"/>
              </w:rPr>
              <w:t>0.6724</w:t>
            </w:r>
          </w:p>
        </w:tc>
        <w:tc>
          <w:tcPr>
            <w:tcW w:w="843" w:type="pct"/>
            <w:tcBorders>
              <w:right w:val="single" w:color="auto" w:sz="4" w:space="0"/>
            </w:tcBorders>
            <w:vAlign w:val="center"/>
          </w:tcPr>
          <w:p>
            <w:pPr>
              <w:adjustRightInd w:val="0"/>
              <w:spacing w:line="320" w:lineRule="exact"/>
              <w:jc w:val="center"/>
              <w:textAlignment w:val="baseline"/>
              <w:rPr>
                <w:color w:val="000000"/>
                <w:kern w:val="0"/>
                <w:szCs w:val="21"/>
                <w:highlight w:val="none"/>
              </w:rPr>
            </w:pPr>
            <w:r>
              <w:rPr>
                <w:rFonts w:hint="eastAsia"/>
                <w:color w:val="000000"/>
                <w:kern w:val="0"/>
                <w:szCs w:val="21"/>
                <w:highlight w:val="none"/>
              </w:rPr>
              <w:t>0.6889</w:t>
            </w:r>
          </w:p>
        </w:tc>
        <w:tc>
          <w:tcPr>
            <w:tcW w:w="1118" w:type="pct"/>
            <w:noWrap/>
            <w:vAlign w:val="center"/>
          </w:tcPr>
          <w:p>
            <w:pPr>
              <w:widowControl/>
              <w:adjustRightInd w:val="0"/>
              <w:spacing w:line="320" w:lineRule="exact"/>
              <w:jc w:val="center"/>
              <w:textAlignment w:val="baseline"/>
              <w:rPr>
                <w:color w:val="000000"/>
                <w:kern w:val="0"/>
                <w:szCs w:val="21"/>
                <w:highlight w:val="none"/>
              </w:rPr>
            </w:pPr>
            <w:r>
              <w:rPr>
                <w:rFonts w:hint="eastAsia"/>
                <w:color w:val="000000"/>
                <w:kern w:val="0"/>
                <w:szCs w:val="21"/>
                <w:highlight w:val="none"/>
              </w:rPr>
              <w:t>0.6889</w:t>
            </w:r>
          </w:p>
        </w:tc>
      </w:tr>
    </w:tbl>
    <w:p>
      <w:pPr>
        <w:spacing w:line="480" w:lineRule="exact"/>
        <w:ind w:firstLine="420"/>
        <w:rPr>
          <w:sz w:val="24"/>
          <w:highlight w:val="none"/>
        </w:rPr>
      </w:pPr>
      <w:r>
        <w:rPr>
          <w:rFonts w:hint="eastAsia"/>
          <w:sz w:val="24"/>
          <w:highlight w:val="none"/>
        </w:rPr>
        <w:t>（2）单个项目营养状态指数计算公式</w:t>
      </w:r>
    </w:p>
    <w:p>
      <w:pPr>
        <w:spacing w:line="360" w:lineRule="exact"/>
        <w:ind w:firstLine="420"/>
        <w:rPr>
          <w:sz w:val="24"/>
          <w:highlight w:val="none"/>
        </w:rPr>
      </w:pPr>
    </w:p>
    <w:tbl>
      <w:tblPr>
        <w:tblStyle w:val="52"/>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345"/>
        <w:gridCol w:w="59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5" w:hRule="atLeast"/>
          <w:jc w:val="center"/>
        </w:trPr>
        <w:tc>
          <w:tcPr>
            <w:tcW w:w="5345" w:type="dxa"/>
            <w:tcBorders>
              <w:tl2br w:val="nil"/>
              <w:tr2bl w:val="nil"/>
            </w:tcBorders>
            <w:vAlign w:val="center"/>
          </w:tcPr>
          <w:p>
            <w:pPr>
              <w:pStyle w:val="420"/>
              <w:widowControl w:val="0"/>
              <w:spacing w:line="300" w:lineRule="exact"/>
              <w:jc w:val="both"/>
              <w:rPr>
                <w:bCs/>
                <w:color w:val="000000"/>
                <w:highlight w:val="none"/>
              </w:rPr>
            </w:pPr>
            <w:r>
              <w:rPr>
                <w:rFonts w:hint="eastAsia"/>
                <w:bCs/>
                <w:color w:val="000000"/>
                <w:highlight w:val="none"/>
              </w:rPr>
              <w:t>TLI(Chla) = 10 ( 2.5 + 1.086 lnChla )</w:t>
            </w:r>
          </w:p>
        </w:tc>
        <w:tc>
          <w:tcPr>
            <w:tcW w:w="598" w:type="dxa"/>
            <w:vMerge w:val="restart"/>
            <w:tcBorders>
              <w:tl2br w:val="nil"/>
              <w:tr2bl w:val="nil"/>
            </w:tcBorders>
            <w:vAlign w:val="center"/>
          </w:tcPr>
          <w:p>
            <w:pPr>
              <w:pStyle w:val="420"/>
              <w:widowControl w:val="0"/>
              <w:jc w:val="both"/>
              <w:rPr>
                <w:bCs/>
                <w:color w:val="000000"/>
                <w:highlight w:val="none"/>
              </w:rPr>
            </w:pPr>
            <w:r>
              <w:rPr>
                <w:highlight w:val="none"/>
              </w:rPr>
              <w:drawing>
                <wp:inline distT="0" distB="0" distL="114300" distR="114300">
                  <wp:extent cx="219075" cy="1323975"/>
                  <wp:effectExtent l="0" t="0" r="9525" b="9525"/>
                  <wp:docPr id="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
                          <pic:cNvPicPr>
                            <a:picLocks noChangeAspect="1"/>
                          </pic:cNvPicPr>
                        </pic:nvPicPr>
                        <pic:blipFill>
                          <a:blip r:embed="rId66"/>
                          <a:stretch>
                            <a:fillRect/>
                          </a:stretch>
                        </pic:blipFill>
                        <pic:spPr>
                          <a:xfrm>
                            <a:off x="0" y="0"/>
                            <a:ext cx="219075" cy="132397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0" w:hRule="atLeast"/>
          <w:jc w:val="center"/>
        </w:trPr>
        <w:tc>
          <w:tcPr>
            <w:tcW w:w="5345" w:type="dxa"/>
            <w:tcBorders>
              <w:tl2br w:val="nil"/>
              <w:tr2bl w:val="nil"/>
            </w:tcBorders>
            <w:vAlign w:val="center"/>
          </w:tcPr>
          <w:p>
            <w:pPr>
              <w:pStyle w:val="420"/>
              <w:widowControl w:val="0"/>
              <w:spacing w:line="300" w:lineRule="exact"/>
              <w:jc w:val="both"/>
              <w:rPr>
                <w:bCs/>
                <w:color w:val="000000"/>
                <w:highlight w:val="none"/>
              </w:rPr>
            </w:pPr>
            <w:r>
              <w:rPr>
                <w:rFonts w:hint="eastAsia"/>
                <w:bCs/>
                <w:color w:val="000000"/>
                <w:highlight w:val="none"/>
              </w:rPr>
              <w:t>TLI(TP) = 10 ( 9.436 + 1.624 lnTP )</w:t>
            </w:r>
          </w:p>
        </w:tc>
        <w:tc>
          <w:tcPr>
            <w:tcW w:w="598" w:type="dxa"/>
            <w:vMerge w:val="continue"/>
            <w:tcBorders>
              <w:tl2br w:val="nil"/>
              <w:tr2bl w:val="nil"/>
            </w:tcBorders>
          </w:tcPr>
          <w:p>
            <w:pPr>
              <w:pStyle w:val="420"/>
              <w:widowControl w:val="0"/>
              <w:spacing w:line="300" w:lineRule="exact"/>
              <w:jc w:val="both"/>
              <w:rPr>
                <w:bCs/>
                <w:color w:val="000000"/>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jc w:val="center"/>
        </w:trPr>
        <w:tc>
          <w:tcPr>
            <w:tcW w:w="5345" w:type="dxa"/>
            <w:tcBorders>
              <w:tl2br w:val="nil"/>
              <w:tr2bl w:val="nil"/>
            </w:tcBorders>
            <w:vAlign w:val="center"/>
          </w:tcPr>
          <w:p>
            <w:pPr>
              <w:pStyle w:val="420"/>
              <w:widowControl w:val="0"/>
              <w:spacing w:line="300" w:lineRule="exact"/>
              <w:jc w:val="both"/>
              <w:rPr>
                <w:bCs/>
                <w:color w:val="000000"/>
                <w:highlight w:val="none"/>
              </w:rPr>
            </w:pPr>
            <w:r>
              <w:rPr>
                <w:rFonts w:hint="eastAsia"/>
                <w:bCs/>
                <w:color w:val="000000"/>
                <w:highlight w:val="none"/>
              </w:rPr>
              <w:t>TLI(TN) = 10 ( 5.453 + 1.694 lnTN )</w:t>
            </w:r>
          </w:p>
        </w:tc>
        <w:tc>
          <w:tcPr>
            <w:tcW w:w="598" w:type="dxa"/>
            <w:vMerge w:val="continue"/>
            <w:tcBorders>
              <w:tl2br w:val="nil"/>
              <w:tr2bl w:val="nil"/>
            </w:tcBorders>
          </w:tcPr>
          <w:p>
            <w:pPr>
              <w:pStyle w:val="420"/>
              <w:widowControl w:val="0"/>
              <w:spacing w:line="300" w:lineRule="exact"/>
              <w:jc w:val="both"/>
              <w:rPr>
                <w:bCs/>
                <w:color w:val="000000"/>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0" w:hRule="atLeast"/>
          <w:jc w:val="center"/>
        </w:trPr>
        <w:tc>
          <w:tcPr>
            <w:tcW w:w="5345" w:type="dxa"/>
            <w:tcBorders>
              <w:tl2br w:val="nil"/>
              <w:tr2bl w:val="nil"/>
            </w:tcBorders>
            <w:vAlign w:val="center"/>
          </w:tcPr>
          <w:p>
            <w:pPr>
              <w:pStyle w:val="420"/>
              <w:widowControl w:val="0"/>
              <w:spacing w:line="300" w:lineRule="exact"/>
              <w:jc w:val="both"/>
              <w:rPr>
                <w:bCs/>
                <w:color w:val="000000"/>
                <w:highlight w:val="none"/>
              </w:rPr>
            </w:pPr>
            <w:r>
              <w:rPr>
                <w:rFonts w:hint="eastAsia"/>
                <w:bCs/>
                <w:color w:val="000000"/>
                <w:highlight w:val="none"/>
              </w:rPr>
              <w:t>TLI(SD) = 10 ( 5.118 - 1.94 lnSD )</w:t>
            </w:r>
          </w:p>
        </w:tc>
        <w:tc>
          <w:tcPr>
            <w:tcW w:w="598" w:type="dxa"/>
            <w:vMerge w:val="continue"/>
            <w:tcBorders>
              <w:tl2br w:val="nil"/>
              <w:tr2bl w:val="nil"/>
            </w:tcBorders>
          </w:tcPr>
          <w:p>
            <w:pPr>
              <w:pStyle w:val="420"/>
              <w:widowControl w:val="0"/>
              <w:spacing w:line="300" w:lineRule="exact"/>
              <w:jc w:val="both"/>
              <w:rPr>
                <w:bCs/>
                <w:color w:val="000000"/>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5345" w:type="dxa"/>
            <w:tcBorders>
              <w:tl2br w:val="nil"/>
              <w:tr2bl w:val="nil"/>
            </w:tcBorders>
            <w:vAlign w:val="center"/>
          </w:tcPr>
          <w:p>
            <w:pPr>
              <w:pStyle w:val="420"/>
              <w:widowControl w:val="0"/>
              <w:spacing w:line="300" w:lineRule="exact"/>
              <w:jc w:val="both"/>
              <w:rPr>
                <w:bCs/>
                <w:color w:val="000000"/>
                <w:highlight w:val="none"/>
              </w:rPr>
            </w:pPr>
            <w:r>
              <w:rPr>
                <w:rFonts w:hint="eastAsia"/>
                <w:bCs/>
                <w:color w:val="000000"/>
                <w:highlight w:val="none"/>
              </w:rPr>
              <w:t xml:space="preserve">TLI(COD </w:t>
            </w:r>
            <w:r>
              <w:rPr>
                <w:rFonts w:hint="eastAsia"/>
                <w:bCs/>
                <w:color w:val="000000"/>
                <w:highlight w:val="none"/>
                <w:vertAlign w:val="subscript"/>
              </w:rPr>
              <w:t>Mn</w:t>
            </w:r>
            <w:r>
              <w:rPr>
                <w:rFonts w:hint="eastAsia"/>
                <w:bCs/>
                <w:color w:val="000000"/>
                <w:highlight w:val="none"/>
              </w:rPr>
              <w:t xml:space="preserve"> ) = 10 ( 0.109 + 2.661 lnCOD</w:t>
            </w:r>
            <w:r>
              <w:rPr>
                <w:rFonts w:hint="eastAsia"/>
                <w:bCs/>
                <w:color w:val="000000"/>
                <w:highlight w:val="none"/>
                <w:vertAlign w:val="subscript"/>
              </w:rPr>
              <w:t>Mn</w:t>
            </w:r>
            <w:r>
              <w:rPr>
                <w:rFonts w:hint="eastAsia"/>
                <w:bCs/>
                <w:color w:val="000000"/>
                <w:highlight w:val="none"/>
              </w:rPr>
              <w:t xml:space="preserve"> )</w:t>
            </w:r>
          </w:p>
        </w:tc>
        <w:tc>
          <w:tcPr>
            <w:tcW w:w="598" w:type="dxa"/>
            <w:vMerge w:val="continue"/>
            <w:tcBorders>
              <w:tl2br w:val="nil"/>
              <w:tr2bl w:val="nil"/>
            </w:tcBorders>
          </w:tcPr>
          <w:p>
            <w:pPr>
              <w:pStyle w:val="420"/>
              <w:widowControl w:val="0"/>
              <w:spacing w:line="300" w:lineRule="exact"/>
              <w:jc w:val="both"/>
              <w:rPr>
                <w:bCs/>
                <w:color w:val="000000"/>
                <w:highlight w:val="none"/>
              </w:rPr>
            </w:pPr>
          </w:p>
        </w:tc>
      </w:tr>
    </w:tbl>
    <w:p>
      <w:pPr>
        <w:pStyle w:val="420"/>
        <w:widowControl w:val="0"/>
        <w:spacing w:line="480" w:lineRule="exact"/>
        <w:ind w:firstLine="480" w:firstLineChars="200"/>
        <w:jc w:val="both"/>
        <w:rPr>
          <w:bCs/>
          <w:color w:val="000000"/>
          <w:highlight w:val="none"/>
        </w:rPr>
      </w:pPr>
      <w:r>
        <w:rPr>
          <w:rFonts w:hint="eastAsia"/>
          <w:bCs/>
          <w:color w:val="000000"/>
          <w:highlight w:val="none"/>
        </w:rPr>
        <w:t>式中：Chla单位为mg/m</w:t>
      </w:r>
      <w:r>
        <w:rPr>
          <w:rFonts w:hint="eastAsia"/>
          <w:bCs/>
          <w:color w:val="000000"/>
          <w:highlight w:val="none"/>
          <w:vertAlign w:val="superscript"/>
        </w:rPr>
        <w:t>3</w:t>
      </w:r>
      <w:r>
        <w:rPr>
          <w:rFonts w:hint="eastAsia"/>
          <w:bCs/>
          <w:color w:val="000000"/>
          <w:highlight w:val="none"/>
        </w:rPr>
        <w:t xml:space="preserve"> ；</w:t>
      </w:r>
    </w:p>
    <w:p>
      <w:pPr>
        <w:pStyle w:val="420"/>
        <w:widowControl w:val="0"/>
        <w:spacing w:line="480" w:lineRule="exact"/>
        <w:ind w:firstLine="1200" w:firstLineChars="500"/>
        <w:jc w:val="both"/>
        <w:rPr>
          <w:bCs/>
          <w:color w:val="000000"/>
          <w:highlight w:val="none"/>
        </w:rPr>
      </w:pPr>
      <w:r>
        <w:rPr>
          <w:rFonts w:hint="eastAsia"/>
          <w:bCs/>
          <w:color w:val="000000"/>
          <w:highlight w:val="none"/>
        </w:rPr>
        <w:t>SD单位为m；</w:t>
      </w:r>
    </w:p>
    <w:p>
      <w:pPr>
        <w:pStyle w:val="420"/>
        <w:widowControl w:val="0"/>
        <w:spacing w:line="480" w:lineRule="exact"/>
        <w:ind w:firstLine="1200" w:firstLineChars="500"/>
        <w:jc w:val="both"/>
        <w:rPr>
          <w:bCs/>
          <w:color w:val="000000"/>
          <w:highlight w:val="none"/>
        </w:rPr>
      </w:pPr>
      <w:r>
        <w:rPr>
          <w:rFonts w:hint="eastAsia"/>
          <w:bCs/>
          <w:color w:val="000000"/>
          <w:highlight w:val="none"/>
        </w:rPr>
        <w:t>其它项目单位均为mg/L。</w:t>
      </w:r>
    </w:p>
    <w:p>
      <w:pPr>
        <w:pStyle w:val="420"/>
        <w:widowControl w:val="0"/>
        <w:spacing w:line="480" w:lineRule="exact"/>
        <w:ind w:firstLine="480" w:firstLineChars="200"/>
        <w:jc w:val="both"/>
        <w:rPr>
          <w:bCs/>
          <w:color w:val="000000"/>
          <w:highlight w:val="none"/>
        </w:rPr>
      </w:pPr>
      <w:r>
        <w:rPr>
          <w:rFonts w:hint="eastAsia"/>
          <w:bCs/>
          <w:color w:val="000000"/>
          <w:highlight w:val="none"/>
        </w:rPr>
        <w:t>（3）湖泊水库营养状态分级</w:t>
      </w:r>
    </w:p>
    <w:p>
      <w:pPr>
        <w:pStyle w:val="420"/>
        <w:widowControl w:val="0"/>
        <w:spacing w:line="480" w:lineRule="exact"/>
        <w:ind w:firstLine="480" w:firstLineChars="200"/>
        <w:jc w:val="both"/>
        <w:rPr>
          <w:bCs/>
          <w:color w:val="000000"/>
          <w:highlight w:val="none"/>
        </w:rPr>
      </w:pPr>
      <w:r>
        <w:rPr>
          <w:rFonts w:hint="eastAsia"/>
          <w:bCs/>
          <w:color w:val="000000"/>
          <w:highlight w:val="none"/>
        </w:rPr>
        <w:t>采用 0～100 的一系列连续数字对湖泊营养状态进行分级，包括：贫营养、中营养、富营养、轻度富营养、中度富营养和重度富营养，与污染程度关系如表 4.</w:t>
      </w:r>
      <w:r>
        <w:rPr>
          <w:rFonts w:hint="eastAsia"/>
          <w:bCs/>
          <w:color w:val="000000"/>
          <w:highlight w:val="none"/>
          <w:lang w:val="en-US" w:eastAsia="zh-CN"/>
        </w:rPr>
        <w:t>8</w:t>
      </w:r>
      <w:r>
        <w:rPr>
          <w:rFonts w:hint="eastAsia"/>
          <w:bCs/>
          <w:color w:val="000000"/>
          <w:highlight w:val="none"/>
        </w:rPr>
        <w:t>-2。</w:t>
      </w:r>
    </w:p>
    <w:p>
      <w:pPr>
        <w:tabs>
          <w:tab w:val="left" w:pos="5400"/>
        </w:tabs>
        <w:spacing w:line="480" w:lineRule="exact"/>
        <w:jc w:val="center"/>
        <w:rPr>
          <w:b/>
          <w:bCs/>
          <w:sz w:val="24"/>
          <w:highlight w:val="none"/>
        </w:rPr>
      </w:pPr>
      <w:r>
        <w:rPr>
          <w:rFonts w:hint="eastAsia"/>
          <w:b/>
          <w:bCs/>
          <w:sz w:val="24"/>
          <w:highlight w:val="none"/>
        </w:rPr>
        <w:t>表4.</w:t>
      </w:r>
      <w:r>
        <w:rPr>
          <w:rFonts w:hint="eastAsia"/>
          <w:b/>
          <w:bCs/>
          <w:sz w:val="24"/>
          <w:highlight w:val="none"/>
          <w:lang w:val="en-US" w:eastAsia="zh-CN"/>
        </w:rPr>
        <w:t>8</w:t>
      </w:r>
      <w:r>
        <w:rPr>
          <w:rFonts w:hint="eastAsia"/>
          <w:b/>
          <w:bCs/>
          <w:sz w:val="24"/>
          <w:highlight w:val="none"/>
        </w:rPr>
        <w:t>-2  水质类别与评分值对应表</w:t>
      </w:r>
    </w:p>
    <w:tbl>
      <w:tblPr>
        <w:tblStyle w:val="51"/>
        <w:tblW w:w="4571"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967"/>
        <w:gridCol w:w="3672"/>
        <w:gridCol w:w="2152"/>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5" w:hRule="atLeast"/>
          <w:jc w:val="center"/>
        </w:trPr>
        <w:tc>
          <w:tcPr>
            <w:tcW w:w="1262" w:type="pct"/>
            <w:noWrap/>
            <w:vAlign w:val="center"/>
          </w:tcPr>
          <w:p>
            <w:pPr>
              <w:widowControl/>
              <w:adjustRightInd w:val="0"/>
              <w:spacing w:line="300" w:lineRule="exact"/>
              <w:jc w:val="center"/>
              <w:textAlignment w:val="baseline"/>
              <w:rPr>
                <w:szCs w:val="21"/>
                <w:highlight w:val="none"/>
              </w:rPr>
            </w:pPr>
            <w:r>
              <w:rPr>
                <w:szCs w:val="21"/>
                <w:highlight w:val="none"/>
              </w:rPr>
              <w:t>养状态分级</w:t>
            </w:r>
          </w:p>
        </w:tc>
        <w:tc>
          <w:tcPr>
            <w:tcW w:w="2356" w:type="pct"/>
            <w:vAlign w:val="center"/>
          </w:tcPr>
          <w:p>
            <w:pPr>
              <w:widowControl/>
              <w:adjustRightInd w:val="0"/>
              <w:spacing w:line="300" w:lineRule="exact"/>
              <w:jc w:val="center"/>
              <w:textAlignment w:val="baseline"/>
              <w:rPr>
                <w:szCs w:val="21"/>
                <w:highlight w:val="none"/>
              </w:rPr>
            </w:pPr>
            <w:r>
              <w:rPr>
                <w:szCs w:val="21"/>
                <w:highlight w:val="none"/>
              </w:rPr>
              <w:t>评分值 TLI(∑)</w:t>
            </w:r>
          </w:p>
        </w:tc>
        <w:tc>
          <w:tcPr>
            <w:tcW w:w="1380" w:type="pct"/>
            <w:noWrap/>
            <w:vAlign w:val="center"/>
          </w:tcPr>
          <w:p>
            <w:pPr>
              <w:widowControl/>
              <w:adjustRightInd w:val="0"/>
              <w:spacing w:line="300" w:lineRule="exact"/>
              <w:jc w:val="center"/>
              <w:textAlignment w:val="baseline"/>
              <w:rPr>
                <w:szCs w:val="21"/>
                <w:highlight w:val="none"/>
              </w:rPr>
            </w:pPr>
            <w:r>
              <w:rPr>
                <w:szCs w:val="21"/>
                <w:highlight w:val="none"/>
              </w:rPr>
              <w:t xml:space="preserve"> 定性评价</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1262" w:type="pct"/>
            <w:noWrap/>
            <w:vAlign w:val="center"/>
          </w:tcPr>
          <w:p>
            <w:pPr>
              <w:widowControl/>
              <w:adjustRightInd w:val="0"/>
              <w:spacing w:line="300" w:lineRule="exact"/>
              <w:jc w:val="center"/>
              <w:textAlignment w:val="baseline"/>
              <w:rPr>
                <w:szCs w:val="21"/>
                <w:highlight w:val="none"/>
              </w:rPr>
            </w:pPr>
            <w:r>
              <w:rPr>
                <w:szCs w:val="21"/>
                <w:highlight w:val="none"/>
              </w:rPr>
              <w:t>贫营养</w:t>
            </w:r>
          </w:p>
        </w:tc>
        <w:tc>
          <w:tcPr>
            <w:tcW w:w="2356" w:type="pct"/>
            <w:vAlign w:val="center"/>
          </w:tcPr>
          <w:p>
            <w:pPr>
              <w:widowControl/>
              <w:adjustRightInd w:val="0"/>
              <w:spacing w:line="300" w:lineRule="exact"/>
              <w:jc w:val="center"/>
              <w:textAlignment w:val="baseline"/>
              <w:rPr>
                <w:szCs w:val="21"/>
                <w:highlight w:val="none"/>
              </w:rPr>
            </w:pPr>
            <w:r>
              <w:rPr>
                <w:szCs w:val="21"/>
                <w:highlight w:val="none"/>
              </w:rPr>
              <w:t>0＜TLI(∑)≤30</w:t>
            </w:r>
          </w:p>
        </w:tc>
        <w:tc>
          <w:tcPr>
            <w:tcW w:w="1380" w:type="pct"/>
            <w:noWrap/>
            <w:vAlign w:val="center"/>
          </w:tcPr>
          <w:p>
            <w:pPr>
              <w:widowControl/>
              <w:adjustRightInd w:val="0"/>
              <w:spacing w:line="300" w:lineRule="exact"/>
              <w:jc w:val="center"/>
              <w:textAlignment w:val="baseline"/>
              <w:rPr>
                <w:szCs w:val="21"/>
                <w:highlight w:val="none"/>
              </w:rPr>
            </w:pPr>
            <w:r>
              <w:rPr>
                <w:szCs w:val="21"/>
                <w:highlight w:val="none"/>
              </w:rPr>
              <w:t>优</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62" w:type="pct"/>
            <w:noWrap/>
            <w:vAlign w:val="center"/>
          </w:tcPr>
          <w:p>
            <w:pPr>
              <w:widowControl/>
              <w:adjustRightInd w:val="0"/>
              <w:spacing w:line="300" w:lineRule="exact"/>
              <w:jc w:val="center"/>
              <w:textAlignment w:val="baseline"/>
              <w:rPr>
                <w:color w:val="000000"/>
                <w:kern w:val="0"/>
                <w:szCs w:val="21"/>
                <w:highlight w:val="none"/>
              </w:rPr>
            </w:pPr>
            <w:r>
              <w:rPr>
                <w:szCs w:val="21"/>
                <w:highlight w:val="none"/>
              </w:rPr>
              <w:t>中营养</w:t>
            </w:r>
          </w:p>
        </w:tc>
        <w:tc>
          <w:tcPr>
            <w:tcW w:w="2356" w:type="pct"/>
            <w:vAlign w:val="center"/>
          </w:tcPr>
          <w:p>
            <w:pPr>
              <w:widowControl/>
              <w:adjustRightInd w:val="0"/>
              <w:spacing w:line="300" w:lineRule="exact"/>
              <w:jc w:val="center"/>
              <w:textAlignment w:val="baseline"/>
              <w:rPr>
                <w:color w:val="000000"/>
                <w:kern w:val="0"/>
                <w:szCs w:val="21"/>
                <w:highlight w:val="none"/>
              </w:rPr>
            </w:pPr>
            <w:r>
              <w:rPr>
                <w:szCs w:val="21"/>
                <w:highlight w:val="none"/>
              </w:rPr>
              <w:t xml:space="preserve"> 30＜TLI(∑)≤50</w:t>
            </w:r>
          </w:p>
        </w:tc>
        <w:tc>
          <w:tcPr>
            <w:tcW w:w="1380" w:type="pct"/>
            <w:noWrap/>
            <w:vAlign w:val="center"/>
          </w:tcPr>
          <w:p>
            <w:pPr>
              <w:widowControl/>
              <w:adjustRightInd w:val="0"/>
              <w:spacing w:line="300" w:lineRule="exact"/>
              <w:jc w:val="center"/>
              <w:textAlignment w:val="baseline"/>
              <w:rPr>
                <w:color w:val="000000"/>
                <w:kern w:val="0"/>
                <w:szCs w:val="21"/>
                <w:highlight w:val="none"/>
              </w:rPr>
            </w:pPr>
            <w:r>
              <w:rPr>
                <w:szCs w:val="21"/>
                <w:highlight w:val="none"/>
              </w:rPr>
              <w:t>良好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62" w:type="pct"/>
            <w:noWrap/>
            <w:vAlign w:val="center"/>
          </w:tcPr>
          <w:p>
            <w:pPr>
              <w:widowControl/>
              <w:adjustRightInd w:val="0"/>
              <w:spacing w:line="300" w:lineRule="exact"/>
              <w:jc w:val="center"/>
              <w:textAlignment w:val="baseline"/>
              <w:rPr>
                <w:szCs w:val="21"/>
                <w:highlight w:val="none"/>
              </w:rPr>
            </w:pPr>
            <w:r>
              <w:rPr>
                <w:szCs w:val="21"/>
                <w:highlight w:val="none"/>
              </w:rPr>
              <w:t>轻度富营养</w:t>
            </w:r>
          </w:p>
        </w:tc>
        <w:tc>
          <w:tcPr>
            <w:tcW w:w="2356" w:type="pct"/>
            <w:vAlign w:val="center"/>
          </w:tcPr>
          <w:p>
            <w:pPr>
              <w:widowControl/>
              <w:adjustRightInd w:val="0"/>
              <w:spacing w:line="300" w:lineRule="exact"/>
              <w:jc w:val="center"/>
              <w:textAlignment w:val="baseline"/>
              <w:rPr>
                <w:color w:val="000000"/>
                <w:kern w:val="0"/>
                <w:szCs w:val="21"/>
                <w:highlight w:val="none"/>
              </w:rPr>
            </w:pPr>
            <w:r>
              <w:rPr>
                <w:szCs w:val="21"/>
                <w:highlight w:val="none"/>
              </w:rPr>
              <w:t>50＜TLI(∑)≤60</w:t>
            </w:r>
          </w:p>
        </w:tc>
        <w:tc>
          <w:tcPr>
            <w:tcW w:w="1380" w:type="pct"/>
            <w:noWrap/>
            <w:vAlign w:val="center"/>
          </w:tcPr>
          <w:p>
            <w:pPr>
              <w:widowControl/>
              <w:adjustRightInd w:val="0"/>
              <w:spacing w:line="300" w:lineRule="exact"/>
              <w:jc w:val="center"/>
              <w:textAlignment w:val="baseline"/>
              <w:rPr>
                <w:color w:val="000000"/>
                <w:kern w:val="0"/>
                <w:szCs w:val="21"/>
                <w:highlight w:val="none"/>
              </w:rPr>
            </w:pPr>
            <w:r>
              <w:rPr>
                <w:szCs w:val="21"/>
                <w:highlight w:val="none"/>
              </w:rPr>
              <w:t>轻度污染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62" w:type="pct"/>
            <w:noWrap/>
            <w:vAlign w:val="center"/>
          </w:tcPr>
          <w:p>
            <w:pPr>
              <w:widowControl/>
              <w:adjustRightInd w:val="0"/>
              <w:spacing w:line="300" w:lineRule="exact"/>
              <w:jc w:val="center"/>
              <w:textAlignment w:val="baseline"/>
              <w:rPr>
                <w:szCs w:val="21"/>
                <w:highlight w:val="none"/>
              </w:rPr>
            </w:pPr>
            <w:r>
              <w:rPr>
                <w:szCs w:val="21"/>
                <w:highlight w:val="none"/>
              </w:rPr>
              <w:t>中度富营养</w:t>
            </w:r>
          </w:p>
        </w:tc>
        <w:tc>
          <w:tcPr>
            <w:tcW w:w="2356" w:type="pct"/>
            <w:vAlign w:val="center"/>
          </w:tcPr>
          <w:p>
            <w:pPr>
              <w:widowControl/>
              <w:adjustRightInd w:val="0"/>
              <w:spacing w:line="300" w:lineRule="exact"/>
              <w:jc w:val="center"/>
              <w:textAlignment w:val="baseline"/>
              <w:rPr>
                <w:color w:val="000000"/>
                <w:kern w:val="0"/>
                <w:szCs w:val="21"/>
                <w:highlight w:val="none"/>
              </w:rPr>
            </w:pPr>
            <w:r>
              <w:rPr>
                <w:szCs w:val="21"/>
                <w:highlight w:val="none"/>
              </w:rPr>
              <w:t xml:space="preserve">60＜TLI(∑)≤70 </w:t>
            </w:r>
          </w:p>
        </w:tc>
        <w:tc>
          <w:tcPr>
            <w:tcW w:w="1380" w:type="pct"/>
            <w:noWrap/>
            <w:vAlign w:val="center"/>
          </w:tcPr>
          <w:p>
            <w:pPr>
              <w:widowControl/>
              <w:adjustRightInd w:val="0"/>
              <w:spacing w:line="300" w:lineRule="exact"/>
              <w:jc w:val="center"/>
              <w:textAlignment w:val="baseline"/>
              <w:rPr>
                <w:color w:val="000000"/>
                <w:kern w:val="0"/>
                <w:szCs w:val="21"/>
                <w:highlight w:val="none"/>
              </w:rPr>
            </w:pPr>
            <w:r>
              <w:rPr>
                <w:szCs w:val="21"/>
                <w:highlight w:val="none"/>
              </w:rPr>
              <w:t>中度污染</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62" w:type="pct"/>
            <w:noWrap/>
            <w:vAlign w:val="center"/>
          </w:tcPr>
          <w:p>
            <w:pPr>
              <w:widowControl/>
              <w:adjustRightInd w:val="0"/>
              <w:spacing w:line="300" w:lineRule="exact"/>
              <w:jc w:val="center"/>
              <w:textAlignment w:val="baseline"/>
              <w:rPr>
                <w:szCs w:val="21"/>
                <w:highlight w:val="none"/>
              </w:rPr>
            </w:pPr>
            <w:r>
              <w:rPr>
                <w:szCs w:val="21"/>
                <w:highlight w:val="none"/>
              </w:rPr>
              <w:t>重度富营养</w:t>
            </w:r>
          </w:p>
        </w:tc>
        <w:tc>
          <w:tcPr>
            <w:tcW w:w="2356" w:type="pct"/>
            <w:vAlign w:val="center"/>
          </w:tcPr>
          <w:p>
            <w:pPr>
              <w:widowControl/>
              <w:adjustRightInd w:val="0"/>
              <w:spacing w:line="300" w:lineRule="exact"/>
              <w:jc w:val="center"/>
              <w:textAlignment w:val="baseline"/>
              <w:rPr>
                <w:szCs w:val="21"/>
                <w:highlight w:val="none"/>
              </w:rPr>
            </w:pPr>
            <w:r>
              <w:rPr>
                <w:szCs w:val="21"/>
                <w:highlight w:val="none"/>
              </w:rPr>
              <w:t>70＜TLI(∑)≤100</w:t>
            </w:r>
          </w:p>
        </w:tc>
        <w:tc>
          <w:tcPr>
            <w:tcW w:w="1380" w:type="pct"/>
            <w:noWrap/>
            <w:vAlign w:val="center"/>
          </w:tcPr>
          <w:p>
            <w:pPr>
              <w:pStyle w:val="420"/>
              <w:widowControl w:val="0"/>
              <w:spacing w:line="300" w:lineRule="exact"/>
              <w:ind w:firstLine="420" w:firstLineChars="200"/>
              <w:jc w:val="both"/>
              <w:rPr>
                <w:kern w:val="2"/>
                <w:sz w:val="21"/>
                <w:szCs w:val="21"/>
                <w:highlight w:val="none"/>
              </w:rPr>
            </w:pPr>
            <w:r>
              <w:rPr>
                <w:kern w:val="2"/>
                <w:sz w:val="21"/>
                <w:szCs w:val="21"/>
                <w:highlight w:val="none"/>
              </w:rPr>
              <w:t xml:space="preserve"> 重度污染</w:t>
            </w:r>
          </w:p>
        </w:tc>
      </w:tr>
    </w:tbl>
    <w:p>
      <w:pPr>
        <w:pStyle w:val="420"/>
        <w:widowControl w:val="0"/>
        <w:spacing w:line="480" w:lineRule="exact"/>
        <w:jc w:val="both"/>
        <w:rPr>
          <w:b/>
          <w:color w:val="auto"/>
          <w:highlight w:val="none"/>
        </w:rPr>
      </w:pPr>
      <w:r>
        <w:rPr>
          <w:rFonts w:hint="eastAsia"/>
          <w:b/>
          <w:color w:val="000000"/>
          <w:highlight w:val="none"/>
        </w:rPr>
        <w:t>4.</w:t>
      </w:r>
      <w:r>
        <w:rPr>
          <w:b/>
          <w:color w:val="000000"/>
          <w:highlight w:val="none"/>
        </w:rPr>
        <w:t>8</w:t>
      </w:r>
      <w:r>
        <w:rPr>
          <w:rFonts w:hint="eastAsia"/>
          <w:b/>
          <w:color w:val="000000"/>
          <w:highlight w:val="none"/>
        </w:rPr>
        <w:t>.2 营养</w:t>
      </w:r>
      <w:r>
        <w:rPr>
          <w:rFonts w:hint="eastAsia"/>
          <w:b/>
          <w:color w:val="auto"/>
          <w:highlight w:val="none"/>
        </w:rPr>
        <w:t>化评价结果</w:t>
      </w:r>
    </w:p>
    <w:p>
      <w:pPr>
        <w:pStyle w:val="420"/>
        <w:widowControl w:val="0"/>
        <w:spacing w:line="480" w:lineRule="exact"/>
        <w:ind w:firstLine="480" w:firstLineChars="200"/>
        <w:jc w:val="both"/>
        <w:rPr>
          <w:kern w:val="2"/>
          <w:highlight w:val="none"/>
        </w:rPr>
      </w:pPr>
      <w:r>
        <w:rPr>
          <w:rFonts w:hint="eastAsia"/>
          <w:color w:val="auto"/>
          <w:kern w:val="2"/>
          <w:highlight w:val="none"/>
          <w:lang w:eastAsia="zh-CN"/>
        </w:rPr>
        <w:t>通过对橡胶坝上游、电站下游减水段、尾水出口下游监测，</w:t>
      </w:r>
      <w:r>
        <w:rPr>
          <w:rFonts w:hint="eastAsia"/>
          <w:color w:val="auto"/>
          <w:kern w:val="2"/>
          <w:highlight w:val="none"/>
        </w:rPr>
        <w:t>各</w:t>
      </w:r>
      <w:r>
        <w:rPr>
          <w:rFonts w:hint="eastAsia"/>
          <w:kern w:val="2"/>
          <w:highlight w:val="none"/>
        </w:rPr>
        <w:t>监测断面富营养化评价采用三日现状监测数据平均值进行评价，评价结果见下表：</w:t>
      </w:r>
    </w:p>
    <w:p>
      <w:pPr>
        <w:pStyle w:val="420"/>
        <w:widowControl w:val="0"/>
        <w:spacing w:line="480" w:lineRule="exact"/>
        <w:jc w:val="center"/>
        <w:rPr>
          <w:b/>
          <w:bCs/>
          <w:kern w:val="2"/>
          <w:highlight w:val="none"/>
        </w:rPr>
      </w:pPr>
      <w:r>
        <w:rPr>
          <w:rFonts w:hint="eastAsia"/>
          <w:b/>
          <w:bCs/>
          <w:kern w:val="2"/>
          <w:highlight w:val="none"/>
        </w:rPr>
        <w:t>表4.</w:t>
      </w:r>
      <w:r>
        <w:rPr>
          <w:rFonts w:hint="eastAsia"/>
          <w:b/>
          <w:bCs/>
          <w:kern w:val="2"/>
          <w:highlight w:val="none"/>
          <w:lang w:val="en-US" w:eastAsia="zh-CN"/>
        </w:rPr>
        <w:t>8</w:t>
      </w:r>
      <w:r>
        <w:rPr>
          <w:rFonts w:hint="eastAsia"/>
          <w:b/>
          <w:bCs/>
          <w:kern w:val="2"/>
          <w:highlight w:val="none"/>
        </w:rPr>
        <w:t>-</w:t>
      </w:r>
      <w:r>
        <w:rPr>
          <w:rFonts w:hint="eastAsia"/>
          <w:b/>
          <w:bCs/>
          <w:kern w:val="2"/>
          <w:highlight w:val="none"/>
          <w:lang w:val="en-US" w:eastAsia="zh-CN"/>
        </w:rPr>
        <w:t>3</w:t>
      </w:r>
      <w:r>
        <w:rPr>
          <w:rFonts w:hint="eastAsia"/>
          <w:b/>
          <w:bCs/>
          <w:kern w:val="2"/>
          <w:highlight w:val="none"/>
        </w:rPr>
        <w:t xml:space="preserve">   各监测断面富营养化评价表</w:t>
      </w:r>
    </w:p>
    <w:tbl>
      <w:tblPr>
        <w:tblStyle w:val="51"/>
        <w:tblW w:w="4754"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893"/>
        <w:gridCol w:w="1277"/>
        <w:gridCol w:w="959"/>
        <w:gridCol w:w="915"/>
        <w:gridCol w:w="930"/>
        <w:gridCol w:w="1184"/>
        <w:gridCol w:w="825"/>
        <w:gridCol w:w="1120"/>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5" w:hRule="atLeast"/>
          <w:jc w:val="center"/>
        </w:trPr>
        <w:tc>
          <w:tcPr>
            <w:tcW w:w="551" w:type="pct"/>
            <w:noWrap/>
            <w:vAlign w:val="center"/>
          </w:tcPr>
          <w:p>
            <w:pPr>
              <w:widowControl/>
              <w:adjustRightInd w:val="0"/>
              <w:spacing w:line="300" w:lineRule="exact"/>
              <w:jc w:val="center"/>
              <w:textAlignment w:val="baseline"/>
              <w:rPr>
                <w:szCs w:val="21"/>
                <w:highlight w:val="none"/>
              </w:rPr>
            </w:pPr>
            <w:r>
              <w:rPr>
                <w:rFonts w:hint="eastAsia"/>
                <w:szCs w:val="21"/>
                <w:highlight w:val="none"/>
              </w:rPr>
              <w:t>断面</w:t>
            </w:r>
          </w:p>
        </w:tc>
        <w:tc>
          <w:tcPr>
            <w:tcW w:w="787" w:type="pct"/>
            <w:vAlign w:val="center"/>
          </w:tcPr>
          <w:p>
            <w:pPr>
              <w:widowControl/>
              <w:adjustRightInd w:val="0"/>
              <w:spacing w:line="300" w:lineRule="exact"/>
              <w:jc w:val="center"/>
              <w:textAlignment w:val="baseline"/>
              <w:rPr>
                <w:szCs w:val="21"/>
                <w:highlight w:val="none"/>
              </w:rPr>
            </w:pPr>
            <w:r>
              <w:rPr>
                <w:rFonts w:hint="eastAsia"/>
                <w:szCs w:val="21"/>
                <w:highlight w:val="none"/>
              </w:rPr>
              <w:t>项目</w:t>
            </w:r>
          </w:p>
        </w:tc>
        <w:tc>
          <w:tcPr>
            <w:tcW w:w="591" w:type="pct"/>
            <w:vAlign w:val="center"/>
          </w:tcPr>
          <w:p>
            <w:pPr>
              <w:widowControl/>
              <w:adjustRightInd w:val="0"/>
              <w:spacing w:line="300" w:lineRule="exact"/>
              <w:jc w:val="center"/>
              <w:textAlignment w:val="baseline"/>
              <w:rPr>
                <w:szCs w:val="21"/>
                <w:highlight w:val="none"/>
              </w:rPr>
            </w:pPr>
            <w:r>
              <w:rPr>
                <w:rFonts w:hint="eastAsia"/>
                <w:bCs/>
                <w:color w:val="000000"/>
                <w:szCs w:val="21"/>
                <w:highlight w:val="none"/>
              </w:rPr>
              <w:t>COD</w:t>
            </w:r>
            <w:r>
              <w:rPr>
                <w:rFonts w:hint="eastAsia"/>
                <w:bCs/>
                <w:color w:val="000000"/>
                <w:szCs w:val="21"/>
                <w:highlight w:val="none"/>
                <w:vertAlign w:val="subscript"/>
              </w:rPr>
              <w:t xml:space="preserve"> Mn</w:t>
            </w:r>
          </w:p>
        </w:tc>
        <w:tc>
          <w:tcPr>
            <w:tcW w:w="564" w:type="pct"/>
            <w:vAlign w:val="center"/>
          </w:tcPr>
          <w:p>
            <w:pPr>
              <w:widowControl/>
              <w:adjustRightInd w:val="0"/>
              <w:spacing w:line="300" w:lineRule="exact"/>
              <w:jc w:val="center"/>
              <w:textAlignment w:val="baseline"/>
              <w:rPr>
                <w:szCs w:val="21"/>
                <w:highlight w:val="none"/>
              </w:rPr>
            </w:pPr>
            <w:r>
              <w:rPr>
                <w:rFonts w:hint="eastAsia"/>
                <w:bCs/>
                <w:color w:val="000000"/>
                <w:szCs w:val="21"/>
                <w:highlight w:val="none"/>
              </w:rPr>
              <w:t>TN</w:t>
            </w:r>
          </w:p>
        </w:tc>
        <w:tc>
          <w:tcPr>
            <w:tcW w:w="573" w:type="pct"/>
            <w:vAlign w:val="center"/>
          </w:tcPr>
          <w:p>
            <w:pPr>
              <w:widowControl/>
              <w:adjustRightInd w:val="0"/>
              <w:spacing w:line="300" w:lineRule="exact"/>
              <w:jc w:val="center"/>
              <w:textAlignment w:val="baseline"/>
              <w:rPr>
                <w:szCs w:val="21"/>
                <w:highlight w:val="none"/>
              </w:rPr>
            </w:pPr>
            <w:r>
              <w:rPr>
                <w:rFonts w:hint="eastAsia"/>
                <w:bCs/>
                <w:color w:val="000000"/>
                <w:szCs w:val="21"/>
                <w:highlight w:val="none"/>
              </w:rPr>
              <w:t>TP</w:t>
            </w:r>
          </w:p>
        </w:tc>
        <w:tc>
          <w:tcPr>
            <w:tcW w:w="730" w:type="pct"/>
            <w:vAlign w:val="center"/>
          </w:tcPr>
          <w:p>
            <w:pPr>
              <w:widowControl/>
              <w:adjustRightInd w:val="0"/>
              <w:spacing w:line="300" w:lineRule="exact"/>
              <w:jc w:val="center"/>
              <w:textAlignment w:val="baseline"/>
              <w:rPr>
                <w:szCs w:val="21"/>
                <w:highlight w:val="none"/>
              </w:rPr>
            </w:pPr>
            <w:r>
              <w:rPr>
                <w:rFonts w:hint="eastAsia"/>
                <w:bCs/>
                <w:color w:val="000000"/>
                <w:szCs w:val="21"/>
                <w:highlight w:val="none"/>
              </w:rPr>
              <w:t>Chla</w:t>
            </w:r>
          </w:p>
        </w:tc>
        <w:tc>
          <w:tcPr>
            <w:tcW w:w="509" w:type="pct"/>
            <w:tcBorders>
              <w:right w:val="single" w:color="auto" w:sz="4" w:space="0"/>
            </w:tcBorders>
            <w:vAlign w:val="center"/>
          </w:tcPr>
          <w:p>
            <w:pPr>
              <w:widowControl/>
              <w:adjustRightInd w:val="0"/>
              <w:spacing w:line="300" w:lineRule="exact"/>
              <w:jc w:val="center"/>
              <w:textAlignment w:val="baseline"/>
              <w:rPr>
                <w:szCs w:val="21"/>
                <w:highlight w:val="none"/>
              </w:rPr>
            </w:pPr>
            <w:r>
              <w:rPr>
                <w:rFonts w:hint="eastAsia"/>
                <w:bCs/>
                <w:color w:val="000000"/>
                <w:szCs w:val="21"/>
                <w:highlight w:val="none"/>
              </w:rPr>
              <w:t>SD</w:t>
            </w:r>
          </w:p>
        </w:tc>
        <w:tc>
          <w:tcPr>
            <w:tcW w:w="691" w:type="pct"/>
            <w:noWrap/>
            <w:vAlign w:val="center"/>
          </w:tcPr>
          <w:p>
            <w:pPr>
              <w:widowControl/>
              <w:adjustRightInd w:val="0"/>
              <w:spacing w:line="300" w:lineRule="exact"/>
              <w:jc w:val="center"/>
              <w:textAlignment w:val="baseline"/>
              <w:rPr>
                <w:szCs w:val="21"/>
                <w:highlight w:val="none"/>
              </w:rPr>
            </w:pPr>
            <w:r>
              <w:rPr>
                <w:rFonts w:hint="eastAsia"/>
                <w:szCs w:val="21"/>
                <w:highlight w:val="none"/>
              </w:rPr>
              <w:t>定性评价</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551" w:type="pct"/>
            <w:vMerge w:val="restart"/>
            <w:noWrap/>
            <w:vAlign w:val="center"/>
          </w:tcPr>
          <w:p>
            <w:pPr>
              <w:widowControl/>
              <w:adjustRightInd w:val="0"/>
              <w:spacing w:line="300" w:lineRule="exact"/>
              <w:jc w:val="center"/>
              <w:textAlignment w:val="baseline"/>
              <w:rPr>
                <w:szCs w:val="21"/>
                <w:highlight w:val="none"/>
              </w:rPr>
            </w:pPr>
            <w:r>
              <w:rPr>
                <w:rFonts w:hint="eastAsia"/>
                <w:szCs w:val="21"/>
                <w:highlight w:val="none"/>
              </w:rPr>
              <w:t>W1</w:t>
            </w:r>
          </w:p>
        </w:tc>
        <w:tc>
          <w:tcPr>
            <w:tcW w:w="787"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C</w:t>
            </w:r>
          </w:p>
        </w:tc>
        <w:tc>
          <w:tcPr>
            <w:tcW w:w="591"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3.17</w:t>
            </w:r>
          </w:p>
        </w:tc>
        <w:tc>
          <w:tcPr>
            <w:tcW w:w="564"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0.23</w:t>
            </w:r>
          </w:p>
        </w:tc>
        <w:tc>
          <w:tcPr>
            <w:tcW w:w="573"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0.04</w:t>
            </w:r>
          </w:p>
        </w:tc>
        <w:tc>
          <w:tcPr>
            <w:tcW w:w="730"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10.0</w:t>
            </w:r>
          </w:p>
        </w:tc>
        <w:tc>
          <w:tcPr>
            <w:tcW w:w="509" w:type="pct"/>
            <w:tcBorders>
              <w:right w:val="single" w:color="auto" w:sz="4" w:space="0"/>
            </w:tcBorders>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38.7</w:t>
            </w:r>
          </w:p>
        </w:tc>
        <w:tc>
          <w:tcPr>
            <w:tcW w:w="691" w:type="pct"/>
            <w:vMerge w:val="restart"/>
            <w:noWrap/>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良好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551" w:type="pct"/>
            <w:vMerge w:val="continue"/>
            <w:noWrap/>
            <w:vAlign w:val="center"/>
          </w:tcPr>
          <w:p>
            <w:pPr>
              <w:widowControl/>
              <w:adjustRightInd w:val="0"/>
              <w:spacing w:line="300" w:lineRule="exact"/>
              <w:jc w:val="center"/>
              <w:textAlignment w:val="baseline"/>
              <w:rPr>
                <w:szCs w:val="21"/>
                <w:highlight w:val="none"/>
              </w:rPr>
            </w:pPr>
          </w:p>
        </w:tc>
        <w:tc>
          <w:tcPr>
            <w:tcW w:w="787"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TLI</w:t>
            </w:r>
          </w:p>
        </w:tc>
        <w:tc>
          <w:tcPr>
            <w:tcW w:w="591"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31.79</w:t>
            </w:r>
          </w:p>
        </w:tc>
        <w:tc>
          <w:tcPr>
            <w:tcW w:w="564"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29.63</w:t>
            </w:r>
          </w:p>
        </w:tc>
        <w:tc>
          <w:tcPr>
            <w:tcW w:w="573"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42.16</w:t>
            </w:r>
          </w:p>
        </w:tc>
        <w:tc>
          <w:tcPr>
            <w:tcW w:w="730"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49.9</w:t>
            </w:r>
          </w:p>
        </w:tc>
        <w:tc>
          <w:tcPr>
            <w:tcW w:w="509" w:type="pct"/>
            <w:tcBorders>
              <w:right w:val="single" w:color="auto" w:sz="4" w:space="0"/>
            </w:tcBorders>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-19.74</w:t>
            </w:r>
          </w:p>
        </w:tc>
        <w:tc>
          <w:tcPr>
            <w:tcW w:w="691" w:type="pct"/>
            <w:vMerge w:val="continue"/>
            <w:noWrap/>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551" w:type="pct"/>
            <w:vMerge w:val="continue"/>
            <w:noWrap/>
            <w:vAlign w:val="center"/>
          </w:tcPr>
          <w:p>
            <w:pPr>
              <w:widowControl/>
              <w:adjustRightInd w:val="0"/>
              <w:spacing w:line="300" w:lineRule="exact"/>
              <w:jc w:val="center"/>
              <w:textAlignment w:val="baseline"/>
              <w:rPr>
                <w:szCs w:val="21"/>
                <w:highlight w:val="none"/>
              </w:rPr>
            </w:pPr>
          </w:p>
        </w:tc>
        <w:tc>
          <w:tcPr>
            <w:tcW w:w="787"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w:t>
            </w:r>
          </w:p>
        </w:tc>
        <w:tc>
          <w:tcPr>
            <w:tcW w:w="591"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0.83</w:t>
            </w:r>
          </w:p>
        </w:tc>
        <w:tc>
          <w:tcPr>
            <w:tcW w:w="564"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0.82</w:t>
            </w:r>
          </w:p>
        </w:tc>
        <w:tc>
          <w:tcPr>
            <w:tcW w:w="573"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0.84</w:t>
            </w:r>
          </w:p>
        </w:tc>
        <w:tc>
          <w:tcPr>
            <w:tcW w:w="730"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w:t>
            </w:r>
          </w:p>
        </w:tc>
        <w:tc>
          <w:tcPr>
            <w:tcW w:w="509" w:type="pct"/>
            <w:tcBorders>
              <w:right w:val="single" w:color="auto" w:sz="4" w:space="0"/>
            </w:tcBorders>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-0.83</w:t>
            </w:r>
          </w:p>
        </w:tc>
        <w:tc>
          <w:tcPr>
            <w:tcW w:w="691" w:type="pct"/>
            <w:vMerge w:val="continue"/>
            <w:noWrap/>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551" w:type="pct"/>
            <w:vMerge w:val="continue"/>
            <w:noWrap/>
            <w:vAlign w:val="center"/>
          </w:tcPr>
          <w:p>
            <w:pPr>
              <w:widowControl/>
              <w:adjustRightInd w:val="0"/>
              <w:spacing w:line="300" w:lineRule="exact"/>
              <w:jc w:val="center"/>
              <w:textAlignment w:val="baseline"/>
              <w:rPr>
                <w:szCs w:val="21"/>
                <w:highlight w:val="none"/>
              </w:rPr>
            </w:pPr>
          </w:p>
        </w:tc>
        <w:tc>
          <w:tcPr>
            <w:tcW w:w="787"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TLI×W</w:t>
            </w:r>
          </w:p>
        </w:tc>
        <w:tc>
          <w:tcPr>
            <w:tcW w:w="591"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26.38</w:t>
            </w:r>
          </w:p>
        </w:tc>
        <w:tc>
          <w:tcPr>
            <w:tcW w:w="564"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24.30</w:t>
            </w:r>
          </w:p>
        </w:tc>
        <w:tc>
          <w:tcPr>
            <w:tcW w:w="573"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35.41</w:t>
            </w:r>
          </w:p>
        </w:tc>
        <w:tc>
          <w:tcPr>
            <w:tcW w:w="730"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49.9</w:t>
            </w:r>
          </w:p>
        </w:tc>
        <w:tc>
          <w:tcPr>
            <w:tcW w:w="509" w:type="pct"/>
            <w:tcBorders>
              <w:right w:val="single" w:color="auto" w:sz="4" w:space="0"/>
            </w:tcBorders>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16.4</w:t>
            </w:r>
          </w:p>
        </w:tc>
        <w:tc>
          <w:tcPr>
            <w:tcW w:w="691" w:type="pct"/>
            <w:vMerge w:val="continue"/>
            <w:noWrap/>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551" w:type="pct"/>
            <w:vMerge w:val="continue"/>
            <w:noWrap/>
            <w:vAlign w:val="center"/>
          </w:tcPr>
          <w:p>
            <w:pPr>
              <w:widowControl/>
              <w:adjustRightInd w:val="0"/>
              <w:spacing w:line="300" w:lineRule="exact"/>
              <w:jc w:val="center"/>
              <w:textAlignment w:val="baseline"/>
              <w:rPr>
                <w:szCs w:val="21"/>
                <w:highlight w:val="none"/>
              </w:rPr>
            </w:pPr>
          </w:p>
        </w:tc>
        <w:tc>
          <w:tcPr>
            <w:tcW w:w="787"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营养状态</w:t>
            </w:r>
          </w:p>
        </w:tc>
        <w:tc>
          <w:tcPr>
            <w:tcW w:w="591"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优</w:t>
            </w:r>
          </w:p>
        </w:tc>
        <w:tc>
          <w:tcPr>
            <w:tcW w:w="564"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优</w:t>
            </w:r>
          </w:p>
        </w:tc>
        <w:tc>
          <w:tcPr>
            <w:tcW w:w="573"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良好</w:t>
            </w:r>
          </w:p>
        </w:tc>
        <w:tc>
          <w:tcPr>
            <w:tcW w:w="730"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良好</w:t>
            </w:r>
          </w:p>
        </w:tc>
        <w:tc>
          <w:tcPr>
            <w:tcW w:w="509" w:type="pct"/>
            <w:tcBorders>
              <w:right w:val="single" w:color="auto" w:sz="4" w:space="0"/>
            </w:tcBorders>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优</w:t>
            </w:r>
          </w:p>
        </w:tc>
        <w:tc>
          <w:tcPr>
            <w:tcW w:w="691" w:type="pct"/>
            <w:vMerge w:val="continue"/>
            <w:noWrap/>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1" w:type="pct"/>
            <w:vMerge w:val="restart"/>
            <w:noWrap/>
            <w:vAlign w:val="center"/>
          </w:tcPr>
          <w:p>
            <w:pPr>
              <w:widowControl/>
              <w:adjustRightInd w:val="0"/>
              <w:spacing w:line="320" w:lineRule="exact"/>
              <w:jc w:val="center"/>
              <w:textAlignment w:val="baseline"/>
              <w:rPr>
                <w:color w:val="000000"/>
                <w:kern w:val="0"/>
                <w:szCs w:val="21"/>
                <w:highlight w:val="none"/>
              </w:rPr>
            </w:pPr>
            <w:r>
              <w:rPr>
                <w:rFonts w:hint="eastAsia"/>
                <w:color w:val="000000"/>
                <w:kern w:val="0"/>
                <w:szCs w:val="21"/>
                <w:highlight w:val="none"/>
              </w:rPr>
              <w:t>W2</w:t>
            </w:r>
          </w:p>
        </w:tc>
        <w:tc>
          <w:tcPr>
            <w:tcW w:w="787"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C</w:t>
            </w:r>
          </w:p>
        </w:tc>
        <w:tc>
          <w:tcPr>
            <w:tcW w:w="591" w:type="pct"/>
            <w:vAlign w:val="center"/>
          </w:tcPr>
          <w:p>
            <w:pPr>
              <w:widowControl/>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3.37</w:t>
            </w:r>
          </w:p>
        </w:tc>
        <w:tc>
          <w:tcPr>
            <w:tcW w:w="564" w:type="pct"/>
            <w:vAlign w:val="center"/>
          </w:tcPr>
          <w:p>
            <w:pPr>
              <w:widowControl/>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0.32</w:t>
            </w:r>
          </w:p>
        </w:tc>
        <w:tc>
          <w:tcPr>
            <w:tcW w:w="573" w:type="pct"/>
            <w:vAlign w:val="center"/>
          </w:tcPr>
          <w:p>
            <w:pPr>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0.05</w:t>
            </w:r>
          </w:p>
        </w:tc>
        <w:tc>
          <w:tcPr>
            <w:tcW w:w="730" w:type="pct"/>
            <w:vAlign w:val="center"/>
          </w:tcPr>
          <w:p>
            <w:pPr>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9.3</w:t>
            </w:r>
          </w:p>
        </w:tc>
        <w:tc>
          <w:tcPr>
            <w:tcW w:w="509" w:type="pct"/>
            <w:tcBorders>
              <w:right w:val="single" w:color="auto" w:sz="4" w:space="0"/>
            </w:tcBorders>
            <w:vAlign w:val="center"/>
          </w:tcPr>
          <w:p>
            <w:pPr>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39.7</w:t>
            </w:r>
          </w:p>
        </w:tc>
        <w:tc>
          <w:tcPr>
            <w:tcW w:w="691" w:type="pct"/>
            <w:vMerge w:val="restart"/>
            <w:noWrap/>
            <w:vAlign w:val="center"/>
          </w:tcPr>
          <w:p>
            <w:pPr>
              <w:widowControl/>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良好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1" w:type="pct"/>
            <w:vMerge w:val="continue"/>
            <w:noWrap/>
            <w:vAlign w:val="center"/>
          </w:tcPr>
          <w:p>
            <w:pPr>
              <w:widowControl/>
              <w:adjustRightInd w:val="0"/>
              <w:spacing w:line="320" w:lineRule="exact"/>
              <w:jc w:val="center"/>
              <w:textAlignment w:val="baseline"/>
              <w:rPr>
                <w:color w:val="000000"/>
                <w:kern w:val="0"/>
                <w:szCs w:val="21"/>
                <w:highlight w:val="none"/>
              </w:rPr>
            </w:pPr>
          </w:p>
        </w:tc>
        <w:tc>
          <w:tcPr>
            <w:tcW w:w="787"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TLI</w:t>
            </w:r>
          </w:p>
        </w:tc>
        <w:tc>
          <w:tcPr>
            <w:tcW w:w="591" w:type="pct"/>
            <w:vAlign w:val="center"/>
          </w:tcPr>
          <w:p>
            <w:pPr>
              <w:widowControl/>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33.39</w:t>
            </w:r>
          </w:p>
        </w:tc>
        <w:tc>
          <w:tcPr>
            <w:tcW w:w="564" w:type="pct"/>
            <w:vAlign w:val="center"/>
          </w:tcPr>
          <w:p>
            <w:pPr>
              <w:widowControl/>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35.23</w:t>
            </w:r>
          </w:p>
        </w:tc>
        <w:tc>
          <w:tcPr>
            <w:tcW w:w="573" w:type="pct"/>
            <w:vAlign w:val="center"/>
          </w:tcPr>
          <w:p>
            <w:pPr>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45.64</w:t>
            </w:r>
          </w:p>
        </w:tc>
        <w:tc>
          <w:tcPr>
            <w:tcW w:w="730" w:type="pct"/>
            <w:vAlign w:val="center"/>
          </w:tcPr>
          <w:p>
            <w:pPr>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49.21</w:t>
            </w:r>
          </w:p>
        </w:tc>
        <w:tc>
          <w:tcPr>
            <w:tcW w:w="509" w:type="pct"/>
            <w:tcBorders>
              <w:right w:val="single" w:color="auto" w:sz="4" w:space="0"/>
            </w:tcBorders>
            <w:vAlign w:val="center"/>
          </w:tcPr>
          <w:p>
            <w:pPr>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-20.23</w:t>
            </w:r>
          </w:p>
        </w:tc>
        <w:tc>
          <w:tcPr>
            <w:tcW w:w="691" w:type="pct"/>
            <w:vMerge w:val="continue"/>
            <w:noWrap/>
            <w:vAlign w:val="center"/>
          </w:tcPr>
          <w:p>
            <w:pPr>
              <w:widowControl/>
              <w:adjustRightInd w:val="0"/>
              <w:spacing w:line="320" w:lineRule="exact"/>
              <w:jc w:val="center"/>
              <w:textAlignment w:val="baseline"/>
              <w:rPr>
                <w:color w:val="000000" w:themeColor="text1"/>
                <w:kern w:val="0"/>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1" w:type="pct"/>
            <w:vMerge w:val="continue"/>
            <w:noWrap/>
            <w:vAlign w:val="center"/>
          </w:tcPr>
          <w:p>
            <w:pPr>
              <w:widowControl/>
              <w:adjustRightInd w:val="0"/>
              <w:spacing w:line="320" w:lineRule="exact"/>
              <w:jc w:val="center"/>
              <w:textAlignment w:val="baseline"/>
              <w:rPr>
                <w:color w:val="000000"/>
                <w:kern w:val="0"/>
                <w:szCs w:val="21"/>
                <w:highlight w:val="none"/>
              </w:rPr>
            </w:pPr>
          </w:p>
        </w:tc>
        <w:tc>
          <w:tcPr>
            <w:tcW w:w="787"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w:t>
            </w:r>
          </w:p>
        </w:tc>
        <w:tc>
          <w:tcPr>
            <w:tcW w:w="591"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0.83</w:t>
            </w:r>
          </w:p>
        </w:tc>
        <w:tc>
          <w:tcPr>
            <w:tcW w:w="564"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0.82</w:t>
            </w:r>
          </w:p>
        </w:tc>
        <w:tc>
          <w:tcPr>
            <w:tcW w:w="573"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0.84</w:t>
            </w:r>
          </w:p>
        </w:tc>
        <w:tc>
          <w:tcPr>
            <w:tcW w:w="730"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w:t>
            </w:r>
          </w:p>
        </w:tc>
        <w:tc>
          <w:tcPr>
            <w:tcW w:w="509" w:type="pct"/>
            <w:tcBorders>
              <w:right w:val="single" w:color="auto" w:sz="4" w:space="0"/>
            </w:tcBorders>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-0.83</w:t>
            </w:r>
          </w:p>
        </w:tc>
        <w:tc>
          <w:tcPr>
            <w:tcW w:w="691" w:type="pct"/>
            <w:vMerge w:val="continue"/>
            <w:noWrap/>
            <w:vAlign w:val="center"/>
          </w:tcPr>
          <w:p>
            <w:pPr>
              <w:widowControl/>
              <w:adjustRightInd w:val="0"/>
              <w:spacing w:line="320" w:lineRule="exact"/>
              <w:jc w:val="center"/>
              <w:textAlignment w:val="baseline"/>
              <w:rPr>
                <w:color w:val="000000" w:themeColor="text1"/>
                <w:kern w:val="0"/>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1" w:type="pct"/>
            <w:vMerge w:val="continue"/>
            <w:noWrap/>
            <w:vAlign w:val="center"/>
          </w:tcPr>
          <w:p>
            <w:pPr>
              <w:widowControl/>
              <w:adjustRightInd w:val="0"/>
              <w:spacing w:line="320" w:lineRule="exact"/>
              <w:jc w:val="center"/>
              <w:textAlignment w:val="baseline"/>
              <w:rPr>
                <w:color w:val="000000"/>
                <w:kern w:val="0"/>
                <w:szCs w:val="21"/>
                <w:highlight w:val="none"/>
              </w:rPr>
            </w:pPr>
          </w:p>
        </w:tc>
        <w:tc>
          <w:tcPr>
            <w:tcW w:w="787"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TLI×W</w:t>
            </w:r>
          </w:p>
        </w:tc>
        <w:tc>
          <w:tcPr>
            <w:tcW w:w="591" w:type="pct"/>
            <w:vAlign w:val="center"/>
          </w:tcPr>
          <w:p>
            <w:pPr>
              <w:widowControl/>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27.7</w:t>
            </w:r>
          </w:p>
        </w:tc>
        <w:tc>
          <w:tcPr>
            <w:tcW w:w="564" w:type="pct"/>
            <w:vAlign w:val="center"/>
          </w:tcPr>
          <w:p>
            <w:pPr>
              <w:widowControl/>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18.9</w:t>
            </w:r>
          </w:p>
        </w:tc>
        <w:tc>
          <w:tcPr>
            <w:tcW w:w="573" w:type="pct"/>
            <w:vAlign w:val="center"/>
          </w:tcPr>
          <w:p>
            <w:pPr>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38.3</w:t>
            </w:r>
          </w:p>
        </w:tc>
        <w:tc>
          <w:tcPr>
            <w:tcW w:w="730" w:type="pct"/>
            <w:vAlign w:val="center"/>
          </w:tcPr>
          <w:p>
            <w:pPr>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49.21</w:t>
            </w:r>
          </w:p>
        </w:tc>
        <w:tc>
          <w:tcPr>
            <w:tcW w:w="509" w:type="pct"/>
            <w:tcBorders>
              <w:right w:val="single" w:color="auto" w:sz="4" w:space="0"/>
            </w:tcBorders>
            <w:vAlign w:val="center"/>
          </w:tcPr>
          <w:p>
            <w:pPr>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16.8</w:t>
            </w:r>
          </w:p>
        </w:tc>
        <w:tc>
          <w:tcPr>
            <w:tcW w:w="691" w:type="pct"/>
            <w:vMerge w:val="continue"/>
            <w:noWrap/>
            <w:vAlign w:val="center"/>
          </w:tcPr>
          <w:p>
            <w:pPr>
              <w:widowControl/>
              <w:adjustRightInd w:val="0"/>
              <w:spacing w:line="320" w:lineRule="exact"/>
              <w:jc w:val="center"/>
              <w:textAlignment w:val="baseline"/>
              <w:rPr>
                <w:color w:val="000000" w:themeColor="text1"/>
                <w:kern w:val="0"/>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1" w:type="pct"/>
            <w:vMerge w:val="continue"/>
            <w:noWrap/>
            <w:vAlign w:val="center"/>
          </w:tcPr>
          <w:p>
            <w:pPr>
              <w:widowControl/>
              <w:adjustRightInd w:val="0"/>
              <w:spacing w:line="320" w:lineRule="exact"/>
              <w:jc w:val="center"/>
              <w:textAlignment w:val="baseline"/>
              <w:rPr>
                <w:color w:val="000000"/>
                <w:kern w:val="0"/>
                <w:szCs w:val="21"/>
                <w:highlight w:val="none"/>
              </w:rPr>
            </w:pPr>
          </w:p>
        </w:tc>
        <w:tc>
          <w:tcPr>
            <w:tcW w:w="787"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营养状态</w:t>
            </w:r>
          </w:p>
        </w:tc>
        <w:tc>
          <w:tcPr>
            <w:tcW w:w="591"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优</w:t>
            </w:r>
          </w:p>
        </w:tc>
        <w:tc>
          <w:tcPr>
            <w:tcW w:w="564"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优</w:t>
            </w:r>
          </w:p>
        </w:tc>
        <w:tc>
          <w:tcPr>
            <w:tcW w:w="573"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优</w:t>
            </w:r>
          </w:p>
        </w:tc>
        <w:tc>
          <w:tcPr>
            <w:tcW w:w="730"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良好</w:t>
            </w:r>
          </w:p>
        </w:tc>
        <w:tc>
          <w:tcPr>
            <w:tcW w:w="509" w:type="pct"/>
            <w:tcBorders>
              <w:right w:val="single" w:color="auto" w:sz="4" w:space="0"/>
            </w:tcBorders>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优</w:t>
            </w:r>
          </w:p>
        </w:tc>
        <w:tc>
          <w:tcPr>
            <w:tcW w:w="691" w:type="pct"/>
            <w:vMerge w:val="continue"/>
            <w:noWrap/>
            <w:vAlign w:val="center"/>
          </w:tcPr>
          <w:p>
            <w:pPr>
              <w:widowControl/>
              <w:adjustRightInd w:val="0"/>
              <w:spacing w:line="320" w:lineRule="exact"/>
              <w:jc w:val="center"/>
              <w:textAlignment w:val="baseline"/>
              <w:rPr>
                <w:color w:val="000000" w:themeColor="text1"/>
                <w:kern w:val="0"/>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1" w:type="pct"/>
            <w:vMerge w:val="restart"/>
            <w:noWrap/>
            <w:vAlign w:val="center"/>
          </w:tcPr>
          <w:p>
            <w:pPr>
              <w:widowControl/>
              <w:adjustRightInd w:val="0"/>
              <w:spacing w:line="320" w:lineRule="exact"/>
              <w:jc w:val="center"/>
              <w:textAlignment w:val="baseline"/>
              <w:rPr>
                <w:color w:val="000000"/>
                <w:kern w:val="0"/>
                <w:szCs w:val="21"/>
                <w:highlight w:val="none"/>
              </w:rPr>
            </w:pPr>
            <w:r>
              <w:rPr>
                <w:rFonts w:hint="eastAsia"/>
                <w:color w:val="000000"/>
                <w:kern w:val="0"/>
                <w:szCs w:val="21"/>
                <w:highlight w:val="none"/>
              </w:rPr>
              <w:t>W3</w:t>
            </w:r>
          </w:p>
        </w:tc>
        <w:tc>
          <w:tcPr>
            <w:tcW w:w="787"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C</w:t>
            </w:r>
          </w:p>
        </w:tc>
        <w:tc>
          <w:tcPr>
            <w:tcW w:w="591" w:type="pct"/>
            <w:vAlign w:val="center"/>
          </w:tcPr>
          <w:p>
            <w:pPr>
              <w:widowControl/>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3.17</w:t>
            </w:r>
          </w:p>
        </w:tc>
        <w:tc>
          <w:tcPr>
            <w:tcW w:w="564" w:type="pct"/>
            <w:vAlign w:val="center"/>
          </w:tcPr>
          <w:p>
            <w:pPr>
              <w:widowControl/>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0.39</w:t>
            </w:r>
          </w:p>
        </w:tc>
        <w:tc>
          <w:tcPr>
            <w:tcW w:w="573" w:type="pct"/>
            <w:vAlign w:val="center"/>
          </w:tcPr>
          <w:p>
            <w:pPr>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0.06</w:t>
            </w:r>
          </w:p>
        </w:tc>
        <w:tc>
          <w:tcPr>
            <w:tcW w:w="730" w:type="pct"/>
            <w:vAlign w:val="center"/>
          </w:tcPr>
          <w:p>
            <w:pPr>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10.3</w:t>
            </w:r>
          </w:p>
        </w:tc>
        <w:tc>
          <w:tcPr>
            <w:tcW w:w="509" w:type="pct"/>
            <w:tcBorders>
              <w:right w:val="single" w:color="auto" w:sz="4" w:space="0"/>
            </w:tcBorders>
            <w:vAlign w:val="center"/>
          </w:tcPr>
          <w:p>
            <w:pPr>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39.7</w:t>
            </w:r>
          </w:p>
        </w:tc>
        <w:tc>
          <w:tcPr>
            <w:tcW w:w="691" w:type="pct"/>
            <w:vMerge w:val="restart"/>
            <w:noWrap/>
            <w:vAlign w:val="center"/>
          </w:tcPr>
          <w:p>
            <w:pPr>
              <w:widowControl/>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良好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1" w:type="pct"/>
            <w:vMerge w:val="continue"/>
            <w:noWrap/>
            <w:vAlign w:val="center"/>
          </w:tcPr>
          <w:p>
            <w:pPr>
              <w:widowControl/>
              <w:adjustRightInd w:val="0"/>
              <w:spacing w:line="320" w:lineRule="exact"/>
              <w:jc w:val="center"/>
              <w:textAlignment w:val="baseline"/>
              <w:rPr>
                <w:color w:val="000000"/>
                <w:kern w:val="0"/>
                <w:szCs w:val="21"/>
                <w:highlight w:val="none"/>
              </w:rPr>
            </w:pPr>
          </w:p>
        </w:tc>
        <w:tc>
          <w:tcPr>
            <w:tcW w:w="787"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TLI</w:t>
            </w:r>
          </w:p>
        </w:tc>
        <w:tc>
          <w:tcPr>
            <w:tcW w:w="591" w:type="pct"/>
            <w:vAlign w:val="center"/>
          </w:tcPr>
          <w:p>
            <w:pPr>
              <w:widowControl/>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31.79</w:t>
            </w:r>
          </w:p>
        </w:tc>
        <w:tc>
          <w:tcPr>
            <w:tcW w:w="564" w:type="pct"/>
            <w:vAlign w:val="center"/>
          </w:tcPr>
          <w:p>
            <w:pPr>
              <w:widowControl/>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38.58</w:t>
            </w:r>
          </w:p>
        </w:tc>
        <w:tc>
          <w:tcPr>
            <w:tcW w:w="573" w:type="pct"/>
            <w:vAlign w:val="center"/>
          </w:tcPr>
          <w:p>
            <w:pPr>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48.67</w:t>
            </w:r>
          </w:p>
        </w:tc>
        <w:tc>
          <w:tcPr>
            <w:tcW w:w="730" w:type="pct"/>
            <w:vAlign w:val="center"/>
          </w:tcPr>
          <w:p>
            <w:pPr>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50.32</w:t>
            </w:r>
          </w:p>
        </w:tc>
        <w:tc>
          <w:tcPr>
            <w:tcW w:w="509" w:type="pct"/>
            <w:tcBorders>
              <w:right w:val="single" w:color="auto" w:sz="4" w:space="0"/>
            </w:tcBorders>
            <w:vAlign w:val="center"/>
          </w:tcPr>
          <w:p>
            <w:pPr>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-20.23</w:t>
            </w:r>
          </w:p>
        </w:tc>
        <w:tc>
          <w:tcPr>
            <w:tcW w:w="691" w:type="pct"/>
            <w:vMerge w:val="continue"/>
            <w:noWrap/>
            <w:vAlign w:val="center"/>
          </w:tcPr>
          <w:p>
            <w:pPr>
              <w:widowControl/>
              <w:adjustRightInd w:val="0"/>
              <w:spacing w:line="320" w:lineRule="exact"/>
              <w:jc w:val="center"/>
              <w:textAlignment w:val="baseline"/>
              <w:rPr>
                <w:color w:val="000000" w:themeColor="text1"/>
                <w:kern w:val="0"/>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1" w:type="pct"/>
            <w:vMerge w:val="continue"/>
            <w:noWrap/>
            <w:vAlign w:val="center"/>
          </w:tcPr>
          <w:p>
            <w:pPr>
              <w:widowControl/>
              <w:adjustRightInd w:val="0"/>
              <w:spacing w:line="320" w:lineRule="exact"/>
              <w:jc w:val="center"/>
              <w:textAlignment w:val="baseline"/>
              <w:rPr>
                <w:color w:val="000000"/>
                <w:kern w:val="0"/>
                <w:szCs w:val="21"/>
                <w:highlight w:val="none"/>
              </w:rPr>
            </w:pPr>
          </w:p>
        </w:tc>
        <w:tc>
          <w:tcPr>
            <w:tcW w:w="787"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w:t>
            </w:r>
          </w:p>
        </w:tc>
        <w:tc>
          <w:tcPr>
            <w:tcW w:w="591"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0.83</w:t>
            </w:r>
          </w:p>
        </w:tc>
        <w:tc>
          <w:tcPr>
            <w:tcW w:w="564"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0.82</w:t>
            </w:r>
          </w:p>
        </w:tc>
        <w:tc>
          <w:tcPr>
            <w:tcW w:w="573"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0.84</w:t>
            </w:r>
          </w:p>
        </w:tc>
        <w:tc>
          <w:tcPr>
            <w:tcW w:w="730"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w:t>
            </w:r>
          </w:p>
        </w:tc>
        <w:tc>
          <w:tcPr>
            <w:tcW w:w="509" w:type="pct"/>
            <w:tcBorders>
              <w:right w:val="single" w:color="auto" w:sz="4" w:space="0"/>
            </w:tcBorders>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-0.83</w:t>
            </w:r>
          </w:p>
        </w:tc>
        <w:tc>
          <w:tcPr>
            <w:tcW w:w="691" w:type="pct"/>
            <w:vMerge w:val="continue"/>
            <w:noWrap/>
            <w:vAlign w:val="center"/>
          </w:tcPr>
          <w:p>
            <w:pPr>
              <w:widowControl/>
              <w:adjustRightInd w:val="0"/>
              <w:spacing w:line="320" w:lineRule="exact"/>
              <w:jc w:val="center"/>
              <w:textAlignment w:val="baseline"/>
              <w:rPr>
                <w:color w:val="000000" w:themeColor="text1"/>
                <w:kern w:val="0"/>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1" w:type="pct"/>
            <w:vMerge w:val="continue"/>
            <w:noWrap/>
            <w:vAlign w:val="center"/>
          </w:tcPr>
          <w:p>
            <w:pPr>
              <w:widowControl/>
              <w:adjustRightInd w:val="0"/>
              <w:spacing w:line="320" w:lineRule="exact"/>
              <w:jc w:val="center"/>
              <w:textAlignment w:val="baseline"/>
              <w:rPr>
                <w:color w:val="000000"/>
                <w:kern w:val="0"/>
                <w:szCs w:val="21"/>
                <w:highlight w:val="none"/>
              </w:rPr>
            </w:pPr>
          </w:p>
        </w:tc>
        <w:tc>
          <w:tcPr>
            <w:tcW w:w="787"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TLI×W</w:t>
            </w:r>
          </w:p>
        </w:tc>
        <w:tc>
          <w:tcPr>
            <w:tcW w:w="591" w:type="pct"/>
            <w:vAlign w:val="center"/>
          </w:tcPr>
          <w:p>
            <w:pPr>
              <w:widowControl/>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26.4</w:t>
            </w:r>
          </w:p>
        </w:tc>
        <w:tc>
          <w:tcPr>
            <w:tcW w:w="564" w:type="pct"/>
            <w:vAlign w:val="center"/>
          </w:tcPr>
          <w:p>
            <w:pPr>
              <w:widowControl/>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31.6</w:t>
            </w:r>
          </w:p>
        </w:tc>
        <w:tc>
          <w:tcPr>
            <w:tcW w:w="573" w:type="pct"/>
            <w:vAlign w:val="center"/>
          </w:tcPr>
          <w:p>
            <w:pPr>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40.9</w:t>
            </w:r>
          </w:p>
        </w:tc>
        <w:tc>
          <w:tcPr>
            <w:tcW w:w="730" w:type="pct"/>
            <w:vAlign w:val="center"/>
          </w:tcPr>
          <w:p>
            <w:pPr>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50.32</w:t>
            </w:r>
          </w:p>
        </w:tc>
        <w:tc>
          <w:tcPr>
            <w:tcW w:w="509" w:type="pct"/>
            <w:tcBorders>
              <w:right w:val="single" w:color="auto" w:sz="4" w:space="0"/>
            </w:tcBorders>
            <w:vAlign w:val="center"/>
          </w:tcPr>
          <w:p>
            <w:pPr>
              <w:adjustRightInd w:val="0"/>
              <w:spacing w:line="320" w:lineRule="exact"/>
              <w:jc w:val="center"/>
              <w:textAlignment w:val="baseline"/>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16.8</w:t>
            </w:r>
          </w:p>
        </w:tc>
        <w:tc>
          <w:tcPr>
            <w:tcW w:w="691" w:type="pct"/>
            <w:vMerge w:val="continue"/>
            <w:noWrap/>
            <w:vAlign w:val="center"/>
          </w:tcPr>
          <w:p>
            <w:pPr>
              <w:widowControl/>
              <w:adjustRightInd w:val="0"/>
              <w:spacing w:line="320" w:lineRule="exact"/>
              <w:jc w:val="center"/>
              <w:textAlignment w:val="baseline"/>
              <w:rPr>
                <w:color w:val="000000" w:themeColor="text1"/>
                <w:kern w:val="0"/>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1" w:type="pct"/>
            <w:vMerge w:val="continue"/>
            <w:noWrap/>
            <w:vAlign w:val="center"/>
          </w:tcPr>
          <w:p>
            <w:pPr>
              <w:widowControl/>
              <w:adjustRightInd w:val="0"/>
              <w:spacing w:line="320" w:lineRule="exact"/>
              <w:jc w:val="center"/>
              <w:textAlignment w:val="baseline"/>
              <w:rPr>
                <w:color w:val="000000"/>
                <w:kern w:val="0"/>
                <w:szCs w:val="21"/>
                <w:highlight w:val="none"/>
              </w:rPr>
            </w:pPr>
          </w:p>
        </w:tc>
        <w:tc>
          <w:tcPr>
            <w:tcW w:w="787"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营养状态</w:t>
            </w:r>
          </w:p>
        </w:tc>
        <w:tc>
          <w:tcPr>
            <w:tcW w:w="591"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优</w:t>
            </w:r>
          </w:p>
        </w:tc>
        <w:tc>
          <w:tcPr>
            <w:tcW w:w="564"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优</w:t>
            </w:r>
          </w:p>
        </w:tc>
        <w:tc>
          <w:tcPr>
            <w:tcW w:w="573"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良好</w:t>
            </w:r>
          </w:p>
        </w:tc>
        <w:tc>
          <w:tcPr>
            <w:tcW w:w="730" w:type="pct"/>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轻度污染</w:t>
            </w:r>
          </w:p>
        </w:tc>
        <w:tc>
          <w:tcPr>
            <w:tcW w:w="509" w:type="pct"/>
            <w:tcBorders>
              <w:right w:val="single" w:color="auto" w:sz="4" w:space="0"/>
            </w:tcBorders>
            <w:vAlign w:val="center"/>
          </w:tcPr>
          <w:p>
            <w:pPr>
              <w:widowControl/>
              <w:adjustRightInd w:val="0"/>
              <w:spacing w:line="300" w:lineRule="exact"/>
              <w:jc w:val="center"/>
              <w:textAlignment w:val="baseline"/>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优</w:t>
            </w:r>
          </w:p>
        </w:tc>
        <w:tc>
          <w:tcPr>
            <w:tcW w:w="691" w:type="pct"/>
            <w:vMerge w:val="continue"/>
            <w:noWrap/>
            <w:vAlign w:val="center"/>
          </w:tcPr>
          <w:p>
            <w:pPr>
              <w:widowControl/>
              <w:adjustRightInd w:val="0"/>
              <w:spacing w:line="320" w:lineRule="exact"/>
              <w:jc w:val="center"/>
              <w:textAlignment w:val="baseline"/>
              <w:rPr>
                <w:color w:val="000000" w:themeColor="text1"/>
                <w:kern w:val="0"/>
                <w:szCs w:val="21"/>
                <w:highlight w:val="none"/>
                <w14:textFill>
                  <w14:solidFill>
                    <w14:schemeClr w14:val="tx1"/>
                  </w14:solidFill>
                </w14:textFill>
              </w:rPr>
            </w:pPr>
          </w:p>
        </w:tc>
      </w:tr>
    </w:tbl>
    <w:p>
      <w:pPr>
        <w:pStyle w:val="420"/>
        <w:widowControl w:val="0"/>
        <w:spacing w:line="480" w:lineRule="exact"/>
        <w:ind w:firstLine="480" w:firstLineChars="200"/>
        <w:jc w:val="both"/>
        <w:rPr>
          <w:kern w:val="2"/>
          <w:highlight w:val="none"/>
        </w:rPr>
      </w:pPr>
      <w:r>
        <w:rPr>
          <w:rFonts w:hint="eastAsia"/>
          <w:kern w:val="2"/>
          <w:highlight w:val="none"/>
        </w:rPr>
        <w:t>各监测断面的富营养化综合营养状态指属于中营养化状态，定性评价良好。</w:t>
      </w:r>
    </w:p>
    <w:bookmarkEnd w:id="196"/>
    <w:p>
      <w:pPr>
        <w:spacing w:line="480" w:lineRule="exact"/>
        <w:outlineLvl w:val="1"/>
        <w:rPr>
          <w:b/>
          <w:snapToGrid w:val="0"/>
          <w:kern w:val="0"/>
          <w:sz w:val="24"/>
          <w:highlight w:val="none"/>
        </w:rPr>
      </w:pPr>
      <w:bookmarkStart w:id="200" w:name="_Toc31868"/>
      <w:bookmarkStart w:id="201" w:name="_Toc519179367"/>
      <w:r>
        <w:rPr>
          <w:rFonts w:hint="eastAsia"/>
          <w:b/>
          <w:snapToGrid w:val="0"/>
          <w:kern w:val="0"/>
          <w:sz w:val="24"/>
          <w:highlight w:val="none"/>
        </w:rPr>
        <w:t xml:space="preserve">4.9 </w:t>
      </w:r>
      <w:r>
        <w:rPr>
          <w:b/>
          <w:snapToGrid w:val="0"/>
          <w:kern w:val="0"/>
          <w:sz w:val="24"/>
          <w:highlight w:val="none"/>
        </w:rPr>
        <w:t>生态环境现状调查</w:t>
      </w:r>
      <w:bookmarkEnd w:id="200"/>
      <w:bookmarkEnd w:id="201"/>
    </w:p>
    <w:p>
      <w:pPr>
        <w:autoSpaceDE w:val="0"/>
        <w:autoSpaceDN w:val="0"/>
        <w:adjustRightInd w:val="0"/>
        <w:spacing w:line="480" w:lineRule="exact"/>
        <w:ind w:firstLine="480"/>
        <w:rPr>
          <w:rFonts w:hint="eastAsia"/>
          <w:b w:val="0"/>
          <w:bCs/>
          <w:snapToGrid w:val="0"/>
          <w:color w:val="auto"/>
          <w:kern w:val="0"/>
          <w:sz w:val="24"/>
          <w:highlight w:val="none"/>
        </w:rPr>
      </w:pPr>
      <w:bookmarkStart w:id="202" w:name="_Toc509806784"/>
      <w:bookmarkStart w:id="203" w:name="_Toc509898627"/>
      <w:bookmarkStart w:id="204" w:name="_Toc519179368"/>
      <w:r>
        <w:rPr>
          <w:rFonts w:hint="eastAsia"/>
          <w:color w:val="auto"/>
          <w:sz w:val="24"/>
          <w:highlight w:val="none"/>
          <w:lang w:val="zh-CN"/>
        </w:rPr>
        <w:t>本项目生态影响评价工作等级为二级，根据《环境影响评价技术导则-生态影响》（HJ19-20</w:t>
      </w:r>
      <w:r>
        <w:rPr>
          <w:color w:val="auto"/>
          <w:sz w:val="24"/>
          <w:highlight w:val="none"/>
          <w:lang w:val="zh-CN"/>
        </w:rPr>
        <w:t>22</w:t>
      </w:r>
      <w:r>
        <w:rPr>
          <w:rFonts w:hint="eastAsia"/>
          <w:color w:val="auto"/>
          <w:sz w:val="24"/>
          <w:highlight w:val="none"/>
          <w:lang w:val="zh-CN"/>
        </w:rPr>
        <w:t>）“</w:t>
      </w:r>
      <w:r>
        <w:rPr>
          <w:color w:val="auto"/>
          <w:sz w:val="24"/>
          <w:highlight w:val="none"/>
          <w:lang w:val="zh-CN"/>
        </w:rPr>
        <w:t>7.3.4和</w:t>
      </w:r>
      <w:r>
        <w:rPr>
          <w:rFonts w:hint="eastAsia"/>
          <w:color w:val="auto"/>
          <w:sz w:val="24"/>
          <w:highlight w:val="none"/>
          <w:lang w:val="zh-CN"/>
        </w:rPr>
        <w:t>7</w:t>
      </w:r>
      <w:r>
        <w:rPr>
          <w:color w:val="auto"/>
          <w:sz w:val="24"/>
          <w:highlight w:val="none"/>
          <w:lang w:val="zh-CN"/>
        </w:rPr>
        <w:t>.35的</w:t>
      </w:r>
      <w:r>
        <w:rPr>
          <w:rFonts w:hint="eastAsia"/>
          <w:color w:val="auto"/>
          <w:sz w:val="24"/>
          <w:highlight w:val="none"/>
          <w:lang w:val="zh-CN"/>
        </w:rPr>
        <w:t>生态现状调查要求”，采取查阅资料、现场走访相结合方法进行。现场走访采取水电站黎河流域段沿线调查和典型样地调查相结合的技术方法。”</w:t>
      </w:r>
      <w:r>
        <w:rPr>
          <w:rFonts w:hint="eastAsia"/>
          <w:b w:val="0"/>
          <w:bCs/>
          <w:snapToGrid w:val="0"/>
          <w:color w:val="auto"/>
          <w:kern w:val="0"/>
          <w:sz w:val="24"/>
          <w:highlight w:val="none"/>
        </w:rPr>
        <w:t>通过收集</w:t>
      </w:r>
      <w:r>
        <w:rPr>
          <w:rFonts w:hint="eastAsia"/>
          <w:b w:val="0"/>
          <w:bCs/>
          <w:snapToGrid w:val="0"/>
          <w:color w:val="auto"/>
          <w:kern w:val="0"/>
          <w:sz w:val="24"/>
          <w:highlight w:val="none"/>
          <w:lang w:eastAsia="zh-CN"/>
        </w:rPr>
        <w:t>黎河</w:t>
      </w:r>
      <w:r>
        <w:rPr>
          <w:rFonts w:hint="eastAsia"/>
          <w:b w:val="0"/>
          <w:bCs/>
          <w:snapToGrid w:val="0"/>
          <w:color w:val="auto"/>
          <w:kern w:val="0"/>
          <w:sz w:val="24"/>
          <w:highlight w:val="none"/>
        </w:rPr>
        <w:t>近期有关科研文献、报告，走访当地</w:t>
      </w:r>
      <w:r>
        <w:rPr>
          <w:rFonts w:hint="eastAsia"/>
          <w:b w:val="0"/>
          <w:bCs/>
          <w:snapToGrid w:val="0"/>
          <w:color w:val="auto"/>
          <w:kern w:val="0"/>
          <w:sz w:val="24"/>
          <w:highlight w:val="none"/>
          <w:lang w:eastAsia="zh-CN"/>
        </w:rPr>
        <w:t>引滦入津工程管理</w:t>
      </w:r>
      <w:r>
        <w:rPr>
          <w:rFonts w:hint="eastAsia"/>
          <w:b w:val="0"/>
          <w:bCs/>
          <w:snapToGrid w:val="0"/>
          <w:color w:val="auto"/>
          <w:kern w:val="0"/>
          <w:sz w:val="24"/>
          <w:highlight w:val="none"/>
        </w:rPr>
        <w:t>部门技术人员及沿岸</w:t>
      </w:r>
      <w:r>
        <w:rPr>
          <w:rFonts w:hint="eastAsia"/>
          <w:b w:val="0"/>
          <w:bCs/>
          <w:snapToGrid w:val="0"/>
          <w:color w:val="auto"/>
          <w:kern w:val="0"/>
          <w:sz w:val="24"/>
          <w:highlight w:val="none"/>
          <w:lang w:eastAsia="zh-CN"/>
        </w:rPr>
        <w:t>居民</w:t>
      </w:r>
      <w:r>
        <w:rPr>
          <w:rFonts w:hint="eastAsia"/>
          <w:b w:val="0"/>
          <w:bCs/>
          <w:snapToGrid w:val="0"/>
          <w:color w:val="auto"/>
          <w:kern w:val="0"/>
          <w:sz w:val="24"/>
          <w:highlight w:val="none"/>
        </w:rPr>
        <w:t>，调查河段内鱼类种类组成、“三场”分布情况等，主要参考《中国脊椎动物大全》（刘玉明等，2000 年）、《中国动物地理区划与中国昆虫地理区划》（竺可桢等，1959 年）、《中国动物地理》（张荣祖等，2011 年）等专著，同时参考近期发表的相关论文、地方史志、年鉴以及土地、农林业、水产、湿地规划等，调查区域水生生物资源。</w:t>
      </w:r>
    </w:p>
    <w:p>
      <w:pPr>
        <w:snapToGrid w:val="0"/>
        <w:spacing w:line="480" w:lineRule="exact"/>
        <w:outlineLvl w:val="2"/>
        <w:rPr>
          <w:b/>
          <w:color w:val="auto"/>
          <w:sz w:val="24"/>
          <w:highlight w:val="none"/>
        </w:rPr>
      </w:pPr>
      <w:r>
        <w:rPr>
          <w:rFonts w:hint="eastAsia"/>
          <w:b/>
          <w:snapToGrid w:val="0"/>
          <w:color w:val="auto"/>
          <w:kern w:val="0"/>
          <w:sz w:val="24"/>
          <w:highlight w:val="none"/>
        </w:rPr>
        <w:t>4.9</w:t>
      </w:r>
      <w:r>
        <w:rPr>
          <w:b/>
          <w:snapToGrid w:val="0"/>
          <w:color w:val="auto"/>
          <w:kern w:val="0"/>
          <w:sz w:val="24"/>
          <w:highlight w:val="none"/>
        </w:rPr>
        <w:t>.1调查</w:t>
      </w:r>
      <w:bookmarkEnd w:id="202"/>
      <w:bookmarkEnd w:id="203"/>
      <w:bookmarkEnd w:id="204"/>
      <w:r>
        <w:rPr>
          <w:rFonts w:hint="eastAsia"/>
          <w:b/>
          <w:snapToGrid w:val="0"/>
          <w:color w:val="auto"/>
          <w:kern w:val="0"/>
          <w:sz w:val="24"/>
          <w:highlight w:val="none"/>
        </w:rPr>
        <w:t>内容</w:t>
      </w:r>
    </w:p>
    <w:p>
      <w:pPr>
        <w:autoSpaceDE w:val="0"/>
        <w:autoSpaceDN w:val="0"/>
        <w:adjustRightInd w:val="0"/>
        <w:spacing w:line="480" w:lineRule="exact"/>
        <w:ind w:firstLine="480"/>
        <w:rPr>
          <w:color w:val="auto"/>
          <w:sz w:val="24"/>
          <w:highlight w:val="none"/>
          <w:lang w:val="zh-CN"/>
        </w:rPr>
      </w:pPr>
      <w:r>
        <w:rPr>
          <w:rFonts w:hint="eastAsia"/>
          <w:color w:val="auto"/>
          <w:sz w:val="24"/>
          <w:highlight w:val="none"/>
          <w:lang w:val="zh-CN"/>
        </w:rPr>
        <w:t>（</w:t>
      </w:r>
      <w:r>
        <w:rPr>
          <w:rFonts w:hint="eastAsia"/>
          <w:color w:val="auto"/>
          <w:sz w:val="24"/>
          <w:highlight w:val="none"/>
        </w:rPr>
        <w:t>1</w:t>
      </w:r>
      <w:r>
        <w:rPr>
          <w:rFonts w:hint="eastAsia"/>
          <w:color w:val="auto"/>
          <w:sz w:val="24"/>
          <w:highlight w:val="none"/>
          <w:lang w:val="zh-CN"/>
        </w:rPr>
        <w:t>）生态背景调查</w:t>
      </w:r>
    </w:p>
    <w:p>
      <w:pPr>
        <w:autoSpaceDE w:val="0"/>
        <w:autoSpaceDN w:val="0"/>
        <w:adjustRightInd w:val="0"/>
        <w:spacing w:line="480" w:lineRule="exact"/>
        <w:ind w:firstLine="480"/>
        <w:rPr>
          <w:color w:val="auto"/>
          <w:sz w:val="24"/>
          <w:highlight w:val="none"/>
          <w:lang w:val="zh-CN"/>
        </w:rPr>
      </w:pPr>
      <w:r>
        <w:rPr>
          <w:rFonts w:hint="eastAsia"/>
          <w:color w:val="auto"/>
          <w:sz w:val="24"/>
          <w:highlight w:val="none"/>
          <w:lang w:val="zh-CN"/>
        </w:rPr>
        <w:t>根据生态影响的空间和时间尺度特点，调查影响区域内涉及的生态系统类型、结构、功能和过程，植被和植物群落、土地利用、物种及生境以及相关的非生物因子特征（如气候、土壤、地形地貌、水文及水文地质等），重点调查受保护的珍稀濒危物种、关键种、土著种、建群种和特有种，天然的重要经济物种等。如涉及国家级和省级保护物种、珍稀濒危物种和地方特有物种时，应逐个或逐类说明其类型、分布、保护级别、保护状况等；如涉及特殊生态敏感区和重要生态敏感区时，应逐个说明其类型、等级、分布、保护对象、功能区划、保护要求等。</w:t>
      </w:r>
    </w:p>
    <w:p>
      <w:pPr>
        <w:autoSpaceDE w:val="0"/>
        <w:autoSpaceDN w:val="0"/>
        <w:adjustRightInd w:val="0"/>
        <w:spacing w:line="480" w:lineRule="exact"/>
        <w:ind w:firstLine="480"/>
        <w:rPr>
          <w:color w:val="auto"/>
          <w:sz w:val="24"/>
          <w:highlight w:val="none"/>
          <w:lang w:val="zh-CN"/>
        </w:rPr>
      </w:pPr>
      <w:r>
        <w:rPr>
          <w:rFonts w:hint="eastAsia"/>
          <w:color w:val="auto"/>
          <w:sz w:val="24"/>
          <w:highlight w:val="none"/>
          <w:lang w:val="zh-CN"/>
        </w:rPr>
        <w:t>（</w:t>
      </w:r>
      <w:r>
        <w:rPr>
          <w:rFonts w:hint="eastAsia"/>
          <w:color w:val="auto"/>
          <w:sz w:val="24"/>
          <w:highlight w:val="none"/>
        </w:rPr>
        <w:t>2</w:t>
      </w:r>
      <w:r>
        <w:rPr>
          <w:rFonts w:hint="eastAsia"/>
          <w:color w:val="auto"/>
          <w:sz w:val="24"/>
          <w:highlight w:val="none"/>
          <w:lang w:val="zh-CN"/>
        </w:rPr>
        <w:t>）主要生态问题调查</w:t>
      </w:r>
    </w:p>
    <w:p>
      <w:pPr>
        <w:autoSpaceDE w:val="0"/>
        <w:autoSpaceDN w:val="0"/>
        <w:adjustRightInd w:val="0"/>
        <w:spacing w:line="480" w:lineRule="exact"/>
        <w:ind w:firstLine="480"/>
        <w:rPr>
          <w:color w:val="auto"/>
          <w:sz w:val="24"/>
          <w:highlight w:val="none"/>
          <w:lang w:val="zh-CN"/>
        </w:rPr>
      </w:pPr>
      <w:r>
        <w:rPr>
          <w:rFonts w:hint="eastAsia"/>
          <w:color w:val="auto"/>
          <w:sz w:val="24"/>
          <w:highlight w:val="none"/>
          <w:lang w:val="zh-CN"/>
        </w:rPr>
        <w:t>调查影响区域内已经存在的制约本区域可持续发展的主要生态问题，如水土流失、沙漠化、石漠化、盐渍化、自然灾害、生物入侵和污染危害等，指出其类型、成因、空间分布、发生特点等。</w:t>
      </w:r>
    </w:p>
    <w:p>
      <w:pPr>
        <w:snapToGrid w:val="0"/>
        <w:spacing w:line="480" w:lineRule="exact"/>
        <w:outlineLvl w:val="2"/>
        <w:rPr>
          <w:b/>
          <w:color w:val="auto"/>
          <w:sz w:val="24"/>
          <w:highlight w:val="none"/>
        </w:rPr>
      </w:pPr>
      <w:r>
        <w:rPr>
          <w:rFonts w:hint="eastAsia"/>
          <w:b/>
          <w:snapToGrid w:val="0"/>
          <w:color w:val="auto"/>
          <w:kern w:val="0"/>
          <w:sz w:val="24"/>
          <w:highlight w:val="none"/>
        </w:rPr>
        <w:t>4.9</w:t>
      </w:r>
      <w:r>
        <w:rPr>
          <w:b/>
          <w:snapToGrid w:val="0"/>
          <w:color w:val="auto"/>
          <w:kern w:val="0"/>
          <w:sz w:val="24"/>
          <w:highlight w:val="none"/>
        </w:rPr>
        <w:t>.</w:t>
      </w:r>
      <w:r>
        <w:rPr>
          <w:rFonts w:hint="eastAsia"/>
          <w:b/>
          <w:snapToGrid w:val="0"/>
          <w:color w:val="auto"/>
          <w:kern w:val="0"/>
          <w:sz w:val="24"/>
          <w:highlight w:val="none"/>
        </w:rPr>
        <w:t>2</w:t>
      </w:r>
      <w:r>
        <w:rPr>
          <w:b/>
          <w:snapToGrid w:val="0"/>
          <w:color w:val="auto"/>
          <w:kern w:val="0"/>
          <w:sz w:val="24"/>
          <w:highlight w:val="none"/>
        </w:rPr>
        <w:t>调查方法及调查范围</w:t>
      </w:r>
    </w:p>
    <w:p>
      <w:pPr>
        <w:autoSpaceDE w:val="0"/>
        <w:autoSpaceDN w:val="0"/>
        <w:adjustRightInd w:val="0"/>
        <w:spacing w:line="480" w:lineRule="exact"/>
        <w:ind w:firstLine="480"/>
        <w:rPr>
          <w:color w:val="auto"/>
          <w:sz w:val="24"/>
          <w:highlight w:val="none"/>
          <w:lang w:val="zh-CN"/>
        </w:rPr>
      </w:pPr>
      <w:r>
        <w:rPr>
          <w:color w:val="auto"/>
          <w:sz w:val="24"/>
          <w:highlight w:val="none"/>
          <w:lang w:val="zh-CN"/>
        </w:rPr>
        <w:t>（</w:t>
      </w:r>
      <w:r>
        <w:rPr>
          <w:rFonts w:hint="eastAsia"/>
          <w:color w:val="auto"/>
          <w:sz w:val="24"/>
          <w:highlight w:val="none"/>
          <w:lang w:val="zh-CN"/>
        </w:rPr>
        <w:t>1</w:t>
      </w:r>
      <w:r>
        <w:rPr>
          <w:color w:val="auto"/>
          <w:sz w:val="24"/>
          <w:highlight w:val="none"/>
          <w:lang w:val="zh-CN"/>
        </w:rPr>
        <w:t>）</w:t>
      </w:r>
      <w:r>
        <w:rPr>
          <w:rFonts w:hint="eastAsia"/>
          <w:color w:val="auto"/>
          <w:sz w:val="24"/>
          <w:highlight w:val="none"/>
          <w:lang w:val="zh-CN"/>
        </w:rPr>
        <w:t>调查方法</w:t>
      </w:r>
    </w:p>
    <w:p>
      <w:pPr>
        <w:autoSpaceDE w:val="0"/>
        <w:autoSpaceDN w:val="0"/>
        <w:adjustRightInd w:val="0"/>
        <w:spacing w:line="480" w:lineRule="exact"/>
        <w:ind w:firstLine="480"/>
        <w:rPr>
          <w:color w:val="auto"/>
          <w:sz w:val="24"/>
          <w:highlight w:val="none"/>
          <w:lang w:val="zh-CN"/>
        </w:rPr>
      </w:pPr>
      <w:r>
        <w:rPr>
          <w:color w:val="auto"/>
          <w:sz w:val="24"/>
          <w:highlight w:val="none"/>
          <w:lang w:val="zh-CN"/>
        </w:rPr>
        <w:t>为了解区域生态环境现状，把握区域生态特点和生态保护关键因素，同时为生态影响评价提供基础数据。本次调查方法有资料收集法、现场勘查法</w:t>
      </w:r>
      <w:r>
        <w:rPr>
          <w:rFonts w:hint="eastAsia"/>
          <w:color w:val="auto"/>
          <w:sz w:val="24"/>
          <w:highlight w:val="none"/>
          <w:lang w:val="zh-CN"/>
        </w:rPr>
        <w:t>。</w:t>
      </w:r>
      <w:r>
        <w:rPr>
          <w:color w:val="auto"/>
          <w:sz w:val="24"/>
          <w:highlight w:val="none"/>
          <w:lang w:val="zh-CN"/>
        </w:rPr>
        <w:t xml:space="preserve"> </w:t>
      </w:r>
    </w:p>
    <w:p>
      <w:pPr>
        <w:autoSpaceDE w:val="0"/>
        <w:autoSpaceDN w:val="0"/>
        <w:adjustRightInd w:val="0"/>
        <w:spacing w:line="480" w:lineRule="exact"/>
        <w:ind w:firstLine="480"/>
        <w:rPr>
          <w:color w:val="auto"/>
          <w:sz w:val="24"/>
          <w:highlight w:val="none"/>
          <w:lang w:val="zh-CN"/>
        </w:rPr>
      </w:pPr>
      <w:r>
        <w:rPr>
          <w:color w:val="auto"/>
          <w:sz w:val="24"/>
          <w:highlight w:val="none"/>
          <w:lang w:val="zh-CN"/>
        </w:rPr>
        <w:t>资料收集法：收集整理项目涉及区域现有生物资料，包括市志、统计年鉴以及林业、环保、水利、农业、国土资源等部门提供的相关资料，并且参考</w:t>
      </w:r>
      <w:r>
        <w:rPr>
          <w:rFonts w:hint="eastAsia"/>
          <w:color w:val="auto"/>
          <w:sz w:val="24"/>
          <w:highlight w:val="none"/>
          <w:lang w:val="zh-CN"/>
        </w:rPr>
        <w:t>《遵化市生态市建设规划(报批版)》、</w:t>
      </w:r>
      <w:r>
        <w:rPr>
          <w:color w:val="auto"/>
          <w:sz w:val="24"/>
          <w:highlight w:val="none"/>
          <w:lang w:val="zh-CN"/>
        </w:rPr>
        <w:t>《河北植被》、《河北省动物志》、《河北森林》等专著。张敏等论文《京津冀重要水源地潘大水库水生生物群落结构及水质生物学评价》（《生态学杂志》2016，35，2774-2782）；冯向阳等论文《潘家口水库浮游生物资源调查与评价》（《河北渔业》，2011，5，19-29）；李文君等论文《潘家口水库浮游植物群落结构时空变化及多样性分析》（《环境科学与技术》2012，9，103-107）；纪炳纯等论文《引滦入津流域底栖动物研究及水质评价》（《南开大学学报·自然科学》，2002，6，106-112）</w:t>
      </w:r>
      <w:r>
        <w:rPr>
          <w:rFonts w:hint="eastAsia"/>
          <w:color w:val="auto"/>
          <w:sz w:val="24"/>
          <w:highlight w:val="none"/>
          <w:lang w:val="zh-CN"/>
        </w:rPr>
        <w:t>；</w:t>
      </w:r>
      <w:r>
        <w:rPr>
          <w:color w:val="auto"/>
          <w:highlight w:val="none"/>
        </w:rPr>
        <w:fldChar w:fldCharType="begin"/>
      </w:r>
      <w:r>
        <w:rPr>
          <w:color w:val="auto"/>
          <w:highlight w:val="none"/>
        </w:rPr>
        <w:instrText xml:space="preserve"> HYPERLINK "http://yuanjian.cnki.com.cn/Search/Result?author=%E4%BB%87%E5%AE%BD%E5%BD%AA" \t "_blank" </w:instrText>
      </w:r>
      <w:r>
        <w:rPr>
          <w:color w:val="auto"/>
          <w:highlight w:val="none"/>
        </w:rPr>
        <w:fldChar w:fldCharType="separate"/>
      </w:r>
      <w:r>
        <w:rPr>
          <w:color w:val="auto"/>
          <w:sz w:val="24"/>
          <w:highlight w:val="none"/>
          <w:lang w:val="zh-CN"/>
        </w:rPr>
        <w:t>仇宽彪</w:t>
      </w:r>
      <w:r>
        <w:rPr>
          <w:color w:val="auto"/>
          <w:sz w:val="24"/>
          <w:highlight w:val="none"/>
          <w:lang w:val="zh-CN"/>
        </w:rPr>
        <w:fldChar w:fldCharType="end"/>
      </w:r>
      <w:r>
        <w:rPr>
          <w:color w:val="auto"/>
          <w:sz w:val="24"/>
          <w:highlight w:val="none"/>
          <w:lang w:val="zh-CN"/>
        </w:rPr>
        <w:t>等论文《唐山市植被分布及其变化分析》（《林业科学》，2012，4，143-148）。</w:t>
      </w:r>
    </w:p>
    <w:p>
      <w:pPr>
        <w:autoSpaceDE w:val="0"/>
        <w:autoSpaceDN w:val="0"/>
        <w:adjustRightInd w:val="0"/>
        <w:spacing w:line="480" w:lineRule="exact"/>
        <w:ind w:firstLine="480"/>
        <w:rPr>
          <w:color w:val="auto"/>
          <w:sz w:val="24"/>
          <w:highlight w:val="none"/>
          <w:lang w:val="zh-CN"/>
        </w:rPr>
      </w:pPr>
      <w:r>
        <w:rPr>
          <w:color w:val="auto"/>
          <w:sz w:val="24"/>
          <w:highlight w:val="none"/>
          <w:lang w:val="zh-CN"/>
        </w:rPr>
        <w:t>现场勘查法：现场调查采用全球定位系统，以实地调查为主，普查、详查相结合的方法。实地调查掌握项目区生态环境的基本情况，通过相关部门走访调查，了解生态环境的变化状况。</w:t>
      </w:r>
    </w:p>
    <w:p>
      <w:pPr>
        <w:autoSpaceDE w:val="0"/>
        <w:autoSpaceDN w:val="0"/>
        <w:adjustRightInd w:val="0"/>
        <w:spacing w:line="480" w:lineRule="exact"/>
        <w:ind w:firstLine="480"/>
        <w:rPr>
          <w:color w:val="auto"/>
          <w:sz w:val="24"/>
          <w:highlight w:val="none"/>
          <w:lang w:val="zh-CN"/>
        </w:rPr>
      </w:pPr>
      <w:r>
        <w:rPr>
          <w:color w:val="auto"/>
          <w:sz w:val="24"/>
          <w:highlight w:val="none"/>
          <w:lang w:val="zh-CN"/>
        </w:rPr>
        <w:fldChar w:fldCharType="begin"/>
      </w:r>
      <w:r>
        <w:rPr>
          <w:color w:val="auto"/>
          <w:sz w:val="24"/>
          <w:highlight w:val="none"/>
          <w:lang w:val="zh-CN"/>
        </w:rPr>
        <w:instrText xml:space="preserve"> </w:instrText>
      </w:r>
      <w:r>
        <w:rPr>
          <w:rFonts w:hint="eastAsia"/>
          <w:color w:val="auto"/>
          <w:sz w:val="24"/>
          <w:highlight w:val="none"/>
          <w:lang w:val="zh-CN"/>
        </w:rPr>
        <w:instrText xml:space="preserve">= 1 \* GB3</w:instrText>
      </w:r>
      <w:r>
        <w:rPr>
          <w:color w:val="auto"/>
          <w:sz w:val="24"/>
          <w:highlight w:val="none"/>
          <w:lang w:val="zh-CN"/>
        </w:rPr>
        <w:instrText xml:space="preserve"> </w:instrText>
      </w:r>
      <w:r>
        <w:rPr>
          <w:color w:val="auto"/>
          <w:sz w:val="24"/>
          <w:highlight w:val="none"/>
          <w:lang w:val="zh-CN"/>
        </w:rPr>
        <w:fldChar w:fldCharType="separate"/>
      </w:r>
      <w:r>
        <w:rPr>
          <w:rFonts w:hint="eastAsia"/>
          <w:color w:val="auto"/>
          <w:sz w:val="24"/>
          <w:highlight w:val="none"/>
          <w:lang w:val="zh-CN"/>
        </w:rPr>
        <w:t>①</w:t>
      </w:r>
      <w:r>
        <w:rPr>
          <w:color w:val="auto"/>
          <w:sz w:val="24"/>
          <w:highlight w:val="none"/>
          <w:lang w:val="zh-CN"/>
        </w:rPr>
        <w:fldChar w:fldCharType="end"/>
      </w:r>
      <w:r>
        <w:rPr>
          <w:color w:val="auto"/>
          <w:sz w:val="24"/>
          <w:highlight w:val="none"/>
          <w:lang w:val="zh-CN"/>
        </w:rPr>
        <w:t>陆生植被调查</w:t>
      </w:r>
    </w:p>
    <w:p>
      <w:pPr>
        <w:autoSpaceDE w:val="0"/>
        <w:autoSpaceDN w:val="0"/>
        <w:adjustRightInd w:val="0"/>
        <w:spacing w:line="480" w:lineRule="exact"/>
        <w:ind w:firstLine="480"/>
        <w:rPr>
          <w:color w:val="auto"/>
          <w:sz w:val="24"/>
          <w:highlight w:val="none"/>
          <w:lang w:val="zh-CN"/>
        </w:rPr>
      </w:pPr>
      <w:r>
        <w:rPr>
          <w:color w:val="auto"/>
          <w:sz w:val="24"/>
          <w:highlight w:val="none"/>
          <w:lang w:val="zh-CN"/>
        </w:rPr>
        <w:t>在调查过程中，确定评价范围内的植物种类及资源状况、珍稀濒危植物的种类及生存状况等。实地调查采取样方调查方法，记录评价范围内的常见植物种类；对保护植物、古树名木调查采取现场调查和民间查访相结合的方法进行。</w:t>
      </w:r>
    </w:p>
    <w:p>
      <w:pPr>
        <w:autoSpaceDE w:val="0"/>
        <w:autoSpaceDN w:val="0"/>
        <w:adjustRightInd w:val="0"/>
        <w:spacing w:line="480" w:lineRule="exact"/>
        <w:ind w:firstLine="480"/>
        <w:rPr>
          <w:color w:val="auto"/>
          <w:sz w:val="24"/>
          <w:highlight w:val="none"/>
        </w:rPr>
      </w:pPr>
      <w:r>
        <w:rPr>
          <w:color w:val="auto"/>
          <w:sz w:val="24"/>
          <w:highlight w:val="none"/>
          <w:lang w:val="zh-CN"/>
        </w:rPr>
        <w:fldChar w:fldCharType="begin"/>
      </w:r>
      <w:r>
        <w:rPr>
          <w:color w:val="auto"/>
          <w:sz w:val="24"/>
          <w:highlight w:val="none"/>
          <w:lang w:val="zh-CN"/>
        </w:rPr>
        <w:instrText xml:space="preserve"> </w:instrText>
      </w:r>
      <w:r>
        <w:rPr>
          <w:rFonts w:hint="eastAsia"/>
          <w:color w:val="auto"/>
          <w:sz w:val="24"/>
          <w:highlight w:val="none"/>
          <w:lang w:val="zh-CN"/>
        </w:rPr>
        <w:instrText xml:space="preserve">= 2 \* GB3</w:instrText>
      </w:r>
      <w:r>
        <w:rPr>
          <w:color w:val="auto"/>
          <w:sz w:val="24"/>
          <w:highlight w:val="none"/>
          <w:lang w:val="zh-CN"/>
        </w:rPr>
        <w:instrText xml:space="preserve"> </w:instrText>
      </w:r>
      <w:r>
        <w:rPr>
          <w:color w:val="auto"/>
          <w:sz w:val="24"/>
          <w:highlight w:val="none"/>
          <w:lang w:val="zh-CN"/>
        </w:rPr>
        <w:fldChar w:fldCharType="separate"/>
      </w:r>
      <w:r>
        <w:rPr>
          <w:rFonts w:hint="eastAsia"/>
          <w:color w:val="auto"/>
          <w:sz w:val="24"/>
          <w:highlight w:val="none"/>
          <w:lang w:val="zh-CN"/>
        </w:rPr>
        <w:t>②</w:t>
      </w:r>
      <w:r>
        <w:rPr>
          <w:color w:val="auto"/>
          <w:sz w:val="24"/>
          <w:highlight w:val="none"/>
          <w:lang w:val="zh-CN"/>
        </w:rPr>
        <w:fldChar w:fldCharType="end"/>
      </w:r>
      <w:r>
        <w:rPr>
          <w:color w:val="auto"/>
          <w:sz w:val="24"/>
          <w:highlight w:val="none"/>
          <w:lang w:val="zh-CN"/>
        </w:rPr>
        <w:t>陆生野生动物调查</w:t>
      </w:r>
    </w:p>
    <w:p>
      <w:pPr>
        <w:autoSpaceDE w:val="0"/>
        <w:autoSpaceDN w:val="0"/>
        <w:adjustRightInd w:val="0"/>
        <w:spacing w:line="480" w:lineRule="exact"/>
        <w:ind w:firstLine="480"/>
        <w:rPr>
          <w:color w:val="auto"/>
          <w:sz w:val="24"/>
          <w:highlight w:val="none"/>
          <w:lang w:val="zh-CN"/>
        </w:rPr>
      </w:pPr>
      <w:r>
        <w:rPr>
          <w:color w:val="auto"/>
          <w:sz w:val="24"/>
          <w:highlight w:val="none"/>
          <w:lang w:val="zh-CN"/>
        </w:rPr>
        <w:t>采取走访和样带现场调查相结合的方法，参考相关文献资料对评价范围内野生动物分布情况进行后调查。</w:t>
      </w:r>
    </w:p>
    <w:p>
      <w:pPr>
        <w:autoSpaceDE w:val="0"/>
        <w:autoSpaceDN w:val="0"/>
        <w:adjustRightInd w:val="0"/>
        <w:spacing w:line="480" w:lineRule="exact"/>
        <w:ind w:firstLine="480"/>
        <w:rPr>
          <w:color w:val="auto"/>
          <w:sz w:val="24"/>
          <w:highlight w:val="none"/>
          <w:lang w:val="zh-CN"/>
        </w:rPr>
      </w:pPr>
      <w:r>
        <w:rPr>
          <w:color w:val="auto"/>
          <w:sz w:val="24"/>
          <w:highlight w:val="none"/>
          <w:lang w:val="zh-CN"/>
        </w:rPr>
        <w:fldChar w:fldCharType="begin"/>
      </w:r>
      <w:r>
        <w:rPr>
          <w:color w:val="auto"/>
          <w:sz w:val="24"/>
          <w:highlight w:val="none"/>
          <w:lang w:val="zh-CN"/>
        </w:rPr>
        <w:instrText xml:space="preserve"> </w:instrText>
      </w:r>
      <w:r>
        <w:rPr>
          <w:rFonts w:hint="eastAsia"/>
          <w:color w:val="auto"/>
          <w:sz w:val="24"/>
          <w:highlight w:val="none"/>
          <w:lang w:val="zh-CN"/>
        </w:rPr>
        <w:instrText xml:space="preserve">= 3 \* GB3</w:instrText>
      </w:r>
      <w:r>
        <w:rPr>
          <w:color w:val="auto"/>
          <w:sz w:val="24"/>
          <w:highlight w:val="none"/>
          <w:lang w:val="zh-CN"/>
        </w:rPr>
        <w:instrText xml:space="preserve"> </w:instrText>
      </w:r>
      <w:r>
        <w:rPr>
          <w:color w:val="auto"/>
          <w:sz w:val="24"/>
          <w:highlight w:val="none"/>
          <w:lang w:val="zh-CN"/>
        </w:rPr>
        <w:fldChar w:fldCharType="separate"/>
      </w:r>
      <w:r>
        <w:rPr>
          <w:rFonts w:hint="eastAsia"/>
          <w:color w:val="auto"/>
          <w:sz w:val="24"/>
          <w:highlight w:val="none"/>
          <w:lang w:val="zh-CN"/>
        </w:rPr>
        <w:t>③</w:t>
      </w:r>
      <w:r>
        <w:rPr>
          <w:color w:val="auto"/>
          <w:sz w:val="24"/>
          <w:highlight w:val="none"/>
          <w:lang w:val="zh-CN"/>
        </w:rPr>
        <w:fldChar w:fldCharType="end"/>
      </w:r>
      <w:r>
        <w:rPr>
          <w:color w:val="auto"/>
          <w:sz w:val="24"/>
          <w:highlight w:val="none"/>
          <w:lang w:val="zh-CN"/>
        </w:rPr>
        <w:t>水生生物调查</w:t>
      </w:r>
    </w:p>
    <w:p>
      <w:pPr>
        <w:autoSpaceDE w:val="0"/>
        <w:autoSpaceDN w:val="0"/>
        <w:adjustRightInd w:val="0"/>
        <w:spacing w:line="480" w:lineRule="exact"/>
        <w:ind w:firstLine="480"/>
        <w:rPr>
          <w:color w:val="auto"/>
          <w:sz w:val="24"/>
          <w:highlight w:val="none"/>
          <w:lang w:val="zh-CN"/>
        </w:rPr>
      </w:pPr>
      <w:r>
        <w:rPr>
          <w:color w:val="auto"/>
          <w:sz w:val="24"/>
          <w:highlight w:val="none"/>
          <w:lang w:val="zh-CN"/>
        </w:rPr>
        <w:t>采取走访和现场带样调查相结合的方法，参考相关文献资料对评价范围内水生生物分布情况进行后调查。</w:t>
      </w:r>
    </w:p>
    <w:p>
      <w:pPr>
        <w:autoSpaceDE w:val="0"/>
        <w:autoSpaceDN w:val="0"/>
        <w:adjustRightInd w:val="0"/>
        <w:spacing w:line="480" w:lineRule="exact"/>
        <w:ind w:firstLine="480"/>
        <w:rPr>
          <w:color w:val="auto"/>
          <w:sz w:val="24"/>
          <w:highlight w:val="none"/>
          <w:lang w:val="zh-CN"/>
        </w:rPr>
      </w:pPr>
      <w:r>
        <w:rPr>
          <w:color w:val="auto"/>
          <w:sz w:val="24"/>
          <w:highlight w:val="none"/>
          <w:lang w:val="zh-CN"/>
        </w:rPr>
        <w:t>（</w:t>
      </w:r>
      <w:r>
        <w:rPr>
          <w:rFonts w:hint="eastAsia"/>
          <w:color w:val="auto"/>
          <w:sz w:val="24"/>
          <w:highlight w:val="none"/>
          <w:lang w:val="zh-CN"/>
        </w:rPr>
        <w:t>2</w:t>
      </w:r>
      <w:r>
        <w:rPr>
          <w:color w:val="auto"/>
          <w:sz w:val="24"/>
          <w:highlight w:val="none"/>
          <w:lang w:val="zh-CN"/>
        </w:rPr>
        <w:t>）调查范围</w:t>
      </w:r>
    </w:p>
    <w:p>
      <w:pPr>
        <w:autoSpaceDE w:val="0"/>
        <w:autoSpaceDN w:val="0"/>
        <w:adjustRightInd w:val="0"/>
        <w:spacing w:line="480" w:lineRule="exact"/>
        <w:ind w:firstLine="480"/>
        <w:rPr>
          <w:color w:val="auto"/>
          <w:sz w:val="24"/>
          <w:highlight w:val="none"/>
          <w:lang w:val="zh-CN"/>
        </w:rPr>
      </w:pPr>
      <w:r>
        <w:rPr>
          <w:rFonts w:hint="eastAsia"/>
          <w:color w:val="auto"/>
          <w:sz w:val="24"/>
          <w:highlight w:val="none"/>
          <w:lang w:val="zh-CN"/>
        </w:rPr>
        <w:t>水生生态评价范围：与地面水评价范围相同，即：橡胶坝上游</w:t>
      </w:r>
      <w:r>
        <w:rPr>
          <w:rFonts w:hint="eastAsia"/>
          <w:color w:val="auto"/>
          <w:sz w:val="24"/>
          <w:highlight w:val="none"/>
          <w:lang w:val="en-US" w:eastAsia="zh-CN"/>
        </w:rPr>
        <w:t>50</w:t>
      </w:r>
      <w:r>
        <w:rPr>
          <w:rFonts w:hint="eastAsia"/>
          <w:color w:val="auto"/>
          <w:sz w:val="24"/>
          <w:highlight w:val="none"/>
          <w:lang w:val="zh-CN"/>
        </w:rPr>
        <w:t>0m至水电厂房尾水口下游1000m，总长约2.6km的黎河段。</w:t>
      </w:r>
    </w:p>
    <w:p>
      <w:pPr>
        <w:autoSpaceDE w:val="0"/>
        <w:autoSpaceDN w:val="0"/>
        <w:adjustRightInd w:val="0"/>
        <w:spacing w:line="480" w:lineRule="exact"/>
        <w:ind w:firstLine="480"/>
        <w:rPr>
          <w:color w:val="auto"/>
          <w:sz w:val="24"/>
          <w:highlight w:val="none"/>
          <w:lang w:val="zh-CN"/>
        </w:rPr>
      </w:pPr>
      <w:r>
        <w:rPr>
          <w:rFonts w:hint="eastAsia"/>
          <w:color w:val="auto"/>
          <w:sz w:val="24"/>
          <w:highlight w:val="none"/>
          <w:lang w:val="zh-CN"/>
        </w:rPr>
        <w:t>陆生生态评价范围：橡胶坝上游</w:t>
      </w:r>
      <w:r>
        <w:rPr>
          <w:rFonts w:hint="eastAsia"/>
          <w:color w:val="auto"/>
          <w:sz w:val="24"/>
          <w:highlight w:val="none"/>
          <w:lang w:val="en-US" w:eastAsia="zh-CN"/>
        </w:rPr>
        <w:t>50</w:t>
      </w:r>
      <w:r>
        <w:rPr>
          <w:rFonts w:hint="eastAsia"/>
          <w:color w:val="auto"/>
          <w:sz w:val="24"/>
          <w:highlight w:val="none"/>
          <w:lang w:val="zh-CN"/>
        </w:rPr>
        <w:t>0m至厂房下游1000m之间的黎河两侧各外延</w:t>
      </w:r>
      <w:r>
        <w:rPr>
          <w:rFonts w:hint="eastAsia"/>
          <w:color w:val="auto"/>
          <w:sz w:val="24"/>
          <w:highlight w:val="none"/>
          <w:lang w:val="en-US" w:eastAsia="zh-CN"/>
        </w:rPr>
        <w:t>3</w:t>
      </w:r>
      <w:r>
        <w:rPr>
          <w:rFonts w:hint="eastAsia"/>
          <w:color w:val="auto"/>
          <w:sz w:val="24"/>
          <w:highlight w:val="none"/>
          <w:lang w:val="zh-CN"/>
        </w:rPr>
        <w:t>00m。</w:t>
      </w:r>
    </w:p>
    <w:p>
      <w:pPr>
        <w:snapToGrid w:val="0"/>
        <w:spacing w:line="480" w:lineRule="exact"/>
        <w:outlineLvl w:val="2"/>
        <w:rPr>
          <w:b/>
          <w:snapToGrid w:val="0"/>
          <w:color w:val="auto"/>
          <w:kern w:val="0"/>
          <w:sz w:val="24"/>
          <w:highlight w:val="none"/>
        </w:rPr>
      </w:pPr>
      <w:bookmarkStart w:id="205" w:name="_Toc509898628"/>
      <w:bookmarkStart w:id="206" w:name="_Toc519179369"/>
      <w:bookmarkStart w:id="207" w:name="_Toc509806785"/>
      <w:r>
        <w:rPr>
          <w:b/>
          <w:snapToGrid w:val="0"/>
          <w:color w:val="auto"/>
          <w:kern w:val="0"/>
          <w:sz w:val="24"/>
          <w:highlight w:val="none"/>
        </w:rPr>
        <w:t>4</w:t>
      </w:r>
      <w:r>
        <w:rPr>
          <w:rFonts w:hint="eastAsia"/>
          <w:b/>
          <w:snapToGrid w:val="0"/>
          <w:color w:val="auto"/>
          <w:kern w:val="0"/>
          <w:sz w:val="24"/>
          <w:highlight w:val="none"/>
        </w:rPr>
        <w:t>.9</w:t>
      </w:r>
      <w:r>
        <w:rPr>
          <w:b/>
          <w:snapToGrid w:val="0"/>
          <w:color w:val="auto"/>
          <w:kern w:val="0"/>
          <w:sz w:val="24"/>
          <w:highlight w:val="none"/>
        </w:rPr>
        <w:t>.</w:t>
      </w:r>
      <w:r>
        <w:rPr>
          <w:rFonts w:hint="eastAsia"/>
          <w:b/>
          <w:snapToGrid w:val="0"/>
          <w:color w:val="auto"/>
          <w:kern w:val="0"/>
          <w:sz w:val="24"/>
          <w:highlight w:val="none"/>
          <w:lang w:val="en-US" w:eastAsia="zh-CN"/>
        </w:rPr>
        <w:t>3</w:t>
      </w:r>
      <w:r>
        <w:rPr>
          <w:b/>
          <w:snapToGrid w:val="0"/>
          <w:color w:val="auto"/>
          <w:kern w:val="0"/>
          <w:sz w:val="24"/>
          <w:highlight w:val="none"/>
        </w:rPr>
        <w:t>区域生态环境</w:t>
      </w:r>
      <w:bookmarkEnd w:id="205"/>
      <w:bookmarkEnd w:id="206"/>
      <w:bookmarkEnd w:id="207"/>
      <w:r>
        <w:rPr>
          <w:rFonts w:hint="eastAsia"/>
          <w:b/>
          <w:snapToGrid w:val="0"/>
          <w:color w:val="auto"/>
          <w:kern w:val="0"/>
          <w:sz w:val="24"/>
          <w:highlight w:val="none"/>
        </w:rPr>
        <w:t>调查</w:t>
      </w:r>
    </w:p>
    <w:p>
      <w:pPr>
        <w:autoSpaceDE w:val="0"/>
        <w:autoSpaceDN w:val="0"/>
        <w:adjustRightInd w:val="0"/>
        <w:spacing w:line="480" w:lineRule="exact"/>
        <w:ind w:firstLine="480"/>
        <w:jc w:val="left"/>
        <w:rPr>
          <w:color w:val="auto"/>
          <w:sz w:val="24"/>
          <w:highlight w:val="none"/>
          <w:lang w:val="zh-CN"/>
        </w:rPr>
      </w:pPr>
      <w:r>
        <w:rPr>
          <w:color w:val="auto"/>
          <w:sz w:val="24"/>
          <w:highlight w:val="none"/>
          <w:lang w:val="zh-CN"/>
        </w:rPr>
        <w:t>本项目区域内，人类活动对自然生态系统扰动较大，生态环境抗干扰能力较弱。</w:t>
      </w:r>
    </w:p>
    <w:p>
      <w:pPr>
        <w:autoSpaceDE w:val="0"/>
        <w:autoSpaceDN w:val="0"/>
        <w:adjustRightInd w:val="0"/>
        <w:spacing w:line="480" w:lineRule="exact"/>
        <w:jc w:val="left"/>
        <w:rPr>
          <w:b/>
          <w:bCs/>
          <w:color w:val="auto"/>
          <w:sz w:val="24"/>
          <w:highlight w:val="none"/>
        </w:rPr>
      </w:pPr>
      <w:r>
        <w:rPr>
          <w:rFonts w:hint="eastAsia"/>
          <w:b/>
          <w:bCs/>
          <w:color w:val="auto"/>
          <w:sz w:val="24"/>
          <w:highlight w:val="none"/>
          <w:lang w:val="en-US" w:eastAsia="zh-CN"/>
        </w:rPr>
        <w:t xml:space="preserve">4.9.3.1 </w:t>
      </w:r>
      <w:r>
        <w:rPr>
          <w:b/>
          <w:bCs/>
          <w:color w:val="auto"/>
          <w:sz w:val="24"/>
          <w:highlight w:val="none"/>
          <w:lang w:val="zh-CN"/>
        </w:rPr>
        <w:t>区域气候条件</w:t>
      </w:r>
    </w:p>
    <w:p>
      <w:pPr>
        <w:autoSpaceDE w:val="0"/>
        <w:autoSpaceDN w:val="0"/>
        <w:adjustRightInd w:val="0"/>
        <w:spacing w:line="480" w:lineRule="exact"/>
        <w:ind w:firstLine="480"/>
        <w:rPr>
          <w:color w:val="auto"/>
          <w:kern w:val="0"/>
          <w:sz w:val="24"/>
          <w:highlight w:val="none"/>
        </w:rPr>
      </w:pPr>
      <w:r>
        <w:rPr>
          <w:color w:val="auto"/>
          <w:kern w:val="0"/>
          <w:sz w:val="24"/>
          <w:highlight w:val="none"/>
          <w:lang w:val="zh-CN"/>
        </w:rPr>
        <w:t>遵化市年平均气温</w:t>
      </w:r>
      <w:r>
        <w:rPr>
          <w:color w:val="auto"/>
          <w:kern w:val="0"/>
          <w:sz w:val="24"/>
          <w:highlight w:val="none"/>
        </w:rPr>
        <w:t>10.4</w:t>
      </w:r>
      <w:r>
        <w:rPr>
          <w:rFonts w:hint="eastAsia" w:ascii="宋体" w:hAnsi="宋体" w:cs="宋体"/>
          <w:color w:val="auto"/>
          <w:kern w:val="0"/>
          <w:sz w:val="24"/>
          <w:highlight w:val="none"/>
          <w:lang w:val="zh-CN"/>
        </w:rPr>
        <w:t>℃</w:t>
      </w:r>
      <w:r>
        <w:rPr>
          <w:color w:val="auto"/>
          <w:kern w:val="0"/>
          <w:sz w:val="24"/>
          <w:highlight w:val="none"/>
          <w:lang w:val="zh-CN"/>
        </w:rPr>
        <w:t>，年平均最高气温</w:t>
      </w:r>
      <w:r>
        <w:rPr>
          <w:color w:val="auto"/>
          <w:kern w:val="0"/>
          <w:sz w:val="24"/>
          <w:highlight w:val="none"/>
        </w:rPr>
        <w:t>17.2</w:t>
      </w:r>
      <w:r>
        <w:rPr>
          <w:rFonts w:hint="eastAsia" w:ascii="宋体" w:hAnsi="宋体" w:cs="宋体"/>
          <w:color w:val="auto"/>
          <w:kern w:val="0"/>
          <w:sz w:val="24"/>
          <w:highlight w:val="none"/>
          <w:lang w:val="zh-CN"/>
        </w:rPr>
        <w:t>℃</w:t>
      </w:r>
      <w:r>
        <w:rPr>
          <w:color w:val="auto"/>
          <w:kern w:val="0"/>
          <w:sz w:val="24"/>
          <w:highlight w:val="none"/>
          <w:lang w:val="zh-CN"/>
        </w:rPr>
        <w:t>，年平均最低气温</w:t>
      </w:r>
      <w:r>
        <w:rPr>
          <w:color w:val="auto"/>
          <w:kern w:val="0"/>
          <w:sz w:val="24"/>
          <w:highlight w:val="none"/>
        </w:rPr>
        <w:t>4.4</w:t>
      </w:r>
      <w:r>
        <w:rPr>
          <w:rFonts w:hint="eastAsia" w:ascii="宋体" w:hAnsi="宋体" w:cs="宋体"/>
          <w:color w:val="auto"/>
          <w:kern w:val="0"/>
          <w:sz w:val="24"/>
          <w:highlight w:val="none"/>
          <w:lang w:val="zh-CN"/>
        </w:rPr>
        <w:t>℃</w:t>
      </w:r>
      <w:r>
        <w:rPr>
          <w:color w:val="auto"/>
          <w:kern w:val="0"/>
          <w:sz w:val="24"/>
          <w:highlight w:val="none"/>
          <w:lang w:val="zh-CN"/>
        </w:rPr>
        <w:t>，极端最高气温</w:t>
      </w:r>
      <w:r>
        <w:rPr>
          <w:color w:val="auto"/>
          <w:kern w:val="0"/>
          <w:sz w:val="24"/>
          <w:highlight w:val="none"/>
        </w:rPr>
        <w:t>40.3</w:t>
      </w:r>
      <w:r>
        <w:rPr>
          <w:rFonts w:hint="eastAsia" w:ascii="宋体" w:hAnsi="宋体" w:cs="宋体"/>
          <w:color w:val="auto"/>
          <w:kern w:val="0"/>
          <w:sz w:val="24"/>
          <w:highlight w:val="none"/>
          <w:lang w:val="zh-CN"/>
        </w:rPr>
        <w:t>℃</w:t>
      </w:r>
      <w:r>
        <w:rPr>
          <w:color w:val="auto"/>
          <w:kern w:val="0"/>
          <w:sz w:val="24"/>
          <w:highlight w:val="none"/>
          <w:lang w:val="zh-CN"/>
        </w:rPr>
        <w:t>，极端最低气温</w:t>
      </w:r>
      <w:r>
        <w:rPr>
          <w:color w:val="auto"/>
          <w:kern w:val="0"/>
          <w:sz w:val="24"/>
          <w:highlight w:val="none"/>
        </w:rPr>
        <w:t>-25.7</w:t>
      </w:r>
      <w:r>
        <w:rPr>
          <w:rFonts w:hint="eastAsia" w:ascii="宋体" w:hAnsi="宋体" w:cs="宋体"/>
          <w:color w:val="auto"/>
          <w:kern w:val="0"/>
          <w:sz w:val="24"/>
          <w:highlight w:val="none"/>
          <w:lang w:val="zh-CN"/>
        </w:rPr>
        <w:t>℃</w:t>
      </w:r>
      <w:r>
        <w:rPr>
          <w:color w:val="auto"/>
          <w:kern w:val="0"/>
          <w:sz w:val="24"/>
          <w:highlight w:val="none"/>
          <w:lang w:val="zh-CN"/>
        </w:rPr>
        <w:t>，极端最高气温和最低气温相差</w:t>
      </w:r>
      <w:r>
        <w:rPr>
          <w:color w:val="auto"/>
          <w:kern w:val="0"/>
          <w:sz w:val="24"/>
          <w:highlight w:val="none"/>
        </w:rPr>
        <w:t>66</w:t>
      </w:r>
      <w:r>
        <w:rPr>
          <w:rFonts w:hint="eastAsia" w:ascii="宋体" w:hAnsi="宋体" w:cs="宋体"/>
          <w:color w:val="auto"/>
          <w:kern w:val="0"/>
          <w:sz w:val="24"/>
          <w:highlight w:val="none"/>
          <w:lang w:val="zh-CN"/>
        </w:rPr>
        <w:t>℃</w:t>
      </w:r>
      <w:r>
        <w:rPr>
          <w:color w:val="auto"/>
          <w:kern w:val="0"/>
          <w:sz w:val="24"/>
          <w:highlight w:val="none"/>
          <w:lang w:val="zh-CN"/>
        </w:rPr>
        <w:t>。冬夏气温变化剧烈，冬季三个月多年平均气温低于</w:t>
      </w:r>
      <w:r>
        <w:rPr>
          <w:color w:val="auto"/>
          <w:kern w:val="0"/>
          <w:sz w:val="24"/>
          <w:highlight w:val="none"/>
        </w:rPr>
        <w:t>0</w:t>
      </w:r>
      <w:r>
        <w:rPr>
          <w:rFonts w:hint="eastAsia" w:ascii="宋体" w:hAnsi="宋体" w:cs="宋体"/>
          <w:color w:val="auto"/>
          <w:kern w:val="0"/>
          <w:sz w:val="24"/>
          <w:highlight w:val="none"/>
          <w:lang w:val="zh-CN"/>
        </w:rPr>
        <w:t>℃</w:t>
      </w:r>
      <w:r>
        <w:rPr>
          <w:color w:val="auto"/>
          <w:kern w:val="0"/>
          <w:sz w:val="24"/>
          <w:highlight w:val="none"/>
          <w:lang w:val="zh-CN"/>
        </w:rPr>
        <w:t>，最冷月</w:t>
      </w:r>
      <w:r>
        <w:rPr>
          <w:color w:val="auto"/>
          <w:kern w:val="0"/>
          <w:sz w:val="24"/>
          <w:highlight w:val="none"/>
        </w:rPr>
        <w:t>1</w:t>
      </w:r>
      <w:r>
        <w:rPr>
          <w:color w:val="auto"/>
          <w:kern w:val="0"/>
          <w:sz w:val="24"/>
          <w:highlight w:val="none"/>
          <w:lang w:val="zh-CN"/>
        </w:rPr>
        <w:t>月，月平均气温为</w:t>
      </w:r>
      <w:r>
        <w:rPr>
          <w:color w:val="auto"/>
          <w:kern w:val="0"/>
          <w:sz w:val="24"/>
          <w:highlight w:val="none"/>
        </w:rPr>
        <w:t>-7.1</w:t>
      </w:r>
      <w:r>
        <w:rPr>
          <w:rFonts w:hint="eastAsia" w:ascii="宋体" w:hAnsi="宋体" w:cs="宋体"/>
          <w:color w:val="auto"/>
          <w:kern w:val="0"/>
          <w:sz w:val="24"/>
          <w:highlight w:val="none"/>
          <w:lang w:val="zh-CN"/>
        </w:rPr>
        <w:t>℃</w:t>
      </w:r>
      <w:r>
        <w:rPr>
          <w:color w:val="auto"/>
          <w:kern w:val="0"/>
          <w:sz w:val="24"/>
          <w:highlight w:val="none"/>
          <w:lang w:val="zh-CN"/>
        </w:rPr>
        <w:t>；夏季三个月多年平均气温超过</w:t>
      </w:r>
      <w:r>
        <w:rPr>
          <w:color w:val="auto"/>
          <w:kern w:val="0"/>
          <w:sz w:val="24"/>
          <w:highlight w:val="none"/>
        </w:rPr>
        <w:t>23</w:t>
      </w:r>
      <w:r>
        <w:rPr>
          <w:rFonts w:hint="eastAsia" w:ascii="宋体" w:hAnsi="宋体" w:cs="宋体"/>
          <w:color w:val="auto"/>
          <w:kern w:val="0"/>
          <w:sz w:val="24"/>
          <w:highlight w:val="none"/>
          <w:lang w:val="zh-CN"/>
        </w:rPr>
        <w:t>℃</w:t>
      </w:r>
      <w:r>
        <w:rPr>
          <w:color w:val="auto"/>
          <w:kern w:val="0"/>
          <w:sz w:val="24"/>
          <w:highlight w:val="none"/>
          <w:lang w:val="zh-CN"/>
        </w:rPr>
        <w:t>，最热月</w:t>
      </w:r>
      <w:r>
        <w:rPr>
          <w:color w:val="auto"/>
          <w:kern w:val="0"/>
          <w:sz w:val="24"/>
          <w:highlight w:val="none"/>
        </w:rPr>
        <w:t>7</w:t>
      </w:r>
      <w:r>
        <w:rPr>
          <w:color w:val="auto"/>
          <w:kern w:val="0"/>
          <w:sz w:val="24"/>
          <w:highlight w:val="none"/>
          <w:lang w:val="zh-CN"/>
        </w:rPr>
        <w:t>月，月平均气温为</w:t>
      </w:r>
      <w:r>
        <w:rPr>
          <w:color w:val="auto"/>
          <w:kern w:val="0"/>
          <w:sz w:val="24"/>
          <w:highlight w:val="none"/>
        </w:rPr>
        <w:t>25.4</w:t>
      </w:r>
      <w:r>
        <w:rPr>
          <w:rFonts w:hint="eastAsia" w:ascii="宋体" w:hAnsi="宋体" w:cs="宋体"/>
          <w:color w:val="auto"/>
          <w:kern w:val="0"/>
          <w:sz w:val="24"/>
          <w:highlight w:val="none"/>
          <w:lang w:val="zh-CN"/>
        </w:rPr>
        <w:t>℃</w:t>
      </w:r>
      <w:r>
        <w:rPr>
          <w:color w:val="auto"/>
          <w:kern w:val="0"/>
          <w:sz w:val="24"/>
          <w:highlight w:val="none"/>
          <w:lang w:val="zh-CN"/>
        </w:rPr>
        <w:t>，多年平均气温年较差为</w:t>
      </w:r>
      <w:r>
        <w:rPr>
          <w:color w:val="auto"/>
          <w:kern w:val="0"/>
          <w:sz w:val="24"/>
          <w:highlight w:val="none"/>
        </w:rPr>
        <w:t>32.5</w:t>
      </w:r>
      <w:r>
        <w:rPr>
          <w:rFonts w:hint="eastAsia" w:ascii="宋体" w:hAnsi="宋体" w:cs="宋体"/>
          <w:color w:val="auto"/>
          <w:kern w:val="0"/>
          <w:sz w:val="24"/>
          <w:highlight w:val="none"/>
          <w:lang w:val="zh-CN"/>
        </w:rPr>
        <w:t>℃</w:t>
      </w:r>
      <w:r>
        <w:rPr>
          <w:color w:val="auto"/>
          <w:kern w:val="0"/>
          <w:sz w:val="24"/>
          <w:highlight w:val="none"/>
          <w:lang w:val="zh-CN"/>
        </w:rPr>
        <w:t>，极端气温年较差最大值达</w:t>
      </w:r>
      <w:r>
        <w:rPr>
          <w:color w:val="auto"/>
          <w:kern w:val="0"/>
          <w:sz w:val="24"/>
          <w:highlight w:val="none"/>
        </w:rPr>
        <w:t>64.3</w:t>
      </w:r>
      <w:r>
        <w:rPr>
          <w:rFonts w:hint="eastAsia" w:ascii="宋体" w:hAnsi="宋体" w:cs="宋体"/>
          <w:color w:val="auto"/>
          <w:kern w:val="0"/>
          <w:sz w:val="24"/>
          <w:highlight w:val="none"/>
          <w:lang w:val="zh-CN"/>
        </w:rPr>
        <w:t>℃</w:t>
      </w:r>
      <w:r>
        <w:rPr>
          <w:color w:val="auto"/>
          <w:kern w:val="0"/>
          <w:sz w:val="24"/>
          <w:highlight w:val="none"/>
          <w:lang w:val="zh-CN"/>
        </w:rPr>
        <w:t>，市域内气温日较差也较大，尤其以春秋季节更为明显。春季</w:t>
      </w:r>
      <w:r>
        <w:rPr>
          <w:color w:val="auto"/>
          <w:kern w:val="0"/>
          <w:sz w:val="24"/>
          <w:highlight w:val="none"/>
        </w:rPr>
        <w:t>4</w:t>
      </w:r>
      <w:r>
        <w:rPr>
          <w:color w:val="auto"/>
          <w:kern w:val="0"/>
          <w:sz w:val="24"/>
          <w:highlight w:val="none"/>
          <w:lang w:val="zh-CN"/>
        </w:rPr>
        <w:t>、</w:t>
      </w:r>
      <w:r>
        <w:rPr>
          <w:color w:val="auto"/>
          <w:kern w:val="0"/>
          <w:sz w:val="24"/>
          <w:highlight w:val="none"/>
        </w:rPr>
        <w:t>5</w:t>
      </w:r>
      <w:r>
        <w:rPr>
          <w:color w:val="auto"/>
          <w:kern w:val="0"/>
          <w:sz w:val="24"/>
          <w:highlight w:val="none"/>
          <w:lang w:val="zh-CN"/>
        </w:rPr>
        <w:t>月份平均日较差最大，分别为</w:t>
      </w:r>
      <w:r>
        <w:rPr>
          <w:color w:val="auto"/>
          <w:kern w:val="0"/>
          <w:sz w:val="24"/>
          <w:highlight w:val="none"/>
        </w:rPr>
        <w:t>14.3</w:t>
      </w:r>
      <w:r>
        <w:rPr>
          <w:rFonts w:hint="eastAsia" w:ascii="宋体" w:hAnsi="宋体" w:cs="宋体"/>
          <w:color w:val="auto"/>
          <w:kern w:val="0"/>
          <w:sz w:val="24"/>
          <w:highlight w:val="none"/>
          <w:lang w:val="zh-CN"/>
        </w:rPr>
        <w:t>℃</w:t>
      </w:r>
      <w:r>
        <w:rPr>
          <w:color w:val="auto"/>
          <w:kern w:val="0"/>
          <w:sz w:val="24"/>
          <w:highlight w:val="none"/>
          <w:lang w:val="zh-CN"/>
        </w:rPr>
        <w:t>和</w:t>
      </w:r>
      <w:r>
        <w:rPr>
          <w:color w:val="auto"/>
          <w:kern w:val="0"/>
          <w:sz w:val="24"/>
          <w:highlight w:val="none"/>
        </w:rPr>
        <w:t>14.6</w:t>
      </w:r>
      <w:r>
        <w:rPr>
          <w:rFonts w:hint="eastAsia" w:ascii="宋体" w:hAnsi="宋体" w:cs="宋体"/>
          <w:color w:val="auto"/>
          <w:kern w:val="0"/>
          <w:sz w:val="24"/>
          <w:highlight w:val="none"/>
          <w:lang w:val="zh-CN"/>
        </w:rPr>
        <w:t>℃</w:t>
      </w:r>
      <w:r>
        <w:rPr>
          <w:color w:val="auto"/>
          <w:kern w:val="0"/>
          <w:sz w:val="24"/>
          <w:highlight w:val="none"/>
          <w:lang w:val="zh-CN"/>
        </w:rPr>
        <w:t>，秋季</w:t>
      </w:r>
      <w:r>
        <w:rPr>
          <w:color w:val="auto"/>
          <w:kern w:val="0"/>
          <w:sz w:val="24"/>
          <w:highlight w:val="none"/>
        </w:rPr>
        <w:t>9</w:t>
      </w:r>
      <w:r>
        <w:rPr>
          <w:color w:val="auto"/>
          <w:kern w:val="0"/>
          <w:sz w:val="24"/>
          <w:highlight w:val="none"/>
          <w:lang w:val="zh-CN"/>
        </w:rPr>
        <w:t>、</w:t>
      </w:r>
      <w:r>
        <w:rPr>
          <w:color w:val="auto"/>
          <w:kern w:val="0"/>
          <w:sz w:val="24"/>
          <w:highlight w:val="none"/>
        </w:rPr>
        <w:t>10</w:t>
      </w:r>
      <w:r>
        <w:rPr>
          <w:color w:val="auto"/>
          <w:kern w:val="0"/>
          <w:sz w:val="24"/>
          <w:highlight w:val="none"/>
          <w:lang w:val="zh-CN"/>
        </w:rPr>
        <w:t>月份平均日较差分别为</w:t>
      </w:r>
      <w:r>
        <w:rPr>
          <w:color w:val="auto"/>
          <w:kern w:val="0"/>
          <w:sz w:val="24"/>
          <w:highlight w:val="none"/>
        </w:rPr>
        <w:t>13.5</w:t>
      </w:r>
      <w:r>
        <w:rPr>
          <w:rFonts w:hint="eastAsia" w:ascii="宋体" w:hAnsi="宋体" w:cs="宋体"/>
          <w:color w:val="auto"/>
          <w:kern w:val="0"/>
          <w:sz w:val="24"/>
          <w:highlight w:val="none"/>
          <w:lang w:val="zh-CN"/>
        </w:rPr>
        <w:t>℃</w:t>
      </w:r>
      <w:r>
        <w:rPr>
          <w:color w:val="auto"/>
          <w:kern w:val="0"/>
          <w:sz w:val="24"/>
          <w:highlight w:val="none"/>
          <w:lang w:val="zh-CN"/>
        </w:rPr>
        <w:t>和</w:t>
      </w:r>
      <w:r>
        <w:rPr>
          <w:color w:val="auto"/>
          <w:kern w:val="0"/>
          <w:sz w:val="24"/>
          <w:highlight w:val="none"/>
        </w:rPr>
        <w:t>13.7</w:t>
      </w:r>
      <w:r>
        <w:rPr>
          <w:rFonts w:hint="eastAsia" w:ascii="宋体" w:hAnsi="宋体" w:cs="宋体"/>
          <w:color w:val="auto"/>
          <w:kern w:val="0"/>
          <w:sz w:val="24"/>
          <w:highlight w:val="none"/>
          <w:lang w:val="zh-CN"/>
        </w:rPr>
        <w:t>℃</w:t>
      </w:r>
      <w:r>
        <w:rPr>
          <w:color w:val="auto"/>
          <w:kern w:val="0"/>
          <w:sz w:val="24"/>
          <w:highlight w:val="none"/>
          <w:lang w:val="zh-CN"/>
        </w:rPr>
        <w:t>。全年≥</w:t>
      </w:r>
      <w:r>
        <w:rPr>
          <w:color w:val="auto"/>
          <w:kern w:val="0"/>
          <w:sz w:val="24"/>
          <w:highlight w:val="none"/>
        </w:rPr>
        <w:t>0</w:t>
      </w:r>
      <w:r>
        <w:rPr>
          <w:rFonts w:hint="eastAsia" w:ascii="宋体" w:hAnsi="宋体" w:cs="宋体"/>
          <w:color w:val="auto"/>
          <w:kern w:val="0"/>
          <w:sz w:val="24"/>
          <w:highlight w:val="none"/>
          <w:lang w:val="zh-CN"/>
        </w:rPr>
        <w:t>℃</w:t>
      </w:r>
      <w:r>
        <w:rPr>
          <w:color w:val="auto"/>
          <w:kern w:val="0"/>
          <w:sz w:val="24"/>
          <w:highlight w:val="none"/>
          <w:lang w:val="zh-CN"/>
        </w:rPr>
        <w:t>的总积温为</w:t>
      </w:r>
      <w:r>
        <w:rPr>
          <w:color w:val="auto"/>
          <w:kern w:val="0"/>
          <w:sz w:val="24"/>
          <w:highlight w:val="none"/>
        </w:rPr>
        <w:t>4340</w:t>
      </w:r>
      <w:r>
        <w:rPr>
          <w:rFonts w:hint="eastAsia" w:ascii="宋体" w:hAnsi="宋体" w:cs="宋体"/>
          <w:color w:val="auto"/>
          <w:kern w:val="0"/>
          <w:sz w:val="24"/>
          <w:highlight w:val="none"/>
          <w:lang w:val="zh-CN"/>
        </w:rPr>
        <w:t>℃</w:t>
      </w:r>
      <w:r>
        <w:rPr>
          <w:color w:val="auto"/>
          <w:kern w:val="0"/>
          <w:sz w:val="24"/>
          <w:highlight w:val="none"/>
          <w:lang w:val="zh-CN"/>
        </w:rPr>
        <w:t>，≥</w:t>
      </w:r>
      <w:r>
        <w:rPr>
          <w:color w:val="auto"/>
          <w:kern w:val="0"/>
          <w:sz w:val="24"/>
          <w:highlight w:val="none"/>
        </w:rPr>
        <w:t>10</w:t>
      </w:r>
      <w:r>
        <w:rPr>
          <w:rFonts w:hint="eastAsia" w:ascii="宋体" w:hAnsi="宋体" w:cs="宋体"/>
          <w:color w:val="auto"/>
          <w:kern w:val="0"/>
          <w:sz w:val="24"/>
          <w:highlight w:val="none"/>
          <w:lang w:val="zh-CN"/>
        </w:rPr>
        <w:t>℃</w:t>
      </w:r>
      <w:r>
        <w:rPr>
          <w:color w:val="auto"/>
          <w:kern w:val="0"/>
          <w:sz w:val="24"/>
          <w:highlight w:val="none"/>
          <w:lang w:val="zh-CN"/>
        </w:rPr>
        <w:t>的总积温为</w:t>
      </w:r>
      <w:r>
        <w:rPr>
          <w:color w:val="auto"/>
          <w:kern w:val="0"/>
          <w:sz w:val="24"/>
          <w:highlight w:val="none"/>
        </w:rPr>
        <w:t>3980</w:t>
      </w:r>
      <w:r>
        <w:rPr>
          <w:rFonts w:hint="eastAsia" w:ascii="宋体" w:hAnsi="宋体" w:cs="宋体"/>
          <w:color w:val="auto"/>
          <w:kern w:val="0"/>
          <w:sz w:val="24"/>
          <w:highlight w:val="none"/>
          <w:lang w:val="zh-CN"/>
        </w:rPr>
        <w:t>℃</w:t>
      </w:r>
      <w:r>
        <w:rPr>
          <w:color w:val="auto"/>
          <w:kern w:val="0"/>
          <w:sz w:val="24"/>
          <w:highlight w:val="none"/>
          <w:lang w:val="zh-CN"/>
        </w:rPr>
        <w:t>。</w:t>
      </w:r>
    </w:p>
    <w:p>
      <w:pPr>
        <w:autoSpaceDE w:val="0"/>
        <w:autoSpaceDN w:val="0"/>
        <w:adjustRightInd w:val="0"/>
        <w:spacing w:line="480" w:lineRule="exact"/>
        <w:ind w:firstLine="480"/>
        <w:rPr>
          <w:color w:val="auto"/>
          <w:kern w:val="0"/>
          <w:sz w:val="24"/>
          <w:highlight w:val="none"/>
        </w:rPr>
      </w:pPr>
      <w:r>
        <w:rPr>
          <w:color w:val="auto"/>
          <w:kern w:val="0"/>
          <w:sz w:val="24"/>
          <w:highlight w:val="none"/>
          <w:lang w:val="zh-CN"/>
        </w:rPr>
        <w:t>遵化市平均年日照时数为</w:t>
      </w:r>
      <w:r>
        <w:rPr>
          <w:color w:val="auto"/>
          <w:kern w:val="0"/>
          <w:sz w:val="24"/>
          <w:highlight w:val="none"/>
        </w:rPr>
        <w:t>2608.2</w:t>
      </w:r>
      <w:r>
        <w:rPr>
          <w:color w:val="auto"/>
          <w:kern w:val="0"/>
          <w:sz w:val="24"/>
          <w:highlight w:val="none"/>
          <w:lang w:val="zh-CN"/>
        </w:rPr>
        <w:t>小时，日照百分率为</w:t>
      </w:r>
      <w:r>
        <w:rPr>
          <w:color w:val="auto"/>
          <w:kern w:val="0"/>
          <w:sz w:val="24"/>
          <w:highlight w:val="none"/>
        </w:rPr>
        <w:t>59%</w:t>
      </w:r>
      <w:r>
        <w:rPr>
          <w:color w:val="auto"/>
          <w:kern w:val="0"/>
          <w:sz w:val="24"/>
          <w:highlight w:val="none"/>
          <w:lang w:val="zh-CN"/>
        </w:rPr>
        <w:t>。</w:t>
      </w:r>
      <w:r>
        <w:rPr>
          <w:color w:val="auto"/>
          <w:kern w:val="0"/>
          <w:sz w:val="24"/>
          <w:highlight w:val="none"/>
        </w:rPr>
        <w:t>5</w:t>
      </w:r>
      <w:r>
        <w:rPr>
          <w:color w:val="auto"/>
          <w:kern w:val="0"/>
          <w:sz w:val="24"/>
          <w:highlight w:val="none"/>
          <w:lang w:val="zh-CN"/>
        </w:rPr>
        <w:t>月日照时数最多，为</w:t>
      </w:r>
      <w:r>
        <w:rPr>
          <w:color w:val="auto"/>
          <w:kern w:val="0"/>
          <w:sz w:val="24"/>
          <w:highlight w:val="none"/>
        </w:rPr>
        <w:t>295.8</w:t>
      </w:r>
      <w:r>
        <w:rPr>
          <w:color w:val="auto"/>
          <w:kern w:val="0"/>
          <w:sz w:val="24"/>
          <w:highlight w:val="none"/>
          <w:lang w:val="zh-CN"/>
        </w:rPr>
        <w:t>小时，平均每天日照在</w:t>
      </w:r>
      <w:r>
        <w:rPr>
          <w:color w:val="auto"/>
          <w:kern w:val="0"/>
          <w:sz w:val="24"/>
          <w:highlight w:val="none"/>
        </w:rPr>
        <w:t>9.5</w:t>
      </w:r>
      <w:r>
        <w:rPr>
          <w:color w:val="auto"/>
          <w:kern w:val="0"/>
          <w:sz w:val="24"/>
          <w:highlight w:val="none"/>
          <w:lang w:val="zh-CN"/>
        </w:rPr>
        <w:t>小时以上，日照百分率为</w:t>
      </w:r>
      <w:r>
        <w:rPr>
          <w:color w:val="auto"/>
          <w:kern w:val="0"/>
          <w:sz w:val="24"/>
          <w:highlight w:val="none"/>
        </w:rPr>
        <w:t>67%</w:t>
      </w:r>
      <w:r>
        <w:rPr>
          <w:color w:val="auto"/>
          <w:kern w:val="0"/>
          <w:sz w:val="24"/>
          <w:highlight w:val="none"/>
          <w:lang w:val="zh-CN"/>
        </w:rPr>
        <w:t>；</w:t>
      </w:r>
      <w:r>
        <w:rPr>
          <w:color w:val="auto"/>
          <w:kern w:val="0"/>
          <w:sz w:val="24"/>
          <w:highlight w:val="none"/>
        </w:rPr>
        <w:t>12</w:t>
      </w:r>
      <w:r>
        <w:rPr>
          <w:color w:val="auto"/>
          <w:kern w:val="0"/>
          <w:sz w:val="24"/>
          <w:highlight w:val="none"/>
          <w:lang w:val="zh-CN"/>
        </w:rPr>
        <w:t>月日照时数最少，为</w:t>
      </w:r>
      <w:r>
        <w:rPr>
          <w:color w:val="auto"/>
          <w:kern w:val="0"/>
          <w:sz w:val="24"/>
          <w:highlight w:val="none"/>
        </w:rPr>
        <w:t>195.5</w:t>
      </w:r>
      <w:r>
        <w:rPr>
          <w:color w:val="auto"/>
          <w:kern w:val="0"/>
          <w:sz w:val="24"/>
          <w:highlight w:val="none"/>
          <w:lang w:val="zh-CN"/>
        </w:rPr>
        <w:t>小时，平均每天日照仅</w:t>
      </w:r>
      <w:r>
        <w:rPr>
          <w:color w:val="auto"/>
          <w:kern w:val="0"/>
          <w:sz w:val="24"/>
          <w:highlight w:val="none"/>
        </w:rPr>
        <w:t>6.3</w:t>
      </w:r>
      <w:r>
        <w:rPr>
          <w:color w:val="auto"/>
          <w:kern w:val="0"/>
          <w:sz w:val="24"/>
          <w:highlight w:val="none"/>
          <w:lang w:val="zh-CN"/>
        </w:rPr>
        <w:t>小时，日照百分率为</w:t>
      </w:r>
      <w:r>
        <w:rPr>
          <w:color w:val="auto"/>
          <w:kern w:val="0"/>
          <w:sz w:val="24"/>
          <w:highlight w:val="none"/>
        </w:rPr>
        <w:t>68%</w:t>
      </w:r>
      <w:r>
        <w:rPr>
          <w:color w:val="auto"/>
          <w:kern w:val="0"/>
          <w:sz w:val="24"/>
          <w:highlight w:val="none"/>
          <w:lang w:val="zh-CN"/>
        </w:rPr>
        <w:t>。≥</w:t>
      </w:r>
      <w:r>
        <w:rPr>
          <w:color w:val="auto"/>
          <w:kern w:val="0"/>
          <w:sz w:val="24"/>
          <w:highlight w:val="none"/>
        </w:rPr>
        <w:t>0</w:t>
      </w:r>
      <w:r>
        <w:rPr>
          <w:rFonts w:hint="eastAsia" w:ascii="宋体" w:hAnsi="宋体" w:cs="宋体"/>
          <w:color w:val="auto"/>
          <w:kern w:val="0"/>
          <w:sz w:val="24"/>
          <w:highlight w:val="none"/>
          <w:lang w:val="zh-CN"/>
        </w:rPr>
        <w:t>℃</w:t>
      </w:r>
      <w:r>
        <w:rPr>
          <w:color w:val="auto"/>
          <w:kern w:val="0"/>
          <w:sz w:val="24"/>
          <w:highlight w:val="none"/>
          <w:lang w:val="zh-CN"/>
        </w:rPr>
        <w:t>期间日照</w:t>
      </w:r>
      <w:r>
        <w:rPr>
          <w:color w:val="auto"/>
          <w:kern w:val="0"/>
          <w:sz w:val="24"/>
          <w:highlight w:val="none"/>
        </w:rPr>
        <w:t>2113</w:t>
      </w:r>
      <w:r>
        <w:rPr>
          <w:color w:val="auto"/>
          <w:kern w:val="0"/>
          <w:sz w:val="24"/>
          <w:highlight w:val="none"/>
          <w:lang w:val="zh-CN"/>
        </w:rPr>
        <w:t>小时，≥</w:t>
      </w:r>
      <w:r>
        <w:rPr>
          <w:color w:val="auto"/>
          <w:kern w:val="0"/>
          <w:sz w:val="24"/>
          <w:highlight w:val="none"/>
        </w:rPr>
        <w:t>10</w:t>
      </w:r>
      <w:r>
        <w:rPr>
          <w:rFonts w:hint="eastAsia" w:ascii="宋体" w:hAnsi="宋体" w:cs="宋体"/>
          <w:color w:val="auto"/>
          <w:kern w:val="0"/>
          <w:sz w:val="24"/>
          <w:highlight w:val="none"/>
          <w:lang w:val="zh-CN"/>
        </w:rPr>
        <w:t>℃</w:t>
      </w:r>
      <w:r>
        <w:rPr>
          <w:color w:val="auto"/>
          <w:kern w:val="0"/>
          <w:sz w:val="24"/>
          <w:highlight w:val="none"/>
          <w:lang w:val="zh-CN"/>
        </w:rPr>
        <w:t>期间日照</w:t>
      </w:r>
      <w:r>
        <w:rPr>
          <w:color w:val="auto"/>
          <w:kern w:val="0"/>
          <w:sz w:val="24"/>
          <w:highlight w:val="none"/>
        </w:rPr>
        <w:t>1637</w:t>
      </w:r>
      <w:r>
        <w:rPr>
          <w:color w:val="auto"/>
          <w:kern w:val="0"/>
          <w:sz w:val="24"/>
          <w:highlight w:val="none"/>
          <w:lang w:val="zh-CN"/>
        </w:rPr>
        <w:t>小时。市域内平均太阳辐射总量为</w:t>
      </w:r>
      <w:r>
        <w:rPr>
          <w:color w:val="auto"/>
          <w:kern w:val="0"/>
          <w:sz w:val="24"/>
          <w:highlight w:val="none"/>
        </w:rPr>
        <w:t>131.6kcal/cm</w:t>
      </w:r>
      <w:r>
        <w:rPr>
          <w:color w:val="auto"/>
          <w:kern w:val="0"/>
          <w:sz w:val="24"/>
          <w:highlight w:val="none"/>
          <w:vertAlign w:val="superscript"/>
        </w:rPr>
        <w:t>2</w:t>
      </w:r>
      <w:r>
        <w:rPr>
          <w:color w:val="auto"/>
          <w:kern w:val="0"/>
          <w:sz w:val="24"/>
          <w:highlight w:val="none"/>
          <w:lang w:val="zh-CN"/>
        </w:rPr>
        <w:t>，</w:t>
      </w:r>
      <w:r>
        <w:rPr>
          <w:color w:val="auto"/>
          <w:kern w:val="0"/>
          <w:sz w:val="24"/>
          <w:highlight w:val="none"/>
        </w:rPr>
        <w:t>3</w:t>
      </w:r>
      <w:r>
        <w:rPr>
          <w:color w:val="auto"/>
          <w:kern w:val="0"/>
          <w:sz w:val="24"/>
          <w:highlight w:val="none"/>
          <w:lang w:val="zh-CN"/>
        </w:rPr>
        <w:t>～</w:t>
      </w:r>
      <w:r>
        <w:rPr>
          <w:color w:val="auto"/>
          <w:kern w:val="0"/>
          <w:sz w:val="24"/>
          <w:highlight w:val="none"/>
        </w:rPr>
        <w:t>6</w:t>
      </w:r>
      <w:r>
        <w:rPr>
          <w:color w:val="auto"/>
          <w:kern w:val="0"/>
          <w:sz w:val="24"/>
          <w:highlight w:val="none"/>
          <w:lang w:val="zh-CN"/>
        </w:rPr>
        <w:t>月日照时数最多，太阳辐射较强，</w:t>
      </w:r>
      <w:r>
        <w:rPr>
          <w:color w:val="auto"/>
          <w:kern w:val="0"/>
          <w:sz w:val="24"/>
          <w:highlight w:val="none"/>
        </w:rPr>
        <w:t>7</w:t>
      </w:r>
      <w:r>
        <w:rPr>
          <w:color w:val="auto"/>
          <w:kern w:val="0"/>
          <w:sz w:val="24"/>
          <w:highlight w:val="none"/>
          <w:lang w:val="zh-CN"/>
        </w:rPr>
        <w:t>、</w:t>
      </w:r>
      <w:r>
        <w:rPr>
          <w:color w:val="auto"/>
          <w:kern w:val="0"/>
          <w:sz w:val="24"/>
          <w:highlight w:val="none"/>
        </w:rPr>
        <w:t>8</w:t>
      </w:r>
      <w:r>
        <w:rPr>
          <w:color w:val="auto"/>
          <w:kern w:val="0"/>
          <w:sz w:val="24"/>
          <w:highlight w:val="none"/>
          <w:lang w:val="zh-CN"/>
        </w:rPr>
        <w:t>两月日照百分率降低，太阳辐射收入减少。</w:t>
      </w:r>
    </w:p>
    <w:p>
      <w:pPr>
        <w:autoSpaceDE w:val="0"/>
        <w:autoSpaceDN w:val="0"/>
        <w:adjustRightInd w:val="0"/>
        <w:spacing w:line="480" w:lineRule="exact"/>
        <w:ind w:firstLine="480"/>
        <w:rPr>
          <w:color w:val="auto"/>
          <w:kern w:val="0"/>
          <w:sz w:val="24"/>
          <w:highlight w:val="none"/>
        </w:rPr>
      </w:pPr>
      <w:r>
        <w:rPr>
          <w:color w:val="auto"/>
          <w:kern w:val="0"/>
          <w:sz w:val="24"/>
          <w:highlight w:val="none"/>
          <w:lang w:val="zh-CN"/>
        </w:rPr>
        <w:t>遵化市初霜日平均为</w:t>
      </w:r>
      <w:r>
        <w:rPr>
          <w:color w:val="auto"/>
          <w:kern w:val="0"/>
          <w:sz w:val="24"/>
          <w:highlight w:val="none"/>
        </w:rPr>
        <w:t>10</w:t>
      </w:r>
      <w:r>
        <w:rPr>
          <w:color w:val="auto"/>
          <w:kern w:val="0"/>
          <w:sz w:val="24"/>
          <w:highlight w:val="none"/>
          <w:lang w:val="zh-CN"/>
        </w:rPr>
        <w:t>月</w:t>
      </w:r>
      <w:r>
        <w:rPr>
          <w:color w:val="auto"/>
          <w:kern w:val="0"/>
          <w:sz w:val="24"/>
          <w:highlight w:val="none"/>
        </w:rPr>
        <w:t>15</w:t>
      </w:r>
      <w:r>
        <w:rPr>
          <w:color w:val="auto"/>
          <w:kern w:val="0"/>
          <w:sz w:val="24"/>
          <w:highlight w:val="none"/>
          <w:lang w:val="zh-CN"/>
        </w:rPr>
        <w:t>日，最早为</w:t>
      </w:r>
      <w:r>
        <w:rPr>
          <w:color w:val="auto"/>
          <w:kern w:val="0"/>
          <w:sz w:val="24"/>
          <w:highlight w:val="none"/>
        </w:rPr>
        <w:t>9</w:t>
      </w:r>
      <w:r>
        <w:rPr>
          <w:color w:val="auto"/>
          <w:kern w:val="0"/>
          <w:sz w:val="24"/>
          <w:highlight w:val="none"/>
          <w:lang w:val="zh-CN"/>
        </w:rPr>
        <w:t>月</w:t>
      </w:r>
      <w:r>
        <w:rPr>
          <w:color w:val="auto"/>
          <w:kern w:val="0"/>
          <w:sz w:val="24"/>
          <w:highlight w:val="none"/>
        </w:rPr>
        <w:t>27</w:t>
      </w:r>
      <w:r>
        <w:rPr>
          <w:color w:val="auto"/>
          <w:kern w:val="0"/>
          <w:sz w:val="24"/>
          <w:highlight w:val="none"/>
          <w:lang w:val="zh-CN"/>
        </w:rPr>
        <w:t>日，最晚为</w:t>
      </w:r>
      <w:r>
        <w:rPr>
          <w:color w:val="auto"/>
          <w:kern w:val="0"/>
          <w:sz w:val="24"/>
          <w:highlight w:val="none"/>
        </w:rPr>
        <w:t>10</w:t>
      </w:r>
      <w:r>
        <w:rPr>
          <w:color w:val="auto"/>
          <w:kern w:val="0"/>
          <w:sz w:val="24"/>
          <w:highlight w:val="none"/>
          <w:lang w:val="zh-CN"/>
        </w:rPr>
        <w:t>月</w:t>
      </w:r>
      <w:r>
        <w:rPr>
          <w:color w:val="auto"/>
          <w:kern w:val="0"/>
          <w:sz w:val="24"/>
          <w:highlight w:val="none"/>
        </w:rPr>
        <w:t>29</w:t>
      </w:r>
      <w:r>
        <w:rPr>
          <w:color w:val="auto"/>
          <w:kern w:val="0"/>
          <w:sz w:val="24"/>
          <w:highlight w:val="none"/>
          <w:lang w:val="zh-CN"/>
        </w:rPr>
        <w:t>日。终霜日平均为</w:t>
      </w:r>
      <w:r>
        <w:rPr>
          <w:color w:val="auto"/>
          <w:kern w:val="0"/>
          <w:sz w:val="24"/>
          <w:highlight w:val="none"/>
        </w:rPr>
        <w:t>4</w:t>
      </w:r>
      <w:r>
        <w:rPr>
          <w:color w:val="auto"/>
          <w:kern w:val="0"/>
          <w:sz w:val="24"/>
          <w:highlight w:val="none"/>
          <w:lang w:val="zh-CN"/>
        </w:rPr>
        <w:t>月</w:t>
      </w:r>
      <w:r>
        <w:rPr>
          <w:color w:val="auto"/>
          <w:kern w:val="0"/>
          <w:sz w:val="24"/>
          <w:highlight w:val="none"/>
        </w:rPr>
        <w:t>16</w:t>
      </w:r>
      <w:r>
        <w:rPr>
          <w:color w:val="auto"/>
          <w:kern w:val="0"/>
          <w:sz w:val="24"/>
          <w:highlight w:val="none"/>
          <w:lang w:val="zh-CN"/>
        </w:rPr>
        <w:t>日，最早为</w:t>
      </w:r>
      <w:r>
        <w:rPr>
          <w:color w:val="auto"/>
          <w:kern w:val="0"/>
          <w:sz w:val="24"/>
          <w:highlight w:val="none"/>
        </w:rPr>
        <w:t>4</w:t>
      </w:r>
      <w:r>
        <w:rPr>
          <w:color w:val="auto"/>
          <w:kern w:val="0"/>
          <w:sz w:val="24"/>
          <w:highlight w:val="none"/>
          <w:lang w:val="zh-CN"/>
        </w:rPr>
        <w:t>月</w:t>
      </w:r>
      <w:r>
        <w:rPr>
          <w:color w:val="auto"/>
          <w:kern w:val="0"/>
          <w:sz w:val="24"/>
          <w:highlight w:val="none"/>
        </w:rPr>
        <w:t>4</w:t>
      </w:r>
      <w:r>
        <w:rPr>
          <w:color w:val="auto"/>
          <w:kern w:val="0"/>
          <w:sz w:val="24"/>
          <w:highlight w:val="none"/>
          <w:lang w:val="zh-CN"/>
        </w:rPr>
        <w:t>日，最晚为</w:t>
      </w:r>
      <w:r>
        <w:rPr>
          <w:color w:val="auto"/>
          <w:kern w:val="0"/>
          <w:sz w:val="24"/>
          <w:highlight w:val="none"/>
        </w:rPr>
        <w:t>4</w:t>
      </w:r>
      <w:r>
        <w:rPr>
          <w:color w:val="auto"/>
          <w:kern w:val="0"/>
          <w:sz w:val="24"/>
          <w:highlight w:val="none"/>
          <w:lang w:val="zh-CN"/>
        </w:rPr>
        <w:t>月</w:t>
      </w:r>
      <w:r>
        <w:rPr>
          <w:color w:val="auto"/>
          <w:kern w:val="0"/>
          <w:sz w:val="24"/>
          <w:highlight w:val="none"/>
        </w:rPr>
        <w:t>28</w:t>
      </w:r>
      <w:r>
        <w:rPr>
          <w:color w:val="auto"/>
          <w:kern w:val="0"/>
          <w:sz w:val="24"/>
          <w:highlight w:val="none"/>
          <w:lang w:val="zh-CN"/>
        </w:rPr>
        <w:t>日。全年平均无霜</w:t>
      </w:r>
      <w:r>
        <w:rPr>
          <w:color w:val="auto"/>
          <w:kern w:val="0"/>
          <w:sz w:val="24"/>
          <w:highlight w:val="none"/>
        </w:rPr>
        <w:t>181</w:t>
      </w:r>
      <w:r>
        <w:rPr>
          <w:color w:val="auto"/>
          <w:kern w:val="0"/>
          <w:sz w:val="24"/>
          <w:highlight w:val="none"/>
          <w:lang w:val="zh-CN"/>
        </w:rPr>
        <w:t>期天，最长</w:t>
      </w:r>
      <w:r>
        <w:rPr>
          <w:color w:val="auto"/>
          <w:kern w:val="0"/>
          <w:sz w:val="24"/>
          <w:highlight w:val="none"/>
        </w:rPr>
        <w:t>201</w:t>
      </w:r>
      <w:r>
        <w:rPr>
          <w:color w:val="auto"/>
          <w:kern w:val="0"/>
          <w:sz w:val="24"/>
          <w:highlight w:val="none"/>
          <w:lang w:val="zh-CN"/>
        </w:rPr>
        <w:t>天，最短</w:t>
      </w:r>
      <w:r>
        <w:rPr>
          <w:color w:val="auto"/>
          <w:kern w:val="0"/>
          <w:sz w:val="24"/>
          <w:highlight w:val="none"/>
        </w:rPr>
        <w:t>167</w:t>
      </w:r>
      <w:r>
        <w:rPr>
          <w:color w:val="auto"/>
          <w:kern w:val="0"/>
          <w:sz w:val="24"/>
          <w:highlight w:val="none"/>
          <w:lang w:val="zh-CN"/>
        </w:rPr>
        <w:t>天。按</w:t>
      </w:r>
      <w:r>
        <w:rPr>
          <w:color w:val="auto"/>
          <w:kern w:val="0"/>
          <w:sz w:val="24"/>
          <w:highlight w:val="none"/>
        </w:rPr>
        <w:t>80%</w:t>
      </w:r>
      <w:r>
        <w:rPr>
          <w:color w:val="auto"/>
          <w:kern w:val="0"/>
          <w:sz w:val="24"/>
          <w:highlight w:val="none"/>
          <w:lang w:val="zh-CN"/>
        </w:rPr>
        <w:t>保证率，初霜在</w:t>
      </w:r>
      <w:r>
        <w:rPr>
          <w:color w:val="auto"/>
          <w:kern w:val="0"/>
          <w:sz w:val="24"/>
          <w:highlight w:val="none"/>
        </w:rPr>
        <w:t>10</w:t>
      </w:r>
      <w:r>
        <w:rPr>
          <w:color w:val="auto"/>
          <w:kern w:val="0"/>
          <w:sz w:val="24"/>
          <w:highlight w:val="none"/>
          <w:lang w:val="zh-CN"/>
        </w:rPr>
        <w:t>月</w:t>
      </w:r>
      <w:r>
        <w:rPr>
          <w:color w:val="auto"/>
          <w:kern w:val="0"/>
          <w:sz w:val="24"/>
          <w:highlight w:val="none"/>
        </w:rPr>
        <w:t>18</w:t>
      </w:r>
      <w:r>
        <w:rPr>
          <w:color w:val="auto"/>
          <w:kern w:val="0"/>
          <w:sz w:val="24"/>
          <w:highlight w:val="none"/>
          <w:lang w:val="zh-CN"/>
        </w:rPr>
        <w:t>日，终霜在</w:t>
      </w:r>
      <w:r>
        <w:rPr>
          <w:color w:val="auto"/>
          <w:kern w:val="0"/>
          <w:sz w:val="24"/>
          <w:highlight w:val="none"/>
        </w:rPr>
        <w:t>4</w:t>
      </w:r>
      <w:r>
        <w:rPr>
          <w:color w:val="auto"/>
          <w:kern w:val="0"/>
          <w:sz w:val="24"/>
          <w:highlight w:val="none"/>
          <w:lang w:val="zh-CN"/>
        </w:rPr>
        <w:t>月</w:t>
      </w:r>
      <w:r>
        <w:rPr>
          <w:color w:val="auto"/>
          <w:kern w:val="0"/>
          <w:sz w:val="24"/>
          <w:highlight w:val="none"/>
        </w:rPr>
        <w:t>21</w:t>
      </w:r>
      <w:r>
        <w:rPr>
          <w:color w:val="auto"/>
          <w:kern w:val="0"/>
          <w:sz w:val="24"/>
          <w:highlight w:val="none"/>
          <w:lang w:val="zh-CN"/>
        </w:rPr>
        <w:t>日，无霜</w:t>
      </w:r>
      <w:r>
        <w:rPr>
          <w:color w:val="auto"/>
          <w:kern w:val="0"/>
          <w:sz w:val="24"/>
          <w:highlight w:val="none"/>
        </w:rPr>
        <w:t>173</w:t>
      </w:r>
      <w:r>
        <w:rPr>
          <w:color w:val="auto"/>
          <w:kern w:val="0"/>
          <w:sz w:val="24"/>
          <w:highlight w:val="none"/>
          <w:lang w:val="zh-CN"/>
        </w:rPr>
        <w:t>期天。</w:t>
      </w:r>
    </w:p>
    <w:p>
      <w:pPr>
        <w:autoSpaceDE w:val="0"/>
        <w:autoSpaceDN w:val="0"/>
        <w:adjustRightInd w:val="0"/>
        <w:spacing w:line="480" w:lineRule="exact"/>
        <w:ind w:firstLine="480"/>
        <w:rPr>
          <w:color w:val="auto"/>
          <w:kern w:val="0"/>
          <w:sz w:val="24"/>
          <w:highlight w:val="none"/>
        </w:rPr>
      </w:pPr>
      <w:r>
        <w:rPr>
          <w:color w:val="auto"/>
          <w:kern w:val="0"/>
          <w:sz w:val="24"/>
          <w:highlight w:val="none"/>
          <w:lang w:val="zh-CN"/>
        </w:rPr>
        <w:t>遵化市年平均相对湿度为</w:t>
      </w:r>
      <w:r>
        <w:rPr>
          <w:color w:val="auto"/>
          <w:kern w:val="0"/>
          <w:sz w:val="24"/>
          <w:highlight w:val="none"/>
        </w:rPr>
        <w:t>60%</w:t>
      </w:r>
      <w:r>
        <w:rPr>
          <w:color w:val="auto"/>
          <w:kern w:val="0"/>
          <w:sz w:val="24"/>
          <w:highlight w:val="none"/>
          <w:lang w:val="zh-CN"/>
        </w:rPr>
        <w:t>，湿度最大季节为夏季</w:t>
      </w:r>
      <w:r>
        <w:rPr>
          <w:color w:val="auto"/>
          <w:kern w:val="0"/>
          <w:sz w:val="24"/>
          <w:highlight w:val="none"/>
        </w:rPr>
        <w:t>73%</w:t>
      </w:r>
      <w:r>
        <w:rPr>
          <w:color w:val="auto"/>
          <w:kern w:val="0"/>
          <w:sz w:val="24"/>
          <w:highlight w:val="none"/>
          <w:lang w:val="zh-CN"/>
        </w:rPr>
        <w:t>，湿度最小季节为春季</w:t>
      </w:r>
      <w:r>
        <w:rPr>
          <w:color w:val="auto"/>
          <w:kern w:val="0"/>
          <w:sz w:val="24"/>
          <w:highlight w:val="none"/>
        </w:rPr>
        <w:t>49%</w:t>
      </w:r>
      <w:r>
        <w:rPr>
          <w:color w:val="auto"/>
          <w:kern w:val="0"/>
          <w:sz w:val="24"/>
          <w:highlight w:val="none"/>
          <w:lang w:val="zh-CN"/>
        </w:rPr>
        <w:t>。</w:t>
      </w:r>
    </w:p>
    <w:p>
      <w:pPr>
        <w:autoSpaceDE w:val="0"/>
        <w:autoSpaceDN w:val="0"/>
        <w:adjustRightInd w:val="0"/>
        <w:spacing w:line="480" w:lineRule="exact"/>
        <w:ind w:firstLine="480"/>
        <w:rPr>
          <w:color w:val="auto"/>
          <w:kern w:val="0"/>
          <w:sz w:val="24"/>
          <w:highlight w:val="none"/>
        </w:rPr>
      </w:pPr>
      <w:r>
        <w:rPr>
          <w:color w:val="auto"/>
          <w:kern w:val="0"/>
          <w:sz w:val="24"/>
          <w:highlight w:val="none"/>
          <w:lang w:val="zh-CN"/>
        </w:rPr>
        <w:t>遵化市年平均降水量为</w:t>
      </w:r>
      <w:r>
        <w:rPr>
          <w:color w:val="auto"/>
          <w:kern w:val="0"/>
          <w:sz w:val="24"/>
          <w:highlight w:val="none"/>
        </w:rPr>
        <w:t>724.7mm</w:t>
      </w:r>
      <w:r>
        <w:rPr>
          <w:color w:val="auto"/>
          <w:kern w:val="0"/>
          <w:sz w:val="24"/>
          <w:highlight w:val="none"/>
          <w:lang w:val="zh-CN"/>
        </w:rPr>
        <w:t>。小时最大降水量</w:t>
      </w:r>
      <w:r>
        <w:rPr>
          <w:color w:val="auto"/>
          <w:kern w:val="0"/>
          <w:sz w:val="24"/>
          <w:highlight w:val="none"/>
        </w:rPr>
        <w:t>68.4mm</w:t>
      </w:r>
      <w:r>
        <w:rPr>
          <w:color w:val="auto"/>
          <w:kern w:val="0"/>
          <w:sz w:val="24"/>
          <w:highlight w:val="none"/>
          <w:lang w:val="zh-CN"/>
        </w:rPr>
        <w:t>，出现在</w:t>
      </w:r>
      <w:r>
        <w:rPr>
          <w:color w:val="auto"/>
          <w:kern w:val="0"/>
          <w:sz w:val="24"/>
          <w:highlight w:val="none"/>
        </w:rPr>
        <w:t>2007</w:t>
      </w:r>
      <w:r>
        <w:rPr>
          <w:color w:val="auto"/>
          <w:kern w:val="0"/>
          <w:sz w:val="24"/>
          <w:highlight w:val="none"/>
          <w:lang w:val="zh-CN"/>
        </w:rPr>
        <w:t>年</w:t>
      </w:r>
      <w:r>
        <w:rPr>
          <w:color w:val="auto"/>
          <w:kern w:val="0"/>
          <w:sz w:val="24"/>
          <w:highlight w:val="none"/>
        </w:rPr>
        <w:t>7</w:t>
      </w:r>
      <w:r>
        <w:rPr>
          <w:color w:val="auto"/>
          <w:kern w:val="0"/>
          <w:sz w:val="24"/>
          <w:highlight w:val="none"/>
          <w:lang w:val="zh-CN"/>
        </w:rPr>
        <w:t>月</w:t>
      </w:r>
      <w:r>
        <w:rPr>
          <w:color w:val="auto"/>
          <w:kern w:val="0"/>
          <w:sz w:val="24"/>
          <w:highlight w:val="none"/>
        </w:rPr>
        <w:t>9</w:t>
      </w:r>
      <w:r>
        <w:rPr>
          <w:color w:val="auto"/>
          <w:kern w:val="0"/>
          <w:sz w:val="24"/>
          <w:highlight w:val="none"/>
          <w:lang w:val="zh-CN"/>
        </w:rPr>
        <w:t>日，连续最大降水量</w:t>
      </w:r>
      <w:r>
        <w:rPr>
          <w:color w:val="auto"/>
          <w:kern w:val="0"/>
          <w:sz w:val="24"/>
          <w:highlight w:val="none"/>
        </w:rPr>
        <w:t>388.6mm</w:t>
      </w:r>
      <w:r>
        <w:rPr>
          <w:color w:val="auto"/>
          <w:kern w:val="0"/>
          <w:sz w:val="24"/>
          <w:highlight w:val="none"/>
          <w:lang w:val="zh-CN"/>
        </w:rPr>
        <w:t>，出现在</w:t>
      </w:r>
      <w:r>
        <w:rPr>
          <w:color w:val="auto"/>
          <w:kern w:val="0"/>
          <w:sz w:val="24"/>
          <w:highlight w:val="none"/>
        </w:rPr>
        <w:t>1994</w:t>
      </w:r>
      <w:r>
        <w:rPr>
          <w:color w:val="auto"/>
          <w:kern w:val="0"/>
          <w:sz w:val="24"/>
          <w:highlight w:val="none"/>
          <w:lang w:val="zh-CN"/>
        </w:rPr>
        <w:t>年</w:t>
      </w:r>
      <w:r>
        <w:rPr>
          <w:color w:val="auto"/>
          <w:kern w:val="0"/>
          <w:sz w:val="24"/>
          <w:highlight w:val="none"/>
        </w:rPr>
        <w:t>7</w:t>
      </w:r>
      <w:r>
        <w:rPr>
          <w:color w:val="auto"/>
          <w:kern w:val="0"/>
          <w:sz w:val="24"/>
          <w:highlight w:val="none"/>
          <w:lang w:val="zh-CN"/>
        </w:rPr>
        <w:t>月</w:t>
      </w:r>
      <w:r>
        <w:rPr>
          <w:color w:val="auto"/>
          <w:kern w:val="0"/>
          <w:sz w:val="24"/>
          <w:highlight w:val="none"/>
        </w:rPr>
        <w:t>3-13</w:t>
      </w:r>
      <w:r>
        <w:rPr>
          <w:color w:val="auto"/>
          <w:kern w:val="0"/>
          <w:sz w:val="24"/>
          <w:highlight w:val="none"/>
          <w:lang w:val="zh-CN"/>
        </w:rPr>
        <w:t>日。降水季节分配不均，夏季</w:t>
      </w:r>
      <w:r>
        <w:rPr>
          <w:color w:val="auto"/>
          <w:kern w:val="0"/>
          <w:sz w:val="24"/>
          <w:highlight w:val="none"/>
        </w:rPr>
        <w:t>6</w:t>
      </w:r>
      <w:r>
        <w:rPr>
          <w:color w:val="auto"/>
          <w:kern w:val="0"/>
          <w:sz w:val="24"/>
          <w:highlight w:val="none"/>
          <w:lang w:val="zh-CN"/>
        </w:rPr>
        <w:t>～</w:t>
      </w:r>
      <w:r>
        <w:rPr>
          <w:color w:val="auto"/>
          <w:kern w:val="0"/>
          <w:sz w:val="24"/>
          <w:highlight w:val="none"/>
        </w:rPr>
        <w:t>8</w:t>
      </w:r>
      <w:r>
        <w:rPr>
          <w:color w:val="auto"/>
          <w:kern w:val="0"/>
          <w:sz w:val="24"/>
          <w:highlight w:val="none"/>
          <w:lang w:val="zh-CN"/>
        </w:rPr>
        <w:t>月份降水量占全年降水量的</w:t>
      </w:r>
      <w:r>
        <w:rPr>
          <w:color w:val="auto"/>
          <w:kern w:val="0"/>
          <w:sz w:val="24"/>
          <w:highlight w:val="none"/>
        </w:rPr>
        <w:t>77%</w:t>
      </w:r>
      <w:r>
        <w:rPr>
          <w:color w:val="auto"/>
          <w:kern w:val="0"/>
          <w:sz w:val="24"/>
          <w:highlight w:val="none"/>
          <w:lang w:val="zh-CN"/>
        </w:rPr>
        <w:t>，春季和秋季降水量分别占全年降水量的</w:t>
      </w:r>
      <w:r>
        <w:rPr>
          <w:color w:val="auto"/>
          <w:kern w:val="0"/>
          <w:sz w:val="24"/>
          <w:highlight w:val="none"/>
        </w:rPr>
        <w:t>8%</w:t>
      </w:r>
      <w:r>
        <w:rPr>
          <w:color w:val="auto"/>
          <w:kern w:val="0"/>
          <w:sz w:val="24"/>
          <w:highlight w:val="none"/>
          <w:lang w:val="zh-CN"/>
        </w:rPr>
        <w:t>和</w:t>
      </w:r>
      <w:r>
        <w:rPr>
          <w:color w:val="auto"/>
          <w:kern w:val="0"/>
          <w:sz w:val="24"/>
          <w:highlight w:val="none"/>
        </w:rPr>
        <w:t>13%</w:t>
      </w:r>
      <w:r>
        <w:rPr>
          <w:color w:val="auto"/>
          <w:kern w:val="0"/>
          <w:sz w:val="24"/>
          <w:highlight w:val="none"/>
          <w:lang w:val="zh-CN"/>
        </w:rPr>
        <w:t>，冬季降水量只占全年降水量的</w:t>
      </w:r>
      <w:r>
        <w:rPr>
          <w:color w:val="auto"/>
          <w:kern w:val="0"/>
          <w:sz w:val="24"/>
          <w:highlight w:val="none"/>
        </w:rPr>
        <w:t>1%</w:t>
      </w:r>
      <w:r>
        <w:rPr>
          <w:color w:val="auto"/>
          <w:kern w:val="0"/>
          <w:sz w:val="24"/>
          <w:highlight w:val="none"/>
          <w:lang w:val="zh-CN"/>
        </w:rPr>
        <w:t>。降水年际变化也很大，最多年份多达</w:t>
      </w:r>
      <w:r>
        <w:rPr>
          <w:color w:val="auto"/>
          <w:kern w:val="0"/>
          <w:sz w:val="24"/>
          <w:highlight w:val="none"/>
        </w:rPr>
        <w:t>1224mm</w:t>
      </w:r>
      <w:r>
        <w:rPr>
          <w:color w:val="auto"/>
          <w:kern w:val="0"/>
          <w:sz w:val="24"/>
          <w:highlight w:val="none"/>
          <w:lang w:val="zh-CN"/>
        </w:rPr>
        <w:t>，最少年份</w:t>
      </w:r>
      <w:r>
        <w:rPr>
          <w:color w:val="auto"/>
          <w:kern w:val="0"/>
          <w:sz w:val="24"/>
          <w:highlight w:val="none"/>
        </w:rPr>
        <w:t>422.8mm</w:t>
      </w:r>
      <w:r>
        <w:rPr>
          <w:color w:val="auto"/>
          <w:kern w:val="0"/>
          <w:sz w:val="24"/>
          <w:highlight w:val="none"/>
          <w:lang w:val="zh-CN"/>
        </w:rPr>
        <w:t>，相差</w:t>
      </w:r>
      <w:r>
        <w:rPr>
          <w:color w:val="auto"/>
          <w:kern w:val="0"/>
          <w:sz w:val="24"/>
          <w:highlight w:val="none"/>
        </w:rPr>
        <w:t>801mm</w:t>
      </w:r>
      <w:r>
        <w:rPr>
          <w:color w:val="auto"/>
          <w:kern w:val="0"/>
          <w:sz w:val="24"/>
          <w:highlight w:val="none"/>
          <w:lang w:val="zh-CN"/>
        </w:rPr>
        <w:t>。降水变率是遵化市旱涝灾害的主要成因。多暴雨，降水强度大，雨势猛，日降水大于</w:t>
      </w:r>
      <w:r>
        <w:rPr>
          <w:color w:val="auto"/>
          <w:kern w:val="0"/>
          <w:sz w:val="24"/>
          <w:highlight w:val="none"/>
        </w:rPr>
        <w:t>50mm</w:t>
      </w:r>
      <w:r>
        <w:rPr>
          <w:color w:val="auto"/>
          <w:kern w:val="0"/>
          <w:sz w:val="24"/>
          <w:highlight w:val="none"/>
          <w:lang w:val="zh-CN"/>
        </w:rPr>
        <w:t>的暴雨平均每年</w:t>
      </w:r>
      <w:r>
        <w:rPr>
          <w:color w:val="auto"/>
          <w:kern w:val="0"/>
          <w:sz w:val="24"/>
          <w:highlight w:val="none"/>
        </w:rPr>
        <w:t>4</w:t>
      </w:r>
      <w:r>
        <w:rPr>
          <w:color w:val="auto"/>
          <w:kern w:val="0"/>
          <w:sz w:val="24"/>
          <w:highlight w:val="none"/>
          <w:lang w:val="zh-CN"/>
        </w:rPr>
        <w:t>次，</w:t>
      </w:r>
      <w:r>
        <w:rPr>
          <w:color w:val="auto"/>
          <w:kern w:val="0"/>
          <w:sz w:val="24"/>
          <w:highlight w:val="none"/>
        </w:rPr>
        <w:t>7</w:t>
      </w:r>
      <w:r>
        <w:rPr>
          <w:color w:val="auto"/>
          <w:kern w:val="0"/>
          <w:sz w:val="24"/>
          <w:highlight w:val="none"/>
          <w:lang w:val="zh-CN"/>
        </w:rPr>
        <w:t>月下旬和</w:t>
      </w:r>
      <w:r>
        <w:rPr>
          <w:color w:val="auto"/>
          <w:kern w:val="0"/>
          <w:sz w:val="24"/>
          <w:highlight w:val="none"/>
        </w:rPr>
        <w:t>8</w:t>
      </w:r>
      <w:r>
        <w:rPr>
          <w:color w:val="auto"/>
          <w:kern w:val="0"/>
          <w:sz w:val="24"/>
          <w:highlight w:val="none"/>
          <w:lang w:val="zh-CN"/>
        </w:rPr>
        <w:t>月上旬是暴雨高度集中的时间，</w:t>
      </w:r>
      <w:r>
        <w:rPr>
          <w:color w:val="auto"/>
          <w:kern w:val="0"/>
          <w:sz w:val="24"/>
          <w:highlight w:val="none"/>
        </w:rPr>
        <w:t>7</w:t>
      </w:r>
      <w:r>
        <w:rPr>
          <w:color w:val="auto"/>
          <w:kern w:val="0"/>
          <w:sz w:val="24"/>
          <w:highlight w:val="none"/>
          <w:lang w:val="zh-CN"/>
        </w:rPr>
        <w:t>～</w:t>
      </w:r>
      <w:r>
        <w:rPr>
          <w:color w:val="auto"/>
          <w:kern w:val="0"/>
          <w:sz w:val="24"/>
          <w:highlight w:val="none"/>
        </w:rPr>
        <w:t>8</w:t>
      </w:r>
      <w:r>
        <w:rPr>
          <w:color w:val="auto"/>
          <w:kern w:val="0"/>
          <w:sz w:val="24"/>
          <w:highlight w:val="none"/>
          <w:lang w:val="zh-CN"/>
        </w:rPr>
        <w:t>月平均暴雨量为</w:t>
      </w:r>
      <w:r>
        <w:rPr>
          <w:color w:val="auto"/>
          <w:kern w:val="0"/>
          <w:sz w:val="24"/>
          <w:highlight w:val="none"/>
        </w:rPr>
        <w:t>95mm</w:t>
      </w:r>
      <w:r>
        <w:rPr>
          <w:color w:val="auto"/>
          <w:kern w:val="0"/>
          <w:sz w:val="24"/>
          <w:highlight w:val="none"/>
          <w:lang w:val="zh-CN"/>
        </w:rPr>
        <w:t>。</w:t>
      </w:r>
    </w:p>
    <w:p>
      <w:pPr>
        <w:autoSpaceDE w:val="0"/>
        <w:autoSpaceDN w:val="0"/>
        <w:adjustRightInd w:val="0"/>
        <w:spacing w:line="480" w:lineRule="exact"/>
        <w:ind w:firstLine="480"/>
        <w:rPr>
          <w:color w:val="auto"/>
          <w:kern w:val="0"/>
          <w:sz w:val="24"/>
          <w:highlight w:val="none"/>
        </w:rPr>
      </w:pPr>
      <w:r>
        <w:rPr>
          <w:color w:val="auto"/>
          <w:kern w:val="0"/>
          <w:sz w:val="24"/>
          <w:highlight w:val="none"/>
          <w:lang w:val="zh-CN"/>
        </w:rPr>
        <w:t>遵化市主导风向为</w:t>
      </w:r>
      <w:r>
        <w:rPr>
          <w:color w:val="auto"/>
          <w:kern w:val="0"/>
          <w:sz w:val="24"/>
          <w:highlight w:val="none"/>
        </w:rPr>
        <w:t>NNW</w:t>
      </w:r>
      <w:r>
        <w:rPr>
          <w:color w:val="auto"/>
          <w:kern w:val="0"/>
          <w:sz w:val="24"/>
          <w:highlight w:val="none"/>
          <w:lang w:val="zh-CN"/>
        </w:rPr>
        <w:t>风，且静风频率较高，年静风频率为</w:t>
      </w:r>
      <w:r>
        <w:rPr>
          <w:color w:val="auto"/>
          <w:kern w:val="0"/>
          <w:sz w:val="24"/>
          <w:highlight w:val="none"/>
        </w:rPr>
        <w:t>20.16%</w:t>
      </w:r>
      <w:r>
        <w:rPr>
          <w:color w:val="auto"/>
          <w:kern w:val="0"/>
          <w:sz w:val="24"/>
          <w:highlight w:val="none"/>
          <w:lang w:val="zh-CN"/>
        </w:rPr>
        <w:t>，多年年均风速为</w:t>
      </w:r>
      <w:r>
        <w:rPr>
          <w:color w:val="auto"/>
          <w:kern w:val="0"/>
          <w:sz w:val="24"/>
          <w:highlight w:val="none"/>
        </w:rPr>
        <w:t>2.4m/s。</w:t>
      </w:r>
    </w:p>
    <w:p>
      <w:pPr>
        <w:autoSpaceDE w:val="0"/>
        <w:autoSpaceDN w:val="0"/>
        <w:adjustRightInd w:val="0"/>
        <w:spacing w:line="480" w:lineRule="exact"/>
        <w:rPr>
          <w:b w:val="0"/>
          <w:bCs w:val="0"/>
          <w:color w:val="auto"/>
          <w:kern w:val="0"/>
          <w:sz w:val="24"/>
          <w:highlight w:val="none"/>
        </w:rPr>
      </w:pPr>
      <w:r>
        <w:rPr>
          <w:rFonts w:hint="eastAsia"/>
          <w:b/>
          <w:bCs/>
          <w:color w:val="auto"/>
          <w:sz w:val="24"/>
          <w:highlight w:val="none"/>
          <w:lang w:val="en-US" w:eastAsia="zh-CN"/>
        </w:rPr>
        <w:t>4.9.3.2</w:t>
      </w:r>
      <w:r>
        <w:rPr>
          <w:rFonts w:hint="eastAsia"/>
          <w:b w:val="0"/>
          <w:bCs w:val="0"/>
          <w:color w:val="auto"/>
          <w:sz w:val="24"/>
          <w:highlight w:val="none"/>
          <w:lang w:val="en-US" w:eastAsia="zh-CN"/>
        </w:rPr>
        <w:t xml:space="preserve"> </w:t>
      </w:r>
      <w:r>
        <w:rPr>
          <w:b w:val="0"/>
          <w:bCs w:val="0"/>
          <w:color w:val="auto"/>
          <w:kern w:val="0"/>
          <w:sz w:val="24"/>
          <w:highlight w:val="none"/>
        </w:rPr>
        <w:t>区域土地利用类型及地形地貌</w:t>
      </w:r>
    </w:p>
    <w:p>
      <w:pPr>
        <w:autoSpaceDE w:val="0"/>
        <w:autoSpaceDN w:val="0"/>
        <w:adjustRightInd w:val="0"/>
        <w:spacing w:line="480" w:lineRule="exact"/>
        <w:ind w:firstLine="480"/>
        <w:rPr>
          <w:color w:val="auto"/>
          <w:kern w:val="0"/>
          <w:sz w:val="24"/>
          <w:highlight w:val="none"/>
          <w:lang w:val="zh-CN"/>
        </w:rPr>
      </w:pPr>
      <w:r>
        <w:rPr>
          <w:color w:val="auto"/>
          <w:kern w:val="0"/>
          <w:sz w:val="24"/>
          <w:highlight w:val="none"/>
          <w:lang w:val="zh-CN"/>
        </w:rPr>
        <w:t>遵化市土壤有3个土类，9个亚类，11个土属，41个土种。3大土类为棕壤、褐土和潮土。棕壤主要分布于市域北部300米以上的山地，占全市总面积的6%；褐土分布在海拔20-300米的地方，几乎遍及全市，占全市总面积的92.63%；潮土分布范围最窄，仅限于市域西南隅一小部分平原地带，占全市总面积的1.18%。</w:t>
      </w:r>
    </w:p>
    <w:p>
      <w:pPr>
        <w:autoSpaceDE w:val="0"/>
        <w:autoSpaceDN w:val="0"/>
        <w:adjustRightInd w:val="0"/>
        <w:spacing w:line="480" w:lineRule="exact"/>
        <w:ind w:firstLine="480"/>
        <w:rPr>
          <w:color w:val="auto"/>
          <w:kern w:val="0"/>
          <w:sz w:val="24"/>
          <w:highlight w:val="none"/>
          <w:lang w:val="zh-CN"/>
        </w:rPr>
      </w:pPr>
      <w:r>
        <w:rPr>
          <w:color w:val="auto"/>
          <w:kern w:val="0"/>
          <w:sz w:val="24"/>
          <w:highlight w:val="none"/>
          <w:lang w:val="zh-CN"/>
        </w:rPr>
        <w:t>全市土壤养分属于中等偏下，土壤肥力较低，有机质含量平均为1.18%，低于国家一级地有机质含量2%的标准，在全市土壤中，达到国家一级地有机质含量标准的只有15.93平方公里，仅占全市总面积的1%。全氮平均含量为0.074%，速效氮平均含量为68.74ppm，速效磷平均含量为21.55ppm，速效钾平均含量为85.8ppm，都低于国家要求的标准，处于缺磷、少氮、钾不足，有机质贫乏的状态。据遵化市国土资源局最新土地变更调查，遵化市土地总面积153719公顷，其中农用地面积111613公顷，占总面积的72.61%，建设用地18939公顷，占总面积的12.32%，未利用土地23167公顷，占总面积的15.07%。由于人口连年增长，城镇和乡村居民点用地及交通用地不断扩大，致使耕地面积减低，人均耕地面积锐减。遵化市1995年耕地面积57859公顷，人均耕地面积0.086公顷；2000年耕地面积57446公顷，人均0.084公顷。2005年，耕地总面积52237公顷，人均0.075公顷。</w:t>
      </w:r>
    </w:p>
    <w:p>
      <w:pPr>
        <w:widowControl/>
        <w:autoSpaceDE/>
        <w:autoSpaceDN/>
        <w:spacing w:line="360" w:lineRule="auto"/>
        <w:jc w:val="center"/>
        <w:rPr>
          <w:rFonts w:ascii="Times New Roman" w:hAnsi="Times New Roman" w:cs="Times New Roman"/>
          <w:sz w:val="24"/>
          <w:szCs w:val="24"/>
          <w:highlight w:val="none"/>
          <w:lang w:val="en-US" w:bidi="ar-SA"/>
        </w:rPr>
      </w:pPr>
      <w:r>
        <w:rPr>
          <w:rFonts w:ascii="Times New Roman" w:hAnsi="Times New Roman" w:cs="Times New Roman"/>
          <w:sz w:val="24"/>
          <w:szCs w:val="24"/>
          <w:highlight w:val="none"/>
          <w:lang w:val="en-US" w:bidi="ar-SA"/>
        </w:rPr>
        <w:drawing>
          <wp:inline distT="0" distB="0" distL="114300" distR="114300">
            <wp:extent cx="4494530" cy="5027295"/>
            <wp:effectExtent l="0" t="0" r="1270" b="1905"/>
            <wp:docPr id="58" name="图片 33" descr="地貌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3" descr="地貌图.png"/>
                    <pic:cNvPicPr>
                      <a:picLocks noChangeAspect="1"/>
                    </pic:cNvPicPr>
                  </pic:nvPicPr>
                  <pic:blipFill>
                    <a:blip r:embed="rId67"/>
                    <a:stretch>
                      <a:fillRect/>
                    </a:stretch>
                  </pic:blipFill>
                  <pic:spPr>
                    <a:xfrm>
                      <a:off x="0" y="0"/>
                      <a:ext cx="4494530" cy="5027295"/>
                    </a:xfrm>
                    <a:prstGeom prst="rect">
                      <a:avLst/>
                    </a:prstGeom>
                    <a:noFill/>
                    <a:ln>
                      <a:noFill/>
                    </a:ln>
                  </pic:spPr>
                </pic:pic>
              </a:graphicData>
            </a:graphic>
          </wp:inline>
        </w:drawing>
      </w:r>
      <w:r>
        <w:rPr>
          <w:sz w:val="21"/>
          <w:highlight w:val="none"/>
        </w:rPr>
        <mc:AlternateContent>
          <mc:Choice Requires="wpg">
            <w:drawing>
              <wp:anchor distT="0" distB="0" distL="114300" distR="114300" simplePos="0" relativeHeight="251708416" behindDoc="0" locked="0" layoutInCell="1" allowOverlap="1">
                <wp:simplePos x="0" y="0"/>
                <wp:positionH relativeFrom="column">
                  <wp:posOffset>2109470</wp:posOffset>
                </wp:positionH>
                <wp:positionV relativeFrom="paragraph">
                  <wp:posOffset>109220</wp:posOffset>
                </wp:positionV>
                <wp:extent cx="2687320" cy="1671955"/>
                <wp:effectExtent l="5080" t="0" r="12700" b="23495"/>
                <wp:wrapNone/>
                <wp:docPr id="45" name="组合 45"/>
                <wp:cNvGraphicFramePr/>
                <a:graphic xmlns:a="http://schemas.openxmlformats.org/drawingml/2006/main">
                  <a:graphicData uri="http://schemas.microsoft.com/office/word/2010/wordprocessingGroup">
                    <wpg:wgp>
                      <wpg:cNvGrpSpPr/>
                      <wpg:grpSpPr>
                        <a:xfrm>
                          <a:off x="0" y="0"/>
                          <a:ext cx="2687320" cy="1671955"/>
                          <a:chOff x="6976" y="2022173"/>
                          <a:chExt cx="4232" cy="2633"/>
                        </a:xfrm>
                      </wpg:grpSpPr>
                      <wps:wsp>
                        <wps:cNvPr id="51" name="矩形标注 51"/>
                        <wps:cNvSpPr/>
                        <wps:spPr>
                          <a:xfrm>
                            <a:off x="6976" y="2023199"/>
                            <a:ext cx="1548" cy="461"/>
                          </a:xfrm>
                          <a:prstGeom prst="wedgeRectCallout">
                            <a:avLst>
                              <a:gd name="adj1" fmla="val 147028"/>
                              <a:gd name="adj2" fmla="val 282537"/>
                            </a:avLst>
                          </a:prstGeom>
                          <a:solidFill>
                            <a:srgbClr val="FFFFFF"/>
                          </a:solidFill>
                          <a:ln w="9525" cap="flat" cmpd="sng">
                            <a:solidFill>
                              <a:srgbClr val="000000"/>
                            </a:solidFill>
                            <a:prstDash val="solid"/>
                            <a:miter/>
                            <a:headEnd type="none" w="med" len="med"/>
                            <a:tailEnd type="none" w="med" len="med"/>
                          </a:ln>
                          <a:effectLst/>
                        </wps:spPr>
                        <wps:txbx>
                          <w:txbxContent>
                            <w:p>
                              <w:pPr>
                                <w:widowControl/>
                                <w:autoSpaceDE/>
                                <w:autoSpaceDN/>
                                <w:spacing w:line="240" w:lineRule="atLeast"/>
                                <w:jc w:val="center"/>
                                <w:rPr>
                                  <w:rFonts w:ascii="Calibri" w:hAnsi="Calibri" w:cs="Times New Roman"/>
                                  <w:b/>
                                  <w:bCs/>
                                  <w:color w:val="auto"/>
                                  <w:sz w:val="24"/>
                                  <w:szCs w:val="21"/>
                                  <w:lang w:val="en-US" w:bidi="ar-SA"/>
                                </w:rPr>
                              </w:pPr>
                              <w:r>
                                <w:rPr>
                                  <w:rFonts w:hint="eastAsia" w:ascii="Calibri" w:hAnsi="Calibri" w:cs="Times New Roman"/>
                                  <w:b/>
                                  <w:bCs/>
                                  <w:color w:val="auto"/>
                                  <w:sz w:val="24"/>
                                  <w:szCs w:val="21"/>
                                  <w:lang w:val="en-US" w:bidi="ar-SA"/>
                                </w:rPr>
                                <w:t>项目所在地</w:t>
                              </w:r>
                            </w:p>
                          </w:txbxContent>
                        </wps:txbx>
                        <wps:bodyPr upright="1"/>
                      </wps:wsp>
                      <wps:wsp>
                        <wps:cNvPr id="65" name="矩形 65"/>
                        <wps:cNvSpPr/>
                        <wps:spPr>
                          <a:xfrm>
                            <a:off x="9911" y="2024720"/>
                            <a:ext cx="184" cy="86"/>
                          </a:xfrm>
                          <a:prstGeom prst="rect">
                            <a:avLst/>
                          </a:prstGeom>
                          <a:solidFill>
                            <a:srgbClr val="FF0000"/>
                          </a:solidFill>
                          <a:ln w="9525" cap="flat" cmpd="sng">
                            <a:solidFill>
                              <a:srgbClr val="FF0000"/>
                            </a:solidFill>
                            <a:prstDash val="solid"/>
                            <a:miter/>
                            <a:headEnd type="none" w="med" len="med"/>
                            <a:tailEnd type="none" w="med" len="med"/>
                          </a:ln>
                          <a:effectLst/>
                        </wps:spPr>
                        <wps:txbx>
                          <w:txbxContent>
                            <w:p/>
                          </w:txbxContent>
                        </wps:txbx>
                        <wps:bodyPr upright="1"/>
                      </wps:wsp>
                      <pic:pic xmlns:pic="http://schemas.openxmlformats.org/drawingml/2006/picture">
                        <pic:nvPicPr>
                          <pic:cNvPr id="93" name="图片 68" descr="指北针"/>
                          <pic:cNvPicPr>
                            <a:picLocks noChangeAspect="1" noChangeArrowheads="1"/>
                          </pic:cNvPicPr>
                        </pic:nvPicPr>
                        <pic:blipFill>
                          <a:blip r:embed="rId48" cstate="print"/>
                          <a:srcRect/>
                          <a:stretch>
                            <a:fillRect/>
                          </a:stretch>
                        </pic:blipFill>
                        <pic:spPr>
                          <a:xfrm>
                            <a:off x="10631" y="2022173"/>
                            <a:ext cx="577" cy="733"/>
                          </a:xfrm>
                          <a:prstGeom prst="rect">
                            <a:avLst/>
                          </a:prstGeom>
                          <a:noFill/>
                          <a:ln w="9525">
                            <a:noFill/>
                            <a:miter lim="800000"/>
                            <a:headEnd/>
                            <a:tailEnd/>
                          </a:ln>
                        </pic:spPr>
                      </pic:pic>
                    </wpg:wgp>
                  </a:graphicData>
                </a:graphic>
              </wp:anchor>
            </w:drawing>
          </mc:Choice>
          <mc:Fallback>
            <w:pict>
              <v:group id="_x0000_s1026" o:spid="_x0000_s1026" o:spt="203" style="position:absolute;left:0pt;margin-left:166.1pt;margin-top:8.6pt;height:131.65pt;width:211.6pt;z-index:251708416;mso-width-relative:page;mso-height-relative:page;" coordorigin="6976,2022173" coordsize="4232,2633" o:gfxdata="UEsDBAoAAAAAAIdO4kAAAAAAAAAAAAAAAAAEAAAAZHJzL1BLAwQUAAAACACHTuJAW31m0NoAAAAK&#10;AQAADwAAAGRycy9kb3ducmV2LnhtbE2PwUrDQBCG74LvsEzBm91NYmxJsylS1FMR2gribZtMk9Ds&#10;bMhuk/btHU96Gob/459v8vXVdmLEwbeONERzBQKpdFVLtYbPw9vjEoQPhirTOUINN/SwLu7vcpNV&#10;bqIdjvtQCy4hnxkNTQh9JqUvG7TGz12PxNnJDdYEXodaVoOZuNx2MlbqWVrTEl9oTI+bBsvz/mI1&#10;vE9mekmi13F7Pm1u34f042sbodYPs0itQAS8hj8YfvVZHQp2OroLVV50GpIkjhnlYMGTgUWaPoE4&#10;aoiXKgVZ5PL/C8UPUEsDBBQAAAAIAIdO4kCfhpsZAAQAANsKAAAOAAAAZHJzL2Uyb0RvYy54bWzd&#10;Vs1u4zYQvhfoOxC6N7JkW7KFKIsiWQcFFm2w2z4ATVE/LUUSJB059wLZBfZQ9NLDHlr01J57LNq3&#10;SRZ9iw5JWbKzGyTotpcasM2f4XDm4zcfefxk2zJ0SZVuBM+D6GgSIMqJKBpe5cFXX64+WQRIG8wL&#10;zASneXBFdfDk5OOPjjuZ0VjUghVUIXDCddbJPKiNkVkYalLTFusjISmHyVKoFhvoqiosFO7Ae8vC&#10;eDJJwk6oQipBqNYweuYng96jeoxDUZYNoWeCbFrKjfeqKMMGUtJ1I3Vw4qItS0rMF2WpqUEsDyBT&#10;435hE2iv7W94coyzSmFZN6QPAT8mhDs5tbjhsOng6gwbjDaqecdV2xAltCjNERFt6BNxiEAW0eQO&#10;NudKbKTLpcq6Sg6gw0HdQf0fuyWfX14o1BR5MJsHiOMWTvzt79/efPcSwQCg08kqA6NzJV/IC9UP&#10;VL5nE96WqrX/kAraOlyvBlzp1iACg3GySKcxQE5gLkrSaDl3vnFGajgeuy5ZpkmAYDqexHGUTv3B&#10;kPpp72IWT2O/Pk6mbjbc7R3aEIeIOgm01CNW+sOwelFjSd0RaAtDj9U8GrD68debP36+/en69rdf&#10;EAw7gJzpAJfONCD3Hqz2c55Gy6XPeQdaNJ9BJVrEZonzOySMM6m0OaeiRbaRBx0tKvocuH6KGRMb&#10;45iIL59p4yhZ9OeKi68h7rJlwPBLzFA0Syfxwu9a7RkB0KNRvIjn09Qawf69T2jtIrAbaMGaYtUw&#10;5jqqWp8yhWCDPFi5T7/4wIxx1OXBch4D6wgGGSmhfKHZSqCi5pVL4WCF3nc8cZ/3ObaBnWFd+wCc&#10;B59h2xiqIA2c1RQXT3mBzJUEtnNQucAG09IiQIyCKNqWszS4YY+xBEAYt66pkxwA3uJlqeiP3rbM&#10;dr2FUdtci+IKmLSRqqlqOD9/vD1zvcl/TuFkLHdHYQQDfXjA84fJu1xGQCZfsLMUitsBNpB3MfPc&#10;XSR24n7qKmDtSFdv+lhuWQ703g+Y8oHcWq3uc/w/4JZsSAbf/iqB1jvy+PAFDqvMRllVtN745UVD&#10;rL7ZziiRy+lOIm/e/Pn21TVKQM0Kqglcvrevr29e//DX9y/t6e2WeSegLA15Jsg3GnFxWmNe0U+1&#10;BJLYKhmHlBKdLWNQd188h15C2z0IbM0auZMo2/53nxtIZbRdU5Au9VkBcRJ4QBnQFihwbnxlaEWs&#10;Qrsq0UZRQ2orGCXIZj8ORTJMuATGmG0691wi0SSZDoU43py7QpynqS/E9M6tOUp4f4k8VIlcWPxc&#10;/HsFZnPYm3Eii1jT5sFikOhBcd3iXlOh3aumy9Vn55qQrBNP9+ZxVv37zD6q9vvOanyTnvwNUEsD&#10;BAoAAAAAAIdO4kAAAAAAAAAAAAAAAAAKAAAAZHJzL21lZGlhL1BLAwQUAAAACACHTuJAs4OF2SAK&#10;AAAbCgAAFQAAAGRycy9tZWRpYS9pbWFnZTEuanBlZwEbCuT1/9j/4AAQSkZJRgABAQEA3ADcAAD/&#10;2wBDAAgGBgcGBQgHBwcJCQgKDBQNDAsLDBkSEw8UHRofHh0aHBwgJC4nICIsIxwcKDcpLDAxNDQ0&#10;Hyc5PTgyPC4zNDL/2wBDAQkJCQwLDBgNDRgyIRwhMjIyMjIyMjIyMjIyMjIyMjIyMjIyMjIyMjIy&#10;MjIyMjIyMjIyMjIyMjIyMjIyMjIyMjL/wAARCAB3AF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mONNi/IOg7e1P8tP7g/KiP7ifQU+gBnl&#10;p/cH5UhRP7g/KpKa3SgBmxP7o/KjYg/hH5Vx/iDxpP4a16wtL7Tkawu32C6jnJMfQZZdvHJ7GtvX&#10;9Tu9M0eW/srSK6MK72SSYxZHsQrc0AawRP7g/Kl8tP7g/KqulT3Vzp8U15BFBM43GOKQuoB6ckD+&#10;VXaAGeWn9wflSeWn9wflUlIaAKs0Sb/uL09KKfN9/wDCigCWP7ifQU+mR/cT6Cn0AFNIp1IeBQBx&#10;XizRYdf1ePS5+EuLCZcj+FsjB/A1k6Frc+o/DrVdM1E7dW0pHtLpW6tj7r/iuPxzXU3hH/Ca6ef+&#10;nSX+YrifiLaSaBrn/CQWyt9m1GL7FfhB1bpG39KAPUbD/jwt/wDrmv8AKrFVrD/jwgHcRqP0qzQA&#10;UhpaQ0AQTff/AAoom+/+FFAEsf3E+gp9Mj+4n0FPoAKQ88UhfbWHrni/Q/Dse/U7+OEnpHnLn/gI&#10;5oASfw2Z9dj1b+1L1JYwVWJWXywp6jG3pxV3VNJttY02Wwu03wSAZHcEc8V5re/HfS1kKWGkXlyM&#10;feJC/pyapQ/Hkbj5vh+TYOpjnB/pQFj2WFBFCqDOFAHPXipK880X4w+GNVdYZpZLGVsYFwuFz6bh&#10;xXeQ3UVxGskTq8bcqynINAE9IaWkNAEE33/woom+/wDhRQBLH9xPoKV22j0psZ+RfoK4z4m+LD4X&#10;8Lu8Dj7bckxQAdjjk/gKAOf8efEq4t77/hHfDMZudUc7HkjG7YT/AAr6t+gqr4b+EHnSjUvFty95&#10;eyfM0AkJAPozd/w4rR+FngpNJ0xdc1BDJqd4CwL8mNTyPxPU16YFGwcUAcN4yttK8JeBNSmsLG2t&#10;nMRjjMcYDbm4615N8JL+K28apZ3Cq8N7E0RVwCC3Uda7P466qYtO0zSlODNI0zj/AGV6fqa8h0me&#10;bSr601hARHa3SZb9cfkDQUtj6N174aeGtehffYpbTH/ltbjYwP4cGvNpYvFPwhv0kV31HQJHwRnK&#10;j2P9xvQ9K93tpUubeOdDlZFDA+xGaiv7C11Gzms7uFJYJlKOjDIINBJS8PeI7DxLpMWo6fIGicfM&#10;p4aNu6sPUVrjmvB9LkuPhb8RhpcsrHRtQYBGY9MnAP1B4+le7JyM0ARTff8Awoom+/8AhRQA9P8A&#10;Vj6f0rxXxsp8T/GXS9DfJtrNU3L1GT87H8go/Cvao/8AVr9B/KvF9E3H9ojUfM6gyYB/65gD9KAR&#10;7PFGI0CqMKBgD2qQ9KB0qC8uktLKe4kYKkSM7EnGABmgD5u+LOrDU/H1yitmOzRYFweM9W/U/pVT&#10;Q9MbUvh/4kZAS1rJBOAPbcD+hrmb69fUtQub6TO65laU568nNerfBmyTUdJ8TWTgFJ40jOfcNQVs&#10;eh/DHVxq3gLTnLbpIU8h+c8rx/LFdjivG/gleSWk2ueHpyRLbS+Yqn6lW/UD869kXkCgk8w+Neir&#10;e+ElvwgMtnIDkD+FuD/Sus8CatJrXgnSb+U5leALIT3ZcqT+JGfxqt8SwD8PNaz/AM8Bj/voVkfB&#10;gufh3bb848+XH03UAd5N9/8ACiib7/4UUAPT/Vj6f0rxTxQ58MfHTT9Tc7be+VGLAcdDGw/QH8a9&#10;rT/Vr9B/KuA+LHhWTxD4bF1axk31gTLHtHJX+ID9D+AoBHoCsGAIOQe9cT8WNV/sz4f36o2JrzFs&#10;g/3j83/joaoPhf4yTxJoCWlzJjU7MbJlJ5ZezVx3x11QPd6ZpSEfu1ad1z3PA/r+dA0tTx/gDjoK&#10;9W+CWuWNjqmoabcSiOe82GHdwGIzkA+vNch4I8G3XjDVxCgZLKEg3EwHQeg9zXqfjn4ZW8ulW974&#10;dg+zX+nxgIsXHmKvT6sPWkNsxl/4pX4/KSNlvqXyn0/eD/4tR+de3jpXy74j8WSa9baRqFyDHrGm&#10;yGGbsXAOVb6gqQfrX0jY6nBdaJBqTSIsLwCVnJwAMZNMk4n4z6wlh4Je134kvJFQAHnaOT/Kt/4e&#10;aW+keBNItZV2ymASyD0ZyWIP0zivLpXk+KfxJjSJWbRNPIJJHDKOpP8AvH9K93jUIgAGABgUARy/&#10;f/Ciib7/AOFFAEkf3E+gokTeuKVPuL9BT6APG/GvgLUtE1j/AISvwlujuEbzJreL9cDuD3Fea6jq&#10;Vx438YwtqEsNi8xWGRpGISIDqeenrivqt03c1yXiT4b+HvE2ZLu0MNz2uLc7HH9D+IoGmaXhbSNL&#10;0PRoLLSTG1ugyZFIJkbuxI6k1suQcdOOa8am+DGt2D/8SPxUyR54WVWjI/FSc/kKa3wu8dz4WfxX&#10;GY+/7+Zj+WB/OgGUvjB4Z0i3k/tqwuraK6kbbc2quMyZ43AevrWJo974q8a6NZeFNOUxWEI2Tzgk&#10;Ky5zhm9PYda7zSPgfpcMwuNZ1K51OTOSmPLjP15LH8/wr0nT9Js9Ltlt7G2jt4V6IigCgRmeE/Cl&#10;l4T0eOys0DN96aUjmRvU/wBK6HtzSjpSGgCCb7/4UUTff/CigByTJsXnsO1O86P1/SiigA85PX9K&#10;PNj9f0oooATzY/X9KPNj9f0oooAPNj9f0pfOT1/SiigA86P1/Sjzk9f0oooArTzoJOvb0ooooA//&#10;2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BY&#10;YLMbtAAAACIBAAAZAAAAZHJzL19yZWxzL2Uyb0RvYy54bWwucmVsc4WPywrCMBBF94L/EGZv07oQ&#10;kaZuRHAr9QOGZJpGmwdJFPv3BtwoCC7nXu45TLt/2ok9KCbjnYCmqoGRk14ZpwVc+uNqCyxldAon&#10;70jATAn23XLRnmnCXEZpNCGxQnFJwJhz2HGe5EgWU+UDudIMPlrM5YyaB5Q31MTXdb3h8ZMB3ReT&#10;nZSAeFINsH4Oxfyf7YfBSDp4ebfk8g8FN7a4CxCjpizAkjL4DpvqGkgD71r+9Vn3AlBLAwQUAAAA&#10;CACHTuJA2Tk3hxMBAABIAgAAEwAAAFtDb250ZW50X1R5cGVzXS54bWyVkk1OwzAQhfdI3MHyFsUO&#10;XSCEmnRBChILqFA5gGVPEpf4Rx4T2tvjpK0EVVqJpT3zvXlv7PliazrSQ0DtbEFvWU4JWOmUtk1B&#10;P9ZP2T0lGIVVonMWCroDpIvy+mq+3nlAkmiLBW1j9A+co2zBCGTOg02V2gUjYjqGhnshP0UDfJbn&#10;d1w6G8HGLA4atJxXUIuvLpLlNl3vnWw8NJQ87huHWQXVZhAYC3ySeVk9TyJs4xs6jQTo8IQR3nda&#10;ipgWwnurTsJkhyAskWMPttrjTUp7ZsJQ+Zvj94AD95ZeIGgFZCVCfBUmpeUqIFfu2wbo2WWRwaXB&#10;zNW1lsCqgFXC3qE/ujqnDjNXOflf8eVIHbX5+A/KH1BLAQIUABQAAAAIAIdO4kDZOTeHEwEAAEgC&#10;AAATAAAAAAAAAAEAIAAAAAESAABbQ29udGVudF9UeXBlc10ueG1sUEsBAhQACgAAAAAAh07iQAAA&#10;AAAAAAAAAAAAAAYAAAAAAAAAAAAQAAAA0A8AAF9yZWxzL1BLAQIUABQAAAAIAIdO4kCKFGY80QAA&#10;AJQBAAALAAAAAAAAAAEAIAAAAPQPAABfcmVscy8ucmVsc1BLAQIUAAoAAAAAAIdO4kAAAAAAAAAA&#10;AAAAAAAEAAAAAAAAAAAAEAAAAAAAAABkcnMvUEsBAhQACgAAAAAAh07iQAAAAAAAAAAAAAAAAAoA&#10;AAAAAAAAAAAQAAAA7hAAAGRycy9fcmVscy9QSwECFAAUAAAACACHTuJAWGCzG7QAAAAiAQAAGQAA&#10;AAAAAAABACAAAAAWEQAAZHJzL19yZWxzL2Uyb0RvYy54bWwucmVsc1BLAQIUABQAAAAIAIdO4kBb&#10;fWbQ2gAAAAoBAAAPAAAAAAAAAAEAIAAAACIAAABkcnMvZG93bnJldi54bWxQSwECFAAUAAAACACH&#10;TuJAn4abGQAEAADbCgAADgAAAAAAAAABACAAAAApAQAAZHJzL2Uyb0RvYy54bWxQSwECFAAKAAAA&#10;AACHTuJAAAAAAAAAAAAAAAAACgAAAAAAAAAAABAAAABVBQAAZHJzL21lZGlhL1BLAQIUABQAAAAI&#10;AIdO4kCzg4XZIAoAABsKAAAVAAAAAAAAAAEAIAAAAH0FAABkcnMvbWVkaWEvaW1hZ2UxLmpwZWdQ&#10;SwUGAAAAAAoACgBTAgAARRMAAAAA&#10;">
                <o:lock v:ext="edit" aspectratio="f"/>
                <v:shape id="_x0000_s1026" o:spid="_x0000_s1026" o:spt="61" type="#_x0000_t61" style="position:absolute;left:6976;top:2023199;height:461;width:1548;" fillcolor="#FFFFFF" filled="t" stroked="t" coordsize="21600,21600" o:gfxdata="UEsDBAoAAAAAAIdO4kAAAAAAAAAAAAAAAAAEAAAAZHJzL1BLAwQUAAAACACHTuJA2PQcC78AAADb&#10;AAAADwAAAGRycy9kb3ducmV2LnhtbEWPzWrDMBCE74W+g9hALiWRHGgJTpQcQluKaZrfB1isjW1i&#10;rVxJTdw8fVUo9DjMzDfMfNnbVlzIh8axhmysQBCXzjRcaTgeXkZTECEiG2wdk4ZvCrBc3N/NMTfu&#10;yju67GMlEoRDjhrqGLtcylDWZDGMXUecvJPzFmOSvpLG4zXBbSsnSj1Jiw2nhRo7WtVUnvdfVsNp&#10;+/reF3b9INXm9vnxrArfd4XWw0GmZiAi9fE//Nd+MxoeM/j9kn6AXP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j0HAu/&#10;AAAA2wAAAA8AAAAAAAAAAQAgAAAAIgAAAGRycy9kb3ducmV2LnhtbFBLAQIUABQAAAAIAIdO4kAz&#10;LwWeOwAAADkAAAAQAAAAAAAAAAEAIAAAAA4BAABkcnMvc2hhcGV4bWwueG1sUEsFBgAAAAAGAAYA&#10;WwEAALgDAAAAAA==&#10;" adj="42558,71828">
                  <v:fill on="t" focussize="0,0"/>
                  <v:stroke color="#000000" joinstyle="miter"/>
                  <v:imagedata o:title=""/>
                  <o:lock v:ext="edit" aspectratio="f"/>
                  <v:textbox>
                    <w:txbxContent>
                      <w:p>
                        <w:pPr>
                          <w:widowControl/>
                          <w:autoSpaceDE/>
                          <w:autoSpaceDN/>
                          <w:spacing w:line="240" w:lineRule="atLeast"/>
                          <w:jc w:val="center"/>
                          <w:rPr>
                            <w:rFonts w:ascii="Calibri" w:hAnsi="Calibri" w:cs="Times New Roman"/>
                            <w:b/>
                            <w:bCs/>
                            <w:color w:val="auto"/>
                            <w:sz w:val="24"/>
                            <w:szCs w:val="21"/>
                            <w:lang w:val="en-US" w:bidi="ar-SA"/>
                          </w:rPr>
                        </w:pPr>
                        <w:r>
                          <w:rPr>
                            <w:rFonts w:hint="eastAsia" w:ascii="Calibri" w:hAnsi="Calibri" w:cs="Times New Roman"/>
                            <w:b/>
                            <w:bCs/>
                            <w:color w:val="auto"/>
                            <w:sz w:val="24"/>
                            <w:szCs w:val="21"/>
                            <w:lang w:val="en-US" w:bidi="ar-SA"/>
                          </w:rPr>
                          <w:t>项目所在地</w:t>
                        </w:r>
                      </w:p>
                    </w:txbxContent>
                  </v:textbox>
                </v:shape>
                <v:rect id="_x0000_s1026" o:spid="_x0000_s1026" o:spt="1" style="position:absolute;left:9911;top:2024720;height:86;width:184;" fillcolor="#FF0000" filled="t" stroked="t" coordsize="21600,21600" o:gfxdata="UEsDBAoAAAAAAIdO4kAAAAAAAAAAAAAAAAAEAAAAZHJzL1BLAwQUAAAACACHTuJAgNrjmL4AAADb&#10;AAAADwAAAGRycy9kb3ducmV2LnhtbEWPQWvCQBSE74X+h+UVems2KopEVw/VgFIQavT+zD6T1Ozb&#10;sLuN9t+7QsHjMDPfMPPlzbSiJ+cbywoGSQqCuLS64UrBocg/piB8QNbYWiYFf+RhuXh9mWOm7ZW/&#10;qd+HSkQI+wwV1CF0mZS+rMmgT2xHHL2zdQZDlK6S2uE1wk0rh2k6kQYbjgs1dvRZU3nZ/xoFm5/t&#10;ZZXn/ddpVBTuuF3vxqvRTqn3t0E6AxHoFp7h//ZGK5iM4fEl/gC5u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NrjmL4A&#10;AADbAAAADwAAAAAAAAABACAAAAAiAAAAZHJzL2Rvd25yZXYueG1sUEsBAhQAFAAAAAgAh07iQDMv&#10;BZ47AAAAOQAAABAAAAAAAAAAAQAgAAAADQEAAGRycy9zaGFwZXhtbC54bWxQSwUGAAAAAAYABgBb&#10;AQAAtwMAAAAA&#10;">
                  <v:fill on="t" focussize="0,0"/>
                  <v:stroke color="#FF0000" joinstyle="miter"/>
                  <v:imagedata o:title=""/>
                  <o:lock v:ext="edit" aspectratio="f"/>
                  <v:textbox>
                    <w:txbxContent>
                      <w:p/>
                    </w:txbxContent>
                  </v:textbox>
                </v:rect>
                <v:shape id="图片 68" o:spid="_x0000_s1026" o:spt="75" alt="指北针" type="#_x0000_t75" style="position:absolute;left:10631;top:2022173;height:733;width:577;" filled="f" o:preferrelative="t" stroked="f" coordsize="21600,21600" o:gfxdata="UEsDBAoAAAAAAIdO4kAAAAAAAAAAAAAAAAAEAAAAZHJzL1BLAwQUAAAACACHTuJAqUcYsrwAAADb&#10;AAAADwAAAGRycy9kb3ducmV2LnhtbEWPUWvCMBSF3wf+h3AF32bqZKOrRpGB4MNQZvcDLs21LTY3&#10;MYm2+/eLIPh4OOd8h7NcD6YTN/KhtaxgNs1AEFdWt1wr+C23rzmIEJE1dpZJwR8FWK9GL0sstO35&#10;h27HWIsE4VCggiZGV0gZqoYMhql1xMk7WW8wJulrqT32CW46+ZZlH9Jgy2mhQUdfDVXn49UouJau&#10;dIf6dNl/+0Hn736T232v1GQ8yxYgIg3xGX60d1rB5xzuX9IPk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lHGLK8AAAA&#10;2wAAAA8AAAAAAAAAAQAgAAAAIgAAAGRycy9kb3ducmV2LnhtbFBLAQIUABQAAAAIAIdO4kAzLwWe&#10;OwAAADkAAAAQAAAAAAAAAAEAIAAAAAsBAABkcnMvc2hhcGV4bWwueG1sUEsFBgAAAAAGAAYAWwEA&#10;ALUDAAAAAA==&#10;">
                  <v:fill on="f" focussize="0,0"/>
                  <v:stroke on="f" miterlimit="8" joinstyle="miter"/>
                  <v:imagedata r:id="rId48" o:title=""/>
                  <o:lock v:ext="edit" aspectratio="t"/>
                </v:shape>
              </v:group>
            </w:pict>
          </mc:Fallback>
        </mc:AlternateContent>
      </w:r>
    </w:p>
    <w:p>
      <w:pPr>
        <w:autoSpaceDE w:val="0"/>
        <w:autoSpaceDN w:val="0"/>
        <w:adjustRightInd w:val="0"/>
        <w:spacing w:line="480" w:lineRule="exact"/>
        <w:ind w:left="0" w:leftChars="0" w:right="0" w:rightChars="0" w:firstLine="0" w:firstLineChars="0"/>
        <w:jc w:val="center"/>
        <w:rPr>
          <w:color w:val="auto"/>
          <w:kern w:val="0"/>
          <w:sz w:val="24"/>
          <w:szCs w:val="24"/>
          <w:highlight w:val="none"/>
        </w:rPr>
      </w:pPr>
      <w:r>
        <w:rPr>
          <w:rFonts w:ascii="Times New Roman" w:hAnsi="Times New Roman" w:cs="Times New Roman"/>
          <w:b/>
          <w:sz w:val="24"/>
          <w:szCs w:val="24"/>
          <w:highlight w:val="none"/>
          <w:lang w:val="en-US" w:bidi="ar-SA"/>
        </w:rPr>
        <w:t>图4.</w:t>
      </w:r>
      <w:r>
        <w:rPr>
          <w:rFonts w:hint="eastAsia" w:ascii="Times New Roman" w:hAnsi="Times New Roman" w:cs="Times New Roman"/>
          <w:b/>
          <w:sz w:val="24"/>
          <w:szCs w:val="24"/>
          <w:highlight w:val="none"/>
          <w:lang w:val="en-US" w:eastAsia="zh-CN" w:bidi="ar-SA"/>
        </w:rPr>
        <w:t>9-1</w:t>
      </w:r>
      <w:r>
        <w:rPr>
          <w:rFonts w:ascii="Times New Roman" w:hAnsi="Times New Roman" w:cs="Times New Roman"/>
          <w:b/>
          <w:sz w:val="24"/>
          <w:szCs w:val="24"/>
          <w:highlight w:val="none"/>
          <w:lang w:val="en-US" w:bidi="ar-SA"/>
        </w:rPr>
        <w:t xml:space="preserve">  遵化市地形地貌</w:t>
      </w:r>
    </w:p>
    <w:p>
      <w:pPr>
        <w:autoSpaceDE w:val="0"/>
        <w:autoSpaceDN w:val="0"/>
        <w:adjustRightInd w:val="0"/>
        <w:spacing w:line="480" w:lineRule="exact"/>
        <w:ind w:firstLine="480"/>
        <w:rPr>
          <w:rFonts w:hint="eastAsia"/>
          <w:color w:val="auto"/>
          <w:kern w:val="0"/>
          <w:sz w:val="24"/>
          <w:highlight w:val="none"/>
          <w:lang w:eastAsia="zh-CN"/>
        </w:rPr>
      </w:pPr>
      <w:r>
        <w:rPr>
          <w:color w:val="auto"/>
          <w:kern w:val="0"/>
          <w:sz w:val="24"/>
          <w:highlight w:val="none"/>
        </w:rPr>
        <w:t>根据现场勘查，本项目黎河流域段南侧为建设用地，多为生产加工类企业；根据本项目的土地证（冀（</w:t>
      </w:r>
      <w:r>
        <w:rPr>
          <w:rFonts w:hint="eastAsia"/>
          <w:color w:val="auto"/>
          <w:kern w:val="0"/>
          <w:sz w:val="24"/>
          <w:highlight w:val="none"/>
        </w:rPr>
        <w:t>2</w:t>
      </w:r>
      <w:r>
        <w:rPr>
          <w:color w:val="auto"/>
          <w:kern w:val="0"/>
          <w:sz w:val="24"/>
          <w:highlight w:val="none"/>
        </w:rPr>
        <w:t>018）遵化市不动产权第</w:t>
      </w:r>
      <w:r>
        <w:rPr>
          <w:rFonts w:hint="eastAsia"/>
          <w:color w:val="auto"/>
          <w:kern w:val="0"/>
          <w:sz w:val="24"/>
          <w:highlight w:val="none"/>
        </w:rPr>
        <w:t>0</w:t>
      </w:r>
      <w:r>
        <w:rPr>
          <w:color w:val="auto"/>
          <w:kern w:val="0"/>
          <w:sz w:val="24"/>
          <w:highlight w:val="none"/>
        </w:rPr>
        <w:t>007427号），本项目占地为建设用地；北侧为多为</w:t>
      </w:r>
      <w:r>
        <w:rPr>
          <w:rFonts w:hint="eastAsia"/>
          <w:color w:val="auto"/>
          <w:kern w:val="0"/>
          <w:sz w:val="24"/>
          <w:highlight w:val="none"/>
          <w:lang w:eastAsia="zh-CN"/>
        </w:rPr>
        <w:t>建设用</w:t>
      </w:r>
      <w:r>
        <w:rPr>
          <w:color w:val="auto"/>
          <w:kern w:val="0"/>
          <w:sz w:val="24"/>
          <w:highlight w:val="none"/>
        </w:rPr>
        <w:t>地，</w:t>
      </w:r>
      <w:r>
        <w:rPr>
          <w:color w:val="auto"/>
          <w:kern w:val="0"/>
          <w:sz w:val="24"/>
          <w:highlight w:val="none"/>
          <w:lang w:val="zh-CN"/>
        </w:rPr>
        <w:t>土类为褐土，</w:t>
      </w:r>
      <w:r>
        <w:rPr>
          <w:color w:val="auto"/>
          <w:kern w:val="0"/>
          <w:sz w:val="24"/>
          <w:highlight w:val="none"/>
        </w:rPr>
        <w:t>地形</w:t>
      </w:r>
      <w:r>
        <w:rPr>
          <w:rFonts w:hint="eastAsia"/>
          <w:color w:val="auto"/>
          <w:kern w:val="0"/>
          <w:sz w:val="24"/>
          <w:highlight w:val="none"/>
        </w:rPr>
        <w:t>以山</w:t>
      </w:r>
      <w:r>
        <w:rPr>
          <w:color w:val="auto"/>
          <w:kern w:val="0"/>
          <w:sz w:val="24"/>
          <w:highlight w:val="none"/>
        </w:rPr>
        <w:t>坡丘陵为主</w:t>
      </w:r>
      <w:r>
        <w:rPr>
          <w:rFonts w:hint="eastAsia"/>
          <w:color w:val="auto"/>
          <w:kern w:val="0"/>
          <w:sz w:val="24"/>
          <w:highlight w:val="none"/>
          <w:lang w:eastAsia="zh-CN"/>
        </w:rPr>
        <w:t>。</w:t>
      </w:r>
    </w:p>
    <w:p>
      <w:pPr>
        <w:pStyle w:val="7"/>
        <w:rPr>
          <w:rFonts w:hint="eastAsia"/>
          <w:highlight w:val="none"/>
          <w:lang w:eastAsia="zh-CN"/>
        </w:rPr>
      </w:pPr>
    </w:p>
    <w:p>
      <w:pPr>
        <w:autoSpaceDE w:val="0"/>
        <w:autoSpaceDN w:val="0"/>
        <w:adjustRightInd w:val="0"/>
        <w:spacing w:line="480" w:lineRule="exact"/>
        <w:jc w:val="center"/>
        <w:rPr>
          <w:b/>
          <w:color w:val="auto"/>
          <w:kern w:val="0"/>
          <w:sz w:val="24"/>
          <w:highlight w:val="none"/>
        </w:rPr>
      </w:pPr>
    </w:p>
    <w:p>
      <w:pPr>
        <w:autoSpaceDE w:val="0"/>
        <w:autoSpaceDN w:val="0"/>
        <w:adjustRightInd w:val="0"/>
        <w:spacing w:line="480" w:lineRule="exact"/>
        <w:jc w:val="center"/>
        <w:rPr>
          <w:b/>
          <w:color w:val="auto"/>
          <w:kern w:val="0"/>
          <w:sz w:val="24"/>
          <w:highlight w:val="none"/>
        </w:rPr>
      </w:pPr>
    </w:p>
    <w:p>
      <w:pPr>
        <w:autoSpaceDE w:val="0"/>
        <w:autoSpaceDN w:val="0"/>
        <w:adjustRightInd w:val="0"/>
        <w:spacing w:line="480" w:lineRule="exact"/>
        <w:jc w:val="center"/>
        <w:rPr>
          <w:b/>
          <w:color w:val="auto"/>
          <w:kern w:val="0"/>
          <w:sz w:val="24"/>
          <w:highlight w:val="none"/>
        </w:rPr>
      </w:pPr>
    </w:p>
    <w:p>
      <w:pPr>
        <w:autoSpaceDE w:val="0"/>
        <w:autoSpaceDN w:val="0"/>
        <w:adjustRightInd w:val="0"/>
        <w:spacing w:line="480" w:lineRule="exact"/>
        <w:jc w:val="center"/>
        <w:rPr>
          <w:b/>
          <w:color w:val="auto"/>
          <w:kern w:val="0"/>
          <w:sz w:val="24"/>
          <w:highlight w:val="none"/>
        </w:rPr>
      </w:pPr>
    </w:p>
    <w:p>
      <w:pPr>
        <w:autoSpaceDE w:val="0"/>
        <w:autoSpaceDN w:val="0"/>
        <w:adjustRightInd w:val="0"/>
        <w:spacing w:line="480" w:lineRule="exact"/>
        <w:jc w:val="center"/>
        <w:rPr>
          <w:b/>
          <w:color w:val="auto"/>
          <w:kern w:val="0"/>
          <w:sz w:val="24"/>
          <w:highlight w:val="none"/>
        </w:rPr>
      </w:pPr>
    </w:p>
    <w:p>
      <w:pPr>
        <w:autoSpaceDE w:val="0"/>
        <w:autoSpaceDN w:val="0"/>
        <w:adjustRightInd w:val="0"/>
        <w:spacing w:line="480" w:lineRule="exact"/>
        <w:jc w:val="center"/>
        <w:rPr>
          <w:b/>
          <w:color w:val="auto"/>
          <w:kern w:val="0"/>
          <w:sz w:val="24"/>
          <w:highlight w:val="none"/>
        </w:rPr>
      </w:pPr>
    </w:p>
    <w:p>
      <w:pPr>
        <w:autoSpaceDE w:val="0"/>
        <w:autoSpaceDN w:val="0"/>
        <w:adjustRightInd w:val="0"/>
        <w:spacing w:line="480" w:lineRule="exact"/>
        <w:jc w:val="center"/>
        <w:rPr>
          <w:b/>
          <w:color w:val="auto"/>
          <w:kern w:val="0"/>
          <w:sz w:val="24"/>
          <w:highlight w:val="none"/>
        </w:rPr>
      </w:pPr>
    </w:p>
    <w:p>
      <w:pPr>
        <w:autoSpaceDE w:val="0"/>
        <w:autoSpaceDN w:val="0"/>
        <w:adjustRightInd w:val="0"/>
        <w:spacing w:line="480" w:lineRule="exact"/>
        <w:jc w:val="center"/>
        <w:rPr>
          <w:b/>
          <w:color w:val="auto"/>
          <w:kern w:val="0"/>
          <w:sz w:val="24"/>
          <w:highlight w:val="none"/>
        </w:rPr>
      </w:pPr>
      <w:r>
        <w:rPr>
          <w:b/>
          <w:color w:val="auto"/>
          <w:highlight w:val="none"/>
        </w:rPr>
        <w:drawing>
          <wp:anchor distT="0" distB="0" distL="114300" distR="114300" simplePos="0" relativeHeight="251717632" behindDoc="0" locked="0" layoutInCell="1" allowOverlap="1">
            <wp:simplePos x="0" y="0"/>
            <wp:positionH relativeFrom="column">
              <wp:posOffset>-28575</wp:posOffset>
            </wp:positionH>
            <wp:positionV relativeFrom="paragraph">
              <wp:posOffset>62230</wp:posOffset>
            </wp:positionV>
            <wp:extent cx="5272405" cy="3105150"/>
            <wp:effectExtent l="0" t="0" r="4445" b="0"/>
            <wp:wrapNone/>
            <wp:docPr id="30" name="图片 30" descr="微信截图_20230728083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微信截图_20230728083449"/>
                    <pic:cNvPicPr>
                      <a:picLocks noChangeAspect="1"/>
                    </pic:cNvPicPr>
                  </pic:nvPicPr>
                  <pic:blipFill>
                    <a:blip r:embed="rId68"/>
                    <a:stretch>
                      <a:fillRect/>
                    </a:stretch>
                  </pic:blipFill>
                  <pic:spPr>
                    <a:xfrm>
                      <a:off x="0" y="0"/>
                      <a:ext cx="5272405" cy="3105150"/>
                    </a:xfrm>
                    <a:prstGeom prst="rect">
                      <a:avLst/>
                    </a:prstGeom>
                  </pic:spPr>
                </pic:pic>
              </a:graphicData>
            </a:graphic>
          </wp:anchor>
        </w:drawing>
      </w:r>
    </w:p>
    <w:p>
      <w:pPr>
        <w:autoSpaceDE w:val="0"/>
        <w:autoSpaceDN w:val="0"/>
        <w:adjustRightInd w:val="0"/>
        <w:spacing w:line="480" w:lineRule="exact"/>
        <w:jc w:val="center"/>
        <w:rPr>
          <w:b/>
          <w:color w:val="auto"/>
          <w:kern w:val="0"/>
          <w:sz w:val="24"/>
          <w:highlight w:val="none"/>
        </w:rPr>
      </w:pPr>
    </w:p>
    <w:p>
      <w:pPr>
        <w:autoSpaceDE w:val="0"/>
        <w:autoSpaceDN w:val="0"/>
        <w:adjustRightInd w:val="0"/>
        <w:spacing w:line="480" w:lineRule="exact"/>
        <w:jc w:val="center"/>
        <w:rPr>
          <w:b/>
          <w:color w:val="auto"/>
          <w:kern w:val="0"/>
          <w:sz w:val="24"/>
          <w:highlight w:val="none"/>
        </w:rPr>
      </w:pPr>
    </w:p>
    <w:p>
      <w:pPr>
        <w:autoSpaceDE w:val="0"/>
        <w:autoSpaceDN w:val="0"/>
        <w:adjustRightInd w:val="0"/>
        <w:spacing w:line="480" w:lineRule="exact"/>
        <w:jc w:val="center"/>
        <w:rPr>
          <w:b/>
          <w:color w:val="auto"/>
          <w:kern w:val="0"/>
          <w:sz w:val="24"/>
          <w:highlight w:val="none"/>
        </w:rPr>
      </w:pPr>
    </w:p>
    <w:p>
      <w:pPr>
        <w:autoSpaceDE w:val="0"/>
        <w:autoSpaceDN w:val="0"/>
        <w:adjustRightInd w:val="0"/>
        <w:spacing w:line="480" w:lineRule="exact"/>
        <w:jc w:val="center"/>
        <w:rPr>
          <w:b/>
          <w:color w:val="auto"/>
          <w:kern w:val="0"/>
          <w:sz w:val="24"/>
          <w:highlight w:val="none"/>
        </w:rPr>
      </w:pPr>
    </w:p>
    <w:p>
      <w:pPr>
        <w:autoSpaceDE w:val="0"/>
        <w:autoSpaceDN w:val="0"/>
        <w:adjustRightInd w:val="0"/>
        <w:spacing w:line="480" w:lineRule="exact"/>
        <w:jc w:val="center"/>
        <w:rPr>
          <w:b/>
          <w:color w:val="auto"/>
          <w:kern w:val="0"/>
          <w:sz w:val="24"/>
          <w:highlight w:val="none"/>
        </w:rPr>
      </w:pPr>
    </w:p>
    <w:p>
      <w:pPr>
        <w:autoSpaceDE w:val="0"/>
        <w:autoSpaceDN w:val="0"/>
        <w:adjustRightInd w:val="0"/>
        <w:spacing w:line="480" w:lineRule="exact"/>
        <w:jc w:val="center"/>
        <w:rPr>
          <w:b/>
          <w:color w:val="auto"/>
          <w:kern w:val="0"/>
          <w:sz w:val="24"/>
          <w:highlight w:val="none"/>
        </w:rPr>
      </w:pPr>
    </w:p>
    <w:p>
      <w:pPr>
        <w:autoSpaceDE w:val="0"/>
        <w:autoSpaceDN w:val="0"/>
        <w:adjustRightInd w:val="0"/>
        <w:spacing w:line="480" w:lineRule="exact"/>
        <w:jc w:val="center"/>
        <w:rPr>
          <w:b/>
          <w:color w:val="auto"/>
          <w:kern w:val="0"/>
          <w:sz w:val="24"/>
          <w:highlight w:val="none"/>
        </w:rPr>
      </w:pPr>
    </w:p>
    <w:p>
      <w:pPr>
        <w:autoSpaceDE w:val="0"/>
        <w:autoSpaceDN w:val="0"/>
        <w:adjustRightInd w:val="0"/>
        <w:spacing w:line="480" w:lineRule="exact"/>
        <w:jc w:val="center"/>
        <w:rPr>
          <w:b/>
          <w:color w:val="auto"/>
          <w:kern w:val="0"/>
          <w:sz w:val="24"/>
          <w:highlight w:val="none"/>
        </w:rPr>
      </w:pPr>
    </w:p>
    <w:p>
      <w:pPr>
        <w:autoSpaceDE w:val="0"/>
        <w:autoSpaceDN w:val="0"/>
        <w:adjustRightInd w:val="0"/>
        <w:spacing w:line="480" w:lineRule="exact"/>
        <w:jc w:val="center"/>
        <w:rPr>
          <w:b/>
          <w:color w:val="auto"/>
          <w:kern w:val="0"/>
          <w:sz w:val="24"/>
          <w:highlight w:val="none"/>
        </w:rPr>
      </w:pPr>
    </w:p>
    <w:p>
      <w:pPr>
        <w:autoSpaceDE w:val="0"/>
        <w:autoSpaceDN w:val="0"/>
        <w:adjustRightInd w:val="0"/>
        <w:spacing w:line="480" w:lineRule="exact"/>
        <w:jc w:val="center"/>
        <w:rPr>
          <w:b/>
          <w:color w:val="auto"/>
          <w:kern w:val="0"/>
          <w:sz w:val="24"/>
          <w:highlight w:val="none"/>
        </w:rPr>
      </w:pPr>
    </w:p>
    <w:p>
      <w:pPr>
        <w:autoSpaceDE w:val="0"/>
        <w:autoSpaceDN w:val="0"/>
        <w:adjustRightInd w:val="0"/>
        <w:spacing w:line="480" w:lineRule="exact"/>
        <w:jc w:val="center"/>
        <w:rPr>
          <w:b/>
          <w:color w:val="auto"/>
          <w:kern w:val="0"/>
          <w:sz w:val="24"/>
          <w:highlight w:val="none"/>
        </w:rPr>
      </w:pPr>
      <w:r>
        <w:rPr>
          <w:b/>
          <w:color w:val="auto"/>
          <w:kern w:val="0"/>
          <w:sz w:val="24"/>
          <w:highlight w:val="none"/>
        </w:rPr>
        <w:t>图</w:t>
      </w:r>
      <w:r>
        <w:rPr>
          <w:rFonts w:hint="eastAsia"/>
          <w:b/>
          <w:color w:val="auto"/>
          <w:kern w:val="0"/>
          <w:sz w:val="24"/>
          <w:highlight w:val="none"/>
        </w:rPr>
        <w:t>4</w:t>
      </w:r>
      <w:r>
        <w:rPr>
          <w:b/>
          <w:color w:val="auto"/>
          <w:kern w:val="0"/>
          <w:sz w:val="24"/>
          <w:highlight w:val="none"/>
        </w:rPr>
        <w:t>.9-</w:t>
      </w:r>
      <w:r>
        <w:rPr>
          <w:rFonts w:hint="eastAsia"/>
          <w:b/>
          <w:color w:val="auto"/>
          <w:kern w:val="0"/>
          <w:sz w:val="24"/>
          <w:highlight w:val="none"/>
          <w:lang w:val="en-US" w:eastAsia="zh-CN"/>
        </w:rPr>
        <w:t xml:space="preserve">2 </w:t>
      </w:r>
      <w:r>
        <w:rPr>
          <w:b/>
          <w:color w:val="auto"/>
          <w:kern w:val="0"/>
          <w:sz w:val="24"/>
          <w:highlight w:val="none"/>
        </w:rPr>
        <w:t xml:space="preserve"> 项目生态环境影响调查范围内土地利用情况</w:t>
      </w:r>
    </w:p>
    <w:p>
      <w:pPr>
        <w:autoSpaceDE w:val="0"/>
        <w:autoSpaceDN w:val="0"/>
        <w:adjustRightInd w:val="0"/>
        <w:spacing w:line="480" w:lineRule="exact"/>
        <w:rPr>
          <w:rFonts w:hint="eastAsia"/>
          <w:color w:val="auto"/>
          <w:kern w:val="0"/>
          <w:sz w:val="24"/>
          <w:highlight w:val="none"/>
          <w:lang w:eastAsia="zh-CN"/>
        </w:rPr>
      </w:pPr>
      <w:r>
        <w:rPr>
          <w:rFonts w:hint="eastAsia"/>
          <w:b/>
          <w:bCs/>
          <w:color w:val="auto"/>
          <w:sz w:val="24"/>
          <w:highlight w:val="none"/>
          <w:lang w:val="en-US" w:eastAsia="zh-CN"/>
        </w:rPr>
        <w:t xml:space="preserve">4.9.3.3 </w:t>
      </w:r>
      <w:r>
        <w:rPr>
          <w:rFonts w:hint="eastAsia"/>
          <w:b/>
          <w:bCs/>
          <w:color w:val="auto"/>
          <w:kern w:val="0"/>
          <w:sz w:val="24"/>
          <w:highlight w:val="none"/>
        </w:rPr>
        <w:t>环境敏感区</w:t>
      </w:r>
      <w:r>
        <w:rPr>
          <w:rFonts w:hint="eastAsia"/>
          <w:b/>
          <w:bCs/>
          <w:color w:val="auto"/>
          <w:kern w:val="0"/>
          <w:sz w:val="24"/>
          <w:highlight w:val="none"/>
          <w:lang w:eastAsia="zh-CN"/>
        </w:rPr>
        <w:t>调查</w:t>
      </w:r>
    </w:p>
    <w:p>
      <w:pPr>
        <w:autoSpaceDE w:val="0"/>
        <w:autoSpaceDN w:val="0"/>
        <w:adjustRightInd w:val="0"/>
        <w:spacing w:line="480" w:lineRule="exact"/>
        <w:ind w:firstLine="480"/>
        <w:rPr>
          <w:rFonts w:hint="eastAsia"/>
          <w:color w:val="auto"/>
          <w:kern w:val="0"/>
          <w:sz w:val="24"/>
          <w:highlight w:val="none"/>
          <w:lang w:eastAsia="zh-CN"/>
        </w:rPr>
      </w:pPr>
      <w:r>
        <w:rPr>
          <w:rFonts w:hint="eastAsia"/>
          <w:color w:val="auto"/>
          <w:kern w:val="0"/>
          <w:sz w:val="24"/>
          <w:highlight w:val="none"/>
        </w:rPr>
        <w:t>项目位于</w:t>
      </w:r>
      <w:r>
        <w:rPr>
          <w:rFonts w:hint="eastAsia"/>
          <w:color w:val="auto"/>
          <w:kern w:val="0"/>
          <w:sz w:val="24"/>
          <w:highlight w:val="none"/>
          <w:lang w:eastAsia="zh-CN"/>
        </w:rPr>
        <w:t>遵化市建明镇</w:t>
      </w:r>
      <w:r>
        <w:rPr>
          <w:rFonts w:hint="eastAsia"/>
          <w:color w:val="auto"/>
          <w:kern w:val="0"/>
          <w:sz w:val="24"/>
          <w:highlight w:val="none"/>
        </w:rPr>
        <w:t>境内，</w:t>
      </w:r>
      <w:r>
        <w:rPr>
          <w:rFonts w:hint="eastAsia"/>
          <w:color w:val="auto"/>
          <w:kern w:val="0"/>
          <w:sz w:val="24"/>
          <w:highlight w:val="none"/>
          <w:lang w:eastAsia="zh-CN"/>
        </w:rPr>
        <w:t>遵化市</w:t>
      </w:r>
      <w:r>
        <w:rPr>
          <w:rFonts w:hint="eastAsia"/>
          <w:color w:val="auto"/>
          <w:kern w:val="0"/>
          <w:sz w:val="24"/>
          <w:highlight w:val="none"/>
        </w:rPr>
        <w:t>境内主要的环境敏感区有</w:t>
      </w:r>
      <w:r>
        <w:rPr>
          <w:rFonts w:hint="eastAsia"/>
          <w:color w:val="auto"/>
          <w:kern w:val="0"/>
          <w:sz w:val="24"/>
          <w:highlight w:val="none"/>
          <w:lang w:eastAsia="zh-CN"/>
        </w:rPr>
        <w:t>清东陵国家级森林公园</w:t>
      </w:r>
      <w:r>
        <w:rPr>
          <w:rFonts w:hint="eastAsia"/>
          <w:color w:val="auto"/>
          <w:kern w:val="0"/>
          <w:sz w:val="24"/>
          <w:highlight w:val="none"/>
          <w:lang w:val="en-US" w:eastAsia="zh-CN"/>
        </w:rPr>
        <w:t>2处</w:t>
      </w:r>
      <w:r>
        <w:rPr>
          <w:rFonts w:hint="eastAsia"/>
          <w:color w:val="auto"/>
          <w:kern w:val="0"/>
          <w:sz w:val="24"/>
          <w:highlight w:val="none"/>
          <w:lang w:eastAsia="zh-CN"/>
        </w:rPr>
        <w:t>、鹫峰山省级森林公园</w:t>
      </w:r>
      <w:r>
        <w:rPr>
          <w:rFonts w:hint="eastAsia"/>
          <w:color w:val="auto"/>
          <w:kern w:val="0"/>
          <w:sz w:val="24"/>
          <w:highlight w:val="none"/>
          <w:lang w:val="en-US" w:eastAsia="zh-CN"/>
        </w:rPr>
        <w:t>1处</w:t>
      </w:r>
      <w:r>
        <w:rPr>
          <w:rFonts w:hint="eastAsia"/>
          <w:color w:val="auto"/>
          <w:kern w:val="0"/>
          <w:sz w:val="24"/>
          <w:highlight w:val="none"/>
          <w:lang w:eastAsia="zh-CN"/>
        </w:rPr>
        <w:t>、小滨海寨省级森林公园</w:t>
      </w:r>
      <w:r>
        <w:rPr>
          <w:rFonts w:hint="eastAsia"/>
          <w:color w:val="auto"/>
          <w:kern w:val="0"/>
          <w:sz w:val="24"/>
          <w:highlight w:val="none"/>
          <w:lang w:val="en-US" w:eastAsia="zh-CN"/>
        </w:rPr>
        <w:t>1处、</w:t>
      </w:r>
      <w:r>
        <w:rPr>
          <w:rFonts w:hint="eastAsia"/>
          <w:color w:val="auto"/>
          <w:kern w:val="0"/>
          <w:sz w:val="24"/>
          <w:highlight w:val="none"/>
          <w:lang w:eastAsia="zh-CN"/>
        </w:rPr>
        <w:t>省级地质公园</w:t>
      </w:r>
      <w:r>
        <w:rPr>
          <w:rFonts w:hint="eastAsia"/>
          <w:color w:val="auto"/>
          <w:kern w:val="0"/>
          <w:sz w:val="24"/>
          <w:highlight w:val="none"/>
          <w:lang w:val="en-US" w:eastAsia="zh-CN"/>
        </w:rPr>
        <w:t>2处，</w:t>
      </w:r>
      <w:r>
        <w:rPr>
          <w:rFonts w:hint="eastAsia"/>
          <w:color w:val="auto"/>
          <w:kern w:val="0"/>
          <w:sz w:val="24"/>
          <w:highlight w:val="none"/>
          <w:lang w:eastAsia="zh-CN"/>
        </w:rPr>
        <w:t>无</w:t>
      </w:r>
      <w:r>
        <w:rPr>
          <w:rFonts w:hint="eastAsia"/>
          <w:color w:val="auto"/>
          <w:kern w:val="0"/>
          <w:sz w:val="24"/>
          <w:highlight w:val="none"/>
        </w:rPr>
        <w:t>自然保护区</w:t>
      </w:r>
      <w:r>
        <w:rPr>
          <w:rFonts w:hint="eastAsia"/>
          <w:color w:val="auto"/>
          <w:kern w:val="0"/>
          <w:sz w:val="24"/>
          <w:highlight w:val="none"/>
          <w:lang w:eastAsia="zh-CN"/>
        </w:rPr>
        <w:t>。</w:t>
      </w:r>
    </w:p>
    <w:p>
      <w:pPr>
        <w:autoSpaceDE w:val="0"/>
        <w:autoSpaceDN w:val="0"/>
        <w:adjustRightInd w:val="0"/>
        <w:spacing w:line="480" w:lineRule="exact"/>
        <w:ind w:firstLine="480"/>
        <w:rPr>
          <w:rFonts w:hint="default"/>
          <w:color w:val="auto"/>
          <w:kern w:val="0"/>
          <w:sz w:val="24"/>
          <w:highlight w:val="none"/>
        </w:rPr>
      </w:pPr>
      <w:r>
        <w:rPr>
          <w:rFonts w:hint="eastAsia"/>
          <w:color w:val="auto"/>
          <w:kern w:val="0"/>
          <w:sz w:val="24"/>
          <w:highlight w:val="none"/>
          <w:lang w:val="en-US" w:eastAsia="zh-CN"/>
        </w:rPr>
        <w:fldChar w:fldCharType="begin"/>
      </w:r>
      <w:r>
        <w:rPr>
          <w:rFonts w:hint="eastAsia"/>
          <w:color w:val="auto"/>
          <w:kern w:val="0"/>
          <w:sz w:val="24"/>
          <w:highlight w:val="none"/>
          <w:lang w:val="en-US" w:eastAsia="zh-CN"/>
        </w:rPr>
        <w:instrText xml:space="preserve"> = 1 \* GB3 \* MERGEFORMAT </w:instrText>
      </w:r>
      <w:r>
        <w:rPr>
          <w:rFonts w:hint="eastAsia"/>
          <w:color w:val="auto"/>
          <w:kern w:val="0"/>
          <w:sz w:val="24"/>
          <w:highlight w:val="none"/>
          <w:lang w:val="en-US" w:eastAsia="zh-CN"/>
        </w:rPr>
        <w:fldChar w:fldCharType="separate"/>
      </w:r>
      <w:r>
        <w:rPr>
          <w:rFonts w:hint="default"/>
          <w:color w:val="auto"/>
          <w:kern w:val="0"/>
          <w:sz w:val="24"/>
          <w:highlight w:val="none"/>
        </w:rPr>
        <w:t>①</w:t>
      </w:r>
      <w:r>
        <w:rPr>
          <w:rFonts w:hint="eastAsia"/>
          <w:color w:val="auto"/>
          <w:kern w:val="0"/>
          <w:sz w:val="24"/>
          <w:highlight w:val="none"/>
          <w:lang w:val="en-US" w:eastAsia="zh-CN"/>
        </w:rPr>
        <w:fldChar w:fldCharType="end"/>
      </w:r>
      <w:r>
        <w:rPr>
          <w:rFonts w:hint="default"/>
          <w:color w:val="auto"/>
          <w:kern w:val="0"/>
          <w:sz w:val="24"/>
          <w:highlight w:val="none"/>
        </w:rPr>
        <w:t>清东陵国家森林公园位于河北省遵化市西北部的世界文化遗产地清东陵境内。</w:t>
      </w:r>
      <w:r>
        <w:rPr>
          <w:rFonts w:hint="default"/>
          <w:color w:val="auto"/>
          <w:kern w:val="0"/>
          <w:sz w:val="24"/>
          <w:highlight w:val="none"/>
        </w:rPr>
        <w:fldChar w:fldCharType="begin"/>
      </w:r>
      <w:r>
        <w:rPr>
          <w:rFonts w:hint="default"/>
          <w:color w:val="auto"/>
          <w:kern w:val="0"/>
          <w:sz w:val="24"/>
          <w:highlight w:val="none"/>
        </w:rPr>
        <w:instrText xml:space="preserve"> HYPERLINK "https://baike.so.com/doc/915073-967260.html" \t "https://baike.so.com/doc/_blank" </w:instrText>
      </w:r>
      <w:r>
        <w:rPr>
          <w:rFonts w:hint="default"/>
          <w:color w:val="auto"/>
          <w:kern w:val="0"/>
          <w:sz w:val="24"/>
          <w:highlight w:val="none"/>
        </w:rPr>
        <w:fldChar w:fldCharType="separate"/>
      </w:r>
      <w:r>
        <w:rPr>
          <w:rFonts w:hint="default"/>
          <w:color w:val="auto"/>
          <w:kern w:val="0"/>
          <w:sz w:val="24"/>
          <w:highlight w:val="none"/>
        </w:rPr>
        <w:t>清东陵</w:t>
      </w:r>
      <w:r>
        <w:rPr>
          <w:rFonts w:hint="default"/>
          <w:color w:val="auto"/>
          <w:kern w:val="0"/>
          <w:sz w:val="24"/>
          <w:highlight w:val="none"/>
        </w:rPr>
        <w:fldChar w:fldCharType="end"/>
      </w:r>
      <w:r>
        <w:rPr>
          <w:rFonts w:hint="default"/>
          <w:color w:val="auto"/>
          <w:kern w:val="0"/>
          <w:sz w:val="24"/>
          <w:highlight w:val="none"/>
        </w:rPr>
        <w:t>是帝王陵墓建筑群，总面积2236公顷。占地80平方公里的15座陵寝中，埋葬着5位皇帝、15位皇后、136位妃嫔、3位阿哥、2位公主共161人。其建筑恢宏、壮观、精美，有580</w:t>
      </w:r>
      <w:r>
        <w:rPr>
          <w:rFonts w:hint="default"/>
          <w:color w:val="auto"/>
          <w:kern w:val="0"/>
          <w:sz w:val="24"/>
          <w:highlight w:val="none"/>
        </w:rPr>
        <w:fldChar w:fldCharType="begin"/>
      </w:r>
      <w:r>
        <w:rPr>
          <w:rFonts w:hint="default"/>
          <w:color w:val="auto"/>
          <w:kern w:val="0"/>
          <w:sz w:val="24"/>
          <w:highlight w:val="none"/>
        </w:rPr>
        <w:instrText xml:space="preserve"> HYPERLINK "https://baike.so.com/doc/6899260-7119921.html" \t "https://baike.so.com/doc/_blank" </w:instrText>
      </w:r>
      <w:r>
        <w:rPr>
          <w:rFonts w:hint="default"/>
          <w:color w:val="auto"/>
          <w:kern w:val="0"/>
          <w:sz w:val="24"/>
          <w:highlight w:val="none"/>
        </w:rPr>
        <w:fldChar w:fldCharType="separate"/>
      </w:r>
      <w:r>
        <w:rPr>
          <w:rFonts w:hint="default"/>
          <w:color w:val="auto"/>
          <w:kern w:val="0"/>
          <w:sz w:val="24"/>
          <w:highlight w:val="none"/>
        </w:rPr>
        <w:t>单体建筑</w:t>
      </w:r>
      <w:r>
        <w:rPr>
          <w:rFonts w:hint="default"/>
          <w:color w:val="auto"/>
          <w:kern w:val="0"/>
          <w:sz w:val="24"/>
          <w:highlight w:val="none"/>
        </w:rPr>
        <w:fldChar w:fldCharType="end"/>
      </w:r>
      <w:r>
        <w:rPr>
          <w:rFonts w:hint="default"/>
          <w:color w:val="auto"/>
          <w:kern w:val="0"/>
          <w:sz w:val="24"/>
          <w:highlight w:val="none"/>
        </w:rPr>
        <w:t>组成的庞大古建筑群。清东陵国家森林公园是1993年05月被批准建立的国家级</w:t>
      </w:r>
      <w:r>
        <w:rPr>
          <w:rFonts w:hint="default"/>
          <w:color w:val="auto"/>
          <w:kern w:val="0"/>
          <w:sz w:val="24"/>
          <w:highlight w:val="none"/>
        </w:rPr>
        <w:fldChar w:fldCharType="begin"/>
      </w:r>
      <w:r>
        <w:rPr>
          <w:rFonts w:hint="default"/>
          <w:color w:val="auto"/>
          <w:kern w:val="0"/>
          <w:sz w:val="24"/>
          <w:highlight w:val="none"/>
        </w:rPr>
        <w:instrText xml:space="preserve"> HYPERLINK "https://baike.so.com/doc/5392367-5629161.html" \t "https://baike.so.com/doc/_blank" </w:instrText>
      </w:r>
      <w:r>
        <w:rPr>
          <w:rFonts w:hint="default"/>
          <w:color w:val="auto"/>
          <w:kern w:val="0"/>
          <w:sz w:val="24"/>
          <w:highlight w:val="none"/>
        </w:rPr>
        <w:fldChar w:fldCharType="separate"/>
      </w:r>
      <w:r>
        <w:rPr>
          <w:rFonts w:hint="default"/>
          <w:color w:val="auto"/>
          <w:kern w:val="0"/>
          <w:sz w:val="24"/>
          <w:highlight w:val="none"/>
        </w:rPr>
        <w:t>森林公园</w:t>
      </w:r>
      <w:r>
        <w:rPr>
          <w:rFonts w:hint="default"/>
          <w:color w:val="auto"/>
          <w:kern w:val="0"/>
          <w:sz w:val="24"/>
          <w:highlight w:val="none"/>
        </w:rPr>
        <w:fldChar w:fldCharType="end"/>
      </w:r>
      <w:r>
        <w:rPr>
          <w:rFonts w:hint="default"/>
          <w:color w:val="auto"/>
          <w:kern w:val="0"/>
          <w:sz w:val="24"/>
          <w:highlight w:val="none"/>
        </w:rPr>
        <w:t>。 清东陵于2000年11月30日被正式列入世界文化遗产名录。</w:t>
      </w:r>
    </w:p>
    <w:p>
      <w:pPr>
        <w:autoSpaceDE w:val="0"/>
        <w:autoSpaceDN w:val="0"/>
        <w:adjustRightInd w:val="0"/>
        <w:spacing w:line="480" w:lineRule="exact"/>
        <w:ind w:firstLine="480"/>
        <w:rPr>
          <w:rFonts w:hint="eastAsia"/>
          <w:color w:val="auto"/>
          <w:kern w:val="0"/>
          <w:sz w:val="24"/>
          <w:highlight w:val="none"/>
          <w:lang w:eastAsia="zh-CN"/>
        </w:rPr>
      </w:pPr>
      <w:r>
        <w:rPr>
          <w:rFonts w:hint="eastAsia"/>
          <w:color w:val="auto"/>
          <w:kern w:val="0"/>
          <w:sz w:val="24"/>
          <w:highlight w:val="none"/>
          <w:lang w:val="en-US" w:eastAsia="zh-CN"/>
        </w:rPr>
        <w:fldChar w:fldCharType="begin"/>
      </w:r>
      <w:r>
        <w:rPr>
          <w:rFonts w:hint="eastAsia"/>
          <w:color w:val="auto"/>
          <w:kern w:val="0"/>
          <w:sz w:val="24"/>
          <w:highlight w:val="none"/>
          <w:lang w:val="en-US" w:eastAsia="zh-CN"/>
        </w:rPr>
        <w:instrText xml:space="preserve"> = 2 \* GB3 \* MERGEFORMAT </w:instrText>
      </w:r>
      <w:r>
        <w:rPr>
          <w:rFonts w:hint="eastAsia"/>
          <w:color w:val="auto"/>
          <w:kern w:val="0"/>
          <w:sz w:val="24"/>
          <w:highlight w:val="none"/>
          <w:lang w:val="en-US" w:eastAsia="zh-CN"/>
        </w:rPr>
        <w:fldChar w:fldCharType="separate"/>
      </w:r>
      <w:r>
        <w:rPr>
          <w:rFonts w:hint="default"/>
          <w:color w:val="auto"/>
          <w:kern w:val="0"/>
          <w:sz w:val="24"/>
          <w:highlight w:val="none"/>
        </w:rPr>
        <w:t>②</w:t>
      </w:r>
      <w:r>
        <w:rPr>
          <w:rFonts w:hint="eastAsia"/>
          <w:color w:val="auto"/>
          <w:kern w:val="0"/>
          <w:sz w:val="24"/>
          <w:highlight w:val="none"/>
          <w:lang w:val="en-US" w:eastAsia="zh-CN"/>
        </w:rPr>
        <w:fldChar w:fldCharType="end"/>
      </w:r>
      <w:r>
        <w:rPr>
          <w:rFonts w:hint="eastAsia"/>
          <w:color w:val="auto"/>
          <w:kern w:val="0"/>
          <w:sz w:val="24"/>
          <w:highlight w:val="none"/>
        </w:rPr>
        <w:fldChar w:fldCharType="begin"/>
      </w:r>
      <w:r>
        <w:rPr>
          <w:rFonts w:hint="eastAsia"/>
          <w:color w:val="auto"/>
          <w:kern w:val="0"/>
          <w:sz w:val="24"/>
          <w:highlight w:val="none"/>
        </w:rPr>
        <w:instrText xml:space="preserve"> HYPERLINK "https://baike.so.com/doc/1604889-1696572.html" \t "https://baike.so.com/doc/_blank" </w:instrText>
      </w:r>
      <w:r>
        <w:rPr>
          <w:rFonts w:hint="eastAsia"/>
          <w:color w:val="auto"/>
          <w:kern w:val="0"/>
          <w:sz w:val="24"/>
          <w:highlight w:val="none"/>
        </w:rPr>
        <w:fldChar w:fldCharType="separate"/>
      </w:r>
      <w:r>
        <w:rPr>
          <w:rFonts w:hint="default"/>
          <w:color w:val="auto"/>
          <w:kern w:val="0"/>
          <w:sz w:val="24"/>
          <w:highlight w:val="none"/>
        </w:rPr>
        <w:t>鹫峰山自然风景名胜区</w:t>
      </w:r>
      <w:r>
        <w:rPr>
          <w:rFonts w:hint="default"/>
          <w:color w:val="auto"/>
          <w:kern w:val="0"/>
          <w:sz w:val="24"/>
          <w:highlight w:val="none"/>
        </w:rPr>
        <w:fldChar w:fldCharType="end"/>
      </w:r>
      <w:r>
        <w:rPr>
          <w:rFonts w:hint="default"/>
          <w:color w:val="auto"/>
          <w:kern w:val="0"/>
          <w:sz w:val="24"/>
          <w:highlight w:val="none"/>
        </w:rPr>
        <w:t>位于河北省遵化市北部的</w:t>
      </w:r>
      <w:r>
        <w:rPr>
          <w:rFonts w:hint="default"/>
          <w:color w:val="auto"/>
          <w:kern w:val="0"/>
          <w:sz w:val="24"/>
          <w:highlight w:val="none"/>
        </w:rPr>
        <w:fldChar w:fldCharType="begin"/>
      </w:r>
      <w:r>
        <w:rPr>
          <w:rFonts w:hint="default"/>
          <w:color w:val="auto"/>
          <w:kern w:val="0"/>
          <w:sz w:val="24"/>
          <w:highlight w:val="none"/>
        </w:rPr>
        <w:instrText xml:space="preserve"> HYPERLINK "https://baike.so.com/doc/2252306-2383027.html" \t "https://baike.so.com/doc/_blank" </w:instrText>
      </w:r>
      <w:r>
        <w:rPr>
          <w:rFonts w:hint="default"/>
          <w:color w:val="auto"/>
          <w:kern w:val="0"/>
          <w:sz w:val="24"/>
          <w:highlight w:val="none"/>
        </w:rPr>
        <w:fldChar w:fldCharType="separate"/>
      </w:r>
      <w:r>
        <w:rPr>
          <w:rFonts w:hint="default"/>
          <w:color w:val="auto"/>
          <w:kern w:val="0"/>
          <w:sz w:val="24"/>
          <w:highlight w:val="none"/>
        </w:rPr>
        <w:t>候家寨乡</w:t>
      </w:r>
      <w:r>
        <w:rPr>
          <w:rFonts w:hint="default"/>
          <w:color w:val="auto"/>
          <w:kern w:val="0"/>
          <w:sz w:val="24"/>
          <w:highlight w:val="none"/>
        </w:rPr>
        <w:fldChar w:fldCharType="end"/>
      </w:r>
      <w:r>
        <w:rPr>
          <w:rFonts w:hint="default"/>
          <w:color w:val="auto"/>
          <w:kern w:val="0"/>
          <w:sz w:val="24"/>
          <w:highlight w:val="none"/>
        </w:rPr>
        <w:t>境内。鹫峰山省级森林公园由</w:t>
      </w:r>
      <w:r>
        <w:rPr>
          <w:rFonts w:hint="default"/>
          <w:color w:val="auto"/>
          <w:kern w:val="0"/>
          <w:sz w:val="24"/>
          <w:highlight w:val="none"/>
        </w:rPr>
        <w:fldChar w:fldCharType="begin"/>
      </w:r>
      <w:r>
        <w:rPr>
          <w:rFonts w:hint="default"/>
          <w:color w:val="auto"/>
          <w:kern w:val="0"/>
          <w:sz w:val="24"/>
          <w:highlight w:val="none"/>
        </w:rPr>
        <w:instrText xml:space="preserve"> HYPERLINK "https://baike.so.com/doc/5381022-5617322.html" \t "https://baike.so.com/doc/_blank" </w:instrText>
      </w:r>
      <w:r>
        <w:rPr>
          <w:rFonts w:hint="default"/>
          <w:color w:val="auto"/>
          <w:kern w:val="0"/>
          <w:sz w:val="24"/>
          <w:highlight w:val="none"/>
        </w:rPr>
        <w:fldChar w:fldCharType="separate"/>
      </w:r>
      <w:r>
        <w:rPr>
          <w:rFonts w:hint="default"/>
          <w:color w:val="auto"/>
          <w:kern w:val="0"/>
          <w:sz w:val="24"/>
          <w:highlight w:val="none"/>
        </w:rPr>
        <w:t>鹫峰山景区</w:t>
      </w:r>
      <w:r>
        <w:rPr>
          <w:rFonts w:hint="default"/>
          <w:color w:val="auto"/>
          <w:kern w:val="0"/>
          <w:sz w:val="24"/>
          <w:highlight w:val="none"/>
        </w:rPr>
        <w:fldChar w:fldCharType="end"/>
      </w:r>
      <w:r>
        <w:rPr>
          <w:rFonts w:hint="default"/>
          <w:color w:val="auto"/>
          <w:kern w:val="0"/>
          <w:sz w:val="24"/>
          <w:highlight w:val="none"/>
        </w:rPr>
        <w:t>和蝉林寺景区组成，公园总规划面积692公顷。其中:鹫峰山景区规划面积357公顷;禅林寺景区规划面积335公顷。该公园坐落在河北省遵化市</w:t>
      </w:r>
      <w:r>
        <w:rPr>
          <w:rFonts w:hint="default"/>
          <w:color w:val="auto"/>
          <w:kern w:val="0"/>
          <w:sz w:val="24"/>
          <w:highlight w:val="none"/>
        </w:rPr>
        <w:fldChar w:fldCharType="begin"/>
      </w:r>
      <w:r>
        <w:rPr>
          <w:rFonts w:hint="default"/>
          <w:color w:val="auto"/>
          <w:kern w:val="0"/>
          <w:sz w:val="24"/>
          <w:highlight w:val="none"/>
        </w:rPr>
        <w:instrText xml:space="preserve"> HYPERLINK "https://baike.so.com/doc/355801-376871.html" \t "https://baike.so.com/doc/_blank" </w:instrText>
      </w:r>
      <w:r>
        <w:rPr>
          <w:rFonts w:hint="default"/>
          <w:color w:val="auto"/>
          <w:kern w:val="0"/>
          <w:sz w:val="24"/>
          <w:highlight w:val="none"/>
        </w:rPr>
        <w:fldChar w:fldCharType="separate"/>
      </w:r>
      <w:r>
        <w:rPr>
          <w:rFonts w:hint="default"/>
          <w:color w:val="auto"/>
          <w:kern w:val="0"/>
          <w:sz w:val="24"/>
          <w:highlight w:val="none"/>
        </w:rPr>
        <w:t>侯家寨乡</w:t>
      </w:r>
      <w:r>
        <w:rPr>
          <w:rFonts w:hint="default"/>
          <w:color w:val="auto"/>
          <w:kern w:val="0"/>
          <w:sz w:val="24"/>
          <w:highlight w:val="none"/>
        </w:rPr>
        <w:fldChar w:fldCharType="end"/>
      </w:r>
      <w:r>
        <w:rPr>
          <w:rFonts w:hint="default"/>
          <w:color w:val="auto"/>
          <w:kern w:val="0"/>
          <w:sz w:val="24"/>
          <w:highlight w:val="none"/>
        </w:rPr>
        <w:t>境内，南距</w:t>
      </w:r>
      <w:r>
        <w:rPr>
          <w:rFonts w:hint="default"/>
          <w:color w:val="auto"/>
          <w:kern w:val="0"/>
          <w:sz w:val="24"/>
          <w:highlight w:val="none"/>
        </w:rPr>
        <w:fldChar w:fldCharType="begin"/>
      </w:r>
      <w:r>
        <w:rPr>
          <w:rFonts w:hint="default"/>
          <w:color w:val="auto"/>
          <w:kern w:val="0"/>
          <w:sz w:val="24"/>
          <w:highlight w:val="none"/>
        </w:rPr>
        <w:instrText xml:space="preserve"> HYPERLINK "https://baike.so.com/doc/5742087-5954840.html" \t "https://baike.so.com/doc/_blank" </w:instrText>
      </w:r>
      <w:r>
        <w:rPr>
          <w:rFonts w:hint="default"/>
          <w:color w:val="auto"/>
          <w:kern w:val="0"/>
          <w:sz w:val="24"/>
          <w:highlight w:val="none"/>
        </w:rPr>
        <w:fldChar w:fldCharType="separate"/>
      </w:r>
      <w:r>
        <w:rPr>
          <w:rFonts w:hint="default"/>
          <w:color w:val="auto"/>
          <w:kern w:val="0"/>
          <w:sz w:val="24"/>
          <w:highlight w:val="none"/>
        </w:rPr>
        <w:t>遵化</w:t>
      </w:r>
      <w:r>
        <w:rPr>
          <w:rFonts w:hint="default"/>
          <w:color w:val="auto"/>
          <w:kern w:val="0"/>
          <w:sz w:val="24"/>
          <w:highlight w:val="none"/>
        </w:rPr>
        <w:fldChar w:fldCharType="end"/>
      </w:r>
      <w:r>
        <w:rPr>
          <w:rFonts w:hint="default"/>
          <w:color w:val="auto"/>
          <w:kern w:val="0"/>
          <w:sz w:val="24"/>
          <w:highlight w:val="none"/>
        </w:rPr>
        <w:t>市区18公里，西邻国家级森林公园清东陵37公里，北依</w:t>
      </w:r>
      <w:r>
        <w:rPr>
          <w:rFonts w:hint="default"/>
          <w:color w:val="auto"/>
          <w:kern w:val="0"/>
          <w:sz w:val="24"/>
          <w:highlight w:val="none"/>
        </w:rPr>
        <w:fldChar w:fldCharType="begin"/>
      </w:r>
      <w:r>
        <w:rPr>
          <w:rFonts w:hint="default"/>
          <w:color w:val="auto"/>
          <w:kern w:val="0"/>
          <w:sz w:val="24"/>
          <w:highlight w:val="none"/>
        </w:rPr>
        <w:instrText xml:space="preserve"> HYPERLINK "https://baike.so.com/doc/5429266-5667490.html" \t "https://baike.so.com/doc/_blank" </w:instrText>
      </w:r>
      <w:r>
        <w:rPr>
          <w:rFonts w:hint="default"/>
          <w:color w:val="auto"/>
          <w:kern w:val="0"/>
          <w:sz w:val="24"/>
          <w:highlight w:val="none"/>
        </w:rPr>
        <w:fldChar w:fldCharType="separate"/>
      </w:r>
      <w:r>
        <w:rPr>
          <w:rFonts w:hint="default"/>
          <w:color w:val="auto"/>
          <w:kern w:val="0"/>
          <w:sz w:val="24"/>
          <w:highlight w:val="none"/>
        </w:rPr>
        <w:t>兴隆县</w:t>
      </w:r>
      <w:r>
        <w:rPr>
          <w:rFonts w:hint="default"/>
          <w:color w:val="auto"/>
          <w:kern w:val="0"/>
          <w:sz w:val="24"/>
          <w:highlight w:val="none"/>
        </w:rPr>
        <w:fldChar w:fldCharType="end"/>
      </w:r>
      <w:r>
        <w:rPr>
          <w:rFonts w:hint="default"/>
          <w:color w:val="auto"/>
          <w:kern w:val="0"/>
          <w:sz w:val="24"/>
          <w:highlight w:val="none"/>
        </w:rPr>
        <w:t>雾灵山景区80公里，东离</w:t>
      </w:r>
      <w:r>
        <w:rPr>
          <w:rFonts w:hint="default"/>
          <w:color w:val="auto"/>
          <w:kern w:val="0"/>
          <w:sz w:val="24"/>
          <w:highlight w:val="none"/>
        </w:rPr>
        <w:fldChar w:fldCharType="begin"/>
      </w:r>
      <w:r>
        <w:rPr>
          <w:rFonts w:hint="default"/>
          <w:color w:val="auto"/>
          <w:kern w:val="0"/>
          <w:sz w:val="24"/>
          <w:highlight w:val="none"/>
        </w:rPr>
        <w:instrText xml:space="preserve"> HYPERLINK "https://baike.so.com/doc/3928386-4122723.html" \t "https://baike.so.com/doc/_blank" </w:instrText>
      </w:r>
      <w:r>
        <w:rPr>
          <w:rFonts w:hint="default"/>
          <w:color w:val="auto"/>
          <w:kern w:val="0"/>
          <w:sz w:val="24"/>
          <w:highlight w:val="none"/>
        </w:rPr>
        <w:fldChar w:fldCharType="separate"/>
      </w:r>
      <w:r>
        <w:rPr>
          <w:rFonts w:hint="default"/>
          <w:color w:val="auto"/>
          <w:kern w:val="0"/>
          <w:sz w:val="24"/>
          <w:highlight w:val="none"/>
        </w:rPr>
        <w:t>洪山口</w:t>
      </w:r>
      <w:r>
        <w:rPr>
          <w:rFonts w:hint="default"/>
          <w:color w:val="auto"/>
          <w:kern w:val="0"/>
          <w:sz w:val="24"/>
          <w:highlight w:val="none"/>
        </w:rPr>
        <w:fldChar w:fldCharType="end"/>
      </w:r>
      <w:r>
        <w:rPr>
          <w:rFonts w:hint="default"/>
          <w:color w:val="auto"/>
          <w:kern w:val="0"/>
          <w:sz w:val="24"/>
          <w:highlight w:val="none"/>
        </w:rPr>
        <w:t>狩猎场3公里</w:t>
      </w:r>
      <w:r>
        <w:rPr>
          <w:rFonts w:hint="eastAsia"/>
          <w:color w:val="auto"/>
          <w:kern w:val="0"/>
          <w:sz w:val="24"/>
          <w:highlight w:val="none"/>
          <w:lang w:eastAsia="zh-CN"/>
        </w:rPr>
        <w:t>，</w:t>
      </w:r>
    </w:p>
    <w:p>
      <w:pPr>
        <w:autoSpaceDE w:val="0"/>
        <w:autoSpaceDN w:val="0"/>
        <w:adjustRightInd w:val="0"/>
        <w:spacing w:line="480" w:lineRule="exact"/>
        <w:ind w:firstLine="480"/>
        <w:rPr>
          <w:rFonts w:hint="eastAsia" w:eastAsia="宋体"/>
          <w:color w:val="auto"/>
          <w:kern w:val="0"/>
          <w:sz w:val="24"/>
          <w:highlight w:val="none"/>
          <w:lang w:val="en-US" w:eastAsia="zh-CN"/>
        </w:rPr>
      </w:pPr>
      <w:r>
        <w:rPr>
          <w:rFonts w:hint="eastAsia"/>
          <w:color w:val="auto"/>
          <w:kern w:val="0"/>
          <w:sz w:val="24"/>
          <w:highlight w:val="none"/>
          <w:lang w:val="en-US" w:eastAsia="zh-CN"/>
        </w:rPr>
        <w:fldChar w:fldCharType="begin"/>
      </w:r>
      <w:r>
        <w:rPr>
          <w:rFonts w:hint="eastAsia"/>
          <w:color w:val="auto"/>
          <w:kern w:val="0"/>
          <w:sz w:val="24"/>
          <w:highlight w:val="none"/>
          <w:lang w:val="en-US" w:eastAsia="zh-CN"/>
        </w:rPr>
        <w:instrText xml:space="preserve"> = 3 \* GB3 \* MERGEFORMAT </w:instrText>
      </w:r>
      <w:r>
        <w:rPr>
          <w:rFonts w:hint="eastAsia"/>
          <w:color w:val="auto"/>
          <w:kern w:val="0"/>
          <w:sz w:val="24"/>
          <w:highlight w:val="none"/>
          <w:lang w:val="en-US" w:eastAsia="zh-CN"/>
        </w:rPr>
        <w:fldChar w:fldCharType="separate"/>
      </w:r>
      <w:r>
        <w:rPr>
          <w:rFonts w:hint="eastAsia"/>
          <w:color w:val="auto"/>
          <w:kern w:val="0"/>
          <w:sz w:val="24"/>
          <w:highlight w:val="none"/>
        </w:rPr>
        <w:t>③</w:t>
      </w:r>
      <w:r>
        <w:rPr>
          <w:rFonts w:hint="eastAsia"/>
          <w:color w:val="auto"/>
          <w:kern w:val="0"/>
          <w:sz w:val="24"/>
          <w:highlight w:val="none"/>
          <w:lang w:val="en-US" w:eastAsia="zh-CN"/>
        </w:rPr>
        <w:fldChar w:fldCharType="end"/>
      </w:r>
      <w:r>
        <w:rPr>
          <w:rFonts w:hint="eastAsia"/>
          <w:color w:val="auto"/>
          <w:kern w:val="0"/>
          <w:sz w:val="24"/>
          <w:highlight w:val="none"/>
        </w:rPr>
        <w:t>遵化省级地质公园位于遵化市西北部，地处燕山山脉与华北平原的交接地带，园内地质内容丰富，地质遗迹类型多样。主要由2个园区组成，其中长城园区面积24.4 平方千米，凤凰岭园区面积4.5 平方千米。公园北部以古长城为界与兴隆县接壤，西边以凤凰岭景区为界，东至侯家寨乡境内</w:t>
      </w:r>
      <w:r>
        <w:rPr>
          <w:rFonts w:hint="eastAsia"/>
          <w:color w:val="auto"/>
          <w:kern w:val="0"/>
          <w:sz w:val="24"/>
          <w:highlight w:val="none"/>
          <w:lang w:val="en-US" w:eastAsia="zh-CN"/>
        </w:rPr>
        <w:t>。2018年</w:t>
      </w:r>
      <w:r>
        <w:rPr>
          <w:rFonts w:hint="eastAsia"/>
          <w:color w:val="auto"/>
          <w:kern w:val="0"/>
          <w:sz w:val="24"/>
          <w:highlight w:val="none"/>
        </w:rPr>
        <w:t>获得河北省国土资源厅下达的河北遵化省级地质公园建设资格的批复</w:t>
      </w:r>
      <w:r>
        <w:rPr>
          <w:rFonts w:hint="eastAsia"/>
          <w:color w:val="auto"/>
          <w:kern w:val="0"/>
          <w:sz w:val="24"/>
          <w:highlight w:val="none"/>
          <w:lang w:eastAsia="zh-CN"/>
        </w:rPr>
        <w:t>，面积</w:t>
      </w:r>
      <w:r>
        <w:rPr>
          <w:rFonts w:hint="eastAsia"/>
          <w:color w:val="auto"/>
          <w:kern w:val="0"/>
          <w:sz w:val="24"/>
          <w:highlight w:val="none"/>
        </w:rPr>
        <w:t>30平方公里</w:t>
      </w:r>
      <w:r>
        <w:rPr>
          <w:rFonts w:hint="eastAsia"/>
          <w:color w:val="auto"/>
          <w:kern w:val="0"/>
          <w:sz w:val="24"/>
          <w:highlight w:val="none"/>
          <w:lang w:eastAsia="zh-CN"/>
        </w:rPr>
        <w:t>。</w:t>
      </w:r>
    </w:p>
    <w:p>
      <w:pPr>
        <w:autoSpaceDE w:val="0"/>
        <w:autoSpaceDN w:val="0"/>
        <w:adjustRightInd w:val="0"/>
        <w:spacing w:line="480" w:lineRule="exact"/>
        <w:ind w:firstLine="480"/>
        <w:rPr>
          <w:rFonts w:hint="eastAsia"/>
          <w:color w:val="auto"/>
          <w:kern w:val="0"/>
          <w:sz w:val="24"/>
          <w:highlight w:val="none"/>
          <w:lang w:eastAsia="zh-CN"/>
        </w:rPr>
      </w:pPr>
      <w:r>
        <w:rPr>
          <w:rFonts w:hint="eastAsia"/>
          <w:color w:val="auto"/>
          <w:kern w:val="0"/>
          <w:sz w:val="24"/>
          <w:highlight w:val="none"/>
          <w:lang w:val="en-US" w:eastAsia="zh-CN"/>
        </w:rPr>
        <w:fldChar w:fldCharType="begin"/>
      </w:r>
      <w:r>
        <w:rPr>
          <w:rFonts w:hint="eastAsia"/>
          <w:color w:val="auto"/>
          <w:kern w:val="0"/>
          <w:sz w:val="24"/>
          <w:highlight w:val="none"/>
          <w:lang w:val="en-US" w:eastAsia="zh-CN"/>
        </w:rPr>
        <w:instrText xml:space="preserve"> = 4 \* GB3 \* MERGEFORMAT </w:instrText>
      </w:r>
      <w:r>
        <w:rPr>
          <w:rFonts w:hint="eastAsia"/>
          <w:color w:val="auto"/>
          <w:kern w:val="0"/>
          <w:sz w:val="24"/>
          <w:highlight w:val="none"/>
          <w:lang w:val="en-US" w:eastAsia="zh-CN"/>
        </w:rPr>
        <w:fldChar w:fldCharType="separate"/>
      </w:r>
      <w:r>
        <w:rPr>
          <w:rFonts w:hint="eastAsia"/>
          <w:color w:val="auto"/>
          <w:kern w:val="0"/>
          <w:sz w:val="24"/>
          <w:highlight w:val="none"/>
          <w:lang w:eastAsia="zh-CN"/>
        </w:rPr>
        <w:t>④</w:t>
      </w:r>
      <w:r>
        <w:rPr>
          <w:rFonts w:hint="eastAsia"/>
          <w:color w:val="auto"/>
          <w:kern w:val="0"/>
          <w:sz w:val="24"/>
          <w:highlight w:val="none"/>
          <w:lang w:val="en-US" w:eastAsia="zh-CN"/>
        </w:rPr>
        <w:fldChar w:fldCharType="end"/>
      </w:r>
      <w:r>
        <w:rPr>
          <w:rFonts w:hint="eastAsia"/>
          <w:color w:val="auto"/>
          <w:kern w:val="0"/>
          <w:sz w:val="24"/>
          <w:highlight w:val="none"/>
          <w:lang w:eastAsia="zh-CN"/>
        </w:rPr>
        <w:t>项目与相关保护区的位置关系</w:t>
      </w:r>
    </w:p>
    <w:p>
      <w:pPr>
        <w:autoSpaceDE w:val="0"/>
        <w:autoSpaceDN w:val="0"/>
        <w:adjustRightInd w:val="0"/>
        <w:spacing w:line="480" w:lineRule="exact"/>
        <w:ind w:firstLine="480"/>
        <w:rPr>
          <w:rFonts w:hint="eastAsia"/>
          <w:color w:val="auto"/>
          <w:kern w:val="0"/>
          <w:sz w:val="24"/>
          <w:highlight w:val="none"/>
          <w:lang w:eastAsia="zh-CN"/>
        </w:rPr>
      </w:pPr>
      <w:r>
        <w:rPr>
          <w:rFonts w:hint="eastAsia"/>
          <w:color w:val="auto"/>
          <w:kern w:val="0"/>
          <w:sz w:val="24"/>
          <w:highlight w:val="none"/>
          <w:lang w:eastAsia="zh-CN"/>
        </w:rPr>
        <w:t>本项目不涉及清东陵国家级森林公园、鹫峰山省级森林公园、小滨海寨省级森林公园</w:t>
      </w:r>
      <w:r>
        <w:rPr>
          <w:rFonts w:hint="eastAsia"/>
          <w:color w:val="auto"/>
          <w:kern w:val="0"/>
          <w:sz w:val="24"/>
          <w:highlight w:val="none"/>
          <w:lang w:val="en-US" w:eastAsia="zh-CN"/>
        </w:rPr>
        <w:t>、</w:t>
      </w:r>
      <w:r>
        <w:rPr>
          <w:rFonts w:hint="eastAsia"/>
          <w:color w:val="auto"/>
          <w:kern w:val="0"/>
          <w:sz w:val="24"/>
          <w:highlight w:val="none"/>
          <w:lang w:eastAsia="zh-CN"/>
        </w:rPr>
        <w:t>省级地质公园，距上述保护区边界最近距离均大于</w:t>
      </w:r>
      <w:r>
        <w:rPr>
          <w:rFonts w:hint="eastAsia"/>
          <w:color w:val="auto"/>
          <w:kern w:val="0"/>
          <w:sz w:val="24"/>
          <w:highlight w:val="none"/>
          <w:lang w:val="en-US" w:eastAsia="zh-CN"/>
        </w:rPr>
        <w:t>16</w:t>
      </w:r>
      <w:r>
        <w:rPr>
          <w:rFonts w:hint="eastAsia"/>
          <w:color w:val="auto"/>
          <w:kern w:val="0"/>
          <w:sz w:val="24"/>
          <w:highlight w:val="none"/>
          <w:lang w:eastAsia="zh-CN"/>
        </w:rPr>
        <w:t>km，因此本项目不涉及以上环境敏感区</w:t>
      </w:r>
    </w:p>
    <w:p>
      <w:pPr>
        <w:autoSpaceDE w:val="0"/>
        <w:autoSpaceDN w:val="0"/>
        <w:adjustRightInd w:val="0"/>
        <w:spacing w:line="240" w:lineRule="auto"/>
        <w:rPr>
          <w:rFonts w:hint="eastAsia"/>
          <w:color w:val="auto"/>
          <w:kern w:val="0"/>
          <w:sz w:val="24"/>
          <w:highlight w:val="none"/>
          <w:lang w:val="zh-CN"/>
        </w:rPr>
      </w:pPr>
      <w:r>
        <w:rPr>
          <w:sz w:val="21"/>
          <w:highlight w:val="none"/>
        </w:rPr>
        <mc:AlternateContent>
          <mc:Choice Requires="wps">
            <w:drawing>
              <wp:anchor distT="0" distB="0" distL="114300" distR="114300" simplePos="0" relativeHeight="251705344" behindDoc="0" locked="0" layoutInCell="1" allowOverlap="1">
                <wp:simplePos x="0" y="0"/>
                <wp:positionH relativeFrom="column">
                  <wp:posOffset>13970</wp:posOffset>
                </wp:positionH>
                <wp:positionV relativeFrom="paragraph">
                  <wp:posOffset>40005</wp:posOffset>
                </wp:positionV>
                <wp:extent cx="5353050" cy="4053205"/>
                <wp:effectExtent l="4445" t="4445" r="14605" b="19050"/>
                <wp:wrapNone/>
                <wp:docPr id="84" name="文本框 84"/>
                <wp:cNvGraphicFramePr/>
                <a:graphic xmlns:a="http://schemas.openxmlformats.org/drawingml/2006/main">
                  <a:graphicData uri="http://schemas.microsoft.com/office/word/2010/wordprocessingShape">
                    <wps:wsp>
                      <wps:cNvSpPr txBox="1"/>
                      <wps:spPr>
                        <a:xfrm>
                          <a:off x="6443345" y="6270625"/>
                          <a:ext cx="5353050" cy="4053205"/>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pt;margin-top:3.15pt;height:319.15pt;width:421.5pt;z-index:251705344;mso-width-relative:page;mso-height-relative:page;" filled="f" stroked="t" coordsize="21600,21600" o:gfxdata="UEsDBAoAAAAAAIdO4kAAAAAAAAAAAAAAAAAEAAAAZHJzL1BLAwQUAAAACACHTuJAf9zFytYAAAAH&#10;AQAADwAAAGRycy9kb3ducmV2LnhtbE2Oy07DMBRE90j8g3WR2FG7IU2rEKcLRBdICImCaJdOfIkj&#10;/Aixmxa+ntsVLI9mNHOq9clZNuEY++AlzGcCGPo26N53Et5eNzcrYDEpr5UNHiV8Y4R1fXlRqVKH&#10;o3/BaZs6RiM+lkqCSWkoOY+tQafiLAzoKfsIo1OJcOy4HtWRxp3lmRAFd6r39GDUgPcG28/twUl4&#10;et99PWye92KHje0Xk12ax59GyuurubgDlvCU/spw1id1qMmpCQevI7MSsoyKEopbYJSu8gVxQ5zn&#10;BfC64v/9619QSwMEFAAAAAgAh07iQDubchNdAgAAnQQAAA4AAABkcnMvZTJvRG9jLnhtbK1UzW7T&#10;QBC+I/EOq71TO4ndlqhOFVoVIVW0UkGcN+t1bbF/7G5ilweAN+DEhTvP1efg23XSRoVDD1w285dv&#10;Zr6Z8cnpoCTZCOc7oys6OcgpEZqbutO3Ff344eLVMSU+MF0zabSo6J3w9HTx8sVJb+dialoja+EI&#10;QLSf97aibQh2nmWet0Ixf2Cs0HA2xikWoLrbrHasB7qS2TTPD7PeuNo6w4X3sJ6PTrpFdM8BNE3T&#10;cXFu+FoJHUZUJyQLaMm3nfV0kaptGsHDVdN4EYisKDoN6UUSyKv4ZosTNr91zLYd35bAnlPCk54U&#10;6zSSPkCds8DI2nV/QamOO+NNEw64UdnYSGIEXUzyJ9zctMyK1Auo9vaBdP//YPn7zbUjXV3R44IS&#10;zRQmfv/j+/3P3/e/vhHYQFBv/RxxNxaRYXhjBqzNzu5hjH0PjVPxFx0R+A+LYjYrSkruIE+P8sNp&#10;OVIthkA4AspZOctLTIEjosjL2TRPEdkjlHU+vBVGkShU1GGWiWK2ufQBZSF0FxIza3PRSZnmKTXp&#10;kXcG/OjxRnZ1dEYl/uVMOrJh2IiVZPxzLAxYe1HQpIYxNj42GKUwrIYtGytT34EMZ8Z98pZfdMC9&#10;ZD5cM4cFQmM4sXCFp5EGxZitRElr3Nd/2WM85govJT0WsqL+y5o5QYl8pzHx15OiiBuclKI8mkJx&#10;+57Vvkev1ZlBhxMcs+VJjPFB7sTGGfUJl7iMWeFimiN3RcNOPAvjmeCSuVguUxB21rJwqW8sj9Aj&#10;7ct1ME2XJhJpGrnZsoetTeRuLyyexb6eoh6/Kos/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f9zF&#10;ytYAAAAHAQAADwAAAAAAAAABACAAAAAiAAAAZHJzL2Rvd25yZXYueG1sUEsBAhQAFAAAAAgAh07i&#10;QDubchNdAgAAnQQAAA4AAAAAAAAAAQAgAAAAJQEAAGRycy9lMm9Eb2MueG1sUEsFBgAAAAAGAAYA&#10;WQEAAPQFAAAAAA==&#10;">
                <v:fill on="f" focussize="0,0"/>
                <v:stroke weight="0.5pt" color="#000000 [3204]" joinstyle="round"/>
                <v:imagedata o:title=""/>
                <o:lock v:ext="edit" aspectratio="f"/>
                <v:textbox>
                  <w:txbxContent>
                    <w:p/>
                  </w:txbxContent>
                </v:textbox>
              </v:shape>
            </w:pict>
          </mc:Fallback>
        </mc:AlternateContent>
      </w:r>
      <w:r>
        <w:rPr>
          <w:sz w:val="21"/>
          <w:highlight w:val="none"/>
        </w:rPr>
        <mc:AlternateContent>
          <mc:Choice Requires="wpg">
            <w:drawing>
              <wp:anchor distT="0" distB="0" distL="114300" distR="114300" simplePos="0" relativeHeight="251704320" behindDoc="0" locked="0" layoutInCell="1" allowOverlap="1">
                <wp:simplePos x="0" y="0"/>
                <wp:positionH relativeFrom="column">
                  <wp:posOffset>50165</wp:posOffset>
                </wp:positionH>
                <wp:positionV relativeFrom="paragraph">
                  <wp:posOffset>90805</wp:posOffset>
                </wp:positionV>
                <wp:extent cx="5144770" cy="2348865"/>
                <wp:effectExtent l="4445" t="0" r="13335" b="13335"/>
                <wp:wrapNone/>
                <wp:docPr id="5" name="组合 5"/>
                <wp:cNvGraphicFramePr/>
                <a:graphic xmlns:a="http://schemas.openxmlformats.org/drawingml/2006/main">
                  <a:graphicData uri="http://schemas.microsoft.com/office/word/2010/wordprocessingGroup">
                    <wpg:wgp>
                      <wpg:cNvGrpSpPr/>
                      <wpg:grpSpPr>
                        <a:xfrm>
                          <a:off x="0" y="0"/>
                          <a:ext cx="5144770" cy="2348865"/>
                          <a:chOff x="9703" y="2058174"/>
                          <a:chExt cx="8102" cy="3699"/>
                        </a:xfrm>
                      </wpg:grpSpPr>
                      <wpg:grpSp>
                        <wpg:cNvPr id="12" name="组合 74"/>
                        <wpg:cNvGrpSpPr/>
                        <wpg:grpSpPr>
                          <a:xfrm>
                            <a:off x="9703" y="2058546"/>
                            <a:ext cx="8102" cy="3327"/>
                            <a:chOff x="9703" y="2058546"/>
                            <a:chExt cx="8102" cy="3327"/>
                          </a:xfrm>
                        </wpg:grpSpPr>
                        <wps:wsp>
                          <wps:cNvPr id="57" name="矩形标注 51"/>
                          <wps:cNvSpPr/>
                          <wps:spPr>
                            <a:xfrm>
                              <a:off x="16257" y="2061027"/>
                              <a:ext cx="1548" cy="474"/>
                            </a:xfrm>
                            <a:prstGeom prst="wedgeRectCallout">
                              <a:avLst>
                                <a:gd name="adj1" fmla="val -35594"/>
                                <a:gd name="adj2" fmla="val -175527"/>
                              </a:avLst>
                            </a:prstGeom>
                            <a:solidFill>
                              <a:srgbClr val="FFFFFF"/>
                            </a:solidFill>
                            <a:ln w="9525" cap="flat" cmpd="sng">
                              <a:solidFill>
                                <a:srgbClr val="000000"/>
                              </a:solidFill>
                              <a:prstDash val="solid"/>
                              <a:miter/>
                              <a:headEnd type="none" w="med" len="med"/>
                              <a:tailEnd type="none" w="med" len="med"/>
                            </a:ln>
                            <a:effectLst/>
                          </wps:spPr>
                          <wps:txbx>
                            <w:txbxContent>
                              <w:p>
                                <w:pPr>
                                  <w:widowControl/>
                                  <w:autoSpaceDE/>
                                  <w:autoSpaceDN/>
                                  <w:spacing w:line="240" w:lineRule="atLeast"/>
                                  <w:jc w:val="center"/>
                                  <w:rPr>
                                    <w:rFonts w:ascii="Calibri" w:hAnsi="Calibri" w:cs="Times New Roman"/>
                                    <w:b/>
                                    <w:bCs/>
                                    <w:color w:val="auto"/>
                                    <w:sz w:val="24"/>
                                    <w:szCs w:val="21"/>
                                    <w:lang w:val="en-US" w:bidi="ar-SA"/>
                                  </w:rPr>
                                </w:pPr>
                                <w:r>
                                  <w:rPr>
                                    <w:rFonts w:hint="eastAsia" w:ascii="Calibri" w:hAnsi="Calibri" w:cs="Times New Roman"/>
                                    <w:b/>
                                    <w:bCs/>
                                    <w:color w:val="auto"/>
                                    <w:sz w:val="24"/>
                                    <w:szCs w:val="21"/>
                                    <w:lang w:val="en-US" w:bidi="ar-SA"/>
                                  </w:rPr>
                                  <w:t>项目所在地</w:t>
                                </w:r>
                              </w:p>
                            </w:txbxContent>
                          </wps:txbx>
                          <wps:bodyPr upright="1"/>
                        </wps:wsp>
                        <wps:wsp>
                          <wps:cNvPr id="59" name="矩形 65"/>
                          <wps:cNvSpPr/>
                          <wps:spPr>
                            <a:xfrm>
                              <a:off x="16267" y="2060228"/>
                              <a:ext cx="184" cy="143"/>
                            </a:xfrm>
                            <a:prstGeom prst="rect">
                              <a:avLst/>
                            </a:prstGeom>
                            <a:solidFill>
                              <a:srgbClr val="FF0000"/>
                            </a:solidFill>
                            <a:ln w="9525" cap="flat" cmpd="sng">
                              <a:solidFill>
                                <a:srgbClr val="FF0000"/>
                              </a:solidFill>
                              <a:prstDash val="solid"/>
                              <a:miter/>
                              <a:headEnd type="none" w="med" len="med"/>
                              <a:tailEnd type="none" w="med" len="med"/>
                            </a:ln>
                            <a:effectLst/>
                          </wps:spPr>
                          <wps:txbx>
                            <w:txbxContent>
                              <w:p/>
                            </w:txbxContent>
                          </wps:txbx>
                          <wps:bodyPr upright="1"/>
                        </wps:wsp>
                        <wps:wsp>
                          <wps:cNvPr id="61" name="椭圆 61"/>
                          <wps:cNvSpPr/>
                          <wps:spPr>
                            <a:xfrm>
                              <a:off x="15040" y="2058941"/>
                              <a:ext cx="316" cy="292"/>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2" name="椭圆 62"/>
                          <wps:cNvSpPr/>
                          <wps:spPr>
                            <a:xfrm>
                              <a:off x="13813" y="2059182"/>
                              <a:ext cx="316" cy="292"/>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3" name="椭圆 63"/>
                          <wps:cNvSpPr/>
                          <wps:spPr>
                            <a:xfrm>
                              <a:off x="10894" y="2060222"/>
                              <a:ext cx="316" cy="292"/>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4" name="椭圆 64"/>
                          <wps:cNvSpPr/>
                          <wps:spPr>
                            <a:xfrm>
                              <a:off x="10903" y="2061064"/>
                              <a:ext cx="316" cy="292"/>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6" name="椭圆 66"/>
                          <wps:cNvSpPr/>
                          <wps:spPr>
                            <a:xfrm>
                              <a:off x="10445" y="2060389"/>
                              <a:ext cx="316" cy="292"/>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7" name="椭圆 67"/>
                          <wps:cNvSpPr/>
                          <wps:spPr>
                            <a:xfrm>
                              <a:off x="12878" y="2061339"/>
                              <a:ext cx="316" cy="292"/>
                            </a:xfrm>
                            <a:prstGeom prst="ellipse">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8" name="文本框 68"/>
                          <wps:cNvSpPr txBox="1"/>
                          <wps:spPr>
                            <a:xfrm>
                              <a:off x="15372" y="2058546"/>
                              <a:ext cx="2308" cy="472"/>
                            </a:xfrm>
                            <a:prstGeom prst="rect">
                              <a:avLst/>
                            </a:prstGeom>
                            <a:solidFill>
                              <a:srgbClr val="FFFFFF">
                                <a:alpha val="50000"/>
                              </a:srgb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鹫峰山省级森林公园</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9" name="文本框 69"/>
                          <wps:cNvSpPr txBox="1"/>
                          <wps:spPr>
                            <a:xfrm>
                              <a:off x="14187" y="2059327"/>
                              <a:ext cx="1576" cy="472"/>
                            </a:xfrm>
                            <a:prstGeom prst="rect">
                              <a:avLst/>
                            </a:prstGeom>
                            <a:solidFill>
                              <a:srgbClr val="FFFFFF">
                                <a:alpha val="50000"/>
                              </a:srgb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省级地质公园</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0" name="文本框 70"/>
                          <wps:cNvSpPr txBox="1"/>
                          <wps:spPr>
                            <a:xfrm>
                              <a:off x="10329" y="2059711"/>
                              <a:ext cx="2432" cy="472"/>
                            </a:xfrm>
                            <a:prstGeom prst="rect">
                              <a:avLst/>
                            </a:prstGeom>
                            <a:solidFill>
                              <a:srgbClr val="FFFFFF">
                                <a:alpha val="50000"/>
                              </a:srgb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清东陵国家</w:t>
                                </w:r>
                                <w:r>
                                  <w:rPr>
                                    <w:rFonts w:hint="eastAsia" w:ascii="Times New Roman" w:eastAsia="宋体"/>
                                    <w:b/>
                                    <w:bCs/>
                                    <w:lang w:val="en-US" w:eastAsia="zh-CN"/>
                                  </w:rPr>
                                  <w:t>级森林公园</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1" name="文本框 71"/>
                          <wps:cNvSpPr txBox="1"/>
                          <wps:spPr>
                            <a:xfrm>
                              <a:off x="9703" y="2060686"/>
                              <a:ext cx="2059" cy="472"/>
                            </a:xfrm>
                            <a:prstGeom prst="rect">
                              <a:avLst/>
                            </a:prstGeom>
                            <a:solidFill>
                              <a:srgbClr val="FFFFFF">
                                <a:alpha val="50000"/>
                              </a:srgb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省级地质自然公园</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2" name="文本框 72"/>
                          <wps:cNvSpPr txBox="1"/>
                          <wps:spPr>
                            <a:xfrm>
                              <a:off x="9927" y="2061401"/>
                              <a:ext cx="2432" cy="472"/>
                            </a:xfrm>
                            <a:prstGeom prst="rect">
                              <a:avLst/>
                            </a:prstGeom>
                            <a:solidFill>
                              <a:srgbClr val="FFFFFF">
                                <a:alpha val="50000"/>
                              </a:srgb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清东陵国家</w:t>
                                </w:r>
                                <w:r>
                                  <w:rPr>
                                    <w:rFonts w:hint="eastAsia" w:ascii="Times New Roman" w:eastAsia="宋体"/>
                                    <w:b/>
                                    <w:bCs/>
                                    <w:lang w:val="en-US" w:eastAsia="zh-CN"/>
                                  </w:rPr>
                                  <w:t>级森林公园</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3" name="文本框 73"/>
                          <wps:cNvSpPr txBox="1"/>
                          <wps:spPr>
                            <a:xfrm>
                              <a:off x="13235" y="2061318"/>
                              <a:ext cx="2432" cy="472"/>
                            </a:xfrm>
                            <a:prstGeom prst="rect">
                              <a:avLst/>
                            </a:prstGeom>
                            <a:solidFill>
                              <a:srgbClr val="FFFFFF">
                                <a:alpha val="50000"/>
                              </a:srgb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小滨海寨省</w:t>
                                </w:r>
                                <w:r>
                                  <w:rPr>
                                    <w:rFonts w:hint="eastAsia" w:ascii="Times New Roman" w:eastAsia="宋体"/>
                                    <w:b/>
                                    <w:bCs/>
                                    <w:lang w:val="en-US" w:eastAsia="zh-CN"/>
                                  </w:rPr>
                                  <w:t>级森林公园</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pic:pic xmlns:pic="http://schemas.openxmlformats.org/drawingml/2006/picture">
                        <pic:nvPicPr>
                          <pic:cNvPr id="81" name="图片 68" descr="指北针"/>
                          <pic:cNvPicPr>
                            <a:picLocks noChangeAspect="1" noChangeArrowheads="1"/>
                          </pic:cNvPicPr>
                        </pic:nvPicPr>
                        <pic:blipFill>
                          <a:blip r:embed="rId48" cstate="print"/>
                          <a:srcRect/>
                          <a:stretch>
                            <a:fillRect/>
                          </a:stretch>
                        </pic:blipFill>
                        <pic:spPr>
                          <a:xfrm>
                            <a:off x="9917" y="2058174"/>
                            <a:ext cx="608" cy="862"/>
                          </a:xfrm>
                          <a:prstGeom prst="rect">
                            <a:avLst/>
                          </a:prstGeom>
                          <a:noFill/>
                          <a:ln w="9525">
                            <a:noFill/>
                            <a:miter lim="800000"/>
                            <a:headEnd/>
                            <a:tailEnd/>
                          </a:ln>
                        </pic:spPr>
                      </pic:pic>
                    </wpg:wgp>
                  </a:graphicData>
                </a:graphic>
              </wp:anchor>
            </w:drawing>
          </mc:Choice>
          <mc:Fallback>
            <w:pict>
              <v:group id="_x0000_s1026" o:spid="_x0000_s1026" o:spt="203" style="position:absolute;left:0pt;margin-left:3.95pt;margin-top:7.15pt;height:184.95pt;width:405.1pt;z-index:251704320;mso-width-relative:page;mso-height-relative:page;" coordorigin="9703,2058174" coordsize="8102,3699" o:gfxdata="UEsDBAoAAAAAAIdO4kAAAAAAAAAAAAAAAAAEAAAAZHJzL1BLAwQUAAAACACHTuJAO/6fPdkAAAAI&#10;AQAADwAAAGRycy9kb3ducmV2LnhtbE2PwU7DMBBE70j8g7VI3KjjpkAIcSpUAaeqEi0S4raNt0nU&#10;eB3FbtL+PeYEx9kZzbwtlmfbiZEG3zrWoGYJCOLKmZZrDZ+7t7sMhA/IBjvHpOFCHpbl9VWBuXET&#10;f9C4DbWIJexz1NCE0OdS+qohi37meuLoHdxgMUQ51NIMOMVy28l5kjxIiy3HhQZ7WjVUHbcnq+F9&#10;wuklVa/j+nhYXb5395uvtSKtb29U8gwi0Dn8heEXP6JDGZn27sTGi07D41MMxvMiBRHtTGUKxF5D&#10;mi3mIMtC/n+g/AFQSwMEFAAAAAgAh07iQO0q1mkjBwAAazAAAA4AAABkcnMvZTJvRG9jLnhtbO1b&#10;TW/cRBi+I/EfLN/b9eeuvcqmSpOmqlTRiII4z9reXVPbY8az2YQzIkXqAXGAA5X4EAeQ4MQRwb9J&#10;Kv4Fz3zY+5FNu0lV1K0cqcl4Zvx65vXzfviZtzt3TvLMOE5YldJiYNq3LdNIiojGaTEemB9/dHgr&#10;MI2KkyImGS2SgXmaVOad3fff25mV/cShE5rFCTMgpKj6s3JgTjgv+51OFU2SnFS3aZkUGBxRlhOO&#10;SzbuxIzMID3POo5ldTszyuKS0SipKvQeqEFTS2SbCKSjURolBzSa5knBlVSWZIRjS9UkLStzV652&#10;NEoi/mg0qhJuZAMTO+XyNx6C9lD87uzukP6YkXKSRnoJZJMlrOwpJ2mBhzaiDggnxpSll0TlacRo&#10;RUf8dkTzjtqI1Ah2YVsrurnP6LSUexn3Z+OyUTpe1IrWbyw2+uD4iBlpPDB90yhIjhf+4q8vzr9+&#10;avhCN7Ny3MeU+6x8XB4x3TFWV2K7JyOWi7/YiHEitXraaDU54UaETt/2vF4PCo8w5rheEHSlbNKP&#10;Jng54r6wZ7mmIYYtP7B7nnot0eSeFhHYlqPud7thKEY79bM7YonNipqLN6srG6tZUpZa8jW1tbRr&#10;3+uqXddqW9iz6/RqjaxTWHPrWoXpm69UGKy4mkOrej1oPZ6QMpGIrQRuamj1GnX98Nv53z9f/Hh2&#10;8eevhm+LXc1KObXBV9WvALU14LK7jg9BEiVdAELrpNaX7XvwXAJjnnobzY5Jv2QVv5/Q3BCNgTlL&#10;4nHyIXzDPskyOuXScsnxw4pLE471uyXxp7ZpjPIMHuGYZMYt1/dDjc3xwiSAYWGS3fN9tTYsQAtF&#10;q16CeEJFszQ+TLNMXrDxcD9jBp4wMA/ljwb40rSsMGYwFN+BnUYEfncEf4dmXsJ2q2Is97B0R7Uo&#10;2JI/6wSLhR2QaqIWICUosOUpTxheEOlPEhLfK2KDn5bwDwXCgikWkyexaWQJoohoyZmcpNkmM6GQ&#10;rBCiE+mjoXlh0wIK6uWLFj8Znmh8DGl8CixNS5aOJ3iBEjhyOrCrIPTmQRwug9hQXuw68O028LUc&#10;J1Aaa+AbeAq9tueKkavRywDcOWLV1E3RJVCgpS9h5TXRdXh4leAWXatBfb2L7MLTqIhy8csf58+/&#10;NNChwQ8/uoFz9C0PIVaH0NCTd8O8dAB17a5ClxM6L0dXkmVIoIQP197rOgCzrLuW/xKAOb4H/K33&#10;XwbJxnAlEWevcGXXBpt2NivuRfsURuFPsKaqjA5TuMKHpOJHhMHloxNpMn+EX6OMwt9R3TKNCWWf&#10;r+sX8xFAMQoHiaQSnvmzKWFwl9mDAqE1RCoEsVxeeH7PwQVbHBkujhTTfJ8iKAAaWJ1sivk8q5sj&#10;RvNPkE3viadiiBQRnq10qC/2uUp2kY9Hyd6enIbMsyT8YfG4jIRw8aYLujfldJQ2blhpR/vk/8/J&#10;dpvEqjYDCdfNnawb2E0mGdqBvLs1AxmdWzNAnrYlZgAML0cDmRNsbgZWgERVp8rINVozMGW6o0Of&#10;SD3baLAF0QAYXjYD+fV1DTMIG14BX4xd/e3WJkUqp2vNYEuiAXL3ZTOQVNE1zMDzwBoo4sRyA0mg&#10;tUlRmxRt2bdBwyLW3waSAdzcDJygB4ZQ84eu25pBmxSJ7+Vt+0QGhnU0+Pbs4vnvFz+BLJJk4oIl&#10;GPzkLsXBSkMiXcWp+24Pn9yaNmoOEuoMyXGthlN/BW/0OqykIL0V4ZSVE6KIaH+RUVRMtiRFZR5f&#10;c+eKtuy64JwEi7E0JpjHhlcfZiR6cpn4XP9JfJl4fhdJIl7zRduG/4aHv5jjX/rym+Dfs4OalPfD&#10;5pytxr/t9zRv6sFMVNZcH3nWlLs+U2rxv2Uk6bbiX5ykr/p/9C0fFmzs/y3XgT0p/x/27JVjA8dz&#10;ER3Umeo7jP9rHkO20eDtOTDozc/NmmiAvptZw0JBRtfqBisFGahNgam888awQoy2yZDxFp+XieT9&#10;UjCQnvoGyVAYom6l/j72rDYWXDolaI3hrTaG+anZPBasHpxtnBm5jtuQprZrr5TrtJnRugKtNjPa&#10;KDNCiNU1q7s7ZRr18U/Xq6J1qQDz1RXVuItPUWWipBXHR2kkKijRvVCEGTSZ0vn3/7z46kyQRkac&#10;VBEKRC6enZ0/++7fb56KxKm+TQlB5WIaPaTRk8oo6P6EFONkrypRgibrUpouxuhMlAmiyEXGjc6y&#10;FHm5tLAhyoxqGke0tQKwmJXS5jXbV2XTL6v/Nlg/yYdJPDDZgxgbj1DRzlG7iALCgotNgixikSgB&#10;VW3OEh5NRPcIZZm6H+xQVQ/IDczXLHZ3BaUWhnYdRRdqmWtGoVsTagFKXfBsPOOGhEJBhfrk8heq&#10;91QxTzMiaziNLM0HZiAINV3wrgs65c26ZFOtRR4Jzjcnd41LGQhlDbpcsa6XF0Xui9dy1vz/COz+&#10;B1BLAwQKAAAAAACHTuJAAAAAAAAAAAAAAAAACgAAAGRycy9tZWRpYS9QSwMEFAAAAAgAh07iQLOD&#10;hdkgCgAAGwoAABUAAABkcnMvbWVkaWEvaW1hZ2UxLmpwZWcBGwrk9f/Y/+AAEEpGSUYAAQEBANwA&#10;3AAA/9sAQwAIBgYHBgUIBwcHCQkICgwUDQwLCwwZEhMPFB0aHx4dGhwcICQuJyAiLCMcHCg3KSww&#10;MTQ0NB8nOT04MjwuMzQy/9sAQwEJCQkMCwwYDQ0YMiEcITIyMjIyMjIyMjIyMjIyMjIyMjIyMjIy&#10;MjIyMjIyMjIyMjIyMjIyMjIyMjIyMjIyMjIy/8AAEQgAdwBU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5jjTYvyDoO3tT/LT+4Pyoj+4n0F&#10;PoAZ5af3B+VIUT+4PyqSmt0oAZsT+6Pyo2IP4R+Vcf4g8aT+GtesLS+05GsLt9guo5yTH0GWXbxy&#10;exrb1/U7vTNHlv7K0iujCu9kkmMWR7EK3NAGsET+4PypfLT+4PyqrpU91c6fFNeQRQTONxjikLqA&#10;enJA/lV2gBnlp/cH5Unlp/cH5VJSGgCrNEm/7i9PSinzff8AwooAlj+4n0FPpkf3E+gp9ABTSKdS&#10;HgUAcV4s0WHX9Xj0ufhLiwmXI/hbIwfwNZOha3PqPw61XTNRO3VtKR7S6VurY+6/4rj8c11N4R/w&#10;munn/p0l/mK4n4i2kmga5/wkFsrfZtRi+xX4QdW6Rt/SgD1Gw/48Lf8A65r/ACqxVaw/48IB3Eaj&#10;9Ks0AFIaWkNAEE33/wAKKJvv/hRQBLH9xPoKfTI/uJ9BT6ACkPPFIX21h654v0Pw7Hv1O/jhJ6R5&#10;y5/4COaAEn8NmfXY9W/tS9SWMFViVl8sKeoxt6cVd1TSbbWNNlsLtN8EgGR3BHPFea3vx30tZClh&#10;pF5cjH3iQv6cmqUPx5G4+b4fk2DqY5wf6UBY9lhQRQqgzhQBz14qSvPNF+MPhjVXWGaWSxlbGBcL&#10;hc+m4cV3kN1FcRrJE6vG3KspyDQBPSGlpDQBBN9/8KKJvv8A4UUASx/cT6Cldto9KbGfkX6CuM+J&#10;viw+F/C7vA4+23JMUAHY45P4CgDn/HnxKuLe+/4R3wzGbnVHOx5Ixu2E/wAK+rfoKq+G/hB50o1L&#10;xbcveXsnzNAJCQD6M3f8OK0fhZ4KTSdMXXNQQyaneAsC/JjU8j8T1NemBRsHFAHDeMrbSvCXgTUp&#10;rCxtrZzEY4zHGA25uOteTfCS/itvGqWdwqvDexNEVcAgt1HWuz+OuqmLTtM0pTgzSNM4/wBlen6m&#10;vIdJnm0q+tNYQER2t0mW/XH5A0FLY+jde+GnhrXoX32KW0x/5bW42MD+HBrzaWLxT8Ib9JFd9R0C&#10;R8EZyo9j/cb0PSvd7aVLm3jnQ5WRQwPsRmor+wtdRs5rO7hSWCZSjowyCDQSUvD3iOw8S6TFqOny&#10;BonHzKeGjburD1Fa45rwfS5Lj4W/EYaXLKx0bUGARmPTJwD9QePpXuycjNAEU33/AMKKJvv/AIUU&#10;APT/AFY+n9K8V8bKfE/xl0vQ3ybazVNy9Rk/Ox/IKPwr2qP/AFa/QfyrxfRNx/aI1HzOoMmAf+uY&#10;A/SgEezxRiNAqjCgYA9qkPSgdKgvLpLSynuJGCpEjOxJxgAZoA+bvizqw1Px9corZjs0WBcHjPVv&#10;1P6VU0PTG1L4f+JGQEtayQTgD23A/oa5m+vX1LULm+kzuuZWlOevJzXq3wZsk1HSfE1k4BSeNIzn&#10;3DUFbHofwx1cat4C05y26SFPIfnPK8fyxXY4rxv4JXklpNrnh6ckS20vmKp+pVv1A/OvZF5AoJPM&#10;PjXoq3vhJb8IDLZyA5A/hbg/0rrPAmrSa14J0m/lOZXgCyE92XKk/iRn8arfEsA/DzWs/wDPAY/7&#10;6FZHwYLn4d22/OPPlx9N1AHeTff/AAoom+/+FFAD0/1Y+n9K8U8UOfDHx00/U3O23vlRiwHHQxsP&#10;0B/Gva0/1a/QfyrgPix4Vk8Q+GxdWsZN9YEyx7RyV/iA/Q/gKAR6ArBgCDkHvXE/FjVf7M+H9+qN&#10;ia8xbIP94/N/46GqD4X+Mk8SaAlpcyY1OzGyZSeWXs1cd8ddUD3emaUhH7tWndc9zwP6/nQNLU8f&#10;4A46CvVvglrljY6pqGm3EojnvNhh3cBiM5APrzXIeCPBt14w1cQoGSyhINxMB0HoPc16n45+GVvL&#10;pVve+HYPs1/p8YCLFx5ir0+rD1pDbMZf+KV+PykjZb6l8p9P3g/+LUfnXt46V8u+I/FkmvW2kahc&#10;gx6xpshhm7FwDlW+oKkH619I2OpwXWiQak0iLC8AlZycADGTTJOJ+M+sJYeCXtd+JLyRUAB52jk/&#10;yrf+HmlvpHgTSLWVdspgEsg9GcliD9M4ry6V5Pin8SY0iVm0TTyCSRwyjqT/ALx/Svd41CIABgAY&#10;FAEcv3/woom+/wDhRQBJH9xPoKJE3rilT7i/QU+gDxvxr4C1LRNY/wCEr8Jbo7hG8ya3i/XA7g9x&#10;Xmuo6lceN/GMLahLDYvMVhkaRiEiA6nnp64r6rdN3Ncl4k+G/h7xNmS7tDDc9ri3Oxx/Q/iKBpml&#10;4W0jS9D0aCy0kxtboMmRSCZG7sSOpNbLkHHTjmvGpvgxrdg//Ej8VMkeeFlVoyPxUnP5Cmt8LvHc&#10;+Fn8VxmPv+/mY/lgfzoBlL4weGdIt5P7asLq2iupG23NqrjMmeNwHr61iaPe+KvGujWXhTTlMVhC&#10;Nk84JCsuc4ZvT2HWu80j4H6XDMLjWdSudTkzkpjy4z9eSx/P8K9J0/SbPS7Zbexto7eFeiIoAoEZ&#10;nhPwpZeE9HjsrNAzfemlI5kb1P8ASuh7c0o6UhoAgm+/+FFE33/wooAckybF57DtTvOj9f0oooAP&#10;OT1/SjzY/X9KKKAE82P1/SjzY/X9KKKADzY/X9KXzk9f0oooAPOj9f0o85PX9KKKAK086CTr29KK&#10;KKAP/9l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WGCzG7QAAAAiAQAAGQAAAGRycy9fcmVscy9lMm9Eb2MueG1sLnJlbHOFj8sKwjAQRfeC/xBm&#10;b9O6EJGmbkRwK/UDhmSaRpsHSRT79wbcKAgu517uOUy7f9qJPSgm452ApqqBkZNeGacFXPrjagss&#10;ZXQKJ+9IwEwJ9t1y0Z5pwlxGaTQhsUJxScCYc9hxnuRIFlPlA7nSDD5azOWMmgeUN9TE13W94fGT&#10;Ad0Xk52UgHhSDbB+DsX8n+2HwUg6eHm35PIPBTe2uAsQo6YswJIy+A6b6hpIA+9a/vVZ9wJQSwME&#10;FAAAAAgAh07iQNk5N4cTAQAASAIAABMAAABbQ29udGVudF9UeXBlc10ueG1slZJNTsMwEIX3SNzB&#10;8hbFDl0ghJp0QQoSC6hQOYBlTxKX+EceE9rb46StBFVaiaU98715b+z5Yms60kNA7WxBb1lOCVjp&#10;lLZNQT/WT9k9JRiFVaJzFgq6A6SL8vpqvt55QJJoiwVtY/QPnKNswQhkzoNNldoFI2I6hoZ7IT9F&#10;A3yW53dcOhvBxiwOGrScV1CLry6S5TZd751sPDSUPO4bh1kF1WYQGAt8knlZPU8ibOMbOo0E6PCE&#10;Ed53WoqYFsJ7q07CZIcgLJFjD7ba401Ke2bCUPmb4/eAA/eWXiBoBWQlQnwVJqXlKiBX7tsG6Nll&#10;kcGlwczVtZbAqoBVwt6hP7o6pw4zVzn5X/HlSB21+fgPyh9QSwECFAAUAAAACACHTuJA2Tk3hxMB&#10;AABIAgAAEwAAAAAAAAABACAAAAAjFQAAW0NvbnRlbnRfVHlwZXNdLnhtbFBLAQIUAAoAAAAAAIdO&#10;4kAAAAAAAAAAAAAAAAAGAAAAAAAAAAAAEAAAAPISAABfcmVscy9QSwECFAAUAAAACACHTuJAihRm&#10;PNEAAACUAQAACwAAAAAAAAABACAAAAAWEwAAX3JlbHMvLnJlbHNQSwECFAAKAAAAAACHTuJAAAAA&#10;AAAAAAAAAAAABAAAAAAAAAAAABAAAAAAAAAAZHJzL1BLAQIUAAoAAAAAAIdO4kAAAAAAAAAAAAAA&#10;AAAKAAAAAAAAAAAAEAAAABAUAABkcnMvX3JlbHMvUEsBAhQAFAAAAAgAh07iQFhgsxu0AAAAIgEA&#10;ABkAAAAAAAAAAQAgAAAAOBQAAGRycy9fcmVscy9lMm9Eb2MueG1sLnJlbHNQSwECFAAUAAAACACH&#10;TuJAO/6fPdkAAAAIAQAADwAAAAAAAAABACAAAAAiAAAAZHJzL2Rvd25yZXYueG1sUEsBAhQAFAAA&#10;AAgAh07iQO0q1mkjBwAAazAAAA4AAAAAAAAAAQAgAAAAKAEAAGRycy9lMm9Eb2MueG1sUEsBAhQA&#10;CgAAAAAAh07iQAAAAAAAAAAAAAAAAAoAAAAAAAAAAAAQAAAAdwgAAGRycy9tZWRpYS9QSwECFAAU&#10;AAAACACHTuJAs4OF2SAKAAAbCgAAFQAAAAAAAAABACAAAACfCAAAZHJzL21lZGlhL2ltYWdlMS5q&#10;cGVnUEsFBgAAAAAKAAoAUwIAAGcWAAAAAA==&#10;">
                <o:lock v:ext="edit" aspectratio="f"/>
                <v:group id="组合 74" o:spid="_x0000_s1026" o:spt="203" style="position:absolute;left:9703;top:2058546;height:3327;width:8102;" coordorigin="9703,2058546" coordsize="8102,3327" o:gfxdata="UEsDBAoAAAAAAIdO4kAAAAAAAAAAAAAAAAAEAAAAZHJzL1BLAwQUAAAACACHTuJAbZCq+bwAAADb&#10;AAAADwAAAGRycy9kb3ducmV2LnhtbEVPS2vCQBC+F/wPyxR6q5tYLJK6hiJaehChKkhvQ3ZMQrKz&#10;Ibvm8e9dQfA2H99zlulgatFR60rLCuJpBII4s7rkXMHpuH1fgHAeWWNtmRSM5CBdTV6WmGjb8x91&#10;B5+LEMIuQQWF900ipcsKMuimtiEO3MW2Bn2AbS51i30IN7WcRdGnNFhyaCiwoXVBWXW4GgU/Pfbf&#10;H/Gm21WX9fh/nO/Pu5iUenuNoy8Qngb/FD/cvzrMn8H9l3CAXN0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tkKr5vAAAANsAAAAPAAAAAAAAAAEAIAAAACIAAABkcnMvZG93bnJldi54bWxQ&#10;SwECFAAUAAAACACHTuJAMy8FnjsAAAA5AAAAFQAAAAAAAAABACAAAAALAQAAZHJzL2dyb3Vwc2hh&#10;cGV4bWwueG1sUEsFBgAAAAAGAAYAYAEAAMgDAAAAAA==&#10;">
                  <o:lock v:ext="edit" aspectratio="f"/>
                  <v:shape id="矩形标注 51" o:spid="_x0000_s1026" o:spt="61" type="#_x0000_t61" style="position:absolute;left:16257;top:2061027;height:474;width:1548;" fillcolor="#FFFFFF" filled="t" stroked="t" coordsize="21600,21600" o:gfxdata="UEsDBAoAAAAAAIdO4kAAAAAAAAAAAAAAAAAEAAAAZHJzL1BLAwQUAAAACACHTuJALCiPJr8AAADb&#10;AAAADwAAAGRycy9kb3ducmV2LnhtbEWPQWvCQBSE7wX/w/KE3nSjaC2pqwdRKD0Uqxb09pp9JtHs&#10;25jdJPrvXUHocZiZb5jp/GoK0VDlcssKBv0IBHFidc6pgt121XsH4TyyxsIyKbiRg/ms8zLFWNuW&#10;f6jZ+FQECLsYFWTel7GULsnIoOvbkjh4R1sZ9EFWqdQVtgFuCjmMojdpMOewkGFJi4yS86Y2Ck5/&#10;363b/V7oq65Py3OjR4fReq/Ua3cQfYDwdPX/4Wf7UysYT+DxJfwAOb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wojya/&#10;AAAA2wAAAA8AAAAAAAAAAQAgAAAAIgAAAGRycy9kb3ducmV2LnhtbFBLAQIUABQAAAAIAIdO4kAz&#10;LwWeOwAAADkAAAAQAAAAAAAAAAEAIAAAAA4BAABkcnMvc2hhcGV4bWwueG1sUEsFBgAAAAAGAAYA&#10;WwEAALgDAAAAAA==&#10;" adj="3112,-27114">
                    <v:fill on="t" focussize="0,0"/>
                    <v:stroke color="#000000" joinstyle="miter"/>
                    <v:imagedata o:title=""/>
                    <o:lock v:ext="edit" aspectratio="f"/>
                    <v:textbox>
                      <w:txbxContent>
                        <w:p>
                          <w:pPr>
                            <w:widowControl/>
                            <w:autoSpaceDE/>
                            <w:autoSpaceDN/>
                            <w:spacing w:line="240" w:lineRule="atLeast"/>
                            <w:jc w:val="center"/>
                            <w:rPr>
                              <w:rFonts w:ascii="Calibri" w:hAnsi="Calibri" w:cs="Times New Roman"/>
                              <w:b/>
                              <w:bCs/>
                              <w:color w:val="auto"/>
                              <w:sz w:val="24"/>
                              <w:szCs w:val="21"/>
                              <w:lang w:val="en-US" w:bidi="ar-SA"/>
                            </w:rPr>
                          </w:pPr>
                          <w:r>
                            <w:rPr>
                              <w:rFonts w:hint="eastAsia" w:ascii="Calibri" w:hAnsi="Calibri" w:cs="Times New Roman"/>
                              <w:b/>
                              <w:bCs/>
                              <w:color w:val="auto"/>
                              <w:sz w:val="24"/>
                              <w:szCs w:val="21"/>
                              <w:lang w:val="en-US" w:bidi="ar-SA"/>
                            </w:rPr>
                            <w:t>项目所在地</w:t>
                          </w:r>
                        </w:p>
                      </w:txbxContent>
                    </v:textbox>
                  </v:shape>
                  <v:rect id="矩形 65" o:spid="_x0000_s1026" o:spt="1" style="position:absolute;left:16267;top:2060228;height:143;width:184;" fillcolor="#FF0000" filled="t" stroked="t" coordsize="21600,21600" o:gfxdata="UEsDBAoAAAAAAIdO4kAAAAAAAAAAAAAAAAAEAAAAZHJzL1BLAwQUAAAACACHTuJAz/sjIL4AAADb&#10;AAAADwAAAGRycy9kb3ducmV2LnhtbEWPQWvCQBSE74X+h+UVeqsbFUWjqwdtQBEEjd6f2dckNfs2&#10;7G6j/feuUOhxmJlvmPnybhrRkfO1ZQX9XgKCuLC65lLBKc8+JiB8QNbYWCYFv+RhuXh9mWOq7Y0P&#10;1B1DKSKEfYoKqhDaVEpfVGTQ92xLHL0v6wyGKF0ptcNbhJtGDpJkLA3WHBcqbGlVUXE9/hgFm+/t&#10;dZ1l3e4yzHN33n7uR+vhXqn3t34yAxHoHv7Df+2NVjCawvNL/AFy8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sjIL4A&#10;AADbAAAADwAAAAAAAAABACAAAAAiAAAAZHJzL2Rvd25yZXYueG1sUEsBAhQAFAAAAAgAh07iQDMv&#10;BZ47AAAAOQAAABAAAAAAAAAAAQAgAAAADQEAAGRycy9zaGFwZXhtbC54bWxQSwUGAAAAAAYABgBb&#10;AQAAtwMAAAAA&#10;">
                    <v:fill on="t" focussize="0,0"/>
                    <v:stroke color="#FF0000" joinstyle="miter"/>
                    <v:imagedata o:title=""/>
                    <o:lock v:ext="edit" aspectratio="f"/>
                    <v:textbox>
                      <w:txbxContent>
                        <w:p/>
                      </w:txbxContent>
                    </v:textbox>
                  </v:rect>
                  <v:shape id="_x0000_s1026" o:spid="_x0000_s1026" o:spt="3" type="#_x0000_t3" style="position:absolute;left:15040;top:2058941;height:292;width:316;v-text-anchor:middle;" fillcolor="#00B050" filled="t" stroked="t" coordsize="21600,21600" o:gfxdata="UEsDBAoAAAAAAIdO4kAAAAAAAAAAAAAAAAAEAAAAZHJzL1BLAwQUAAAACACHTuJAzNk5V7sAAADb&#10;AAAADwAAAGRycy9kb3ducmV2LnhtbEWPT4vCMBTE78J+h/AEbzbtHkSqsbAWseDJunh+NM+22+al&#10;22T98+2NIOxxmJnfMOvsbnpxpdG1lhUkUQyCuLK65VrB92k3X4JwHlljb5kUPMhBtvmYrDHV9sZH&#10;upa+FgHCLkUFjfdDKqWrGjLoIjsQB+9iR4M+yLGWesRbgJtefsbxQhpsOSw0ONC2oaor/4yCvPvl&#10;5bl0OR6/6lO+PxQ/XhZKzaZJvALh6e7/w+92oRUsEnh9CT9Abp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Nk5V7sAAADb&#10;AAAADwAAAAAAAAABACAAAAAiAAAAZHJzL2Rvd25yZXYueG1sUEsBAhQAFAAAAAgAh07iQDMvBZ47&#10;AAAAOQAAABAAAAAAAAAAAQAgAAAACgEAAGRycy9zaGFwZXhtbC54bWxQSwUGAAAAAAYABgBbAQAA&#10;tAMAAAAA&#10;">
                    <v:fill on="t" focussize="0,0"/>
                    <v:stroke weight="2pt" color="#FF0000 [3204]" joinstyle="round"/>
                    <v:imagedata o:title=""/>
                    <o:lock v:ext="edit" aspectratio="f"/>
                  </v:shape>
                  <v:shape id="_x0000_s1026" o:spid="_x0000_s1026" o:spt="3" type="#_x0000_t3" style="position:absolute;left:13813;top:2059182;height:292;width:316;v-text-anchor:middle;" fillcolor="#00B050" filled="t" stroked="t" coordsize="21600,21600" o:gfxdata="UEsDBAoAAAAAAIdO4kAAAAAAAAAAAAAAAAAEAAAAZHJzL1BLAwQUAAAACACHTuJAPAunILgAAADb&#10;AAAADwAAAGRycy9kb3ducmV2LnhtbEWPzQrCMBCE74LvEFbwpqkeRKpR0CIWPFnF89KsbbXZ1Cb+&#10;vb0RBI/DzHzDzJcvU4sHta6yrGA0jEAQ51ZXXCg4HjaDKQjnkTXWlknBmxwsF93OHGNtn7ynR+YL&#10;ESDsYlRQet/EUrq8JINuaBvi4J1ta9AH2RZSt/gMcFPLcRRNpMGKw0KJDa1Lyq/Z3ShIrjeenjKX&#10;4H5VHJLtLr14mSrV742iGQhPL/8P/9qpVjAZw/dL+AF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PAunILgAAADbAAAA&#10;DwAAAAAAAAABACAAAAAiAAAAZHJzL2Rvd25yZXYueG1sUEsBAhQAFAAAAAgAh07iQDMvBZ47AAAA&#10;OQAAABAAAAAAAAAAAQAgAAAABwEAAGRycy9zaGFwZXhtbC54bWxQSwUGAAAAAAYABgBbAQAAsQMA&#10;AAAA&#10;">
                    <v:fill on="t" focussize="0,0"/>
                    <v:stroke weight="2pt" color="#FF0000 [3204]" joinstyle="round"/>
                    <v:imagedata o:title=""/>
                    <o:lock v:ext="edit" aspectratio="f"/>
                  </v:shape>
                  <v:shape id="_x0000_s1026" o:spid="_x0000_s1026" o:spt="3" type="#_x0000_t3" style="position:absolute;left:10894;top:2060222;height:292;width:316;v-text-anchor:middle;" fillcolor="#00B050" filled="t" stroked="t" coordsize="21600,21600" o:gfxdata="UEsDBAoAAAAAAIdO4kAAAAAAAAAAAAAAAAAEAAAAZHJzL1BLAwQUAAAACACHTuJAU0cCu7wAAADb&#10;AAAADwAAAGRycy9kb3ducmV2LnhtbEWPQWvCQBSE70L/w/IEb2YThSCpq6BBGugpsfT8yL4m0ezb&#10;NLuN9t+7QqHHYWa+Ybb7u+nFRKPrLCtIohgEcW11x42Cj/NpuQHhPLLG3jIp+CUH+93LbIuZtjcu&#10;aap8IwKEXYYKWu+HTEpXt2TQRXYgDt6XHQ36IMdG6hFvAW56uYrjVBrsOCy0ONCxpfpa/RgF+fWb&#10;N5+Vy7E8NOf87b24eFkotZgn8SsIT3f/H/5rF1pBuobnl/AD5O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NHAru8AAAA&#10;2wAAAA8AAAAAAAAAAQAgAAAAIgAAAGRycy9kb3ducmV2LnhtbFBLAQIUABQAAAAIAIdO4kAzLwWe&#10;OwAAADkAAAAQAAAAAAAAAAEAIAAAAAsBAABkcnMvc2hhcGV4bWwueG1sUEsFBgAAAAAGAAYAWwEA&#10;ALUDAAAAAA==&#10;">
                    <v:fill on="t" focussize="0,0"/>
                    <v:stroke weight="2pt" color="#FF0000 [3204]" joinstyle="round"/>
                    <v:imagedata o:title=""/>
                    <o:lock v:ext="edit" aspectratio="f"/>
                  </v:shape>
                  <v:shape id="_x0000_s1026" o:spid="_x0000_s1026" o:spt="3" type="#_x0000_t3" style="position:absolute;left:10903;top:2061064;height:292;width:316;v-text-anchor:middle;" fillcolor="#00B050" filled="t" stroked="t" coordsize="21600,21600" o:gfxdata="UEsDBAoAAAAAAIdO4kAAAAAAAAAAAAAAAAAEAAAAZHJzL1BLAwQUAAAACACHTuJA3K6az7wAAADb&#10;AAAADwAAAGRycy9kb3ducmV2LnhtbEWPQWvCQBSE70L/w/IEb2YTkSCpq6BBGugpsfT8yL4m0ezb&#10;NLuN9t+7QqHHYWa+Ybb7u+nFRKPrLCtIohgEcW11x42Cj/NpuQHhPLLG3jIp+CUH+93LbIuZtjcu&#10;aap8IwKEXYYKWu+HTEpXt2TQRXYgDt6XHQ36IMdG6hFvAW56uYrjVBrsOCy0ONCxpfpa/RgF+fWb&#10;N5+Vy7E8NOf87b24eFkotZgn8SsIT3f/H/5rF1pBuobnl/AD5O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yums+8AAAA&#10;2wAAAA8AAAAAAAAAAQAgAAAAIgAAAGRycy9kb3ducmV2LnhtbFBLAQIUABQAAAAIAIdO4kAzLwWe&#10;OwAAADkAAAAQAAAAAAAAAAEAIAAAAAsBAABkcnMvc2hhcGV4bWwueG1sUEsFBgAAAAAGAAYAWwEA&#10;ALUDAAAAAA==&#10;">
                    <v:fill on="t" focussize="0,0"/>
                    <v:stroke weight="2pt" color="#FF0000 [3204]" joinstyle="round"/>
                    <v:imagedata o:title=""/>
                    <o:lock v:ext="edit" aspectratio="f"/>
                  </v:shape>
                  <v:shape id="_x0000_s1026" o:spid="_x0000_s1026" o:spt="3" type="#_x0000_t3" style="position:absolute;left:10445;top:2060389;height:292;width:316;v-text-anchor:middle;" fillcolor="#00B050" filled="t" stroked="t" coordsize="21600,21600" o:gfxdata="UEsDBAoAAAAAAIdO4kAAAAAAAAAAAAAAAAAEAAAAZHJzL1BLAwQUAAAACACHTuJAQzChI7oAAADb&#10;AAAADwAAAGRycy9kb3ducmV2LnhtbEWPzarCMBSE98J9h3AEdzbVRZFqFK5FLLiyiutDc2x7bU56&#10;m/j39kYQXA4z8w2zWD1MK27Uu8aygkkUgyAurW64UnA8bMYzEM4ja2wtk4InOVgtfwYLTLW9855u&#10;ha9EgLBLUUHtfZdK6cqaDLrIdsTBO9veoA+yr6Tu8R7gppXTOE6kwYbDQo0drWsqL8XVKMgu/zw7&#10;FS7D/W91yLa7/M/LXKnRcBLPQXh6+G/40861giSB95fwA+Ty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DMKEjugAAANsA&#10;AAAPAAAAAAAAAAEAIAAAACIAAABkcnMvZG93bnJldi54bWxQSwECFAAUAAAACACHTuJAMy8FnjsA&#10;AAA5AAAAEAAAAAAAAAABACAAAAAJAQAAZHJzL3NoYXBleG1sLnhtbFBLBQYAAAAABgAGAFsBAACz&#10;AwAAAAA=&#10;">
                    <v:fill on="t" focussize="0,0"/>
                    <v:stroke weight="2pt" color="#FF0000 [3204]" joinstyle="round"/>
                    <v:imagedata o:title=""/>
                    <o:lock v:ext="edit" aspectratio="f"/>
                  </v:shape>
                  <v:shape id="_x0000_s1026" o:spid="_x0000_s1026" o:spt="3" type="#_x0000_t3" style="position:absolute;left:12878;top:2061339;height:292;width:316;v-text-anchor:middle;" fillcolor="#00B050" filled="t" stroked="t" coordsize="21600,21600" o:gfxdata="UEsDBAoAAAAAAIdO4kAAAAAAAAAAAAAAAAAEAAAAZHJzL1BLAwQUAAAACACHTuJALHwEuLwAAADb&#10;AAAADwAAAGRycy9kb3ducmV2LnhtbEWPQWvCQBSE74L/YXlCb7qxB5U0G6GGYsBTonh+ZF+T1Ozb&#10;mF01/feuUOhxmJlvmGQ7mk7caXCtZQXLRQSCuLK65VrB6fg134BwHlljZ5kU/JKDbTqdJBhr++CC&#10;7qWvRYCwi1FB430fS+mqhgy6he2Jg/dtB4M+yKGWesBHgJtOvkfRShpsOSw02NOuoepS3oyC7HLl&#10;zbl0GRaf9THbH/IfL3Ol3mbL6AOEp9H/h//auVawWsPrS/gBMn0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x8BLi8AAAA&#10;2wAAAA8AAAAAAAAAAQAgAAAAIgAAAGRycy9kb3ducmV2LnhtbFBLAQIUABQAAAAIAIdO4kAzLwWe&#10;OwAAADkAAAAQAAAAAAAAAAEAIAAAAAsBAABkcnMvc2hhcGV4bWwueG1sUEsFBgAAAAAGAAYAWwEA&#10;ALUDAAAAAA==&#10;">
                    <v:fill on="t" focussize="0,0"/>
                    <v:stroke weight="2pt" color="#FF0000 [3204]" joinstyle="round"/>
                    <v:imagedata o:title=""/>
                    <o:lock v:ext="edit" aspectratio="f"/>
                  </v:shape>
                  <v:shape id="_x0000_s1026" o:spid="_x0000_s1026" o:spt="202" type="#_x0000_t202" style="position:absolute;left:15372;top:2058546;height:472;width:2308;" fillcolor="#FFFFFF" filled="t" stroked="t" coordsize="21600,21600" o:gfxdata="UEsDBAoAAAAAAIdO4kAAAAAAAAAAAAAAAAAEAAAAZHJzL1BLAwQUAAAACACHTuJAne6wa7gAAADb&#10;AAAADwAAAGRycy9kb3ducmV2LnhtbEVPTWuDQBC9B/oflinklqzmIMG6CikIQmlAk9wHd6oSd1bc&#10;rab/vnsI5Ph431nxMKNYaHaDZQXxPgJB3Fo9cKfgeil3RxDOI2scLZOCP3JQ5G+bDFNtV65paXwn&#10;Qgi7FBX03k+plK7tyaDb24k4cD92NugDnDupZ1xDuBnlIYoSaXDg0NDjRJ89tffm1yj4vjblcjpX&#10;bMrq6+DqZK2H26rU9j2OPkB4eviX+OmutIIkjA1fwg+Q+T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ne6wa7gAAADbAAAA&#10;DwAAAAAAAAABACAAAAAiAAAAZHJzL2Rvd25yZXYueG1sUEsBAhQAFAAAAAgAh07iQDMvBZ47AAAA&#10;OQAAABAAAAAAAAAAAQAgAAAABwEAAGRycy9zaGFwZXhtbC54bWxQSwUGAAAAAAYABgBbAQAAsQMA&#10;AAAA&#10;">
                    <v:fill on="t" opacity="32768f" focussize="0,0"/>
                    <v:stroke weight="0.5pt" color="#000000 [3204]" joinstyle="round"/>
                    <v:imagedata o:title=""/>
                    <o:lock v:ext="edit" aspectratio="f"/>
                    <v:textbox>
                      <w:txbxContent>
                        <w:p>
                          <w:pPr>
                            <w:rPr>
                              <w:rFonts w:hint="default" w:eastAsia="宋体"/>
                              <w:b/>
                              <w:bCs/>
                              <w:lang w:val="en-US" w:eastAsia="zh-CN"/>
                            </w:rPr>
                          </w:pPr>
                          <w:r>
                            <w:rPr>
                              <w:rFonts w:hint="eastAsia"/>
                              <w:b/>
                              <w:bCs/>
                              <w:lang w:val="en-US" w:eastAsia="zh-CN"/>
                            </w:rPr>
                            <w:t>鹫峰山省级森林公园</w:t>
                          </w:r>
                        </w:p>
                      </w:txbxContent>
                    </v:textbox>
                  </v:shape>
                  <v:shape id="_x0000_s1026" o:spid="_x0000_s1026" o:spt="202" type="#_x0000_t202" style="position:absolute;left:14187;top:2059327;height:472;width:1576;" fillcolor="#FFFFFF" filled="t" stroked="t" coordsize="21600,21600" o:gfxdata="UEsDBAoAAAAAAIdO4kAAAAAAAAAAAAAAAAAEAAAAZHJzL1BLAwQUAAAACACHTuJA8qIV8LsAAADb&#10;AAAADwAAAGRycy9kb3ducmV2LnhtbEWPQYvCMBSE78L+h/AW9qapHopWo+BCobCs0Frvj+bZFpuX&#10;0mRb998bQfA4zMw3zO5wN50YaXCtZQXLRQSCuLK65VpBeU7naxDOI2vsLJOCf3Jw2H/MdphoO3FO&#10;Y+FrESDsElTQeN8nUrqqIYNuYXvi4F3tYNAHOdRSDzgFuOnkKopiabDlsNBgT98NVbfizyj4LYt0&#10;PJ4yNmn2s3J5POXtZVLq63MZbUF4uvt3+NXOtIJ4A88v4QfI/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qIV8LsAAADb&#10;AAAADwAAAAAAAAABACAAAAAiAAAAZHJzL2Rvd25yZXYueG1sUEsBAhQAFAAAAAgAh07iQDMvBZ47&#10;AAAAOQAAABAAAAAAAAAAAQAgAAAACgEAAGRycy9zaGFwZXhtbC54bWxQSwUGAAAAAAYABgBbAQAA&#10;tAMAAAAA&#10;">
                    <v:fill on="t" opacity="32768f" focussize="0,0"/>
                    <v:stroke weight="0.5pt" color="#000000 [3204]" joinstyle="round"/>
                    <v:imagedata o:title=""/>
                    <o:lock v:ext="edit" aspectratio="f"/>
                    <v:textbox>
                      <w:txbxContent>
                        <w:p>
                          <w:pPr>
                            <w:rPr>
                              <w:rFonts w:hint="default" w:eastAsia="宋体"/>
                              <w:b/>
                              <w:bCs/>
                              <w:lang w:val="en-US" w:eastAsia="zh-CN"/>
                            </w:rPr>
                          </w:pPr>
                          <w:r>
                            <w:rPr>
                              <w:rFonts w:hint="eastAsia"/>
                              <w:b/>
                              <w:bCs/>
                              <w:lang w:val="en-US" w:eastAsia="zh-CN"/>
                            </w:rPr>
                            <w:t>省级地质公园</w:t>
                          </w:r>
                        </w:p>
                      </w:txbxContent>
                    </v:textbox>
                  </v:shape>
                  <v:shape id="_x0000_s1026" o:spid="_x0000_s1026" o:spt="202" type="#_x0000_t202" style="position:absolute;left:10329;top:2059711;height:472;width:2432;" fillcolor="#FFFFFF" filled="t" stroked="t" coordsize="21600,21600" o:gfxdata="UEsDBAoAAAAAAIdO4kAAAAAAAAAAAAAAAAAEAAAAZHJzL1BLAwQUAAAACACHTuJA5kEqsLkAAADb&#10;AAAADwAAAGRycy9kb3ducmV2LnhtbEVPTYvCMBC9L/gfwgje1lQPulTTwi4UCqLQbr0PzWxbtpmU&#10;Jrb6781B8Ph438f0bnox0eg6ywo26wgEcW11x42C6jf7/ALhPLLG3jIpeJCDNFl8HDHWduaCptI3&#10;IoSwi1FB6/0QS+nqlgy6tR2IA/dnR4M+wLGResQ5hJtebqNoJw12HBpaHOinpfq/vBkF56rMpu9L&#10;zibLT1tX7Oaiu85KrZab6ADC092/xS93rhXsw/rwJfwAmTw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ZBKrC5AAAA2wAA&#10;AA8AAAAAAAAAAQAgAAAAIgAAAGRycy9kb3ducmV2LnhtbFBLAQIUABQAAAAIAIdO4kAzLwWeOwAA&#10;ADkAAAAQAAAAAAAAAAEAIAAAAAgBAABkcnMvc2hhcGV4bWwueG1sUEsFBgAAAAAGAAYAWwEAALID&#10;AAAAAA==&#10;">
                    <v:fill on="t" opacity="32768f" focussize="0,0"/>
                    <v:stroke weight="0.5pt" color="#000000 [3204]" joinstyle="round"/>
                    <v:imagedata o:title=""/>
                    <o:lock v:ext="edit" aspectratio="f"/>
                    <v:textbox>
                      <w:txbxContent>
                        <w:p>
                          <w:pPr>
                            <w:rPr>
                              <w:rFonts w:hint="default" w:eastAsia="宋体"/>
                              <w:b/>
                              <w:bCs/>
                              <w:lang w:val="en-US" w:eastAsia="zh-CN"/>
                            </w:rPr>
                          </w:pPr>
                          <w:r>
                            <w:rPr>
                              <w:rFonts w:hint="eastAsia"/>
                              <w:b/>
                              <w:bCs/>
                              <w:lang w:val="en-US" w:eastAsia="zh-CN"/>
                            </w:rPr>
                            <w:t>清东陵国家</w:t>
                          </w:r>
                          <w:r>
                            <w:rPr>
                              <w:rFonts w:hint="eastAsia" w:ascii="Times New Roman" w:eastAsia="宋体"/>
                              <w:b/>
                              <w:bCs/>
                              <w:lang w:val="en-US" w:eastAsia="zh-CN"/>
                            </w:rPr>
                            <w:t>级森林公园</w:t>
                          </w:r>
                        </w:p>
                      </w:txbxContent>
                    </v:textbox>
                  </v:shape>
                  <v:shape id="_x0000_s1026" o:spid="_x0000_s1026" o:spt="202" type="#_x0000_t202" style="position:absolute;left:9703;top:2060686;height:472;width:2059;" fillcolor="#FFFFFF" filled="t" stroked="t" coordsize="21600,21600" o:gfxdata="UEsDBAoAAAAAAIdO4kAAAAAAAAAAAAAAAAAEAAAAZHJzL1BLAwQUAAAACACHTuJAiQ2PK7wAAADb&#10;AAAADwAAAGRycy9kb3ducmV2LnhtbEWPwWrDMBBE74X8g9hCbrXsHNLiWAm0YDCUBOwm98Xa2KLW&#10;yliKnf59VCj0OMzMG6Y43O0gZpq8cawgS1IQxK3ThjsF56/y5Q2ED8gaB8ek4Ic8HParpwJz7Rau&#10;aW5CJyKEfY4K+hDGXErf9mTRJ24kjt7VTRZDlFMn9YRLhNtBbtJ0Ky0ajgs9jvTRU/vd3KyC47kp&#10;5/dTxbasPje+3i61uSxKrZ+zdAci0D38h//alVbwmsHvl/gD5P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kNjyu8AAAA&#10;2wAAAA8AAAAAAAAAAQAgAAAAIgAAAGRycy9kb3ducmV2LnhtbFBLAQIUABQAAAAIAIdO4kAzLwWe&#10;OwAAADkAAAAQAAAAAAAAAAEAIAAAAAsBAABkcnMvc2hhcGV4bWwueG1sUEsFBgAAAAAGAAYAWwEA&#10;ALUDAAAAAA==&#10;">
                    <v:fill on="t" opacity="32768f" focussize="0,0"/>
                    <v:stroke weight="0.5pt" color="#000000 [3204]" joinstyle="round"/>
                    <v:imagedata o:title=""/>
                    <o:lock v:ext="edit" aspectratio="f"/>
                    <v:textbox>
                      <w:txbxContent>
                        <w:p>
                          <w:pPr>
                            <w:rPr>
                              <w:rFonts w:hint="default" w:eastAsia="宋体"/>
                              <w:b/>
                              <w:bCs/>
                              <w:lang w:val="en-US" w:eastAsia="zh-CN"/>
                            </w:rPr>
                          </w:pPr>
                          <w:r>
                            <w:rPr>
                              <w:rFonts w:hint="eastAsia"/>
                              <w:b/>
                              <w:bCs/>
                              <w:lang w:val="en-US" w:eastAsia="zh-CN"/>
                            </w:rPr>
                            <w:t>省级地质自然公园</w:t>
                          </w:r>
                        </w:p>
                      </w:txbxContent>
                    </v:textbox>
                  </v:shape>
                  <v:shape id="_x0000_s1026" o:spid="_x0000_s1026" o:spt="202" type="#_x0000_t202" style="position:absolute;left:9927;top:2061401;height:472;width:2432;" fillcolor="#FFFFFF" filled="t" stroked="t" coordsize="21600,21600" o:gfxdata="UEsDBAoAAAAAAIdO4kAAAAAAAAAAAAAAAAAEAAAAZHJzL1BLAwQUAAAACACHTuJAed8RXLsAAADb&#10;AAAADwAAAGRycy9kb3ducmV2LnhtbEWPQYvCMBSE78L+h/AW9qapPahUo+BCoSC70Frvj+bZFpuX&#10;0mRb/fcbQfA4zMw3zO5wN50YaXCtZQXLRQSCuLK65VpBeU7nGxDOI2vsLJOCBzk47D9mO0y0nTin&#10;sfC1CBB2CSpovO8TKV3VkEG3sD1x8K52MOiDHGqpB5wC3HQyjqKVNNhyWGiwp++GqlvxZxT8lEU6&#10;Hn8zNml2il2+mvL2Min19bmMtiA83f07/GpnWsE6hueX8APk/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d8RXLsAAADb&#10;AAAADwAAAAAAAAABACAAAAAiAAAAZHJzL2Rvd25yZXYueG1sUEsBAhQAFAAAAAgAh07iQDMvBZ47&#10;AAAAOQAAABAAAAAAAAAAAQAgAAAACgEAAGRycy9zaGFwZXhtbC54bWxQSwUGAAAAAAYABgBbAQAA&#10;tAMAAAAA&#10;">
                    <v:fill on="t" opacity="32768f" focussize="0,0"/>
                    <v:stroke weight="0.5pt" color="#000000 [3204]" joinstyle="round"/>
                    <v:imagedata o:title=""/>
                    <o:lock v:ext="edit" aspectratio="f"/>
                    <v:textbox>
                      <w:txbxContent>
                        <w:p>
                          <w:pPr>
                            <w:rPr>
                              <w:rFonts w:hint="default" w:eastAsia="宋体"/>
                              <w:b/>
                              <w:bCs/>
                              <w:lang w:val="en-US" w:eastAsia="zh-CN"/>
                            </w:rPr>
                          </w:pPr>
                          <w:r>
                            <w:rPr>
                              <w:rFonts w:hint="eastAsia"/>
                              <w:b/>
                              <w:bCs/>
                              <w:lang w:val="en-US" w:eastAsia="zh-CN"/>
                            </w:rPr>
                            <w:t>清东陵国家</w:t>
                          </w:r>
                          <w:r>
                            <w:rPr>
                              <w:rFonts w:hint="eastAsia" w:ascii="Times New Roman" w:eastAsia="宋体"/>
                              <w:b/>
                              <w:bCs/>
                              <w:lang w:val="en-US" w:eastAsia="zh-CN"/>
                            </w:rPr>
                            <w:t>级森林公园</w:t>
                          </w:r>
                        </w:p>
                      </w:txbxContent>
                    </v:textbox>
                  </v:shape>
                  <v:shape id="_x0000_s1026" o:spid="_x0000_s1026" o:spt="202" type="#_x0000_t202" style="position:absolute;left:13235;top:2061318;height:472;width:2432;" fillcolor="#FFFFFF" filled="t" stroked="t" coordsize="21600,21600" o:gfxdata="UEsDBAoAAAAAAIdO4kAAAAAAAAAAAAAAAAAEAAAAZHJzL1BLAwQUAAAACACHTuJAFpO0x7wAAADb&#10;AAAADwAAAGRycy9kb3ducmV2LnhtbEWPQWuDQBSE74H+h+UVektWLZhiswm0IAglAW16f7gvKnHf&#10;irtV+++7gUCOw8x8w+wOi+nFRKPrLCuINxEI4trqjhsF5+98/QbCeWSNvWVS8EcODvun1Q4zbWcu&#10;aap8IwKEXYYKWu+HTEpXt2TQbexAHLyLHQ36IMdG6hHnADe9TKIolQY7DgstDvTZUn2tfo2C47nK&#10;p49TwSYvvhJXpnPZ/cxKvTzH0TsIT4t/hO/tQivYvsLtS/gBcv8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aTtMe8AAAA&#10;2wAAAA8AAAAAAAAAAQAgAAAAIgAAAGRycy9kb3ducmV2LnhtbFBLAQIUABQAAAAIAIdO4kAzLwWe&#10;OwAAADkAAAAQAAAAAAAAAAEAIAAAAAsBAABkcnMvc2hhcGV4bWwueG1sUEsFBgAAAAAGAAYAWwEA&#10;ALUDAAAAAA==&#10;">
                    <v:fill on="t" opacity="32768f" focussize="0,0"/>
                    <v:stroke weight="0.5pt" color="#000000 [3204]" joinstyle="round"/>
                    <v:imagedata o:title=""/>
                    <o:lock v:ext="edit" aspectratio="f"/>
                    <v:textbox>
                      <w:txbxContent>
                        <w:p>
                          <w:pPr>
                            <w:rPr>
                              <w:rFonts w:hint="default" w:eastAsia="宋体"/>
                              <w:b/>
                              <w:bCs/>
                              <w:lang w:val="en-US" w:eastAsia="zh-CN"/>
                            </w:rPr>
                          </w:pPr>
                          <w:r>
                            <w:rPr>
                              <w:rFonts w:hint="eastAsia"/>
                              <w:b/>
                              <w:bCs/>
                              <w:lang w:val="en-US" w:eastAsia="zh-CN"/>
                            </w:rPr>
                            <w:t>小滨海寨省</w:t>
                          </w:r>
                          <w:r>
                            <w:rPr>
                              <w:rFonts w:hint="eastAsia" w:ascii="Times New Roman" w:eastAsia="宋体"/>
                              <w:b/>
                              <w:bCs/>
                              <w:lang w:val="en-US" w:eastAsia="zh-CN"/>
                            </w:rPr>
                            <w:t>级森林公园</w:t>
                          </w:r>
                        </w:p>
                      </w:txbxContent>
                    </v:textbox>
                  </v:shape>
                </v:group>
                <v:shape id="图片 68" o:spid="_x0000_s1026" o:spt="75" alt="指北针" type="#_x0000_t75" style="position:absolute;left:9917;top:2058174;height:862;width:608;" filled="f" o:preferrelative="t" stroked="f" coordsize="21600,21600" o:gfxdata="UEsDBAoAAAAAAIdO4kAAAAAAAAAAAAAAAAAEAAAAZHJzL1BLAwQUAAAACACHTuJAswC1g7sAAADb&#10;AAAADwAAAGRycy9kb3ducmV2LnhtbEWP0YrCMBRE3xf8h3AF39a0Cy6lGkUEwYfFZa0fcGmubbG5&#10;iUm09e/NwsI+DjNzhlltRtOLB/nQWVaQzzMQxLXVHTcKztX+vQARIrLG3jIpeFKAzXrytsJS24F/&#10;6HGKjUgQDiUqaGN0pZShbslgmFtHnLyL9QZjkr6R2uOQ4KaXH1n2KQ12nBZadLRrqb6e7kbBvXKV&#10;+24ut+OXH3Wx8NvCHgelZtM8W4KINMb/8F/7oBUUOfx+ST9Ar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wC1g7sAAADb&#10;AAAADwAAAAAAAAABACAAAAAiAAAAZHJzL2Rvd25yZXYueG1sUEsBAhQAFAAAAAgAh07iQDMvBZ47&#10;AAAAOQAAABAAAAAAAAAAAQAgAAAACgEAAGRycy9zaGFwZXhtbC54bWxQSwUGAAAAAAYABgBbAQAA&#10;tAMAAAAA&#10;">
                  <v:fill on="f" focussize="0,0"/>
                  <v:stroke on="f" miterlimit="8" joinstyle="miter"/>
                  <v:imagedata r:id="rId48" o:title=""/>
                  <o:lock v:ext="edit" aspectratio="t"/>
                </v:shape>
              </v:group>
            </w:pict>
          </mc:Fallback>
        </mc:AlternateContent>
      </w:r>
      <w:r>
        <w:rPr>
          <w:rFonts w:hint="eastAsia"/>
          <w:color w:val="auto"/>
          <w:kern w:val="0"/>
          <w:sz w:val="24"/>
          <w:highlight w:val="none"/>
          <w:lang w:val="zh-CN"/>
        </w:rPr>
        <w:drawing>
          <wp:inline distT="0" distB="0" distL="114300" distR="114300">
            <wp:extent cx="5368290" cy="4065905"/>
            <wp:effectExtent l="0" t="0" r="3810" b="10795"/>
            <wp:docPr id="55" name="图片 55" descr="自然保护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自然保护区"/>
                    <pic:cNvPicPr>
                      <a:picLocks noChangeAspect="1"/>
                    </pic:cNvPicPr>
                  </pic:nvPicPr>
                  <pic:blipFill>
                    <a:blip r:embed="rId69"/>
                    <a:stretch>
                      <a:fillRect/>
                    </a:stretch>
                  </pic:blipFill>
                  <pic:spPr>
                    <a:xfrm>
                      <a:off x="0" y="0"/>
                      <a:ext cx="5368290" cy="4065905"/>
                    </a:xfrm>
                    <a:prstGeom prst="rect">
                      <a:avLst/>
                    </a:prstGeom>
                  </pic:spPr>
                </pic:pic>
              </a:graphicData>
            </a:graphic>
          </wp:inline>
        </w:drawing>
      </w:r>
    </w:p>
    <w:p>
      <w:pPr>
        <w:autoSpaceDE w:val="0"/>
        <w:autoSpaceDN w:val="0"/>
        <w:adjustRightInd w:val="0"/>
        <w:spacing w:line="480" w:lineRule="exact"/>
        <w:ind w:left="0" w:leftChars="0" w:right="0" w:rightChars="0" w:firstLine="0" w:firstLineChars="0"/>
        <w:jc w:val="center"/>
        <w:rPr>
          <w:rFonts w:hint="eastAsia"/>
          <w:color w:val="auto"/>
          <w:kern w:val="0"/>
          <w:sz w:val="24"/>
          <w:highlight w:val="none"/>
          <w:lang w:val="zh-CN"/>
        </w:rPr>
      </w:pPr>
      <w:r>
        <w:rPr>
          <w:b/>
          <w:color w:val="auto"/>
          <w:kern w:val="0"/>
          <w:sz w:val="24"/>
          <w:highlight w:val="none"/>
        </w:rPr>
        <w:t>图</w:t>
      </w:r>
      <w:r>
        <w:rPr>
          <w:rFonts w:hint="eastAsia"/>
          <w:b/>
          <w:color w:val="auto"/>
          <w:kern w:val="0"/>
          <w:sz w:val="24"/>
          <w:highlight w:val="none"/>
        </w:rPr>
        <w:t>4</w:t>
      </w:r>
      <w:r>
        <w:rPr>
          <w:b/>
          <w:color w:val="auto"/>
          <w:kern w:val="0"/>
          <w:sz w:val="24"/>
          <w:highlight w:val="none"/>
        </w:rPr>
        <w:t>.9-</w:t>
      </w:r>
      <w:r>
        <w:rPr>
          <w:rFonts w:hint="eastAsia"/>
          <w:b/>
          <w:color w:val="auto"/>
          <w:kern w:val="0"/>
          <w:sz w:val="24"/>
          <w:highlight w:val="none"/>
          <w:lang w:val="en-US" w:eastAsia="zh-CN"/>
        </w:rPr>
        <w:t xml:space="preserve">3 </w:t>
      </w:r>
      <w:r>
        <w:rPr>
          <w:b/>
          <w:color w:val="auto"/>
          <w:kern w:val="0"/>
          <w:sz w:val="24"/>
          <w:highlight w:val="none"/>
        </w:rPr>
        <w:t xml:space="preserve"> </w:t>
      </w:r>
      <w:r>
        <w:rPr>
          <w:rFonts w:hint="eastAsia"/>
          <w:b/>
          <w:color w:val="auto"/>
          <w:kern w:val="0"/>
          <w:sz w:val="24"/>
          <w:highlight w:val="none"/>
          <w:lang w:eastAsia="zh-CN"/>
        </w:rPr>
        <w:t>本项目与遵化市自然保护区位置</w:t>
      </w:r>
      <w:r>
        <w:rPr>
          <w:rFonts w:hint="eastAsia"/>
          <w:b/>
          <w:color w:val="auto"/>
          <w:kern w:val="0"/>
          <w:sz w:val="24"/>
          <w:highlight w:val="none"/>
          <w:lang w:val="zh-CN"/>
        </w:rPr>
        <w:t>图</w:t>
      </w:r>
    </w:p>
    <w:p>
      <w:pPr>
        <w:autoSpaceDE w:val="0"/>
        <w:autoSpaceDN w:val="0"/>
        <w:adjustRightInd w:val="0"/>
        <w:spacing w:line="480" w:lineRule="exact"/>
        <w:rPr>
          <w:rFonts w:hint="eastAsia"/>
          <w:color w:val="auto"/>
          <w:kern w:val="0"/>
          <w:sz w:val="24"/>
          <w:highlight w:val="none"/>
        </w:rPr>
      </w:pPr>
      <w:r>
        <w:rPr>
          <w:rFonts w:hint="eastAsia"/>
          <w:b/>
          <w:bCs/>
          <w:color w:val="auto"/>
          <w:sz w:val="24"/>
          <w:highlight w:val="none"/>
          <w:lang w:val="en-US" w:eastAsia="zh-CN"/>
        </w:rPr>
        <w:t xml:space="preserve">4.9.3.4 </w:t>
      </w:r>
      <w:r>
        <w:rPr>
          <w:rFonts w:hint="eastAsia"/>
          <w:b/>
          <w:bCs/>
          <w:color w:val="auto"/>
          <w:kern w:val="0"/>
          <w:sz w:val="24"/>
          <w:highlight w:val="none"/>
        </w:rPr>
        <w:t>区域陆生生物调查</w:t>
      </w:r>
    </w:p>
    <w:p>
      <w:pPr>
        <w:autoSpaceDE w:val="0"/>
        <w:autoSpaceDN w:val="0"/>
        <w:adjustRightInd w:val="0"/>
        <w:spacing w:line="480" w:lineRule="exact"/>
        <w:ind w:firstLine="480"/>
        <w:rPr>
          <w:rFonts w:hint="eastAsia"/>
          <w:color w:val="auto"/>
          <w:kern w:val="0"/>
          <w:sz w:val="24"/>
          <w:highlight w:val="none"/>
        </w:rPr>
      </w:pPr>
      <w:r>
        <w:rPr>
          <w:rFonts w:hint="eastAsia"/>
          <w:color w:val="auto"/>
          <w:kern w:val="0"/>
          <w:sz w:val="24"/>
          <w:highlight w:val="none"/>
          <w:lang w:eastAsia="zh-CN"/>
        </w:rPr>
        <w:t>（</w:t>
      </w:r>
      <w:r>
        <w:rPr>
          <w:rFonts w:hint="eastAsia"/>
          <w:color w:val="auto"/>
          <w:kern w:val="0"/>
          <w:sz w:val="24"/>
          <w:highlight w:val="none"/>
          <w:lang w:val="en-US" w:eastAsia="zh-CN"/>
        </w:rPr>
        <w:t>1</w:t>
      </w:r>
      <w:r>
        <w:rPr>
          <w:rFonts w:hint="eastAsia"/>
          <w:color w:val="auto"/>
          <w:kern w:val="0"/>
          <w:sz w:val="24"/>
          <w:highlight w:val="none"/>
          <w:lang w:eastAsia="zh-CN"/>
        </w:rPr>
        <w:t>）</w:t>
      </w:r>
      <w:r>
        <w:rPr>
          <w:rFonts w:hint="eastAsia"/>
          <w:color w:val="auto"/>
          <w:kern w:val="0"/>
          <w:sz w:val="24"/>
          <w:highlight w:val="none"/>
        </w:rPr>
        <w:t>调查时间</w:t>
      </w:r>
    </w:p>
    <w:p>
      <w:pPr>
        <w:autoSpaceDE w:val="0"/>
        <w:autoSpaceDN w:val="0"/>
        <w:adjustRightInd w:val="0"/>
        <w:spacing w:line="480" w:lineRule="exact"/>
        <w:ind w:firstLine="480"/>
        <w:rPr>
          <w:rFonts w:hint="eastAsia"/>
          <w:color w:val="auto"/>
          <w:kern w:val="0"/>
          <w:sz w:val="24"/>
          <w:highlight w:val="none"/>
        </w:rPr>
      </w:pPr>
      <w:r>
        <w:rPr>
          <w:rFonts w:hint="eastAsia"/>
          <w:color w:val="auto"/>
          <w:kern w:val="0"/>
          <w:sz w:val="24"/>
          <w:highlight w:val="none"/>
        </w:rPr>
        <w:t>本次环评组织技术人员于202</w:t>
      </w:r>
      <w:r>
        <w:rPr>
          <w:rFonts w:hint="eastAsia"/>
          <w:color w:val="auto"/>
          <w:kern w:val="0"/>
          <w:sz w:val="24"/>
          <w:highlight w:val="none"/>
          <w:lang w:val="en-US" w:eastAsia="zh-CN"/>
        </w:rPr>
        <w:t>3</w:t>
      </w:r>
      <w:r>
        <w:rPr>
          <w:rFonts w:hint="eastAsia"/>
          <w:color w:val="auto"/>
          <w:kern w:val="0"/>
          <w:sz w:val="24"/>
          <w:highlight w:val="none"/>
        </w:rPr>
        <w:t>年</w:t>
      </w:r>
      <w:r>
        <w:rPr>
          <w:rFonts w:hint="eastAsia"/>
          <w:color w:val="auto"/>
          <w:kern w:val="0"/>
          <w:sz w:val="24"/>
          <w:highlight w:val="none"/>
          <w:lang w:val="en-US" w:eastAsia="zh-CN"/>
        </w:rPr>
        <w:t>7</w:t>
      </w:r>
      <w:r>
        <w:rPr>
          <w:rFonts w:hint="eastAsia"/>
          <w:color w:val="auto"/>
          <w:kern w:val="0"/>
          <w:sz w:val="24"/>
          <w:highlight w:val="none"/>
        </w:rPr>
        <w:t>月对工程所在区域陆生生态环境现状进行了实地调橡胶坝上游</w:t>
      </w:r>
      <w:r>
        <w:rPr>
          <w:rFonts w:hint="eastAsia"/>
          <w:color w:val="auto"/>
          <w:kern w:val="0"/>
          <w:sz w:val="24"/>
          <w:highlight w:val="none"/>
          <w:lang w:val="en-US" w:eastAsia="zh-CN"/>
        </w:rPr>
        <w:t>50</w:t>
      </w:r>
      <w:r>
        <w:rPr>
          <w:rFonts w:hint="eastAsia"/>
          <w:color w:val="auto"/>
          <w:kern w:val="0"/>
          <w:sz w:val="24"/>
          <w:highlight w:val="none"/>
        </w:rPr>
        <w:t>0m至尾水渠下游1000m的两侧各外延</w:t>
      </w:r>
      <w:r>
        <w:rPr>
          <w:rFonts w:hint="eastAsia"/>
          <w:color w:val="auto"/>
          <w:kern w:val="0"/>
          <w:sz w:val="24"/>
          <w:highlight w:val="none"/>
          <w:lang w:val="en-US" w:eastAsia="zh-CN"/>
        </w:rPr>
        <w:t>3</w:t>
      </w:r>
      <w:r>
        <w:rPr>
          <w:rFonts w:hint="eastAsia"/>
          <w:color w:val="auto"/>
          <w:kern w:val="0"/>
          <w:sz w:val="24"/>
          <w:highlight w:val="none"/>
        </w:rPr>
        <w:t>00m。</w:t>
      </w:r>
    </w:p>
    <w:p>
      <w:pPr>
        <w:autoSpaceDE w:val="0"/>
        <w:autoSpaceDN w:val="0"/>
        <w:adjustRightInd w:val="0"/>
        <w:spacing w:line="480" w:lineRule="exact"/>
        <w:ind w:firstLine="480"/>
        <w:rPr>
          <w:rFonts w:hint="eastAsia"/>
          <w:color w:val="auto"/>
          <w:kern w:val="0"/>
          <w:sz w:val="24"/>
          <w:highlight w:val="none"/>
        </w:rPr>
      </w:pPr>
      <w:r>
        <w:rPr>
          <w:rFonts w:hint="eastAsia"/>
          <w:color w:val="auto"/>
          <w:kern w:val="0"/>
          <w:sz w:val="24"/>
          <w:highlight w:val="none"/>
        </w:rPr>
        <w:t>①调查范围</w:t>
      </w:r>
    </w:p>
    <w:p>
      <w:pPr>
        <w:autoSpaceDE w:val="0"/>
        <w:autoSpaceDN w:val="0"/>
        <w:adjustRightInd w:val="0"/>
        <w:spacing w:line="480" w:lineRule="exact"/>
        <w:ind w:firstLine="480"/>
        <w:rPr>
          <w:rFonts w:hint="eastAsia"/>
          <w:color w:val="auto"/>
          <w:kern w:val="0"/>
          <w:sz w:val="24"/>
          <w:highlight w:val="none"/>
        </w:rPr>
      </w:pPr>
      <w:r>
        <w:rPr>
          <w:rFonts w:hint="eastAsia"/>
          <w:color w:val="auto"/>
          <w:kern w:val="0"/>
          <w:sz w:val="24"/>
          <w:highlight w:val="none"/>
        </w:rPr>
        <w:t>水电站橡胶坝上游</w:t>
      </w:r>
      <w:r>
        <w:rPr>
          <w:rFonts w:hint="eastAsia"/>
          <w:color w:val="auto"/>
          <w:kern w:val="0"/>
          <w:sz w:val="24"/>
          <w:highlight w:val="none"/>
          <w:lang w:val="en-US" w:eastAsia="zh-CN"/>
        </w:rPr>
        <w:t>50</w:t>
      </w:r>
      <w:r>
        <w:rPr>
          <w:rFonts w:hint="eastAsia"/>
          <w:color w:val="auto"/>
          <w:kern w:val="0"/>
          <w:sz w:val="24"/>
          <w:highlight w:val="none"/>
        </w:rPr>
        <w:t>0m至尾水渠下游1000m的两侧各外延</w:t>
      </w:r>
      <w:r>
        <w:rPr>
          <w:rFonts w:hint="eastAsia"/>
          <w:color w:val="auto"/>
          <w:kern w:val="0"/>
          <w:sz w:val="24"/>
          <w:highlight w:val="none"/>
          <w:lang w:val="en-US" w:eastAsia="zh-CN"/>
        </w:rPr>
        <w:t>3</w:t>
      </w:r>
      <w:r>
        <w:rPr>
          <w:rFonts w:hint="eastAsia"/>
          <w:color w:val="auto"/>
          <w:kern w:val="0"/>
          <w:sz w:val="24"/>
          <w:highlight w:val="none"/>
        </w:rPr>
        <w:t>00m。</w:t>
      </w:r>
    </w:p>
    <w:p>
      <w:pPr>
        <w:autoSpaceDE w:val="0"/>
        <w:autoSpaceDN w:val="0"/>
        <w:adjustRightInd w:val="0"/>
        <w:spacing w:line="480" w:lineRule="exact"/>
        <w:ind w:firstLine="480"/>
        <w:rPr>
          <w:rFonts w:hint="eastAsia"/>
          <w:color w:val="auto"/>
          <w:kern w:val="0"/>
          <w:sz w:val="24"/>
          <w:highlight w:val="none"/>
        </w:rPr>
      </w:pPr>
      <w:r>
        <w:rPr>
          <w:rFonts w:hint="eastAsia"/>
          <w:color w:val="auto"/>
          <w:kern w:val="0"/>
          <w:sz w:val="24"/>
          <w:highlight w:val="none"/>
          <w:lang w:val="en-US" w:eastAsia="zh-CN"/>
        </w:rPr>
        <w:fldChar w:fldCharType="begin"/>
      </w:r>
      <w:r>
        <w:rPr>
          <w:rFonts w:hint="eastAsia"/>
          <w:color w:val="auto"/>
          <w:kern w:val="0"/>
          <w:sz w:val="24"/>
          <w:highlight w:val="none"/>
          <w:lang w:val="en-US" w:eastAsia="zh-CN"/>
        </w:rPr>
        <w:instrText xml:space="preserve"> = 2 \* GB3 \* MERGEFORMAT </w:instrText>
      </w:r>
      <w:r>
        <w:rPr>
          <w:rFonts w:hint="eastAsia"/>
          <w:color w:val="auto"/>
          <w:kern w:val="0"/>
          <w:sz w:val="24"/>
          <w:highlight w:val="none"/>
          <w:lang w:val="en-US" w:eastAsia="zh-CN"/>
        </w:rPr>
        <w:fldChar w:fldCharType="separate"/>
      </w:r>
      <w:r>
        <w:rPr>
          <w:rFonts w:hint="eastAsia"/>
          <w:color w:val="auto"/>
          <w:kern w:val="0"/>
          <w:sz w:val="24"/>
          <w:highlight w:val="none"/>
        </w:rPr>
        <w:t>②</w:t>
      </w:r>
      <w:r>
        <w:rPr>
          <w:rFonts w:hint="eastAsia"/>
          <w:color w:val="auto"/>
          <w:kern w:val="0"/>
          <w:sz w:val="24"/>
          <w:highlight w:val="none"/>
          <w:lang w:val="en-US" w:eastAsia="zh-CN"/>
        </w:rPr>
        <w:fldChar w:fldCharType="end"/>
      </w:r>
      <w:r>
        <w:rPr>
          <w:rFonts w:hint="eastAsia"/>
          <w:color w:val="auto"/>
          <w:kern w:val="0"/>
          <w:sz w:val="24"/>
          <w:highlight w:val="none"/>
        </w:rPr>
        <w:t>调查方法</w:t>
      </w:r>
    </w:p>
    <w:p>
      <w:pPr>
        <w:autoSpaceDE w:val="0"/>
        <w:autoSpaceDN w:val="0"/>
        <w:adjustRightInd w:val="0"/>
        <w:spacing w:line="480" w:lineRule="exact"/>
        <w:ind w:firstLine="480"/>
        <w:rPr>
          <w:rFonts w:hint="eastAsia"/>
          <w:color w:val="auto"/>
          <w:kern w:val="0"/>
          <w:sz w:val="24"/>
          <w:highlight w:val="none"/>
        </w:rPr>
      </w:pPr>
      <w:r>
        <w:rPr>
          <w:rFonts w:hint="eastAsia"/>
          <w:color w:val="auto"/>
          <w:kern w:val="0"/>
          <w:sz w:val="24"/>
          <w:highlight w:val="none"/>
        </w:rPr>
        <w:t>采用植物学、植被学、动物学、景观生态学等专业的野外工作规范要求进行。植物物种多样性和植物群落生态学调查采用路线法和样方法相结合的方式进行。具体调查方法分述如下：</w:t>
      </w:r>
    </w:p>
    <w:p>
      <w:pPr>
        <w:autoSpaceDE w:val="0"/>
        <w:autoSpaceDN w:val="0"/>
        <w:adjustRightInd w:val="0"/>
        <w:spacing w:line="480" w:lineRule="exact"/>
        <w:ind w:firstLine="480"/>
        <w:rPr>
          <w:rFonts w:hint="eastAsia"/>
          <w:color w:val="auto"/>
          <w:kern w:val="0"/>
          <w:sz w:val="24"/>
          <w:highlight w:val="none"/>
        </w:rPr>
      </w:pPr>
      <w:r>
        <w:rPr>
          <w:rFonts w:hint="eastAsia"/>
          <w:color w:val="auto"/>
          <w:kern w:val="0"/>
          <w:sz w:val="24"/>
          <w:highlight w:val="none"/>
          <w:lang w:val="en-US" w:eastAsia="zh-CN"/>
        </w:rPr>
        <w:fldChar w:fldCharType="begin"/>
      </w:r>
      <w:r>
        <w:rPr>
          <w:rFonts w:hint="eastAsia"/>
          <w:color w:val="auto"/>
          <w:kern w:val="0"/>
          <w:sz w:val="24"/>
          <w:highlight w:val="none"/>
          <w:lang w:val="en-US" w:eastAsia="zh-CN"/>
        </w:rPr>
        <w:instrText xml:space="preserve"> = 3 \* GB3 \* MERGEFORMAT </w:instrText>
      </w:r>
      <w:r>
        <w:rPr>
          <w:rFonts w:hint="eastAsia"/>
          <w:color w:val="auto"/>
          <w:kern w:val="0"/>
          <w:sz w:val="24"/>
          <w:highlight w:val="none"/>
          <w:lang w:val="en-US" w:eastAsia="zh-CN"/>
        </w:rPr>
        <w:fldChar w:fldCharType="separate"/>
      </w:r>
      <w:r>
        <w:rPr>
          <w:rFonts w:hint="eastAsia"/>
          <w:color w:val="auto"/>
          <w:kern w:val="0"/>
          <w:sz w:val="24"/>
          <w:highlight w:val="none"/>
        </w:rPr>
        <w:t>③</w:t>
      </w:r>
      <w:r>
        <w:rPr>
          <w:rFonts w:hint="eastAsia"/>
          <w:color w:val="auto"/>
          <w:kern w:val="0"/>
          <w:sz w:val="24"/>
          <w:highlight w:val="none"/>
          <w:lang w:val="en-US" w:eastAsia="zh-CN"/>
        </w:rPr>
        <w:fldChar w:fldCharType="end"/>
      </w:r>
      <w:r>
        <w:rPr>
          <w:rFonts w:hint="eastAsia"/>
          <w:color w:val="auto"/>
          <w:kern w:val="0"/>
          <w:sz w:val="24"/>
          <w:highlight w:val="none"/>
        </w:rPr>
        <w:t>植物植被与多样性调查</w:t>
      </w:r>
    </w:p>
    <w:p>
      <w:pPr>
        <w:autoSpaceDE w:val="0"/>
        <w:autoSpaceDN w:val="0"/>
        <w:adjustRightInd w:val="0"/>
        <w:spacing w:line="480" w:lineRule="exact"/>
        <w:ind w:firstLine="480"/>
        <w:rPr>
          <w:rFonts w:hint="eastAsia"/>
          <w:color w:val="auto"/>
          <w:kern w:val="0"/>
          <w:sz w:val="24"/>
          <w:highlight w:val="none"/>
        </w:rPr>
      </w:pPr>
      <w:r>
        <w:rPr>
          <w:rFonts w:hint="eastAsia"/>
          <w:color w:val="auto"/>
          <w:kern w:val="0"/>
          <w:sz w:val="24"/>
          <w:highlight w:val="none"/>
        </w:rPr>
        <w:t>采用样线法和样方法，分植物区系学和植物群落学两方面考察进行。线路调查阶段主要是在评价区域的植被分布情况进行初步踏察的基础上，对水电站陆生评价范围内的沿着河段两岸、工程临时和永久占地区、间接影响区等进行不同生境，逐一进行线路调查，记录各区域的生境类型和植被类型，记录样线调查区域的植物种类，采集植物标本，GPS定位并按照分类学要求进行拍照。典型群落调查阶段则是根据每个群系分布面积大小、生境代表性、群落结构完整性和物种丰富度等情况，设置1~2个代表性样方，进行群落学调查。</w:t>
      </w:r>
    </w:p>
    <w:p>
      <w:pPr>
        <w:autoSpaceDE w:val="0"/>
        <w:autoSpaceDN w:val="0"/>
        <w:adjustRightInd w:val="0"/>
        <w:spacing w:line="480" w:lineRule="exact"/>
        <w:ind w:firstLine="480"/>
        <w:rPr>
          <w:rFonts w:hint="eastAsia"/>
          <w:color w:val="auto"/>
          <w:kern w:val="0"/>
          <w:sz w:val="24"/>
          <w:highlight w:val="none"/>
        </w:rPr>
      </w:pPr>
      <w:r>
        <w:rPr>
          <w:rFonts w:hint="eastAsia"/>
          <w:color w:val="auto"/>
          <w:kern w:val="0"/>
          <w:sz w:val="24"/>
          <w:highlight w:val="none"/>
        </w:rPr>
        <w:t>根据评价区内地形及植被组成现状，主要设置5m×5m的灌木样方，调查记录灌木的种类组成、盖度、高度、灌幅等参数；同时在灌木样方内设置面积为1m×1m的草本样方(单独的草本群落样方面积为5m×5m)，调查记录草本的种类组成、盖度和高度，并利用GPS、罗盘等测定、记录样方的经纬度、坡度等地理信息，拍摄样地群落结构和外面照片。</w:t>
      </w:r>
    </w:p>
    <w:p>
      <w:pPr>
        <w:autoSpaceDE w:val="0"/>
        <w:autoSpaceDN w:val="0"/>
        <w:adjustRightInd w:val="0"/>
        <w:spacing w:line="480" w:lineRule="exact"/>
        <w:ind w:firstLine="480"/>
        <w:rPr>
          <w:rFonts w:hint="eastAsia"/>
          <w:color w:val="auto"/>
          <w:kern w:val="0"/>
          <w:sz w:val="24"/>
          <w:highlight w:val="none"/>
        </w:rPr>
      </w:pPr>
      <w:r>
        <w:rPr>
          <w:rFonts w:hint="eastAsia"/>
          <w:color w:val="auto"/>
          <w:kern w:val="0"/>
          <w:sz w:val="24"/>
          <w:highlight w:val="none"/>
          <w:lang w:val="en-US" w:eastAsia="zh-CN"/>
        </w:rPr>
        <w:fldChar w:fldCharType="begin"/>
      </w:r>
      <w:r>
        <w:rPr>
          <w:rFonts w:hint="eastAsia"/>
          <w:color w:val="auto"/>
          <w:kern w:val="0"/>
          <w:sz w:val="24"/>
          <w:highlight w:val="none"/>
          <w:lang w:val="en-US" w:eastAsia="zh-CN"/>
        </w:rPr>
        <w:instrText xml:space="preserve"> = 4 \* GB3 \* MERGEFORMAT </w:instrText>
      </w:r>
      <w:r>
        <w:rPr>
          <w:rFonts w:hint="eastAsia"/>
          <w:color w:val="auto"/>
          <w:kern w:val="0"/>
          <w:sz w:val="24"/>
          <w:highlight w:val="none"/>
          <w:lang w:val="en-US" w:eastAsia="zh-CN"/>
        </w:rPr>
        <w:fldChar w:fldCharType="separate"/>
      </w:r>
      <w:r>
        <w:rPr>
          <w:rFonts w:hint="eastAsia"/>
          <w:color w:val="auto"/>
          <w:kern w:val="0"/>
          <w:sz w:val="24"/>
          <w:highlight w:val="none"/>
        </w:rPr>
        <w:t>④</w:t>
      </w:r>
      <w:r>
        <w:rPr>
          <w:rFonts w:hint="eastAsia"/>
          <w:color w:val="auto"/>
          <w:kern w:val="0"/>
          <w:sz w:val="24"/>
          <w:highlight w:val="none"/>
          <w:lang w:val="en-US" w:eastAsia="zh-CN"/>
        </w:rPr>
        <w:fldChar w:fldCharType="end"/>
      </w:r>
      <w:r>
        <w:rPr>
          <w:rFonts w:hint="eastAsia"/>
          <w:color w:val="auto"/>
          <w:kern w:val="0"/>
          <w:sz w:val="24"/>
          <w:highlight w:val="none"/>
        </w:rPr>
        <w:t>植被类型划分</w:t>
      </w:r>
    </w:p>
    <w:p>
      <w:pPr>
        <w:autoSpaceDE w:val="0"/>
        <w:autoSpaceDN w:val="0"/>
        <w:adjustRightInd w:val="0"/>
        <w:spacing w:line="480" w:lineRule="exact"/>
        <w:ind w:firstLine="480"/>
        <w:rPr>
          <w:rFonts w:hint="eastAsia"/>
          <w:color w:val="auto"/>
          <w:kern w:val="0"/>
          <w:sz w:val="24"/>
          <w:highlight w:val="none"/>
        </w:rPr>
      </w:pPr>
      <w:r>
        <w:rPr>
          <w:rFonts w:hint="eastAsia"/>
          <w:color w:val="auto"/>
          <w:kern w:val="0"/>
          <w:sz w:val="24"/>
          <w:highlight w:val="none"/>
        </w:rPr>
        <w:t>评价区内植被类型的划分按照《中国植被》分类系统进行植被类型的划分，包括植物型组、植被型、群系组和群系(相当于群落类型)四个层次。将建群种生活型相近、群落的外貌形态相似的植物群落归为植被型组；第二级为植被型，将建群种生活型相同或近似，对温度、水分条件生态关系一致的植物群落归为植被型，同一植被型具有相似的区系组成、结构、形态外貌、生态特点、及动态演变历史；第三级为群系组，在植被型内根据建群种的亲缘关系(同属或者相近属)，生活型或生境近似划分群系组；第四级为群系，将建群种或共建群种相同的植物群落的联合为群系。本次评价主要是根据样方调查数据分析的基础上，按照上述原则逐级划分评价区内的植被类型，直至群系(相当于群落类型)水平。</w:t>
      </w:r>
    </w:p>
    <w:p>
      <w:pPr>
        <w:autoSpaceDE w:val="0"/>
        <w:autoSpaceDN w:val="0"/>
        <w:adjustRightInd w:val="0"/>
        <w:spacing w:line="480" w:lineRule="exact"/>
        <w:ind w:firstLine="480"/>
        <w:rPr>
          <w:rFonts w:hint="eastAsia"/>
          <w:color w:val="auto"/>
          <w:kern w:val="0"/>
          <w:sz w:val="24"/>
          <w:highlight w:val="none"/>
        </w:rPr>
      </w:pPr>
      <w:r>
        <w:rPr>
          <w:rFonts w:hint="eastAsia"/>
          <w:color w:val="auto"/>
          <w:kern w:val="0"/>
          <w:sz w:val="24"/>
          <w:highlight w:val="none"/>
          <w:lang w:val="en-US" w:eastAsia="zh-CN"/>
        </w:rPr>
        <w:fldChar w:fldCharType="begin"/>
      </w:r>
      <w:r>
        <w:rPr>
          <w:rFonts w:hint="eastAsia"/>
          <w:color w:val="auto"/>
          <w:kern w:val="0"/>
          <w:sz w:val="24"/>
          <w:highlight w:val="none"/>
          <w:lang w:val="en-US" w:eastAsia="zh-CN"/>
        </w:rPr>
        <w:instrText xml:space="preserve"> = 5 \* GB3 \* MERGEFORMAT </w:instrText>
      </w:r>
      <w:r>
        <w:rPr>
          <w:rFonts w:hint="eastAsia"/>
          <w:color w:val="auto"/>
          <w:kern w:val="0"/>
          <w:sz w:val="24"/>
          <w:highlight w:val="none"/>
          <w:lang w:val="en-US" w:eastAsia="zh-CN"/>
        </w:rPr>
        <w:fldChar w:fldCharType="separate"/>
      </w:r>
      <w:r>
        <w:rPr>
          <w:rFonts w:hint="eastAsia"/>
          <w:color w:val="auto"/>
          <w:kern w:val="0"/>
          <w:sz w:val="24"/>
          <w:highlight w:val="none"/>
        </w:rPr>
        <w:t>⑤</w:t>
      </w:r>
      <w:r>
        <w:rPr>
          <w:rFonts w:hint="eastAsia"/>
          <w:color w:val="auto"/>
          <w:kern w:val="0"/>
          <w:sz w:val="24"/>
          <w:highlight w:val="none"/>
          <w:lang w:val="en-US" w:eastAsia="zh-CN"/>
        </w:rPr>
        <w:fldChar w:fldCharType="end"/>
      </w:r>
      <w:r>
        <w:rPr>
          <w:rFonts w:hint="eastAsia"/>
          <w:color w:val="auto"/>
          <w:kern w:val="0"/>
          <w:sz w:val="24"/>
          <w:highlight w:val="none"/>
        </w:rPr>
        <w:t>生物量调查</w:t>
      </w:r>
    </w:p>
    <w:p>
      <w:pPr>
        <w:autoSpaceDE w:val="0"/>
        <w:autoSpaceDN w:val="0"/>
        <w:adjustRightInd w:val="0"/>
        <w:spacing w:line="480" w:lineRule="exact"/>
        <w:ind w:firstLine="480"/>
        <w:rPr>
          <w:rFonts w:hint="eastAsia"/>
          <w:color w:val="auto"/>
          <w:kern w:val="0"/>
          <w:sz w:val="24"/>
          <w:highlight w:val="none"/>
        </w:rPr>
      </w:pPr>
      <w:r>
        <w:rPr>
          <w:rFonts w:hint="eastAsia"/>
          <w:color w:val="auto"/>
          <w:kern w:val="0"/>
          <w:sz w:val="24"/>
          <w:highlight w:val="none"/>
        </w:rPr>
        <w:t>在典型群落调查的同时，对乔木、灌木、草本各层生物量进行调查。乔木层生物量采用维量分析法，分种实测不同径级树种的高、径以及各器官生物量，建立不同树种生物量估算模型，推算群落乔木层的生物量。灌木、草本采用样方收割法估算地上部分生物量。</w:t>
      </w:r>
    </w:p>
    <w:p>
      <w:pPr>
        <w:autoSpaceDE w:val="0"/>
        <w:autoSpaceDN w:val="0"/>
        <w:adjustRightInd w:val="0"/>
        <w:spacing w:line="480" w:lineRule="exact"/>
        <w:ind w:firstLine="480"/>
        <w:rPr>
          <w:rFonts w:hint="eastAsia"/>
          <w:color w:val="auto"/>
          <w:kern w:val="0"/>
          <w:sz w:val="24"/>
          <w:highlight w:val="none"/>
        </w:rPr>
      </w:pPr>
      <w:r>
        <w:rPr>
          <w:rFonts w:hint="eastAsia"/>
          <w:color w:val="auto"/>
          <w:kern w:val="0"/>
          <w:sz w:val="24"/>
          <w:highlight w:val="none"/>
          <w:lang w:val="en-US" w:eastAsia="zh-CN"/>
        </w:rPr>
        <w:fldChar w:fldCharType="begin"/>
      </w:r>
      <w:r>
        <w:rPr>
          <w:rFonts w:hint="eastAsia"/>
          <w:color w:val="auto"/>
          <w:kern w:val="0"/>
          <w:sz w:val="24"/>
          <w:highlight w:val="none"/>
          <w:lang w:val="en-US" w:eastAsia="zh-CN"/>
        </w:rPr>
        <w:instrText xml:space="preserve"> = 6 \* GB3 \* MERGEFORMAT </w:instrText>
      </w:r>
      <w:r>
        <w:rPr>
          <w:rFonts w:hint="eastAsia"/>
          <w:color w:val="auto"/>
          <w:kern w:val="0"/>
          <w:sz w:val="24"/>
          <w:highlight w:val="none"/>
          <w:lang w:val="en-US" w:eastAsia="zh-CN"/>
        </w:rPr>
        <w:fldChar w:fldCharType="separate"/>
      </w:r>
      <w:r>
        <w:rPr>
          <w:rFonts w:hint="eastAsia"/>
          <w:color w:val="auto"/>
          <w:kern w:val="0"/>
          <w:sz w:val="24"/>
          <w:highlight w:val="none"/>
        </w:rPr>
        <w:t>⑥</w:t>
      </w:r>
      <w:r>
        <w:rPr>
          <w:rFonts w:hint="eastAsia"/>
          <w:color w:val="auto"/>
          <w:kern w:val="0"/>
          <w:sz w:val="24"/>
          <w:highlight w:val="none"/>
          <w:lang w:val="en-US" w:eastAsia="zh-CN"/>
        </w:rPr>
        <w:fldChar w:fldCharType="end"/>
      </w:r>
      <w:r>
        <w:rPr>
          <w:rFonts w:hint="eastAsia"/>
          <w:color w:val="auto"/>
          <w:kern w:val="0"/>
          <w:sz w:val="24"/>
          <w:highlight w:val="none"/>
        </w:rPr>
        <w:t>陆生动物调查</w:t>
      </w:r>
    </w:p>
    <w:p>
      <w:pPr>
        <w:autoSpaceDE w:val="0"/>
        <w:autoSpaceDN w:val="0"/>
        <w:adjustRightInd w:val="0"/>
        <w:spacing w:line="480" w:lineRule="exact"/>
        <w:ind w:firstLine="480"/>
        <w:rPr>
          <w:rFonts w:hint="eastAsia"/>
          <w:color w:val="auto"/>
          <w:kern w:val="0"/>
          <w:sz w:val="24"/>
          <w:highlight w:val="none"/>
        </w:rPr>
      </w:pPr>
      <w:r>
        <w:rPr>
          <w:rFonts w:hint="eastAsia"/>
          <w:color w:val="auto"/>
          <w:kern w:val="0"/>
          <w:sz w:val="24"/>
          <w:highlight w:val="none"/>
        </w:rPr>
        <w:t>工程评级区动物的野外研究方法主要包括野外观察和识别、动物野外采集和数量统计、样线法和样方进行调查。根据实地调查结果、并结合资料查阅、检索和整理确定物种组成。</w:t>
      </w:r>
    </w:p>
    <w:p>
      <w:pPr>
        <w:autoSpaceDE w:val="0"/>
        <w:autoSpaceDN w:val="0"/>
        <w:adjustRightInd w:val="0"/>
        <w:spacing w:line="480" w:lineRule="exact"/>
        <w:ind w:firstLine="480"/>
        <w:rPr>
          <w:rFonts w:hint="eastAsia"/>
          <w:color w:val="auto"/>
          <w:kern w:val="0"/>
          <w:sz w:val="24"/>
          <w:highlight w:val="none"/>
        </w:rPr>
      </w:pPr>
      <w:r>
        <w:rPr>
          <w:rFonts w:hint="eastAsia"/>
          <w:color w:val="auto"/>
          <w:kern w:val="0"/>
          <w:sz w:val="24"/>
          <w:highlight w:val="none"/>
        </w:rPr>
        <w:t>兽类调查应用传统的野外动物调查方法。先进行资料收集，包括收集已经公开发表的和有关林业局等单位未公开发表的资料。对于大型野生动物的野外调查，白昼活动的动物采用直接计数法，对与易捕捉的小型动物，采用一次捕捉或多次捕捉法；通过相关指数转换法，用调查与动物数量相关的间接指标来估测动物的数量，如洞口计数法、巢穴计数法、粪便计数法、以及动物留下的足迹、标记、卧迹等；除了常规的样带法、样点法外，对于大中型兽类，辅助采用访问法，即对当地老乡和林业部门(局、站、点)工作人员进行访问，包括他们执法检查时查到的实物拍成的照片；对于鼠形动物，用铗夜法调查。</w:t>
      </w:r>
    </w:p>
    <w:p>
      <w:pPr>
        <w:autoSpaceDE w:val="0"/>
        <w:autoSpaceDN w:val="0"/>
        <w:adjustRightInd w:val="0"/>
        <w:spacing w:line="480" w:lineRule="exact"/>
        <w:ind w:firstLine="480"/>
        <w:rPr>
          <w:rFonts w:hint="eastAsia"/>
          <w:color w:val="auto"/>
          <w:kern w:val="0"/>
          <w:sz w:val="24"/>
          <w:highlight w:val="none"/>
        </w:rPr>
      </w:pPr>
      <w:r>
        <w:rPr>
          <w:rFonts w:hint="eastAsia"/>
          <w:color w:val="auto"/>
          <w:kern w:val="0"/>
          <w:sz w:val="24"/>
          <w:highlight w:val="none"/>
        </w:rPr>
        <w:t>两栖爬行动物多样性状况主要采用实地考察、并结合资料查阅的方法进行调查。两栖类动物由于对潮湿(湿地生态)的生境依赖性强，因此在野外实地考察时主要选取可能有两栖动物生存的环境进行调查，包括</w:t>
      </w:r>
      <w:r>
        <w:rPr>
          <w:rFonts w:hint="eastAsia"/>
          <w:color w:val="auto"/>
          <w:kern w:val="0"/>
          <w:sz w:val="24"/>
          <w:highlight w:val="none"/>
          <w:lang w:eastAsia="zh-CN"/>
        </w:rPr>
        <w:t>黎河及两岸、</w:t>
      </w:r>
      <w:r>
        <w:rPr>
          <w:rFonts w:hint="eastAsia"/>
          <w:color w:val="auto"/>
          <w:kern w:val="0"/>
          <w:sz w:val="24"/>
          <w:highlight w:val="none"/>
        </w:rPr>
        <w:t>耕地</w:t>
      </w:r>
      <w:r>
        <w:rPr>
          <w:rFonts w:hint="eastAsia"/>
          <w:color w:val="auto"/>
          <w:kern w:val="0"/>
          <w:sz w:val="24"/>
          <w:highlight w:val="none"/>
          <w:lang w:eastAsia="zh-CN"/>
        </w:rPr>
        <w:t>、废弃地</w:t>
      </w:r>
      <w:r>
        <w:rPr>
          <w:rFonts w:hint="eastAsia"/>
          <w:color w:val="auto"/>
          <w:kern w:val="0"/>
          <w:sz w:val="24"/>
          <w:highlight w:val="none"/>
        </w:rPr>
        <w:t>等，及其邻近区域；调查的方法主要是样点调查调查。</w:t>
      </w:r>
      <w:r>
        <w:rPr>
          <w:rFonts w:hint="eastAsia"/>
          <w:color w:val="auto"/>
          <w:kern w:val="0"/>
          <w:sz w:val="24"/>
          <w:highlight w:val="none"/>
          <w:lang w:eastAsia="zh-CN"/>
        </w:rPr>
        <w:t>并</w:t>
      </w:r>
      <w:r>
        <w:rPr>
          <w:rFonts w:hint="eastAsia"/>
          <w:color w:val="auto"/>
          <w:kern w:val="0"/>
          <w:sz w:val="24"/>
          <w:highlight w:val="none"/>
        </w:rPr>
        <w:t>咨询当地居民和与野生动物有关的林业管理干部等。由于两栖动物多是夜行性，因此白天主要巡视可能有两栖动物生存的生境，并考察幼体或蝌蚪、卵的情况。两栖类和爬行类动物的样方可根据实际情况设置采用10m×10m的样方，或2m×50m的样带。爬行类动物由于已经基本摆脱对潮湿生境(湿地)的依赖，因此其活动范围比较广泛，在草丛、灌丛、乱石堆、洞穴、水域等都可能见到它们的踪迹。在野外实地考察时主要选取上述可能有爬行动物生存的生境进行调查；调查的方法主要是样点调查。此外，访问当地居民和与野生动物有关的林业管理干部等也是必须的手段。由于爬行动物属外温动物，多喜爱温暖的时段活动，因此主要在白天巡视可能有爬行动物生存的生境。</w:t>
      </w:r>
    </w:p>
    <w:p>
      <w:pPr>
        <w:autoSpaceDE w:val="0"/>
        <w:autoSpaceDN w:val="0"/>
        <w:adjustRightInd w:val="0"/>
        <w:spacing w:line="480" w:lineRule="exact"/>
        <w:ind w:firstLine="480"/>
        <w:rPr>
          <w:rFonts w:hint="eastAsia"/>
          <w:color w:val="auto"/>
          <w:kern w:val="0"/>
          <w:sz w:val="24"/>
          <w:highlight w:val="none"/>
          <w:lang w:eastAsia="zh-CN"/>
        </w:rPr>
      </w:pPr>
      <w:r>
        <w:rPr>
          <w:rFonts w:hint="eastAsia"/>
          <w:color w:val="auto"/>
          <w:kern w:val="0"/>
          <w:sz w:val="24"/>
          <w:highlight w:val="none"/>
        </w:rPr>
        <w:t>鸟类的野外调查主要依靠生态习性，主要采用样带法(包括样方法)进行种类及数量调查。调查过程中在样带内徒步行走，观察记数所见鸟类种类、数量以及羽毛、鸟巢等痕迹，同时访问有关人士，并详细记录样带内的生境变化，通过全球卫星定位仪(GPS)测定其经纬度和海拔高度变化。在内业中，根据区内地貌、海拔高度、植被类型等特点，将鸟类生境划为一定的生物地理－植被地带分析论证。确定物种组成、区系构成，对鸟类的数量等级采用路线统计法进行常规统计，一些未在调查中所见种则依据有关文献辨断</w:t>
      </w:r>
      <w:r>
        <w:rPr>
          <w:rFonts w:hint="eastAsia"/>
          <w:color w:val="auto"/>
          <w:kern w:val="0"/>
          <w:sz w:val="24"/>
          <w:highlight w:val="none"/>
          <w:lang w:eastAsia="zh-CN"/>
        </w:rPr>
        <w:t>。</w:t>
      </w:r>
    </w:p>
    <w:p>
      <w:pPr>
        <w:autoSpaceDE w:val="0"/>
        <w:autoSpaceDN w:val="0"/>
        <w:adjustRightInd w:val="0"/>
        <w:spacing w:line="480" w:lineRule="exact"/>
        <w:ind w:firstLine="480"/>
        <w:rPr>
          <w:rFonts w:hint="eastAsia"/>
          <w:color w:val="auto"/>
          <w:kern w:val="0"/>
          <w:sz w:val="24"/>
          <w:highlight w:val="none"/>
          <w:lang w:val="en-US" w:eastAsia="zh-CN"/>
        </w:rPr>
      </w:pPr>
      <w:r>
        <w:rPr>
          <w:rFonts w:hint="eastAsia"/>
          <w:color w:val="auto"/>
          <w:kern w:val="0"/>
          <w:sz w:val="24"/>
          <w:highlight w:val="none"/>
          <w:lang w:val="en-US" w:eastAsia="zh-CN"/>
        </w:rPr>
        <w:t>（2）调查结果</w:t>
      </w:r>
    </w:p>
    <w:p>
      <w:pPr>
        <w:autoSpaceDE w:val="0"/>
        <w:autoSpaceDN w:val="0"/>
        <w:adjustRightInd w:val="0"/>
        <w:spacing w:line="480" w:lineRule="exact"/>
        <w:ind w:firstLine="480"/>
        <w:rPr>
          <w:color w:val="auto"/>
          <w:kern w:val="0"/>
          <w:sz w:val="24"/>
          <w:highlight w:val="none"/>
        </w:rPr>
      </w:pPr>
      <w:r>
        <w:rPr>
          <w:rFonts w:hint="eastAsia" w:ascii="宋体" w:hAnsi="宋体" w:cs="宋体"/>
          <w:color w:val="auto"/>
          <w:kern w:val="0"/>
          <w:sz w:val="24"/>
          <w:highlight w:val="none"/>
        </w:rPr>
        <w:t>①</w:t>
      </w:r>
      <w:r>
        <w:rPr>
          <w:rFonts w:hint="eastAsia" w:ascii="宋体" w:hAnsi="宋体" w:cs="宋体"/>
          <w:color w:val="auto"/>
          <w:kern w:val="0"/>
          <w:sz w:val="24"/>
          <w:highlight w:val="none"/>
          <w:lang w:eastAsia="zh-CN"/>
        </w:rPr>
        <w:t>自然</w:t>
      </w:r>
      <w:r>
        <w:rPr>
          <w:color w:val="auto"/>
          <w:kern w:val="0"/>
          <w:sz w:val="24"/>
          <w:highlight w:val="none"/>
        </w:rPr>
        <w:t>植被</w:t>
      </w:r>
    </w:p>
    <w:p>
      <w:pPr>
        <w:autoSpaceDE w:val="0"/>
        <w:autoSpaceDN w:val="0"/>
        <w:adjustRightInd w:val="0"/>
        <w:spacing w:line="480" w:lineRule="exact"/>
        <w:ind w:firstLine="480"/>
        <w:rPr>
          <w:rFonts w:hint="eastAsia"/>
          <w:color w:val="auto"/>
          <w:sz w:val="24"/>
          <w:highlight w:val="none"/>
          <w:lang w:val="zh-CN"/>
        </w:rPr>
      </w:pPr>
      <w:r>
        <w:rPr>
          <w:rFonts w:hint="eastAsia"/>
          <w:color w:val="auto"/>
          <w:sz w:val="24"/>
          <w:highlight w:val="none"/>
          <w:lang w:val="zh-CN"/>
        </w:rPr>
        <w:t>主要以灌丛为主，常见的有荆条、沙棘、黄刺玫和等；草丛植被以万类和白羊草草丛为主，还有长芒草和百里香等组成的草本群落。</w:t>
      </w:r>
    </w:p>
    <w:p>
      <w:pPr>
        <w:autoSpaceDE w:val="0"/>
        <w:autoSpaceDN w:val="0"/>
        <w:adjustRightInd w:val="0"/>
        <w:spacing w:line="480" w:lineRule="exact"/>
        <w:ind w:firstLine="480"/>
        <w:rPr>
          <w:color w:val="auto"/>
          <w:sz w:val="24"/>
          <w:highlight w:val="none"/>
          <w:lang w:val="zh-CN"/>
        </w:rPr>
      </w:pPr>
      <w:r>
        <w:rPr>
          <w:rFonts w:hint="eastAsia"/>
          <w:color w:val="auto"/>
          <w:kern w:val="0"/>
          <w:sz w:val="24"/>
          <w:highlight w:val="none"/>
          <w:lang w:val="zh-CN"/>
        </w:rPr>
        <w:t>草本作物：草本作物群落包括农作物，在区内大面积栽种，主要有玉米、高粱、大豆、棉花、芝麻等旱田植物，水稻以及圆白菜、罗卜、向日葵等水田和园田植物。</w:t>
      </w:r>
      <w:r>
        <w:rPr>
          <w:color w:val="auto"/>
          <w:kern w:val="0"/>
          <w:sz w:val="24"/>
          <w:highlight w:val="none"/>
          <w:lang w:val="zh-CN"/>
        </w:rPr>
        <w:t>人工植被主要有农田植被，项目所在区域的农作物主要以玉米、豆类为主，</w:t>
      </w:r>
      <w:r>
        <w:rPr>
          <w:color w:val="auto"/>
          <w:sz w:val="24"/>
          <w:highlight w:val="none"/>
          <w:lang w:val="zh-CN"/>
        </w:rPr>
        <w:t>主要</w:t>
      </w:r>
      <w:r>
        <w:rPr>
          <w:rFonts w:hint="eastAsia"/>
          <w:color w:val="auto"/>
          <w:sz w:val="24"/>
          <w:highlight w:val="none"/>
          <w:lang w:val="zh-CN"/>
        </w:rPr>
        <w:t>种植</w:t>
      </w:r>
      <w:r>
        <w:rPr>
          <w:color w:val="auto"/>
          <w:sz w:val="24"/>
          <w:highlight w:val="none"/>
          <w:lang w:val="zh-CN"/>
        </w:rPr>
        <w:t>在</w:t>
      </w:r>
      <w:r>
        <w:rPr>
          <w:rFonts w:hint="eastAsia"/>
          <w:color w:val="auto"/>
          <w:sz w:val="24"/>
          <w:highlight w:val="none"/>
          <w:lang w:val="zh-CN"/>
        </w:rPr>
        <w:t>评价区域黎河北侧</w:t>
      </w:r>
      <w:r>
        <w:rPr>
          <w:color w:val="auto"/>
          <w:sz w:val="24"/>
          <w:highlight w:val="none"/>
          <w:lang w:val="zh-CN"/>
        </w:rPr>
        <w:t>，本项目</w:t>
      </w:r>
      <w:r>
        <w:rPr>
          <w:rFonts w:hint="eastAsia"/>
          <w:color w:val="auto"/>
          <w:sz w:val="24"/>
          <w:highlight w:val="none"/>
          <w:lang w:val="zh-CN"/>
        </w:rPr>
        <w:t>在黎河北岸，</w:t>
      </w:r>
      <w:r>
        <w:rPr>
          <w:color w:val="auto"/>
          <w:sz w:val="24"/>
          <w:highlight w:val="none"/>
          <w:lang w:val="zh-CN"/>
        </w:rPr>
        <w:t>未占用。</w:t>
      </w:r>
      <w:r>
        <w:rPr>
          <w:rFonts w:hint="eastAsia"/>
          <w:color w:val="auto"/>
          <w:sz w:val="24"/>
          <w:highlight w:val="none"/>
          <w:lang w:val="zh-CN"/>
        </w:rPr>
        <w:t>本区大部分为农田，为不稳定的两年三熟制区。农作物有玉米、高粱、谷子、冬麦为主，为冬、春麦交错种植地带。此外还有大豆、甘薯、花生、芝麻及蔬菜等。栽培树种有柳、榆、刺槐、苹果、葡萄、核桃、梨、枣等。</w:t>
      </w:r>
    </w:p>
    <w:p>
      <w:pPr>
        <w:autoSpaceDE w:val="0"/>
        <w:autoSpaceDN w:val="0"/>
        <w:adjustRightInd w:val="0"/>
        <w:spacing w:line="480" w:lineRule="exact"/>
        <w:ind w:firstLine="480"/>
        <w:rPr>
          <w:color w:val="auto"/>
          <w:sz w:val="24"/>
          <w:highlight w:val="none"/>
          <w:lang w:val="zh-CN"/>
        </w:rPr>
      </w:pPr>
      <w:r>
        <w:rPr>
          <w:rFonts w:hint="eastAsia"/>
          <w:color w:val="auto"/>
          <w:sz w:val="24"/>
          <w:highlight w:val="none"/>
          <w:lang w:val="zh-CN"/>
        </w:rPr>
        <w:t>本区光能和水资源比较丰富，热量尚感不足，春旱比较严重，初夏干热风，盐碱地较多。其发展方向，以为粮为主，发展经济作物，兼顾牧林，种养加相结合，建立合理的农业生态系统。①改善农业生产条件，如营造防护林，建设农田防护林网，以防风沙等自然灾害；建设配套的排灌系统，防御干旱；治理改良盐碱地，充分利用土地资源，增强农业后劲。在盆地边缘的浅山区应以保持水土、防止水土流失，营造水土保持林、灌丛和草地，增加植被覆盖；②扩大农田浇灌面积，合理调整作物布局，扩大水地小麦面积，充分利用水资源，选育优种，提高单位面积产量。③要注重土特产品的生产和加工，建立种、养、加，产、供、销良性循环经济系统。</w:t>
      </w:r>
    </w:p>
    <w:p>
      <w:pPr>
        <w:autoSpaceDE w:val="0"/>
        <w:autoSpaceDN w:val="0"/>
        <w:adjustRightInd w:val="0"/>
        <w:spacing w:line="480" w:lineRule="exact"/>
        <w:ind w:firstLine="480"/>
        <w:rPr>
          <w:color w:val="auto"/>
          <w:sz w:val="24"/>
          <w:highlight w:val="none"/>
          <w:lang w:val="zh-CN"/>
        </w:rPr>
      </w:pPr>
      <w:r>
        <w:rPr>
          <w:color w:val="auto"/>
          <w:sz w:val="24"/>
          <w:highlight w:val="none"/>
          <w:lang w:val="zh-CN"/>
        </w:rPr>
        <w:t>草类植被以</w:t>
      </w:r>
      <w:r>
        <w:rPr>
          <w:rFonts w:hint="eastAsia"/>
          <w:color w:val="auto"/>
          <w:sz w:val="24"/>
          <w:highlight w:val="none"/>
          <w:lang w:val="zh-CN" w:eastAsia="zh-CN"/>
        </w:rPr>
        <w:t>苣卖菜、</w:t>
      </w:r>
      <w:r>
        <w:rPr>
          <w:rFonts w:hint="default"/>
          <w:color w:val="auto"/>
          <w:sz w:val="24"/>
          <w:highlight w:val="none"/>
          <w:lang w:val="zh-CN" w:eastAsia="zh-CN"/>
        </w:rPr>
        <w:t>车前</w:t>
      </w:r>
      <w:r>
        <w:rPr>
          <w:rFonts w:hint="eastAsia"/>
          <w:color w:val="auto"/>
          <w:sz w:val="24"/>
          <w:highlight w:val="none"/>
          <w:lang w:val="zh-CN" w:eastAsia="zh-CN"/>
        </w:rPr>
        <w:t>、苔草、马唐、艾蒿、</w:t>
      </w:r>
      <w:r>
        <w:rPr>
          <w:rFonts w:hint="default"/>
          <w:color w:val="auto"/>
          <w:sz w:val="24"/>
          <w:highlight w:val="none"/>
          <w:lang w:val="zh-CN" w:eastAsia="zh-CN"/>
        </w:rPr>
        <w:t>碎米莎草</w:t>
      </w:r>
      <w:r>
        <w:rPr>
          <w:rFonts w:hint="eastAsia"/>
          <w:color w:val="auto"/>
          <w:sz w:val="24"/>
          <w:highlight w:val="none"/>
          <w:lang w:val="zh-CN" w:eastAsia="zh-CN"/>
        </w:rPr>
        <w:t>、</w:t>
      </w:r>
      <w:r>
        <w:rPr>
          <w:rFonts w:hint="default"/>
          <w:color w:val="auto"/>
          <w:sz w:val="24"/>
          <w:highlight w:val="none"/>
          <w:lang w:val="zh-CN" w:eastAsia="zh-CN"/>
        </w:rPr>
        <w:t>小香蒲</w:t>
      </w:r>
      <w:r>
        <w:rPr>
          <w:rFonts w:hint="eastAsia"/>
          <w:color w:val="auto"/>
          <w:sz w:val="24"/>
          <w:highlight w:val="none"/>
          <w:lang w:val="zh-CN" w:eastAsia="zh-CN"/>
        </w:rPr>
        <w:t>、</w:t>
      </w:r>
      <w:r>
        <w:rPr>
          <w:rFonts w:hint="default"/>
          <w:color w:val="auto"/>
          <w:sz w:val="24"/>
          <w:highlight w:val="none"/>
          <w:lang w:val="zh-CN" w:eastAsia="zh-CN"/>
        </w:rPr>
        <w:t>狗尾草</w:t>
      </w:r>
      <w:r>
        <w:rPr>
          <w:rFonts w:hint="eastAsia"/>
          <w:color w:val="auto"/>
          <w:sz w:val="24"/>
          <w:highlight w:val="none"/>
          <w:lang w:val="zh-CN" w:eastAsia="zh-CN"/>
        </w:rPr>
        <w:t>等</w:t>
      </w:r>
      <w:r>
        <w:rPr>
          <w:color w:val="auto"/>
          <w:sz w:val="24"/>
          <w:highlight w:val="none"/>
          <w:lang w:val="zh-CN"/>
        </w:rPr>
        <w:t>为主，项目工程占用2.03hm</w:t>
      </w:r>
      <w:r>
        <w:rPr>
          <w:color w:val="auto"/>
          <w:sz w:val="24"/>
          <w:highlight w:val="none"/>
          <w:vertAlign w:val="superscript"/>
          <w:lang w:val="zh-CN"/>
        </w:rPr>
        <w:t>2</w:t>
      </w:r>
      <w:r>
        <w:rPr>
          <w:color w:val="auto"/>
          <w:sz w:val="24"/>
          <w:highlight w:val="none"/>
          <w:lang w:val="zh-CN"/>
        </w:rPr>
        <w:t>，</w:t>
      </w:r>
      <w:r>
        <w:rPr>
          <w:color w:val="auto"/>
          <w:sz w:val="24"/>
          <w:highlight w:val="none"/>
        </w:rPr>
        <w:t>占地类型为河滩、</w:t>
      </w:r>
      <w:r>
        <w:rPr>
          <w:rFonts w:hint="eastAsia"/>
          <w:color w:val="auto"/>
          <w:sz w:val="24"/>
          <w:highlight w:val="none"/>
        </w:rPr>
        <w:t>建设</w:t>
      </w:r>
      <w:r>
        <w:rPr>
          <w:color w:val="auto"/>
          <w:sz w:val="24"/>
          <w:highlight w:val="none"/>
        </w:rPr>
        <w:t>用地，</w:t>
      </w:r>
      <w:r>
        <w:rPr>
          <w:color w:val="auto"/>
          <w:sz w:val="24"/>
          <w:highlight w:val="none"/>
          <w:lang w:val="zh-CN"/>
        </w:rPr>
        <w:t>工</w:t>
      </w:r>
      <w:r>
        <w:rPr>
          <w:color w:val="auto"/>
          <w:sz w:val="24"/>
          <w:highlight w:val="none"/>
        </w:rPr>
        <w:t>程建设</w:t>
      </w:r>
      <w:r>
        <w:rPr>
          <w:rFonts w:hint="eastAsia"/>
          <w:color w:val="auto"/>
          <w:sz w:val="24"/>
          <w:highlight w:val="none"/>
        </w:rPr>
        <w:t>未</w:t>
      </w:r>
      <w:r>
        <w:rPr>
          <w:color w:val="auto"/>
          <w:sz w:val="24"/>
          <w:highlight w:val="none"/>
        </w:rPr>
        <w:t>引起物种减少或某种植被类型消失的情况，没有改变本地区植物的群落类型和植被类型的多样性和稳定性，更没有引起植物种群或群落的灭绝</w:t>
      </w:r>
      <w:r>
        <w:rPr>
          <w:color w:val="auto"/>
          <w:sz w:val="24"/>
          <w:highlight w:val="none"/>
          <w:lang w:val="zh-CN"/>
        </w:rPr>
        <w:t>。</w:t>
      </w:r>
    </w:p>
    <w:p>
      <w:pPr>
        <w:autoSpaceDE w:val="0"/>
        <w:autoSpaceDN w:val="0"/>
        <w:adjustRightInd w:val="0"/>
        <w:spacing w:line="480" w:lineRule="exact"/>
        <w:ind w:firstLine="480"/>
        <w:rPr>
          <w:color w:val="auto"/>
          <w:sz w:val="24"/>
          <w:highlight w:val="none"/>
          <w:lang w:val="zh-CN"/>
        </w:rPr>
      </w:pPr>
      <w:r>
        <w:rPr>
          <w:rFonts w:hint="eastAsia"/>
          <w:color w:val="auto"/>
          <w:sz w:val="24"/>
          <w:highlight w:val="none"/>
          <w:lang w:val="zh-CN"/>
        </w:rPr>
        <w:t>灌丛</w:t>
      </w:r>
      <w:r>
        <w:rPr>
          <w:rFonts w:hint="eastAsia"/>
          <w:color w:val="auto"/>
          <w:sz w:val="24"/>
          <w:highlight w:val="none"/>
          <w:lang w:val="en-US" w:eastAsia="zh-CN"/>
        </w:rPr>
        <w:t>：</w:t>
      </w:r>
      <w:r>
        <w:rPr>
          <w:rFonts w:hint="eastAsia"/>
          <w:color w:val="auto"/>
          <w:sz w:val="24"/>
          <w:highlight w:val="none"/>
          <w:lang w:val="zh-CN"/>
        </w:rPr>
        <w:t>以灌木为优势种、伴生其他灌木或草本植物的群落。保护区内主要有酸枣、柽柳、紫穗槐等灌木种类，其中酸枣自然分布稍多；紫穗槐曾为人工栽培种，后逸为野生，异能形成群落；夹杂生长有刺槐、榆树植株，植株较为低矮，呈现灌木状。</w:t>
      </w:r>
    </w:p>
    <w:p>
      <w:pPr>
        <w:autoSpaceDE w:val="0"/>
        <w:autoSpaceDN w:val="0"/>
        <w:adjustRightInd w:val="0"/>
        <w:spacing w:line="480" w:lineRule="exact"/>
        <w:ind w:firstLine="480"/>
        <w:rPr>
          <w:rFonts w:hint="default" w:eastAsia="宋体"/>
          <w:color w:val="auto"/>
          <w:sz w:val="24"/>
          <w:highlight w:val="none"/>
          <w:lang w:val="en-US" w:eastAsia="zh-CN"/>
        </w:rPr>
      </w:pPr>
      <w:r>
        <w:rPr>
          <w:rFonts w:hint="eastAsia"/>
          <w:color w:val="auto"/>
          <w:sz w:val="24"/>
          <w:highlight w:val="none"/>
          <w:lang w:val="zh-CN"/>
        </w:rPr>
        <w:t>灌草丛</w:t>
      </w:r>
      <w:r>
        <w:rPr>
          <w:rFonts w:hint="eastAsia"/>
          <w:color w:val="auto"/>
          <w:sz w:val="24"/>
          <w:highlight w:val="none"/>
          <w:lang w:val="en-US" w:eastAsia="zh-CN"/>
        </w:rPr>
        <w:t>：</w:t>
      </w:r>
      <w:r>
        <w:rPr>
          <w:rFonts w:hint="eastAsia"/>
          <w:color w:val="auto"/>
          <w:sz w:val="24"/>
          <w:highlight w:val="none"/>
          <w:lang w:val="zh-CN"/>
        </w:rPr>
        <w:t>灌木散生于草本植物之间，草本植物是优势种。保护区内仅有酸枣与其他草本植物共同构成灌草丛群落。</w:t>
      </w:r>
    </w:p>
    <w:p>
      <w:pPr>
        <w:autoSpaceDE w:val="0"/>
        <w:autoSpaceDN w:val="0"/>
        <w:adjustRightInd w:val="0"/>
        <w:spacing w:line="480" w:lineRule="exact"/>
        <w:ind w:firstLine="480"/>
        <w:rPr>
          <w:rFonts w:hint="eastAsia"/>
          <w:color w:val="auto"/>
          <w:sz w:val="24"/>
          <w:highlight w:val="none"/>
          <w:lang w:val="zh-CN"/>
        </w:rPr>
      </w:pPr>
      <w:r>
        <w:rPr>
          <w:rFonts w:hint="eastAsia"/>
          <w:color w:val="auto"/>
          <w:sz w:val="24"/>
          <w:highlight w:val="none"/>
          <w:lang w:val="zh-CN"/>
        </w:rPr>
        <w:t>草甸植被：以</w:t>
      </w:r>
      <w:r>
        <w:rPr>
          <w:rFonts w:hint="eastAsia"/>
          <w:color w:val="auto"/>
          <w:sz w:val="24"/>
          <w:highlight w:val="none"/>
          <w:lang w:val="zh-CN" w:eastAsia="zh-CN"/>
        </w:rPr>
        <w:t>苣卖菜、</w:t>
      </w:r>
      <w:r>
        <w:rPr>
          <w:rFonts w:hint="default"/>
          <w:color w:val="auto"/>
          <w:sz w:val="24"/>
          <w:highlight w:val="none"/>
          <w:lang w:val="zh-CN" w:eastAsia="zh-CN"/>
        </w:rPr>
        <w:t>车前</w:t>
      </w:r>
      <w:r>
        <w:rPr>
          <w:rFonts w:hint="eastAsia"/>
          <w:color w:val="auto"/>
          <w:sz w:val="24"/>
          <w:highlight w:val="none"/>
          <w:lang w:val="zh-CN" w:eastAsia="zh-CN"/>
        </w:rPr>
        <w:t>、苔草、艾蒿、</w:t>
      </w:r>
      <w:r>
        <w:rPr>
          <w:rFonts w:hint="default"/>
          <w:color w:val="auto"/>
          <w:sz w:val="24"/>
          <w:highlight w:val="none"/>
          <w:lang w:val="zh-CN" w:eastAsia="zh-CN"/>
        </w:rPr>
        <w:t>碎米莎草</w:t>
      </w:r>
      <w:r>
        <w:rPr>
          <w:rFonts w:hint="eastAsia"/>
          <w:color w:val="auto"/>
          <w:sz w:val="24"/>
          <w:highlight w:val="none"/>
          <w:lang w:val="zh-CN" w:eastAsia="zh-CN"/>
        </w:rPr>
        <w:t>、</w:t>
      </w:r>
      <w:r>
        <w:rPr>
          <w:rFonts w:hint="default"/>
          <w:color w:val="auto"/>
          <w:sz w:val="24"/>
          <w:highlight w:val="none"/>
          <w:lang w:val="zh-CN" w:eastAsia="zh-CN"/>
        </w:rPr>
        <w:t>小香蒲</w:t>
      </w:r>
      <w:r>
        <w:rPr>
          <w:rFonts w:hint="eastAsia"/>
          <w:color w:val="auto"/>
          <w:sz w:val="24"/>
          <w:highlight w:val="none"/>
          <w:lang w:val="zh-CN" w:eastAsia="zh-CN"/>
        </w:rPr>
        <w:t>、</w:t>
      </w:r>
      <w:r>
        <w:rPr>
          <w:rFonts w:hint="default"/>
          <w:color w:val="auto"/>
          <w:sz w:val="24"/>
          <w:highlight w:val="none"/>
          <w:lang w:val="zh-CN" w:eastAsia="zh-CN"/>
        </w:rPr>
        <w:t>狗尾草</w:t>
      </w:r>
      <w:r>
        <w:rPr>
          <w:rFonts w:hint="eastAsia"/>
          <w:color w:val="auto"/>
          <w:sz w:val="24"/>
          <w:highlight w:val="none"/>
          <w:lang w:val="zh-CN" w:eastAsia="zh-CN"/>
        </w:rPr>
        <w:t>等</w:t>
      </w:r>
      <w:r>
        <w:rPr>
          <w:rFonts w:hint="eastAsia"/>
          <w:color w:val="auto"/>
          <w:sz w:val="24"/>
          <w:highlight w:val="none"/>
          <w:lang w:val="zh-CN"/>
        </w:rPr>
        <w:t>植物为优势种，伴生其他草本植物的群落。</w:t>
      </w:r>
    </w:p>
    <w:p>
      <w:pPr>
        <w:autoSpaceDE w:val="0"/>
        <w:autoSpaceDN w:val="0"/>
        <w:adjustRightInd w:val="0"/>
        <w:spacing w:line="480" w:lineRule="exact"/>
        <w:ind w:firstLine="480"/>
        <w:rPr>
          <w:color w:val="auto"/>
          <w:kern w:val="0"/>
          <w:sz w:val="24"/>
          <w:highlight w:val="none"/>
        </w:rPr>
      </w:pPr>
      <w:r>
        <w:rPr>
          <w:rFonts w:hint="eastAsia" w:ascii="宋体" w:hAnsi="宋体" w:cs="宋体"/>
          <w:color w:val="auto"/>
          <w:kern w:val="0"/>
          <w:sz w:val="24"/>
          <w:highlight w:val="none"/>
          <w:lang w:val="zh-CN"/>
        </w:rPr>
        <w:t>②</w:t>
      </w:r>
      <w:r>
        <w:rPr>
          <w:color w:val="auto"/>
          <w:kern w:val="0"/>
          <w:sz w:val="24"/>
          <w:highlight w:val="none"/>
          <w:lang w:val="zh-CN"/>
        </w:rPr>
        <w:t>人工植被</w:t>
      </w:r>
    </w:p>
    <w:p>
      <w:pPr>
        <w:autoSpaceDE w:val="0"/>
        <w:autoSpaceDN w:val="0"/>
        <w:adjustRightInd w:val="0"/>
        <w:spacing w:line="480" w:lineRule="exact"/>
        <w:ind w:firstLine="480"/>
        <w:rPr>
          <w:color w:val="auto"/>
          <w:kern w:val="0"/>
          <w:sz w:val="24"/>
          <w:highlight w:val="none"/>
          <w:lang w:val="zh-CN"/>
        </w:rPr>
      </w:pPr>
      <w:r>
        <w:rPr>
          <w:rFonts w:hint="eastAsia"/>
          <w:color w:val="auto"/>
          <w:kern w:val="0"/>
          <w:sz w:val="24"/>
          <w:highlight w:val="none"/>
          <w:lang w:val="zh-CN"/>
        </w:rPr>
        <w:t>河岸防护林：河岸防护林主要为毛白杨+垂柳+椿树群落，是由人工栽植的落叶阔叶植物所组成的疏林植物群落。在调查发现的树种主要为毛白杨（</w:t>
      </w:r>
      <w:r>
        <w:rPr>
          <w:rFonts w:hint="eastAsia"/>
          <w:i/>
          <w:iCs/>
          <w:color w:val="auto"/>
          <w:kern w:val="0"/>
          <w:sz w:val="24"/>
          <w:highlight w:val="none"/>
          <w:lang w:val="zh-CN"/>
        </w:rPr>
        <w:t>Populus tomentosaCarr</w:t>
      </w:r>
      <w:r>
        <w:rPr>
          <w:rFonts w:hint="eastAsia"/>
          <w:color w:val="auto"/>
          <w:kern w:val="0"/>
          <w:sz w:val="24"/>
          <w:highlight w:val="none"/>
          <w:lang w:val="zh-CN"/>
        </w:rPr>
        <w:t>）、垂柳（</w:t>
      </w:r>
      <w:r>
        <w:rPr>
          <w:rFonts w:hint="eastAsia"/>
          <w:i/>
          <w:iCs/>
          <w:color w:val="auto"/>
          <w:kern w:val="0"/>
          <w:sz w:val="24"/>
          <w:highlight w:val="none"/>
          <w:lang w:val="zh-CN"/>
        </w:rPr>
        <w:t>Salix babylonica</w:t>
      </w:r>
      <w:r>
        <w:rPr>
          <w:rFonts w:hint="eastAsia"/>
          <w:color w:val="auto"/>
          <w:kern w:val="0"/>
          <w:sz w:val="24"/>
          <w:highlight w:val="none"/>
          <w:lang w:val="zh-CN"/>
        </w:rPr>
        <w:t>）、榆（</w:t>
      </w:r>
      <w:r>
        <w:rPr>
          <w:rFonts w:hint="eastAsia"/>
          <w:i/>
          <w:iCs/>
          <w:color w:val="auto"/>
          <w:kern w:val="0"/>
          <w:sz w:val="24"/>
          <w:highlight w:val="none"/>
          <w:lang w:val="zh-CN"/>
        </w:rPr>
        <w:t>Ulmus pumila</w:t>
      </w:r>
      <w:r>
        <w:rPr>
          <w:rFonts w:hint="eastAsia"/>
          <w:color w:val="auto"/>
          <w:kern w:val="0"/>
          <w:sz w:val="24"/>
          <w:highlight w:val="none"/>
          <w:lang w:val="zh-CN"/>
        </w:rPr>
        <w:t>）、紫穗槐（</w:t>
      </w:r>
      <w:r>
        <w:rPr>
          <w:rFonts w:hint="eastAsia"/>
          <w:i/>
          <w:iCs/>
          <w:color w:val="auto"/>
          <w:kern w:val="0"/>
          <w:sz w:val="24"/>
          <w:highlight w:val="none"/>
          <w:lang w:val="zh-CN"/>
        </w:rPr>
        <w:t>Amorpha fruticosa Linn.</w:t>
      </w:r>
      <w:r>
        <w:rPr>
          <w:rFonts w:hint="eastAsia"/>
          <w:color w:val="auto"/>
          <w:kern w:val="0"/>
          <w:sz w:val="24"/>
          <w:highlight w:val="none"/>
          <w:lang w:val="zh-CN"/>
        </w:rPr>
        <w:t>）、</w:t>
      </w:r>
      <w:r>
        <w:rPr>
          <w:rFonts w:hint="eastAsia"/>
          <w:color w:val="auto"/>
          <w:kern w:val="0"/>
          <w:sz w:val="24"/>
          <w:highlight w:val="none"/>
          <w:lang w:val="en-US" w:eastAsia="zh-CN"/>
        </w:rPr>
        <w:t>国槐</w:t>
      </w:r>
      <w:r>
        <w:rPr>
          <w:rFonts w:hint="eastAsia"/>
          <w:color w:val="auto"/>
          <w:kern w:val="0"/>
          <w:sz w:val="24"/>
          <w:highlight w:val="none"/>
          <w:lang w:val="zh-CN"/>
        </w:rPr>
        <w:t>（</w:t>
      </w:r>
      <w:r>
        <w:rPr>
          <w:rFonts w:hint="eastAsia"/>
          <w:i/>
          <w:iCs/>
          <w:color w:val="auto"/>
          <w:kern w:val="0"/>
          <w:sz w:val="24"/>
          <w:highlight w:val="none"/>
          <w:lang w:val="en-US" w:eastAsia="zh-CN"/>
        </w:rPr>
        <w:t>Sophora japonice</w:t>
      </w:r>
      <w:r>
        <w:rPr>
          <w:rFonts w:hint="eastAsia"/>
          <w:color w:val="auto"/>
          <w:kern w:val="0"/>
          <w:sz w:val="24"/>
          <w:highlight w:val="none"/>
          <w:lang w:val="zh-CN"/>
        </w:rPr>
        <w:t>）、臭椿（</w:t>
      </w:r>
      <w:r>
        <w:rPr>
          <w:rFonts w:hint="eastAsia"/>
          <w:i/>
          <w:iCs/>
          <w:color w:val="auto"/>
          <w:kern w:val="0"/>
          <w:sz w:val="24"/>
          <w:highlight w:val="none"/>
          <w:lang w:val="zh-CN"/>
        </w:rPr>
        <w:t>Ailanthusaltissima</w:t>
      </w:r>
      <w:r>
        <w:rPr>
          <w:rFonts w:hint="eastAsia"/>
          <w:color w:val="auto"/>
          <w:kern w:val="0"/>
          <w:sz w:val="24"/>
          <w:highlight w:val="none"/>
          <w:lang w:val="zh-CN"/>
        </w:rPr>
        <w:t>）等组成，面积所占的比例较少。由于土壤立地条件相对较好，水源较近，植物生长状况相对良好。</w:t>
      </w:r>
    </w:p>
    <w:p>
      <w:pPr>
        <w:autoSpaceDE w:val="0"/>
        <w:autoSpaceDN w:val="0"/>
        <w:adjustRightInd w:val="0"/>
        <w:spacing w:line="480" w:lineRule="exact"/>
        <w:ind w:firstLine="480"/>
        <w:rPr>
          <w:rFonts w:hint="eastAsia"/>
          <w:color w:val="auto"/>
          <w:kern w:val="0"/>
          <w:sz w:val="24"/>
          <w:highlight w:val="none"/>
          <w:lang w:val="en-US" w:eastAsia="zh-CN"/>
        </w:rPr>
      </w:pPr>
      <w:r>
        <w:rPr>
          <w:rFonts w:hint="eastAsia"/>
          <w:color w:val="auto"/>
          <w:kern w:val="0"/>
          <w:sz w:val="24"/>
          <w:highlight w:val="none"/>
          <w:lang w:val="zh-CN"/>
        </w:rPr>
        <w:t>河岸草丛：河岸草丛主要包括猪毛蒿+稗+杂类草草丛、碱蓬+马唐+杂类草草丛和蒿草丛，由于人类干扰频繁，多年生草本也破坏较为严重，演变成为一年生草本为由优势种的相对不稳定的现状植物群落。主要为各类草本植物组成的杂类草草丛，狭叶香蒲（</w:t>
      </w:r>
      <w:r>
        <w:rPr>
          <w:rFonts w:hint="eastAsia"/>
          <w:i/>
          <w:iCs/>
          <w:color w:val="auto"/>
          <w:kern w:val="0"/>
          <w:sz w:val="24"/>
          <w:highlight w:val="none"/>
          <w:lang w:val="zh-CN"/>
        </w:rPr>
        <w:t>Typha angustata L</w:t>
      </w:r>
      <w:r>
        <w:rPr>
          <w:rFonts w:hint="eastAsia"/>
          <w:color w:val="auto"/>
          <w:kern w:val="0"/>
          <w:sz w:val="24"/>
          <w:highlight w:val="none"/>
          <w:lang w:val="zh-CN"/>
        </w:rPr>
        <w:t>）、小眼子菜 （</w:t>
      </w:r>
      <w:r>
        <w:rPr>
          <w:rFonts w:hint="eastAsia"/>
          <w:i/>
          <w:iCs/>
          <w:color w:val="auto"/>
          <w:kern w:val="0"/>
          <w:sz w:val="24"/>
          <w:highlight w:val="none"/>
          <w:lang w:val="zh-CN"/>
        </w:rPr>
        <w:t>Potamogeton pusillus</w:t>
      </w:r>
      <w:r>
        <w:rPr>
          <w:rFonts w:hint="eastAsia"/>
          <w:color w:val="auto"/>
          <w:kern w:val="0"/>
          <w:sz w:val="24"/>
          <w:highlight w:val="none"/>
          <w:lang w:val="zh-CN"/>
        </w:rPr>
        <w:t>）、芦苇（</w:t>
      </w:r>
      <w:r>
        <w:rPr>
          <w:rFonts w:hint="eastAsia"/>
          <w:i/>
          <w:iCs/>
          <w:color w:val="auto"/>
          <w:kern w:val="0"/>
          <w:sz w:val="24"/>
          <w:highlight w:val="none"/>
          <w:lang w:val="zh-CN"/>
        </w:rPr>
        <w:t>Phragmites australis</w:t>
      </w:r>
      <w:r>
        <w:rPr>
          <w:rFonts w:hint="eastAsia"/>
          <w:color w:val="auto"/>
          <w:kern w:val="0"/>
          <w:sz w:val="24"/>
          <w:highlight w:val="none"/>
          <w:lang w:val="zh-CN"/>
        </w:rPr>
        <w:t>）、水葱（</w:t>
      </w:r>
      <w:r>
        <w:rPr>
          <w:rFonts w:hint="eastAsia"/>
          <w:i/>
          <w:iCs/>
          <w:color w:val="auto"/>
          <w:kern w:val="0"/>
          <w:sz w:val="24"/>
          <w:highlight w:val="none"/>
          <w:lang w:val="zh-CN"/>
        </w:rPr>
        <w:t>Eleocharis acicularis</w:t>
      </w:r>
      <w:r>
        <w:rPr>
          <w:rFonts w:hint="eastAsia"/>
          <w:color w:val="auto"/>
          <w:kern w:val="0"/>
          <w:sz w:val="24"/>
          <w:highlight w:val="none"/>
          <w:lang w:val="zh-CN"/>
        </w:rPr>
        <w:t>）、浮萍（</w:t>
      </w:r>
      <w:r>
        <w:rPr>
          <w:rFonts w:hint="eastAsia"/>
          <w:i/>
          <w:iCs/>
          <w:color w:val="auto"/>
          <w:kern w:val="0"/>
          <w:sz w:val="24"/>
          <w:highlight w:val="none"/>
          <w:lang w:val="zh-CN"/>
        </w:rPr>
        <w:t>Lemna minor</w:t>
      </w:r>
      <w:r>
        <w:rPr>
          <w:rFonts w:hint="eastAsia"/>
          <w:color w:val="auto"/>
          <w:kern w:val="0"/>
          <w:sz w:val="24"/>
          <w:highlight w:val="none"/>
          <w:lang w:val="zh-CN"/>
        </w:rPr>
        <w:t>）、水蓼（</w:t>
      </w:r>
      <w:r>
        <w:rPr>
          <w:rFonts w:hint="eastAsia"/>
          <w:i/>
          <w:iCs/>
          <w:color w:val="auto"/>
          <w:kern w:val="0"/>
          <w:sz w:val="24"/>
          <w:highlight w:val="none"/>
          <w:lang w:val="zh-CN"/>
        </w:rPr>
        <w:t>Polygonum hydropiper</w:t>
      </w:r>
      <w:r>
        <w:rPr>
          <w:rFonts w:hint="eastAsia"/>
          <w:color w:val="auto"/>
          <w:kern w:val="0"/>
          <w:sz w:val="24"/>
          <w:highlight w:val="none"/>
          <w:lang w:val="zh-CN"/>
        </w:rPr>
        <w:t>），分布在河岸河滩或路边荒地上，尤其以河流的滩地为主。</w:t>
      </w:r>
    </w:p>
    <w:p>
      <w:pPr>
        <w:autoSpaceDE w:val="0"/>
        <w:autoSpaceDN w:val="0"/>
        <w:adjustRightInd w:val="0"/>
        <w:spacing w:line="480" w:lineRule="exact"/>
        <w:ind w:firstLine="480"/>
        <w:rPr>
          <w:rFonts w:hint="eastAsia"/>
          <w:color w:val="auto"/>
          <w:kern w:val="0"/>
          <w:sz w:val="24"/>
          <w:highlight w:val="none"/>
          <w:lang w:val="en-US" w:eastAsia="zh-CN"/>
        </w:rPr>
      </w:pPr>
      <w:r>
        <w:rPr>
          <w:rFonts w:hint="eastAsia"/>
          <w:color w:val="auto"/>
          <w:kern w:val="0"/>
          <w:sz w:val="24"/>
          <w:highlight w:val="none"/>
          <w:lang w:val="en-US" w:eastAsia="zh-CN"/>
        </w:rPr>
        <w:fldChar w:fldCharType="begin"/>
      </w:r>
      <w:r>
        <w:rPr>
          <w:rFonts w:hint="eastAsia"/>
          <w:color w:val="auto"/>
          <w:kern w:val="0"/>
          <w:sz w:val="24"/>
          <w:highlight w:val="none"/>
          <w:lang w:val="en-US" w:eastAsia="zh-CN"/>
        </w:rPr>
        <w:instrText xml:space="preserve"> = 3 \* GB3 \* MERGEFORMAT </w:instrText>
      </w:r>
      <w:r>
        <w:rPr>
          <w:rFonts w:hint="eastAsia"/>
          <w:color w:val="auto"/>
          <w:kern w:val="0"/>
          <w:sz w:val="24"/>
          <w:highlight w:val="none"/>
          <w:lang w:val="en-US" w:eastAsia="zh-CN"/>
        </w:rPr>
        <w:fldChar w:fldCharType="separate"/>
      </w:r>
      <w:r>
        <w:rPr>
          <w:rFonts w:hint="eastAsia"/>
          <w:color w:val="auto"/>
          <w:kern w:val="0"/>
          <w:sz w:val="24"/>
          <w:highlight w:val="none"/>
          <w:lang w:val="en-US" w:eastAsia="zh-CN"/>
        </w:rPr>
        <w:t>③</w:t>
      </w:r>
      <w:r>
        <w:rPr>
          <w:rFonts w:hint="eastAsia"/>
          <w:color w:val="auto"/>
          <w:kern w:val="0"/>
          <w:sz w:val="24"/>
          <w:highlight w:val="none"/>
          <w:lang w:val="en-US" w:eastAsia="zh-CN"/>
        </w:rPr>
        <w:fldChar w:fldCharType="end"/>
      </w:r>
      <w:r>
        <w:rPr>
          <w:rFonts w:hint="eastAsia"/>
          <w:color w:val="auto"/>
          <w:kern w:val="0"/>
          <w:sz w:val="24"/>
          <w:highlight w:val="none"/>
          <w:lang w:val="en-US" w:eastAsia="zh-CN"/>
        </w:rPr>
        <w:t>珍稀、濒危和保护植物</w:t>
      </w:r>
    </w:p>
    <w:p>
      <w:pPr>
        <w:autoSpaceDE w:val="0"/>
        <w:autoSpaceDN w:val="0"/>
        <w:adjustRightInd w:val="0"/>
        <w:spacing w:line="480" w:lineRule="exact"/>
        <w:ind w:firstLine="480"/>
        <w:rPr>
          <w:rFonts w:hint="eastAsia"/>
          <w:color w:val="auto"/>
          <w:kern w:val="0"/>
          <w:sz w:val="24"/>
          <w:highlight w:val="none"/>
          <w:lang w:val="en-US" w:eastAsia="zh-CN"/>
        </w:rPr>
      </w:pPr>
      <w:r>
        <w:rPr>
          <w:rFonts w:hint="eastAsia"/>
          <w:color w:val="auto"/>
          <w:kern w:val="0"/>
          <w:sz w:val="24"/>
          <w:highlight w:val="none"/>
          <w:lang w:val="en-US" w:eastAsia="zh-CN"/>
        </w:rPr>
        <w:t>国家重点保护植物和珍稀濒危植物的种类及分布：根据野外调查和现有国家级保护和珍稀濒危植物资料查证，对照中华人民共和国国务院1999年8月4日《国家重点保护野生植物名录(第一批)》中所列物种，在评价区内未发现国家重点保护野生植物分布。</w:t>
      </w:r>
    </w:p>
    <w:p>
      <w:pPr>
        <w:autoSpaceDE w:val="0"/>
        <w:autoSpaceDN w:val="0"/>
        <w:adjustRightInd w:val="0"/>
        <w:spacing w:line="480" w:lineRule="exact"/>
        <w:ind w:firstLine="480"/>
        <w:rPr>
          <w:rFonts w:hint="eastAsia"/>
          <w:color w:val="auto"/>
          <w:kern w:val="0"/>
          <w:sz w:val="24"/>
          <w:highlight w:val="none"/>
          <w:lang w:val="en-US" w:eastAsia="zh-CN"/>
        </w:rPr>
      </w:pPr>
    </w:p>
    <w:p>
      <w:pPr>
        <w:autoSpaceDE w:val="0"/>
        <w:autoSpaceDN w:val="0"/>
        <w:adjustRightInd w:val="0"/>
        <w:spacing w:line="480" w:lineRule="exact"/>
        <w:ind w:firstLine="480"/>
        <w:rPr>
          <w:rFonts w:hint="eastAsia"/>
          <w:color w:val="auto"/>
          <w:kern w:val="0"/>
          <w:sz w:val="24"/>
          <w:highlight w:val="none"/>
          <w:lang w:val="en-US" w:eastAsia="zh-CN"/>
        </w:rPr>
      </w:pPr>
      <w:r>
        <w:rPr>
          <w:rFonts w:hint="eastAsia"/>
          <w:color w:val="auto"/>
          <w:kern w:val="0"/>
          <w:sz w:val="24"/>
          <w:highlight w:val="none"/>
          <w:lang w:val="en-US" w:eastAsia="zh-CN"/>
        </w:rPr>
        <w:fldChar w:fldCharType="begin"/>
      </w:r>
      <w:r>
        <w:rPr>
          <w:rFonts w:hint="eastAsia"/>
          <w:color w:val="auto"/>
          <w:kern w:val="0"/>
          <w:sz w:val="24"/>
          <w:highlight w:val="none"/>
          <w:lang w:val="en-US" w:eastAsia="zh-CN"/>
        </w:rPr>
        <w:instrText xml:space="preserve"> = 4 \* GB3 \* MERGEFORMAT </w:instrText>
      </w:r>
      <w:r>
        <w:rPr>
          <w:rFonts w:hint="eastAsia"/>
          <w:color w:val="auto"/>
          <w:kern w:val="0"/>
          <w:sz w:val="24"/>
          <w:highlight w:val="none"/>
          <w:lang w:val="en-US" w:eastAsia="zh-CN"/>
        </w:rPr>
        <w:fldChar w:fldCharType="separate"/>
      </w:r>
      <w:r>
        <w:rPr>
          <w:rFonts w:hint="eastAsia"/>
          <w:color w:val="auto"/>
          <w:kern w:val="0"/>
          <w:sz w:val="24"/>
          <w:highlight w:val="none"/>
          <w:lang w:val="en-US" w:eastAsia="zh-CN"/>
        </w:rPr>
        <w:t>④</w:t>
      </w:r>
      <w:r>
        <w:rPr>
          <w:rFonts w:hint="eastAsia"/>
          <w:color w:val="auto"/>
          <w:kern w:val="0"/>
          <w:sz w:val="24"/>
          <w:highlight w:val="none"/>
          <w:lang w:val="en-US" w:eastAsia="zh-CN"/>
        </w:rPr>
        <w:fldChar w:fldCharType="end"/>
      </w:r>
      <w:r>
        <w:rPr>
          <w:rFonts w:hint="eastAsia"/>
          <w:color w:val="auto"/>
          <w:kern w:val="0"/>
          <w:sz w:val="24"/>
          <w:highlight w:val="none"/>
          <w:lang w:val="en-US" w:eastAsia="zh-CN"/>
        </w:rPr>
        <w:t>古树名木</w:t>
      </w:r>
    </w:p>
    <w:p>
      <w:pPr>
        <w:autoSpaceDE w:val="0"/>
        <w:autoSpaceDN w:val="0"/>
        <w:adjustRightInd w:val="0"/>
        <w:spacing w:line="480" w:lineRule="exact"/>
        <w:ind w:firstLine="480"/>
        <w:rPr>
          <w:rFonts w:hint="default"/>
          <w:color w:val="auto"/>
          <w:kern w:val="0"/>
          <w:sz w:val="24"/>
          <w:highlight w:val="none"/>
          <w:lang w:val="en-US" w:eastAsia="zh-CN"/>
        </w:rPr>
      </w:pPr>
      <w:r>
        <w:rPr>
          <w:rFonts w:hint="eastAsia"/>
          <w:color w:val="auto"/>
          <w:kern w:val="0"/>
          <w:sz w:val="24"/>
          <w:highlight w:val="none"/>
          <w:lang w:val="en-US" w:eastAsia="zh-CN"/>
        </w:rPr>
        <w:t>调查发现，评价区域范围内没有古树名木分布。</w:t>
      </w:r>
    </w:p>
    <w:p>
      <w:pPr>
        <w:autoSpaceDE w:val="0"/>
        <w:autoSpaceDN w:val="0"/>
        <w:adjustRightInd w:val="0"/>
        <w:spacing w:line="480" w:lineRule="exact"/>
        <w:ind w:firstLine="480"/>
        <w:rPr>
          <w:rFonts w:hint="eastAsia"/>
          <w:color w:val="auto"/>
          <w:kern w:val="0"/>
          <w:sz w:val="24"/>
          <w:highlight w:val="none"/>
          <w:lang w:val="en-US" w:eastAsia="zh-CN"/>
        </w:rPr>
      </w:pPr>
      <w:r>
        <w:rPr>
          <w:rFonts w:hint="eastAsia"/>
          <w:color w:val="auto"/>
          <w:kern w:val="0"/>
          <w:sz w:val="24"/>
          <w:highlight w:val="none"/>
          <w:lang w:val="en-US" w:eastAsia="zh-CN"/>
        </w:rPr>
        <w:fldChar w:fldCharType="begin"/>
      </w:r>
      <w:r>
        <w:rPr>
          <w:rFonts w:hint="eastAsia"/>
          <w:color w:val="auto"/>
          <w:kern w:val="0"/>
          <w:sz w:val="24"/>
          <w:highlight w:val="none"/>
          <w:lang w:val="en-US" w:eastAsia="zh-CN"/>
        </w:rPr>
        <w:instrText xml:space="preserve"> = 5 \* GB3 \* MERGEFORMAT </w:instrText>
      </w:r>
      <w:r>
        <w:rPr>
          <w:rFonts w:hint="eastAsia"/>
          <w:color w:val="auto"/>
          <w:kern w:val="0"/>
          <w:sz w:val="24"/>
          <w:highlight w:val="none"/>
          <w:lang w:val="en-US" w:eastAsia="zh-CN"/>
        </w:rPr>
        <w:fldChar w:fldCharType="separate"/>
      </w:r>
      <w:r>
        <w:rPr>
          <w:rFonts w:hint="eastAsia"/>
          <w:color w:val="auto"/>
          <w:kern w:val="0"/>
          <w:sz w:val="24"/>
          <w:highlight w:val="none"/>
          <w:lang w:val="en-US" w:eastAsia="zh-CN"/>
        </w:rPr>
        <w:t>⑤</w:t>
      </w:r>
      <w:r>
        <w:rPr>
          <w:rFonts w:hint="eastAsia"/>
          <w:color w:val="auto"/>
          <w:kern w:val="0"/>
          <w:sz w:val="24"/>
          <w:highlight w:val="none"/>
          <w:lang w:val="en-US" w:eastAsia="zh-CN"/>
        </w:rPr>
        <w:fldChar w:fldCharType="end"/>
      </w:r>
      <w:r>
        <w:rPr>
          <w:rFonts w:hint="eastAsia"/>
          <w:color w:val="auto"/>
          <w:kern w:val="0"/>
          <w:sz w:val="24"/>
          <w:highlight w:val="none"/>
          <w:lang w:val="en-US" w:eastAsia="zh-CN"/>
        </w:rPr>
        <w:t>重要野生资源植物</w:t>
      </w:r>
    </w:p>
    <w:p>
      <w:pPr>
        <w:autoSpaceDE w:val="0"/>
        <w:autoSpaceDN w:val="0"/>
        <w:adjustRightInd w:val="0"/>
        <w:spacing w:line="480" w:lineRule="exact"/>
        <w:ind w:firstLine="480"/>
        <w:rPr>
          <w:rFonts w:hint="eastAsia"/>
          <w:color w:val="auto"/>
          <w:kern w:val="0"/>
          <w:sz w:val="24"/>
          <w:highlight w:val="none"/>
          <w:lang w:val="en-US" w:eastAsia="zh-CN"/>
        </w:rPr>
      </w:pPr>
      <w:r>
        <w:rPr>
          <w:rFonts w:hint="eastAsia"/>
          <w:color w:val="auto"/>
          <w:kern w:val="0"/>
          <w:sz w:val="24"/>
          <w:highlight w:val="none"/>
          <w:lang w:val="en-US" w:eastAsia="zh-CN"/>
        </w:rPr>
        <w:t>调查区内未发现野生资源植物。</w:t>
      </w:r>
    </w:p>
    <w:p>
      <w:pPr>
        <w:autoSpaceDE w:val="0"/>
        <w:autoSpaceDN w:val="0"/>
        <w:adjustRightInd w:val="0"/>
        <w:spacing w:line="480" w:lineRule="exact"/>
        <w:ind w:firstLine="480"/>
        <w:rPr>
          <w:rFonts w:hint="default"/>
          <w:color w:val="auto"/>
          <w:kern w:val="0"/>
          <w:sz w:val="24"/>
          <w:highlight w:val="none"/>
          <w:lang w:val="en-US" w:eastAsia="zh-CN"/>
        </w:rPr>
      </w:pPr>
      <w:r>
        <w:rPr>
          <w:rFonts w:hint="eastAsia"/>
          <w:color w:val="auto"/>
          <w:kern w:val="0"/>
          <w:sz w:val="24"/>
          <w:highlight w:val="none"/>
          <w:lang w:val="en-US" w:eastAsia="zh-CN"/>
        </w:rPr>
        <w:fldChar w:fldCharType="begin"/>
      </w:r>
      <w:r>
        <w:rPr>
          <w:rFonts w:hint="eastAsia"/>
          <w:color w:val="auto"/>
          <w:kern w:val="0"/>
          <w:sz w:val="24"/>
          <w:highlight w:val="none"/>
          <w:lang w:val="en-US" w:eastAsia="zh-CN"/>
        </w:rPr>
        <w:instrText xml:space="preserve"> = 6 \* GB3 \* MERGEFORMAT </w:instrText>
      </w:r>
      <w:r>
        <w:rPr>
          <w:rFonts w:hint="eastAsia"/>
          <w:color w:val="auto"/>
          <w:kern w:val="0"/>
          <w:sz w:val="24"/>
          <w:highlight w:val="none"/>
          <w:lang w:val="en-US" w:eastAsia="zh-CN"/>
        </w:rPr>
        <w:fldChar w:fldCharType="separate"/>
      </w:r>
      <w:r>
        <w:rPr>
          <w:rFonts w:hint="eastAsia"/>
          <w:color w:val="auto"/>
          <w:kern w:val="0"/>
          <w:sz w:val="24"/>
          <w:highlight w:val="none"/>
          <w:lang w:val="en-US" w:eastAsia="zh-CN"/>
        </w:rPr>
        <w:t>⑥</w:t>
      </w:r>
      <w:r>
        <w:rPr>
          <w:rFonts w:hint="eastAsia"/>
          <w:color w:val="auto"/>
          <w:kern w:val="0"/>
          <w:sz w:val="24"/>
          <w:highlight w:val="none"/>
          <w:lang w:val="en-US" w:eastAsia="zh-CN"/>
        </w:rPr>
        <w:fldChar w:fldCharType="end"/>
      </w:r>
      <w:r>
        <w:rPr>
          <w:rFonts w:hint="eastAsia"/>
          <w:color w:val="auto"/>
          <w:kern w:val="0"/>
          <w:sz w:val="24"/>
          <w:highlight w:val="none"/>
          <w:lang w:val="en-US" w:eastAsia="zh-CN"/>
        </w:rPr>
        <w:t>水电站、引水渠周边植被类型</w:t>
      </w:r>
    </w:p>
    <w:p>
      <w:pPr>
        <w:autoSpaceDE w:val="0"/>
        <w:autoSpaceDN w:val="0"/>
        <w:adjustRightInd w:val="0"/>
        <w:spacing w:line="480" w:lineRule="exact"/>
        <w:ind w:firstLine="480"/>
        <w:rPr>
          <w:rFonts w:hint="eastAsia"/>
          <w:color w:val="auto"/>
          <w:kern w:val="0"/>
          <w:sz w:val="24"/>
          <w:highlight w:val="none"/>
          <w:lang w:val="en-US" w:eastAsia="zh-CN"/>
        </w:rPr>
      </w:pPr>
      <w:r>
        <w:rPr>
          <w:rFonts w:hint="eastAsia"/>
          <w:color w:val="auto"/>
          <w:kern w:val="0"/>
          <w:sz w:val="24"/>
          <w:highlight w:val="none"/>
          <w:lang w:val="en-US" w:eastAsia="zh-CN"/>
        </w:rPr>
        <w:t>水电站周边均为废弃建设用地，无自然植被。周边存在人工种植的柳树、杨树。</w:t>
      </w:r>
    </w:p>
    <w:p>
      <w:pPr>
        <w:keepNext w:val="0"/>
        <w:keepLines w:val="0"/>
        <w:pageBreakBefore w:val="0"/>
        <w:kinsoku/>
        <w:wordWrap/>
        <w:overflowPunct/>
        <w:topLinePunct w:val="0"/>
        <w:autoSpaceDE w:val="0"/>
        <w:autoSpaceDN w:val="0"/>
        <w:bidi w:val="0"/>
        <w:adjustRightInd w:val="0"/>
        <w:snapToGrid/>
        <w:spacing w:line="480" w:lineRule="exact"/>
        <w:ind w:firstLine="480"/>
        <w:textAlignment w:val="auto"/>
        <w:rPr>
          <w:rFonts w:hint="default"/>
          <w:color w:val="auto"/>
          <w:kern w:val="0"/>
          <w:sz w:val="24"/>
          <w:highlight w:val="none"/>
          <w:lang w:val="en-US" w:eastAsia="zh-CN"/>
        </w:rPr>
      </w:pPr>
      <w:r>
        <w:rPr>
          <w:rFonts w:hint="eastAsia"/>
          <w:color w:val="auto"/>
          <w:kern w:val="0"/>
          <w:sz w:val="24"/>
          <w:highlight w:val="none"/>
          <w:lang w:val="en-US" w:eastAsia="zh-CN"/>
        </w:rPr>
        <w:fldChar w:fldCharType="begin"/>
      </w:r>
      <w:r>
        <w:rPr>
          <w:rFonts w:hint="eastAsia"/>
          <w:color w:val="auto"/>
          <w:kern w:val="0"/>
          <w:sz w:val="24"/>
          <w:highlight w:val="none"/>
          <w:lang w:val="en-US" w:eastAsia="zh-CN"/>
        </w:rPr>
        <w:instrText xml:space="preserve"> = 7 \* GB3 \* MERGEFORMAT </w:instrText>
      </w:r>
      <w:r>
        <w:rPr>
          <w:rFonts w:hint="eastAsia"/>
          <w:color w:val="auto"/>
          <w:kern w:val="0"/>
          <w:sz w:val="24"/>
          <w:highlight w:val="none"/>
          <w:lang w:val="en-US" w:eastAsia="zh-CN"/>
        </w:rPr>
        <w:fldChar w:fldCharType="separate"/>
      </w:r>
      <w:r>
        <w:rPr>
          <w:color w:val="auto"/>
          <w:highlight w:val="none"/>
        </w:rPr>
        <w:t>⑦</w:t>
      </w:r>
      <w:r>
        <w:rPr>
          <w:rFonts w:hint="eastAsia"/>
          <w:color w:val="auto"/>
          <w:kern w:val="0"/>
          <w:sz w:val="24"/>
          <w:highlight w:val="none"/>
          <w:lang w:val="en-US" w:eastAsia="zh-CN"/>
        </w:rPr>
        <w:fldChar w:fldCharType="end"/>
      </w:r>
      <w:r>
        <w:rPr>
          <w:rFonts w:hint="eastAsia"/>
          <w:color w:val="auto"/>
          <w:kern w:val="0"/>
          <w:sz w:val="24"/>
          <w:highlight w:val="none"/>
          <w:lang w:val="en-US" w:eastAsia="zh-CN"/>
        </w:rPr>
        <w:t>样方调查</w:t>
      </w:r>
    </w:p>
    <w:p>
      <w:pPr>
        <w:keepNext w:val="0"/>
        <w:keepLines w:val="0"/>
        <w:pageBreakBefore w:val="0"/>
        <w:widowControl/>
        <w:kinsoku/>
        <w:wordWrap/>
        <w:overflowPunct/>
        <w:topLinePunct w:val="0"/>
        <w:autoSpaceDE/>
        <w:autoSpaceDN/>
        <w:bidi w:val="0"/>
        <w:adjustRightInd/>
        <w:snapToGrid/>
        <w:spacing w:line="480" w:lineRule="exact"/>
        <w:ind w:firstLine="480" w:firstLineChars="200"/>
        <w:jc w:val="both"/>
        <w:textAlignment w:val="auto"/>
        <w:outlineLvl w:val="9"/>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eastAsia="zh-CN"/>
        </w:rPr>
        <w:t>根据项目区典型植被类型，本次植被样方调查有针对性地设置了</w:t>
      </w:r>
      <w:r>
        <w:rPr>
          <w:rFonts w:hint="eastAsia"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lang w:eastAsia="zh-CN"/>
        </w:rPr>
        <w:t>个典型样方对评价区内典型植被群系进行调查。其中</w:t>
      </w:r>
      <w:r>
        <w:rPr>
          <w:rFonts w:hint="eastAsia" w:ascii="Times New Roman" w:hAnsi="Times New Roman" w:cs="Times New Roman"/>
          <w:color w:val="auto"/>
          <w:sz w:val="24"/>
          <w:highlight w:val="none"/>
          <w:lang w:eastAsia="zh-CN"/>
        </w:rPr>
        <w:t>阔叶</w:t>
      </w:r>
      <w:r>
        <w:rPr>
          <w:rFonts w:hint="default" w:ascii="Times New Roman" w:hAnsi="Times New Roman" w:cs="Times New Roman"/>
          <w:color w:val="auto"/>
          <w:sz w:val="24"/>
          <w:highlight w:val="none"/>
          <w:lang w:eastAsia="zh-CN"/>
        </w:rPr>
        <w:t>林样方</w:t>
      </w:r>
      <w:r>
        <w:rPr>
          <w:rFonts w:hint="eastAsia"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lang w:eastAsia="zh-CN"/>
        </w:rPr>
        <w:t>个，为</w:t>
      </w:r>
      <w:r>
        <w:rPr>
          <w:rFonts w:hint="eastAsia" w:ascii="Times New Roman" w:hAnsi="Times New Roman" w:cs="Times New Roman"/>
          <w:color w:val="auto"/>
          <w:sz w:val="24"/>
          <w:highlight w:val="none"/>
          <w:lang w:eastAsia="zh-CN"/>
        </w:rPr>
        <w:t>杨树</w:t>
      </w:r>
      <w:r>
        <w:rPr>
          <w:rFonts w:hint="default" w:ascii="Times New Roman" w:hAnsi="Times New Roman" w:cs="Times New Roman"/>
          <w:color w:val="auto"/>
          <w:sz w:val="24"/>
          <w:highlight w:val="none"/>
          <w:lang w:eastAsia="zh-CN"/>
        </w:rPr>
        <w:t>林</w:t>
      </w:r>
      <w:r>
        <w:rPr>
          <w:rFonts w:hint="eastAsia"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lang w:eastAsia="zh-CN"/>
        </w:rPr>
        <w:t>个，</w:t>
      </w:r>
      <w:r>
        <w:rPr>
          <w:rFonts w:hint="eastAsia" w:ascii="Times New Roman" w:hAnsi="Times New Roman" w:cs="Times New Roman"/>
          <w:color w:val="auto"/>
          <w:sz w:val="24"/>
          <w:highlight w:val="none"/>
          <w:lang w:eastAsia="zh-CN"/>
        </w:rPr>
        <w:t>柳树</w:t>
      </w:r>
      <w:r>
        <w:rPr>
          <w:rFonts w:hint="default" w:ascii="Times New Roman" w:hAnsi="Times New Roman" w:cs="Times New Roman"/>
          <w:color w:val="auto"/>
          <w:sz w:val="24"/>
          <w:highlight w:val="none"/>
          <w:lang w:eastAsia="zh-CN"/>
        </w:rPr>
        <w:t>林</w:t>
      </w:r>
      <w:r>
        <w:rPr>
          <w:rFonts w:hint="eastAsia" w:ascii="Times New Roman" w:hAnsi="Times New Roman" w:cs="Times New Roman"/>
          <w:color w:val="auto"/>
          <w:sz w:val="24"/>
          <w:highlight w:val="none"/>
          <w:lang w:val="en-US" w:eastAsia="zh-CN"/>
        </w:rPr>
        <w:t>2个</w:t>
      </w:r>
      <w:r>
        <w:rPr>
          <w:rFonts w:hint="default"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eastAsia="zh-CN"/>
        </w:rPr>
        <w:t>香椿林</w:t>
      </w:r>
      <w:r>
        <w:rPr>
          <w:rFonts w:hint="eastAsia" w:ascii="Times New Roman" w:hAnsi="Times New Roman" w:cs="Times New Roman"/>
          <w:color w:val="auto"/>
          <w:sz w:val="24"/>
          <w:highlight w:val="none"/>
          <w:lang w:val="en-US" w:eastAsia="zh-CN"/>
        </w:rPr>
        <w:t>1个</w:t>
      </w:r>
      <w:r>
        <w:rPr>
          <w:rFonts w:hint="default"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eastAsia="zh-CN"/>
        </w:rPr>
        <w:t>草地</w:t>
      </w:r>
      <w:r>
        <w:rPr>
          <w:rFonts w:hint="eastAsia" w:ascii="Times New Roman" w:hAnsi="Times New Roman" w:cs="Times New Roman"/>
          <w:color w:val="auto"/>
          <w:sz w:val="24"/>
          <w:highlight w:val="none"/>
          <w:lang w:val="en-US" w:eastAsia="zh-CN"/>
        </w:rPr>
        <w:t>1个。</w:t>
      </w:r>
    </w:p>
    <w:p>
      <w:pPr>
        <w:keepNext w:val="0"/>
        <w:keepLines w:val="0"/>
        <w:pageBreakBefore w:val="0"/>
        <w:widowControl/>
        <w:kinsoku/>
        <w:wordWrap/>
        <w:overflowPunct/>
        <w:topLinePunct w:val="0"/>
        <w:autoSpaceDE/>
        <w:autoSpaceDN/>
        <w:bidi w:val="0"/>
        <w:adjustRightInd/>
        <w:snapToGrid/>
        <w:spacing w:line="480" w:lineRule="exact"/>
        <w:ind w:firstLine="480" w:firstLineChars="200"/>
        <w:jc w:val="both"/>
        <w:textAlignment w:val="auto"/>
        <w:outlineLvl w:val="9"/>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样方1：</w:t>
      </w:r>
      <w:r>
        <w:rPr>
          <w:rFonts w:hint="eastAsia" w:ascii="Times New Roman" w:hAnsi="Times New Roman" w:cs="Times New Roman"/>
          <w:color w:val="auto"/>
          <w:sz w:val="24"/>
          <w:highlight w:val="none"/>
          <w:lang w:eastAsia="zh-CN"/>
        </w:rPr>
        <w:t>杨树</w:t>
      </w:r>
      <w:r>
        <w:rPr>
          <w:rFonts w:hint="default" w:ascii="Times New Roman" w:hAnsi="Times New Roman" w:cs="Times New Roman"/>
          <w:color w:val="auto"/>
          <w:sz w:val="24"/>
          <w:highlight w:val="none"/>
          <w:lang w:eastAsia="zh-CN"/>
        </w:rPr>
        <w:t>林</w:t>
      </w:r>
    </w:p>
    <w:p>
      <w:pPr>
        <w:keepNext w:val="0"/>
        <w:keepLines w:val="0"/>
        <w:pageBreakBefore w:val="0"/>
        <w:widowControl/>
        <w:kinsoku/>
        <w:wordWrap/>
        <w:overflowPunct/>
        <w:topLinePunct w:val="0"/>
        <w:autoSpaceDE/>
        <w:autoSpaceDN/>
        <w:bidi w:val="0"/>
        <w:adjustRightInd/>
        <w:snapToGrid/>
        <w:spacing w:line="480" w:lineRule="exact"/>
        <w:ind w:firstLine="480" w:firstLineChars="200"/>
        <w:jc w:val="both"/>
        <w:textAlignment w:val="auto"/>
        <w:outlineLvl w:val="9"/>
        <w:rPr>
          <w:rFonts w:hint="default" w:ascii="Times New Roman" w:hAnsi="Times New Roman" w:cs="Times New Roman"/>
          <w:color w:val="auto"/>
          <w:sz w:val="24"/>
          <w:highlight w:val="none"/>
          <w:lang w:eastAsia="zh-CN"/>
        </w:rPr>
      </w:pPr>
      <w:r>
        <w:rPr>
          <w:rFonts w:hint="eastAsia" w:ascii="Times New Roman" w:hAnsi="Times New Roman" w:cs="Times New Roman"/>
          <w:color w:val="auto"/>
          <w:sz w:val="24"/>
          <w:highlight w:val="none"/>
          <w:lang w:eastAsia="zh-CN"/>
        </w:rPr>
        <w:t>杨树</w:t>
      </w:r>
      <w:r>
        <w:rPr>
          <w:rFonts w:hint="default" w:ascii="Times New Roman" w:hAnsi="Times New Roman" w:cs="Times New Roman"/>
          <w:color w:val="auto"/>
          <w:sz w:val="24"/>
          <w:highlight w:val="none"/>
          <w:lang w:eastAsia="zh-CN"/>
        </w:rPr>
        <w:t>在项目区分布面积大、范围广，</w:t>
      </w:r>
      <w:r>
        <w:rPr>
          <w:rFonts w:hint="eastAsia" w:ascii="Times New Roman" w:hAnsi="Times New Roman" w:cs="Times New Roman"/>
          <w:color w:val="auto"/>
          <w:sz w:val="24"/>
          <w:highlight w:val="none"/>
          <w:lang w:eastAsia="zh-CN"/>
        </w:rPr>
        <w:t>均</w:t>
      </w:r>
      <w:r>
        <w:rPr>
          <w:rFonts w:hint="default" w:ascii="Times New Roman" w:hAnsi="Times New Roman" w:cs="Times New Roman"/>
          <w:color w:val="auto"/>
          <w:sz w:val="24"/>
          <w:highlight w:val="none"/>
          <w:lang w:eastAsia="zh-CN"/>
        </w:rPr>
        <w:t>为人工营造的主要植被群落。该</w:t>
      </w:r>
      <w:r>
        <w:rPr>
          <w:rFonts w:hint="eastAsia" w:ascii="Times New Roman" w:hAnsi="Times New Roman" w:cs="Times New Roman"/>
          <w:color w:val="auto"/>
          <w:sz w:val="24"/>
          <w:highlight w:val="none"/>
          <w:lang w:eastAsia="zh-CN"/>
        </w:rPr>
        <w:t>白杨树</w:t>
      </w:r>
      <w:r>
        <w:rPr>
          <w:rFonts w:hint="default" w:ascii="Times New Roman" w:hAnsi="Times New Roman" w:cs="Times New Roman"/>
          <w:color w:val="auto"/>
          <w:sz w:val="24"/>
          <w:highlight w:val="none"/>
          <w:lang w:eastAsia="zh-CN"/>
        </w:rPr>
        <w:t>林样方位于</w:t>
      </w:r>
      <w:r>
        <w:rPr>
          <w:rFonts w:hint="default" w:ascii="Times New Roman" w:hAnsi="Times New Roman" w:cs="Times New Roman"/>
          <w:color w:val="auto"/>
          <w:sz w:val="24"/>
          <w:highlight w:val="none"/>
          <w:lang w:val="en-US" w:eastAsia="zh-CN"/>
        </w:rPr>
        <w:t>本项目</w:t>
      </w:r>
      <w:r>
        <w:rPr>
          <w:rFonts w:hint="eastAsia" w:ascii="Times New Roman" w:hAnsi="Times New Roman" w:cs="Times New Roman"/>
          <w:color w:val="auto"/>
          <w:sz w:val="24"/>
          <w:highlight w:val="none"/>
          <w:lang w:val="en-US" w:eastAsia="zh-CN"/>
        </w:rPr>
        <w:t>橡胶坝上</w:t>
      </w:r>
      <w:r>
        <w:rPr>
          <w:rFonts w:hint="default" w:ascii="Times New Roman" w:hAnsi="Times New Roman" w:cs="Times New Roman"/>
          <w:color w:val="auto"/>
          <w:sz w:val="24"/>
          <w:highlight w:val="none"/>
          <w:lang w:val="en-US" w:eastAsia="zh-CN"/>
        </w:rPr>
        <w:t>游</w:t>
      </w:r>
      <w:r>
        <w:rPr>
          <w:rFonts w:hint="eastAsia" w:ascii="Times New Roman" w:hAnsi="Times New Roman" w:cs="Times New Roman"/>
          <w:color w:val="auto"/>
          <w:sz w:val="24"/>
          <w:highlight w:val="none"/>
          <w:lang w:val="en-US" w:eastAsia="zh-CN"/>
        </w:rPr>
        <w:t>左</w:t>
      </w:r>
      <w:r>
        <w:rPr>
          <w:rFonts w:hint="default" w:ascii="Times New Roman" w:hAnsi="Times New Roman" w:cs="Times New Roman"/>
          <w:color w:val="auto"/>
          <w:sz w:val="24"/>
          <w:highlight w:val="none"/>
          <w:lang w:val="en-US" w:eastAsia="zh-CN"/>
        </w:rPr>
        <w:t>岸</w:t>
      </w:r>
      <w:r>
        <w:rPr>
          <w:rFonts w:hint="default" w:ascii="Times New Roman" w:hAnsi="Times New Roman" w:cs="Times New Roman"/>
          <w:color w:val="auto"/>
          <w:sz w:val="24"/>
          <w:highlight w:val="none"/>
          <w:lang w:eastAsia="zh-CN"/>
        </w:rPr>
        <w:t>，属</w:t>
      </w:r>
      <w:r>
        <w:rPr>
          <w:rFonts w:hint="eastAsia" w:ascii="Times New Roman" w:hAnsi="Times New Roman" w:cs="Times New Roman"/>
          <w:color w:val="auto"/>
          <w:sz w:val="24"/>
          <w:highlight w:val="none"/>
          <w:lang w:eastAsia="zh-CN"/>
        </w:rPr>
        <w:t>幼</w:t>
      </w:r>
      <w:r>
        <w:rPr>
          <w:rFonts w:hint="default" w:ascii="Times New Roman" w:hAnsi="Times New Roman" w:cs="Times New Roman"/>
          <w:color w:val="auto"/>
          <w:sz w:val="24"/>
          <w:highlight w:val="none"/>
          <w:lang w:eastAsia="zh-CN"/>
        </w:rPr>
        <w:t>龄林，在10×10m</w:t>
      </w:r>
      <w:r>
        <w:rPr>
          <w:rFonts w:hint="default" w:ascii="Times New Roman" w:hAnsi="Times New Roman" w:cs="Times New Roman"/>
          <w:color w:val="auto"/>
          <w:sz w:val="24"/>
          <w:highlight w:val="none"/>
          <w:vertAlign w:val="superscript"/>
          <w:lang w:eastAsia="zh-CN"/>
        </w:rPr>
        <w:t>2</w:t>
      </w:r>
      <w:r>
        <w:rPr>
          <w:rFonts w:hint="default" w:ascii="Times New Roman" w:hAnsi="Times New Roman" w:cs="Times New Roman"/>
          <w:color w:val="auto"/>
          <w:sz w:val="24"/>
          <w:highlight w:val="none"/>
          <w:lang w:eastAsia="zh-CN"/>
        </w:rPr>
        <w:t>的样方中，有</w:t>
      </w:r>
      <w:r>
        <w:rPr>
          <w:rFonts w:hint="eastAsia" w:ascii="Times New Roman" w:hAnsi="Times New Roman" w:cs="Times New Roman"/>
          <w:color w:val="auto"/>
          <w:sz w:val="24"/>
          <w:highlight w:val="none"/>
          <w:lang w:eastAsia="zh-CN"/>
        </w:rPr>
        <w:t>白杨</w:t>
      </w:r>
      <w:r>
        <w:rPr>
          <w:rFonts w:hint="eastAsia" w:cs="Times New Roman"/>
          <w:color w:val="auto"/>
          <w:sz w:val="24"/>
          <w:highlight w:val="none"/>
          <w:lang w:val="en-US" w:eastAsia="zh-CN"/>
        </w:rPr>
        <w:t>20</w:t>
      </w:r>
      <w:r>
        <w:rPr>
          <w:rFonts w:hint="default" w:ascii="Times New Roman" w:hAnsi="Times New Roman" w:cs="Times New Roman"/>
          <w:color w:val="auto"/>
          <w:sz w:val="24"/>
          <w:highlight w:val="none"/>
          <w:lang w:eastAsia="zh-CN"/>
        </w:rPr>
        <w:t>株，株高</w:t>
      </w:r>
      <w:r>
        <w:rPr>
          <w:rFonts w:hint="eastAsia" w:ascii="Times New Roman" w:hAnsi="Times New Roman" w:cs="Times New Roman"/>
          <w:color w:val="auto"/>
          <w:sz w:val="24"/>
          <w:highlight w:val="none"/>
          <w:lang w:val="en-US" w:eastAsia="zh-CN"/>
        </w:rPr>
        <w:t>11</w:t>
      </w:r>
      <w:r>
        <w:rPr>
          <w:rFonts w:hint="default" w:ascii="Times New Roman" w:hAnsi="Times New Roman" w:cs="Times New Roman"/>
          <w:color w:val="auto"/>
          <w:sz w:val="24"/>
          <w:highlight w:val="none"/>
          <w:lang w:eastAsia="zh-CN"/>
        </w:rPr>
        <w:t>～1</w:t>
      </w:r>
      <w:r>
        <w:rPr>
          <w:rFonts w:hint="default"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lang w:eastAsia="zh-CN"/>
        </w:rPr>
        <w:t>m，胸径</w:t>
      </w:r>
      <w:r>
        <w:rPr>
          <w:rFonts w:hint="eastAsia" w:ascii="Times New Roman" w:hAnsi="Times New Roman" w:cs="Times New Roman"/>
          <w:color w:val="auto"/>
          <w:sz w:val="24"/>
          <w:highlight w:val="none"/>
          <w:lang w:val="en-US" w:eastAsia="zh-CN"/>
        </w:rPr>
        <w:t>12</w:t>
      </w:r>
      <w:r>
        <w:rPr>
          <w:rFonts w:hint="default"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15</w:t>
      </w:r>
      <w:r>
        <w:rPr>
          <w:rFonts w:hint="default" w:ascii="Times New Roman" w:hAnsi="Times New Roman" w:cs="Times New Roman"/>
          <w:color w:val="auto"/>
          <w:sz w:val="24"/>
          <w:highlight w:val="none"/>
          <w:lang w:eastAsia="zh-CN"/>
        </w:rPr>
        <w:t>cm；灌木层种类较为稀少</w:t>
      </w:r>
      <w:r>
        <w:rPr>
          <w:rFonts w:hint="eastAsia" w:ascii="Times New Roman" w:hAnsi="Times New Roman" w:cs="Times New Roman"/>
          <w:color w:val="auto"/>
          <w:sz w:val="24"/>
          <w:highlight w:val="none"/>
          <w:lang w:eastAsia="zh-CN"/>
        </w:rPr>
        <w:t>，主要有胡枝子；</w:t>
      </w:r>
      <w:r>
        <w:rPr>
          <w:rFonts w:hint="default" w:ascii="Times New Roman" w:hAnsi="Times New Roman" w:cs="Times New Roman"/>
          <w:color w:val="auto"/>
          <w:sz w:val="24"/>
          <w:highlight w:val="none"/>
          <w:lang w:eastAsia="zh-CN"/>
        </w:rPr>
        <w:t>草本层盖度在</w:t>
      </w:r>
      <w:r>
        <w:rPr>
          <w:rFonts w:hint="eastAsia" w:cs="Times New Roman"/>
          <w:color w:val="auto"/>
          <w:sz w:val="24"/>
          <w:highlight w:val="none"/>
          <w:lang w:val="en-US" w:eastAsia="zh-CN"/>
        </w:rPr>
        <w:t>5</w:t>
      </w:r>
      <w:r>
        <w:rPr>
          <w:rFonts w:hint="default" w:ascii="Times New Roman" w:hAnsi="Times New Roman" w:cs="Times New Roman"/>
          <w:color w:val="auto"/>
          <w:sz w:val="24"/>
          <w:highlight w:val="none"/>
          <w:lang w:eastAsia="zh-CN"/>
        </w:rPr>
        <w:t>0%左右</w:t>
      </w:r>
      <w:r>
        <w:rPr>
          <w:rFonts w:hint="eastAsia" w:ascii="Times New Roman" w:hAnsi="Times New Roman" w:cs="Times New Roman"/>
          <w:color w:val="auto"/>
          <w:sz w:val="24"/>
          <w:highlight w:val="none"/>
          <w:lang w:eastAsia="zh-CN"/>
        </w:rPr>
        <w:t>，因样方调查时间为春季，草木尚未返青。测量枯萎的草木，</w:t>
      </w:r>
      <w:r>
        <w:rPr>
          <w:rFonts w:hint="default" w:ascii="Times New Roman" w:hAnsi="Times New Roman" w:cs="Times New Roman"/>
          <w:color w:val="auto"/>
          <w:sz w:val="24"/>
          <w:highlight w:val="none"/>
          <w:lang w:eastAsia="zh-CN"/>
        </w:rPr>
        <w:t>植株高度为 0.</w:t>
      </w:r>
      <w:r>
        <w:rPr>
          <w:rFonts w:hint="eastAsia"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0.8</w:t>
      </w:r>
      <w:r>
        <w:rPr>
          <w:rFonts w:hint="default" w:ascii="Times New Roman" w:hAnsi="Times New Roman" w:cs="Times New Roman"/>
          <w:color w:val="auto"/>
          <w:sz w:val="24"/>
          <w:highlight w:val="none"/>
          <w:lang w:eastAsia="zh-CN"/>
        </w:rPr>
        <w:t>m</w:t>
      </w:r>
      <w:r>
        <w:rPr>
          <w:rFonts w:hint="eastAsia" w:ascii="Times New Roman" w:hAnsi="Times New Roman" w:cs="Times New Roman"/>
          <w:color w:val="auto"/>
          <w:sz w:val="24"/>
          <w:highlight w:val="none"/>
          <w:lang w:eastAsia="zh-CN"/>
        </w:rPr>
        <w:t>；经当地居民调查，夏季、秋季</w:t>
      </w:r>
      <w:r>
        <w:rPr>
          <w:rFonts w:hint="default" w:ascii="Times New Roman" w:hAnsi="Times New Roman" w:cs="Times New Roman"/>
          <w:color w:val="auto"/>
          <w:sz w:val="24"/>
          <w:highlight w:val="none"/>
          <w:lang w:eastAsia="zh-CN"/>
        </w:rPr>
        <w:t>草本层植物</w:t>
      </w:r>
      <w:r>
        <w:rPr>
          <w:rFonts w:hint="eastAsia" w:ascii="Times New Roman" w:hAnsi="Times New Roman" w:cs="Times New Roman"/>
          <w:color w:val="auto"/>
          <w:sz w:val="24"/>
          <w:highlight w:val="none"/>
          <w:lang w:eastAsia="zh-CN"/>
        </w:rPr>
        <w:t>茂盛期</w:t>
      </w:r>
      <w:r>
        <w:rPr>
          <w:rFonts w:hint="default" w:ascii="Times New Roman" w:hAnsi="Times New Roman" w:cs="Times New Roman"/>
          <w:color w:val="auto"/>
          <w:sz w:val="24"/>
          <w:highlight w:val="none"/>
          <w:lang w:eastAsia="zh-CN"/>
        </w:rPr>
        <w:t>有</w:t>
      </w:r>
      <w:r>
        <w:rPr>
          <w:rFonts w:hint="eastAsia" w:ascii="Times New Roman" w:hAnsi="Times New Roman" w:cs="Times New Roman"/>
          <w:color w:val="auto"/>
          <w:sz w:val="24"/>
          <w:highlight w:val="none"/>
          <w:lang w:eastAsia="zh-CN"/>
        </w:rPr>
        <w:t>苣卖菜、</w:t>
      </w:r>
      <w:r>
        <w:rPr>
          <w:rFonts w:hint="default" w:ascii="Times New Roman" w:hAnsi="Times New Roman" w:cs="Times New Roman"/>
          <w:color w:val="auto"/>
          <w:sz w:val="24"/>
          <w:highlight w:val="none"/>
          <w:lang w:eastAsia="zh-CN"/>
        </w:rPr>
        <w:t>车前</w:t>
      </w:r>
      <w:r>
        <w:rPr>
          <w:rFonts w:hint="eastAsia" w:ascii="Times New Roman" w:hAnsi="Times New Roman" w:cs="Times New Roman"/>
          <w:color w:val="auto"/>
          <w:sz w:val="24"/>
          <w:highlight w:val="none"/>
          <w:lang w:eastAsia="zh-CN"/>
        </w:rPr>
        <w:t>、艾蒿、</w:t>
      </w:r>
      <w:r>
        <w:rPr>
          <w:rFonts w:hint="default" w:ascii="Times New Roman" w:hAnsi="Times New Roman" w:cs="Times New Roman"/>
          <w:color w:val="auto"/>
          <w:sz w:val="24"/>
          <w:highlight w:val="none"/>
          <w:lang w:eastAsia="zh-CN"/>
        </w:rPr>
        <w:t>碎米莎草</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eastAsia="zh-CN"/>
        </w:rPr>
        <w:t>小香蒲</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eastAsia="zh-CN"/>
        </w:rPr>
        <w:t>狗尾草</w:t>
      </w:r>
      <w:r>
        <w:rPr>
          <w:rFonts w:hint="eastAsia" w:ascii="Times New Roman" w:hAnsi="Times New Roman" w:cs="Times New Roman"/>
          <w:color w:val="auto"/>
          <w:sz w:val="24"/>
          <w:highlight w:val="none"/>
          <w:lang w:eastAsia="zh-CN"/>
        </w:rPr>
        <w:t>等。</w:t>
      </w:r>
      <w:r>
        <w:rPr>
          <w:rFonts w:hint="default" w:ascii="Times New Roman" w:hAnsi="Times New Roman" w:cs="Times New Roman"/>
          <w:color w:val="auto"/>
          <w:sz w:val="24"/>
          <w:highlight w:val="none"/>
          <w:lang w:eastAsia="zh-CN"/>
        </w:rPr>
        <w:t>高度在0.1～</w:t>
      </w:r>
      <w:r>
        <w:rPr>
          <w:rFonts w:hint="eastAsia"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lang w:eastAsia="zh-CN"/>
        </w:rPr>
        <w:t>m之间。</w:t>
      </w:r>
    </w:p>
    <w:p>
      <w:pPr>
        <w:pStyle w:val="50"/>
        <w:keepNext w:val="0"/>
        <w:keepLines w:val="0"/>
        <w:pageBreakBefore w:val="0"/>
        <w:kinsoku/>
        <w:wordWrap/>
        <w:overflowPunct/>
        <w:topLinePunct w:val="0"/>
        <w:bidi w:val="0"/>
        <w:snapToGrid/>
        <w:spacing w:after="0" w:line="480" w:lineRule="exact"/>
        <w:jc w:val="center"/>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sz w:val="24"/>
          <w:highlight w:val="none"/>
          <w:lang w:val="en-US" w:eastAsia="zh-CN"/>
        </w:rPr>
        <w:t>表</w:t>
      </w:r>
      <w:r>
        <w:rPr>
          <w:rFonts w:hint="eastAsia" w:ascii="Times New Roman" w:hAnsi="Times New Roman" w:cs="Times New Roman"/>
          <w:b/>
          <w:bCs/>
          <w:color w:val="auto"/>
          <w:sz w:val="24"/>
          <w:highlight w:val="none"/>
          <w:lang w:val="en-US" w:eastAsia="zh-CN"/>
        </w:rPr>
        <w:t>4.9-4</w:t>
      </w:r>
      <w:r>
        <w:rPr>
          <w:rFonts w:hint="default" w:ascii="Times New Roman" w:hAnsi="Times New Roman" w:cs="Times New Roman"/>
          <w:b/>
          <w:bCs/>
          <w:color w:val="auto"/>
          <w:sz w:val="24"/>
          <w:highlight w:val="none"/>
          <w:lang w:val="en-US" w:eastAsia="zh-CN"/>
        </w:rPr>
        <w:t xml:space="preserve"> </w:t>
      </w:r>
      <w:r>
        <w:rPr>
          <w:rFonts w:hint="eastAsia" w:ascii="Times New Roman" w:hAnsi="Times New Roman" w:cs="Times New Roman"/>
          <w:b/>
          <w:bCs/>
          <w:color w:val="auto"/>
          <w:sz w:val="24"/>
          <w:highlight w:val="none"/>
          <w:lang w:val="en-US" w:eastAsia="zh-CN"/>
        </w:rPr>
        <w:t>白杨</w:t>
      </w:r>
      <w:r>
        <w:rPr>
          <w:rFonts w:hint="default" w:ascii="Times New Roman" w:hAnsi="Times New Roman" w:cs="Times New Roman"/>
          <w:b/>
          <w:bCs/>
          <w:color w:val="auto"/>
          <w:sz w:val="24"/>
          <w:highlight w:val="none"/>
          <w:lang w:val="en-US" w:eastAsia="zh-CN"/>
        </w:rPr>
        <w:t>林样方表</w:t>
      </w:r>
    </w:p>
    <w:tbl>
      <w:tblPr>
        <w:tblStyle w:val="444"/>
        <w:tblW w:w="8760" w:type="dxa"/>
        <w:tblInd w:w="12" w:type="dxa"/>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Layout w:type="fixed"/>
        <w:tblCellMar>
          <w:top w:w="0" w:type="dxa"/>
          <w:left w:w="0" w:type="dxa"/>
          <w:bottom w:w="0" w:type="dxa"/>
          <w:right w:w="0" w:type="dxa"/>
        </w:tblCellMar>
      </w:tblPr>
      <w:tblGrid>
        <w:gridCol w:w="1209"/>
        <w:gridCol w:w="1185"/>
        <w:gridCol w:w="2681"/>
        <w:gridCol w:w="3685"/>
      </w:tblGrid>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43" w:hRule="atLeast"/>
        </w:trPr>
        <w:tc>
          <w:tcPr>
            <w:tcW w:w="2394" w:type="dxa"/>
            <w:gridSpan w:val="2"/>
            <w:tcBorders>
              <w:left w:val="single" w:color="231F20" w:sz="10" w:space="0"/>
              <w:right w:val="single" w:color="231F20" w:sz="4"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rPr>
              <w:t>样方号</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lang w:val="en-US" w:eastAsia="zh-CN"/>
              </w:rPr>
              <w:t>1</w:t>
            </w:r>
          </w:p>
        </w:tc>
        <w:tc>
          <w:tcPr>
            <w:tcW w:w="6366" w:type="dxa"/>
            <w:gridSpan w:val="2"/>
            <w:tcBorders>
              <w:left w:val="single" w:color="231F20" w:sz="4" w:space="0"/>
              <w:right w:val="single" w:color="231F20" w:sz="10"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Times New Roman"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 xml:space="preserve">样方面积: </w:t>
            </w:r>
            <w:r>
              <w:rPr>
                <w:rFonts w:hint="default" w:ascii="Times New Roman" w:hAnsi="Times New Roman" w:eastAsia="Times New Roman" w:cs="Times New Roman"/>
                <w:color w:val="auto"/>
                <w:spacing w:val="0"/>
                <w:position w:val="0"/>
                <w:sz w:val="21"/>
                <w:szCs w:val="21"/>
                <w:highlight w:val="none"/>
              </w:rPr>
              <w:t>1</w:t>
            </w:r>
            <w:r>
              <w:rPr>
                <w:rFonts w:hint="default" w:ascii="Times New Roman" w:hAnsi="Times New Roman" w:eastAsia="宋体" w:cs="Times New Roman"/>
                <w:color w:val="auto"/>
                <w:spacing w:val="0"/>
                <w:position w:val="0"/>
                <w:sz w:val="21"/>
                <w:szCs w:val="21"/>
                <w:highlight w:val="none"/>
                <w:lang w:val="en-US" w:eastAsia="zh-CN"/>
              </w:rPr>
              <w:t>0</w:t>
            </w:r>
            <w:r>
              <w:rPr>
                <w:rFonts w:hint="default" w:ascii="Times New Roman" w:hAnsi="Times New Roman" w:eastAsia="Times New Roman" w:cs="Times New Roman"/>
                <w:color w:val="auto"/>
                <w:spacing w:val="0"/>
                <w:position w:val="0"/>
                <w:sz w:val="21"/>
                <w:szCs w:val="21"/>
                <w:highlight w:val="none"/>
              </w:rPr>
              <w:t>m*1</w:t>
            </w:r>
            <w:r>
              <w:rPr>
                <w:rFonts w:hint="default" w:ascii="Times New Roman" w:hAnsi="Times New Roman" w:eastAsia="宋体" w:cs="Times New Roman"/>
                <w:color w:val="auto"/>
                <w:spacing w:val="0"/>
                <w:position w:val="0"/>
                <w:sz w:val="21"/>
                <w:szCs w:val="21"/>
                <w:highlight w:val="none"/>
                <w:lang w:val="en-US" w:eastAsia="zh-CN"/>
              </w:rPr>
              <w:t>0</w:t>
            </w:r>
            <w:r>
              <w:rPr>
                <w:rFonts w:hint="default" w:ascii="Times New Roman" w:hAnsi="Times New Roman" w:eastAsia="Times New Roman" w:cs="Times New Roman"/>
                <w:color w:val="auto"/>
                <w:spacing w:val="0"/>
                <w:position w:val="0"/>
                <w:sz w:val="21"/>
                <w:szCs w:val="21"/>
                <w:highlight w:val="none"/>
              </w:rPr>
              <w:t>m</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76" w:hRule="atLeast"/>
        </w:trPr>
        <w:tc>
          <w:tcPr>
            <w:tcW w:w="2394" w:type="dxa"/>
            <w:gridSpan w:val="2"/>
            <w:tcBorders>
              <w:left w:val="single" w:color="231F20" w:sz="10" w:space="0"/>
              <w:right w:val="single" w:color="231F20" w:sz="4"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rPr>
              <w:t>经度:118.</w:t>
            </w:r>
            <w:r>
              <w:rPr>
                <w:rFonts w:hint="eastAsia" w:cs="Times New Roman"/>
                <w:color w:val="auto"/>
                <w:spacing w:val="0"/>
                <w:position w:val="0"/>
                <w:sz w:val="21"/>
                <w:szCs w:val="21"/>
                <w:highlight w:val="none"/>
                <w:lang w:val="en-US" w:eastAsia="zh-CN"/>
              </w:rPr>
              <w:t>119450</w:t>
            </w:r>
          </w:p>
        </w:tc>
        <w:tc>
          <w:tcPr>
            <w:tcW w:w="2681" w:type="dxa"/>
            <w:tcBorders>
              <w:left w:val="single" w:color="231F20" w:sz="4" w:space="0"/>
              <w:right w:val="single" w:color="231F20" w:sz="4"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rPr>
              <w:t>纬度: 40.</w:t>
            </w:r>
            <w:r>
              <w:rPr>
                <w:rFonts w:hint="eastAsia" w:cs="Times New Roman"/>
                <w:color w:val="auto"/>
                <w:spacing w:val="0"/>
                <w:position w:val="0"/>
                <w:sz w:val="21"/>
                <w:szCs w:val="21"/>
                <w:highlight w:val="none"/>
                <w:lang w:val="en-US" w:eastAsia="zh-CN"/>
              </w:rPr>
              <w:t>182250</w:t>
            </w:r>
          </w:p>
        </w:tc>
        <w:tc>
          <w:tcPr>
            <w:tcW w:w="3685" w:type="dxa"/>
            <w:tcBorders>
              <w:left w:val="single" w:color="231F20" w:sz="4" w:space="0"/>
              <w:right w:val="single" w:color="231F20" w:sz="10"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高程</w:t>
            </w:r>
            <w:r>
              <w:rPr>
                <w:rFonts w:hint="default" w:ascii="Times New Roman" w:hAnsi="Times New Roman" w:eastAsia="宋体" w:cs="Times New Roman"/>
                <w:color w:val="auto"/>
                <w:spacing w:val="0"/>
                <w:position w:val="0"/>
                <w:sz w:val="21"/>
                <w:szCs w:val="21"/>
                <w:highlight w:val="none"/>
              </w:rPr>
              <w:t>(</w:t>
            </w:r>
            <w:r>
              <w:rPr>
                <w:rFonts w:hint="default" w:ascii="Times New Roman" w:hAnsi="Times New Roman" w:eastAsia="Times New Roman" w:cs="Times New Roman"/>
                <w:color w:val="auto"/>
                <w:spacing w:val="0"/>
                <w:position w:val="0"/>
                <w:sz w:val="21"/>
                <w:szCs w:val="21"/>
                <w:highlight w:val="none"/>
              </w:rPr>
              <w:t>m</w:t>
            </w:r>
            <w:r>
              <w:rPr>
                <w:rFonts w:hint="default" w:ascii="Times New Roman" w:hAnsi="Times New Roman" w:eastAsia="宋体" w:cs="Times New Roman"/>
                <w:color w:val="auto"/>
                <w:spacing w:val="0"/>
                <w:position w:val="0"/>
                <w:sz w:val="21"/>
                <w:szCs w:val="21"/>
                <w:highlight w:val="none"/>
              </w:rPr>
              <w:t xml:space="preserve">): </w:t>
            </w:r>
            <w:r>
              <w:rPr>
                <w:rFonts w:hint="default" w:ascii="Times New Roman" w:hAnsi="Times New Roman" w:cs="Times New Roman"/>
                <w:color w:val="auto"/>
                <w:spacing w:val="0"/>
                <w:position w:val="0"/>
                <w:sz w:val="21"/>
                <w:szCs w:val="21"/>
                <w:highlight w:val="none"/>
                <w:lang w:val="en-US" w:eastAsia="zh-CN"/>
              </w:rPr>
              <w:t>104</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76" w:hRule="atLeast"/>
        </w:trPr>
        <w:tc>
          <w:tcPr>
            <w:tcW w:w="8760" w:type="dxa"/>
            <w:gridSpan w:val="4"/>
            <w:tcBorders>
              <w:left w:val="single" w:color="231F20" w:sz="10" w:space="0"/>
              <w:right w:val="single" w:color="231F20" w:sz="10"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地点：</w:t>
            </w:r>
            <w:r>
              <w:rPr>
                <w:rFonts w:hint="eastAsia" w:cs="Times New Roman"/>
                <w:color w:val="auto"/>
                <w:spacing w:val="0"/>
                <w:position w:val="0"/>
                <w:sz w:val="21"/>
                <w:szCs w:val="21"/>
                <w:highlight w:val="none"/>
                <w:lang w:val="en-US" w:eastAsia="zh-CN"/>
              </w:rPr>
              <w:t>尾水口下</w:t>
            </w:r>
            <w:r>
              <w:rPr>
                <w:rFonts w:hint="default" w:ascii="Times New Roman" w:hAnsi="Times New Roman" w:eastAsia="宋体" w:cs="Times New Roman"/>
                <w:color w:val="auto"/>
                <w:spacing w:val="0"/>
                <w:position w:val="0"/>
                <w:sz w:val="21"/>
                <w:szCs w:val="21"/>
                <w:highlight w:val="none"/>
                <w:lang w:val="en-US" w:eastAsia="zh-CN"/>
              </w:rPr>
              <w:t>游</w:t>
            </w:r>
            <w:r>
              <w:rPr>
                <w:rFonts w:hint="eastAsia" w:cs="Times New Roman"/>
                <w:color w:val="auto"/>
                <w:spacing w:val="0"/>
                <w:position w:val="0"/>
                <w:sz w:val="21"/>
                <w:szCs w:val="21"/>
                <w:highlight w:val="none"/>
                <w:lang w:val="en-US" w:eastAsia="zh-CN"/>
              </w:rPr>
              <w:t>200</w:t>
            </w:r>
            <w:r>
              <w:rPr>
                <w:rFonts w:hint="default" w:ascii="Times New Roman" w:hAnsi="Times New Roman" w:eastAsia="宋体" w:cs="Times New Roman"/>
                <w:color w:val="auto"/>
                <w:spacing w:val="0"/>
                <w:position w:val="0"/>
                <w:sz w:val="21"/>
                <w:szCs w:val="21"/>
                <w:highlight w:val="none"/>
                <w:lang w:val="en-US" w:eastAsia="zh-CN"/>
              </w:rPr>
              <w:t>m</w:t>
            </w:r>
            <w:r>
              <w:rPr>
                <w:rFonts w:hint="eastAsia" w:cs="Times New Roman"/>
                <w:color w:val="auto"/>
                <w:spacing w:val="0"/>
                <w:position w:val="0"/>
                <w:sz w:val="21"/>
                <w:szCs w:val="21"/>
                <w:highlight w:val="none"/>
                <w:lang w:val="en-US" w:eastAsia="zh-CN"/>
              </w:rPr>
              <w:t>南</w:t>
            </w:r>
            <w:r>
              <w:rPr>
                <w:rFonts w:hint="default" w:ascii="Times New Roman" w:hAnsi="Times New Roman" w:eastAsia="宋体" w:cs="Times New Roman"/>
                <w:color w:val="auto"/>
                <w:spacing w:val="0"/>
                <w:position w:val="0"/>
                <w:sz w:val="21"/>
                <w:szCs w:val="21"/>
                <w:highlight w:val="none"/>
                <w:lang w:val="en-US" w:eastAsia="zh-CN"/>
              </w:rPr>
              <w:t>岸</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76" w:hRule="atLeast"/>
        </w:trPr>
        <w:tc>
          <w:tcPr>
            <w:tcW w:w="1209" w:type="dxa"/>
            <w:tcBorders>
              <w:left w:val="single" w:color="231F20" w:sz="10"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群落</w:t>
            </w:r>
          </w:p>
        </w:tc>
        <w:tc>
          <w:tcPr>
            <w:tcW w:w="3866" w:type="dxa"/>
            <w:gridSpan w:val="2"/>
            <w:tcBorders>
              <w:left w:val="single" w:color="auto" w:sz="4" w:space="0"/>
              <w:right w:val="single" w:color="231F20"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种类</w:t>
            </w:r>
          </w:p>
        </w:tc>
        <w:tc>
          <w:tcPr>
            <w:tcW w:w="3685" w:type="dxa"/>
            <w:tcBorders>
              <w:left w:val="single" w:color="231F20" w:sz="4" w:space="0"/>
              <w:right w:val="single" w:color="231F20" w:sz="10"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群落概况</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76" w:hRule="atLeast"/>
        </w:trPr>
        <w:tc>
          <w:tcPr>
            <w:tcW w:w="1209" w:type="dxa"/>
            <w:tcBorders>
              <w:left w:val="single" w:color="231F20" w:sz="10"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乔木层</w:t>
            </w:r>
          </w:p>
        </w:tc>
        <w:tc>
          <w:tcPr>
            <w:tcW w:w="3866" w:type="dxa"/>
            <w:gridSpan w:val="2"/>
            <w:tcBorders>
              <w:left w:val="single" w:color="auto" w:sz="4" w:space="0"/>
              <w:right w:val="single" w:color="231F20"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cs="Times New Roman"/>
                <w:color w:val="auto"/>
                <w:spacing w:val="0"/>
                <w:position w:val="0"/>
                <w:sz w:val="21"/>
                <w:szCs w:val="21"/>
                <w:highlight w:val="none"/>
                <w:lang w:val="en-US" w:eastAsia="zh-CN"/>
              </w:rPr>
              <w:t>白杨</w:t>
            </w:r>
            <w:r>
              <w:rPr>
                <w:rFonts w:hint="default" w:ascii="Times New Roman" w:hAnsi="Times New Roman" w:eastAsia="宋体" w:cs="Times New Roman"/>
                <w:color w:val="auto"/>
                <w:spacing w:val="0"/>
                <w:position w:val="0"/>
                <w:sz w:val="21"/>
                <w:szCs w:val="21"/>
                <w:highlight w:val="none"/>
                <w:lang w:val="en-US" w:eastAsia="zh-CN"/>
              </w:rPr>
              <w:t>（</w:t>
            </w:r>
            <w:r>
              <w:rPr>
                <w:rFonts w:hint="default" w:ascii="Times New Roman" w:hAnsi="Times New Roman" w:eastAsia="宋体" w:cs="Times New Roman"/>
                <w:i w:val="0"/>
                <w:iCs w:val="0"/>
                <w:caps w:val="0"/>
                <w:color w:val="000000"/>
                <w:spacing w:val="0"/>
                <w:position w:val="0"/>
                <w:sz w:val="21"/>
                <w:szCs w:val="21"/>
                <w:highlight w:val="none"/>
                <w:shd w:val="clear" w:fill="FFFFFF"/>
              </w:rPr>
              <w:t>Populus tomentosa Carr</w:t>
            </w:r>
            <w:r>
              <w:rPr>
                <w:rFonts w:hint="default" w:ascii="Times New Roman" w:hAnsi="Times New Roman" w:eastAsia="宋体" w:cs="Times New Roman"/>
                <w:color w:val="auto"/>
                <w:spacing w:val="0"/>
                <w:position w:val="0"/>
                <w:sz w:val="21"/>
                <w:szCs w:val="21"/>
                <w:highlight w:val="none"/>
                <w:lang w:val="en-US" w:eastAsia="zh-CN"/>
              </w:rPr>
              <w:t>）</w:t>
            </w:r>
            <w:r>
              <w:rPr>
                <w:rFonts w:hint="eastAsia" w:cs="Times New Roman"/>
                <w:color w:val="auto"/>
                <w:spacing w:val="0"/>
                <w:position w:val="0"/>
                <w:sz w:val="21"/>
                <w:szCs w:val="21"/>
                <w:highlight w:val="none"/>
                <w:lang w:val="en-US" w:eastAsia="zh-CN"/>
              </w:rPr>
              <w:t>20</w:t>
            </w:r>
            <w:r>
              <w:rPr>
                <w:rFonts w:hint="default" w:ascii="Times New Roman" w:hAnsi="Times New Roman" w:eastAsia="宋体" w:cs="Times New Roman"/>
                <w:color w:val="auto"/>
                <w:spacing w:val="0"/>
                <w:position w:val="0"/>
                <w:sz w:val="21"/>
                <w:szCs w:val="21"/>
                <w:highlight w:val="none"/>
                <w:lang w:val="en-US" w:eastAsia="zh-CN"/>
              </w:rPr>
              <w:t>株</w:t>
            </w:r>
          </w:p>
        </w:tc>
        <w:tc>
          <w:tcPr>
            <w:tcW w:w="3685" w:type="dxa"/>
            <w:tcBorders>
              <w:left w:val="single" w:color="231F20" w:sz="4" w:space="0"/>
              <w:right w:val="single" w:color="231F20" w:sz="10"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乔木层盖度为</w:t>
            </w:r>
            <w:r>
              <w:rPr>
                <w:rFonts w:hint="eastAsia" w:cs="Times New Roman"/>
                <w:color w:val="auto"/>
                <w:spacing w:val="0"/>
                <w:position w:val="0"/>
                <w:sz w:val="21"/>
                <w:szCs w:val="21"/>
                <w:highlight w:val="none"/>
                <w:lang w:val="en-US" w:eastAsia="zh-CN"/>
              </w:rPr>
              <w:t>4</w:t>
            </w:r>
            <w:r>
              <w:rPr>
                <w:rFonts w:hint="default" w:ascii="Times New Roman" w:hAnsi="Times New Roman" w:eastAsia="宋体" w:cs="Times New Roman"/>
                <w:color w:val="auto"/>
                <w:spacing w:val="0"/>
                <w:position w:val="0"/>
                <w:sz w:val="21"/>
                <w:szCs w:val="21"/>
                <w:highlight w:val="none"/>
                <w:lang w:val="en-US" w:eastAsia="zh-CN"/>
              </w:rPr>
              <w:t>0%，群落优势种</w:t>
            </w:r>
            <w:r>
              <w:rPr>
                <w:rFonts w:hint="default" w:ascii="Times New Roman" w:hAnsi="Times New Roman" w:cs="Times New Roman"/>
                <w:color w:val="auto"/>
                <w:spacing w:val="0"/>
                <w:position w:val="0"/>
                <w:sz w:val="21"/>
                <w:szCs w:val="21"/>
                <w:highlight w:val="none"/>
                <w:lang w:val="en-US" w:eastAsia="zh-CN"/>
              </w:rPr>
              <w:t>白杨</w:t>
            </w:r>
            <w:r>
              <w:rPr>
                <w:rFonts w:hint="default" w:ascii="Times New Roman" w:hAnsi="Times New Roman" w:eastAsia="宋体" w:cs="Times New Roman"/>
                <w:color w:val="auto"/>
                <w:spacing w:val="0"/>
                <w:position w:val="0"/>
                <w:sz w:val="21"/>
                <w:szCs w:val="21"/>
                <w:highlight w:val="none"/>
                <w:lang w:val="en-US" w:eastAsia="zh-CN"/>
              </w:rPr>
              <w:t>株高</w:t>
            </w:r>
            <w:r>
              <w:rPr>
                <w:rFonts w:hint="default" w:ascii="Times New Roman" w:hAnsi="Times New Roman" w:cs="Times New Roman"/>
                <w:color w:val="auto"/>
                <w:spacing w:val="0"/>
                <w:position w:val="0"/>
                <w:sz w:val="21"/>
                <w:szCs w:val="21"/>
                <w:highlight w:val="none"/>
                <w:lang w:val="en-US" w:eastAsia="zh-CN"/>
              </w:rPr>
              <w:t>11</w:t>
            </w:r>
            <w:r>
              <w:rPr>
                <w:rFonts w:hint="default" w:ascii="Times New Roman" w:hAnsi="Times New Roman" w:eastAsia="宋体" w:cs="Times New Roman"/>
                <w:color w:val="auto"/>
                <w:spacing w:val="0"/>
                <w:position w:val="0"/>
                <w:sz w:val="21"/>
                <w:szCs w:val="21"/>
                <w:highlight w:val="none"/>
                <w:lang w:val="en-US" w:eastAsia="zh-CN"/>
              </w:rPr>
              <w:t>～13m，胸径1</w:t>
            </w:r>
            <w:r>
              <w:rPr>
                <w:rFonts w:hint="default" w:ascii="Times New Roman" w:hAnsi="Times New Roman" w:cs="Times New Roman"/>
                <w:color w:val="auto"/>
                <w:spacing w:val="0"/>
                <w:position w:val="0"/>
                <w:sz w:val="21"/>
                <w:szCs w:val="21"/>
                <w:highlight w:val="none"/>
                <w:lang w:val="en-US" w:eastAsia="zh-CN"/>
              </w:rPr>
              <w:t>2</w:t>
            </w:r>
            <w:r>
              <w:rPr>
                <w:rFonts w:hint="default" w:ascii="Times New Roman" w:hAnsi="Times New Roman" w:eastAsia="宋体" w:cs="Times New Roman"/>
                <w:color w:val="auto"/>
                <w:spacing w:val="0"/>
                <w:position w:val="0"/>
                <w:sz w:val="21"/>
                <w:szCs w:val="21"/>
                <w:highlight w:val="none"/>
                <w:lang w:val="en-US" w:eastAsia="zh-CN"/>
              </w:rPr>
              <w:t>~</w:t>
            </w:r>
            <w:r>
              <w:rPr>
                <w:rFonts w:hint="default" w:ascii="Times New Roman" w:hAnsi="Times New Roman" w:cs="Times New Roman"/>
                <w:color w:val="auto"/>
                <w:spacing w:val="0"/>
                <w:position w:val="0"/>
                <w:sz w:val="21"/>
                <w:szCs w:val="21"/>
                <w:highlight w:val="none"/>
                <w:lang w:val="en-US" w:eastAsia="zh-CN"/>
              </w:rPr>
              <w:t>1</w:t>
            </w:r>
            <w:r>
              <w:rPr>
                <w:rFonts w:hint="default" w:ascii="Times New Roman" w:hAnsi="Times New Roman" w:eastAsia="宋体" w:cs="Times New Roman"/>
                <w:color w:val="auto"/>
                <w:spacing w:val="0"/>
                <w:position w:val="0"/>
                <w:sz w:val="21"/>
                <w:szCs w:val="21"/>
                <w:highlight w:val="none"/>
                <w:lang w:val="en-US" w:eastAsia="zh-CN"/>
              </w:rPr>
              <w:t>5cm；</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76" w:hRule="atLeast"/>
        </w:trPr>
        <w:tc>
          <w:tcPr>
            <w:tcW w:w="1209" w:type="dxa"/>
            <w:tcBorders>
              <w:left w:val="single" w:color="231F20" w:sz="10"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灌木层</w:t>
            </w:r>
          </w:p>
        </w:tc>
        <w:tc>
          <w:tcPr>
            <w:tcW w:w="3866" w:type="dxa"/>
            <w:gridSpan w:val="2"/>
            <w:tcBorders>
              <w:left w:val="single" w:color="auto" w:sz="4" w:space="0"/>
              <w:right w:val="single" w:color="231F20"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灌木层种类较少，盖度在</w:t>
            </w:r>
            <w:r>
              <w:rPr>
                <w:rFonts w:hint="eastAsia" w:cs="Times New Roman"/>
                <w:color w:val="auto"/>
                <w:spacing w:val="0"/>
                <w:position w:val="0"/>
                <w:sz w:val="21"/>
                <w:szCs w:val="21"/>
                <w:highlight w:val="none"/>
                <w:lang w:val="en-US" w:eastAsia="zh-CN"/>
              </w:rPr>
              <w:t>1</w:t>
            </w:r>
            <w:r>
              <w:rPr>
                <w:rFonts w:hint="default" w:ascii="Times New Roman" w:hAnsi="Times New Roman" w:eastAsia="宋体" w:cs="Times New Roman"/>
                <w:color w:val="auto"/>
                <w:spacing w:val="0"/>
                <w:position w:val="0"/>
                <w:sz w:val="21"/>
                <w:szCs w:val="21"/>
                <w:highlight w:val="none"/>
                <w:lang w:val="en-US" w:eastAsia="zh-CN"/>
              </w:rPr>
              <w:t>0%左右</w:t>
            </w:r>
          </w:p>
        </w:tc>
        <w:tc>
          <w:tcPr>
            <w:tcW w:w="3685" w:type="dxa"/>
            <w:tcBorders>
              <w:left w:val="single" w:color="231F20" w:sz="4" w:space="0"/>
              <w:right w:val="single" w:color="231F20" w:sz="10"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灌木层盖度在</w:t>
            </w:r>
            <w:r>
              <w:rPr>
                <w:rFonts w:hint="eastAsia" w:cs="Times New Roman"/>
                <w:color w:val="auto"/>
                <w:spacing w:val="0"/>
                <w:position w:val="0"/>
                <w:sz w:val="21"/>
                <w:szCs w:val="21"/>
                <w:highlight w:val="none"/>
                <w:lang w:val="en-US" w:eastAsia="zh-CN"/>
              </w:rPr>
              <w:t>1</w:t>
            </w:r>
            <w:r>
              <w:rPr>
                <w:rFonts w:hint="default" w:ascii="Times New Roman" w:hAnsi="Times New Roman" w:cs="Times New Roman"/>
                <w:color w:val="auto"/>
                <w:spacing w:val="0"/>
                <w:position w:val="0"/>
                <w:sz w:val="21"/>
                <w:szCs w:val="21"/>
                <w:highlight w:val="none"/>
                <w:lang w:val="en-US" w:eastAsia="zh-CN"/>
              </w:rPr>
              <w:t>0</w:t>
            </w:r>
            <w:r>
              <w:rPr>
                <w:rFonts w:hint="default" w:ascii="Times New Roman" w:hAnsi="Times New Roman" w:eastAsia="宋体" w:cs="Times New Roman"/>
                <w:color w:val="auto"/>
                <w:spacing w:val="0"/>
                <w:position w:val="0"/>
                <w:sz w:val="21"/>
                <w:szCs w:val="21"/>
                <w:highlight w:val="none"/>
                <w:lang w:val="en-US" w:eastAsia="zh-CN"/>
              </w:rPr>
              <w:t>%左右</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76" w:hRule="atLeast"/>
        </w:trPr>
        <w:tc>
          <w:tcPr>
            <w:tcW w:w="1209" w:type="dxa"/>
            <w:tcBorders>
              <w:left w:val="single" w:color="231F20" w:sz="10"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草本层</w:t>
            </w:r>
          </w:p>
        </w:tc>
        <w:tc>
          <w:tcPr>
            <w:tcW w:w="3866" w:type="dxa"/>
            <w:gridSpan w:val="2"/>
            <w:tcBorders>
              <w:left w:val="single" w:color="auto" w:sz="4" w:space="0"/>
              <w:right w:val="single" w:color="231F20"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left"/>
              <w:rPr>
                <w:rFonts w:hint="default" w:ascii="Times New Roman" w:hAnsi="Times New Roman" w:eastAsia="宋体" w:cs="Times New Roman"/>
                <w:color w:val="auto"/>
                <w:spacing w:val="0"/>
                <w:position w:val="0"/>
                <w:sz w:val="21"/>
                <w:szCs w:val="21"/>
                <w:highlight w:val="none"/>
                <w:lang w:val="en-US" w:eastAsia="zh-CN"/>
              </w:rPr>
            </w:pPr>
            <w:r>
              <w:rPr>
                <w:rFonts w:hint="eastAsia" w:ascii="Times New Roman" w:hAnsi="Times New Roman" w:cs="Times New Roman"/>
                <w:color w:val="auto"/>
                <w:sz w:val="21"/>
                <w:szCs w:val="21"/>
                <w:highlight w:val="none"/>
                <w:lang w:eastAsia="zh-CN"/>
              </w:rPr>
              <w:t>苣卖菜、</w:t>
            </w:r>
            <w:r>
              <w:rPr>
                <w:rFonts w:hint="default" w:ascii="Times New Roman" w:hAnsi="Times New Roman" w:cs="Times New Roman"/>
                <w:color w:val="auto"/>
                <w:sz w:val="21"/>
                <w:szCs w:val="21"/>
                <w:highlight w:val="none"/>
                <w:lang w:eastAsia="zh-CN"/>
              </w:rPr>
              <w:t>车前</w:t>
            </w:r>
            <w:r>
              <w:rPr>
                <w:rFonts w:hint="eastAsia" w:ascii="Times New Roman" w:hAnsi="Times New Roman" w:cs="Times New Roman"/>
                <w:color w:val="auto"/>
                <w:sz w:val="21"/>
                <w:szCs w:val="21"/>
                <w:highlight w:val="none"/>
                <w:lang w:eastAsia="zh-CN"/>
              </w:rPr>
              <w:t>、苔草、艾蒿、</w:t>
            </w:r>
            <w:r>
              <w:rPr>
                <w:rFonts w:hint="default" w:ascii="Times New Roman" w:hAnsi="Times New Roman" w:cs="Times New Roman"/>
                <w:color w:val="auto"/>
                <w:sz w:val="21"/>
                <w:szCs w:val="21"/>
                <w:highlight w:val="none"/>
                <w:lang w:eastAsia="zh-CN"/>
              </w:rPr>
              <w:t>碎米莎草</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eastAsia="zh-CN"/>
              </w:rPr>
              <w:t>小香蒲</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eastAsia="zh-CN"/>
              </w:rPr>
              <w:t>狗尾草</w:t>
            </w:r>
            <w:r>
              <w:rPr>
                <w:rFonts w:hint="eastAsia" w:ascii="Times New Roman" w:hAnsi="Times New Roman" w:cs="Times New Roman"/>
                <w:color w:val="auto"/>
                <w:sz w:val="21"/>
                <w:szCs w:val="21"/>
                <w:highlight w:val="none"/>
                <w:lang w:eastAsia="zh-CN"/>
              </w:rPr>
              <w:t>等</w:t>
            </w:r>
            <w:r>
              <w:rPr>
                <w:rFonts w:hint="default" w:ascii="Times New Roman" w:hAnsi="Times New Roman" w:cs="Times New Roman"/>
                <w:color w:val="auto"/>
                <w:spacing w:val="0"/>
                <w:position w:val="0"/>
                <w:sz w:val="21"/>
                <w:szCs w:val="21"/>
                <w:highlight w:val="none"/>
                <w:lang w:eastAsia="zh-CN"/>
              </w:rPr>
              <w:t>高度在0.</w:t>
            </w:r>
            <w:r>
              <w:rPr>
                <w:rFonts w:hint="eastAsia" w:cs="Times New Roman"/>
                <w:color w:val="auto"/>
                <w:spacing w:val="0"/>
                <w:position w:val="0"/>
                <w:sz w:val="21"/>
                <w:szCs w:val="21"/>
                <w:highlight w:val="none"/>
                <w:lang w:val="en-US" w:eastAsia="zh-CN"/>
              </w:rPr>
              <w:t>5</w:t>
            </w:r>
            <w:r>
              <w:rPr>
                <w:rFonts w:hint="default" w:ascii="Times New Roman" w:hAnsi="Times New Roman" w:cs="Times New Roman"/>
                <w:color w:val="auto"/>
                <w:spacing w:val="0"/>
                <w:position w:val="0"/>
                <w:sz w:val="21"/>
                <w:szCs w:val="21"/>
                <w:highlight w:val="none"/>
                <w:lang w:eastAsia="zh-CN"/>
              </w:rPr>
              <w:t>～</w:t>
            </w:r>
            <w:r>
              <w:rPr>
                <w:rFonts w:hint="eastAsia" w:ascii="Times New Roman" w:hAnsi="Times New Roman" w:cs="Times New Roman"/>
                <w:color w:val="auto"/>
                <w:spacing w:val="0"/>
                <w:position w:val="0"/>
                <w:sz w:val="21"/>
                <w:szCs w:val="21"/>
                <w:highlight w:val="none"/>
                <w:lang w:val="en-US" w:eastAsia="zh-CN"/>
              </w:rPr>
              <w:t>1</w:t>
            </w:r>
            <w:r>
              <w:rPr>
                <w:rFonts w:hint="eastAsia" w:cs="Times New Roman"/>
                <w:color w:val="auto"/>
                <w:spacing w:val="0"/>
                <w:position w:val="0"/>
                <w:sz w:val="21"/>
                <w:szCs w:val="21"/>
                <w:highlight w:val="none"/>
                <w:lang w:val="en-US" w:eastAsia="zh-CN"/>
              </w:rPr>
              <w:t>.5</w:t>
            </w:r>
            <w:r>
              <w:rPr>
                <w:rFonts w:hint="default" w:ascii="Times New Roman" w:hAnsi="Times New Roman" w:cs="Times New Roman"/>
                <w:color w:val="auto"/>
                <w:spacing w:val="0"/>
                <w:position w:val="0"/>
                <w:sz w:val="21"/>
                <w:szCs w:val="21"/>
                <w:highlight w:val="none"/>
                <w:lang w:eastAsia="zh-CN"/>
              </w:rPr>
              <w:t>m之间。</w:t>
            </w:r>
          </w:p>
        </w:tc>
        <w:tc>
          <w:tcPr>
            <w:tcW w:w="3685" w:type="dxa"/>
            <w:tcBorders>
              <w:left w:val="single" w:color="231F20" w:sz="4" w:space="0"/>
              <w:right w:val="single" w:color="231F20" w:sz="10"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草本层盖度在</w:t>
            </w:r>
            <w:r>
              <w:rPr>
                <w:rFonts w:hint="default" w:ascii="Times New Roman" w:hAnsi="Times New Roman" w:cs="Times New Roman"/>
                <w:color w:val="auto"/>
                <w:spacing w:val="0"/>
                <w:position w:val="0"/>
                <w:sz w:val="21"/>
                <w:szCs w:val="21"/>
                <w:highlight w:val="none"/>
                <w:lang w:val="en-US" w:eastAsia="zh-CN"/>
              </w:rPr>
              <w:t>5</w:t>
            </w:r>
            <w:r>
              <w:rPr>
                <w:rFonts w:hint="default" w:ascii="Times New Roman" w:hAnsi="Times New Roman" w:eastAsia="宋体" w:cs="Times New Roman"/>
                <w:color w:val="auto"/>
                <w:spacing w:val="0"/>
                <w:position w:val="0"/>
                <w:sz w:val="21"/>
                <w:szCs w:val="21"/>
                <w:highlight w:val="none"/>
                <w:lang w:val="en-US" w:eastAsia="zh-CN"/>
              </w:rPr>
              <w:t>0%左右</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90" w:hRule="atLeast"/>
        </w:trPr>
        <w:tc>
          <w:tcPr>
            <w:tcW w:w="8760" w:type="dxa"/>
            <w:gridSpan w:val="4"/>
            <w:tcBorders>
              <w:left w:val="single" w:color="231F20" w:sz="10" w:space="0"/>
              <w:right w:val="single" w:color="231F20" w:sz="10"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firstLine="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drawing>
                <wp:inline distT="0" distB="0" distL="114300" distR="114300">
                  <wp:extent cx="5090160" cy="3819525"/>
                  <wp:effectExtent l="0" t="0" r="15240" b="9525"/>
                  <wp:docPr id="43" name="图片 43" descr="微信图片_202308111617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微信图片_202308111617494"/>
                          <pic:cNvPicPr>
                            <a:picLocks noChangeAspect="1"/>
                          </pic:cNvPicPr>
                        </pic:nvPicPr>
                        <pic:blipFill>
                          <a:blip r:embed="rId70"/>
                          <a:stretch>
                            <a:fillRect/>
                          </a:stretch>
                        </pic:blipFill>
                        <pic:spPr>
                          <a:xfrm>
                            <a:off x="0" y="0"/>
                            <a:ext cx="5090160" cy="3819525"/>
                          </a:xfrm>
                          <a:prstGeom prst="rect">
                            <a:avLst/>
                          </a:prstGeom>
                        </pic:spPr>
                      </pic:pic>
                    </a:graphicData>
                  </a:graphic>
                </wp:inline>
              </w:drawing>
            </w:r>
          </w:p>
        </w:tc>
      </w:tr>
    </w:tbl>
    <w:p>
      <w:pPr>
        <w:keepNext w:val="0"/>
        <w:keepLines w:val="0"/>
        <w:pageBreakBefore w:val="0"/>
        <w:widowControl/>
        <w:kinsoku/>
        <w:wordWrap/>
        <w:overflowPunct/>
        <w:topLinePunct w:val="0"/>
        <w:autoSpaceDE/>
        <w:autoSpaceDN/>
        <w:bidi w:val="0"/>
        <w:adjustRightInd/>
        <w:snapToGrid/>
        <w:spacing w:line="480" w:lineRule="exact"/>
        <w:ind w:firstLine="480" w:firstLineChars="200"/>
        <w:jc w:val="left"/>
        <w:textAlignment w:val="auto"/>
        <w:outlineLvl w:val="9"/>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样方</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eastAsia="zh-CN"/>
        </w:rPr>
        <w:t>旱柳</w:t>
      </w:r>
      <w:r>
        <w:rPr>
          <w:rFonts w:hint="default" w:ascii="Times New Roman" w:hAnsi="Times New Roman" w:cs="Times New Roman"/>
          <w:color w:val="auto"/>
          <w:sz w:val="24"/>
          <w:highlight w:val="none"/>
          <w:lang w:eastAsia="zh-CN"/>
        </w:rPr>
        <w:t>林</w:t>
      </w:r>
    </w:p>
    <w:p>
      <w:pPr>
        <w:pStyle w:val="50"/>
        <w:keepNext w:val="0"/>
        <w:keepLines w:val="0"/>
        <w:pageBreakBefore w:val="0"/>
        <w:kinsoku/>
        <w:wordWrap/>
        <w:overflowPunct/>
        <w:topLinePunct w:val="0"/>
        <w:autoSpaceDE/>
        <w:autoSpaceDN/>
        <w:bidi w:val="0"/>
        <w:adjustRightInd/>
        <w:snapToGrid/>
        <w:spacing w:after="0" w:line="480" w:lineRule="exact"/>
        <w:ind w:left="0" w:leftChars="0" w:firstLine="480" w:firstLineChars="200"/>
        <w:jc w:val="left"/>
        <w:textAlignment w:val="auto"/>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该</w:t>
      </w:r>
      <w:r>
        <w:rPr>
          <w:rFonts w:hint="eastAsia" w:ascii="Times New Roman" w:hAnsi="Times New Roman" w:cs="Times New Roman"/>
          <w:color w:val="auto"/>
          <w:sz w:val="24"/>
          <w:highlight w:val="none"/>
          <w:lang w:eastAsia="zh-CN"/>
        </w:rPr>
        <w:t>旱柳</w:t>
      </w:r>
      <w:r>
        <w:rPr>
          <w:rFonts w:hint="default" w:ascii="Times New Roman" w:hAnsi="Times New Roman" w:cs="Times New Roman"/>
          <w:color w:val="auto"/>
          <w:sz w:val="24"/>
          <w:highlight w:val="none"/>
          <w:lang w:eastAsia="zh-CN"/>
        </w:rPr>
        <w:t>林样方位于</w:t>
      </w:r>
      <w:r>
        <w:rPr>
          <w:rFonts w:hint="eastAsia" w:ascii="Times New Roman" w:hAnsi="Times New Roman" w:cs="Times New Roman"/>
          <w:color w:val="auto"/>
          <w:sz w:val="24"/>
          <w:highlight w:val="none"/>
          <w:lang w:val="en-US" w:eastAsia="zh-CN"/>
        </w:rPr>
        <w:t>水电站</w:t>
      </w:r>
      <w:r>
        <w:rPr>
          <w:rFonts w:hint="default"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尾水口</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eastAsia="zh-CN"/>
        </w:rPr>
        <w:t>，属中龄林，在10×10m</w:t>
      </w:r>
      <w:r>
        <w:rPr>
          <w:rFonts w:hint="default" w:ascii="Times New Roman" w:hAnsi="Times New Roman" w:cs="Times New Roman"/>
          <w:color w:val="auto"/>
          <w:sz w:val="24"/>
          <w:highlight w:val="none"/>
          <w:vertAlign w:val="superscript"/>
          <w:lang w:eastAsia="zh-CN"/>
        </w:rPr>
        <w:t>2</w:t>
      </w:r>
      <w:r>
        <w:rPr>
          <w:rFonts w:hint="default" w:ascii="Times New Roman" w:hAnsi="Times New Roman" w:cs="Times New Roman"/>
          <w:color w:val="auto"/>
          <w:sz w:val="24"/>
          <w:highlight w:val="none"/>
          <w:lang w:eastAsia="zh-CN"/>
        </w:rPr>
        <w:t>的样方中，有</w:t>
      </w:r>
      <w:r>
        <w:rPr>
          <w:rFonts w:hint="eastAsia" w:ascii="Times New Roman" w:hAnsi="Times New Roman" w:cs="Times New Roman"/>
          <w:color w:val="auto"/>
          <w:sz w:val="24"/>
          <w:highlight w:val="none"/>
          <w:lang w:eastAsia="zh-CN"/>
        </w:rPr>
        <w:t>柳</w:t>
      </w:r>
      <w:r>
        <w:rPr>
          <w:rFonts w:hint="default" w:ascii="Times New Roman" w:hAnsi="Times New Roman" w:cs="Times New Roman"/>
          <w:color w:val="auto"/>
          <w:sz w:val="24"/>
          <w:highlight w:val="none"/>
          <w:lang w:eastAsia="zh-CN"/>
        </w:rPr>
        <w:t>木</w:t>
      </w:r>
      <w:r>
        <w:rPr>
          <w:rFonts w:hint="eastAsia" w:ascii="Times New Roman" w:hAnsi="Times New Roman" w:cs="Times New Roman"/>
          <w:color w:val="auto"/>
          <w:sz w:val="24"/>
          <w:highlight w:val="none"/>
          <w:lang w:val="en-US" w:eastAsia="zh-CN"/>
        </w:rPr>
        <w:t>1</w:t>
      </w:r>
      <w:r>
        <w:rPr>
          <w:rFonts w:hint="eastAsia" w:cs="Times New Roman"/>
          <w:color w:val="auto"/>
          <w:sz w:val="24"/>
          <w:highlight w:val="none"/>
          <w:lang w:val="en-US" w:eastAsia="zh-CN"/>
        </w:rPr>
        <w:t>2</w:t>
      </w:r>
      <w:r>
        <w:rPr>
          <w:rFonts w:hint="default" w:ascii="Times New Roman" w:hAnsi="Times New Roman" w:cs="Times New Roman"/>
          <w:color w:val="auto"/>
          <w:sz w:val="24"/>
          <w:highlight w:val="none"/>
          <w:lang w:eastAsia="zh-CN"/>
        </w:rPr>
        <w:t>株，株高</w:t>
      </w:r>
      <w:r>
        <w:rPr>
          <w:rFonts w:hint="eastAsia"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6</w:t>
      </w:r>
      <w:r>
        <w:rPr>
          <w:rFonts w:hint="default" w:ascii="Times New Roman" w:hAnsi="Times New Roman" w:cs="Times New Roman"/>
          <w:color w:val="auto"/>
          <w:sz w:val="24"/>
          <w:highlight w:val="none"/>
          <w:lang w:eastAsia="zh-CN"/>
        </w:rPr>
        <w:t>m，胸径</w:t>
      </w:r>
      <w:r>
        <w:rPr>
          <w:rFonts w:hint="default"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12</w:t>
      </w:r>
      <w:r>
        <w:rPr>
          <w:rFonts w:hint="default" w:ascii="Times New Roman" w:hAnsi="Times New Roman" w:cs="Times New Roman"/>
          <w:color w:val="auto"/>
          <w:sz w:val="24"/>
          <w:highlight w:val="none"/>
          <w:lang w:eastAsia="zh-CN"/>
        </w:rPr>
        <w:t xml:space="preserve">cm，胸径 8~12cm整个乔木层盖度为 </w:t>
      </w:r>
      <w:r>
        <w:rPr>
          <w:rFonts w:hint="eastAsia" w:cs="Times New Roman"/>
          <w:color w:val="auto"/>
          <w:sz w:val="24"/>
          <w:highlight w:val="none"/>
          <w:lang w:val="en-US" w:eastAsia="zh-CN"/>
        </w:rPr>
        <w:t>1</w:t>
      </w:r>
      <w:r>
        <w:rPr>
          <w:rFonts w:hint="default" w:ascii="Times New Roman" w:hAnsi="Times New Roman" w:cs="Times New Roman"/>
          <w:color w:val="auto"/>
          <w:sz w:val="24"/>
          <w:highlight w:val="none"/>
          <w:lang w:eastAsia="zh-CN"/>
        </w:rPr>
        <w:t>0%；灌木层种类较为稀少，盖度在 10%左右，以</w:t>
      </w:r>
      <w:r>
        <w:rPr>
          <w:rFonts w:hint="eastAsia" w:ascii="Times New Roman" w:hAnsi="Times New Roman" w:cs="Times New Roman"/>
          <w:color w:val="auto"/>
          <w:sz w:val="24"/>
          <w:highlight w:val="none"/>
          <w:lang w:eastAsia="zh-CN"/>
        </w:rPr>
        <w:t>荆条</w:t>
      </w:r>
      <w:r>
        <w:rPr>
          <w:rFonts w:hint="default" w:ascii="Times New Roman" w:hAnsi="Times New Roman" w:cs="Times New Roman"/>
          <w:color w:val="auto"/>
          <w:sz w:val="24"/>
          <w:highlight w:val="none"/>
          <w:lang w:eastAsia="zh-CN"/>
        </w:rPr>
        <w:t>为优势种；草本层盖度在</w:t>
      </w:r>
      <w:r>
        <w:rPr>
          <w:rFonts w:hint="eastAsia" w:cs="Times New Roman"/>
          <w:color w:val="auto"/>
          <w:sz w:val="24"/>
          <w:highlight w:val="none"/>
          <w:lang w:val="en-US" w:eastAsia="zh-CN"/>
        </w:rPr>
        <w:t>4</w:t>
      </w:r>
      <w:r>
        <w:rPr>
          <w:rFonts w:hint="eastAsia"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lang w:eastAsia="zh-CN"/>
        </w:rPr>
        <w:t>%左右，</w:t>
      </w:r>
      <w:r>
        <w:rPr>
          <w:rFonts w:hint="eastAsia" w:ascii="Times New Roman" w:hAnsi="Times New Roman" w:cs="Times New Roman"/>
          <w:color w:val="auto"/>
          <w:sz w:val="24"/>
          <w:highlight w:val="none"/>
          <w:lang w:eastAsia="zh-CN"/>
        </w:rPr>
        <w:t>据调查，主要有苣卖菜、碎米芥、蒲公英、马笕齿、大刺菜、马唐等</w:t>
      </w:r>
      <w:r>
        <w:rPr>
          <w:rFonts w:hint="default" w:ascii="Times New Roman" w:hAnsi="Times New Roman" w:cs="Times New Roman"/>
          <w:color w:val="auto"/>
          <w:sz w:val="24"/>
          <w:highlight w:val="none"/>
          <w:lang w:eastAsia="zh-CN"/>
        </w:rPr>
        <w:t>，高度在0.1～0.8m之间。</w:t>
      </w:r>
    </w:p>
    <w:p>
      <w:pPr>
        <w:pStyle w:val="50"/>
        <w:keepNext w:val="0"/>
        <w:keepLines w:val="0"/>
        <w:pageBreakBefore w:val="0"/>
        <w:kinsoku/>
        <w:wordWrap/>
        <w:overflowPunct/>
        <w:topLinePunct w:val="0"/>
        <w:autoSpaceDE/>
        <w:autoSpaceDN/>
        <w:bidi w:val="0"/>
        <w:adjustRightInd/>
        <w:snapToGrid/>
        <w:spacing w:after="0" w:line="480" w:lineRule="exact"/>
        <w:ind w:left="0" w:leftChars="0" w:right="0" w:rightChars="0" w:firstLine="0" w:firstLineChars="0"/>
        <w:jc w:val="center"/>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sz w:val="24"/>
          <w:highlight w:val="none"/>
          <w:lang w:val="en-US" w:eastAsia="zh-CN"/>
        </w:rPr>
        <w:t>表</w:t>
      </w:r>
      <w:r>
        <w:rPr>
          <w:rFonts w:hint="eastAsia" w:ascii="Times New Roman" w:hAnsi="Times New Roman" w:cs="Times New Roman"/>
          <w:b/>
          <w:bCs/>
          <w:color w:val="auto"/>
          <w:sz w:val="24"/>
          <w:highlight w:val="none"/>
          <w:lang w:val="en-US" w:eastAsia="zh-CN"/>
        </w:rPr>
        <w:t xml:space="preserve">4.9-5 </w:t>
      </w:r>
      <w:r>
        <w:rPr>
          <w:rFonts w:hint="default" w:ascii="Times New Roman" w:hAnsi="Times New Roman" w:cs="Times New Roman"/>
          <w:b/>
          <w:bCs/>
          <w:color w:val="auto"/>
          <w:sz w:val="24"/>
          <w:highlight w:val="none"/>
          <w:lang w:val="en-US" w:eastAsia="zh-CN"/>
        </w:rPr>
        <w:t xml:space="preserve"> </w:t>
      </w:r>
      <w:r>
        <w:rPr>
          <w:rFonts w:hint="eastAsia" w:ascii="Times New Roman" w:hAnsi="Times New Roman" w:cs="Times New Roman"/>
          <w:b/>
          <w:bCs/>
          <w:color w:val="auto"/>
          <w:sz w:val="24"/>
          <w:highlight w:val="none"/>
          <w:lang w:val="en-US" w:eastAsia="zh-CN"/>
        </w:rPr>
        <w:t>柳树</w:t>
      </w:r>
      <w:r>
        <w:rPr>
          <w:rFonts w:hint="default" w:ascii="Times New Roman" w:hAnsi="Times New Roman" w:cs="Times New Roman"/>
          <w:b/>
          <w:bCs/>
          <w:color w:val="auto"/>
          <w:sz w:val="24"/>
          <w:highlight w:val="none"/>
          <w:lang w:val="en-US" w:eastAsia="zh-CN"/>
        </w:rPr>
        <w:t>林样方表</w:t>
      </w:r>
    </w:p>
    <w:tbl>
      <w:tblPr>
        <w:tblStyle w:val="444"/>
        <w:tblW w:w="8760" w:type="dxa"/>
        <w:tblInd w:w="12" w:type="dxa"/>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Layout w:type="fixed"/>
        <w:tblCellMar>
          <w:top w:w="0" w:type="dxa"/>
          <w:left w:w="0" w:type="dxa"/>
          <w:bottom w:w="0" w:type="dxa"/>
          <w:right w:w="0" w:type="dxa"/>
        </w:tblCellMar>
      </w:tblPr>
      <w:tblGrid>
        <w:gridCol w:w="980"/>
        <w:gridCol w:w="1108"/>
        <w:gridCol w:w="2879"/>
        <w:gridCol w:w="1055"/>
        <w:gridCol w:w="2738"/>
      </w:tblGrid>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43" w:hRule="atLeast"/>
        </w:trPr>
        <w:tc>
          <w:tcPr>
            <w:tcW w:w="2088" w:type="dxa"/>
            <w:gridSpan w:val="2"/>
            <w:tcBorders>
              <w:left w:val="single" w:color="231F20" w:sz="10" w:space="0"/>
              <w:right w:val="single" w:color="231F20" w:sz="4"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rPr>
              <w:t>样方号</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lang w:val="en-US" w:eastAsia="zh-CN"/>
              </w:rPr>
              <w:t>2</w:t>
            </w:r>
          </w:p>
        </w:tc>
        <w:tc>
          <w:tcPr>
            <w:tcW w:w="6672" w:type="dxa"/>
            <w:gridSpan w:val="3"/>
            <w:tcBorders>
              <w:left w:val="single" w:color="231F20" w:sz="4" w:space="0"/>
              <w:right w:val="single" w:color="231F20" w:sz="10"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Times New Roman"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 xml:space="preserve">样方面积: </w:t>
            </w:r>
            <w:r>
              <w:rPr>
                <w:rFonts w:hint="default" w:ascii="Times New Roman" w:hAnsi="Times New Roman" w:eastAsia="Times New Roman" w:cs="Times New Roman"/>
                <w:color w:val="auto"/>
                <w:spacing w:val="0"/>
                <w:position w:val="0"/>
                <w:sz w:val="21"/>
                <w:szCs w:val="21"/>
                <w:highlight w:val="none"/>
              </w:rPr>
              <w:t>1</w:t>
            </w:r>
            <w:r>
              <w:rPr>
                <w:rFonts w:hint="default" w:ascii="Times New Roman" w:hAnsi="Times New Roman" w:eastAsia="宋体" w:cs="Times New Roman"/>
                <w:color w:val="auto"/>
                <w:spacing w:val="0"/>
                <w:position w:val="0"/>
                <w:sz w:val="21"/>
                <w:szCs w:val="21"/>
                <w:highlight w:val="none"/>
                <w:lang w:val="en-US" w:eastAsia="zh-CN"/>
              </w:rPr>
              <w:t>0</w:t>
            </w:r>
            <w:r>
              <w:rPr>
                <w:rFonts w:hint="default" w:ascii="Times New Roman" w:hAnsi="Times New Roman" w:eastAsia="Times New Roman" w:cs="Times New Roman"/>
                <w:color w:val="auto"/>
                <w:spacing w:val="0"/>
                <w:position w:val="0"/>
                <w:sz w:val="21"/>
                <w:szCs w:val="21"/>
                <w:highlight w:val="none"/>
              </w:rPr>
              <w:t>m*1</w:t>
            </w:r>
            <w:r>
              <w:rPr>
                <w:rFonts w:hint="default" w:ascii="Times New Roman" w:hAnsi="Times New Roman" w:eastAsia="宋体" w:cs="Times New Roman"/>
                <w:color w:val="auto"/>
                <w:spacing w:val="0"/>
                <w:position w:val="0"/>
                <w:sz w:val="21"/>
                <w:szCs w:val="21"/>
                <w:highlight w:val="none"/>
                <w:lang w:val="en-US" w:eastAsia="zh-CN"/>
              </w:rPr>
              <w:t>0</w:t>
            </w:r>
            <w:r>
              <w:rPr>
                <w:rFonts w:hint="default" w:ascii="Times New Roman" w:hAnsi="Times New Roman" w:eastAsia="Times New Roman" w:cs="Times New Roman"/>
                <w:color w:val="auto"/>
                <w:spacing w:val="0"/>
                <w:position w:val="0"/>
                <w:sz w:val="21"/>
                <w:szCs w:val="21"/>
                <w:highlight w:val="none"/>
              </w:rPr>
              <w:t>m</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76" w:hRule="atLeast"/>
        </w:trPr>
        <w:tc>
          <w:tcPr>
            <w:tcW w:w="2088" w:type="dxa"/>
            <w:gridSpan w:val="2"/>
            <w:tcBorders>
              <w:left w:val="single" w:color="231F20" w:sz="10" w:space="0"/>
              <w:right w:val="single" w:color="231F20" w:sz="4"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rPr>
              <w:t>经度: 118.118712</w:t>
            </w:r>
          </w:p>
        </w:tc>
        <w:tc>
          <w:tcPr>
            <w:tcW w:w="3934" w:type="dxa"/>
            <w:gridSpan w:val="2"/>
            <w:tcBorders>
              <w:left w:val="single" w:color="231F20" w:sz="4" w:space="0"/>
              <w:right w:val="single" w:color="231F20" w:sz="4"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rPr>
              <w:t xml:space="preserve">纬度: </w:t>
            </w:r>
            <w:r>
              <w:rPr>
                <w:rFonts w:hint="eastAsia" w:ascii="Times New Roman" w:hAnsi="Times New Roman" w:eastAsia="宋体" w:cs="Times New Roman"/>
                <w:color w:val="auto"/>
                <w:spacing w:val="0"/>
                <w:position w:val="0"/>
                <w:sz w:val="21"/>
                <w:szCs w:val="21"/>
                <w:highlight w:val="none"/>
                <w:lang w:val="en-US" w:eastAsia="zh-CN"/>
              </w:rPr>
              <w:t>40.183652</w:t>
            </w:r>
          </w:p>
        </w:tc>
        <w:tc>
          <w:tcPr>
            <w:tcW w:w="2738" w:type="dxa"/>
            <w:tcBorders>
              <w:left w:val="single" w:color="231F20" w:sz="4" w:space="0"/>
              <w:right w:val="single" w:color="231F20" w:sz="10"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高程</w:t>
            </w:r>
            <w:r>
              <w:rPr>
                <w:rFonts w:hint="default" w:ascii="Times New Roman" w:hAnsi="Times New Roman" w:eastAsia="宋体" w:cs="Times New Roman"/>
                <w:color w:val="auto"/>
                <w:spacing w:val="0"/>
                <w:position w:val="0"/>
                <w:sz w:val="21"/>
                <w:szCs w:val="21"/>
                <w:highlight w:val="none"/>
              </w:rPr>
              <w:t>(</w:t>
            </w:r>
            <w:r>
              <w:rPr>
                <w:rFonts w:hint="default" w:ascii="Times New Roman" w:hAnsi="Times New Roman" w:eastAsia="Times New Roman" w:cs="Times New Roman"/>
                <w:color w:val="auto"/>
                <w:spacing w:val="0"/>
                <w:position w:val="0"/>
                <w:sz w:val="21"/>
                <w:szCs w:val="21"/>
                <w:highlight w:val="none"/>
              </w:rPr>
              <w:t>m</w:t>
            </w:r>
            <w:r>
              <w:rPr>
                <w:rFonts w:hint="default" w:ascii="Times New Roman" w:hAnsi="Times New Roman" w:eastAsia="宋体" w:cs="Times New Roman"/>
                <w:color w:val="auto"/>
                <w:spacing w:val="0"/>
                <w:position w:val="0"/>
                <w:sz w:val="21"/>
                <w:szCs w:val="21"/>
                <w:highlight w:val="none"/>
              </w:rPr>
              <w:t xml:space="preserve">): </w:t>
            </w:r>
            <w:r>
              <w:rPr>
                <w:rFonts w:hint="default" w:ascii="Times New Roman" w:hAnsi="Times New Roman" w:eastAsia="宋体" w:cs="Times New Roman"/>
                <w:color w:val="auto"/>
                <w:spacing w:val="0"/>
                <w:position w:val="0"/>
                <w:sz w:val="21"/>
                <w:szCs w:val="21"/>
                <w:highlight w:val="none"/>
                <w:lang w:val="en-US" w:eastAsia="zh-CN"/>
              </w:rPr>
              <w:t>1</w:t>
            </w:r>
            <w:r>
              <w:rPr>
                <w:rFonts w:hint="eastAsia" w:ascii="Times New Roman" w:hAnsi="Times New Roman" w:cs="Times New Roman"/>
                <w:color w:val="auto"/>
                <w:spacing w:val="0"/>
                <w:position w:val="0"/>
                <w:sz w:val="21"/>
                <w:szCs w:val="21"/>
                <w:highlight w:val="none"/>
                <w:lang w:val="en-US" w:eastAsia="zh-CN"/>
              </w:rPr>
              <w:t>02.4</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76" w:hRule="atLeast"/>
        </w:trPr>
        <w:tc>
          <w:tcPr>
            <w:tcW w:w="8760" w:type="dxa"/>
            <w:gridSpan w:val="5"/>
            <w:tcBorders>
              <w:left w:val="single" w:color="231F20" w:sz="10" w:space="0"/>
              <w:right w:val="single" w:color="231F20" w:sz="10"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地点：</w:t>
            </w:r>
            <w:r>
              <w:rPr>
                <w:rFonts w:hint="eastAsia" w:cs="Times New Roman"/>
                <w:color w:val="auto"/>
                <w:spacing w:val="0"/>
                <w:position w:val="0"/>
                <w:sz w:val="21"/>
                <w:szCs w:val="21"/>
                <w:highlight w:val="none"/>
                <w:lang w:val="en-US" w:eastAsia="zh-CN"/>
              </w:rPr>
              <w:t>尾水渠</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296" w:hRule="atLeast"/>
        </w:trPr>
        <w:tc>
          <w:tcPr>
            <w:tcW w:w="980" w:type="dxa"/>
            <w:tcBorders>
              <w:left w:val="single" w:color="231F20" w:sz="10"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firstLine="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群落</w:t>
            </w:r>
          </w:p>
        </w:tc>
        <w:tc>
          <w:tcPr>
            <w:tcW w:w="3987" w:type="dxa"/>
            <w:gridSpan w:val="2"/>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firstLine="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种类</w:t>
            </w:r>
          </w:p>
        </w:tc>
        <w:tc>
          <w:tcPr>
            <w:tcW w:w="3793" w:type="dxa"/>
            <w:gridSpan w:val="2"/>
            <w:tcBorders>
              <w:left w:val="single" w:color="auto" w:sz="4" w:space="0"/>
              <w:right w:val="single" w:color="231F20" w:sz="10"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firstLine="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群落概况</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76" w:hRule="atLeast"/>
        </w:trPr>
        <w:tc>
          <w:tcPr>
            <w:tcW w:w="980" w:type="dxa"/>
            <w:tcBorders>
              <w:left w:val="single" w:color="231F20" w:sz="10"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firstLine="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乔木层</w:t>
            </w:r>
          </w:p>
        </w:tc>
        <w:tc>
          <w:tcPr>
            <w:tcW w:w="3987" w:type="dxa"/>
            <w:gridSpan w:val="2"/>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eastAsia" w:ascii="Times New Roman" w:hAnsi="Times New Roman" w:cs="Times New Roman"/>
                <w:color w:val="auto"/>
                <w:spacing w:val="0"/>
                <w:position w:val="0"/>
                <w:sz w:val="21"/>
                <w:szCs w:val="21"/>
                <w:highlight w:val="none"/>
                <w:lang w:val="en-US" w:eastAsia="zh-CN"/>
              </w:rPr>
              <w:t>旱柳</w:t>
            </w:r>
            <w:r>
              <w:rPr>
                <w:rFonts w:hint="default" w:ascii="Times New Roman" w:hAnsi="Times New Roman" w:eastAsia="宋体" w:cs="Times New Roman"/>
                <w:color w:val="auto"/>
                <w:spacing w:val="0"/>
                <w:position w:val="0"/>
                <w:sz w:val="21"/>
                <w:szCs w:val="21"/>
                <w:highlight w:val="none"/>
                <w:lang w:val="en-US" w:eastAsia="zh-CN"/>
              </w:rPr>
              <w:t>（Cunninghamia lanceolata）</w:t>
            </w:r>
            <w:r>
              <w:rPr>
                <w:rFonts w:hint="eastAsia" w:ascii="Times New Roman" w:hAnsi="Times New Roman" w:cs="Times New Roman"/>
                <w:color w:val="auto"/>
                <w:spacing w:val="0"/>
                <w:position w:val="0"/>
                <w:sz w:val="21"/>
                <w:szCs w:val="21"/>
                <w:highlight w:val="none"/>
                <w:lang w:val="en-US" w:eastAsia="zh-CN"/>
              </w:rPr>
              <w:t>12</w:t>
            </w:r>
            <w:r>
              <w:rPr>
                <w:rFonts w:hint="default" w:ascii="Times New Roman" w:hAnsi="Times New Roman" w:eastAsia="宋体" w:cs="Times New Roman"/>
                <w:color w:val="auto"/>
                <w:spacing w:val="0"/>
                <w:position w:val="0"/>
                <w:sz w:val="21"/>
                <w:szCs w:val="21"/>
                <w:highlight w:val="none"/>
                <w:lang w:val="en-US" w:eastAsia="zh-CN"/>
              </w:rPr>
              <w:t>株</w:t>
            </w:r>
          </w:p>
        </w:tc>
        <w:tc>
          <w:tcPr>
            <w:tcW w:w="3793" w:type="dxa"/>
            <w:gridSpan w:val="2"/>
            <w:tcBorders>
              <w:left w:val="single" w:color="auto" w:sz="4" w:space="0"/>
              <w:right w:val="single" w:color="231F20" w:sz="10"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firstLine="0"/>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乔木层盖度为</w:t>
            </w:r>
            <w:r>
              <w:rPr>
                <w:rFonts w:hint="eastAsia" w:cs="Times New Roman"/>
                <w:color w:val="auto"/>
                <w:spacing w:val="0"/>
                <w:position w:val="0"/>
                <w:sz w:val="21"/>
                <w:szCs w:val="21"/>
                <w:highlight w:val="none"/>
                <w:lang w:val="en-US" w:eastAsia="zh-CN"/>
              </w:rPr>
              <w:t>5</w:t>
            </w:r>
            <w:r>
              <w:rPr>
                <w:rFonts w:hint="default" w:ascii="Times New Roman" w:hAnsi="Times New Roman" w:eastAsia="宋体" w:cs="Times New Roman"/>
                <w:color w:val="auto"/>
                <w:spacing w:val="0"/>
                <w:position w:val="0"/>
                <w:sz w:val="21"/>
                <w:szCs w:val="21"/>
                <w:highlight w:val="none"/>
                <w:lang w:val="en-US" w:eastAsia="zh-CN"/>
              </w:rPr>
              <w:t>0%，群落优势种</w:t>
            </w:r>
            <w:r>
              <w:rPr>
                <w:rFonts w:hint="eastAsia" w:ascii="Times New Roman" w:hAnsi="Times New Roman" w:cs="Times New Roman"/>
                <w:color w:val="auto"/>
                <w:spacing w:val="0"/>
                <w:position w:val="0"/>
                <w:sz w:val="21"/>
                <w:szCs w:val="21"/>
                <w:highlight w:val="none"/>
                <w:lang w:val="en-US" w:eastAsia="zh-CN"/>
              </w:rPr>
              <w:t>旱柳</w:t>
            </w:r>
            <w:r>
              <w:rPr>
                <w:rFonts w:hint="default" w:ascii="Times New Roman" w:hAnsi="Times New Roman" w:eastAsia="宋体" w:cs="Times New Roman"/>
                <w:color w:val="auto"/>
                <w:spacing w:val="0"/>
                <w:position w:val="0"/>
                <w:sz w:val="21"/>
                <w:szCs w:val="21"/>
                <w:highlight w:val="none"/>
                <w:lang w:val="en-US" w:eastAsia="zh-CN"/>
              </w:rPr>
              <w:t>株高</w:t>
            </w:r>
            <w:r>
              <w:rPr>
                <w:rFonts w:hint="eastAsia" w:ascii="Times New Roman" w:hAnsi="Times New Roman" w:cs="Times New Roman"/>
                <w:color w:val="auto"/>
                <w:spacing w:val="0"/>
                <w:position w:val="0"/>
                <w:sz w:val="21"/>
                <w:szCs w:val="21"/>
                <w:highlight w:val="none"/>
                <w:lang w:val="en-US" w:eastAsia="zh-CN"/>
              </w:rPr>
              <w:t>3-6</w:t>
            </w:r>
            <w:r>
              <w:rPr>
                <w:rFonts w:hint="default" w:ascii="Times New Roman" w:hAnsi="Times New Roman" w:eastAsia="宋体" w:cs="Times New Roman"/>
                <w:color w:val="auto"/>
                <w:spacing w:val="0"/>
                <w:position w:val="0"/>
                <w:sz w:val="21"/>
                <w:szCs w:val="21"/>
                <w:highlight w:val="none"/>
                <w:lang w:val="en-US" w:eastAsia="zh-CN"/>
              </w:rPr>
              <w:t>m，胸径</w:t>
            </w:r>
            <w:r>
              <w:rPr>
                <w:rFonts w:hint="eastAsia" w:ascii="Times New Roman" w:hAnsi="Times New Roman" w:cs="Times New Roman"/>
                <w:color w:val="auto"/>
                <w:spacing w:val="0"/>
                <w:position w:val="0"/>
                <w:sz w:val="21"/>
                <w:szCs w:val="21"/>
                <w:highlight w:val="none"/>
                <w:lang w:val="en-US" w:eastAsia="zh-CN"/>
              </w:rPr>
              <w:t>5</w:t>
            </w:r>
            <w:r>
              <w:rPr>
                <w:rFonts w:hint="default" w:ascii="Times New Roman" w:hAnsi="Times New Roman" w:eastAsia="宋体" w:cs="Times New Roman"/>
                <w:color w:val="auto"/>
                <w:spacing w:val="0"/>
                <w:position w:val="0"/>
                <w:sz w:val="21"/>
                <w:szCs w:val="21"/>
                <w:highlight w:val="none"/>
                <w:lang w:val="en-US" w:eastAsia="zh-CN"/>
              </w:rPr>
              <w:t>~</w:t>
            </w:r>
            <w:r>
              <w:rPr>
                <w:rFonts w:hint="eastAsia" w:ascii="Times New Roman" w:hAnsi="Times New Roman" w:cs="Times New Roman"/>
                <w:color w:val="auto"/>
                <w:spacing w:val="0"/>
                <w:position w:val="0"/>
                <w:sz w:val="21"/>
                <w:szCs w:val="21"/>
                <w:highlight w:val="none"/>
                <w:lang w:val="en-US" w:eastAsia="zh-CN"/>
              </w:rPr>
              <w:t>12</w:t>
            </w:r>
            <w:r>
              <w:rPr>
                <w:rFonts w:hint="default" w:ascii="Times New Roman" w:hAnsi="Times New Roman" w:eastAsia="宋体" w:cs="Times New Roman"/>
                <w:color w:val="auto"/>
                <w:spacing w:val="0"/>
                <w:position w:val="0"/>
                <w:sz w:val="21"/>
                <w:szCs w:val="21"/>
                <w:highlight w:val="none"/>
                <w:lang w:val="en-US" w:eastAsia="zh-CN"/>
              </w:rPr>
              <w:t>cm</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76" w:hRule="atLeast"/>
        </w:trPr>
        <w:tc>
          <w:tcPr>
            <w:tcW w:w="980" w:type="dxa"/>
            <w:tcBorders>
              <w:left w:val="single" w:color="231F20" w:sz="10"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firstLine="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灌木层</w:t>
            </w:r>
          </w:p>
        </w:tc>
        <w:tc>
          <w:tcPr>
            <w:tcW w:w="3987" w:type="dxa"/>
            <w:gridSpan w:val="2"/>
            <w:tcBorders>
              <w:left w:val="single" w:color="auto" w:sz="4" w:space="0"/>
              <w:right w:val="single" w:color="auto" w:sz="4" w:space="0"/>
            </w:tcBorders>
            <w:noWrap w:val="0"/>
            <w:vAlign w:val="center"/>
          </w:tcPr>
          <w:p>
            <w:pPr>
              <w:keepNext w:val="0"/>
              <w:keepLines w:val="0"/>
              <w:widowControl/>
              <w:suppressLineNumbers w:val="0"/>
              <w:jc w:val="left"/>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灌木层种类较少，盖度在</w:t>
            </w:r>
            <w:r>
              <w:rPr>
                <w:rFonts w:hint="eastAsia" w:cs="Times New Roman"/>
                <w:color w:val="auto"/>
                <w:spacing w:val="0"/>
                <w:position w:val="0"/>
                <w:sz w:val="21"/>
                <w:szCs w:val="21"/>
                <w:highlight w:val="none"/>
                <w:lang w:val="en-US" w:eastAsia="zh-CN"/>
              </w:rPr>
              <w:t>1</w:t>
            </w:r>
            <w:r>
              <w:rPr>
                <w:rFonts w:hint="default" w:ascii="Times New Roman" w:hAnsi="Times New Roman" w:eastAsia="宋体" w:cs="Times New Roman"/>
                <w:color w:val="auto"/>
                <w:spacing w:val="0"/>
                <w:position w:val="0"/>
                <w:sz w:val="21"/>
                <w:szCs w:val="21"/>
                <w:highlight w:val="none"/>
                <w:lang w:val="en-US" w:eastAsia="zh-CN"/>
              </w:rPr>
              <w:t>0%左右</w:t>
            </w:r>
          </w:p>
        </w:tc>
        <w:tc>
          <w:tcPr>
            <w:tcW w:w="3793" w:type="dxa"/>
            <w:gridSpan w:val="2"/>
            <w:tcBorders>
              <w:left w:val="single" w:color="auto" w:sz="4" w:space="0"/>
              <w:right w:val="single" w:color="231F20" w:sz="10"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firstLine="0"/>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灌木层盖度在</w:t>
            </w:r>
            <w:r>
              <w:rPr>
                <w:rFonts w:hint="eastAsia" w:cs="Times New Roman"/>
                <w:color w:val="auto"/>
                <w:spacing w:val="0"/>
                <w:position w:val="0"/>
                <w:sz w:val="21"/>
                <w:szCs w:val="21"/>
                <w:highlight w:val="none"/>
                <w:lang w:val="en-US" w:eastAsia="zh-CN"/>
              </w:rPr>
              <w:t>1</w:t>
            </w:r>
            <w:r>
              <w:rPr>
                <w:rFonts w:hint="default" w:ascii="Times New Roman" w:hAnsi="Times New Roman" w:eastAsia="宋体" w:cs="Times New Roman"/>
                <w:color w:val="auto"/>
                <w:spacing w:val="0"/>
                <w:position w:val="0"/>
                <w:sz w:val="21"/>
                <w:szCs w:val="21"/>
                <w:highlight w:val="none"/>
                <w:lang w:val="en-US" w:eastAsia="zh-CN"/>
              </w:rPr>
              <w:t>0%左右</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76" w:hRule="atLeast"/>
        </w:trPr>
        <w:tc>
          <w:tcPr>
            <w:tcW w:w="980" w:type="dxa"/>
            <w:tcBorders>
              <w:left w:val="single" w:color="231F20" w:sz="10"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firstLine="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草本层</w:t>
            </w:r>
          </w:p>
        </w:tc>
        <w:tc>
          <w:tcPr>
            <w:tcW w:w="3987" w:type="dxa"/>
            <w:gridSpan w:val="2"/>
            <w:tcBorders>
              <w:left w:val="single" w:color="auto" w:sz="4" w:space="0"/>
              <w:right w:val="single" w:color="auto" w:sz="4" w:space="0"/>
            </w:tcBorders>
            <w:noWrap w:val="0"/>
            <w:vAlign w:val="center"/>
          </w:tcPr>
          <w:p>
            <w:pPr>
              <w:keepNext w:val="0"/>
              <w:keepLines w:val="0"/>
              <w:widowControl/>
              <w:suppressLineNumbers w:val="0"/>
              <w:jc w:val="left"/>
              <w:rPr>
                <w:rFonts w:hint="default" w:ascii="Times New Roman" w:hAnsi="Times New Roman" w:eastAsia="宋体" w:cs="Times New Roman"/>
                <w:color w:val="auto"/>
                <w:spacing w:val="0"/>
                <w:position w:val="0"/>
                <w:sz w:val="21"/>
                <w:szCs w:val="21"/>
                <w:highlight w:val="none"/>
                <w:lang w:val="en-US" w:eastAsia="zh-CN"/>
              </w:rPr>
            </w:pPr>
            <w:r>
              <w:rPr>
                <w:rFonts w:hint="eastAsia" w:ascii="Times New Roman" w:hAnsi="Times New Roman" w:eastAsia="宋体" w:cs="Times New Roman"/>
                <w:color w:val="auto"/>
                <w:spacing w:val="0"/>
                <w:position w:val="0"/>
                <w:sz w:val="21"/>
                <w:szCs w:val="21"/>
                <w:highlight w:val="none"/>
                <w:lang w:val="en-US" w:eastAsia="zh-CN"/>
              </w:rPr>
              <w:t>主要有苣卖菜、碎米芥、蒲公英、大刺菜、马唐</w:t>
            </w:r>
            <w:r>
              <w:rPr>
                <w:rFonts w:hint="eastAsia" w:ascii="Times New Roman" w:hAnsi="Times New Roman" w:cs="Times New Roman"/>
                <w:color w:val="auto"/>
                <w:spacing w:val="0"/>
                <w:position w:val="0"/>
                <w:sz w:val="21"/>
                <w:szCs w:val="21"/>
                <w:highlight w:val="none"/>
                <w:lang w:val="en-US" w:eastAsia="zh-CN"/>
              </w:rPr>
              <w:t>、马笕齿</w:t>
            </w:r>
            <w:r>
              <w:rPr>
                <w:rFonts w:hint="eastAsia" w:ascii="Times New Roman" w:hAnsi="Times New Roman" w:eastAsia="宋体" w:cs="Times New Roman"/>
                <w:color w:val="auto"/>
                <w:spacing w:val="0"/>
                <w:position w:val="0"/>
                <w:sz w:val="21"/>
                <w:szCs w:val="21"/>
                <w:highlight w:val="none"/>
                <w:lang w:val="en-US" w:eastAsia="zh-CN"/>
              </w:rPr>
              <w:t>等</w:t>
            </w:r>
            <w:r>
              <w:rPr>
                <w:rFonts w:hint="default" w:ascii="Times New Roman" w:hAnsi="Times New Roman" w:eastAsia="宋体" w:cs="Times New Roman"/>
                <w:color w:val="auto"/>
                <w:spacing w:val="0"/>
                <w:position w:val="0"/>
                <w:sz w:val="21"/>
                <w:szCs w:val="21"/>
                <w:highlight w:val="none"/>
                <w:lang w:val="en-US" w:eastAsia="zh-CN"/>
              </w:rPr>
              <w:t>，高度在0.1～0.8m之间</w:t>
            </w:r>
          </w:p>
        </w:tc>
        <w:tc>
          <w:tcPr>
            <w:tcW w:w="3793" w:type="dxa"/>
            <w:gridSpan w:val="2"/>
            <w:tcBorders>
              <w:left w:val="single" w:color="auto" w:sz="4" w:space="0"/>
              <w:right w:val="single" w:color="231F20" w:sz="10"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firstLine="0"/>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草本层盖度在</w:t>
            </w:r>
            <w:r>
              <w:rPr>
                <w:rFonts w:hint="eastAsia" w:cs="Times New Roman"/>
                <w:color w:val="auto"/>
                <w:spacing w:val="0"/>
                <w:position w:val="0"/>
                <w:sz w:val="21"/>
                <w:szCs w:val="21"/>
                <w:highlight w:val="none"/>
                <w:lang w:val="en-US" w:eastAsia="zh-CN"/>
              </w:rPr>
              <w:t>4</w:t>
            </w:r>
            <w:r>
              <w:rPr>
                <w:rFonts w:hint="eastAsia" w:ascii="Times New Roman" w:hAnsi="Times New Roman" w:cs="Times New Roman"/>
                <w:color w:val="auto"/>
                <w:spacing w:val="0"/>
                <w:position w:val="0"/>
                <w:sz w:val="21"/>
                <w:szCs w:val="21"/>
                <w:highlight w:val="none"/>
                <w:lang w:val="en-US" w:eastAsia="zh-CN"/>
              </w:rPr>
              <w:t>0</w:t>
            </w:r>
            <w:r>
              <w:rPr>
                <w:rFonts w:hint="default" w:ascii="Times New Roman" w:hAnsi="Times New Roman" w:eastAsia="宋体" w:cs="Times New Roman"/>
                <w:color w:val="auto"/>
                <w:spacing w:val="0"/>
                <w:position w:val="0"/>
                <w:sz w:val="21"/>
                <w:szCs w:val="21"/>
                <w:highlight w:val="none"/>
                <w:lang w:val="en-US" w:eastAsia="zh-CN"/>
              </w:rPr>
              <w:t>%左右</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761" w:hRule="atLeast"/>
        </w:trPr>
        <w:tc>
          <w:tcPr>
            <w:tcW w:w="8760" w:type="dxa"/>
            <w:gridSpan w:val="5"/>
            <w:tcBorders>
              <w:left w:val="single" w:color="231F20" w:sz="10" w:space="0"/>
              <w:right w:val="single" w:color="231F20" w:sz="10"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firstLine="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drawing>
                <wp:inline distT="0" distB="0" distL="114300" distR="114300">
                  <wp:extent cx="5524500" cy="3107690"/>
                  <wp:effectExtent l="0" t="0" r="0" b="16510"/>
                  <wp:docPr id="50" name="图片 50" descr="1691744188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691744188432"/>
                          <pic:cNvPicPr>
                            <a:picLocks noChangeAspect="1"/>
                          </pic:cNvPicPr>
                        </pic:nvPicPr>
                        <pic:blipFill>
                          <a:blip r:embed="rId71"/>
                          <a:stretch>
                            <a:fillRect/>
                          </a:stretch>
                        </pic:blipFill>
                        <pic:spPr>
                          <a:xfrm>
                            <a:off x="0" y="0"/>
                            <a:ext cx="5524500" cy="3107690"/>
                          </a:xfrm>
                          <a:prstGeom prst="rect">
                            <a:avLst/>
                          </a:prstGeom>
                        </pic:spPr>
                      </pic:pic>
                    </a:graphicData>
                  </a:graphic>
                </wp:inline>
              </w:drawing>
            </w:r>
          </w:p>
        </w:tc>
      </w:tr>
    </w:tbl>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outlineLvl w:val="9"/>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样方</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eastAsia="zh-CN"/>
        </w:rPr>
        <w:t>：香椿树林</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outlineLvl w:val="9"/>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该香椿林样方位于</w:t>
      </w:r>
      <w:r>
        <w:rPr>
          <w:rFonts w:hint="default" w:ascii="Times New Roman" w:hAnsi="Times New Roman" w:eastAsia="宋体" w:cs="Times New Roman"/>
          <w:color w:val="auto"/>
          <w:sz w:val="24"/>
          <w:szCs w:val="24"/>
          <w:highlight w:val="none"/>
          <w:lang w:val="en-US" w:eastAsia="zh-CN"/>
        </w:rPr>
        <w:t>本项目</w:t>
      </w:r>
      <w:r>
        <w:rPr>
          <w:rFonts w:hint="eastAsia" w:ascii="Times New Roman" w:hAnsi="Times New Roman" w:eastAsia="宋体" w:cs="Times New Roman"/>
          <w:color w:val="auto"/>
          <w:sz w:val="24"/>
          <w:szCs w:val="24"/>
          <w:highlight w:val="none"/>
          <w:lang w:val="en-US" w:eastAsia="zh-CN"/>
        </w:rPr>
        <w:t>橡胶</w:t>
      </w:r>
      <w:r>
        <w:rPr>
          <w:rFonts w:hint="default" w:ascii="Times New Roman" w:hAnsi="Times New Roman" w:eastAsia="宋体" w:cs="Times New Roman"/>
          <w:color w:val="auto"/>
          <w:sz w:val="24"/>
          <w:szCs w:val="24"/>
          <w:highlight w:val="none"/>
          <w:lang w:val="en-US" w:eastAsia="zh-CN"/>
        </w:rPr>
        <w:t>坝上游</w:t>
      </w:r>
      <w:r>
        <w:rPr>
          <w:rFonts w:hint="eastAsia"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lang w:val="en-US" w:eastAsia="zh-CN"/>
        </w:rPr>
        <w:t>3km处</w:t>
      </w:r>
      <w:r>
        <w:rPr>
          <w:rFonts w:hint="default" w:ascii="Times New Roman" w:hAnsi="Times New Roman" w:eastAsia="宋体" w:cs="Times New Roman"/>
          <w:color w:val="auto"/>
          <w:sz w:val="24"/>
          <w:szCs w:val="24"/>
          <w:highlight w:val="none"/>
          <w:lang w:eastAsia="zh-CN"/>
        </w:rPr>
        <w:t>，属中龄林，在10×10m</w:t>
      </w:r>
      <w:r>
        <w:rPr>
          <w:rFonts w:hint="default" w:ascii="Times New Roman" w:hAnsi="Times New Roman" w:eastAsia="宋体" w:cs="Times New Roman"/>
          <w:color w:val="auto"/>
          <w:sz w:val="24"/>
          <w:szCs w:val="24"/>
          <w:highlight w:val="none"/>
          <w:vertAlign w:val="superscript"/>
          <w:lang w:eastAsia="zh-CN"/>
        </w:rPr>
        <w:t>2</w:t>
      </w:r>
      <w:r>
        <w:rPr>
          <w:rFonts w:hint="default" w:ascii="Times New Roman" w:hAnsi="Times New Roman" w:eastAsia="宋体" w:cs="Times New Roman"/>
          <w:color w:val="auto"/>
          <w:sz w:val="24"/>
          <w:szCs w:val="24"/>
          <w:highlight w:val="none"/>
          <w:lang w:eastAsia="zh-CN"/>
        </w:rPr>
        <w:t>的样方中，有香椿树</w:t>
      </w:r>
      <w:r>
        <w:rPr>
          <w:rFonts w:hint="default" w:ascii="Times New Roman" w:hAnsi="Times New Roman" w:eastAsia="宋体" w:cs="Times New Roman"/>
          <w:color w:val="auto"/>
          <w:sz w:val="24"/>
          <w:szCs w:val="24"/>
          <w:highlight w:val="none"/>
          <w:lang w:val="en-US" w:eastAsia="zh-CN"/>
        </w:rPr>
        <w:t>18</w:t>
      </w:r>
      <w:r>
        <w:rPr>
          <w:rFonts w:hint="default" w:ascii="Times New Roman" w:hAnsi="Times New Roman" w:eastAsia="宋体" w:cs="Times New Roman"/>
          <w:color w:val="auto"/>
          <w:sz w:val="24"/>
          <w:szCs w:val="24"/>
          <w:highlight w:val="none"/>
          <w:lang w:eastAsia="zh-CN"/>
        </w:rPr>
        <w:t>株，株高</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eastAsia="zh-CN"/>
        </w:rPr>
        <w:t>～1</w:t>
      </w:r>
      <w:r>
        <w:rPr>
          <w:rFonts w:hint="default"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lang w:eastAsia="zh-CN"/>
        </w:rPr>
        <w:t>m，胸径</w:t>
      </w:r>
      <w:r>
        <w:rPr>
          <w:rFonts w:hint="default" w:ascii="Times New Roman" w:hAnsi="Times New Roman" w:eastAsia="宋体" w:cs="Times New Roman"/>
          <w:color w:val="auto"/>
          <w:sz w:val="24"/>
          <w:szCs w:val="24"/>
          <w:highlight w:val="none"/>
          <w:lang w:val="en-US" w:eastAsia="zh-CN"/>
        </w:rPr>
        <w:t>12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35</w:t>
      </w:r>
      <w:r>
        <w:rPr>
          <w:rFonts w:hint="default" w:ascii="Times New Roman" w:hAnsi="Times New Roman" w:eastAsia="宋体" w:cs="Times New Roman"/>
          <w:color w:val="auto"/>
          <w:sz w:val="24"/>
          <w:szCs w:val="24"/>
          <w:highlight w:val="none"/>
          <w:lang w:eastAsia="zh-CN"/>
        </w:rPr>
        <w:t>cm，整个乔木层盖度为</w:t>
      </w:r>
      <w:r>
        <w:rPr>
          <w:rFonts w:hint="eastAsia"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eastAsia="zh-CN"/>
        </w:rPr>
        <w:t>%；草本层盖度在</w:t>
      </w:r>
      <w:r>
        <w:rPr>
          <w:rFonts w:hint="default" w:ascii="Times New Roman" w:hAnsi="Times New Roman" w:eastAsia="宋体" w:cs="Times New Roman"/>
          <w:color w:val="auto"/>
          <w:sz w:val="24"/>
          <w:szCs w:val="24"/>
          <w:highlight w:val="none"/>
          <w:lang w:val="en-US" w:eastAsia="zh-CN"/>
        </w:rPr>
        <w:t>35</w:t>
      </w:r>
      <w:r>
        <w:rPr>
          <w:rFonts w:hint="default" w:ascii="Times New Roman" w:hAnsi="Times New Roman" w:eastAsia="宋体" w:cs="Times New Roman"/>
          <w:color w:val="auto"/>
          <w:sz w:val="24"/>
          <w:szCs w:val="24"/>
          <w:highlight w:val="none"/>
          <w:lang w:eastAsia="zh-CN"/>
        </w:rPr>
        <w:t>%左右，</w:t>
      </w:r>
      <w:r>
        <w:rPr>
          <w:rFonts w:hint="eastAsia" w:ascii="Times New Roman" w:hAnsi="Times New Roman" w:eastAsia="宋体" w:cs="Times New Roman"/>
          <w:color w:val="auto"/>
          <w:sz w:val="24"/>
          <w:szCs w:val="24"/>
          <w:highlight w:val="none"/>
          <w:lang w:eastAsia="zh-CN"/>
        </w:rPr>
        <w:t>牛筋草、</w:t>
      </w:r>
      <w:r>
        <w:rPr>
          <w:rFonts w:hint="default" w:ascii="Times New Roman" w:hAnsi="Times New Roman" w:eastAsia="宋体" w:cs="Times New Roman"/>
          <w:color w:val="auto"/>
          <w:sz w:val="24"/>
          <w:szCs w:val="24"/>
          <w:highlight w:val="none"/>
          <w:lang w:eastAsia="zh-CN"/>
        </w:rPr>
        <w:t>车前</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狗尾草</w:t>
      </w:r>
      <w:r>
        <w:rPr>
          <w:rFonts w:hint="eastAsia" w:ascii="Times New Roman" w:hAnsi="Times New Roman" w:eastAsia="宋体" w:cs="Times New Roman"/>
          <w:color w:val="auto"/>
          <w:sz w:val="24"/>
          <w:szCs w:val="24"/>
          <w:highlight w:val="none"/>
          <w:lang w:eastAsia="zh-CN"/>
        </w:rPr>
        <w:t>、蒲公英、蒺藜、苦菜、马唐等</w:t>
      </w:r>
      <w:r>
        <w:rPr>
          <w:rFonts w:hint="default" w:ascii="Times New Roman" w:hAnsi="Times New Roman" w:eastAsia="宋体" w:cs="Times New Roman"/>
          <w:color w:val="auto"/>
          <w:sz w:val="24"/>
          <w:szCs w:val="24"/>
          <w:highlight w:val="none"/>
          <w:lang w:eastAsia="zh-CN"/>
        </w:rPr>
        <w:t>，高度在0.1～0.8m之间。</w:t>
      </w:r>
    </w:p>
    <w:p>
      <w:pPr>
        <w:pStyle w:val="50"/>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w:t>
      </w:r>
      <w:r>
        <w:rPr>
          <w:rFonts w:hint="eastAsia" w:ascii="Times New Roman" w:hAnsi="Times New Roman" w:eastAsia="宋体" w:cs="Times New Roman"/>
          <w:b/>
          <w:bCs/>
          <w:color w:val="auto"/>
          <w:sz w:val="24"/>
          <w:szCs w:val="24"/>
          <w:highlight w:val="none"/>
          <w:lang w:val="en-US" w:eastAsia="zh-CN"/>
        </w:rPr>
        <w:t xml:space="preserve">4.9-6  </w:t>
      </w:r>
      <w:r>
        <w:rPr>
          <w:rFonts w:hint="default" w:ascii="Times New Roman" w:hAnsi="Times New Roman" w:eastAsia="宋体" w:cs="Times New Roman"/>
          <w:b/>
          <w:bCs/>
          <w:color w:val="auto"/>
          <w:sz w:val="24"/>
          <w:szCs w:val="24"/>
          <w:highlight w:val="none"/>
          <w:lang w:val="en-US" w:eastAsia="zh-CN"/>
        </w:rPr>
        <w:t xml:space="preserve"> 香椿林样方表</w:t>
      </w:r>
    </w:p>
    <w:tbl>
      <w:tblPr>
        <w:tblStyle w:val="444"/>
        <w:tblW w:w="8760" w:type="dxa"/>
        <w:tblInd w:w="12" w:type="dxa"/>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Layout w:type="fixed"/>
        <w:tblCellMar>
          <w:top w:w="0" w:type="dxa"/>
          <w:left w:w="0" w:type="dxa"/>
          <w:bottom w:w="0" w:type="dxa"/>
          <w:right w:w="0" w:type="dxa"/>
        </w:tblCellMar>
      </w:tblPr>
      <w:tblGrid>
        <w:gridCol w:w="2088"/>
        <w:gridCol w:w="2878"/>
        <w:gridCol w:w="3794"/>
      </w:tblGrid>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43" w:hRule="atLeast"/>
        </w:trPr>
        <w:tc>
          <w:tcPr>
            <w:tcW w:w="2088" w:type="dxa"/>
            <w:tcBorders>
              <w:left w:val="single" w:color="231F20" w:sz="10" w:space="0"/>
              <w:right w:val="single" w:color="231F20" w:sz="4"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rPr>
              <w:t>样方号</w:t>
            </w:r>
            <w:r>
              <w:rPr>
                <w:rFonts w:hint="default"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lang w:val="en-US" w:eastAsia="zh-CN"/>
              </w:rPr>
              <w:t>3</w:t>
            </w:r>
          </w:p>
        </w:tc>
        <w:tc>
          <w:tcPr>
            <w:tcW w:w="6672" w:type="dxa"/>
            <w:gridSpan w:val="2"/>
            <w:tcBorders>
              <w:left w:val="single" w:color="231F20" w:sz="4" w:space="0"/>
              <w:right w:val="single" w:color="231F20" w:sz="10"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样方面积: 1</w:t>
            </w:r>
            <w:r>
              <w:rPr>
                <w:rFonts w:hint="default" w:ascii="Times New Roman" w:hAnsi="Times New Roman" w:eastAsia="宋体" w:cs="Times New Roman"/>
                <w:color w:val="auto"/>
                <w:spacing w:val="0"/>
                <w:position w:val="0"/>
                <w:sz w:val="21"/>
                <w:szCs w:val="21"/>
                <w:highlight w:val="none"/>
                <w:lang w:val="en-US" w:eastAsia="zh-CN"/>
              </w:rPr>
              <w:t>0</w:t>
            </w:r>
            <w:r>
              <w:rPr>
                <w:rFonts w:hint="default" w:ascii="Times New Roman" w:hAnsi="Times New Roman" w:eastAsia="宋体" w:cs="Times New Roman"/>
                <w:color w:val="auto"/>
                <w:spacing w:val="0"/>
                <w:position w:val="0"/>
                <w:sz w:val="21"/>
                <w:szCs w:val="21"/>
                <w:highlight w:val="none"/>
              </w:rPr>
              <w:t>m*1</w:t>
            </w:r>
            <w:r>
              <w:rPr>
                <w:rFonts w:hint="default" w:ascii="Times New Roman" w:hAnsi="Times New Roman" w:eastAsia="宋体" w:cs="Times New Roman"/>
                <w:color w:val="auto"/>
                <w:spacing w:val="0"/>
                <w:position w:val="0"/>
                <w:sz w:val="21"/>
                <w:szCs w:val="21"/>
                <w:highlight w:val="none"/>
                <w:lang w:val="en-US" w:eastAsia="zh-CN"/>
              </w:rPr>
              <w:t>0</w:t>
            </w:r>
            <w:r>
              <w:rPr>
                <w:rFonts w:hint="default" w:ascii="Times New Roman" w:hAnsi="Times New Roman" w:eastAsia="宋体" w:cs="Times New Roman"/>
                <w:color w:val="auto"/>
                <w:spacing w:val="0"/>
                <w:position w:val="0"/>
                <w:sz w:val="21"/>
                <w:szCs w:val="21"/>
                <w:highlight w:val="none"/>
              </w:rPr>
              <w:t>m</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76" w:hRule="atLeast"/>
        </w:trPr>
        <w:tc>
          <w:tcPr>
            <w:tcW w:w="2088" w:type="dxa"/>
            <w:tcBorders>
              <w:left w:val="single" w:color="231F20" w:sz="10" w:space="0"/>
              <w:right w:val="single" w:color="231F20" w:sz="4"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rPr>
              <w:t>经度: 118.</w:t>
            </w:r>
            <w:r>
              <w:rPr>
                <w:rFonts w:hint="eastAsia" w:cs="Times New Roman"/>
                <w:color w:val="auto"/>
                <w:spacing w:val="0"/>
                <w:position w:val="0"/>
                <w:sz w:val="21"/>
                <w:szCs w:val="21"/>
                <w:highlight w:val="none"/>
                <w:lang w:val="en-US" w:eastAsia="zh-CN"/>
              </w:rPr>
              <w:t>119480</w:t>
            </w:r>
          </w:p>
        </w:tc>
        <w:tc>
          <w:tcPr>
            <w:tcW w:w="2878" w:type="dxa"/>
            <w:tcBorders>
              <w:left w:val="single" w:color="231F20" w:sz="4" w:space="0"/>
              <w:right w:val="single" w:color="231F20" w:sz="4"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rPr>
              <w:t>纬度:</w:t>
            </w:r>
            <w:r>
              <w:rPr>
                <w:rFonts w:hint="eastAsia" w:cs="Times New Roman"/>
                <w:color w:val="auto"/>
                <w:spacing w:val="0"/>
                <w:position w:val="0"/>
                <w:sz w:val="21"/>
                <w:szCs w:val="21"/>
                <w:highlight w:val="none"/>
                <w:lang w:val="en-US" w:eastAsia="zh-CN"/>
              </w:rPr>
              <w:t>40.182240</w:t>
            </w:r>
          </w:p>
        </w:tc>
        <w:tc>
          <w:tcPr>
            <w:tcW w:w="3794" w:type="dxa"/>
            <w:tcBorders>
              <w:left w:val="single" w:color="231F20" w:sz="4" w:space="0"/>
              <w:right w:val="single" w:color="231F20" w:sz="10"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高程</w:t>
            </w:r>
            <w:r>
              <w:rPr>
                <w:rFonts w:hint="default" w:ascii="Times New Roman" w:hAnsi="Times New Roman" w:eastAsia="宋体" w:cs="Times New Roman"/>
                <w:color w:val="auto"/>
                <w:spacing w:val="0"/>
                <w:position w:val="0"/>
                <w:sz w:val="21"/>
                <w:szCs w:val="21"/>
                <w:highlight w:val="none"/>
              </w:rPr>
              <w:t xml:space="preserve">(m): </w:t>
            </w:r>
            <w:r>
              <w:rPr>
                <w:rFonts w:hint="default" w:ascii="Times New Roman" w:hAnsi="Times New Roman" w:eastAsia="宋体" w:cs="Times New Roman"/>
                <w:color w:val="auto"/>
                <w:spacing w:val="0"/>
                <w:position w:val="0"/>
                <w:sz w:val="21"/>
                <w:szCs w:val="21"/>
                <w:highlight w:val="none"/>
                <w:lang w:val="en-US" w:eastAsia="zh-CN"/>
              </w:rPr>
              <w:t>104.2</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76" w:hRule="atLeast"/>
        </w:trPr>
        <w:tc>
          <w:tcPr>
            <w:tcW w:w="8760" w:type="dxa"/>
            <w:gridSpan w:val="3"/>
            <w:tcBorders>
              <w:left w:val="single" w:color="231F20" w:sz="10" w:space="0"/>
              <w:right w:val="single" w:color="231F20" w:sz="10"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地点：</w:t>
            </w:r>
            <w:r>
              <w:rPr>
                <w:rFonts w:hint="eastAsia" w:ascii="Times New Roman" w:hAnsi="Times New Roman" w:eastAsia="宋体" w:cs="Times New Roman"/>
                <w:color w:val="auto"/>
                <w:spacing w:val="0"/>
                <w:position w:val="0"/>
                <w:sz w:val="21"/>
                <w:szCs w:val="21"/>
                <w:highlight w:val="none"/>
                <w:lang w:val="en-US" w:eastAsia="zh-CN"/>
              </w:rPr>
              <w:t>橡胶</w:t>
            </w:r>
            <w:r>
              <w:rPr>
                <w:rFonts w:hint="default" w:ascii="Times New Roman" w:hAnsi="Times New Roman" w:eastAsia="宋体" w:cs="Times New Roman"/>
                <w:color w:val="auto"/>
                <w:spacing w:val="0"/>
                <w:position w:val="0"/>
                <w:sz w:val="21"/>
                <w:szCs w:val="21"/>
                <w:highlight w:val="none"/>
                <w:lang w:val="en-US" w:eastAsia="zh-CN"/>
              </w:rPr>
              <w:t>坝上游</w:t>
            </w:r>
            <w:r>
              <w:rPr>
                <w:rFonts w:hint="eastAsia" w:ascii="Times New Roman" w:hAnsi="Times New Roman" w:eastAsia="宋体" w:cs="Times New Roman"/>
                <w:color w:val="auto"/>
                <w:spacing w:val="0"/>
                <w:position w:val="0"/>
                <w:sz w:val="21"/>
                <w:szCs w:val="21"/>
                <w:highlight w:val="none"/>
                <w:lang w:val="en-US" w:eastAsia="zh-CN"/>
              </w:rPr>
              <w:t>0</w:t>
            </w:r>
            <w:r>
              <w:rPr>
                <w:rFonts w:hint="default" w:ascii="Times New Roman" w:hAnsi="Times New Roman" w:eastAsia="宋体" w:cs="Times New Roman"/>
                <w:color w:val="auto"/>
                <w:spacing w:val="0"/>
                <w:position w:val="0"/>
                <w:sz w:val="21"/>
                <w:szCs w:val="21"/>
                <w:highlight w:val="none"/>
                <w:lang w:val="en-US" w:eastAsia="zh-CN"/>
              </w:rPr>
              <w:t>.3km</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76" w:hRule="atLeast"/>
        </w:trPr>
        <w:tc>
          <w:tcPr>
            <w:tcW w:w="2088" w:type="dxa"/>
            <w:tcBorders>
              <w:left w:val="single" w:color="231F20" w:sz="10" w:space="0"/>
              <w:right w:val="single" w:color="231F20"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群落</w:t>
            </w:r>
          </w:p>
        </w:tc>
        <w:tc>
          <w:tcPr>
            <w:tcW w:w="2878" w:type="dxa"/>
            <w:tcBorders>
              <w:left w:val="single" w:color="231F20" w:sz="4" w:space="0"/>
              <w:right w:val="single" w:color="231F20"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种类</w:t>
            </w:r>
          </w:p>
        </w:tc>
        <w:tc>
          <w:tcPr>
            <w:tcW w:w="3794" w:type="dxa"/>
            <w:tcBorders>
              <w:left w:val="single" w:color="231F20" w:sz="4" w:space="0"/>
              <w:right w:val="single" w:color="231F20" w:sz="10"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群落概况</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76" w:hRule="atLeast"/>
        </w:trPr>
        <w:tc>
          <w:tcPr>
            <w:tcW w:w="2088" w:type="dxa"/>
            <w:tcBorders>
              <w:left w:val="single" w:color="231F20" w:sz="10" w:space="0"/>
              <w:right w:val="single" w:color="231F20"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firstLine="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乔木层</w:t>
            </w:r>
          </w:p>
        </w:tc>
        <w:tc>
          <w:tcPr>
            <w:tcW w:w="2878" w:type="dxa"/>
            <w:tcBorders>
              <w:left w:val="single" w:color="231F20" w:sz="4" w:space="0"/>
              <w:right w:val="single" w:color="231F20"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firstLine="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有香椿树1</w:t>
            </w:r>
            <w:r>
              <w:rPr>
                <w:rFonts w:hint="eastAsia" w:cs="Times New Roman"/>
                <w:color w:val="auto"/>
                <w:spacing w:val="0"/>
                <w:position w:val="0"/>
                <w:sz w:val="21"/>
                <w:szCs w:val="21"/>
                <w:highlight w:val="none"/>
                <w:lang w:val="en-US" w:eastAsia="zh-CN"/>
              </w:rPr>
              <w:t>2</w:t>
            </w:r>
            <w:r>
              <w:rPr>
                <w:rFonts w:hint="default" w:ascii="Times New Roman" w:hAnsi="Times New Roman" w:eastAsia="宋体" w:cs="Times New Roman"/>
                <w:color w:val="auto"/>
                <w:spacing w:val="0"/>
                <w:position w:val="0"/>
                <w:sz w:val="21"/>
                <w:szCs w:val="21"/>
                <w:highlight w:val="none"/>
                <w:lang w:val="en-US" w:eastAsia="zh-CN"/>
              </w:rPr>
              <w:t>株</w:t>
            </w:r>
          </w:p>
        </w:tc>
        <w:tc>
          <w:tcPr>
            <w:tcW w:w="3794" w:type="dxa"/>
            <w:tcBorders>
              <w:left w:val="single" w:color="231F20" w:sz="4" w:space="0"/>
              <w:right w:val="single" w:color="231F20" w:sz="10"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firstLine="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乔木层盖度为</w:t>
            </w:r>
            <w:r>
              <w:rPr>
                <w:rFonts w:hint="eastAsia" w:cs="Times New Roman"/>
                <w:color w:val="auto"/>
                <w:spacing w:val="0"/>
                <w:position w:val="0"/>
                <w:sz w:val="21"/>
                <w:szCs w:val="21"/>
                <w:highlight w:val="none"/>
                <w:lang w:val="en-US" w:eastAsia="zh-CN"/>
              </w:rPr>
              <w:t>4</w:t>
            </w:r>
            <w:r>
              <w:rPr>
                <w:rFonts w:hint="default" w:ascii="Times New Roman" w:hAnsi="Times New Roman" w:eastAsia="宋体" w:cs="Times New Roman"/>
                <w:color w:val="auto"/>
                <w:spacing w:val="0"/>
                <w:position w:val="0"/>
                <w:sz w:val="21"/>
                <w:szCs w:val="21"/>
                <w:highlight w:val="none"/>
                <w:lang w:val="en-US" w:eastAsia="zh-CN"/>
              </w:rPr>
              <w:t>5%，群落优势种株高7～18m，胸径12～35cm</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76" w:hRule="atLeast"/>
        </w:trPr>
        <w:tc>
          <w:tcPr>
            <w:tcW w:w="2088" w:type="dxa"/>
            <w:tcBorders>
              <w:left w:val="single" w:color="231F20" w:sz="10" w:space="0"/>
              <w:right w:val="single" w:color="231F20"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firstLine="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草本层</w:t>
            </w:r>
          </w:p>
        </w:tc>
        <w:tc>
          <w:tcPr>
            <w:tcW w:w="2878" w:type="dxa"/>
            <w:tcBorders>
              <w:left w:val="single" w:color="231F20" w:sz="4" w:space="0"/>
              <w:right w:val="single" w:color="231F20" w:sz="4"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firstLine="0"/>
              <w:jc w:val="center"/>
              <w:rPr>
                <w:rFonts w:hint="eastAsia" w:ascii="Times New Roman" w:hAnsi="Times New Roman" w:eastAsia="宋体" w:cs="Times New Roman"/>
                <w:color w:val="auto"/>
                <w:spacing w:val="0"/>
                <w:position w:val="0"/>
                <w:sz w:val="21"/>
                <w:szCs w:val="21"/>
                <w:highlight w:val="none"/>
                <w:lang w:val="en-US" w:eastAsia="zh-CN"/>
              </w:rPr>
            </w:pPr>
            <w:r>
              <w:rPr>
                <w:rFonts w:hint="eastAsia" w:ascii="Times New Roman" w:hAnsi="Times New Roman" w:eastAsia="宋体" w:cs="Times New Roman"/>
                <w:color w:val="auto"/>
                <w:spacing w:val="0"/>
                <w:position w:val="0"/>
                <w:sz w:val="21"/>
                <w:szCs w:val="21"/>
                <w:highlight w:val="none"/>
                <w:lang w:val="en-US" w:eastAsia="zh-CN"/>
              </w:rPr>
              <w:t>牛筋草、</w:t>
            </w:r>
            <w:r>
              <w:rPr>
                <w:rFonts w:hint="default" w:ascii="Times New Roman" w:hAnsi="Times New Roman" w:eastAsia="宋体" w:cs="Times New Roman"/>
                <w:color w:val="auto"/>
                <w:spacing w:val="0"/>
                <w:position w:val="0"/>
                <w:sz w:val="21"/>
                <w:szCs w:val="21"/>
                <w:highlight w:val="none"/>
                <w:lang w:val="en-US" w:eastAsia="zh-CN"/>
              </w:rPr>
              <w:t>车前</w:t>
            </w:r>
            <w:r>
              <w:rPr>
                <w:rFonts w:hint="eastAsia" w:ascii="Times New Roman" w:hAnsi="Times New Roman" w:eastAsia="宋体" w:cs="Times New Roman"/>
                <w:color w:val="auto"/>
                <w:spacing w:val="0"/>
                <w:position w:val="0"/>
                <w:sz w:val="21"/>
                <w:szCs w:val="21"/>
                <w:highlight w:val="none"/>
                <w:lang w:val="en-US" w:eastAsia="zh-CN"/>
              </w:rPr>
              <w:t>、</w:t>
            </w:r>
            <w:r>
              <w:rPr>
                <w:rFonts w:hint="default" w:ascii="Times New Roman" w:hAnsi="Times New Roman" w:eastAsia="宋体" w:cs="Times New Roman"/>
                <w:color w:val="auto"/>
                <w:spacing w:val="0"/>
                <w:position w:val="0"/>
                <w:sz w:val="21"/>
                <w:szCs w:val="21"/>
                <w:highlight w:val="none"/>
                <w:lang w:val="en-US" w:eastAsia="zh-CN"/>
              </w:rPr>
              <w:t>狗尾草</w:t>
            </w:r>
            <w:r>
              <w:rPr>
                <w:rFonts w:hint="eastAsia" w:ascii="Times New Roman" w:hAnsi="Times New Roman" w:eastAsia="宋体" w:cs="Times New Roman"/>
                <w:color w:val="auto"/>
                <w:spacing w:val="0"/>
                <w:position w:val="0"/>
                <w:sz w:val="21"/>
                <w:szCs w:val="21"/>
                <w:highlight w:val="none"/>
                <w:lang w:val="en-US" w:eastAsia="zh-CN"/>
              </w:rPr>
              <w:t>、蒲公英、蒺藜、苦菜、马唐、</w:t>
            </w:r>
          </w:p>
          <w:p>
            <w:pPr>
              <w:keepNext w:val="0"/>
              <w:keepLines w:val="0"/>
              <w:pageBreakBefore w:val="0"/>
              <w:widowControl w:val="0"/>
              <w:kinsoku/>
              <w:wordWrap/>
              <w:overflowPunct/>
              <w:topLinePunct w:val="0"/>
              <w:autoSpaceDE w:val="0"/>
              <w:autoSpaceDN w:val="0"/>
              <w:bidi w:val="0"/>
              <w:adjustRightInd/>
              <w:snapToGrid/>
              <w:spacing w:line="240" w:lineRule="auto"/>
              <w:ind w:left="0" w:firstLine="0"/>
              <w:jc w:val="center"/>
              <w:rPr>
                <w:rFonts w:hint="default" w:ascii="Times New Roman" w:hAnsi="Times New Roman" w:eastAsia="宋体" w:cs="Times New Roman"/>
                <w:color w:val="auto"/>
                <w:spacing w:val="0"/>
                <w:position w:val="0"/>
                <w:sz w:val="21"/>
                <w:szCs w:val="21"/>
                <w:highlight w:val="none"/>
                <w:lang w:val="en-US" w:eastAsia="zh-CN"/>
              </w:rPr>
            </w:pPr>
            <w:r>
              <w:rPr>
                <w:rFonts w:hint="eastAsia" w:ascii="Times New Roman" w:hAnsi="Times New Roman" w:eastAsia="宋体" w:cs="Times New Roman"/>
                <w:color w:val="auto"/>
                <w:spacing w:val="0"/>
                <w:position w:val="0"/>
                <w:sz w:val="21"/>
                <w:szCs w:val="21"/>
                <w:highlight w:val="none"/>
                <w:lang w:val="en-US" w:eastAsia="zh-CN"/>
              </w:rPr>
              <w:t>艾蒿、</w:t>
            </w:r>
            <w:r>
              <w:rPr>
                <w:rFonts w:hint="default" w:ascii="Times New Roman" w:hAnsi="Times New Roman" w:eastAsia="宋体" w:cs="Times New Roman"/>
                <w:color w:val="auto"/>
                <w:spacing w:val="0"/>
                <w:position w:val="0"/>
                <w:sz w:val="21"/>
                <w:szCs w:val="21"/>
                <w:highlight w:val="none"/>
                <w:lang w:val="en-US" w:eastAsia="zh-CN"/>
              </w:rPr>
              <w:t>碎米莎草</w:t>
            </w:r>
            <w:r>
              <w:rPr>
                <w:rFonts w:hint="eastAsia" w:ascii="Times New Roman" w:hAnsi="Times New Roman" w:eastAsia="宋体" w:cs="Times New Roman"/>
                <w:color w:val="auto"/>
                <w:spacing w:val="0"/>
                <w:position w:val="0"/>
                <w:sz w:val="21"/>
                <w:szCs w:val="21"/>
                <w:highlight w:val="none"/>
                <w:lang w:val="en-US" w:eastAsia="zh-CN"/>
              </w:rPr>
              <w:t>、</w:t>
            </w:r>
            <w:r>
              <w:rPr>
                <w:rFonts w:hint="default" w:ascii="Times New Roman" w:hAnsi="Times New Roman" w:eastAsia="宋体" w:cs="Times New Roman"/>
                <w:color w:val="auto"/>
                <w:spacing w:val="0"/>
                <w:position w:val="0"/>
                <w:sz w:val="21"/>
                <w:szCs w:val="21"/>
                <w:highlight w:val="none"/>
                <w:lang w:val="en-US" w:eastAsia="zh-CN"/>
              </w:rPr>
              <w:t>小香蒲</w:t>
            </w:r>
            <w:r>
              <w:rPr>
                <w:rFonts w:hint="eastAsia" w:ascii="Times New Roman" w:hAnsi="Times New Roman" w:eastAsia="宋体" w:cs="Times New Roman"/>
                <w:color w:val="auto"/>
                <w:spacing w:val="0"/>
                <w:position w:val="0"/>
                <w:sz w:val="21"/>
                <w:szCs w:val="21"/>
                <w:highlight w:val="none"/>
                <w:lang w:val="en-US" w:eastAsia="zh-CN"/>
              </w:rPr>
              <w:t>、等</w:t>
            </w:r>
            <w:r>
              <w:rPr>
                <w:rFonts w:hint="default" w:ascii="Times New Roman" w:hAnsi="Times New Roman" w:eastAsia="宋体" w:cs="Times New Roman"/>
                <w:color w:val="auto"/>
                <w:spacing w:val="0"/>
                <w:position w:val="0"/>
                <w:sz w:val="21"/>
                <w:szCs w:val="21"/>
                <w:highlight w:val="none"/>
                <w:lang w:val="en-US" w:eastAsia="zh-CN"/>
              </w:rPr>
              <w:t>，高度在0.1～0.8m之间</w:t>
            </w:r>
          </w:p>
        </w:tc>
        <w:tc>
          <w:tcPr>
            <w:tcW w:w="3794" w:type="dxa"/>
            <w:tcBorders>
              <w:left w:val="single" w:color="231F20" w:sz="4" w:space="0"/>
              <w:right w:val="single" w:color="231F20" w:sz="10"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firstLine="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草本层盖度在35%左右以五节芒为优势种，植株高度为0.7～2.8m，其他草本层高度在0.3～1.9m之间。</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4841" w:hRule="atLeast"/>
        </w:trPr>
        <w:tc>
          <w:tcPr>
            <w:tcW w:w="8760" w:type="dxa"/>
            <w:gridSpan w:val="3"/>
            <w:tcBorders>
              <w:left w:val="single" w:color="231F20" w:sz="10" w:space="0"/>
              <w:right w:val="single" w:color="231F20" w:sz="10"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firstLine="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drawing>
                <wp:inline distT="0" distB="0" distL="114300" distR="114300">
                  <wp:extent cx="5541010" cy="3036570"/>
                  <wp:effectExtent l="0" t="0" r="0" b="0"/>
                  <wp:docPr id="52" name="图片 52" descr="微信图片_202308111617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微信图片_202308111617493"/>
                          <pic:cNvPicPr>
                            <a:picLocks noChangeAspect="1"/>
                          </pic:cNvPicPr>
                        </pic:nvPicPr>
                        <pic:blipFill>
                          <a:blip r:embed="rId72"/>
                          <a:srcRect t="26959"/>
                          <a:stretch>
                            <a:fillRect/>
                          </a:stretch>
                        </pic:blipFill>
                        <pic:spPr>
                          <a:xfrm>
                            <a:off x="0" y="0"/>
                            <a:ext cx="5541010" cy="3036570"/>
                          </a:xfrm>
                          <a:prstGeom prst="rect">
                            <a:avLst/>
                          </a:prstGeom>
                        </pic:spPr>
                      </pic:pic>
                    </a:graphicData>
                  </a:graphic>
                </wp:inline>
              </w:drawing>
            </w:r>
          </w:p>
        </w:tc>
      </w:tr>
    </w:tbl>
    <w:p>
      <w:pPr>
        <w:rPr>
          <w:rFonts w:hint="default" w:ascii="Times New Roman" w:hAnsi="Times New Roman" w:cs="Times New Roman"/>
          <w:color w:val="auto"/>
          <w:sz w:val="24"/>
          <w:highlight w:val="none"/>
          <w:lang w:eastAsia="zh-CN"/>
        </w:rPr>
      </w:pPr>
    </w:p>
    <w:p>
      <w:pPr>
        <w:keepNext w:val="0"/>
        <w:keepLines w:val="0"/>
        <w:pageBreakBefore w:val="0"/>
        <w:widowControl/>
        <w:kinsoku/>
        <w:wordWrap/>
        <w:overflowPunct/>
        <w:topLinePunct w:val="0"/>
        <w:autoSpaceDE/>
        <w:autoSpaceDN/>
        <w:bidi w:val="0"/>
        <w:adjustRightInd/>
        <w:snapToGrid/>
        <w:spacing w:line="480" w:lineRule="exact"/>
        <w:ind w:firstLine="482" w:firstLineChars="200"/>
        <w:jc w:val="both"/>
        <w:textAlignment w:val="auto"/>
        <w:outlineLvl w:val="9"/>
        <w:rPr>
          <w:rFonts w:hint="default" w:ascii="Times New Roman" w:hAnsi="Times New Roman" w:cs="Times New Roman"/>
          <w:b/>
          <w:bCs/>
          <w:color w:val="auto"/>
          <w:sz w:val="24"/>
          <w:highlight w:val="none"/>
          <w:lang w:eastAsia="zh-CN"/>
        </w:rPr>
      </w:pPr>
      <w:r>
        <w:rPr>
          <w:rFonts w:hint="default" w:ascii="Times New Roman" w:hAnsi="Times New Roman" w:cs="Times New Roman"/>
          <w:b/>
          <w:bCs/>
          <w:color w:val="auto"/>
          <w:sz w:val="24"/>
          <w:highlight w:val="none"/>
          <w:lang w:eastAsia="zh-CN"/>
        </w:rPr>
        <w:t>样方</w:t>
      </w:r>
      <w:r>
        <w:rPr>
          <w:rFonts w:hint="eastAsia" w:ascii="Times New Roman" w:hAnsi="Times New Roman" w:cs="Times New Roman"/>
          <w:b/>
          <w:bCs/>
          <w:color w:val="auto"/>
          <w:sz w:val="24"/>
          <w:highlight w:val="none"/>
          <w:lang w:val="en-US" w:eastAsia="zh-CN"/>
        </w:rPr>
        <w:t>4</w:t>
      </w:r>
      <w:r>
        <w:rPr>
          <w:rFonts w:hint="default" w:ascii="Times New Roman" w:hAnsi="Times New Roman" w:cs="Times New Roman"/>
          <w:b/>
          <w:bCs/>
          <w:color w:val="auto"/>
          <w:sz w:val="24"/>
          <w:highlight w:val="none"/>
          <w:lang w:eastAsia="zh-CN"/>
        </w:rPr>
        <w:t>：</w:t>
      </w:r>
      <w:r>
        <w:rPr>
          <w:rFonts w:hint="eastAsia" w:ascii="Times New Roman" w:hAnsi="Times New Roman" w:cs="Times New Roman"/>
          <w:b/>
          <w:bCs/>
          <w:color w:val="auto"/>
          <w:sz w:val="24"/>
          <w:highlight w:val="none"/>
          <w:lang w:eastAsia="zh-CN"/>
        </w:rPr>
        <w:t>岸边</w:t>
      </w:r>
      <w:r>
        <w:rPr>
          <w:rFonts w:hint="eastAsia" w:ascii="Times New Roman" w:hAnsi="Times New Roman" w:cs="Times New Roman"/>
          <w:b/>
          <w:bCs/>
          <w:color w:val="auto"/>
          <w:sz w:val="24"/>
          <w:highlight w:val="none"/>
          <w:lang w:val="en-US" w:eastAsia="zh-CN"/>
        </w:rPr>
        <w:t>草地</w:t>
      </w:r>
    </w:p>
    <w:p>
      <w:pPr>
        <w:keepNext w:val="0"/>
        <w:keepLines w:val="0"/>
        <w:pageBreakBefore w:val="0"/>
        <w:widowControl/>
        <w:kinsoku/>
        <w:wordWrap/>
        <w:overflowPunct/>
        <w:topLinePunct w:val="0"/>
        <w:autoSpaceDE/>
        <w:autoSpaceDN/>
        <w:bidi w:val="0"/>
        <w:adjustRightInd/>
        <w:snapToGrid/>
        <w:spacing w:line="480" w:lineRule="exact"/>
        <w:ind w:firstLine="480" w:firstLineChars="200"/>
        <w:jc w:val="both"/>
        <w:textAlignment w:val="auto"/>
        <w:outlineLvl w:val="9"/>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该</w:t>
      </w:r>
      <w:r>
        <w:rPr>
          <w:rFonts w:hint="eastAsia" w:ascii="Times New Roman" w:hAnsi="Times New Roman" w:cs="Times New Roman"/>
          <w:color w:val="auto"/>
          <w:sz w:val="24"/>
          <w:highlight w:val="none"/>
          <w:lang w:eastAsia="zh-CN"/>
        </w:rPr>
        <w:t>草地</w:t>
      </w:r>
      <w:r>
        <w:rPr>
          <w:rFonts w:hint="default" w:ascii="Times New Roman" w:hAnsi="Times New Roman" w:cs="Times New Roman"/>
          <w:color w:val="auto"/>
          <w:sz w:val="24"/>
          <w:highlight w:val="none"/>
          <w:lang w:eastAsia="zh-CN"/>
        </w:rPr>
        <w:t>样方位于</w:t>
      </w:r>
      <w:r>
        <w:rPr>
          <w:rFonts w:hint="eastAsia" w:ascii="Times New Roman" w:hAnsi="Times New Roman" w:cs="Times New Roman"/>
          <w:color w:val="auto"/>
          <w:sz w:val="24"/>
          <w:highlight w:val="none"/>
          <w:lang w:val="en-US" w:eastAsia="zh-CN"/>
        </w:rPr>
        <w:t>电站</w:t>
      </w:r>
      <w:r>
        <w:rPr>
          <w:rFonts w:hint="default" w:ascii="Times New Roman" w:hAnsi="Times New Roman" w:cs="Times New Roman"/>
          <w:color w:val="auto"/>
          <w:sz w:val="24"/>
          <w:highlight w:val="none"/>
          <w:lang w:val="en-US" w:eastAsia="zh-CN"/>
        </w:rPr>
        <w:t>下游200m处</w:t>
      </w:r>
      <w:r>
        <w:rPr>
          <w:rFonts w:hint="default" w:ascii="Times New Roman" w:hAnsi="Times New Roman" w:cs="Times New Roman"/>
          <w:color w:val="auto"/>
          <w:sz w:val="24"/>
          <w:highlight w:val="none"/>
          <w:lang w:eastAsia="zh-CN"/>
        </w:rPr>
        <w:t>，草本层盖度在</w:t>
      </w:r>
      <w:r>
        <w:rPr>
          <w:rFonts w:hint="eastAsia" w:cs="Times New Roman"/>
          <w:color w:val="auto"/>
          <w:sz w:val="24"/>
          <w:highlight w:val="none"/>
          <w:lang w:val="en-US" w:eastAsia="zh-CN"/>
        </w:rPr>
        <w:t>8</w:t>
      </w:r>
      <w:r>
        <w:rPr>
          <w:rFonts w:hint="default" w:ascii="Times New Roman" w:hAnsi="Times New Roman" w:cs="Times New Roman"/>
          <w:color w:val="auto"/>
          <w:sz w:val="24"/>
          <w:highlight w:val="none"/>
          <w:lang w:eastAsia="zh-CN"/>
        </w:rPr>
        <w:t>0%左右，以野茼蒿、</w:t>
      </w:r>
      <w:r>
        <w:rPr>
          <w:rFonts w:hint="default" w:ascii="Times New Roman" w:hAnsi="Times New Roman" w:eastAsia="宋体" w:cs="Times New Roman"/>
          <w:color w:val="auto"/>
          <w:spacing w:val="-4"/>
          <w:sz w:val="21"/>
          <w:szCs w:val="21"/>
          <w:highlight w:val="none"/>
        </w:rPr>
        <w:t>苍耳</w:t>
      </w:r>
      <w:r>
        <w:rPr>
          <w:rFonts w:hint="eastAsia" w:ascii="Times New Roman" w:hAnsi="Times New Roman" w:cs="Times New Roman"/>
          <w:color w:val="auto"/>
          <w:spacing w:val="-4"/>
          <w:sz w:val="21"/>
          <w:szCs w:val="21"/>
          <w:highlight w:val="none"/>
          <w:lang w:eastAsia="zh-CN"/>
        </w:rPr>
        <w:t>，</w:t>
      </w:r>
      <w:r>
        <w:rPr>
          <w:rFonts w:hint="eastAsia" w:ascii="Times New Roman" w:hAnsi="Times New Roman" w:eastAsia="宋体" w:cs="Times New Roman"/>
          <w:color w:val="auto"/>
          <w:spacing w:val="-4"/>
          <w:sz w:val="24"/>
          <w:szCs w:val="24"/>
          <w:highlight w:val="none"/>
          <w:lang w:eastAsia="zh-CN"/>
        </w:rPr>
        <w:t>狗尾草</w:t>
      </w:r>
      <w:r>
        <w:rPr>
          <w:rFonts w:hint="default" w:ascii="Times New Roman" w:hAnsi="Times New Roman" w:cs="Times New Roman"/>
          <w:color w:val="auto"/>
          <w:sz w:val="24"/>
          <w:highlight w:val="none"/>
          <w:lang w:eastAsia="zh-CN"/>
        </w:rPr>
        <w:t>等植物，高度在0.1～0.8m之间。</w:t>
      </w:r>
    </w:p>
    <w:p>
      <w:pPr>
        <w:pStyle w:val="50"/>
        <w:keepNext w:val="0"/>
        <w:keepLines w:val="0"/>
        <w:pageBreakBefore w:val="0"/>
        <w:kinsoku/>
        <w:wordWrap/>
        <w:overflowPunct/>
        <w:topLinePunct w:val="0"/>
        <w:autoSpaceDE/>
        <w:autoSpaceDN/>
        <w:bidi w:val="0"/>
        <w:adjustRightInd/>
        <w:snapToGrid/>
        <w:spacing w:after="0" w:line="480" w:lineRule="exact"/>
        <w:jc w:val="center"/>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sz w:val="24"/>
          <w:highlight w:val="none"/>
          <w:lang w:val="en-US" w:eastAsia="zh-CN"/>
        </w:rPr>
        <w:t>表</w:t>
      </w:r>
      <w:r>
        <w:rPr>
          <w:rFonts w:hint="eastAsia" w:ascii="Times New Roman" w:hAnsi="Times New Roman" w:cs="Times New Roman"/>
          <w:b/>
          <w:bCs/>
          <w:color w:val="auto"/>
          <w:sz w:val="24"/>
          <w:highlight w:val="none"/>
          <w:lang w:val="en-US" w:eastAsia="zh-CN"/>
        </w:rPr>
        <w:t>4.9-7 黎河岸边草</w:t>
      </w:r>
      <w:r>
        <w:rPr>
          <w:rFonts w:hint="default" w:ascii="Times New Roman" w:hAnsi="Times New Roman" w:cs="Times New Roman"/>
          <w:b/>
          <w:bCs/>
          <w:color w:val="auto"/>
          <w:sz w:val="24"/>
          <w:highlight w:val="none"/>
          <w:lang w:val="en-US" w:eastAsia="zh-CN"/>
        </w:rPr>
        <w:t>样方表</w:t>
      </w:r>
    </w:p>
    <w:tbl>
      <w:tblPr>
        <w:tblStyle w:val="444"/>
        <w:tblW w:w="8760" w:type="dxa"/>
        <w:tblInd w:w="12" w:type="dxa"/>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Layout w:type="fixed"/>
        <w:tblCellMar>
          <w:top w:w="0" w:type="dxa"/>
          <w:left w:w="0" w:type="dxa"/>
          <w:bottom w:w="0" w:type="dxa"/>
          <w:right w:w="0" w:type="dxa"/>
        </w:tblCellMar>
      </w:tblPr>
      <w:tblGrid>
        <w:gridCol w:w="1026"/>
        <w:gridCol w:w="1878"/>
        <w:gridCol w:w="1677"/>
        <w:gridCol w:w="1441"/>
        <w:gridCol w:w="2738"/>
      </w:tblGrid>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43" w:hRule="atLeast"/>
        </w:trPr>
        <w:tc>
          <w:tcPr>
            <w:tcW w:w="2904" w:type="dxa"/>
            <w:gridSpan w:val="2"/>
            <w:tcBorders>
              <w:left w:val="single" w:color="231F20" w:sz="10" w:space="0"/>
              <w:right w:val="single" w:color="231F20" w:sz="4"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eastAsia="zh-CN"/>
              </w:rPr>
            </w:pPr>
            <w:r>
              <w:rPr>
                <w:rFonts w:hint="default" w:ascii="Times New Roman" w:hAnsi="Times New Roman" w:eastAsia="宋体" w:cs="Times New Roman"/>
                <w:color w:val="auto"/>
                <w:spacing w:val="0"/>
                <w:position w:val="0"/>
                <w:sz w:val="21"/>
                <w:szCs w:val="21"/>
                <w:highlight w:val="none"/>
              </w:rPr>
              <w:t>样方号</w:t>
            </w:r>
            <w:r>
              <w:rPr>
                <w:rFonts w:hint="default" w:ascii="Times New Roman" w:hAnsi="Times New Roman" w:eastAsia="宋体" w:cs="Times New Roman"/>
                <w:color w:val="auto"/>
                <w:spacing w:val="0"/>
                <w:position w:val="0"/>
                <w:sz w:val="21"/>
                <w:szCs w:val="21"/>
                <w:highlight w:val="none"/>
                <w:lang w:eastAsia="zh-CN"/>
              </w:rPr>
              <w:t>：</w:t>
            </w:r>
            <w:r>
              <w:rPr>
                <w:rFonts w:hint="eastAsia" w:ascii="Times New Roman" w:hAnsi="Times New Roman" w:cs="Times New Roman"/>
                <w:color w:val="auto"/>
                <w:spacing w:val="0"/>
                <w:position w:val="0"/>
                <w:sz w:val="21"/>
                <w:szCs w:val="21"/>
                <w:highlight w:val="none"/>
                <w:lang w:val="en-US" w:eastAsia="zh-CN"/>
              </w:rPr>
              <w:t>5</w:t>
            </w:r>
          </w:p>
        </w:tc>
        <w:tc>
          <w:tcPr>
            <w:tcW w:w="5856" w:type="dxa"/>
            <w:gridSpan w:val="3"/>
            <w:tcBorders>
              <w:left w:val="single" w:color="231F20" w:sz="4" w:space="0"/>
              <w:right w:val="single" w:color="231F20" w:sz="10"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Times New Roman" w:cs="Times New Roman"/>
                <w:color w:val="auto"/>
                <w:spacing w:val="0"/>
                <w:position w:val="0"/>
                <w:sz w:val="21"/>
                <w:szCs w:val="21"/>
                <w:highlight w:val="none"/>
              </w:rPr>
            </w:pPr>
            <w:r>
              <w:rPr>
                <w:rFonts w:hint="default" w:ascii="Times New Roman" w:hAnsi="Times New Roman" w:eastAsia="宋体" w:cs="Times New Roman"/>
                <w:color w:val="auto"/>
                <w:spacing w:val="0"/>
                <w:position w:val="0"/>
                <w:sz w:val="21"/>
                <w:szCs w:val="21"/>
                <w:highlight w:val="none"/>
              </w:rPr>
              <w:t xml:space="preserve">样方面积: </w:t>
            </w:r>
            <w:r>
              <w:rPr>
                <w:rFonts w:hint="default" w:ascii="Times New Roman" w:hAnsi="Times New Roman" w:eastAsia="Times New Roman" w:cs="Times New Roman"/>
                <w:color w:val="auto"/>
                <w:spacing w:val="0"/>
                <w:position w:val="0"/>
                <w:sz w:val="21"/>
                <w:szCs w:val="21"/>
                <w:highlight w:val="none"/>
              </w:rPr>
              <w:t>1</w:t>
            </w:r>
            <w:r>
              <w:rPr>
                <w:rFonts w:hint="default" w:ascii="Times New Roman" w:hAnsi="Times New Roman" w:eastAsia="宋体" w:cs="Times New Roman"/>
                <w:color w:val="auto"/>
                <w:spacing w:val="0"/>
                <w:position w:val="0"/>
                <w:sz w:val="21"/>
                <w:szCs w:val="21"/>
                <w:highlight w:val="none"/>
                <w:lang w:val="en-US" w:eastAsia="zh-CN"/>
              </w:rPr>
              <w:t>0</w:t>
            </w:r>
            <w:r>
              <w:rPr>
                <w:rFonts w:hint="default" w:ascii="Times New Roman" w:hAnsi="Times New Roman" w:eastAsia="Times New Roman" w:cs="Times New Roman"/>
                <w:color w:val="auto"/>
                <w:spacing w:val="0"/>
                <w:position w:val="0"/>
                <w:sz w:val="21"/>
                <w:szCs w:val="21"/>
                <w:highlight w:val="none"/>
              </w:rPr>
              <w:t>m*1</w:t>
            </w:r>
            <w:r>
              <w:rPr>
                <w:rFonts w:hint="default" w:ascii="Times New Roman" w:hAnsi="Times New Roman" w:eastAsia="宋体" w:cs="Times New Roman"/>
                <w:color w:val="auto"/>
                <w:spacing w:val="0"/>
                <w:position w:val="0"/>
                <w:sz w:val="21"/>
                <w:szCs w:val="21"/>
                <w:highlight w:val="none"/>
                <w:lang w:val="en-US" w:eastAsia="zh-CN"/>
              </w:rPr>
              <w:t>0</w:t>
            </w:r>
            <w:r>
              <w:rPr>
                <w:rFonts w:hint="default" w:ascii="Times New Roman" w:hAnsi="Times New Roman" w:eastAsia="Times New Roman" w:cs="Times New Roman"/>
                <w:color w:val="auto"/>
                <w:spacing w:val="0"/>
                <w:position w:val="0"/>
                <w:sz w:val="21"/>
                <w:szCs w:val="21"/>
                <w:highlight w:val="none"/>
              </w:rPr>
              <w:t>m</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76" w:hRule="atLeast"/>
        </w:trPr>
        <w:tc>
          <w:tcPr>
            <w:tcW w:w="2904" w:type="dxa"/>
            <w:gridSpan w:val="2"/>
            <w:tcBorders>
              <w:left w:val="single" w:color="231F20" w:sz="10" w:space="0"/>
              <w:right w:val="single" w:color="231F20" w:sz="4"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Times New Roman" w:cs="Times New Roman"/>
                <w:color w:val="auto"/>
                <w:spacing w:val="0"/>
                <w:position w:val="0"/>
                <w:sz w:val="21"/>
                <w:szCs w:val="21"/>
                <w:highlight w:val="none"/>
                <w:lang w:val="en-US"/>
              </w:rPr>
            </w:pPr>
            <w:r>
              <w:rPr>
                <w:rFonts w:hint="default" w:ascii="Times New Roman" w:hAnsi="Times New Roman" w:eastAsia="宋体" w:cs="Times New Roman"/>
                <w:color w:val="auto"/>
                <w:spacing w:val="0"/>
                <w:position w:val="0"/>
                <w:sz w:val="21"/>
                <w:szCs w:val="21"/>
                <w:highlight w:val="none"/>
              </w:rPr>
              <w:t xml:space="preserve">经度: </w:t>
            </w:r>
            <w:r>
              <w:rPr>
                <w:rFonts w:hint="default" w:ascii="Times New Roman" w:hAnsi="Times New Roman" w:eastAsia="Times New Roman" w:cs="Times New Roman"/>
                <w:color w:val="auto"/>
                <w:spacing w:val="0"/>
                <w:position w:val="0"/>
                <w:sz w:val="21"/>
                <w:szCs w:val="21"/>
                <w:highlight w:val="none"/>
              </w:rPr>
              <w:t>118.1</w:t>
            </w:r>
            <w:r>
              <w:rPr>
                <w:rFonts w:hint="eastAsia" w:cs="Times New Roman"/>
                <w:color w:val="auto"/>
                <w:spacing w:val="0"/>
                <w:position w:val="0"/>
                <w:sz w:val="21"/>
                <w:szCs w:val="21"/>
                <w:highlight w:val="none"/>
                <w:lang w:val="en-US" w:eastAsia="zh-CN"/>
              </w:rPr>
              <w:t>19620</w:t>
            </w:r>
          </w:p>
        </w:tc>
        <w:tc>
          <w:tcPr>
            <w:tcW w:w="3118" w:type="dxa"/>
            <w:gridSpan w:val="2"/>
            <w:tcBorders>
              <w:left w:val="single" w:color="231F20" w:sz="4" w:space="0"/>
              <w:right w:val="single" w:color="231F20" w:sz="4"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Times New Roman" w:cs="Times New Roman"/>
                <w:color w:val="auto"/>
                <w:spacing w:val="0"/>
                <w:position w:val="0"/>
                <w:sz w:val="21"/>
                <w:szCs w:val="21"/>
                <w:highlight w:val="none"/>
                <w:lang w:val="en-US"/>
              </w:rPr>
            </w:pPr>
            <w:r>
              <w:rPr>
                <w:rFonts w:hint="default" w:ascii="Times New Roman" w:hAnsi="Times New Roman" w:eastAsia="宋体" w:cs="Times New Roman"/>
                <w:color w:val="auto"/>
                <w:spacing w:val="0"/>
                <w:position w:val="0"/>
                <w:sz w:val="21"/>
                <w:szCs w:val="21"/>
                <w:highlight w:val="none"/>
              </w:rPr>
              <w:t>纬度:</w:t>
            </w:r>
            <w:r>
              <w:rPr>
                <w:rFonts w:hint="eastAsia" w:ascii="Times New Roman" w:hAnsi="Times New Roman" w:eastAsia="宋体" w:cs="Times New Roman"/>
                <w:color w:val="auto"/>
                <w:spacing w:val="0"/>
                <w:position w:val="0"/>
                <w:sz w:val="21"/>
                <w:szCs w:val="21"/>
                <w:highlight w:val="none"/>
                <w:lang w:val="en-US" w:eastAsia="zh-CN"/>
              </w:rPr>
              <w:t>40.1</w:t>
            </w:r>
            <w:r>
              <w:rPr>
                <w:rFonts w:hint="eastAsia" w:cs="Times New Roman"/>
                <w:color w:val="auto"/>
                <w:spacing w:val="0"/>
                <w:position w:val="0"/>
                <w:sz w:val="21"/>
                <w:szCs w:val="21"/>
                <w:highlight w:val="none"/>
                <w:lang w:val="en-US" w:eastAsia="zh-CN"/>
              </w:rPr>
              <w:t>82570</w:t>
            </w:r>
          </w:p>
        </w:tc>
        <w:tc>
          <w:tcPr>
            <w:tcW w:w="2738" w:type="dxa"/>
            <w:tcBorders>
              <w:left w:val="single" w:color="231F20" w:sz="4" w:space="0"/>
              <w:right w:val="single" w:color="231F20" w:sz="10"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高程</w:t>
            </w:r>
            <w:r>
              <w:rPr>
                <w:rFonts w:hint="default" w:ascii="Times New Roman" w:hAnsi="Times New Roman" w:eastAsia="宋体" w:cs="Times New Roman"/>
                <w:color w:val="auto"/>
                <w:spacing w:val="0"/>
                <w:position w:val="0"/>
                <w:sz w:val="21"/>
                <w:szCs w:val="21"/>
                <w:highlight w:val="none"/>
              </w:rPr>
              <w:t>(</w:t>
            </w:r>
            <w:r>
              <w:rPr>
                <w:rFonts w:hint="default" w:ascii="Times New Roman" w:hAnsi="Times New Roman" w:eastAsia="Times New Roman" w:cs="Times New Roman"/>
                <w:color w:val="auto"/>
                <w:spacing w:val="0"/>
                <w:position w:val="0"/>
                <w:sz w:val="21"/>
                <w:szCs w:val="21"/>
                <w:highlight w:val="none"/>
              </w:rPr>
              <w:t>m</w:t>
            </w:r>
            <w:r>
              <w:rPr>
                <w:rFonts w:hint="default" w:ascii="Times New Roman" w:hAnsi="Times New Roman" w:eastAsia="宋体" w:cs="Times New Roman"/>
                <w:color w:val="auto"/>
                <w:spacing w:val="0"/>
                <w:position w:val="0"/>
                <w:sz w:val="21"/>
                <w:szCs w:val="21"/>
                <w:highlight w:val="none"/>
              </w:rPr>
              <w:t xml:space="preserve">): </w:t>
            </w:r>
            <w:r>
              <w:rPr>
                <w:rFonts w:hint="eastAsia" w:ascii="Times New Roman" w:hAnsi="Times New Roman" w:cs="Times New Roman"/>
                <w:color w:val="auto"/>
                <w:spacing w:val="0"/>
                <w:position w:val="0"/>
                <w:sz w:val="21"/>
                <w:szCs w:val="21"/>
                <w:highlight w:val="none"/>
                <w:lang w:val="en-US" w:eastAsia="zh-CN"/>
              </w:rPr>
              <w:t>99</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76" w:hRule="atLeast"/>
        </w:trPr>
        <w:tc>
          <w:tcPr>
            <w:tcW w:w="8760" w:type="dxa"/>
            <w:gridSpan w:val="5"/>
            <w:tcBorders>
              <w:left w:val="single" w:color="231F20" w:sz="10" w:space="0"/>
              <w:right w:val="single" w:color="231F20" w:sz="10"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地点：拦河坝</w:t>
            </w:r>
            <w:r>
              <w:rPr>
                <w:rFonts w:hint="eastAsia" w:ascii="Times New Roman" w:hAnsi="Times New Roman" w:cs="Times New Roman"/>
                <w:color w:val="auto"/>
                <w:spacing w:val="0"/>
                <w:position w:val="0"/>
                <w:sz w:val="21"/>
                <w:szCs w:val="21"/>
                <w:highlight w:val="none"/>
                <w:lang w:val="en-US" w:eastAsia="zh-CN"/>
              </w:rPr>
              <w:t>下</w:t>
            </w:r>
            <w:r>
              <w:rPr>
                <w:rFonts w:hint="default" w:ascii="Times New Roman" w:hAnsi="Times New Roman" w:eastAsia="宋体" w:cs="Times New Roman"/>
                <w:color w:val="auto"/>
                <w:spacing w:val="0"/>
                <w:position w:val="0"/>
                <w:sz w:val="21"/>
                <w:szCs w:val="21"/>
                <w:highlight w:val="none"/>
                <w:lang w:val="en-US" w:eastAsia="zh-CN"/>
              </w:rPr>
              <w:t>游</w:t>
            </w:r>
            <w:r>
              <w:rPr>
                <w:rFonts w:hint="eastAsia" w:cs="Times New Roman"/>
                <w:color w:val="auto"/>
                <w:spacing w:val="0"/>
                <w:position w:val="0"/>
                <w:sz w:val="21"/>
                <w:szCs w:val="21"/>
                <w:highlight w:val="none"/>
                <w:lang w:val="en-US" w:eastAsia="zh-CN"/>
              </w:rPr>
              <w:t>0.2</w:t>
            </w:r>
            <w:r>
              <w:rPr>
                <w:rFonts w:hint="default" w:ascii="Times New Roman" w:hAnsi="Times New Roman" w:eastAsia="宋体" w:cs="Times New Roman"/>
                <w:color w:val="auto"/>
                <w:spacing w:val="0"/>
                <w:position w:val="0"/>
                <w:sz w:val="21"/>
                <w:szCs w:val="21"/>
                <w:highlight w:val="none"/>
                <w:lang w:val="en-US" w:eastAsia="zh-CN"/>
              </w:rPr>
              <w:t>km</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PrEx>
        <w:trPr>
          <w:trHeight w:val="376" w:hRule="atLeast"/>
        </w:trPr>
        <w:tc>
          <w:tcPr>
            <w:tcW w:w="1026" w:type="dxa"/>
            <w:tcBorders>
              <w:left w:val="single" w:color="231F20" w:sz="10"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群落</w:t>
            </w:r>
          </w:p>
        </w:tc>
        <w:tc>
          <w:tcPr>
            <w:tcW w:w="3555" w:type="dxa"/>
            <w:gridSpan w:val="2"/>
            <w:tcBorders>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种类</w:t>
            </w:r>
          </w:p>
        </w:tc>
        <w:tc>
          <w:tcPr>
            <w:tcW w:w="4179" w:type="dxa"/>
            <w:gridSpan w:val="2"/>
            <w:tcBorders>
              <w:left w:val="single" w:color="auto" w:sz="4" w:space="0"/>
              <w:bottom w:val="single" w:color="auto" w:sz="4" w:space="0"/>
              <w:right w:val="single" w:color="231F20" w:sz="10"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群落概况</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76" w:hRule="atLeast"/>
        </w:trPr>
        <w:tc>
          <w:tcPr>
            <w:tcW w:w="1026" w:type="dxa"/>
            <w:tcBorders>
              <w:left w:val="single" w:color="231F20" w:sz="10"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乔木层</w:t>
            </w:r>
          </w:p>
        </w:tc>
        <w:tc>
          <w:tcPr>
            <w:tcW w:w="3555" w:type="dxa"/>
            <w:gridSpan w:val="2"/>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eastAsia" w:cs="Times New Roman"/>
                <w:color w:val="auto"/>
                <w:spacing w:val="0"/>
                <w:position w:val="0"/>
                <w:sz w:val="21"/>
                <w:szCs w:val="21"/>
                <w:highlight w:val="none"/>
                <w:lang w:val="en-US" w:eastAsia="zh-CN"/>
              </w:rPr>
              <w:t>芒萁5</w:t>
            </w:r>
            <w:r>
              <w:rPr>
                <w:rFonts w:hint="default" w:ascii="Times New Roman" w:hAnsi="Times New Roman" w:eastAsia="宋体" w:cs="Times New Roman"/>
                <w:color w:val="auto"/>
                <w:spacing w:val="0"/>
                <w:position w:val="0"/>
                <w:sz w:val="21"/>
                <w:szCs w:val="21"/>
                <w:highlight w:val="none"/>
                <w:lang w:val="en-US" w:eastAsia="zh-CN"/>
              </w:rPr>
              <w:t>株</w:t>
            </w:r>
          </w:p>
        </w:tc>
        <w:tc>
          <w:tcPr>
            <w:tcW w:w="4179" w:type="dxa"/>
            <w:gridSpan w:val="2"/>
            <w:tcBorders>
              <w:top w:val="single" w:color="auto" w:sz="4" w:space="0"/>
              <w:left w:val="single" w:color="auto" w:sz="4" w:space="0"/>
              <w:right w:val="single" w:color="231F20" w:sz="10"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乔木层盖度为</w:t>
            </w:r>
            <w:r>
              <w:rPr>
                <w:rFonts w:hint="eastAsia" w:ascii="Times New Roman" w:hAnsi="Times New Roman" w:cs="Times New Roman"/>
                <w:color w:val="auto"/>
                <w:spacing w:val="0"/>
                <w:position w:val="0"/>
                <w:sz w:val="21"/>
                <w:szCs w:val="21"/>
                <w:highlight w:val="none"/>
                <w:lang w:val="en-US" w:eastAsia="zh-CN"/>
              </w:rPr>
              <w:t>1</w:t>
            </w:r>
            <w:r>
              <w:rPr>
                <w:rFonts w:hint="default" w:ascii="Times New Roman" w:hAnsi="Times New Roman" w:eastAsia="宋体" w:cs="Times New Roman"/>
                <w:color w:val="auto"/>
                <w:spacing w:val="0"/>
                <w:position w:val="0"/>
                <w:sz w:val="21"/>
                <w:szCs w:val="21"/>
                <w:highlight w:val="none"/>
                <w:lang w:val="en-US" w:eastAsia="zh-CN"/>
              </w:rPr>
              <w:t>0%，株高</w:t>
            </w:r>
            <w:r>
              <w:rPr>
                <w:rFonts w:hint="eastAsia" w:ascii="Times New Roman" w:hAnsi="Times New Roman" w:cs="Times New Roman"/>
                <w:color w:val="auto"/>
                <w:spacing w:val="0"/>
                <w:position w:val="0"/>
                <w:sz w:val="21"/>
                <w:szCs w:val="21"/>
                <w:highlight w:val="none"/>
                <w:lang w:val="en-US" w:eastAsia="zh-CN"/>
              </w:rPr>
              <w:t>3</w:t>
            </w:r>
            <w:r>
              <w:rPr>
                <w:rFonts w:hint="default" w:ascii="Times New Roman" w:hAnsi="Times New Roman" w:eastAsia="宋体" w:cs="Times New Roman"/>
                <w:color w:val="auto"/>
                <w:spacing w:val="0"/>
                <w:position w:val="0"/>
                <w:sz w:val="21"/>
                <w:szCs w:val="21"/>
                <w:highlight w:val="none"/>
                <w:lang w:val="en-US" w:eastAsia="zh-CN"/>
              </w:rPr>
              <w:t>～</w:t>
            </w:r>
            <w:r>
              <w:rPr>
                <w:rFonts w:hint="eastAsia" w:ascii="Times New Roman" w:hAnsi="Times New Roman" w:cs="Times New Roman"/>
                <w:color w:val="auto"/>
                <w:spacing w:val="0"/>
                <w:position w:val="0"/>
                <w:sz w:val="21"/>
                <w:szCs w:val="21"/>
                <w:highlight w:val="none"/>
                <w:lang w:val="en-US" w:eastAsia="zh-CN"/>
              </w:rPr>
              <w:t>9</w:t>
            </w:r>
            <w:r>
              <w:rPr>
                <w:rFonts w:hint="default" w:ascii="Times New Roman" w:hAnsi="Times New Roman" w:eastAsia="宋体" w:cs="Times New Roman"/>
                <w:color w:val="auto"/>
                <w:spacing w:val="0"/>
                <w:position w:val="0"/>
                <w:sz w:val="21"/>
                <w:szCs w:val="21"/>
                <w:highlight w:val="none"/>
                <w:lang w:val="en-US" w:eastAsia="zh-CN"/>
              </w:rPr>
              <w:t>m，胸径</w:t>
            </w:r>
            <w:r>
              <w:rPr>
                <w:rFonts w:hint="eastAsia" w:ascii="Times New Roman" w:hAnsi="Times New Roman" w:cs="Times New Roman"/>
                <w:color w:val="auto"/>
                <w:spacing w:val="0"/>
                <w:position w:val="0"/>
                <w:sz w:val="21"/>
                <w:szCs w:val="21"/>
                <w:highlight w:val="none"/>
                <w:lang w:val="en-US" w:eastAsia="zh-CN"/>
              </w:rPr>
              <w:t>7</w:t>
            </w:r>
            <w:r>
              <w:rPr>
                <w:rFonts w:hint="default" w:ascii="Times New Roman" w:hAnsi="Times New Roman" w:eastAsia="宋体" w:cs="Times New Roman"/>
                <w:color w:val="auto"/>
                <w:spacing w:val="0"/>
                <w:position w:val="0"/>
                <w:sz w:val="21"/>
                <w:szCs w:val="21"/>
                <w:highlight w:val="none"/>
                <w:lang w:val="en-US" w:eastAsia="zh-CN"/>
              </w:rPr>
              <w:t>～</w:t>
            </w:r>
            <w:r>
              <w:rPr>
                <w:rFonts w:hint="eastAsia" w:ascii="Times New Roman" w:hAnsi="Times New Roman" w:cs="Times New Roman"/>
                <w:color w:val="auto"/>
                <w:spacing w:val="0"/>
                <w:position w:val="0"/>
                <w:sz w:val="21"/>
                <w:szCs w:val="21"/>
                <w:highlight w:val="none"/>
                <w:lang w:val="en-US" w:eastAsia="zh-CN"/>
              </w:rPr>
              <w:t>1</w:t>
            </w:r>
            <w:r>
              <w:rPr>
                <w:rFonts w:hint="default" w:ascii="Times New Roman" w:hAnsi="Times New Roman" w:eastAsia="宋体" w:cs="Times New Roman"/>
                <w:color w:val="auto"/>
                <w:spacing w:val="0"/>
                <w:position w:val="0"/>
                <w:sz w:val="21"/>
                <w:szCs w:val="21"/>
                <w:highlight w:val="none"/>
                <w:lang w:val="en-US" w:eastAsia="zh-CN"/>
              </w:rPr>
              <w:t>5cm</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76" w:hRule="atLeast"/>
        </w:trPr>
        <w:tc>
          <w:tcPr>
            <w:tcW w:w="1026" w:type="dxa"/>
            <w:tcBorders>
              <w:left w:val="single" w:color="231F20" w:sz="10"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灌木层</w:t>
            </w:r>
          </w:p>
        </w:tc>
        <w:tc>
          <w:tcPr>
            <w:tcW w:w="3555" w:type="dxa"/>
            <w:gridSpan w:val="2"/>
            <w:tcBorders>
              <w:left w:val="single" w:color="auto" w:sz="4" w:space="0"/>
              <w:right w:val="single" w:color="auto" w:sz="4" w:space="0"/>
            </w:tcBorders>
            <w:noWrap w:val="0"/>
            <w:vAlign w:val="center"/>
          </w:tcPr>
          <w:p>
            <w:pPr>
              <w:keepNext w:val="0"/>
              <w:keepLines w:val="0"/>
              <w:widowControl/>
              <w:suppressLineNumbers w:val="0"/>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eastAsia" w:ascii="Times New Roman" w:hAnsi="Times New Roman" w:cs="Times New Roman"/>
                <w:color w:val="auto"/>
                <w:spacing w:val="0"/>
                <w:position w:val="0"/>
                <w:sz w:val="21"/>
                <w:szCs w:val="21"/>
                <w:highlight w:val="none"/>
                <w:lang w:val="en-US" w:eastAsia="zh-CN"/>
              </w:rPr>
              <w:t>无</w:t>
            </w:r>
          </w:p>
        </w:tc>
        <w:tc>
          <w:tcPr>
            <w:tcW w:w="4179" w:type="dxa"/>
            <w:gridSpan w:val="2"/>
            <w:tcBorders>
              <w:left w:val="single" w:color="auto" w:sz="4" w:space="0"/>
              <w:right w:val="single" w:color="231F20" w:sz="10"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eastAsia" w:ascii="Times New Roman" w:hAnsi="Times New Roman" w:cs="Times New Roman"/>
                <w:color w:val="auto"/>
                <w:spacing w:val="0"/>
                <w:position w:val="0"/>
                <w:sz w:val="21"/>
                <w:szCs w:val="21"/>
                <w:highlight w:val="none"/>
                <w:lang w:val="en-US" w:eastAsia="zh-CN"/>
              </w:rPr>
              <w:t>无</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376" w:hRule="atLeast"/>
        </w:trPr>
        <w:tc>
          <w:tcPr>
            <w:tcW w:w="1026" w:type="dxa"/>
            <w:tcBorders>
              <w:left w:val="single" w:color="231F20" w:sz="10"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草本层</w:t>
            </w:r>
          </w:p>
        </w:tc>
        <w:tc>
          <w:tcPr>
            <w:tcW w:w="3555" w:type="dxa"/>
            <w:gridSpan w:val="2"/>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left"/>
              <w:rPr>
                <w:rFonts w:hint="eastAsia" w:ascii="Times New Roman" w:hAnsi="Times New Roman" w:eastAsia="宋体" w:cs="Times New Roman"/>
                <w:color w:val="auto"/>
                <w:spacing w:val="0"/>
                <w:position w:val="0"/>
                <w:sz w:val="21"/>
                <w:szCs w:val="21"/>
                <w:highlight w:val="none"/>
                <w:lang w:val="en-US" w:eastAsia="zh-CN"/>
              </w:rPr>
            </w:pPr>
            <w:r>
              <w:rPr>
                <w:rFonts w:hint="eastAsia" w:ascii="Times New Roman" w:hAnsi="Times New Roman" w:eastAsia="宋体" w:cs="Times New Roman"/>
                <w:color w:val="auto"/>
                <w:spacing w:val="0"/>
                <w:position w:val="0"/>
                <w:sz w:val="21"/>
                <w:szCs w:val="21"/>
                <w:highlight w:val="none"/>
                <w:lang w:val="en-US" w:eastAsia="zh-CN"/>
              </w:rPr>
              <w:t>苣卖菜、碎米芥、蒲公英、马笕齿、大刺菜、马唐</w:t>
            </w:r>
          </w:p>
        </w:tc>
        <w:tc>
          <w:tcPr>
            <w:tcW w:w="4179" w:type="dxa"/>
            <w:gridSpan w:val="2"/>
            <w:tcBorders>
              <w:left w:val="single" w:color="auto" w:sz="4" w:space="0"/>
              <w:right w:val="single" w:color="231F20" w:sz="10" w:space="0"/>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草本层盖度在</w:t>
            </w:r>
            <w:r>
              <w:rPr>
                <w:rFonts w:hint="eastAsia" w:cs="Times New Roman"/>
                <w:color w:val="auto"/>
                <w:spacing w:val="0"/>
                <w:position w:val="0"/>
                <w:sz w:val="21"/>
                <w:szCs w:val="21"/>
                <w:highlight w:val="none"/>
                <w:lang w:val="en-US" w:eastAsia="zh-CN"/>
              </w:rPr>
              <w:t>8</w:t>
            </w:r>
            <w:r>
              <w:rPr>
                <w:rFonts w:hint="eastAsia" w:ascii="Times New Roman" w:hAnsi="Times New Roman" w:cs="Times New Roman"/>
                <w:color w:val="auto"/>
                <w:spacing w:val="0"/>
                <w:position w:val="0"/>
                <w:sz w:val="21"/>
                <w:szCs w:val="21"/>
                <w:highlight w:val="none"/>
                <w:lang w:val="en-US" w:eastAsia="zh-CN"/>
              </w:rPr>
              <w:t>0</w:t>
            </w:r>
            <w:r>
              <w:rPr>
                <w:rFonts w:hint="default" w:ascii="Times New Roman" w:hAnsi="Times New Roman" w:eastAsia="宋体" w:cs="Times New Roman"/>
                <w:color w:val="auto"/>
                <w:spacing w:val="0"/>
                <w:position w:val="0"/>
                <w:sz w:val="21"/>
                <w:szCs w:val="21"/>
                <w:highlight w:val="none"/>
                <w:lang w:val="en-US" w:eastAsia="zh-CN"/>
              </w:rPr>
              <w:t>%左右，高度在0.1～0.8m之间</w:t>
            </w:r>
          </w:p>
        </w:tc>
      </w:tr>
      <w:tr>
        <w:tblPrEx>
          <w:tblBorders>
            <w:top w:val="single" w:color="231F20" w:sz="2" w:space="0"/>
            <w:left w:val="single" w:color="231F20" w:sz="2" w:space="0"/>
            <w:bottom w:val="single" w:color="231F20" w:sz="2" w:space="0"/>
            <w:right w:val="single" w:color="231F20" w:sz="2" w:space="0"/>
            <w:insideH w:val="single" w:color="231F20" w:sz="2" w:space="0"/>
            <w:insideV w:val="single" w:color="231F20" w:sz="2" w:space="0"/>
          </w:tblBorders>
          <w:tblCellMar>
            <w:top w:w="0" w:type="dxa"/>
            <w:left w:w="0" w:type="dxa"/>
            <w:bottom w:w="0" w:type="dxa"/>
            <w:right w:w="0" w:type="dxa"/>
          </w:tblCellMar>
        </w:tblPrEx>
        <w:trPr>
          <w:trHeight w:val="4841" w:hRule="atLeast"/>
        </w:trPr>
        <w:tc>
          <w:tcPr>
            <w:tcW w:w="8760" w:type="dxa"/>
            <w:gridSpan w:val="5"/>
            <w:tcBorders>
              <w:left w:val="single" w:color="231F20" w:sz="10" w:space="0"/>
              <w:right w:val="single" w:color="231F20" w:sz="10" w:space="0"/>
            </w:tcBorders>
            <w:noWrap w:val="0"/>
            <w:vAlign w:val="top"/>
          </w:tcPr>
          <w:p>
            <w:pPr>
              <w:keepNext w:val="0"/>
              <w:keepLines w:val="0"/>
              <w:pageBreakBefore w:val="0"/>
              <w:widowControl w:val="0"/>
              <w:kinsoku/>
              <w:wordWrap/>
              <w:overflowPunct/>
              <w:topLinePunct w:val="0"/>
              <w:autoSpaceDE w:val="0"/>
              <w:autoSpaceDN w:val="0"/>
              <w:bidi w:val="0"/>
              <w:adjustRightInd/>
              <w:snapToGrid/>
              <w:spacing w:line="240" w:lineRule="auto"/>
              <w:ind w:left="0" w:firstLine="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drawing>
                <wp:inline distT="0" distB="0" distL="114300" distR="114300">
                  <wp:extent cx="5541010" cy="4157345"/>
                  <wp:effectExtent l="0" t="0" r="2540" b="14605"/>
                  <wp:docPr id="60" name="图片 60" descr="微信图片_20230811161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微信图片_202308111617495"/>
                          <pic:cNvPicPr>
                            <a:picLocks noChangeAspect="1"/>
                          </pic:cNvPicPr>
                        </pic:nvPicPr>
                        <pic:blipFill>
                          <a:blip r:embed="rId73"/>
                          <a:stretch>
                            <a:fillRect/>
                          </a:stretch>
                        </pic:blipFill>
                        <pic:spPr>
                          <a:xfrm>
                            <a:off x="0" y="0"/>
                            <a:ext cx="5541010" cy="4157345"/>
                          </a:xfrm>
                          <a:prstGeom prst="rect">
                            <a:avLst/>
                          </a:prstGeom>
                        </pic:spPr>
                      </pic:pic>
                    </a:graphicData>
                  </a:graphic>
                </wp:inline>
              </w:drawing>
            </w:r>
          </w:p>
        </w:tc>
      </w:tr>
    </w:tbl>
    <w:p>
      <w:pPr>
        <w:autoSpaceDE w:val="0"/>
        <w:autoSpaceDN w:val="0"/>
        <w:adjustRightInd w:val="0"/>
        <w:spacing w:line="480" w:lineRule="exact"/>
        <w:ind w:firstLine="480"/>
        <w:rPr>
          <w:color w:val="auto"/>
          <w:kern w:val="0"/>
          <w:sz w:val="24"/>
          <w:highlight w:val="none"/>
          <w:lang w:val="zh-CN"/>
        </w:rPr>
      </w:pPr>
      <w:r>
        <w:rPr>
          <w:rFonts w:hint="eastAsia"/>
          <w:color w:val="auto"/>
          <w:kern w:val="0"/>
          <w:sz w:val="24"/>
          <w:highlight w:val="none"/>
          <w:lang w:val="en-US" w:eastAsia="zh-CN"/>
        </w:rPr>
        <w:fldChar w:fldCharType="begin"/>
      </w:r>
      <w:r>
        <w:rPr>
          <w:rFonts w:hint="eastAsia"/>
          <w:color w:val="auto"/>
          <w:kern w:val="0"/>
          <w:sz w:val="24"/>
          <w:highlight w:val="none"/>
          <w:lang w:val="en-US" w:eastAsia="zh-CN"/>
        </w:rPr>
        <w:instrText xml:space="preserve"> = 7 \* GB3 \* MERGEFORMAT </w:instrText>
      </w:r>
      <w:r>
        <w:rPr>
          <w:rFonts w:hint="eastAsia"/>
          <w:color w:val="auto"/>
          <w:kern w:val="0"/>
          <w:sz w:val="24"/>
          <w:highlight w:val="none"/>
          <w:lang w:val="en-US" w:eastAsia="zh-CN"/>
        </w:rPr>
        <w:fldChar w:fldCharType="separate"/>
      </w:r>
      <w:r>
        <w:rPr>
          <w:rFonts w:hint="eastAsia"/>
          <w:color w:val="auto"/>
          <w:kern w:val="0"/>
          <w:sz w:val="24"/>
          <w:highlight w:val="none"/>
        </w:rPr>
        <w:t>⑦</w:t>
      </w:r>
      <w:r>
        <w:rPr>
          <w:rFonts w:hint="eastAsia"/>
          <w:color w:val="auto"/>
          <w:kern w:val="0"/>
          <w:sz w:val="24"/>
          <w:highlight w:val="none"/>
          <w:lang w:val="en-US" w:eastAsia="zh-CN"/>
        </w:rPr>
        <w:fldChar w:fldCharType="end"/>
      </w:r>
      <w:r>
        <w:rPr>
          <w:color w:val="auto"/>
          <w:kern w:val="0"/>
          <w:sz w:val="24"/>
          <w:highlight w:val="none"/>
          <w:lang w:val="zh-CN"/>
        </w:rPr>
        <w:t>区域野生动物概况</w:t>
      </w:r>
    </w:p>
    <w:p>
      <w:pPr>
        <w:autoSpaceDE w:val="0"/>
        <w:autoSpaceDN w:val="0"/>
        <w:adjustRightInd w:val="0"/>
        <w:spacing w:line="480" w:lineRule="exact"/>
        <w:ind w:firstLine="480"/>
        <w:rPr>
          <w:color w:val="auto"/>
          <w:kern w:val="0"/>
          <w:sz w:val="24"/>
          <w:highlight w:val="none"/>
          <w:lang w:val="zh-CN"/>
        </w:rPr>
      </w:pPr>
      <w:r>
        <w:rPr>
          <w:rFonts w:hint="eastAsia"/>
          <w:color w:val="auto"/>
          <w:kern w:val="0"/>
          <w:sz w:val="24"/>
          <w:highlight w:val="none"/>
          <w:lang w:val="zh-CN"/>
        </w:rPr>
        <w:t>根据中国动物地理区划，项目区位于平原亚区（</w:t>
      </w:r>
      <w:r>
        <w:rPr>
          <w:rFonts w:hint="eastAsia"/>
          <w:color w:val="auto"/>
          <w:kern w:val="0"/>
          <w:sz w:val="24"/>
          <w:highlight w:val="none"/>
          <w:lang w:val="zh-CN"/>
        </w:rPr>
        <w:fldChar w:fldCharType="begin"/>
      </w:r>
      <w:r>
        <w:rPr>
          <w:rFonts w:hint="eastAsia"/>
          <w:color w:val="auto"/>
          <w:kern w:val="0"/>
          <w:sz w:val="24"/>
          <w:highlight w:val="none"/>
          <w:lang w:val="zh-CN"/>
        </w:rPr>
        <w:instrText xml:space="preserve"> = 2 \* ROMAN \* MERGEFORMAT </w:instrText>
      </w:r>
      <w:r>
        <w:rPr>
          <w:rFonts w:hint="eastAsia"/>
          <w:color w:val="auto"/>
          <w:kern w:val="0"/>
          <w:sz w:val="24"/>
          <w:highlight w:val="none"/>
          <w:lang w:val="zh-CN"/>
        </w:rPr>
        <w:fldChar w:fldCharType="separate"/>
      </w:r>
      <w:r>
        <w:rPr>
          <w:color w:val="auto"/>
          <w:highlight w:val="none"/>
        </w:rPr>
        <w:t>II</w:t>
      </w:r>
      <w:r>
        <w:rPr>
          <w:rFonts w:hint="eastAsia"/>
          <w:color w:val="auto"/>
          <w:kern w:val="0"/>
          <w:sz w:val="24"/>
          <w:highlight w:val="none"/>
          <w:lang w:val="zh-CN"/>
        </w:rPr>
        <w:fldChar w:fldCharType="end"/>
      </w:r>
      <w:r>
        <w:rPr>
          <w:rFonts w:hint="eastAsia"/>
          <w:color w:val="auto"/>
          <w:kern w:val="0"/>
          <w:sz w:val="24"/>
          <w:highlight w:val="none"/>
          <w:lang w:val="zh-CN"/>
        </w:rPr>
        <w:t>），生态地理动物群为温带森林、森林草原、农田动物群中的暖温带森林－森林草原、农田动物群。分布于该区动物区系在整体上主要由北方寒湿型（北方型）和欧亚温湿型（欧亚型）等为主。哺乳纲中以有蹄类和啮齿类最多，食虫类和翼手类很少；鸟纲中以雀形目种类较为常见；两栖纲贫乏，爬行纲中以蜥蜴目占主要地位。</w:t>
      </w:r>
    </w:p>
    <w:p>
      <w:pPr>
        <w:autoSpaceDE w:val="0"/>
        <w:autoSpaceDN w:val="0"/>
        <w:adjustRightInd w:val="0"/>
        <w:spacing w:line="480" w:lineRule="exact"/>
        <w:ind w:firstLine="480"/>
        <w:rPr>
          <w:color w:val="auto"/>
          <w:kern w:val="0"/>
          <w:sz w:val="24"/>
          <w:highlight w:val="none"/>
          <w:lang w:val="zh-CN"/>
        </w:rPr>
      </w:pPr>
      <w:r>
        <w:rPr>
          <w:color w:val="auto"/>
          <w:kern w:val="0"/>
          <w:sz w:val="24"/>
          <w:highlight w:val="none"/>
          <w:lang w:val="zh-CN"/>
        </w:rPr>
        <w:t>调查范围内</w:t>
      </w:r>
      <w:r>
        <w:rPr>
          <w:rFonts w:hint="eastAsia"/>
          <w:color w:val="auto"/>
          <w:kern w:val="0"/>
          <w:sz w:val="24"/>
          <w:highlight w:val="none"/>
          <w:lang w:val="zh-CN"/>
        </w:rPr>
        <w:t>陆生生物</w:t>
      </w:r>
      <w:r>
        <w:rPr>
          <w:color w:val="auto"/>
          <w:kern w:val="0"/>
          <w:sz w:val="24"/>
          <w:highlight w:val="none"/>
          <w:lang w:val="zh-CN"/>
        </w:rPr>
        <w:t>主要以</w:t>
      </w:r>
      <w:r>
        <w:rPr>
          <w:rFonts w:hint="eastAsia"/>
          <w:color w:val="auto"/>
          <w:kern w:val="0"/>
          <w:sz w:val="24"/>
          <w:highlight w:val="none"/>
          <w:lang w:val="zh-CN"/>
        </w:rPr>
        <w:t>野兔、</w:t>
      </w:r>
      <w:r>
        <w:rPr>
          <w:color w:val="auto"/>
          <w:kern w:val="0"/>
          <w:sz w:val="24"/>
          <w:highlight w:val="none"/>
          <w:lang w:val="zh-CN"/>
        </w:rPr>
        <w:t>田鼠、昆虫、青蛙、蟾蜍、蜥蜴、壁虎等；</w:t>
      </w:r>
      <w:r>
        <w:rPr>
          <w:rFonts w:hint="eastAsia"/>
          <w:color w:val="auto"/>
          <w:kern w:val="0"/>
          <w:sz w:val="24"/>
          <w:highlight w:val="none"/>
          <w:lang w:val="zh-CN"/>
        </w:rPr>
        <w:t>鸟类</w:t>
      </w:r>
      <w:r>
        <w:rPr>
          <w:color w:val="auto"/>
          <w:kern w:val="0"/>
          <w:sz w:val="24"/>
          <w:highlight w:val="none"/>
          <w:lang w:val="zh-CN"/>
        </w:rPr>
        <w:t>主要有麻雀、喜鹊等。</w:t>
      </w:r>
      <w:r>
        <w:rPr>
          <w:rFonts w:hint="eastAsia"/>
          <w:color w:val="auto"/>
          <w:kern w:val="0"/>
          <w:sz w:val="24"/>
          <w:highlight w:val="none"/>
          <w:lang w:val="zh-CN"/>
        </w:rPr>
        <w:t>野兔、</w:t>
      </w:r>
      <w:r>
        <w:rPr>
          <w:color w:val="auto"/>
          <w:kern w:val="0"/>
          <w:sz w:val="24"/>
          <w:highlight w:val="none"/>
          <w:lang w:val="zh-CN"/>
        </w:rPr>
        <w:t>田鼠、昆虫、青蛙、蟾蜍、蜥蜴主要分部在</w:t>
      </w:r>
      <w:r>
        <w:rPr>
          <w:rFonts w:hint="eastAsia"/>
          <w:color w:val="auto"/>
          <w:kern w:val="0"/>
          <w:sz w:val="24"/>
          <w:highlight w:val="none"/>
          <w:lang w:val="zh-CN"/>
        </w:rPr>
        <w:t>区域黎河两侧，基本不受本项目影响。本项目施工对树木、灌草进行一定量的砍伐，项目建设除干扰生境外，对</w:t>
      </w:r>
      <w:r>
        <w:rPr>
          <w:color w:val="auto"/>
          <w:kern w:val="0"/>
          <w:sz w:val="24"/>
          <w:highlight w:val="none"/>
          <w:lang w:val="zh-CN"/>
        </w:rPr>
        <w:t>麻雀、喜鹊等鸟类影响不大。</w:t>
      </w:r>
      <w:r>
        <w:rPr>
          <w:rFonts w:hint="eastAsia"/>
          <w:color w:val="auto"/>
          <w:kern w:val="0"/>
          <w:sz w:val="24"/>
          <w:highlight w:val="none"/>
          <w:lang w:val="zh-CN"/>
        </w:rPr>
        <w:t>在黎河发现的两栖爬行动物中，没有国家一、二级保护动物。项目建成至今周围生境已恢复。</w:t>
      </w:r>
    </w:p>
    <w:p>
      <w:pPr>
        <w:autoSpaceDE w:val="0"/>
        <w:autoSpaceDN w:val="0"/>
        <w:adjustRightInd w:val="0"/>
        <w:spacing w:line="480" w:lineRule="exact"/>
        <w:jc w:val="center"/>
        <w:rPr>
          <w:b/>
          <w:color w:val="auto"/>
          <w:kern w:val="0"/>
          <w:sz w:val="24"/>
          <w:highlight w:val="none"/>
          <w:lang w:val="zh-CN"/>
        </w:rPr>
      </w:pPr>
      <w:r>
        <w:rPr>
          <w:b/>
          <w:color w:val="auto"/>
          <w:kern w:val="0"/>
          <w:sz w:val="24"/>
          <w:highlight w:val="none"/>
          <w:lang w:val="zh-CN"/>
        </w:rPr>
        <w:t>表</w:t>
      </w:r>
      <w:r>
        <w:rPr>
          <w:rFonts w:hint="eastAsia"/>
          <w:b/>
          <w:color w:val="auto"/>
          <w:kern w:val="0"/>
          <w:sz w:val="24"/>
          <w:highlight w:val="none"/>
          <w:lang w:val="zh-CN"/>
        </w:rPr>
        <w:t>4</w:t>
      </w:r>
      <w:r>
        <w:rPr>
          <w:b/>
          <w:color w:val="auto"/>
          <w:kern w:val="0"/>
          <w:sz w:val="24"/>
          <w:highlight w:val="none"/>
          <w:lang w:val="zh-CN"/>
        </w:rPr>
        <w:t>.9-</w:t>
      </w:r>
      <w:r>
        <w:rPr>
          <w:rFonts w:hint="eastAsia"/>
          <w:b/>
          <w:color w:val="auto"/>
          <w:kern w:val="0"/>
          <w:sz w:val="24"/>
          <w:highlight w:val="none"/>
          <w:lang w:val="en-US" w:eastAsia="zh-CN"/>
        </w:rPr>
        <w:t>8</w:t>
      </w:r>
      <w:r>
        <w:rPr>
          <w:b/>
          <w:color w:val="auto"/>
          <w:kern w:val="0"/>
          <w:sz w:val="24"/>
          <w:highlight w:val="none"/>
          <w:lang w:val="zh-CN"/>
        </w:rPr>
        <w:t xml:space="preserve"> </w:t>
      </w:r>
      <w:r>
        <w:rPr>
          <w:rFonts w:hint="eastAsia"/>
          <w:b/>
          <w:color w:val="auto"/>
          <w:kern w:val="0"/>
          <w:sz w:val="24"/>
          <w:highlight w:val="none"/>
          <w:lang w:val="en-US" w:eastAsia="zh-CN"/>
        </w:rPr>
        <w:t xml:space="preserve"> </w:t>
      </w:r>
      <w:r>
        <w:rPr>
          <w:b/>
          <w:color w:val="auto"/>
          <w:kern w:val="0"/>
          <w:sz w:val="24"/>
          <w:highlight w:val="none"/>
          <w:lang w:val="zh-CN"/>
        </w:rPr>
        <w:t>陆生动物调查结果统计表。</w:t>
      </w:r>
    </w:p>
    <w:tbl>
      <w:tblPr>
        <w:tblStyle w:val="5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26"/>
        <w:gridCol w:w="736"/>
        <w:gridCol w:w="764"/>
        <w:gridCol w:w="859"/>
        <w:gridCol w:w="1105"/>
        <w:gridCol w:w="720"/>
        <w:gridCol w:w="11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26" w:type="dxa"/>
            <w:vAlign w:val="center"/>
          </w:tcPr>
          <w:p>
            <w:pPr>
              <w:autoSpaceDE w:val="0"/>
              <w:autoSpaceDN w:val="0"/>
              <w:adjustRightInd w:val="0"/>
              <w:spacing w:line="300" w:lineRule="exact"/>
              <w:jc w:val="center"/>
              <w:rPr>
                <w:color w:val="auto"/>
                <w:szCs w:val="21"/>
                <w:highlight w:val="none"/>
              </w:rPr>
            </w:pPr>
            <w:r>
              <w:rPr>
                <w:color w:val="auto"/>
                <w:szCs w:val="21"/>
                <w:highlight w:val="none"/>
              </w:rPr>
              <w:t>物种名称</w:t>
            </w:r>
          </w:p>
        </w:tc>
        <w:tc>
          <w:tcPr>
            <w:tcW w:w="736" w:type="dxa"/>
            <w:vAlign w:val="center"/>
          </w:tcPr>
          <w:p>
            <w:pPr>
              <w:autoSpaceDE w:val="0"/>
              <w:autoSpaceDN w:val="0"/>
              <w:adjustRightInd w:val="0"/>
              <w:spacing w:line="300" w:lineRule="exact"/>
              <w:jc w:val="center"/>
              <w:rPr>
                <w:color w:val="auto"/>
                <w:szCs w:val="21"/>
                <w:highlight w:val="none"/>
              </w:rPr>
            </w:pPr>
            <w:r>
              <w:rPr>
                <w:color w:val="auto"/>
                <w:szCs w:val="21"/>
                <w:highlight w:val="none"/>
              </w:rPr>
              <w:t>保护级别</w:t>
            </w:r>
          </w:p>
        </w:tc>
        <w:tc>
          <w:tcPr>
            <w:tcW w:w="764" w:type="dxa"/>
            <w:vAlign w:val="center"/>
          </w:tcPr>
          <w:p>
            <w:pPr>
              <w:autoSpaceDE w:val="0"/>
              <w:autoSpaceDN w:val="0"/>
              <w:adjustRightInd w:val="0"/>
              <w:spacing w:line="300" w:lineRule="exact"/>
              <w:jc w:val="center"/>
              <w:rPr>
                <w:color w:val="auto"/>
                <w:szCs w:val="21"/>
                <w:highlight w:val="none"/>
              </w:rPr>
            </w:pPr>
            <w:r>
              <w:rPr>
                <w:color w:val="auto"/>
                <w:szCs w:val="21"/>
                <w:highlight w:val="none"/>
              </w:rPr>
              <w:t>濒危等级</w:t>
            </w:r>
          </w:p>
        </w:tc>
        <w:tc>
          <w:tcPr>
            <w:tcW w:w="859" w:type="dxa"/>
            <w:vAlign w:val="center"/>
          </w:tcPr>
          <w:p>
            <w:pPr>
              <w:autoSpaceDE w:val="0"/>
              <w:autoSpaceDN w:val="0"/>
              <w:adjustRightInd w:val="0"/>
              <w:spacing w:line="300" w:lineRule="exact"/>
              <w:jc w:val="center"/>
              <w:rPr>
                <w:color w:val="auto"/>
                <w:szCs w:val="21"/>
                <w:highlight w:val="none"/>
              </w:rPr>
            </w:pPr>
            <w:r>
              <w:rPr>
                <w:color w:val="auto"/>
                <w:szCs w:val="21"/>
                <w:highlight w:val="none"/>
              </w:rPr>
              <w:t>特有种</w:t>
            </w:r>
          </w:p>
        </w:tc>
        <w:tc>
          <w:tcPr>
            <w:tcW w:w="1105" w:type="dxa"/>
            <w:vAlign w:val="center"/>
          </w:tcPr>
          <w:p>
            <w:pPr>
              <w:autoSpaceDE w:val="0"/>
              <w:autoSpaceDN w:val="0"/>
              <w:adjustRightInd w:val="0"/>
              <w:spacing w:line="300" w:lineRule="exact"/>
              <w:jc w:val="center"/>
              <w:rPr>
                <w:color w:val="auto"/>
                <w:szCs w:val="21"/>
                <w:highlight w:val="none"/>
              </w:rPr>
            </w:pPr>
            <w:r>
              <w:rPr>
                <w:color w:val="auto"/>
                <w:szCs w:val="21"/>
                <w:highlight w:val="none"/>
              </w:rPr>
              <w:t>分布区域</w:t>
            </w:r>
          </w:p>
        </w:tc>
        <w:tc>
          <w:tcPr>
            <w:tcW w:w="720" w:type="dxa"/>
            <w:vAlign w:val="center"/>
          </w:tcPr>
          <w:p>
            <w:pPr>
              <w:autoSpaceDE w:val="0"/>
              <w:autoSpaceDN w:val="0"/>
              <w:adjustRightInd w:val="0"/>
              <w:spacing w:line="300" w:lineRule="exact"/>
              <w:jc w:val="center"/>
              <w:rPr>
                <w:color w:val="auto"/>
                <w:szCs w:val="21"/>
                <w:highlight w:val="none"/>
              </w:rPr>
            </w:pPr>
            <w:r>
              <w:rPr>
                <w:color w:val="auto"/>
                <w:szCs w:val="21"/>
                <w:highlight w:val="none"/>
              </w:rPr>
              <w:t>资料来源</w:t>
            </w:r>
          </w:p>
        </w:tc>
        <w:tc>
          <w:tcPr>
            <w:tcW w:w="1186" w:type="dxa"/>
            <w:vAlign w:val="center"/>
          </w:tcPr>
          <w:p>
            <w:pPr>
              <w:autoSpaceDE w:val="0"/>
              <w:autoSpaceDN w:val="0"/>
              <w:adjustRightInd w:val="0"/>
              <w:spacing w:line="300" w:lineRule="exact"/>
              <w:jc w:val="center"/>
              <w:rPr>
                <w:color w:val="auto"/>
                <w:szCs w:val="21"/>
                <w:highlight w:val="none"/>
              </w:rPr>
            </w:pPr>
            <w:r>
              <w:rPr>
                <w:color w:val="auto"/>
                <w:szCs w:val="21"/>
                <w:highlight w:val="none"/>
              </w:rPr>
              <w:t>工程占用情况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26" w:type="dxa"/>
            <w:vAlign w:val="center"/>
          </w:tcPr>
          <w:p>
            <w:pPr>
              <w:autoSpaceDE w:val="0"/>
              <w:autoSpaceDN w:val="0"/>
              <w:adjustRightInd w:val="0"/>
              <w:spacing w:line="300" w:lineRule="exact"/>
              <w:jc w:val="center"/>
              <w:rPr>
                <w:rFonts w:hint="eastAsia" w:eastAsia="宋体"/>
                <w:color w:val="auto"/>
                <w:szCs w:val="21"/>
                <w:highlight w:val="none"/>
                <w:lang w:eastAsia="zh-CN"/>
              </w:rPr>
            </w:pPr>
            <w:r>
              <w:rPr>
                <w:rFonts w:hint="eastAsia"/>
                <w:color w:val="auto"/>
                <w:szCs w:val="21"/>
                <w:highlight w:val="none"/>
                <w:lang w:eastAsia="zh-CN"/>
              </w:rPr>
              <w:t>野兔、</w:t>
            </w:r>
            <w:r>
              <w:rPr>
                <w:color w:val="auto"/>
                <w:szCs w:val="21"/>
                <w:highlight w:val="none"/>
              </w:rPr>
              <w:t>田鼠</w:t>
            </w:r>
            <w:r>
              <w:rPr>
                <w:rFonts w:hint="eastAsia"/>
                <w:color w:val="auto"/>
                <w:szCs w:val="21"/>
                <w:highlight w:val="none"/>
                <w:lang w:eastAsia="zh-CN"/>
              </w:rPr>
              <w:t>、</w:t>
            </w:r>
            <w:r>
              <w:rPr>
                <w:color w:val="auto"/>
                <w:szCs w:val="21"/>
                <w:highlight w:val="none"/>
              </w:rPr>
              <w:t>昆虫</w:t>
            </w:r>
            <w:r>
              <w:rPr>
                <w:rFonts w:hint="eastAsia"/>
                <w:color w:val="auto"/>
                <w:szCs w:val="21"/>
                <w:highlight w:val="none"/>
                <w:lang w:eastAsia="zh-CN"/>
              </w:rPr>
              <w:t>、</w:t>
            </w:r>
            <w:r>
              <w:rPr>
                <w:color w:val="auto"/>
                <w:szCs w:val="21"/>
                <w:highlight w:val="none"/>
              </w:rPr>
              <w:t>青蛙</w:t>
            </w:r>
            <w:r>
              <w:rPr>
                <w:rFonts w:hint="eastAsia"/>
                <w:color w:val="auto"/>
                <w:szCs w:val="21"/>
                <w:highlight w:val="none"/>
                <w:lang w:eastAsia="zh-CN"/>
              </w:rPr>
              <w:t>、</w:t>
            </w:r>
            <w:r>
              <w:rPr>
                <w:color w:val="auto"/>
                <w:szCs w:val="21"/>
                <w:highlight w:val="none"/>
              </w:rPr>
              <w:t>蟾蜍</w:t>
            </w:r>
            <w:r>
              <w:rPr>
                <w:rFonts w:hint="eastAsia"/>
                <w:color w:val="auto"/>
                <w:szCs w:val="21"/>
                <w:highlight w:val="none"/>
                <w:lang w:eastAsia="zh-CN"/>
              </w:rPr>
              <w:t>、</w:t>
            </w:r>
            <w:r>
              <w:rPr>
                <w:color w:val="auto"/>
                <w:szCs w:val="21"/>
                <w:highlight w:val="none"/>
              </w:rPr>
              <w:t>蜥蜴</w:t>
            </w:r>
            <w:r>
              <w:rPr>
                <w:rFonts w:hint="eastAsia"/>
                <w:color w:val="auto"/>
                <w:szCs w:val="21"/>
                <w:highlight w:val="none"/>
                <w:lang w:eastAsia="zh-CN"/>
              </w:rPr>
              <w:t>、</w:t>
            </w:r>
            <w:r>
              <w:rPr>
                <w:color w:val="auto"/>
                <w:szCs w:val="21"/>
                <w:highlight w:val="none"/>
              </w:rPr>
              <w:t>壁虎</w:t>
            </w:r>
            <w:r>
              <w:rPr>
                <w:rFonts w:hint="eastAsia"/>
                <w:color w:val="auto"/>
                <w:szCs w:val="21"/>
                <w:highlight w:val="none"/>
                <w:lang w:eastAsia="zh-CN"/>
              </w:rPr>
              <w:t>、</w:t>
            </w:r>
            <w:r>
              <w:rPr>
                <w:color w:val="auto"/>
                <w:szCs w:val="21"/>
                <w:highlight w:val="none"/>
              </w:rPr>
              <w:t>麻雀</w:t>
            </w:r>
            <w:r>
              <w:rPr>
                <w:rFonts w:hint="eastAsia"/>
                <w:color w:val="auto"/>
                <w:szCs w:val="21"/>
                <w:highlight w:val="none"/>
                <w:lang w:eastAsia="zh-CN"/>
              </w:rPr>
              <w:t>、</w:t>
            </w:r>
            <w:r>
              <w:rPr>
                <w:color w:val="auto"/>
                <w:szCs w:val="21"/>
                <w:highlight w:val="none"/>
              </w:rPr>
              <w:t>喜鹊</w:t>
            </w:r>
          </w:p>
        </w:tc>
        <w:tc>
          <w:tcPr>
            <w:tcW w:w="736" w:type="dxa"/>
            <w:vAlign w:val="center"/>
          </w:tcPr>
          <w:p>
            <w:pPr>
              <w:autoSpaceDE w:val="0"/>
              <w:autoSpaceDN w:val="0"/>
              <w:adjustRightInd w:val="0"/>
              <w:spacing w:line="300" w:lineRule="exact"/>
              <w:jc w:val="center"/>
              <w:rPr>
                <w:rFonts w:hint="eastAsia"/>
                <w:color w:val="auto"/>
                <w:szCs w:val="21"/>
                <w:highlight w:val="none"/>
              </w:rPr>
            </w:pPr>
            <w:r>
              <w:rPr>
                <w:rFonts w:hint="eastAsia"/>
                <w:color w:val="auto"/>
                <w:szCs w:val="21"/>
                <w:highlight w:val="none"/>
              </w:rPr>
              <w:t>/</w:t>
            </w:r>
          </w:p>
        </w:tc>
        <w:tc>
          <w:tcPr>
            <w:tcW w:w="764" w:type="dxa"/>
            <w:vAlign w:val="center"/>
          </w:tcPr>
          <w:p>
            <w:pPr>
              <w:autoSpaceDE w:val="0"/>
              <w:autoSpaceDN w:val="0"/>
              <w:adjustRightInd w:val="0"/>
              <w:spacing w:line="300" w:lineRule="exact"/>
              <w:jc w:val="center"/>
              <w:rPr>
                <w:rFonts w:hint="eastAsia"/>
                <w:color w:val="auto"/>
                <w:szCs w:val="21"/>
                <w:highlight w:val="none"/>
              </w:rPr>
            </w:pPr>
            <w:r>
              <w:rPr>
                <w:rFonts w:hint="eastAsia"/>
                <w:color w:val="auto"/>
                <w:szCs w:val="21"/>
                <w:highlight w:val="none"/>
              </w:rPr>
              <w:t>/</w:t>
            </w:r>
          </w:p>
        </w:tc>
        <w:tc>
          <w:tcPr>
            <w:tcW w:w="859" w:type="dxa"/>
            <w:vAlign w:val="center"/>
          </w:tcPr>
          <w:p>
            <w:pPr>
              <w:autoSpaceDE w:val="0"/>
              <w:autoSpaceDN w:val="0"/>
              <w:adjustRightInd w:val="0"/>
              <w:spacing w:line="300" w:lineRule="exact"/>
              <w:jc w:val="center"/>
              <w:rPr>
                <w:color w:val="auto"/>
                <w:szCs w:val="21"/>
                <w:highlight w:val="none"/>
              </w:rPr>
            </w:pPr>
            <w:r>
              <w:rPr>
                <w:color w:val="auto"/>
                <w:szCs w:val="21"/>
                <w:highlight w:val="none"/>
              </w:rPr>
              <w:t>否</w:t>
            </w:r>
          </w:p>
        </w:tc>
        <w:tc>
          <w:tcPr>
            <w:tcW w:w="1105" w:type="dxa"/>
            <w:vAlign w:val="center"/>
          </w:tcPr>
          <w:p>
            <w:pPr>
              <w:autoSpaceDE w:val="0"/>
              <w:autoSpaceDN w:val="0"/>
              <w:adjustRightInd w:val="0"/>
              <w:spacing w:line="300" w:lineRule="exact"/>
              <w:jc w:val="center"/>
              <w:rPr>
                <w:color w:val="auto"/>
                <w:szCs w:val="21"/>
                <w:highlight w:val="none"/>
              </w:rPr>
            </w:pPr>
            <w:r>
              <w:rPr>
                <w:color w:val="auto"/>
                <w:szCs w:val="21"/>
                <w:highlight w:val="none"/>
              </w:rPr>
              <w:t>评价区域黎河</w:t>
            </w:r>
            <w:r>
              <w:rPr>
                <w:rFonts w:hint="eastAsia"/>
                <w:color w:val="auto"/>
                <w:szCs w:val="21"/>
                <w:highlight w:val="none"/>
                <w:lang w:eastAsia="zh-CN"/>
              </w:rPr>
              <w:t>两</w:t>
            </w:r>
            <w:r>
              <w:rPr>
                <w:color w:val="auto"/>
                <w:szCs w:val="21"/>
                <w:highlight w:val="none"/>
              </w:rPr>
              <w:t>侧</w:t>
            </w:r>
          </w:p>
        </w:tc>
        <w:tc>
          <w:tcPr>
            <w:tcW w:w="720" w:type="dxa"/>
            <w:vAlign w:val="center"/>
          </w:tcPr>
          <w:p>
            <w:pPr>
              <w:autoSpaceDE w:val="0"/>
              <w:autoSpaceDN w:val="0"/>
              <w:adjustRightInd w:val="0"/>
              <w:spacing w:line="300" w:lineRule="exact"/>
              <w:jc w:val="center"/>
              <w:rPr>
                <w:color w:val="auto"/>
                <w:szCs w:val="21"/>
                <w:highlight w:val="none"/>
              </w:rPr>
            </w:pPr>
            <w:r>
              <w:rPr>
                <w:color w:val="auto"/>
                <w:szCs w:val="21"/>
                <w:highlight w:val="none"/>
              </w:rPr>
              <w:t>现场调查</w:t>
            </w:r>
          </w:p>
        </w:tc>
        <w:tc>
          <w:tcPr>
            <w:tcW w:w="1186" w:type="dxa"/>
            <w:vAlign w:val="center"/>
          </w:tcPr>
          <w:p>
            <w:pPr>
              <w:autoSpaceDE w:val="0"/>
              <w:autoSpaceDN w:val="0"/>
              <w:adjustRightInd w:val="0"/>
              <w:spacing w:line="300" w:lineRule="exact"/>
              <w:jc w:val="center"/>
              <w:rPr>
                <w:color w:val="auto"/>
                <w:szCs w:val="21"/>
                <w:highlight w:val="none"/>
              </w:rPr>
            </w:pPr>
            <w:r>
              <w:rPr>
                <w:color w:val="auto"/>
                <w:szCs w:val="21"/>
                <w:highlight w:val="none"/>
              </w:rPr>
              <w:t>否</w:t>
            </w:r>
          </w:p>
        </w:tc>
      </w:tr>
    </w:tbl>
    <w:p>
      <w:pPr>
        <w:spacing w:line="480" w:lineRule="exact"/>
        <w:ind w:firstLine="480" w:firstLineChars="200"/>
        <w:rPr>
          <w:rFonts w:hint="eastAsia" w:eastAsia="宋体"/>
          <w:color w:val="auto"/>
          <w:sz w:val="24"/>
          <w:highlight w:val="none"/>
          <w:lang w:eastAsia="zh-CN"/>
        </w:rPr>
      </w:pPr>
      <w:bookmarkStart w:id="208" w:name="_Toc509806789"/>
      <w:bookmarkStart w:id="209" w:name="_Toc519179370"/>
      <w:bookmarkStart w:id="210" w:name="_Toc509898629"/>
      <w:r>
        <w:rPr>
          <w:rFonts w:hint="eastAsia"/>
          <w:color w:val="auto"/>
          <w:sz w:val="24"/>
          <w:highlight w:val="none"/>
        </w:rPr>
        <w:t>（2）区域</w:t>
      </w:r>
      <w:r>
        <w:rPr>
          <w:color w:val="auto"/>
          <w:sz w:val="24"/>
          <w:highlight w:val="none"/>
        </w:rPr>
        <w:t>水生生物</w:t>
      </w:r>
      <w:r>
        <w:rPr>
          <w:rFonts w:hint="eastAsia"/>
          <w:color w:val="auto"/>
          <w:sz w:val="24"/>
          <w:highlight w:val="none"/>
          <w:lang w:eastAsia="zh-CN"/>
        </w:rPr>
        <w:t>文献资料</w:t>
      </w:r>
      <w:r>
        <w:rPr>
          <w:color w:val="auto"/>
          <w:sz w:val="24"/>
          <w:highlight w:val="none"/>
        </w:rPr>
        <w:t>调查</w:t>
      </w:r>
      <w:bookmarkEnd w:id="208"/>
      <w:bookmarkEnd w:id="209"/>
      <w:bookmarkEnd w:id="210"/>
    </w:p>
    <w:p>
      <w:pPr>
        <w:spacing w:line="480" w:lineRule="exact"/>
        <w:ind w:firstLine="480" w:firstLineChars="200"/>
        <w:rPr>
          <w:color w:val="auto"/>
          <w:sz w:val="24"/>
          <w:highlight w:val="none"/>
        </w:rPr>
      </w:pPr>
      <w:r>
        <w:rPr>
          <w:rFonts w:hint="eastAsia"/>
          <w:color w:val="auto"/>
          <w:sz w:val="24"/>
          <w:highlight w:val="none"/>
          <w:lang w:val="zh-CN"/>
        </w:rPr>
        <w:t>潘家口</w:t>
      </w:r>
      <w:r>
        <w:rPr>
          <w:rFonts w:hint="eastAsia"/>
          <w:color w:val="auto"/>
          <w:sz w:val="24"/>
          <w:highlight w:val="none"/>
          <w:lang w:val="en-US" w:eastAsia="zh-CN"/>
        </w:rPr>
        <w:t>-大黑汀</w:t>
      </w:r>
      <w:r>
        <w:rPr>
          <w:color w:val="auto"/>
          <w:sz w:val="24"/>
          <w:highlight w:val="none"/>
          <w:lang w:val="zh-CN"/>
        </w:rPr>
        <w:t>大水库</w:t>
      </w:r>
      <w:r>
        <w:rPr>
          <w:rFonts w:hint="eastAsia"/>
          <w:color w:val="auto"/>
          <w:sz w:val="24"/>
          <w:highlight w:val="none"/>
          <w:lang w:val="zh-CN"/>
        </w:rPr>
        <w:t>是引流入库的水源地，大黑汀水库输水经封闭、专用混凝土渠输水黎河，本电站经输水渠后进入黎河，本水电站位于输水渠下游，来水为潘大水库输水，不引取黎河自然来水，故可以参考潘大水库水生生物文献资料。参考《潘家口水库浮游生物资源调查与评价》（《河北渔业》</w:t>
      </w:r>
      <w:r>
        <w:rPr>
          <w:rFonts w:hint="eastAsia"/>
          <w:color w:val="auto"/>
          <w:sz w:val="24"/>
          <w:highlight w:val="none"/>
          <w:lang w:val="en-US" w:eastAsia="zh-CN"/>
        </w:rPr>
        <w:t>2011,5,</w:t>
      </w:r>
      <w:r>
        <w:rPr>
          <w:rFonts w:hint="eastAsia"/>
          <w:color w:val="auto"/>
          <w:sz w:val="24"/>
          <w:highlight w:val="none"/>
          <w:lang w:val="zh-CN"/>
        </w:rPr>
        <w:t>）、《</w:t>
      </w:r>
      <w:r>
        <w:rPr>
          <w:rFonts w:ascii="Times New Roman" w:hAnsi="Times New Roman" w:eastAsia="宋体" w:cs="Times New Roman"/>
          <w:color w:val="auto"/>
          <w:sz w:val="24"/>
          <w:highlight w:val="none"/>
          <w:lang w:val="zh-CN"/>
        </w:rPr>
        <w:t>京津冀重要水源地潘大水库水生生物群落结构及水质生物学评价</w:t>
      </w:r>
      <w:r>
        <w:rPr>
          <w:rFonts w:hint="eastAsia"/>
          <w:color w:val="auto"/>
          <w:sz w:val="24"/>
          <w:highlight w:val="none"/>
          <w:lang w:val="zh-CN"/>
        </w:rPr>
        <w:t>》（生态学杂志</w:t>
      </w:r>
      <w:r>
        <w:rPr>
          <w:rFonts w:hint="eastAsia"/>
          <w:color w:val="auto"/>
          <w:sz w:val="24"/>
          <w:highlight w:val="none"/>
          <w:lang w:val="en-US" w:eastAsia="zh-CN"/>
        </w:rPr>
        <w:t>2016,35.10</w:t>
      </w:r>
      <w:r>
        <w:rPr>
          <w:rFonts w:hint="eastAsia"/>
          <w:color w:val="auto"/>
          <w:sz w:val="24"/>
          <w:highlight w:val="none"/>
          <w:lang w:val="zh-CN"/>
        </w:rPr>
        <w:t>）的调查资料，分析如下：</w:t>
      </w:r>
    </w:p>
    <w:p>
      <w:pPr>
        <w:spacing w:line="480" w:lineRule="exact"/>
        <w:ind w:firstLine="480" w:firstLineChars="200"/>
        <w:rPr>
          <w:color w:val="auto"/>
          <w:sz w:val="24"/>
          <w:highlight w:val="none"/>
        </w:rPr>
      </w:pP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 1 \* GB3</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①</w:t>
      </w:r>
      <w:r>
        <w:rPr>
          <w:color w:val="auto"/>
          <w:sz w:val="24"/>
          <w:highlight w:val="none"/>
        </w:rPr>
        <w:fldChar w:fldCharType="end"/>
      </w:r>
      <w:r>
        <w:rPr>
          <w:color w:val="auto"/>
          <w:sz w:val="24"/>
          <w:highlight w:val="none"/>
        </w:rPr>
        <w:t>浮游植物群落结构现状</w:t>
      </w:r>
    </w:p>
    <w:p>
      <w:pPr>
        <w:autoSpaceDE w:val="0"/>
        <w:autoSpaceDN w:val="0"/>
        <w:adjustRightInd w:val="0"/>
        <w:spacing w:line="480" w:lineRule="exact"/>
        <w:ind w:firstLine="480"/>
        <w:rPr>
          <w:color w:val="auto"/>
          <w:sz w:val="24"/>
          <w:highlight w:val="none"/>
          <w:lang w:val="zh-CN"/>
        </w:rPr>
      </w:pPr>
      <w:r>
        <w:rPr>
          <w:rFonts w:ascii="Times New Roman" w:hAnsi="Times New Roman" w:eastAsia="宋体" w:cs="Times New Roman"/>
          <w:color w:val="auto"/>
          <w:sz w:val="24"/>
          <w:highlight w:val="none"/>
          <w:lang w:val="zh-CN"/>
        </w:rPr>
        <w:t>物种丰</w:t>
      </w:r>
      <w:r>
        <w:rPr>
          <w:color w:val="auto"/>
          <w:sz w:val="24"/>
          <w:highlight w:val="none"/>
          <w:lang w:val="zh-CN"/>
        </w:rPr>
        <w:t>度：2015年5月，本项目输水源头“潘大水库”共采集到浮游植物105种，隶属6门8纲19目，在物种组成上，表现出以硅藻占优势的浮游植物组成特点。各采样点的浮游植物均以硅藻门占绝对优势，其次为绿藻门和蓝藻门，其他的藻类数量都较少。</w:t>
      </w:r>
    </w:p>
    <w:p>
      <w:pPr>
        <w:autoSpaceDE w:val="0"/>
        <w:autoSpaceDN w:val="0"/>
        <w:adjustRightInd w:val="0"/>
        <w:spacing w:line="480" w:lineRule="exact"/>
        <w:ind w:firstLine="480"/>
        <w:rPr>
          <w:sz w:val="24"/>
          <w:highlight w:val="none"/>
          <w:lang w:val="zh-CN"/>
        </w:rPr>
      </w:pPr>
      <w:r>
        <w:rPr>
          <w:color w:val="auto"/>
          <w:sz w:val="24"/>
          <w:highlight w:val="none"/>
          <w:lang w:val="zh-CN"/>
        </w:rPr>
        <w:t>浮游植物密度：大黑汀水库密度为6.69×10</w:t>
      </w:r>
      <w:r>
        <w:rPr>
          <w:color w:val="auto"/>
          <w:sz w:val="24"/>
          <w:highlight w:val="none"/>
          <w:vertAlign w:val="superscript"/>
          <w:lang w:val="zh-CN"/>
        </w:rPr>
        <w:t>7</w:t>
      </w:r>
      <w:r>
        <w:rPr>
          <w:color w:val="auto"/>
          <w:sz w:val="24"/>
          <w:highlight w:val="none"/>
          <w:lang w:val="zh-CN"/>
        </w:rPr>
        <w:t>ind/L，在密度组成上，水库区主要是金藻门，总密度占32.7%</w:t>
      </w:r>
      <w:r>
        <w:rPr>
          <w:sz w:val="24"/>
          <w:highlight w:val="none"/>
          <w:lang w:val="zh-CN"/>
        </w:rPr>
        <w:t>-90.2%，浮游植物多样性：生物多样性为上游高、下游低的格局，大黑汀水库以下最低。</w:t>
      </w:r>
    </w:p>
    <w:p>
      <w:pPr>
        <w:autoSpaceDE w:val="0"/>
        <w:autoSpaceDN w:val="0"/>
        <w:adjustRightInd w:val="0"/>
        <w:spacing w:line="480" w:lineRule="exact"/>
        <w:ind w:firstLine="480"/>
        <w:rPr>
          <w:sz w:val="24"/>
          <w:highlight w:val="none"/>
          <w:lang w:val="zh-CN"/>
        </w:rPr>
      </w:pPr>
      <w:r>
        <w:rPr>
          <w:sz w:val="24"/>
          <w:highlight w:val="none"/>
          <w:lang w:val="zh-CN"/>
        </w:rPr>
        <w:t>评价：水体中的浮游植物作为初级生产者，在水生生态系统中起着重要作用，可以为浮游动物及鱼类提供饵料来源，会直接影响食物链下端的物种数量和种类；本次采集样品表明本评价河段内藻类植物种类少。结合种类组成、数量看，本评价区域采样断面的浮游植物在种类数量上硅藻门的种类居多，绿藻门种类次之。从细胞的数量来看，断面中硅藻门占有较大优势，表明取样断面水体营养较为贫乏，水体质量较好，未受到污染。</w:t>
      </w:r>
    </w:p>
    <w:p>
      <w:pPr>
        <w:spacing w:line="480" w:lineRule="exact"/>
        <w:ind w:firstLine="480" w:firstLineChars="200"/>
        <w:rPr>
          <w:sz w:val="24"/>
          <w:highlight w:val="none"/>
        </w:rPr>
      </w:pPr>
      <w:r>
        <w:rPr>
          <w:sz w:val="24"/>
          <w:highlight w:val="none"/>
        </w:rPr>
        <w:fldChar w:fldCharType="begin"/>
      </w:r>
      <w:r>
        <w:rPr>
          <w:sz w:val="24"/>
          <w:highlight w:val="none"/>
        </w:rPr>
        <w:instrText xml:space="preserve"> </w:instrText>
      </w:r>
      <w:r>
        <w:rPr>
          <w:rFonts w:hint="eastAsia"/>
          <w:sz w:val="24"/>
          <w:highlight w:val="none"/>
        </w:rPr>
        <w:instrText xml:space="preserve">= 2 \* GB3</w:instrText>
      </w:r>
      <w:r>
        <w:rPr>
          <w:sz w:val="24"/>
          <w:highlight w:val="none"/>
        </w:rPr>
        <w:instrText xml:space="preserve"> </w:instrText>
      </w:r>
      <w:r>
        <w:rPr>
          <w:sz w:val="24"/>
          <w:highlight w:val="none"/>
        </w:rPr>
        <w:fldChar w:fldCharType="separate"/>
      </w:r>
      <w:r>
        <w:rPr>
          <w:rFonts w:hint="eastAsia"/>
          <w:sz w:val="24"/>
          <w:highlight w:val="none"/>
        </w:rPr>
        <w:t>②</w:t>
      </w:r>
      <w:r>
        <w:rPr>
          <w:sz w:val="24"/>
          <w:highlight w:val="none"/>
        </w:rPr>
        <w:fldChar w:fldCharType="end"/>
      </w:r>
      <w:r>
        <w:rPr>
          <w:sz w:val="24"/>
          <w:highlight w:val="none"/>
        </w:rPr>
        <w:t>浮游动物群落结构现状</w:t>
      </w:r>
    </w:p>
    <w:p>
      <w:pPr>
        <w:autoSpaceDE w:val="0"/>
        <w:autoSpaceDN w:val="0"/>
        <w:adjustRightInd w:val="0"/>
        <w:spacing w:line="480" w:lineRule="exact"/>
        <w:ind w:firstLine="480"/>
        <w:rPr>
          <w:sz w:val="24"/>
          <w:highlight w:val="none"/>
          <w:lang w:val="zh-CN"/>
        </w:rPr>
      </w:pPr>
      <w:r>
        <w:rPr>
          <w:sz w:val="24"/>
          <w:highlight w:val="none"/>
          <w:lang w:val="zh-CN"/>
        </w:rPr>
        <w:t>物种丰度：2015年5月，本项目输水源头“潘大水库”共采集到浮游动物22种，隶属2门2纲4目，主要有3大类，分别为轮虫、枝角类、桡足类，其中，轮虫等种类数最多，占55%，枝角类和桡足类种类数量各占22.5%，种类数相同。</w:t>
      </w:r>
    </w:p>
    <w:p>
      <w:pPr>
        <w:autoSpaceDE w:val="0"/>
        <w:autoSpaceDN w:val="0"/>
        <w:adjustRightInd w:val="0"/>
        <w:spacing w:line="480" w:lineRule="exact"/>
        <w:ind w:firstLine="480"/>
        <w:rPr>
          <w:sz w:val="24"/>
          <w:highlight w:val="none"/>
          <w:lang w:val="zh-CN"/>
        </w:rPr>
      </w:pPr>
      <w:r>
        <w:rPr>
          <w:sz w:val="24"/>
          <w:highlight w:val="none"/>
          <w:lang w:val="zh-CN"/>
        </w:rPr>
        <w:t>浮游动物密度：在空间分布上，各调查点位差别较小，其中，大黑汀水库密度为507ind/L。在密度组成上，密度与物种丰度不同，物种丰度较高的轮虫类其密度缺较低；而桡足类缺占据较大的百分比，调查区域内各点位桡足类的密度均大于65%。</w:t>
      </w:r>
    </w:p>
    <w:p>
      <w:pPr>
        <w:spacing w:line="480" w:lineRule="exact"/>
        <w:ind w:firstLine="480" w:firstLineChars="200"/>
        <w:rPr>
          <w:sz w:val="24"/>
          <w:highlight w:val="none"/>
        </w:rPr>
      </w:pPr>
      <w:r>
        <w:rPr>
          <w:sz w:val="24"/>
          <w:highlight w:val="none"/>
        </w:rPr>
        <w:fldChar w:fldCharType="begin"/>
      </w:r>
      <w:r>
        <w:rPr>
          <w:sz w:val="24"/>
          <w:highlight w:val="none"/>
        </w:rPr>
        <w:instrText xml:space="preserve"> </w:instrText>
      </w:r>
      <w:r>
        <w:rPr>
          <w:rFonts w:hint="eastAsia"/>
          <w:sz w:val="24"/>
          <w:highlight w:val="none"/>
        </w:rPr>
        <w:instrText xml:space="preserve">= 3 \* GB3</w:instrText>
      </w:r>
      <w:r>
        <w:rPr>
          <w:sz w:val="24"/>
          <w:highlight w:val="none"/>
        </w:rPr>
        <w:instrText xml:space="preserve"> </w:instrText>
      </w:r>
      <w:r>
        <w:rPr>
          <w:sz w:val="24"/>
          <w:highlight w:val="none"/>
        </w:rPr>
        <w:fldChar w:fldCharType="separate"/>
      </w:r>
      <w:r>
        <w:rPr>
          <w:rFonts w:hint="eastAsia"/>
          <w:sz w:val="24"/>
          <w:highlight w:val="none"/>
        </w:rPr>
        <w:t>③</w:t>
      </w:r>
      <w:r>
        <w:rPr>
          <w:sz w:val="24"/>
          <w:highlight w:val="none"/>
        </w:rPr>
        <w:fldChar w:fldCharType="end"/>
      </w:r>
      <w:r>
        <w:rPr>
          <w:sz w:val="24"/>
          <w:highlight w:val="none"/>
        </w:rPr>
        <w:t>底栖动物群落结构现状</w:t>
      </w:r>
    </w:p>
    <w:p>
      <w:pPr>
        <w:autoSpaceDE w:val="0"/>
        <w:autoSpaceDN w:val="0"/>
        <w:adjustRightInd w:val="0"/>
        <w:spacing w:line="480" w:lineRule="exact"/>
        <w:ind w:firstLine="480"/>
        <w:rPr>
          <w:sz w:val="24"/>
          <w:highlight w:val="none"/>
          <w:lang w:val="zh-CN"/>
        </w:rPr>
      </w:pPr>
      <w:r>
        <w:rPr>
          <w:sz w:val="24"/>
          <w:highlight w:val="none"/>
          <w:lang w:val="zh-CN"/>
        </w:rPr>
        <w:t>底栖动物物种丰度：2015年5月，本项目输水源头“潘大水库”共采集到浮游动物15种，隶属23门6纲10科15属，其中，节肢动物们的摇蚊科5种，环节动物们的颤蚓科2种，其余7个物种分属7个科。在空间上，潘家口水库共发现1个物种，大黑汀水库共发现3个物种。</w:t>
      </w:r>
    </w:p>
    <w:p>
      <w:pPr>
        <w:autoSpaceDE w:val="0"/>
        <w:autoSpaceDN w:val="0"/>
        <w:adjustRightInd w:val="0"/>
        <w:spacing w:line="480" w:lineRule="exact"/>
        <w:ind w:firstLine="480"/>
        <w:rPr>
          <w:sz w:val="24"/>
          <w:highlight w:val="none"/>
          <w:lang w:val="zh-CN"/>
        </w:rPr>
      </w:pPr>
      <w:r>
        <w:rPr>
          <w:sz w:val="24"/>
          <w:highlight w:val="none"/>
          <w:lang w:val="zh-CN"/>
        </w:rPr>
        <w:t>底栖动物密度：在空间分布上，各调查点位差别较大，其中，大黑汀水库一颤蚓科占绝对优势。</w:t>
      </w:r>
    </w:p>
    <w:p>
      <w:pPr>
        <w:autoSpaceDE w:val="0"/>
        <w:autoSpaceDN w:val="0"/>
        <w:adjustRightInd w:val="0"/>
        <w:spacing w:line="480" w:lineRule="exact"/>
        <w:ind w:firstLine="480"/>
        <w:rPr>
          <w:sz w:val="24"/>
          <w:highlight w:val="none"/>
          <w:lang w:val="zh-CN"/>
        </w:rPr>
      </w:pPr>
      <w:r>
        <w:rPr>
          <w:sz w:val="24"/>
          <w:highlight w:val="none"/>
          <w:lang w:val="zh-CN"/>
        </w:rPr>
        <w:t>底栖动物多样性：底栖动物多样性指数为0.40-0.92，波动幅度较小。</w:t>
      </w:r>
    </w:p>
    <w:p>
      <w:pPr>
        <w:autoSpaceDE w:val="0"/>
        <w:autoSpaceDN w:val="0"/>
        <w:adjustRightInd w:val="0"/>
        <w:spacing w:line="480" w:lineRule="exact"/>
        <w:ind w:firstLine="480"/>
        <w:rPr>
          <w:sz w:val="24"/>
          <w:highlight w:val="none"/>
          <w:lang w:val="zh-CN"/>
        </w:rPr>
      </w:pPr>
      <w:r>
        <w:rPr>
          <w:sz w:val="24"/>
          <w:highlight w:val="none"/>
          <w:lang w:val="zh-CN"/>
        </w:rPr>
        <w:t>评价：调查断面底栖动物种类、数量相差不大。调查河段水质清澈，未受污染，15种底栖动物中，节肢动物有2种、环节动物2种分布。。</w:t>
      </w:r>
    </w:p>
    <w:p>
      <w:pPr>
        <w:autoSpaceDE w:val="0"/>
        <w:autoSpaceDN w:val="0"/>
        <w:adjustRightInd w:val="0"/>
        <w:spacing w:line="480" w:lineRule="exact"/>
        <w:ind w:firstLine="480"/>
        <w:rPr>
          <w:color w:val="auto"/>
          <w:sz w:val="24"/>
          <w:highlight w:val="none"/>
          <w:lang w:val="zh-CN"/>
        </w:rPr>
      </w:pPr>
      <w:r>
        <w:rPr>
          <w:sz w:val="24"/>
          <w:highlight w:val="none"/>
          <w:lang w:val="zh-CN"/>
        </w:rPr>
        <w:fldChar w:fldCharType="begin"/>
      </w:r>
      <w:r>
        <w:rPr>
          <w:sz w:val="24"/>
          <w:highlight w:val="none"/>
          <w:lang w:val="zh-CN"/>
        </w:rPr>
        <w:instrText xml:space="preserve"> </w:instrText>
      </w:r>
      <w:r>
        <w:rPr>
          <w:rFonts w:hint="eastAsia"/>
          <w:sz w:val="24"/>
          <w:highlight w:val="none"/>
          <w:lang w:val="zh-CN"/>
        </w:rPr>
        <w:instrText xml:space="preserve">= 4 \* GB3</w:instrText>
      </w:r>
      <w:r>
        <w:rPr>
          <w:sz w:val="24"/>
          <w:highlight w:val="none"/>
          <w:lang w:val="zh-CN"/>
        </w:rPr>
        <w:instrText xml:space="preserve"> </w:instrText>
      </w:r>
      <w:r>
        <w:rPr>
          <w:sz w:val="24"/>
          <w:highlight w:val="none"/>
          <w:lang w:val="zh-CN"/>
        </w:rPr>
        <w:fldChar w:fldCharType="separate"/>
      </w:r>
      <w:r>
        <w:rPr>
          <w:rFonts w:hint="eastAsia"/>
          <w:sz w:val="24"/>
          <w:highlight w:val="none"/>
          <w:lang w:val="zh-CN"/>
        </w:rPr>
        <w:t>④</w:t>
      </w:r>
      <w:r>
        <w:rPr>
          <w:sz w:val="24"/>
          <w:highlight w:val="none"/>
          <w:lang w:val="zh-CN"/>
        </w:rPr>
        <w:fldChar w:fldCharType="end"/>
      </w:r>
      <w:r>
        <w:rPr>
          <w:sz w:val="24"/>
          <w:highlight w:val="none"/>
          <w:lang w:val="zh-CN"/>
        </w:rPr>
        <w:t>鱼类群落</w:t>
      </w:r>
      <w:r>
        <w:rPr>
          <w:color w:val="auto"/>
          <w:sz w:val="24"/>
          <w:highlight w:val="none"/>
          <w:lang w:val="zh-CN"/>
        </w:rPr>
        <w:t>结构现状</w:t>
      </w:r>
    </w:p>
    <w:p>
      <w:pPr>
        <w:autoSpaceDE w:val="0"/>
        <w:autoSpaceDN w:val="0"/>
        <w:adjustRightInd w:val="0"/>
        <w:spacing w:line="480" w:lineRule="exact"/>
        <w:ind w:firstLine="480"/>
        <w:jc w:val="left"/>
        <w:rPr>
          <w:rFonts w:hint="eastAsia"/>
          <w:color w:val="auto"/>
          <w:sz w:val="24"/>
          <w:highlight w:val="none"/>
          <w:lang w:val="en-US" w:eastAsia="zh-CN"/>
        </w:rPr>
      </w:pPr>
      <w:r>
        <w:rPr>
          <w:rFonts w:hint="eastAsia"/>
          <w:bCs/>
          <w:color w:val="auto"/>
          <w:sz w:val="24"/>
          <w:highlight w:val="none"/>
          <w:lang w:val="zh-CN"/>
        </w:rPr>
        <w:t>通过对评价区河段鱼类的实地调查、访问和查阅有关资料可以确定在本评价区无《国家重点保护水生野生动物名录》和《濒危野生动植物种国际贸易公约（水生野生部分）》中规定的国家重点保护鱼种和</w:t>
      </w:r>
      <w:r>
        <w:rPr>
          <w:rFonts w:hint="eastAsia"/>
          <w:color w:val="auto"/>
          <w:sz w:val="24"/>
          <w:highlight w:val="none"/>
          <w:lang w:val="en-US" w:eastAsia="zh-CN"/>
        </w:rPr>
        <w:t>河北省重点保护野生鱼类，因黎河枯水期经常断流，也未发现穿越区有鱼类的产卵场、繁殖场、索饵场和洄游通道。</w:t>
      </w:r>
    </w:p>
    <w:p>
      <w:pPr>
        <w:autoSpaceDE w:val="0"/>
        <w:autoSpaceDN w:val="0"/>
        <w:adjustRightInd w:val="0"/>
        <w:spacing w:line="480" w:lineRule="exact"/>
        <w:ind w:left="0" w:leftChars="0" w:right="0" w:rightChars="0" w:firstLine="0" w:firstLineChars="0"/>
        <w:jc w:val="center"/>
        <w:rPr>
          <w:rFonts w:hint="eastAsia"/>
          <w:b/>
          <w:bCs/>
          <w:color w:val="auto"/>
          <w:sz w:val="24"/>
          <w:highlight w:val="none"/>
          <w:lang w:val="en-US" w:eastAsia="zh-CN"/>
        </w:rPr>
      </w:pPr>
      <w:r>
        <w:rPr>
          <w:rFonts w:hint="eastAsia"/>
          <w:b/>
          <w:bCs/>
          <w:color w:val="auto"/>
          <w:sz w:val="24"/>
          <w:highlight w:val="none"/>
          <w:lang w:val="en-US" w:eastAsia="zh-CN"/>
        </w:rPr>
        <w:t>表4.9-9  调查范围内河流鱼类分布调查表</w:t>
      </w:r>
    </w:p>
    <w:tbl>
      <w:tblPr>
        <w:tblStyle w:val="52"/>
        <w:tblW w:w="854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6"/>
        <w:gridCol w:w="1658"/>
        <w:gridCol w:w="1118"/>
        <w:gridCol w:w="1623"/>
        <w:gridCol w:w="34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 w:type="dxa"/>
            <w:vAlign w:val="center"/>
          </w:tcPr>
          <w:p>
            <w:pPr>
              <w:autoSpaceDE w:val="0"/>
              <w:autoSpaceDN w:val="0"/>
              <w:adjustRightInd w:val="0"/>
              <w:spacing w:line="300" w:lineRule="exact"/>
              <w:jc w:val="center"/>
              <w:rPr>
                <w:rFonts w:hint="eastAsia" w:eastAsia="宋体"/>
                <w:color w:val="auto"/>
                <w:szCs w:val="21"/>
                <w:highlight w:val="none"/>
                <w:lang w:eastAsia="zh-CN"/>
              </w:rPr>
            </w:pPr>
            <w:r>
              <w:rPr>
                <w:rFonts w:hint="eastAsia"/>
                <w:color w:val="auto"/>
                <w:szCs w:val="21"/>
                <w:highlight w:val="none"/>
                <w:lang w:eastAsia="zh-CN"/>
              </w:rPr>
              <w:t>序号</w:t>
            </w:r>
          </w:p>
        </w:tc>
        <w:tc>
          <w:tcPr>
            <w:tcW w:w="7808" w:type="dxa"/>
            <w:gridSpan w:val="4"/>
            <w:vAlign w:val="center"/>
          </w:tcPr>
          <w:p>
            <w:pPr>
              <w:autoSpaceDE w:val="0"/>
              <w:autoSpaceDN w:val="0"/>
              <w:adjustRightInd w:val="0"/>
              <w:spacing w:line="300" w:lineRule="exact"/>
              <w:jc w:val="center"/>
              <w:rPr>
                <w:color w:val="auto"/>
                <w:szCs w:val="21"/>
                <w:highlight w:val="none"/>
              </w:rPr>
            </w:pPr>
            <w:r>
              <w:rPr>
                <w:rFonts w:hint="eastAsia"/>
                <w:color w:val="auto"/>
                <w:szCs w:val="21"/>
                <w:highlight w:val="none"/>
              </w:rPr>
              <w:t>种名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 w:type="dxa"/>
            <w:vAlign w:val="center"/>
          </w:tcPr>
          <w:p>
            <w:pPr>
              <w:autoSpaceDE w:val="0"/>
              <w:autoSpaceDN w:val="0"/>
              <w:adjustRightInd w:val="0"/>
              <w:spacing w:line="300" w:lineRule="exact"/>
              <w:jc w:val="center"/>
              <w:rPr>
                <w:rFonts w:hint="eastAsia" w:eastAsia="宋体"/>
                <w:color w:val="auto"/>
                <w:szCs w:val="21"/>
                <w:highlight w:val="none"/>
                <w:lang w:val="en-US" w:eastAsia="zh-CN"/>
              </w:rPr>
            </w:pPr>
            <w:r>
              <w:rPr>
                <w:rFonts w:hint="eastAsia"/>
                <w:color w:val="auto"/>
                <w:szCs w:val="21"/>
                <w:highlight w:val="none"/>
                <w:lang w:val="en-US" w:eastAsia="zh-CN"/>
              </w:rPr>
              <w:t>1</w:t>
            </w:r>
          </w:p>
        </w:tc>
        <w:tc>
          <w:tcPr>
            <w:tcW w:w="1658" w:type="dxa"/>
            <w:vMerge w:val="restart"/>
            <w:vAlign w:val="center"/>
          </w:tcPr>
          <w:p>
            <w:pPr>
              <w:autoSpaceDE w:val="0"/>
              <w:autoSpaceDN w:val="0"/>
              <w:adjustRightInd w:val="0"/>
              <w:spacing w:line="300" w:lineRule="exact"/>
              <w:jc w:val="center"/>
              <w:rPr>
                <w:rFonts w:hint="eastAsia"/>
                <w:color w:val="auto"/>
                <w:szCs w:val="21"/>
                <w:highlight w:val="none"/>
              </w:rPr>
            </w:pPr>
            <w:r>
              <w:rPr>
                <w:rFonts w:hint="eastAsia"/>
                <w:color w:val="auto"/>
                <w:szCs w:val="21"/>
                <w:highlight w:val="none"/>
              </w:rPr>
              <w:t>鲤形目</w:t>
            </w:r>
          </w:p>
        </w:tc>
        <w:tc>
          <w:tcPr>
            <w:tcW w:w="1118" w:type="dxa"/>
            <w:vMerge w:val="restart"/>
            <w:vAlign w:val="center"/>
          </w:tcPr>
          <w:p>
            <w:pPr>
              <w:autoSpaceDE w:val="0"/>
              <w:autoSpaceDN w:val="0"/>
              <w:adjustRightInd w:val="0"/>
              <w:spacing w:line="300" w:lineRule="exact"/>
              <w:jc w:val="center"/>
              <w:rPr>
                <w:color w:val="auto"/>
                <w:szCs w:val="21"/>
                <w:highlight w:val="none"/>
              </w:rPr>
            </w:pPr>
            <w:r>
              <w:rPr>
                <w:rFonts w:hint="eastAsia"/>
                <w:color w:val="auto"/>
                <w:szCs w:val="21"/>
                <w:highlight w:val="none"/>
              </w:rPr>
              <w:t>鲤科</w:t>
            </w:r>
          </w:p>
        </w:tc>
        <w:tc>
          <w:tcPr>
            <w:tcW w:w="1623" w:type="dxa"/>
            <w:vAlign w:val="center"/>
          </w:tcPr>
          <w:p>
            <w:pPr>
              <w:autoSpaceDE w:val="0"/>
              <w:autoSpaceDN w:val="0"/>
              <w:adjustRightInd w:val="0"/>
              <w:spacing w:line="300" w:lineRule="exact"/>
              <w:jc w:val="center"/>
              <w:rPr>
                <w:color w:val="auto"/>
                <w:szCs w:val="21"/>
                <w:highlight w:val="none"/>
              </w:rPr>
            </w:pPr>
            <w:r>
              <w:rPr>
                <w:rFonts w:hint="eastAsia"/>
                <w:color w:val="auto"/>
                <w:szCs w:val="21"/>
                <w:highlight w:val="none"/>
              </w:rPr>
              <w:t>麦穗鱼</w:t>
            </w:r>
          </w:p>
        </w:tc>
        <w:tc>
          <w:tcPr>
            <w:tcW w:w="3409" w:type="dxa"/>
            <w:vAlign w:val="center"/>
          </w:tcPr>
          <w:p>
            <w:pPr>
              <w:autoSpaceDE w:val="0"/>
              <w:autoSpaceDN w:val="0"/>
              <w:adjustRightInd w:val="0"/>
              <w:spacing w:line="300" w:lineRule="exact"/>
              <w:jc w:val="center"/>
              <w:rPr>
                <w:b w:val="0"/>
                <w:bCs w:val="0"/>
                <w:i/>
                <w:iCs/>
                <w:color w:val="auto"/>
                <w:szCs w:val="21"/>
                <w:highlight w:val="none"/>
              </w:rPr>
            </w:pPr>
            <w:r>
              <w:rPr>
                <w:rFonts w:hint="eastAsia"/>
                <w:b w:val="0"/>
                <w:bCs w:val="0"/>
                <w:i/>
                <w:iCs/>
                <w:color w:val="auto"/>
                <w:szCs w:val="21"/>
                <w:highlight w:val="none"/>
              </w:rPr>
              <w:t>Pseudorasbora parva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 w:type="dxa"/>
            <w:vAlign w:val="center"/>
          </w:tcPr>
          <w:p>
            <w:pPr>
              <w:autoSpaceDE w:val="0"/>
              <w:autoSpaceDN w:val="0"/>
              <w:adjustRightInd w:val="0"/>
              <w:spacing w:line="300" w:lineRule="exact"/>
              <w:jc w:val="center"/>
              <w:rPr>
                <w:rFonts w:hint="eastAsia" w:eastAsia="宋体"/>
                <w:color w:val="auto"/>
                <w:szCs w:val="21"/>
                <w:highlight w:val="none"/>
                <w:lang w:val="en-US" w:eastAsia="zh-CN"/>
              </w:rPr>
            </w:pPr>
            <w:r>
              <w:rPr>
                <w:rFonts w:hint="eastAsia"/>
                <w:color w:val="auto"/>
                <w:szCs w:val="21"/>
                <w:highlight w:val="none"/>
                <w:lang w:val="en-US" w:eastAsia="zh-CN"/>
              </w:rPr>
              <w:t>2</w:t>
            </w:r>
          </w:p>
        </w:tc>
        <w:tc>
          <w:tcPr>
            <w:tcW w:w="1658" w:type="dxa"/>
            <w:vMerge w:val="continue"/>
            <w:vAlign w:val="center"/>
          </w:tcPr>
          <w:p>
            <w:pPr>
              <w:autoSpaceDE w:val="0"/>
              <w:autoSpaceDN w:val="0"/>
              <w:adjustRightInd w:val="0"/>
              <w:spacing w:line="300" w:lineRule="exact"/>
              <w:jc w:val="center"/>
              <w:rPr>
                <w:rFonts w:hint="eastAsia"/>
                <w:color w:val="auto"/>
                <w:szCs w:val="21"/>
                <w:highlight w:val="none"/>
              </w:rPr>
            </w:pPr>
          </w:p>
        </w:tc>
        <w:tc>
          <w:tcPr>
            <w:tcW w:w="1118" w:type="dxa"/>
            <w:vMerge w:val="continue"/>
            <w:vAlign w:val="center"/>
          </w:tcPr>
          <w:p>
            <w:pPr>
              <w:autoSpaceDE w:val="0"/>
              <w:autoSpaceDN w:val="0"/>
              <w:adjustRightInd w:val="0"/>
              <w:spacing w:line="300" w:lineRule="exact"/>
              <w:jc w:val="center"/>
              <w:rPr>
                <w:color w:val="auto"/>
                <w:szCs w:val="21"/>
                <w:highlight w:val="none"/>
              </w:rPr>
            </w:pPr>
          </w:p>
        </w:tc>
        <w:tc>
          <w:tcPr>
            <w:tcW w:w="1623" w:type="dxa"/>
            <w:vAlign w:val="center"/>
          </w:tcPr>
          <w:p>
            <w:pPr>
              <w:autoSpaceDE w:val="0"/>
              <w:autoSpaceDN w:val="0"/>
              <w:adjustRightInd w:val="0"/>
              <w:spacing w:line="300" w:lineRule="exact"/>
              <w:jc w:val="center"/>
              <w:rPr>
                <w:color w:val="auto"/>
                <w:szCs w:val="21"/>
                <w:highlight w:val="none"/>
              </w:rPr>
            </w:pPr>
            <w:r>
              <w:rPr>
                <w:rFonts w:hint="eastAsia"/>
                <w:color w:val="auto"/>
                <w:szCs w:val="21"/>
                <w:highlight w:val="none"/>
              </w:rPr>
              <w:t>鲫鱼</w:t>
            </w:r>
          </w:p>
        </w:tc>
        <w:tc>
          <w:tcPr>
            <w:tcW w:w="3409" w:type="dxa"/>
            <w:vAlign w:val="center"/>
          </w:tcPr>
          <w:p>
            <w:pPr>
              <w:autoSpaceDE w:val="0"/>
              <w:autoSpaceDN w:val="0"/>
              <w:adjustRightInd w:val="0"/>
              <w:spacing w:line="300" w:lineRule="exact"/>
              <w:jc w:val="center"/>
              <w:rPr>
                <w:b w:val="0"/>
                <w:bCs w:val="0"/>
                <w:i/>
                <w:iCs/>
                <w:color w:val="auto"/>
                <w:szCs w:val="21"/>
                <w:highlight w:val="none"/>
              </w:rPr>
            </w:pPr>
            <w:r>
              <w:rPr>
                <w:rFonts w:hint="eastAsia"/>
                <w:b w:val="0"/>
                <w:bCs w:val="0"/>
                <w:i/>
                <w:iCs/>
                <w:color w:val="auto"/>
                <w:szCs w:val="21"/>
                <w:highlight w:val="none"/>
              </w:rPr>
              <w:t>Carassius auratus auratus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 w:type="dxa"/>
            <w:vAlign w:val="center"/>
          </w:tcPr>
          <w:p>
            <w:pPr>
              <w:autoSpaceDE w:val="0"/>
              <w:autoSpaceDN w:val="0"/>
              <w:adjustRightInd w:val="0"/>
              <w:spacing w:line="300" w:lineRule="exact"/>
              <w:jc w:val="center"/>
              <w:rPr>
                <w:rFonts w:hint="eastAsia" w:eastAsia="宋体"/>
                <w:color w:val="auto"/>
                <w:szCs w:val="21"/>
                <w:highlight w:val="none"/>
                <w:lang w:val="en-US" w:eastAsia="zh-CN"/>
              </w:rPr>
            </w:pPr>
            <w:r>
              <w:rPr>
                <w:rFonts w:hint="eastAsia"/>
                <w:color w:val="auto"/>
                <w:szCs w:val="21"/>
                <w:highlight w:val="none"/>
                <w:lang w:val="en-US" w:eastAsia="zh-CN"/>
              </w:rPr>
              <w:t>3</w:t>
            </w:r>
          </w:p>
        </w:tc>
        <w:tc>
          <w:tcPr>
            <w:tcW w:w="1658" w:type="dxa"/>
            <w:vMerge w:val="continue"/>
            <w:vAlign w:val="center"/>
          </w:tcPr>
          <w:p>
            <w:pPr>
              <w:autoSpaceDE w:val="0"/>
              <w:autoSpaceDN w:val="0"/>
              <w:adjustRightInd w:val="0"/>
              <w:spacing w:line="300" w:lineRule="exact"/>
              <w:jc w:val="center"/>
              <w:rPr>
                <w:rFonts w:hint="eastAsia"/>
                <w:color w:val="auto"/>
                <w:szCs w:val="21"/>
                <w:highlight w:val="none"/>
              </w:rPr>
            </w:pPr>
          </w:p>
        </w:tc>
        <w:tc>
          <w:tcPr>
            <w:tcW w:w="1118" w:type="dxa"/>
            <w:vMerge w:val="continue"/>
            <w:vAlign w:val="center"/>
          </w:tcPr>
          <w:p>
            <w:pPr>
              <w:autoSpaceDE w:val="0"/>
              <w:autoSpaceDN w:val="0"/>
              <w:adjustRightInd w:val="0"/>
              <w:spacing w:line="300" w:lineRule="exact"/>
              <w:jc w:val="center"/>
              <w:rPr>
                <w:color w:val="auto"/>
                <w:szCs w:val="21"/>
                <w:highlight w:val="none"/>
              </w:rPr>
            </w:pPr>
          </w:p>
        </w:tc>
        <w:tc>
          <w:tcPr>
            <w:tcW w:w="1623" w:type="dxa"/>
            <w:vAlign w:val="center"/>
          </w:tcPr>
          <w:p>
            <w:pPr>
              <w:autoSpaceDE w:val="0"/>
              <w:autoSpaceDN w:val="0"/>
              <w:adjustRightInd w:val="0"/>
              <w:spacing w:line="300" w:lineRule="exact"/>
              <w:jc w:val="center"/>
              <w:rPr>
                <w:color w:val="auto"/>
                <w:szCs w:val="21"/>
                <w:highlight w:val="none"/>
              </w:rPr>
            </w:pPr>
            <w:r>
              <w:rPr>
                <w:rFonts w:hint="eastAsia"/>
                <w:color w:val="auto"/>
                <w:szCs w:val="21"/>
                <w:highlight w:val="none"/>
              </w:rPr>
              <w:t>草鱼</w:t>
            </w:r>
          </w:p>
        </w:tc>
        <w:tc>
          <w:tcPr>
            <w:tcW w:w="3409" w:type="dxa"/>
            <w:vAlign w:val="center"/>
          </w:tcPr>
          <w:p>
            <w:pPr>
              <w:autoSpaceDE w:val="0"/>
              <w:autoSpaceDN w:val="0"/>
              <w:adjustRightInd w:val="0"/>
              <w:spacing w:line="300" w:lineRule="exact"/>
              <w:jc w:val="center"/>
              <w:rPr>
                <w:color w:val="auto"/>
                <w:szCs w:val="21"/>
                <w:highlight w:val="none"/>
              </w:rPr>
            </w:pPr>
            <w:r>
              <w:rPr>
                <w:rFonts w:hint="eastAsia"/>
                <w:color w:val="auto"/>
                <w:szCs w:val="21"/>
                <w:highlight w:val="none"/>
              </w:rPr>
              <w:t>Ctenopharyngodon idellus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 w:type="dxa"/>
            <w:vAlign w:val="center"/>
          </w:tcPr>
          <w:p>
            <w:pPr>
              <w:autoSpaceDE w:val="0"/>
              <w:autoSpaceDN w:val="0"/>
              <w:adjustRightInd w:val="0"/>
              <w:spacing w:line="300" w:lineRule="exact"/>
              <w:jc w:val="center"/>
              <w:rPr>
                <w:rFonts w:hint="eastAsia" w:eastAsia="宋体"/>
                <w:color w:val="auto"/>
                <w:szCs w:val="21"/>
                <w:highlight w:val="none"/>
                <w:lang w:val="en-US" w:eastAsia="zh-CN"/>
              </w:rPr>
            </w:pPr>
            <w:r>
              <w:rPr>
                <w:rFonts w:hint="eastAsia"/>
                <w:color w:val="auto"/>
                <w:szCs w:val="21"/>
                <w:highlight w:val="none"/>
                <w:lang w:val="en-US" w:eastAsia="zh-CN"/>
              </w:rPr>
              <w:t>4</w:t>
            </w:r>
          </w:p>
        </w:tc>
        <w:tc>
          <w:tcPr>
            <w:tcW w:w="1658" w:type="dxa"/>
            <w:vMerge w:val="continue"/>
            <w:vAlign w:val="center"/>
          </w:tcPr>
          <w:p>
            <w:pPr>
              <w:autoSpaceDE w:val="0"/>
              <w:autoSpaceDN w:val="0"/>
              <w:adjustRightInd w:val="0"/>
              <w:spacing w:line="300" w:lineRule="exact"/>
              <w:jc w:val="center"/>
              <w:rPr>
                <w:rFonts w:hint="eastAsia"/>
                <w:color w:val="auto"/>
                <w:szCs w:val="21"/>
                <w:highlight w:val="none"/>
              </w:rPr>
            </w:pPr>
          </w:p>
        </w:tc>
        <w:tc>
          <w:tcPr>
            <w:tcW w:w="1118" w:type="dxa"/>
            <w:vMerge w:val="continue"/>
            <w:vAlign w:val="center"/>
          </w:tcPr>
          <w:p>
            <w:pPr>
              <w:autoSpaceDE w:val="0"/>
              <w:autoSpaceDN w:val="0"/>
              <w:adjustRightInd w:val="0"/>
              <w:spacing w:line="300" w:lineRule="exact"/>
              <w:jc w:val="center"/>
              <w:rPr>
                <w:color w:val="auto"/>
                <w:szCs w:val="21"/>
                <w:highlight w:val="none"/>
              </w:rPr>
            </w:pPr>
          </w:p>
        </w:tc>
        <w:tc>
          <w:tcPr>
            <w:tcW w:w="1623" w:type="dxa"/>
            <w:vAlign w:val="center"/>
          </w:tcPr>
          <w:p>
            <w:pPr>
              <w:autoSpaceDE w:val="0"/>
              <w:autoSpaceDN w:val="0"/>
              <w:adjustRightInd w:val="0"/>
              <w:spacing w:line="300" w:lineRule="exact"/>
              <w:jc w:val="center"/>
              <w:rPr>
                <w:color w:val="auto"/>
                <w:szCs w:val="21"/>
                <w:highlight w:val="none"/>
              </w:rPr>
            </w:pPr>
            <w:r>
              <w:rPr>
                <w:rFonts w:hint="eastAsia"/>
                <w:color w:val="auto"/>
                <w:szCs w:val="21"/>
                <w:highlight w:val="none"/>
              </w:rPr>
              <w:t>鲢</w:t>
            </w:r>
          </w:p>
        </w:tc>
        <w:tc>
          <w:tcPr>
            <w:tcW w:w="3409" w:type="dxa"/>
            <w:vAlign w:val="center"/>
          </w:tcPr>
          <w:p>
            <w:pPr>
              <w:autoSpaceDE w:val="0"/>
              <w:autoSpaceDN w:val="0"/>
              <w:adjustRightInd w:val="0"/>
              <w:spacing w:line="300" w:lineRule="exact"/>
              <w:jc w:val="center"/>
              <w:rPr>
                <w:color w:val="auto"/>
                <w:szCs w:val="21"/>
                <w:highlight w:val="none"/>
              </w:rPr>
            </w:pPr>
            <w:r>
              <w:rPr>
                <w:rFonts w:hint="eastAsia"/>
                <w:i/>
                <w:iCs/>
                <w:color w:val="auto"/>
                <w:szCs w:val="21"/>
                <w:highlight w:val="none"/>
              </w:rPr>
              <w:t>Hypophthalmichthys molitrix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 w:type="dxa"/>
            <w:vAlign w:val="center"/>
          </w:tcPr>
          <w:p>
            <w:pPr>
              <w:autoSpaceDE w:val="0"/>
              <w:autoSpaceDN w:val="0"/>
              <w:adjustRightInd w:val="0"/>
              <w:spacing w:line="300" w:lineRule="exact"/>
              <w:jc w:val="center"/>
              <w:rPr>
                <w:rFonts w:hint="eastAsia" w:eastAsia="宋体"/>
                <w:color w:val="auto"/>
                <w:szCs w:val="21"/>
                <w:highlight w:val="none"/>
                <w:lang w:val="en-US" w:eastAsia="zh-CN"/>
              </w:rPr>
            </w:pPr>
            <w:r>
              <w:rPr>
                <w:rFonts w:hint="eastAsia"/>
                <w:color w:val="auto"/>
                <w:szCs w:val="21"/>
                <w:highlight w:val="none"/>
                <w:lang w:val="en-US" w:eastAsia="zh-CN"/>
              </w:rPr>
              <w:t>5</w:t>
            </w:r>
          </w:p>
        </w:tc>
        <w:tc>
          <w:tcPr>
            <w:tcW w:w="1658" w:type="dxa"/>
            <w:vMerge w:val="continue"/>
            <w:vAlign w:val="center"/>
          </w:tcPr>
          <w:p>
            <w:pPr>
              <w:autoSpaceDE w:val="0"/>
              <w:autoSpaceDN w:val="0"/>
              <w:adjustRightInd w:val="0"/>
              <w:spacing w:line="300" w:lineRule="exact"/>
              <w:jc w:val="center"/>
              <w:rPr>
                <w:rFonts w:hint="eastAsia"/>
                <w:color w:val="auto"/>
                <w:szCs w:val="21"/>
                <w:highlight w:val="none"/>
              </w:rPr>
            </w:pPr>
          </w:p>
        </w:tc>
        <w:tc>
          <w:tcPr>
            <w:tcW w:w="1118" w:type="dxa"/>
            <w:vMerge w:val="continue"/>
            <w:vAlign w:val="center"/>
          </w:tcPr>
          <w:p>
            <w:pPr>
              <w:autoSpaceDE w:val="0"/>
              <w:autoSpaceDN w:val="0"/>
              <w:adjustRightInd w:val="0"/>
              <w:spacing w:line="300" w:lineRule="exact"/>
              <w:jc w:val="center"/>
              <w:rPr>
                <w:color w:val="auto"/>
                <w:szCs w:val="21"/>
                <w:highlight w:val="none"/>
              </w:rPr>
            </w:pPr>
          </w:p>
        </w:tc>
        <w:tc>
          <w:tcPr>
            <w:tcW w:w="1623" w:type="dxa"/>
            <w:vAlign w:val="center"/>
          </w:tcPr>
          <w:p>
            <w:pPr>
              <w:autoSpaceDE w:val="0"/>
              <w:autoSpaceDN w:val="0"/>
              <w:adjustRightInd w:val="0"/>
              <w:spacing w:line="300" w:lineRule="exact"/>
              <w:jc w:val="center"/>
              <w:rPr>
                <w:rFonts w:hint="eastAsia"/>
                <w:color w:val="auto"/>
                <w:szCs w:val="21"/>
                <w:highlight w:val="none"/>
              </w:rPr>
            </w:pPr>
            <w:r>
              <w:rPr>
                <w:rFonts w:hint="eastAsia"/>
                <w:color w:val="auto"/>
                <w:szCs w:val="21"/>
                <w:highlight w:val="none"/>
              </w:rPr>
              <w:t>青鱼</w:t>
            </w:r>
          </w:p>
        </w:tc>
        <w:tc>
          <w:tcPr>
            <w:tcW w:w="3409" w:type="dxa"/>
            <w:vAlign w:val="center"/>
          </w:tcPr>
          <w:p>
            <w:pPr>
              <w:autoSpaceDE w:val="0"/>
              <w:autoSpaceDN w:val="0"/>
              <w:adjustRightInd w:val="0"/>
              <w:spacing w:line="300" w:lineRule="exact"/>
              <w:jc w:val="center"/>
              <w:rPr>
                <w:color w:val="auto"/>
                <w:szCs w:val="21"/>
                <w:highlight w:val="none"/>
              </w:rPr>
            </w:pPr>
            <w:r>
              <w:rPr>
                <w:rFonts w:hint="eastAsia"/>
                <w:i/>
                <w:iCs/>
                <w:color w:val="auto"/>
                <w:szCs w:val="21"/>
                <w:highlight w:val="none"/>
              </w:rPr>
              <w:t>Mylopharyngodon piceus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 w:type="dxa"/>
            <w:vAlign w:val="center"/>
          </w:tcPr>
          <w:p>
            <w:pPr>
              <w:autoSpaceDE w:val="0"/>
              <w:autoSpaceDN w:val="0"/>
              <w:adjustRightInd w:val="0"/>
              <w:spacing w:line="300" w:lineRule="exact"/>
              <w:jc w:val="center"/>
              <w:rPr>
                <w:rFonts w:hint="eastAsia" w:eastAsia="宋体"/>
                <w:color w:val="auto"/>
                <w:szCs w:val="21"/>
                <w:highlight w:val="none"/>
                <w:lang w:val="en-US" w:eastAsia="zh-CN"/>
              </w:rPr>
            </w:pPr>
            <w:r>
              <w:rPr>
                <w:rFonts w:hint="eastAsia"/>
                <w:color w:val="auto"/>
                <w:szCs w:val="21"/>
                <w:highlight w:val="none"/>
                <w:lang w:val="en-US" w:eastAsia="zh-CN"/>
              </w:rPr>
              <w:t>6</w:t>
            </w:r>
          </w:p>
        </w:tc>
        <w:tc>
          <w:tcPr>
            <w:tcW w:w="1658" w:type="dxa"/>
            <w:vMerge w:val="continue"/>
            <w:vAlign w:val="center"/>
          </w:tcPr>
          <w:p>
            <w:pPr>
              <w:autoSpaceDE w:val="0"/>
              <w:autoSpaceDN w:val="0"/>
              <w:adjustRightInd w:val="0"/>
              <w:spacing w:line="300" w:lineRule="exact"/>
              <w:jc w:val="center"/>
              <w:rPr>
                <w:rFonts w:hint="eastAsia"/>
                <w:color w:val="auto"/>
                <w:szCs w:val="21"/>
                <w:highlight w:val="none"/>
              </w:rPr>
            </w:pPr>
          </w:p>
        </w:tc>
        <w:tc>
          <w:tcPr>
            <w:tcW w:w="1118" w:type="dxa"/>
            <w:vAlign w:val="center"/>
          </w:tcPr>
          <w:p>
            <w:pPr>
              <w:autoSpaceDE w:val="0"/>
              <w:autoSpaceDN w:val="0"/>
              <w:adjustRightInd w:val="0"/>
              <w:spacing w:line="300" w:lineRule="exact"/>
              <w:jc w:val="center"/>
              <w:rPr>
                <w:color w:val="auto"/>
                <w:szCs w:val="21"/>
                <w:highlight w:val="none"/>
              </w:rPr>
            </w:pPr>
            <w:r>
              <w:rPr>
                <w:rFonts w:hint="eastAsia"/>
                <w:color w:val="auto"/>
                <w:szCs w:val="21"/>
                <w:highlight w:val="none"/>
              </w:rPr>
              <w:t>鳅科</w:t>
            </w:r>
          </w:p>
        </w:tc>
        <w:tc>
          <w:tcPr>
            <w:tcW w:w="1623" w:type="dxa"/>
            <w:vAlign w:val="center"/>
          </w:tcPr>
          <w:p>
            <w:pPr>
              <w:autoSpaceDE w:val="0"/>
              <w:autoSpaceDN w:val="0"/>
              <w:adjustRightInd w:val="0"/>
              <w:spacing w:line="300" w:lineRule="exact"/>
              <w:jc w:val="center"/>
              <w:rPr>
                <w:rFonts w:hint="eastAsia"/>
                <w:color w:val="auto"/>
                <w:szCs w:val="21"/>
                <w:highlight w:val="none"/>
              </w:rPr>
            </w:pPr>
            <w:r>
              <w:rPr>
                <w:rFonts w:hint="eastAsia"/>
                <w:color w:val="auto"/>
                <w:szCs w:val="21"/>
                <w:highlight w:val="none"/>
              </w:rPr>
              <w:t>泥鳅</w:t>
            </w:r>
          </w:p>
        </w:tc>
        <w:tc>
          <w:tcPr>
            <w:tcW w:w="3409" w:type="dxa"/>
            <w:vAlign w:val="center"/>
          </w:tcPr>
          <w:p>
            <w:pPr>
              <w:autoSpaceDE w:val="0"/>
              <w:autoSpaceDN w:val="0"/>
              <w:adjustRightInd w:val="0"/>
              <w:spacing w:line="300" w:lineRule="exact"/>
              <w:jc w:val="center"/>
              <w:rPr>
                <w:rFonts w:hint="eastAsia"/>
                <w:i/>
                <w:iCs/>
                <w:color w:val="auto"/>
                <w:szCs w:val="21"/>
                <w:highlight w:val="none"/>
              </w:rPr>
            </w:pPr>
            <w:r>
              <w:rPr>
                <w:rFonts w:hint="eastAsia"/>
                <w:i/>
                <w:iCs/>
                <w:color w:val="auto"/>
                <w:szCs w:val="21"/>
                <w:highlight w:val="none"/>
              </w:rPr>
              <w:t>Misgurnus anguillicaudatus</w:t>
            </w:r>
          </w:p>
        </w:tc>
      </w:tr>
    </w:tbl>
    <w:p>
      <w:pPr>
        <w:autoSpaceDE w:val="0"/>
        <w:autoSpaceDN w:val="0"/>
        <w:adjustRightInd w:val="0"/>
        <w:spacing w:line="480" w:lineRule="exact"/>
        <w:ind w:firstLine="480"/>
        <w:jc w:val="left"/>
        <w:rPr>
          <w:sz w:val="24"/>
          <w:highlight w:val="none"/>
          <w:lang w:val="zh-CN"/>
        </w:rPr>
      </w:pPr>
      <w:r>
        <w:rPr>
          <w:rFonts w:hint="eastAsia"/>
          <w:sz w:val="24"/>
          <w:highlight w:val="none"/>
          <w:lang w:val="en-US" w:eastAsia="zh-CN"/>
        </w:rPr>
        <w:fldChar w:fldCharType="begin"/>
      </w:r>
      <w:r>
        <w:rPr>
          <w:rFonts w:hint="eastAsia"/>
          <w:sz w:val="24"/>
          <w:highlight w:val="none"/>
          <w:lang w:val="en-US" w:eastAsia="zh-CN"/>
        </w:rPr>
        <w:instrText xml:space="preserve"> = 6 \* GB3 \* MERGEFORMAT </w:instrText>
      </w:r>
      <w:r>
        <w:rPr>
          <w:rFonts w:hint="eastAsia"/>
          <w:sz w:val="24"/>
          <w:highlight w:val="none"/>
          <w:lang w:val="en-US" w:eastAsia="zh-CN"/>
        </w:rPr>
        <w:fldChar w:fldCharType="separate"/>
      </w:r>
      <w:r>
        <w:rPr>
          <w:sz w:val="24"/>
          <w:highlight w:val="none"/>
          <w:lang w:val="zh-CN"/>
        </w:rPr>
        <w:t>⑥</w:t>
      </w:r>
      <w:r>
        <w:rPr>
          <w:rFonts w:hint="eastAsia"/>
          <w:sz w:val="24"/>
          <w:highlight w:val="none"/>
          <w:lang w:val="en-US" w:eastAsia="zh-CN"/>
        </w:rPr>
        <w:fldChar w:fldCharType="end"/>
      </w:r>
      <w:r>
        <w:rPr>
          <w:sz w:val="24"/>
          <w:highlight w:val="none"/>
          <w:lang w:val="zh-CN"/>
        </w:rPr>
        <w:t>鱼类“三场”</w:t>
      </w:r>
    </w:p>
    <w:p>
      <w:pPr>
        <w:autoSpaceDE w:val="0"/>
        <w:autoSpaceDN w:val="0"/>
        <w:adjustRightInd w:val="0"/>
        <w:spacing w:line="480" w:lineRule="exact"/>
        <w:ind w:firstLine="480"/>
        <w:jc w:val="left"/>
        <w:rPr>
          <w:sz w:val="24"/>
          <w:highlight w:val="none"/>
          <w:lang w:val="zh-CN"/>
        </w:rPr>
      </w:pPr>
      <w:r>
        <w:rPr>
          <w:sz w:val="24"/>
          <w:highlight w:val="none"/>
          <w:lang w:val="zh-CN"/>
        </w:rPr>
        <w:t>黎河评价河段不存在鱼类索饵场、鱼类越冬场、鱼类产卵场。评价河段无长距离洄游鱼类，无鱼类洄游通道。</w:t>
      </w:r>
    </w:p>
    <w:p>
      <w:pPr>
        <w:snapToGrid w:val="0"/>
        <w:spacing w:line="480" w:lineRule="exact"/>
        <w:outlineLvl w:val="2"/>
        <w:rPr>
          <w:b/>
          <w:snapToGrid w:val="0"/>
          <w:kern w:val="0"/>
          <w:sz w:val="24"/>
          <w:highlight w:val="none"/>
        </w:rPr>
      </w:pPr>
      <w:bookmarkStart w:id="211" w:name="_Toc519179371"/>
      <w:bookmarkStart w:id="212" w:name="_Toc509806790"/>
      <w:bookmarkStart w:id="213" w:name="_Toc509898630"/>
    </w:p>
    <w:p>
      <w:pPr>
        <w:snapToGrid w:val="0"/>
        <w:spacing w:line="480" w:lineRule="exact"/>
        <w:outlineLvl w:val="2"/>
        <w:rPr>
          <w:b/>
          <w:snapToGrid w:val="0"/>
          <w:kern w:val="0"/>
          <w:sz w:val="24"/>
          <w:highlight w:val="none"/>
        </w:rPr>
      </w:pPr>
      <w:r>
        <w:rPr>
          <w:b/>
          <w:snapToGrid w:val="0"/>
          <w:kern w:val="0"/>
          <w:sz w:val="24"/>
          <w:highlight w:val="none"/>
        </w:rPr>
        <w:t>4.</w:t>
      </w:r>
      <w:r>
        <w:rPr>
          <w:rFonts w:hint="eastAsia"/>
          <w:b/>
          <w:snapToGrid w:val="0"/>
          <w:kern w:val="0"/>
          <w:sz w:val="24"/>
          <w:highlight w:val="none"/>
        </w:rPr>
        <w:t>9</w:t>
      </w:r>
      <w:r>
        <w:rPr>
          <w:b/>
          <w:snapToGrid w:val="0"/>
          <w:kern w:val="0"/>
          <w:sz w:val="24"/>
          <w:highlight w:val="none"/>
        </w:rPr>
        <w:t>.3项目涉及的生态敏感区域</w:t>
      </w:r>
      <w:bookmarkEnd w:id="211"/>
      <w:bookmarkEnd w:id="212"/>
      <w:bookmarkEnd w:id="213"/>
    </w:p>
    <w:p>
      <w:pPr>
        <w:autoSpaceDE w:val="0"/>
        <w:autoSpaceDN w:val="0"/>
        <w:adjustRightInd w:val="0"/>
        <w:spacing w:line="480" w:lineRule="exact"/>
        <w:ind w:firstLine="480"/>
        <w:rPr>
          <w:sz w:val="24"/>
          <w:highlight w:val="none"/>
          <w:lang w:val="zh-CN"/>
        </w:rPr>
      </w:pPr>
      <w:r>
        <w:rPr>
          <w:sz w:val="24"/>
          <w:highlight w:val="none"/>
          <w:lang w:val="zh-CN"/>
        </w:rPr>
        <w:t>经调查，项目不涉及自然保护区、风景名胜区、森林公园、文物保护单位、地质公园、饮用水水源保护区等生态敏感区。本项目拦水橡胶坝位于黎河河道，属于生态红线范围。</w:t>
      </w:r>
    </w:p>
    <w:p>
      <w:pPr>
        <w:autoSpaceDE w:val="0"/>
        <w:autoSpaceDN w:val="0"/>
        <w:adjustRightInd w:val="0"/>
        <w:spacing w:line="480" w:lineRule="exact"/>
        <w:ind w:firstLine="560"/>
        <w:rPr>
          <w:color w:val="auto"/>
          <w:sz w:val="24"/>
          <w:highlight w:val="none"/>
        </w:rPr>
      </w:pPr>
      <w:r>
        <w:rPr>
          <w:sz w:val="24"/>
          <w:highlight w:val="none"/>
          <w:lang w:val="zh-CN"/>
        </w:rPr>
        <w:t>根据原环保部《关于对河北省引滦流域断面水质预警的通报》（环办水体函[2016]1485号）及《关于对引滦流域断面和陡河水库水质恶化问题实施限期整改的通知》，</w:t>
      </w:r>
      <w:r>
        <w:rPr>
          <w:sz w:val="24"/>
          <w:highlight w:val="none"/>
        </w:rPr>
        <w:t>2016年8月16日，</w:t>
      </w:r>
      <w:r>
        <w:rPr>
          <w:sz w:val="24"/>
          <w:highlight w:val="none"/>
          <w:lang w:val="zh-CN"/>
        </w:rPr>
        <w:t>遵化市人民政府办公室印发了《遵化市引滦流域黎河、沙河环境治理工作方案》的通知，确定“黎河出境监测断面水质稳定达到Ⅲ类水质标准”。</w:t>
      </w:r>
      <w:r>
        <w:rPr>
          <w:color w:val="auto"/>
          <w:sz w:val="24"/>
          <w:highlight w:val="none"/>
        </w:rPr>
        <w:t>遵化市控制断面为沙河桥断面见表</w:t>
      </w:r>
      <w:r>
        <w:rPr>
          <w:rFonts w:hint="eastAsia"/>
          <w:color w:val="auto"/>
          <w:sz w:val="24"/>
          <w:highlight w:val="none"/>
        </w:rPr>
        <w:t>4.9</w:t>
      </w:r>
      <w:r>
        <w:rPr>
          <w:color w:val="auto"/>
          <w:sz w:val="24"/>
          <w:highlight w:val="none"/>
        </w:rPr>
        <w:t>-</w:t>
      </w:r>
      <w:r>
        <w:rPr>
          <w:rFonts w:hint="eastAsia"/>
          <w:color w:val="auto"/>
          <w:sz w:val="24"/>
          <w:highlight w:val="none"/>
          <w:lang w:val="en-US" w:eastAsia="zh-CN"/>
        </w:rPr>
        <w:t>10</w:t>
      </w:r>
      <w:r>
        <w:rPr>
          <w:color w:val="auto"/>
          <w:sz w:val="24"/>
          <w:highlight w:val="none"/>
        </w:rPr>
        <w:t>。</w:t>
      </w:r>
    </w:p>
    <w:p>
      <w:pPr>
        <w:autoSpaceDE w:val="0"/>
        <w:autoSpaceDN w:val="0"/>
        <w:adjustRightInd w:val="0"/>
        <w:spacing w:line="480" w:lineRule="exact"/>
        <w:jc w:val="center"/>
        <w:rPr>
          <w:b/>
          <w:bCs/>
          <w:color w:val="auto"/>
          <w:sz w:val="24"/>
          <w:highlight w:val="none"/>
        </w:rPr>
      </w:pPr>
      <w:r>
        <w:rPr>
          <w:b/>
          <w:bCs/>
          <w:color w:val="auto"/>
          <w:sz w:val="24"/>
          <w:highlight w:val="none"/>
        </w:rPr>
        <w:t>表</w:t>
      </w:r>
      <w:r>
        <w:rPr>
          <w:rFonts w:hint="eastAsia"/>
          <w:b/>
          <w:bCs/>
          <w:color w:val="auto"/>
          <w:sz w:val="24"/>
          <w:highlight w:val="none"/>
        </w:rPr>
        <w:t>4.9</w:t>
      </w:r>
      <w:r>
        <w:rPr>
          <w:b/>
          <w:bCs/>
          <w:color w:val="auto"/>
          <w:sz w:val="24"/>
          <w:highlight w:val="none"/>
        </w:rPr>
        <w:t>-</w:t>
      </w:r>
      <w:r>
        <w:rPr>
          <w:rFonts w:hint="eastAsia"/>
          <w:b/>
          <w:bCs/>
          <w:color w:val="auto"/>
          <w:sz w:val="24"/>
          <w:highlight w:val="none"/>
          <w:lang w:val="en-US" w:eastAsia="zh-CN"/>
        </w:rPr>
        <w:t>10</w:t>
      </w:r>
      <w:r>
        <w:rPr>
          <w:b/>
          <w:bCs/>
          <w:color w:val="auto"/>
          <w:sz w:val="24"/>
          <w:highlight w:val="none"/>
        </w:rPr>
        <w:t xml:space="preserve">   </w:t>
      </w:r>
      <w:r>
        <w:rPr>
          <w:rFonts w:hint="eastAsia"/>
          <w:b/>
          <w:bCs/>
          <w:color w:val="auto"/>
          <w:sz w:val="24"/>
          <w:highlight w:val="none"/>
        </w:rPr>
        <w:t>黎河</w:t>
      </w:r>
      <w:r>
        <w:rPr>
          <w:b/>
          <w:bCs/>
          <w:color w:val="auto"/>
          <w:sz w:val="24"/>
          <w:highlight w:val="none"/>
        </w:rPr>
        <w:t>水环境控制单元及控制目标</w:t>
      </w:r>
    </w:p>
    <w:tbl>
      <w:tblPr>
        <w:tblStyle w:val="51"/>
        <w:tblW w:w="772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839"/>
        <w:gridCol w:w="3776"/>
        <w:gridCol w:w="210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5" w:hRule="atLeast"/>
          <w:jc w:val="center"/>
        </w:trPr>
        <w:tc>
          <w:tcPr>
            <w:tcW w:w="1839" w:type="dxa"/>
            <w:tcBorders>
              <w:tl2br w:val="nil"/>
              <w:tr2bl w:val="nil"/>
            </w:tcBorders>
            <w:shd w:val="clear" w:color="auto" w:fill="auto"/>
          </w:tcPr>
          <w:p>
            <w:pPr>
              <w:autoSpaceDE w:val="0"/>
              <w:autoSpaceDN w:val="0"/>
              <w:adjustRightInd w:val="0"/>
              <w:spacing w:line="300" w:lineRule="exact"/>
              <w:jc w:val="center"/>
              <w:rPr>
                <w:color w:val="auto"/>
                <w:szCs w:val="21"/>
                <w:highlight w:val="none"/>
              </w:rPr>
            </w:pPr>
            <w:r>
              <w:rPr>
                <w:color w:val="auto"/>
                <w:szCs w:val="21"/>
                <w:highlight w:val="none"/>
              </w:rPr>
              <w:t>河流名称</w:t>
            </w:r>
          </w:p>
        </w:tc>
        <w:tc>
          <w:tcPr>
            <w:tcW w:w="3776" w:type="dxa"/>
            <w:tcBorders>
              <w:tl2br w:val="nil"/>
              <w:tr2bl w:val="nil"/>
            </w:tcBorders>
            <w:shd w:val="clear" w:color="auto" w:fill="auto"/>
          </w:tcPr>
          <w:p>
            <w:pPr>
              <w:autoSpaceDE w:val="0"/>
              <w:autoSpaceDN w:val="0"/>
              <w:adjustRightInd w:val="0"/>
              <w:spacing w:line="300" w:lineRule="exact"/>
              <w:jc w:val="center"/>
              <w:rPr>
                <w:color w:val="auto"/>
                <w:szCs w:val="21"/>
                <w:highlight w:val="none"/>
              </w:rPr>
            </w:pPr>
            <w:r>
              <w:rPr>
                <w:color w:val="auto"/>
                <w:szCs w:val="21"/>
                <w:highlight w:val="none"/>
              </w:rPr>
              <w:t>控制断面</w:t>
            </w:r>
          </w:p>
        </w:tc>
        <w:tc>
          <w:tcPr>
            <w:tcW w:w="2109" w:type="dxa"/>
            <w:tcBorders>
              <w:tl2br w:val="nil"/>
              <w:tr2bl w:val="nil"/>
            </w:tcBorders>
            <w:shd w:val="clear" w:color="auto" w:fill="auto"/>
          </w:tcPr>
          <w:p>
            <w:pPr>
              <w:autoSpaceDE w:val="0"/>
              <w:autoSpaceDN w:val="0"/>
              <w:adjustRightInd w:val="0"/>
              <w:spacing w:line="300" w:lineRule="exact"/>
              <w:jc w:val="center"/>
              <w:rPr>
                <w:color w:val="auto"/>
                <w:szCs w:val="21"/>
                <w:highlight w:val="none"/>
              </w:rPr>
            </w:pPr>
            <w:r>
              <w:rPr>
                <w:color w:val="auto"/>
                <w:szCs w:val="21"/>
                <w:highlight w:val="none"/>
              </w:rPr>
              <w:t>水质目标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60" w:hRule="atLeast"/>
          <w:jc w:val="center"/>
        </w:trPr>
        <w:tc>
          <w:tcPr>
            <w:tcW w:w="1839" w:type="dxa"/>
            <w:tcBorders>
              <w:tl2br w:val="nil"/>
              <w:tr2bl w:val="nil"/>
            </w:tcBorders>
            <w:shd w:val="clear" w:color="auto" w:fill="auto"/>
          </w:tcPr>
          <w:p>
            <w:pPr>
              <w:autoSpaceDE w:val="0"/>
              <w:autoSpaceDN w:val="0"/>
              <w:adjustRightInd w:val="0"/>
              <w:spacing w:line="300" w:lineRule="exact"/>
              <w:jc w:val="center"/>
              <w:rPr>
                <w:color w:val="auto"/>
                <w:szCs w:val="21"/>
                <w:highlight w:val="none"/>
              </w:rPr>
            </w:pPr>
            <w:r>
              <w:rPr>
                <w:color w:val="auto"/>
                <w:szCs w:val="21"/>
                <w:highlight w:val="none"/>
              </w:rPr>
              <w:t>黎河</w:t>
            </w:r>
          </w:p>
        </w:tc>
        <w:tc>
          <w:tcPr>
            <w:tcW w:w="3776" w:type="dxa"/>
            <w:tcBorders>
              <w:tl2br w:val="nil"/>
              <w:tr2bl w:val="nil"/>
            </w:tcBorders>
            <w:shd w:val="clear" w:color="auto" w:fill="auto"/>
          </w:tcPr>
          <w:p>
            <w:pPr>
              <w:autoSpaceDE w:val="0"/>
              <w:autoSpaceDN w:val="0"/>
              <w:adjustRightInd w:val="0"/>
              <w:spacing w:line="300" w:lineRule="exact"/>
              <w:jc w:val="center"/>
              <w:rPr>
                <w:color w:val="auto"/>
                <w:szCs w:val="21"/>
                <w:highlight w:val="none"/>
              </w:rPr>
            </w:pPr>
            <w:r>
              <w:rPr>
                <w:color w:val="auto"/>
                <w:szCs w:val="21"/>
                <w:highlight w:val="none"/>
              </w:rPr>
              <w:t>黎河桥断面</w:t>
            </w:r>
          </w:p>
        </w:tc>
        <w:tc>
          <w:tcPr>
            <w:tcW w:w="2109" w:type="dxa"/>
            <w:tcBorders>
              <w:tl2br w:val="nil"/>
              <w:tr2bl w:val="nil"/>
            </w:tcBorders>
            <w:shd w:val="clear" w:color="auto" w:fill="auto"/>
          </w:tcPr>
          <w:p>
            <w:pPr>
              <w:autoSpaceDE w:val="0"/>
              <w:autoSpaceDN w:val="0"/>
              <w:adjustRightInd w:val="0"/>
              <w:spacing w:line="300" w:lineRule="exact"/>
              <w:jc w:val="center"/>
              <w:rPr>
                <w:color w:val="auto"/>
                <w:szCs w:val="21"/>
                <w:highlight w:val="none"/>
              </w:rPr>
            </w:pPr>
            <w:r>
              <w:rPr>
                <w:color w:val="auto"/>
                <w:szCs w:val="21"/>
                <w:highlight w:val="none"/>
              </w:rPr>
              <w:t>III类</w:t>
            </w:r>
          </w:p>
        </w:tc>
      </w:tr>
    </w:tbl>
    <w:p>
      <w:pPr>
        <w:autoSpaceDE w:val="0"/>
        <w:autoSpaceDN w:val="0"/>
        <w:adjustRightInd w:val="0"/>
        <w:spacing w:line="480" w:lineRule="exact"/>
        <w:ind w:firstLine="480"/>
        <w:rPr>
          <w:color w:val="auto"/>
          <w:sz w:val="24"/>
          <w:highlight w:val="none"/>
        </w:rPr>
      </w:pPr>
      <w:r>
        <w:rPr>
          <w:rFonts w:hint="eastAsia"/>
          <w:color w:val="auto"/>
          <w:sz w:val="24"/>
          <w:highlight w:val="none"/>
        </w:rPr>
        <w:t>2016年以来，遵化市采取的措施如下：</w:t>
      </w:r>
    </w:p>
    <w:p>
      <w:pPr>
        <w:autoSpaceDE w:val="0"/>
        <w:autoSpaceDN w:val="0"/>
        <w:adjustRightInd w:val="0"/>
        <w:spacing w:line="480" w:lineRule="exact"/>
        <w:ind w:firstLine="480"/>
        <w:rPr>
          <w:color w:val="auto"/>
          <w:sz w:val="24"/>
          <w:highlight w:val="none"/>
          <w:lang w:val="zh-CN"/>
        </w:rPr>
      </w:pPr>
      <w:r>
        <w:rPr>
          <w:rFonts w:hint="eastAsia"/>
          <w:color w:val="auto"/>
          <w:sz w:val="24"/>
          <w:highlight w:val="none"/>
          <w:lang w:val="zh-CN"/>
        </w:rPr>
        <w:t>（</w:t>
      </w:r>
      <w:r>
        <w:rPr>
          <w:rFonts w:hint="eastAsia"/>
          <w:color w:val="auto"/>
          <w:sz w:val="24"/>
          <w:highlight w:val="none"/>
        </w:rPr>
        <w:t>1</w:t>
      </w:r>
      <w:r>
        <w:rPr>
          <w:rFonts w:hint="eastAsia"/>
          <w:color w:val="auto"/>
          <w:sz w:val="24"/>
          <w:highlight w:val="none"/>
          <w:lang w:val="zh-CN"/>
        </w:rPr>
        <w:t>）取缔黎河、沙河两岸500米范围内的非法采选矿及其它工业企业、畜牧养殖场；取缔河道内网箱养鱼。</w:t>
      </w:r>
    </w:p>
    <w:p>
      <w:pPr>
        <w:autoSpaceDE w:val="0"/>
        <w:autoSpaceDN w:val="0"/>
        <w:adjustRightInd w:val="0"/>
        <w:spacing w:line="480" w:lineRule="exact"/>
        <w:ind w:firstLine="480"/>
        <w:rPr>
          <w:color w:val="auto"/>
          <w:sz w:val="24"/>
          <w:highlight w:val="none"/>
          <w:lang w:val="zh-CN"/>
        </w:rPr>
      </w:pPr>
      <w:r>
        <w:rPr>
          <w:rFonts w:hint="eastAsia"/>
          <w:color w:val="auto"/>
          <w:sz w:val="24"/>
          <w:highlight w:val="none"/>
          <w:lang w:val="zh-CN"/>
        </w:rPr>
        <w:t>（</w:t>
      </w:r>
      <w:r>
        <w:rPr>
          <w:rFonts w:hint="eastAsia"/>
          <w:color w:val="auto"/>
          <w:sz w:val="24"/>
          <w:highlight w:val="none"/>
        </w:rPr>
        <w:t>2</w:t>
      </w:r>
      <w:r>
        <w:rPr>
          <w:rFonts w:hint="eastAsia"/>
          <w:color w:val="auto"/>
          <w:sz w:val="24"/>
          <w:highlight w:val="none"/>
          <w:lang w:val="zh-CN"/>
        </w:rPr>
        <w:t>）禁止向黎河、沙河河道内排污、排尾、倾倒垃圾，依法规范排污、排尾行为，建立垃圾收集、清运、处理长效机制。</w:t>
      </w:r>
    </w:p>
    <w:p>
      <w:pPr>
        <w:autoSpaceDE w:val="0"/>
        <w:autoSpaceDN w:val="0"/>
        <w:adjustRightInd w:val="0"/>
        <w:spacing w:line="480" w:lineRule="exact"/>
        <w:ind w:firstLine="480"/>
        <w:rPr>
          <w:color w:val="auto"/>
          <w:sz w:val="24"/>
          <w:highlight w:val="none"/>
          <w:lang w:val="zh-CN"/>
        </w:rPr>
      </w:pPr>
      <w:r>
        <w:rPr>
          <w:rFonts w:hint="eastAsia"/>
          <w:color w:val="auto"/>
          <w:sz w:val="24"/>
          <w:highlight w:val="none"/>
          <w:lang w:val="zh-CN"/>
        </w:rPr>
        <w:t>（</w:t>
      </w:r>
      <w:r>
        <w:rPr>
          <w:rFonts w:hint="eastAsia"/>
          <w:color w:val="auto"/>
          <w:sz w:val="24"/>
          <w:highlight w:val="none"/>
        </w:rPr>
        <w:t>3</w:t>
      </w:r>
      <w:r>
        <w:rPr>
          <w:rFonts w:hint="eastAsia"/>
          <w:color w:val="auto"/>
          <w:sz w:val="24"/>
          <w:highlight w:val="none"/>
          <w:lang w:val="zh-CN"/>
        </w:rPr>
        <w:t>）做好黎河、沙河两岸500米范围内尾矿库的削坡、绿化及消除重点尾矿库安全隐患工作。</w:t>
      </w:r>
    </w:p>
    <w:p>
      <w:pPr>
        <w:autoSpaceDE w:val="0"/>
        <w:autoSpaceDN w:val="0"/>
        <w:adjustRightInd w:val="0"/>
        <w:spacing w:line="480" w:lineRule="exact"/>
        <w:ind w:firstLine="480"/>
        <w:rPr>
          <w:color w:val="auto"/>
          <w:sz w:val="24"/>
          <w:highlight w:val="none"/>
          <w:lang w:val="zh-CN"/>
        </w:rPr>
      </w:pPr>
      <w:r>
        <w:rPr>
          <w:rFonts w:hint="eastAsia"/>
          <w:color w:val="auto"/>
          <w:sz w:val="24"/>
          <w:highlight w:val="none"/>
          <w:lang w:val="zh-CN"/>
        </w:rPr>
        <w:t>（</w:t>
      </w:r>
      <w:r>
        <w:rPr>
          <w:rFonts w:hint="eastAsia"/>
          <w:color w:val="auto"/>
          <w:sz w:val="24"/>
          <w:highlight w:val="none"/>
        </w:rPr>
        <w:t>4</w:t>
      </w:r>
      <w:r>
        <w:rPr>
          <w:rFonts w:hint="eastAsia"/>
          <w:color w:val="auto"/>
          <w:sz w:val="24"/>
          <w:highlight w:val="none"/>
          <w:lang w:val="zh-CN"/>
        </w:rPr>
        <w:t>）实施一批水污染防治和生态环境改善项目，使黎河、沙河水环境质量得到根本改善。</w:t>
      </w:r>
    </w:p>
    <w:p>
      <w:pPr>
        <w:autoSpaceDE w:val="0"/>
        <w:autoSpaceDN w:val="0"/>
        <w:adjustRightInd w:val="0"/>
        <w:spacing w:line="480" w:lineRule="exact"/>
        <w:ind w:firstLine="480"/>
        <w:rPr>
          <w:color w:val="auto"/>
          <w:sz w:val="24"/>
          <w:highlight w:val="none"/>
          <w:lang w:val="zh-CN"/>
        </w:rPr>
      </w:pPr>
      <w:r>
        <w:rPr>
          <w:rFonts w:hint="eastAsia"/>
          <w:color w:val="auto"/>
          <w:sz w:val="24"/>
          <w:highlight w:val="none"/>
          <w:lang w:val="zh-CN"/>
        </w:rPr>
        <w:t>（</w:t>
      </w:r>
      <w:r>
        <w:rPr>
          <w:rFonts w:hint="eastAsia"/>
          <w:color w:val="auto"/>
          <w:sz w:val="24"/>
          <w:highlight w:val="none"/>
        </w:rPr>
        <w:t>5</w:t>
      </w:r>
      <w:r>
        <w:rPr>
          <w:rFonts w:hint="eastAsia"/>
          <w:color w:val="auto"/>
          <w:sz w:val="24"/>
          <w:highlight w:val="none"/>
          <w:lang w:val="zh-CN"/>
        </w:rPr>
        <w:t>）建立沿河环境保护巡查、监管长效机制。</w:t>
      </w:r>
    </w:p>
    <w:p>
      <w:pPr>
        <w:autoSpaceDE w:val="0"/>
        <w:autoSpaceDN w:val="0"/>
        <w:adjustRightInd w:val="0"/>
        <w:spacing w:line="480" w:lineRule="exact"/>
        <w:ind w:firstLine="480"/>
        <w:rPr>
          <w:color w:val="auto"/>
          <w:sz w:val="24"/>
          <w:highlight w:val="none"/>
          <w:lang w:val="zh-CN"/>
        </w:rPr>
      </w:pPr>
      <w:r>
        <w:rPr>
          <w:rFonts w:hint="eastAsia"/>
          <w:color w:val="auto"/>
          <w:sz w:val="24"/>
          <w:highlight w:val="none"/>
          <w:lang w:val="zh-CN"/>
        </w:rPr>
        <w:t>采取上述措施后，污染物削减量见表</w:t>
      </w:r>
      <w:r>
        <w:rPr>
          <w:rFonts w:hint="eastAsia"/>
          <w:color w:val="auto"/>
          <w:sz w:val="24"/>
          <w:highlight w:val="none"/>
        </w:rPr>
        <w:t>4.9-</w:t>
      </w:r>
      <w:r>
        <w:rPr>
          <w:rFonts w:hint="eastAsia"/>
          <w:color w:val="auto"/>
          <w:sz w:val="24"/>
          <w:highlight w:val="none"/>
          <w:lang w:val="en-US" w:eastAsia="zh-CN"/>
        </w:rPr>
        <w:t>11</w:t>
      </w:r>
      <w:r>
        <w:rPr>
          <w:rFonts w:hint="eastAsia"/>
          <w:color w:val="auto"/>
          <w:sz w:val="24"/>
          <w:highlight w:val="none"/>
          <w:lang w:val="zh-CN"/>
        </w:rPr>
        <w:t>。</w:t>
      </w:r>
    </w:p>
    <w:p>
      <w:pPr>
        <w:autoSpaceDE w:val="0"/>
        <w:autoSpaceDN w:val="0"/>
        <w:adjustRightInd w:val="0"/>
        <w:spacing w:line="480" w:lineRule="exact"/>
        <w:jc w:val="center"/>
        <w:rPr>
          <w:b/>
          <w:bCs/>
          <w:sz w:val="24"/>
          <w:highlight w:val="none"/>
          <w:lang w:val="zh-CN"/>
        </w:rPr>
      </w:pPr>
      <w:r>
        <w:rPr>
          <w:rFonts w:hint="eastAsia"/>
          <w:b/>
          <w:bCs/>
          <w:color w:val="auto"/>
          <w:sz w:val="24"/>
          <w:highlight w:val="none"/>
          <w:lang w:val="zh-CN"/>
        </w:rPr>
        <w:t>表</w:t>
      </w:r>
      <w:r>
        <w:rPr>
          <w:rFonts w:hint="eastAsia"/>
          <w:b/>
          <w:bCs/>
          <w:color w:val="auto"/>
          <w:sz w:val="24"/>
          <w:highlight w:val="none"/>
        </w:rPr>
        <w:t>4.9-</w:t>
      </w:r>
      <w:r>
        <w:rPr>
          <w:rFonts w:hint="eastAsia"/>
          <w:b/>
          <w:bCs/>
          <w:color w:val="auto"/>
          <w:sz w:val="24"/>
          <w:highlight w:val="none"/>
          <w:lang w:val="en-US" w:eastAsia="zh-CN"/>
        </w:rPr>
        <w:t>11</w:t>
      </w:r>
      <w:r>
        <w:rPr>
          <w:rFonts w:hint="eastAsia"/>
          <w:b/>
          <w:bCs/>
          <w:color w:val="auto"/>
          <w:sz w:val="24"/>
          <w:highlight w:val="none"/>
          <w:lang w:val="zh-CN"/>
        </w:rPr>
        <w:t xml:space="preserve">   治理工程污染物削减量一览</w:t>
      </w:r>
      <w:r>
        <w:rPr>
          <w:rFonts w:hint="eastAsia"/>
          <w:b/>
          <w:bCs/>
          <w:sz w:val="24"/>
          <w:highlight w:val="none"/>
          <w:lang w:val="zh-CN"/>
        </w:rPr>
        <w:t>表</w:t>
      </w:r>
    </w:p>
    <w:tbl>
      <w:tblPr>
        <w:tblStyle w:val="51"/>
        <w:tblW w:w="8325"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562"/>
        <w:gridCol w:w="4199"/>
        <w:gridCol w:w="1220"/>
        <w:gridCol w:w="1179"/>
        <w:gridCol w:w="116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06" w:hRule="atLeast"/>
          <w:jc w:val="center"/>
        </w:trPr>
        <w:tc>
          <w:tcPr>
            <w:tcW w:w="562" w:type="dxa"/>
            <w:vMerge w:val="restart"/>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序号</w:t>
            </w:r>
          </w:p>
        </w:tc>
        <w:tc>
          <w:tcPr>
            <w:tcW w:w="4199" w:type="dxa"/>
            <w:vMerge w:val="restart"/>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工程名称</w:t>
            </w:r>
          </w:p>
        </w:tc>
        <w:tc>
          <w:tcPr>
            <w:tcW w:w="3564" w:type="dxa"/>
            <w:gridSpan w:val="3"/>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削减量t/a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06" w:hRule="atLeast"/>
          <w:jc w:val="center"/>
        </w:trPr>
        <w:tc>
          <w:tcPr>
            <w:tcW w:w="562" w:type="dxa"/>
            <w:vMerge w:val="continue"/>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p>
        </w:tc>
        <w:tc>
          <w:tcPr>
            <w:tcW w:w="4199" w:type="dxa"/>
            <w:vMerge w:val="continue"/>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p>
        </w:tc>
        <w:tc>
          <w:tcPr>
            <w:tcW w:w="1220"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COD</w:t>
            </w:r>
          </w:p>
        </w:tc>
        <w:tc>
          <w:tcPr>
            <w:tcW w:w="1179"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氨氮</w:t>
            </w:r>
          </w:p>
        </w:tc>
        <w:tc>
          <w:tcPr>
            <w:tcW w:w="1165" w:type="dxa"/>
            <w:tcBorders>
              <w:tl2br w:val="nil"/>
              <w:tr2bl w:val="nil"/>
            </w:tcBorders>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总磷</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562"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1</w:t>
            </w:r>
          </w:p>
        </w:tc>
        <w:tc>
          <w:tcPr>
            <w:tcW w:w="4199"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遵化市城区雨污分流污水管网配套工程</w:t>
            </w:r>
          </w:p>
        </w:tc>
        <w:tc>
          <w:tcPr>
            <w:tcW w:w="1220"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485.82</w:t>
            </w:r>
          </w:p>
        </w:tc>
        <w:tc>
          <w:tcPr>
            <w:tcW w:w="1179"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33.69</w:t>
            </w:r>
          </w:p>
        </w:tc>
        <w:tc>
          <w:tcPr>
            <w:tcW w:w="1165" w:type="dxa"/>
            <w:tcBorders>
              <w:tl2br w:val="nil"/>
              <w:tr2bl w:val="nil"/>
            </w:tcBorders>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0.82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01" w:hRule="atLeast"/>
          <w:jc w:val="center"/>
        </w:trPr>
        <w:tc>
          <w:tcPr>
            <w:tcW w:w="562"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2</w:t>
            </w:r>
          </w:p>
        </w:tc>
        <w:tc>
          <w:tcPr>
            <w:tcW w:w="4199"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遵化市污水处理厂一级A提标改造项目</w:t>
            </w:r>
          </w:p>
        </w:tc>
        <w:tc>
          <w:tcPr>
            <w:tcW w:w="1220"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0</w:t>
            </w:r>
          </w:p>
        </w:tc>
        <w:tc>
          <w:tcPr>
            <w:tcW w:w="1179"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0</w:t>
            </w:r>
          </w:p>
        </w:tc>
        <w:tc>
          <w:tcPr>
            <w:tcW w:w="1165" w:type="dxa"/>
            <w:tcBorders>
              <w:tl2br w:val="nil"/>
              <w:tr2bl w:val="nil"/>
            </w:tcBorders>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3.86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562"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3</w:t>
            </w:r>
          </w:p>
        </w:tc>
        <w:tc>
          <w:tcPr>
            <w:tcW w:w="4199"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城区污水管网疏通工程</w:t>
            </w:r>
          </w:p>
        </w:tc>
        <w:tc>
          <w:tcPr>
            <w:tcW w:w="1220"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2168.83</w:t>
            </w:r>
          </w:p>
        </w:tc>
        <w:tc>
          <w:tcPr>
            <w:tcW w:w="1179"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150.38</w:t>
            </w:r>
          </w:p>
        </w:tc>
        <w:tc>
          <w:tcPr>
            <w:tcW w:w="1165" w:type="dxa"/>
            <w:tcBorders>
              <w:tl2br w:val="nil"/>
              <w:tr2bl w:val="nil"/>
            </w:tcBorders>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22.63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85" w:hRule="atLeast"/>
          <w:jc w:val="center"/>
        </w:trPr>
        <w:tc>
          <w:tcPr>
            <w:tcW w:w="562"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4</w:t>
            </w:r>
          </w:p>
        </w:tc>
        <w:tc>
          <w:tcPr>
            <w:tcW w:w="4199"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遵化经济开发区污水管线工程</w:t>
            </w:r>
          </w:p>
        </w:tc>
        <w:tc>
          <w:tcPr>
            <w:tcW w:w="1220"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25.98</w:t>
            </w:r>
          </w:p>
        </w:tc>
        <w:tc>
          <w:tcPr>
            <w:tcW w:w="1179"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3.71</w:t>
            </w:r>
          </w:p>
        </w:tc>
        <w:tc>
          <w:tcPr>
            <w:tcW w:w="1165" w:type="dxa"/>
            <w:tcBorders>
              <w:tl2br w:val="nil"/>
              <w:tr2bl w:val="nil"/>
            </w:tcBorders>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0.4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562"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5</w:t>
            </w:r>
          </w:p>
        </w:tc>
        <w:tc>
          <w:tcPr>
            <w:tcW w:w="4199"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黎河、沙河沿线畜禽养殖专项整治工程</w:t>
            </w:r>
          </w:p>
        </w:tc>
        <w:tc>
          <w:tcPr>
            <w:tcW w:w="1220"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w:t>
            </w:r>
          </w:p>
        </w:tc>
        <w:tc>
          <w:tcPr>
            <w:tcW w:w="1179"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w:t>
            </w:r>
          </w:p>
        </w:tc>
        <w:tc>
          <w:tcPr>
            <w:tcW w:w="1165" w:type="dxa"/>
            <w:tcBorders>
              <w:tl2br w:val="nil"/>
              <w:tr2bl w:val="nil"/>
            </w:tcBorders>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562"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6</w:t>
            </w:r>
          </w:p>
        </w:tc>
        <w:tc>
          <w:tcPr>
            <w:tcW w:w="4199"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取缔沙河网箱养鱼工程</w:t>
            </w:r>
          </w:p>
        </w:tc>
        <w:tc>
          <w:tcPr>
            <w:tcW w:w="1220"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w:t>
            </w:r>
          </w:p>
        </w:tc>
        <w:tc>
          <w:tcPr>
            <w:tcW w:w="1179"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w:t>
            </w:r>
          </w:p>
        </w:tc>
        <w:tc>
          <w:tcPr>
            <w:tcW w:w="1165" w:type="dxa"/>
            <w:tcBorders>
              <w:tl2br w:val="nil"/>
              <w:tr2bl w:val="nil"/>
            </w:tcBorders>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562"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7</w:t>
            </w:r>
          </w:p>
        </w:tc>
        <w:tc>
          <w:tcPr>
            <w:tcW w:w="4199"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污水处理厂中水回用及配套工程</w:t>
            </w:r>
          </w:p>
        </w:tc>
        <w:tc>
          <w:tcPr>
            <w:tcW w:w="1220"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185.06</w:t>
            </w:r>
          </w:p>
        </w:tc>
        <w:tc>
          <w:tcPr>
            <w:tcW w:w="1179"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8.76</w:t>
            </w:r>
          </w:p>
        </w:tc>
        <w:tc>
          <w:tcPr>
            <w:tcW w:w="1165" w:type="dxa"/>
            <w:tcBorders>
              <w:tl2br w:val="nil"/>
              <w:tr2bl w:val="nil"/>
            </w:tcBorders>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5.48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562"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8</w:t>
            </w:r>
          </w:p>
        </w:tc>
        <w:tc>
          <w:tcPr>
            <w:tcW w:w="4199"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黎河水环境综合治理项目</w:t>
            </w:r>
          </w:p>
        </w:tc>
        <w:tc>
          <w:tcPr>
            <w:tcW w:w="1220"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w:t>
            </w:r>
          </w:p>
        </w:tc>
        <w:tc>
          <w:tcPr>
            <w:tcW w:w="1179"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w:t>
            </w:r>
          </w:p>
        </w:tc>
        <w:tc>
          <w:tcPr>
            <w:tcW w:w="1165" w:type="dxa"/>
            <w:tcBorders>
              <w:tl2br w:val="nil"/>
              <w:tr2bl w:val="nil"/>
            </w:tcBorders>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562"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9</w:t>
            </w:r>
          </w:p>
        </w:tc>
        <w:tc>
          <w:tcPr>
            <w:tcW w:w="4199"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遵化市沙河水环境综合治理PPP项目</w:t>
            </w:r>
          </w:p>
        </w:tc>
        <w:tc>
          <w:tcPr>
            <w:tcW w:w="1220"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w:t>
            </w:r>
          </w:p>
        </w:tc>
        <w:tc>
          <w:tcPr>
            <w:tcW w:w="1179"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w:t>
            </w:r>
          </w:p>
        </w:tc>
        <w:tc>
          <w:tcPr>
            <w:tcW w:w="1165" w:type="dxa"/>
            <w:tcBorders>
              <w:tl2br w:val="nil"/>
              <w:tr2bl w:val="nil"/>
            </w:tcBorders>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0" w:hRule="atLeast"/>
          <w:jc w:val="center"/>
        </w:trPr>
        <w:tc>
          <w:tcPr>
            <w:tcW w:w="562"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10</w:t>
            </w:r>
          </w:p>
        </w:tc>
        <w:tc>
          <w:tcPr>
            <w:tcW w:w="4199"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加强涉水企业监管</w:t>
            </w:r>
          </w:p>
        </w:tc>
        <w:tc>
          <w:tcPr>
            <w:tcW w:w="1220"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w:t>
            </w:r>
          </w:p>
        </w:tc>
        <w:tc>
          <w:tcPr>
            <w:tcW w:w="1179"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w:t>
            </w:r>
          </w:p>
        </w:tc>
        <w:tc>
          <w:tcPr>
            <w:tcW w:w="1165" w:type="dxa"/>
            <w:tcBorders>
              <w:tl2br w:val="nil"/>
              <w:tr2bl w:val="nil"/>
            </w:tcBorders>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175" w:hRule="atLeast"/>
          <w:jc w:val="center"/>
        </w:trPr>
        <w:tc>
          <w:tcPr>
            <w:tcW w:w="562"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p>
        </w:tc>
        <w:tc>
          <w:tcPr>
            <w:tcW w:w="4199"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合计</w:t>
            </w:r>
          </w:p>
        </w:tc>
        <w:tc>
          <w:tcPr>
            <w:tcW w:w="1220"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2865.69</w:t>
            </w:r>
          </w:p>
        </w:tc>
        <w:tc>
          <w:tcPr>
            <w:tcW w:w="1179" w:type="dxa"/>
            <w:tcBorders>
              <w:tl2br w:val="nil"/>
              <w:tr2bl w:val="nil"/>
            </w:tcBorders>
            <w:shd w:val="clear" w:color="auto" w:fill="auto"/>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196.54</w:t>
            </w:r>
          </w:p>
        </w:tc>
        <w:tc>
          <w:tcPr>
            <w:tcW w:w="1165" w:type="dxa"/>
            <w:tcBorders>
              <w:tl2br w:val="nil"/>
              <w:tr2bl w:val="nil"/>
            </w:tcBorders>
            <w:vAlign w:val="center"/>
          </w:tcPr>
          <w:p>
            <w:pPr>
              <w:autoSpaceDE w:val="0"/>
              <w:autoSpaceDN w:val="0"/>
              <w:adjustRightInd w:val="0"/>
              <w:spacing w:line="300" w:lineRule="exact"/>
              <w:jc w:val="center"/>
              <w:rPr>
                <w:szCs w:val="21"/>
                <w:highlight w:val="none"/>
                <w:lang w:val="zh-CN"/>
              </w:rPr>
            </w:pPr>
            <w:r>
              <w:rPr>
                <w:rFonts w:hint="eastAsia"/>
                <w:szCs w:val="21"/>
                <w:highlight w:val="none"/>
                <w:lang w:val="zh-CN"/>
              </w:rPr>
              <w:t>33.19</w:t>
            </w:r>
          </w:p>
        </w:tc>
      </w:tr>
    </w:tbl>
    <w:p>
      <w:pPr>
        <w:autoSpaceDE w:val="0"/>
        <w:autoSpaceDN w:val="0"/>
        <w:adjustRightInd w:val="0"/>
        <w:spacing w:line="480" w:lineRule="exact"/>
        <w:ind w:firstLine="480"/>
        <w:rPr>
          <w:color w:val="auto"/>
          <w:sz w:val="24"/>
          <w:highlight w:val="none"/>
          <w:lang w:val="zh-CN"/>
        </w:rPr>
      </w:pPr>
      <w:r>
        <w:rPr>
          <w:rFonts w:hint="eastAsia"/>
          <w:sz w:val="24"/>
          <w:highlight w:val="none"/>
          <w:lang w:val="zh-CN"/>
        </w:rPr>
        <w:t>遵化市实施沙河、黎河水环境治理工程后，COD、氨氮、总磷总削减量分别为2865.69t/a、196.54t/a、33.19t/a，工程削减量大于入河排污量。经过上述治理工程，据检测，黎河水质能够满足《地表水环境质量标准》（GB3838-2002）中III类水</w:t>
      </w:r>
      <w:r>
        <w:rPr>
          <w:rFonts w:hint="eastAsia"/>
          <w:color w:val="auto"/>
          <w:sz w:val="24"/>
          <w:highlight w:val="none"/>
          <w:lang w:val="zh-CN"/>
        </w:rPr>
        <w:t>质要求。</w:t>
      </w:r>
    </w:p>
    <w:p>
      <w:pPr>
        <w:autoSpaceDE w:val="0"/>
        <w:autoSpaceDN w:val="0"/>
        <w:adjustRightInd w:val="0"/>
        <w:spacing w:line="480" w:lineRule="exact"/>
        <w:rPr>
          <w:rFonts w:hint="eastAsia" w:ascii="Times New Roman" w:hAnsi="Times New Roman" w:eastAsia="宋体" w:cs="Times New Roman"/>
          <w:b/>
          <w:bCs/>
          <w:color w:val="auto"/>
          <w:sz w:val="24"/>
          <w:highlight w:val="none"/>
          <w:lang w:eastAsia="zh-CN"/>
        </w:rPr>
      </w:pPr>
      <w:bookmarkStart w:id="214" w:name="_Toc29648"/>
      <w:bookmarkStart w:id="215" w:name="_Toc17268"/>
      <w:r>
        <w:rPr>
          <w:rFonts w:hint="eastAsia" w:ascii="Times New Roman" w:hAnsi="Times New Roman" w:eastAsia="宋体" w:cs="Times New Roman"/>
          <w:b/>
          <w:bCs/>
          <w:color w:val="auto"/>
          <w:sz w:val="24"/>
          <w:highlight w:val="none"/>
          <w:lang w:eastAsia="zh-CN"/>
        </w:rPr>
        <w:t>4.9.4评价区存在的主要环境问题</w:t>
      </w:r>
      <w:bookmarkEnd w:id="214"/>
      <w:bookmarkEnd w:id="215"/>
    </w:p>
    <w:p>
      <w:pPr>
        <w:autoSpaceDE w:val="0"/>
        <w:autoSpaceDN w:val="0"/>
        <w:adjustRightInd w:val="0"/>
        <w:spacing w:line="480" w:lineRule="exact"/>
        <w:ind w:firstLine="480"/>
        <w:rPr>
          <w:color w:val="auto"/>
          <w:sz w:val="24"/>
          <w:highlight w:val="none"/>
          <w:lang w:val="zh-CN"/>
        </w:rPr>
      </w:pPr>
      <w:r>
        <w:rPr>
          <w:rFonts w:hint="eastAsia" w:ascii="Times New Roman" w:hAnsi="Times New Roman" w:eastAsia="宋体" w:cs="Times New Roman"/>
          <w:color w:val="auto"/>
          <w:sz w:val="24"/>
          <w:highlight w:val="none"/>
          <w:lang w:eastAsia="zh-CN"/>
        </w:rPr>
        <w:t>除电站建</w:t>
      </w:r>
      <w:r>
        <w:rPr>
          <w:rFonts w:hint="eastAsia"/>
          <w:color w:val="auto"/>
          <w:sz w:val="24"/>
          <w:highlight w:val="none"/>
          <w:lang w:eastAsia="zh-CN"/>
        </w:rPr>
        <w:t>设占地、施工产生一定的环境影响，电站运行后无废气、废水排放，厂界噪声达标，固废得倒妥善处置；电站运行对黎河水文有一定的影响，但不改变河内原有的水生生物和周围陆生生态环境。</w:t>
      </w:r>
      <w:r>
        <w:rPr>
          <w:rFonts w:hint="eastAsia"/>
          <w:color w:val="auto"/>
          <w:sz w:val="24"/>
          <w:highlight w:val="none"/>
        </w:rPr>
        <w:t>根据对项目所在地及周边的踏勘了解，项目场地现状主要为废弃地，未开发，无</w:t>
      </w:r>
      <w:r>
        <w:rPr>
          <w:rFonts w:hint="eastAsia"/>
          <w:color w:val="auto"/>
          <w:sz w:val="24"/>
          <w:highlight w:val="none"/>
          <w:lang w:val="zh-CN"/>
        </w:rPr>
        <w:t>水土流失、沙漠化、石漠化、盐渍化、自然灾害、生物入侵，黎河沿岸原有污染问题不是电站造成，且</w:t>
      </w:r>
      <w:r>
        <w:rPr>
          <w:rFonts w:hint="eastAsia"/>
          <w:color w:val="auto"/>
          <w:sz w:val="24"/>
          <w:highlight w:val="none"/>
          <w:lang w:val="en-US" w:eastAsia="zh-CN"/>
        </w:rPr>
        <w:t>2016年以来遵化市对黎河两岸的工业废水排放及居民生活污水排放进行了彻底治理，严禁企业和居民向黎河河道排放各类废水和丢弃固废等污染物，杜绝了对河道和黎河的污染问题，同时将本项目橡胶坝以上区域“引滦入津”输水渠道改为水泥管道和隧道输水，</w:t>
      </w:r>
      <w:r>
        <w:rPr>
          <w:rFonts w:hint="eastAsia"/>
          <w:color w:val="auto"/>
          <w:sz w:val="24"/>
          <w:highlight w:val="none"/>
          <w:lang w:val="zh-CN"/>
        </w:rPr>
        <w:t>彻底解决了黎河环境问题。</w:t>
      </w:r>
    </w:p>
    <w:p>
      <w:pPr>
        <w:autoSpaceDE w:val="0"/>
        <w:autoSpaceDN w:val="0"/>
        <w:adjustRightInd w:val="0"/>
        <w:spacing w:line="480" w:lineRule="exact"/>
        <w:ind w:firstLine="480"/>
        <w:rPr>
          <w:color w:val="auto"/>
          <w:sz w:val="24"/>
          <w:highlight w:val="none"/>
          <w:lang w:val="zh-CN"/>
        </w:rPr>
      </w:pPr>
    </w:p>
    <w:p>
      <w:pPr>
        <w:autoSpaceDE w:val="0"/>
        <w:autoSpaceDN w:val="0"/>
        <w:adjustRightInd w:val="0"/>
        <w:spacing w:line="480" w:lineRule="exact"/>
        <w:ind w:firstLine="480"/>
        <w:rPr>
          <w:sz w:val="24"/>
          <w:highlight w:val="none"/>
        </w:rPr>
      </w:pPr>
    </w:p>
    <w:p>
      <w:pPr>
        <w:spacing w:line="480" w:lineRule="exact"/>
        <w:ind w:firstLine="480" w:firstLineChars="200"/>
        <w:rPr>
          <w:sz w:val="24"/>
          <w:highlight w:val="none"/>
        </w:rPr>
      </w:pPr>
    </w:p>
    <w:bookmarkEnd w:id="114"/>
    <w:p>
      <w:pPr>
        <w:pStyle w:val="2"/>
        <w:keepNext w:val="0"/>
        <w:keepLines w:val="0"/>
        <w:tabs>
          <w:tab w:val="left" w:pos="425"/>
        </w:tabs>
        <w:adjustRightInd w:val="0"/>
        <w:spacing w:beforeLines="0" w:line="480" w:lineRule="exact"/>
        <w:ind w:left="425" w:hanging="425"/>
        <w:jc w:val="left"/>
        <w:rPr>
          <w:rFonts w:hint="default" w:ascii="Times New Roman" w:hAnsi="Times New Roman"/>
          <w:b w:val="0"/>
          <w:highlight w:val="none"/>
        </w:rPr>
      </w:pPr>
      <w:bookmarkStart w:id="216" w:name="_Toc246763538"/>
      <w:r>
        <w:rPr>
          <w:rFonts w:hint="default" w:ascii="Times New Roman" w:hAnsi="Times New Roman"/>
          <w:b w:val="0"/>
          <w:highlight w:val="none"/>
        </w:rPr>
        <w:br w:type="page"/>
      </w:r>
      <w:bookmarkStart w:id="217" w:name="_Toc12335"/>
      <w:bookmarkStart w:id="218" w:name="_Toc635"/>
    </w:p>
    <w:bookmarkEnd w:id="216"/>
    <w:bookmarkEnd w:id="217"/>
    <w:bookmarkEnd w:id="218"/>
    <w:p>
      <w:pPr>
        <w:pStyle w:val="2"/>
        <w:keepNext w:val="0"/>
        <w:keepLines w:val="0"/>
        <w:pageBreakBefore w:val="0"/>
        <w:widowControl w:val="0"/>
        <w:tabs>
          <w:tab w:val="left" w:pos="425"/>
        </w:tabs>
        <w:kinsoku/>
        <w:wordWrap/>
        <w:overflowPunct/>
        <w:topLinePunct w:val="0"/>
        <w:autoSpaceDE/>
        <w:autoSpaceDN/>
        <w:bidi w:val="0"/>
        <w:adjustRightInd w:val="0"/>
        <w:snapToGrid/>
        <w:spacing w:before="157" w:beforeLines="50" w:after="157" w:afterLines="50" w:line="480" w:lineRule="exact"/>
        <w:ind w:left="425" w:hanging="425"/>
        <w:jc w:val="left"/>
        <w:textAlignment w:val="auto"/>
        <w:rPr>
          <w:rFonts w:hint="default" w:ascii="Times New Roman" w:hAnsi="Times New Roman"/>
          <w:bCs/>
          <w:sz w:val="28"/>
          <w:szCs w:val="28"/>
          <w:highlight w:val="none"/>
        </w:rPr>
      </w:pPr>
      <w:bookmarkStart w:id="219" w:name="_Toc27601"/>
      <w:bookmarkStart w:id="220" w:name="_Toc157136204"/>
      <w:r>
        <w:rPr>
          <w:rFonts w:ascii="Times New Roman" w:hAnsi="Times New Roman"/>
          <w:bCs/>
          <w:sz w:val="28"/>
          <w:szCs w:val="28"/>
          <w:highlight w:val="none"/>
        </w:rPr>
        <w:t xml:space="preserve">5 </w:t>
      </w:r>
      <w:r>
        <w:rPr>
          <w:rFonts w:hint="default" w:ascii="Times New Roman" w:hAnsi="Times New Roman"/>
          <w:bCs/>
          <w:sz w:val="28"/>
          <w:szCs w:val="28"/>
          <w:highlight w:val="none"/>
        </w:rPr>
        <w:t>环境影响</w:t>
      </w:r>
      <w:r>
        <w:rPr>
          <w:rFonts w:hint="eastAsia" w:ascii="Times New Roman" w:hAnsi="Times New Roman"/>
          <w:bCs/>
          <w:sz w:val="28"/>
          <w:szCs w:val="28"/>
          <w:highlight w:val="none"/>
          <w:lang w:eastAsia="zh-CN"/>
        </w:rPr>
        <w:t>预测与</w:t>
      </w:r>
      <w:r>
        <w:rPr>
          <w:rFonts w:hint="default" w:ascii="Times New Roman" w:hAnsi="Times New Roman"/>
          <w:bCs/>
          <w:sz w:val="28"/>
          <w:szCs w:val="28"/>
          <w:highlight w:val="none"/>
        </w:rPr>
        <w:t>评价</w:t>
      </w:r>
      <w:bookmarkEnd w:id="219"/>
    </w:p>
    <w:p>
      <w:pPr>
        <w:autoSpaceDE w:val="0"/>
        <w:autoSpaceDN w:val="0"/>
        <w:adjustRightInd w:val="0"/>
        <w:spacing w:line="480" w:lineRule="exact"/>
        <w:ind w:firstLine="470"/>
        <w:rPr>
          <w:color w:val="000000" w:themeColor="text1"/>
          <w:sz w:val="24"/>
          <w:highlight w:val="none"/>
          <w:lang w:val="zh-CN"/>
          <w14:textFill>
            <w14:solidFill>
              <w14:schemeClr w14:val="tx1"/>
            </w14:solidFill>
          </w14:textFill>
        </w:rPr>
      </w:pPr>
      <w:r>
        <w:rPr>
          <w:rFonts w:hint="eastAsia"/>
          <w:color w:val="000000" w:themeColor="text1"/>
          <w:sz w:val="24"/>
          <w:highlight w:val="none"/>
          <w:lang w:val="zh-CN"/>
          <w14:textFill>
            <w14:solidFill>
              <w14:schemeClr w14:val="tx1"/>
            </w14:solidFill>
          </w14:textFill>
        </w:rPr>
        <w:t>本项目始建于2005年，2006年10月投产，</w:t>
      </w:r>
      <w:r>
        <w:rPr>
          <w:rFonts w:hint="eastAsia"/>
          <w:snapToGrid w:val="0"/>
          <w:kern w:val="0"/>
          <w:sz w:val="24"/>
          <w:highlight w:val="none"/>
        </w:rPr>
        <w:t>20</w:t>
      </w:r>
      <w:r>
        <w:rPr>
          <w:rFonts w:hint="eastAsia"/>
          <w:snapToGrid w:val="0"/>
          <w:kern w:val="0"/>
          <w:sz w:val="24"/>
          <w:highlight w:val="none"/>
          <w:lang w:val="en-US" w:eastAsia="zh-CN"/>
        </w:rPr>
        <w:t>12</w:t>
      </w:r>
      <w:r>
        <w:rPr>
          <w:rFonts w:hint="eastAsia"/>
          <w:snapToGrid w:val="0"/>
          <w:kern w:val="0"/>
          <w:sz w:val="24"/>
          <w:highlight w:val="none"/>
        </w:rPr>
        <w:t>年</w:t>
      </w:r>
      <w:r>
        <w:rPr>
          <w:rFonts w:hint="eastAsia"/>
          <w:snapToGrid w:val="0"/>
          <w:kern w:val="0"/>
          <w:sz w:val="24"/>
          <w:highlight w:val="none"/>
          <w:lang w:val="en-US" w:eastAsia="zh-CN"/>
        </w:rPr>
        <w:t>8</w:t>
      </w:r>
      <w:r>
        <w:rPr>
          <w:rFonts w:hint="eastAsia"/>
          <w:snapToGrid w:val="0"/>
          <w:kern w:val="0"/>
          <w:sz w:val="24"/>
          <w:highlight w:val="none"/>
        </w:rPr>
        <w:t>月完成水电站设备设施验收工作；</w:t>
      </w:r>
      <w:r>
        <w:rPr>
          <w:rFonts w:hint="eastAsia"/>
          <w:color w:val="000000" w:themeColor="text1"/>
          <w:sz w:val="24"/>
          <w:highlight w:val="none"/>
          <w:lang w:val="zh-CN"/>
          <w14:textFill>
            <w14:solidFill>
              <w14:schemeClr w14:val="tx1"/>
            </w14:solidFill>
          </w14:textFill>
        </w:rPr>
        <w:t>至今已经稳定运行</w:t>
      </w:r>
      <w:r>
        <w:rPr>
          <w:rFonts w:hint="eastAsia"/>
          <w:color w:val="000000" w:themeColor="text1"/>
          <w:sz w:val="24"/>
          <w:highlight w:val="none"/>
          <w:lang w:val="en-US" w:eastAsia="zh-CN"/>
          <w14:textFill>
            <w14:solidFill>
              <w14:schemeClr w14:val="tx1"/>
            </w14:solidFill>
          </w14:textFill>
        </w:rPr>
        <w:t>17</w:t>
      </w:r>
      <w:r>
        <w:rPr>
          <w:rFonts w:hint="eastAsia"/>
          <w:color w:val="000000" w:themeColor="text1"/>
          <w:sz w:val="24"/>
          <w:highlight w:val="none"/>
          <w:lang w:val="zh-CN"/>
          <w14:textFill>
            <w14:solidFill>
              <w14:schemeClr w14:val="tx1"/>
            </w14:solidFill>
          </w14:textFill>
        </w:rPr>
        <w:t>年，本工程评价区临时占地区域基本恢复，没有明显的环境遗留问题，自运行以来未收到有关环境问题的投诉。</w:t>
      </w:r>
    </w:p>
    <w:p>
      <w:pPr>
        <w:autoSpaceDE w:val="0"/>
        <w:autoSpaceDN w:val="0"/>
        <w:adjustRightInd w:val="0"/>
        <w:spacing w:line="480" w:lineRule="exact"/>
        <w:ind w:firstLine="470"/>
        <w:rPr>
          <w:rFonts w:hint="eastAsia"/>
          <w:color w:val="000000" w:themeColor="text1"/>
          <w:sz w:val="24"/>
          <w:highlight w:val="none"/>
          <w:lang w:val="zh-CN"/>
          <w14:textFill>
            <w14:solidFill>
              <w14:schemeClr w14:val="tx1"/>
            </w14:solidFill>
          </w14:textFill>
        </w:rPr>
      </w:pPr>
      <w:r>
        <w:rPr>
          <w:color w:val="000000" w:themeColor="text1"/>
          <w:sz w:val="24"/>
          <w:highlight w:val="none"/>
          <w:lang w:val="zh-CN"/>
          <w14:textFill>
            <w14:solidFill>
              <w14:schemeClr w14:val="tx1"/>
            </w14:solidFill>
          </w14:textFill>
        </w:rPr>
        <w:t>根据《环境影响评价技术导则</w:t>
      </w:r>
      <w:r>
        <w:rPr>
          <w:rFonts w:hint="eastAsia"/>
          <w:color w:val="000000" w:themeColor="text1"/>
          <w:sz w:val="24"/>
          <w:highlight w:val="none"/>
          <w:lang w:val="zh-CN"/>
          <w14:textFill>
            <w14:solidFill>
              <w14:schemeClr w14:val="tx1"/>
            </w14:solidFill>
          </w14:textFill>
        </w:rPr>
        <w:t>-</w:t>
      </w:r>
      <w:r>
        <w:rPr>
          <w:color w:val="000000" w:themeColor="text1"/>
          <w:sz w:val="24"/>
          <w:highlight w:val="none"/>
          <w:lang w:val="zh-CN"/>
          <w14:textFill>
            <w14:solidFill>
              <w14:schemeClr w14:val="tx1"/>
            </w14:solidFill>
          </w14:textFill>
        </w:rPr>
        <w:t>水利水电工程》（HJ/T88</w:t>
      </w:r>
      <w:r>
        <w:rPr>
          <w:rFonts w:hint="eastAsia"/>
          <w:color w:val="000000" w:themeColor="text1"/>
          <w:sz w:val="24"/>
          <w:highlight w:val="none"/>
          <w:lang w:val="zh-CN"/>
          <w14:textFill>
            <w14:solidFill>
              <w14:schemeClr w14:val="tx1"/>
            </w14:solidFill>
          </w14:textFill>
        </w:rPr>
        <w:t>-</w:t>
      </w:r>
      <w:r>
        <w:rPr>
          <w:color w:val="000000" w:themeColor="text1"/>
          <w:sz w:val="24"/>
          <w:highlight w:val="none"/>
          <w:lang w:val="zh-CN"/>
          <w14:textFill>
            <w14:solidFill>
              <w14:schemeClr w14:val="tx1"/>
            </w14:solidFill>
          </w14:textFill>
        </w:rPr>
        <w:t>2003）、《环境影响评价技术导则</w:t>
      </w:r>
      <w:r>
        <w:rPr>
          <w:rFonts w:hint="eastAsia"/>
          <w:color w:val="000000" w:themeColor="text1"/>
          <w:sz w:val="24"/>
          <w:highlight w:val="none"/>
          <w:lang w:val="zh-CN"/>
          <w14:textFill>
            <w14:solidFill>
              <w14:schemeClr w14:val="tx1"/>
            </w14:solidFill>
          </w14:textFill>
        </w:rPr>
        <w:t>-</w:t>
      </w:r>
      <w:r>
        <w:rPr>
          <w:color w:val="000000" w:themeColor="text1"/>
          <w:sz w:val="24"/>
          <w:highlight w:val="none"/>
          <w:lang w:val="zh-CN"/>
          <w14:textFill>
            <w14:solidFill>
              <w14:schemeClr w14:val="tx1"/>
            </w14:solidFill>
          </w14:textFill>
        </w:rPr>
        <w:t>生态影响》（HJ19</w:t>
      </w:r>
      <w:r>
        <w:rPr>
          <w:rFonts w:hint="eastAsia"/>
          <w:color w:val="000000" w:themeColor="text1"/>
          <w:sz w:val="24"/>
          <w:highlight w:val="none"/>
          <w:lang w:val="zh-CN"/>
          <w14:textFill>
            <w14:solidFill>
              <w14:schemeClr w14:val="tx1"/>
            </w14:solidFill>
          </w14:textFill>
        </w:rPr>
        <w:t>-</w:t>
      </w:r>
      <w:r>
        <w:rPr>
          <w:color w:val="000000" w:themeColor="text1"/>
          <w:sz w:val="24"/>
          <w:highlight w:val="none"/>
          <w:lang w:val="zh-CN"/>
          <w14:textFill>
            <w14:solidFill>
              <w14:schemeClr w14:val="tx1"/>
            </w14:solidFill>
          </w14:textFill>
        </w:rPr>
        <w:t>20</w:t>
      </w:r>
      <w:r>
        <w:rPr>
          <w:rFonts w:hint="eastAsia"/>
          <w:color w:val="000000" w:themeColor="text1"/>
          <w:sz w:val="24"/>
          <w:highlight w:val="none"/>
          <w:lang w:val="en-US" w:eastAsia="zh-CN"/>
          <w14:textFill>
            <w14:solidFill>
              <w14:schemeClr w14:val="tx1"/>
            </w14:solidFill>
          </w14:textFill>
        </w:rPr>
        <w:t>22</w:t>
      </w:r>
      <w:r>
        <w:rPr>
          <w:color w:val="000000" w:themeColor="text1"/>
          <w:sz w:val="24"/>
          <w:highlight w:val="none"/>
          <w:lang w:val="zh-CN"/>
          <w14:textFill>
            <w14:solidFill>
              <w14:schemeClr w14:val="tx1"/>
            </w14:solidFill>
          </w14:textFill>
        </w:rPr>
        <w:t>）等的要求，结合本工程的功能、特性和工程影响地区的环境特点，</w:t>
      </w:r>
      <w:r>
        <w:rPr>
          <w:rFonts w:hint="eastAsia"/>
          <w:color w:val="000000" w:themeColor="text1"/>
          <w:sz w:val="24"/>
          <w:highlight w:val="none"/>
          <w:lang w:val="zh-CN"/>
          <w14:textFill>
            <w14:solidFill>
              <w14:schemeClr w14:val="tx1"/>
            </w14:solidFill>
          </w14:textFill>
        </w:rPr>
        <w:t>本章在现场调查并结合项目工程验收报告、项目现状监测及，重点分析电站运行后对环境的影响情况，</w:t>
      </w:r>
      <w:r>
        <w:rPr>
          <w:color w:val="000000" w:themeColor="text1"/>
          <w:sz w:val="24"/>
          <w:highlight w:val="none"/>
          <w:lang w:val="zh-CN"/>
          <w14:textFill>
            <w14:solidFill>
              <w14:schemeClr w14:val="tx1"/>
            </w14:solidFill>
          </w14:textFill>
        </w:rPr>
        <w:t>不对施工期</w:t>
      </w:r>
      <w:r>
        <w:rPr>
          <w:rFonts w:hint="eastAsia"/>
          <w:color w:val="000000" w:themeColor="text1"/>
          <w:sz w:val="24"/>
          <w:highlight w:val="none"/>
          <w:lang w:val="zh-CN"/>
          <w14:textFill>
            <w14:solidFill>
              <w14:schemeClr w14:val="tx1"/>
            </w14:solidFill>
          </w14:textFill>
        </w:rPr>
        <w:t>、运营期</w:t>
      </w:r>
      <w:r>
        <w:rPr>
          <w:color w:val="000000" w:themeColor="text1"/>
          <w:sz w:val="24"/>
          <w:highlight w:val="none"/>
          <w:lang w:val="zh-CN"/>
          <w14:textFill>
            <w14:solidFill>
              <w14:schemeClr w14:val="tx1"/>
            </w14:solidFill>
          </w14:textFill>
        </w:rPr>
        <w:t>环境影响进行预测评价</w:t>
      </w:r>
      <w:r>
        <w:rPr>
          <w:rFonts w:hint="eastAsia"/>
          <w:color w:val="000000" w:themeColor="text1"/>
          <w:sz w:val="24"/>
          <w:highlight w:val="none"/>
          <w:lang w:val="zh-CN"/>
          <w14:textFill>
            <w14:solidFill>
              <w14:schemeClr w14:val="tx1"/>
            </w14:solidFill>
          </w14:textFill>
        </w:rPr>
        <w:t>。</w:t>
      </w:r>
    </w:p>
    <w:p>
      <w:pPr>
        <w:spacing w:line="480" w:lineRule="exact"/>
        <w:outlineLvl w:val="1"/>
        <w:rPr>
          <w:rFonts w:hint="eastAsia" w:eastAsia="宋体"/>
          <w:b/>
          <w:snapToGrid w:val="0"/>
          <w:color w:val="000000" w:themeColor="text1"/>
          <w:kern w:val="0"/>
          <w:sz w:val="24"/>
          <w:highlight w:val="none"/>
          <w:lang w:eastAsia="zh-CN"/>
          <w14:textFill>
            <w14:solidFill>
              <w14:schemeClr w14:val="tx1"/>
            </w14:solidFill>
          </w14:textFill>
        </w:rPr>
      </w:pPr>
      <w:bookmarkStart w:id="221" w:name="_Toc18951"/>
      <w:r>
        <w:rPr>
          <w:rFonts w:hint="eastAsia"/>
          <w:b/>
          <w:snapToGrid w:val="0"/>
          <w:color w:val="000000" w:themeColor="text1"/>
          <w:kern w:val="0"/>
          <w:sz w:val="24"/>
          <w:highlight w:val="none"/>
          <w14:textFill>
            <w14:solidFill>
              <w14:schemeClr w14:val="tx1"/>
            </w14:solidFill>
          </w14:textFill>
        </w:rPr>
        <w:t>5.1 环境影响回顾性</w:t>
      </w:r>
      <w:r>
        <w:rPr>
          <w:rFonts w:hint="eastAsia"/>
          <w:b/>
          <w:snapToGrid w:val="0"/>
          <w:color w:val="000000" w:themeColor="text1"/>
          <w:kern w:val="0"/>
          <w:sz w:val="24"/>
          <w:highlight w:val="none"/>
          <w:lang w:eastAsia="zh-CN"/>
          <w14:textFill>
            <w14:solidFill>
              <w14:schemeClr w14:val="tx1"/>
            </w14:solidFill>
          </w14:textFill>
        </w:rPr>
        <w:t>评价</w:t>
      </w:r>
      <w:bookmarkEnd w:id="221"/>
    </w:p>
    <w:p>
      <w:pPr>
        <w:autoSpaceDE w:val="0"/>
        <w:autoSpaceDN w:val="0"/>
        <w:adjustRightInd w:val="0"/>
        <w:spacing w:line="480" w:lineRule="exact"/>
        <w:ind w:firstLine="480" w:firstLineChars="200"/>
        <w:rPr>
          <w:rFonts w:hint="eastAsia"/>
          <w:b w:val="0"/>
          <w:bCs/>
          <w:color w:val="000000" w:themeColor="text1"/>
          <w:sz w:val="24"/>
          <w:highlight w:val="none"/>
          <w14:textFill>
            <w14:solidFill>
              <w14:schemeClr w14:val="tx1"/>
            </w14:solidFill>
          </w14:textFill>
        </w:rPr>
      </w:pPr>
      <w:r>
        <w:rPr>
          <w:rFonts w:hint="eastAsia"/>
          <w:b w:val="0"/>
          <w:bCs/>
          <w:color w:val="000000" w:themeColor="text1"/>
          <w:sz w:val="24"/>
          <w:highlight w:val="none"/>
          <w14:textFill>
            <w14:solidFill>
              <w14:schemeClr w14:val="tx1"/>
            </w14:solidFill>
          </w14:textFill>
        </w:rPr>
        <w:t>本项目自建成至今已持续运行</w:t>
      </w:r>
      <w:r>
        <w:rPr>
          <w:rFonts w:hint="eastAsia"/>
          <w:b w:val="0"/>
          <w:bCs/>
          <w:color w:val="000000" w:themeColor="text1"/>
          <w:sz w:val="24"/>
          <w:highlight w:val="none"/>
          <w:lang w:val="en-US" w:eastAsia="zh-CN"/>
          <w14:textFill>
            <w14:solidFill>
              <w14:schemeClr w14:val="tx1"/>
            </w14:solidFill>
          </w14:textFill>
        </w:rPr>
        <w:t>17</w:t>
      </w:r>
      <w:r>
        <w:rPr>
          <w:rFonts w:hint="eastAsia"/>
          <w:b w:val="0"/>
          <w:bCs/>
          <w:color w:val="000000" w:themeColor="text1"/>
          <w:sz w:val="24"/>
          <w:highlight w:val="none"/>
          <w14:textFill>
            <w14:solidFill>
              <w14:schemeClr w14:val="tx1"/>
            </w14:solidFill>
          </w14:textFill>
        </w:rPr>
        <w:t>年，该电站在</w:t>
      </w:r>
      <w:r>
        <w:rPr>
          <w:rFonts w:hint="eastAsia"/>
          <w:b w:val="0"/>
          <w:bCs/>
          <w:color w:val="000000" w:themeColor="text1"/>
          <w:sz w:val="24"/>
          <w:highlight w:val="none"/>
          <w:lang w:val="en-US" w:eastAsia="zh-CN"/>
          <w14:textFill>
            <w14:solidFill>
              <w14:schemeClr w14:val="tx1"/>
            </w14:solidFill>
          </w14:textFill>
        </w:rPr>
        <w:t>17</w:t>
      </w:r>
      <w:r>
        <w:rPr>
          <w:rFonts w:hint="eastAsia"/>
          <w:b w:val="0"/>
          <w:bCs/>
          <w:color w:val="000000" w:themeColor="text1"/>
          <w:sz w:val="24"/>
          <w:highlight w:val="none"/>
          <w14:textFill>
            <w14:solidFill>
              <w14:schemeClr w14:val="tx1"/>
            </w14:solidFill>
          </w14:textFill>
        </w:rPr>
        <w:t>年的运行过程中对区域已造成一定影响，特别是施工结束后临时占地和永久占地改变了原有植被的分布；电站在运行过程中改变了原有河水</w:t>
      </w:r>
      <w:r>
        <w:rPr>
          <w:rFonts w:hint="eastAsia"/>
          <w:b w:val="0"/>
          <w:bCs/>
          <w:color w:val="000000" w:themeColor="text1"/>
          <w:sz w:val="24"/>
          <w:highlight w:val="none"/>
          <w:lang w:eastAsia="zh-CN"/>
          <w14:textFill>
            <w14:solidFill>
              <w14:schemeClr w14:val="tx1"/>
            </w14:solidFill>
          </w14:textFill>
        </w:rPr>
        <w:t>“引滦入津”</w:t>
      </w:r>
      <w:r>
        <w:rPr>
          <w:rFonts w:hint="eastAsia"/>
          <w:b w:val="0"/>
          <w:bCs/>
          <w:color w:val="000000" w:themeColor="text1"/>
          <w:sz w:val="24"/>
          <w:highlight w:val="none"/>
          <w14:textFill>
            <w14:solidFill>
              <w14:schemeClr w14:val="tx1"/>
            </w14:solidFill>
          </w14:textFill>
        </w:rPr>
        <w:t>的流量规律，从而造成河水生生态系统的变化。由于电站已运行多年，其现有的环境现状已反映出该电站在</w:t>
      </w:r>
      <w:r>
        <w:rPr>
          <w:rFonts w:hint="eastAsia"/>
          <w:b w:val="0"/>
          <w:bCs/>
          <w:color w:val="000000" w:themeColor="text1"/>
          <w:sz w:val="24"/>
          <w:highlight w:val="none"/>
          <w:lang w:val="en-US" w:eastAsia="zh-CN"/>
          <w14:textFill>
            <w14:solidFill>
              <w14:schemeClr w14:val="tx1"/>
            </w14:solidFill>
          </w14:textFill>
        </w:rPr>
        <w:t>17</w:t>
      </w:r>
      <w:r>
        <w:rPr>
          <w:rFonts w:hint="eastAsia"/>
          <w:b w:val="0"/>
          <w:bCs/>
          <w:color w:val="000000" w:themeColor="text1"/>
          <w:sz w:val="24"/>
          <w:highlight w:val="none"/>
          <w14:textFill>
            <w14:solidFill>
              <w14:schemeClr w14:val="tx1"/>
            </w14:solidFill>
          </w14:textFill>
        </w:rPr>
        <w:t>年运行过程中对环境影响的结果，因此，本小节将结合本次评价生态环境质量现状调查结果、收集的历史资料和走访咨询当地村民，对电站运行</w:t>
      </w:r>
      <w:r>
        <w:rPr>
          <w:rFonts w:hint="eastAsia"/>
          <w:b w:val="0"/>
          <w:bCs/>
          <w:color w:val="000000" w:themeColor="text1"/>
          <w:sz w:val="24"/>
          <w:highlight w:val="none"/>
          <w:lang w:val="en-US" w:eastAsia="zh-CN"/>
          <w14:textFill>
            <w14:solidFill>
              <w14:schemeClr w14:val="tx1"/>
            </w14:solidFill>
          </w14:textFill>
        </w:rPr>
        <w:t>17</w:t>
      </w:r>
      <w:r>
        <w:rPr>
          <w:rFonts w:hint="eastAsia"/>
          <w:b w:val="0"/>
          <w:bCs/>
          <w:color w:val="000000" w:themeColor="text1"/>
          <w:sz w:val="24"/>
          <w:highlight w:val="none"/>
          <w14:textFill>
            <w14:solidFill>
              <w14:schemeClr w14:val="tx1"/>
            </w14:solidFill>
          </w14:textFill>
        </w:rPr>
        <w:t>年来对区域造成的生态环境影响进行回顾性分析。</w:t>
      </w:r>
    </w:p>
    <w:p>
      <w:pPr>
        <w:autoSpaceDE w:val="0"/>
        <w:autoSpaceDN w:val="0"/>
        <w:adjustRightInd w:val="0"/>
        <w:spacing w:line="480" w:lineRule="exact"/>
        <w:rPr>
          <w:rFonts w:hint="eastAsia"/>
          <w:b/>
          <w:bCs w:val="0"/>
          <w:color w:val="000000" w:themeColor="text1"/>
          <w:sz w:val="24"/>
          <w:highlight w:val="none"/>
          <w14:textFill>
            <w14:solidFill>
              <w14:schemeClr w14:val="tx1"/>
            </w14:solidFill>
          </w14:textFill>
        </w:rPr>
      </w:pPr>
      <w:r>
        <w:rPr>
          <w:rFonts w:hint="eastAsia"/>
          <w:b/>
          <w:bCs w:val="0"/>
          <w:color w:val="000000" w:themeColor="text1"/>
          <w:sz w:val="24"/>
          <w:highlight w:val="none"/>
          <w:lang w:val="en-US" w:eastAsia="zh-CN"/>
          <w14:textFill>
            <w14:solidFill>
              <w14:schemeClr w14:val="tx1"/>
            </w14:solidFill>
          </w14:textFill>
        </w:rPr>
        <w:t>5</w:t>
      </w:r>
      <w:r>
        <w:rPr>
          <w:rFonts w:hint="eastAsia"/>
          <w:b/>
          <w:bCs w:val="0"/>
          <w:color w:val="000000" w:themeColor="text1"/>
          <w:sz w:val="24"/>
          <w:highlight w:val="none"/>
          <w14:textFill>
            <w14:solidFill>
              <w14:schemeClr w14:val="tx1"/>
            </w14:solidFill>
          </w14:textFill>
        </w:rPr>
        <w:t>.1.1 陆域生态环境影响回顾性评价</w:t>
      </w:r>
    </w:p>
    <w:p>
      <w:pPr>
        <w:autoSpaceDE w:val="0"/>
        <w:autoSpaceDN w:val="0"/>
        <w:adjustRightInd w:val="0"/>
        <w:spacing w:line="480" w:lineRule="exact"/>
        <w:ind w:firstLine="480" w:firstLineChars="200"/>
        <w:rPr>
          <w:rFonts w:hint="eastAsia"/>
          <w:b w:val="0"/>
          <w:bCs/>
          <w:color w:val="000000" w:themeColor="text1"/>
          <w:sz w:val="24"/>
          <w:highlight w:val="none"/>
          <w14:textFill>
            <w14:solidFill>
              <w14:schemeClr w14:val="tx1"/>
            </w14:solidFill>
          </w14:textFill>
        </w:rPr>
      </w:pPr>
      <w:r>
        <w:rPr>
          <w:rFonts w:hint="eastAsia"/>
          <w:b w:val="0"/>
          <w:bCs/>
          <w:color w:val="000000" w:themeColor="text1"/>
          <w:sz w:val="24"/>
          <w:highlight w:val="none"/>
          <w:lang w:eastAsia="zh-CN"/>
          <w14:textFill>
            <w14:solidFill>
              <w14:schemeClr w14:val="tx1"/>
            </w14:solidFill>
          </w14:textFill>
        </w:rPr>
        <w:t>（</w:t>
      </w:r>
      <w:r>
        <w:rPr>
          <w:rFonts w:hint="eastAsia"/>
          <w:b w:val="0"/>
          <w:bCs/>
          <w:color w:val="000000" w:themeColor="text1"/>
          <w:sz w:val="24"/>
          <w:highlight w:val="none"/>
          <w:lang w:val="en-US" w:eastAsia="zh-CN"/>
          <w14:textFill>
            <w14:solidFill>
              <w14:schemeClr w14:val="tx1"/>
            </w14:solidFill>
          </w14:textFill>
        </w:rPr>
        <w:t>1</w:t>
      </w:r>
      <w:r>
        <w:rPr>
          <w:rFonts w:hint="eastAsia"/>
          <w:b w:val="0"/>
          <w:bCs/>
          <w:color w:val="000000" w:themeColor="text1"/>
          <w:sz w:val="24"/>
          <w:highlight w:val="none"/>
          <w:lang w:eastAsia="zh-CN"/>
          <w14:textFill>
            <w14:solidFill>
              <w14:schemeClr w14:val="tx1"/>
            </w14:solidFill>
          </w14:textFill>
        </w:rPr>
        <w:t>）</w:t>
      </w:r>
      <w:r>
        <w:rPr>
          <w:rFonts w:hint="eastAsia"/>
          <w:b w:val="0"/>
          <w:bCs/>
          <w:color w:val="000000" w:themeColor="text1"/>
          <w:sz w:val="24"/>
          <w:highlight w:val="none"/>
          <w14:textFill>
            <w14:solidFill>
              <w14:schemeClr w14:val="tx1"/>
            </w14:solidFill>
          </w14:textFill>
        </w:rPr>
        <w:t>对陆生植物的影响评价</w:t>
      </w:r>
    </w:p>
    <w:p>
      <w:pPr>
        <w:autoSpaceDE w:val="0"/>
        <w:autoSpaceDN w:val="0"/>
        <w:adjustRightInd w:val="0"/>
        <w:spacing w:line="480" w:lineRule="exact"/>
        <w:ind w:firstLine="480" w:firstLineChars="200"/>
        <w:rPr>
          <w:rFonts w:hint="eastAsia"/>
          <w:b w:val="0"/>
          <w:bCs/>
          <w:color w:val="000000" w:themeColor="text1"/>
          <w:sz w:val="24"/>
          <w:highlight w:val="none"/>
          <w14:textFill>
            <w14:solidFill>
              <w14:schemeClr w14:val="tx1"/>
            </w14:solidFill>
          </w14:textFill>
        </w:rPr>
      </w:pPr>
      <w:r>
        <w:rPr>
          <w:rFonts w:hint="eastAsia"/>
          <w:b w:val="0"/>
          <w:bCs/>
          <w:color w:val="000000" w:themeColor="text1"/>
          <w:sz w:val="24"/>
          <w:highlight w:val="none"/>
          <w14:textFill>
            <w14:solidFill>
              <w14:schemeClr w14:val="tx1"/>
            </w14:solidFill>
          </w14:textFill>
        </w:rPr>
        <w:t>工程对植物</w:t>
      </w:r>
      <w:r>
        <w:rPr>
          <w:rFonts w:hint="eastAsia"/>
          <w:b w:val="0"/>
          <w:bCs/>
          <w:color w:val="auto"/>
          <w:sz w:val="24"/>
          <w:highlight w:val="none"/>
        </w:rPr>
        <w:t>资源的影响</w:t>
      </w:r>
      <w:r>
        <w:rPr>
          <w:rFonts w:hint="eastAsia"/>
          <w:b w:val="0"/>
          <w:bCs/>
          <w:color w:val="auto"/>
          <w:sz w:val="24"/>
          <w:highlight w:val="none"/>
          <w:lang w:eastAsia="zh-CN"/>
        </w:rPr>
        <w:t>包括临时占地和永久占地，</w:t>
      </w:r>
      <w:r>
        <w:rPr>
          <w:rFonts w:hint="eastAsia"/>
          <w:b w:val="0"/>
          <w:bCs/>
          <w:color w:val="auto"/>
          <w:sz w:val="24"/>
          <w:highlight w:val="none"/>
        </w:rPr>
        <w:t xml:space="preserve">主要是永久占地部分，主要包括发电厂房、引水渠，共占地22786m </w:t>
      </w:r>
      <w:r>
        <w:rPr>
          <w:rFonts w:hint="eastAsia"/>
          <w:b w:val="0"/>
          <w:bCs/>
          <w:color w:val="auto"/>
          <w:sz w:val="24"/>
          <w:highlight w:val="none"/>
          <w:vertAlign w:val="superscript"/>
        </w:rPr>
        <w:t>2</w:t>
      </w:r>
      <w:r>
        <w:rPr>
          <w:rFonts w:hint="eastAsia"/>
          <w:b w:val="0"/>
          <w:bCs/>
          <w:color w:val="auto"/>
          <w:sz w:val="24"/>
          <w:highlight w:val="none"/>
        </w:rPr>
        <w:t>。该工程建设未影响区域生态系统的完整性，工程建设完工后，在厂房等区域采取了植物措施，弥补了因工程建设而产生的损失，因此该部分永久损失和影响是</w:t>
      </w:r>
      <w:r>
        <w:rPr>
          <w:rFonts w:hint="eastAsia"/>
          <w:b w:val="0"/>
          <w:bCs/>
          <w:color w:val="000000" w:themeColor="text1"/>
          <w:sz w:val="24"/>
          <w:highlight w:val="none"/>
          <w14:textFill>
            <w14:solidFill>
              <w14:schemeClr w14:val="tx1"/>
            </w14:solidFill>
          </w14:textFill>
        </w:rPr>
        <w:t>通过一定的绿化措施得到缓解并改善区域绿化水平。</w:t>
      </w:r>
    </w:p>
    <w:p>
      <w:pPr>
        <w:autoSpaceDE w:val="0"/>
        <w:autoSpaceDN w:val="0"/>
        <w:adjustRightInd w:val="0"/>
        <w:spacing w:line="480" w:lineRule="exact"/>
        <w:ind w:firstLine="480" w:firstLineChars="200"/>
        <w:rPr>
          <w:rFonts w:hint="eastAsia"/>
          <w:b w:val="0"/>
          <w:bCs/>
          <w:color w:val="000000" w:themeColor="text1"/>
          <w:sz w:val="24"/>
          <w:highlight w:val="none"/>
          <w14:textFill>
            <w14:solidFill>
              <w14:schemeClr w14:val="tx1"/>
            </w14:solidFill>
          </w14:textFill>
        </w:rPr>
      </w:pPr>
      <w:r>
        <w:rPr>
          <w:rFonts w:hint="eastAsia"/>
          <w:b w:val="0"/>
          <w:bCs/>
          <w:color w:val="000000" w:themeColor="text1"/>
          <w:sz w:val="24"/>
          <w:highlight w:val="none"/>
          <w14:textFill>
            <w14:solidFill>
              <w14:schemeClr w14:val="tx1"/>
            </w14:solidFill>
          </w14:textFill>
        </w:rPr>
        <w:t>根据本次评价调查及资料比对结果，项目建成并运行至今的</w:t>
      </w:r>
      <w:r>
        <w:rPr>
          <w:rFonts w:hint="eastAsia"/>
          <w:b w:val="0"/>
          <w:bCs/>
          <w:color w:val="000000" w:themeColor="text1"/>
          <w:sz w:val="24"/>
          <w:highlight w:val="none"/>
          <w:lang w:val="en-US" w:eastAsia="zh-CN"/>
          <w14:textFill>
            <w14:solidFill>
              <w14:schemeClr w14:val="tx1"/>
            </w14:solidFill>
          </w14:textFill>
        </w:rPr>
        <w:t>20</w:t>
      </w:r>
      <w:r>
        <w:rPr>
          <w:rFonts w:hint="eastAsia"/>
          <w:b w:val="0"/>
          <w:bCs/>
          <w:color w:val="000000" w:themeColor="text1"/>
          <w:sz w:val="24"/>
          <w:highlight w:val="none"/>
          <w14:textFill>
            <w14:solidFill>
              <w14:schemeClr w14:val="tx1"/>
            </w14:solidFill>
          </w14:textFill>
        </w:rPr>
        <w:t>年间，虽然因永久占地而给植物资源带来局部永久损失影响，但通过采取相关生态补偿措施，该影响得到缓解，电站周边植被环境已经得到恢复，施工期间对生物量的影响已经基本得到恢复，电站建设及运行没有对周边物种及生物多样性产生不良影响，电站区及周围地区生态环境渐趋稳定，生态环境较为简单。</w:t>
      </w:r>
    </w:p>
    <w:p>
      <w:pPr>
        <w:autoSpaceDE w:val="0"/>
        <w:autoSpaceDN w:val="0"/>
        <w:adjustRightInd w:val="0"/>
        <w:spacing w:line="480" w:lineRule="exact"/>
        <w:ind w:firstLine="480" w:firstLineChars="200"/>
        <w:rPr>
          <w:rFonts w:hint="eastAsia"/>
          <w:b w:val="0"/>
          <w:bCs/>
          <w:color w:val="000000" w:themeColor="text1"/>
          <w:sz w:val="24"/>
          <w:highlight w:val="none"/>
          <w14:textFill>
            <w14:solidFill>
              <w14:schemeClr w14:val="tx1"/>
            </w14:solidFill>
          </w14:textFill>
        </w:rPr>
      </w:pPr>
      <w:r>
        <w:rPr>
          <w:rFonts w:hint="eastAsia"/>
          <w:b w:val="0"/>
          <w:bCs/>
          <w:color w:val="000000" w:themeColor="text1"/>
          <w:sz w:val="24"/>
          <w:highlight w:val="none"/>
          <w14:textFill>
            <w14:solidFill>
              <w14:schemeClr w14:val="tx1"/>
            </w14:solidFill>
          </w14:textFill>
        </w:rPr>
        <w:fldChar w:fldCharType="begin"/>
      </w:r>
      <w:r>
        <w:rPr>
          <w:rFonts w:hint="eastAsia"/>
          <w:b w:val="0"/>
          <w:bCs/>
          <w:color w:val="000000" w:themeColor="text1"/>
          <w:sz w:val="24"/>
          <w:highlight w:val="none"/>
          <w14:textFill>
            <w14:solidFill>
              <w14:schemeClr w14:val="tx1"/>
            </w14:solidFill>
          </w14:textFill>
        </w:rPr>
        <w:instrText xml:space="preserve"> = 1 \* GB3 \* MERGEFORMAT </w:instrText>
      </w:r>
      <w:r>
        <w:rPr>
          <w:rFonts w:hint="eastAsia"/>
          <w:b w:val="0"/>
          <w:bCs/>
          <w:color w:val="000000" w:themeColor="text1"/>
          <w:sz w:val="24"/>
          <w:highlight w:val="none"/>
          <w14:textFill>
            <w14:solidFill>
              <w14:schemeClr w14:val="tx1"/>
            </w14:solidFill>
          </w14:textFill>
        </w:rPr>
        <w:fldChar w:fldCharType="separate"/>
      </w:r>
      <w:r>
        <w:rPr>
          <w:highlight w:val="none"/>
        </w:rPr>
        <w:t>①</w:t>
      </w:r>
      <w:r>
        <w:rPr>
          <w:rFonts w:hint="eastAsia"/>
          <w:b w:val="0"/>
          <w:bCs/>
          <w:color w:val="000000" w:themeColor="text1"/>
          <w:sz w:val="24"/>
          <w:highlight w:val="none"/>
          <w14:textFill>
            <w14:solidFill>
              <w14:schemeClr w14:val="tx1"/>
            </w14:solidFill>
          </w14:textFill>
        </w:rPr>
        <w:fldChar w:fldCharType="end"/>
      </w:r>
      <w:r>
        <w:rPr>
          <w:rFonts w:hint="eastAsia"/>
          <w:b w:val="0"/>
          <w:bCs/>
          <w:color w:val="000000" w:themeColor="text1"/>
          <w:sz w:val="24"/>
          <w:highlight w:val="none"/>
          <w:lang w:eastAsia="zh-CN"/>
          <w14:textFill>
            <w14:solidFill>
              <w14:schemeClr w14:val="tx1"/>
            </w14:solidFill>
          </w14:textFill>
        </w:rPr>
        <w:t>橡胶坝</w:t>
      </w:r>
      <w:r>
        <w:rPr>
          <w:rFonts w:hint="eastAsia"/>
          <w:b w:val="0"/>
          <w:bCs/>
          <w:color w:val="000000" w:themeColor="text1"/>
          <w:sz w:val="24"/>
          <w:highlight w:val="none"/>
          <w14:textFill>
            <w14:solidFill>
              <w14:schemeClr w14:val="tx1"/>
            </w14:solidFill>
          </w14:textFill>
        </w:rPr>
        <w:t>上游河段</w:t>
      </w:r>
    </w:p>
    <w:p>
      <w:pPr>
        <w:autoSpaceDE w:val="0"/>
        <w:autoSpaceDN w:val="0"/>
        <w:adjustRightInd w:val="0"/>
        <w:spacing w:line="480" w:lineRule="exact"/>
        <w:ind w:firstLine="480" w:firstLineChars="200"/>
        <w:rPr>
          <w:rFonts w:hint="eastAsia"/>
          <w:b w:val="0"/>
          <w:bCs/>
          <w:color w:val="000000" w:themeColor="text1"/>
          <w:sz w:val="24"/>
          <w:highlight w:val="none"/>
          <w14:textFill>
            <w14:solidFill>
              <w14:schemeClr w14:val="tx1"/>
            </w14:solidFill>
          </w14:textFill>
        </w:rPr>
      </w:pPr>
      <w:r>
        <w:rPr>
          <w:rFonts w:hint="eastAsia"/>
          <w:b w:val="0"/>
          <w:bCs/>
          <w:color w:val="000000" w:themeColor="text1"/>
          <w:sz w:val="24"/>
          <w:highlight w:val="none"/>
          <w14:textFill>
            <w14:solidFill>
              <w14:schemeClr w14:val="tx1"/>
            </w14:solidFill>
          </w14:textFill>
        </w:rPr>
        <w:t>电站的</w:t>
      </w:r>
      <w:r>
        <w:rPr>
          <w:rFonts w:hint="eastAsia"/>
          <w:b w:val="0"/>
          <w:bCs/>
          <w:color w:val="000000" w:themeColor="text1"/>
          <w:sz w:val="24"/>
          <w:highlight w:val="none"/>
          <w:lang w:eastAsia="zh-CN"/>
          <w14:textFill>
            <w14:solidFill>
              <w14:schemeClr w14:val="tx1"/>
            </w14:solidFill>
          </w14:textFill>
        </w:rPr>
        <w:t>橡胶坝</w:t>
      </w:r>
      <w:r>
        <w:rPr>
          <w:rFonts w:hint="eastAsia"/>
          <w:b w:val="0"/>
          <w:bCs/>
          <w:color w:val="000000" w:themeColor="text1"/>
          <w:sz w:val="24"/>
          <w:highlight w:val="none"/>
          <w14:textFill>
            <w14:solidFill>
              <w14:schemeClr w14:val="tx1"/>
            </w14:solidFill>
          </w14:textFill>
        </w:rPr>
        <w:t>属低坝，</w:t>
      </w:r>
      <w:r>
        <w:rPr>
          <w:rFonts w:hint="eastAsia"/>
          <w:b w:val="0"/>
          <w:bCs/>
          <w:color w:val="000000" w:themeColor="text1"/>
          <w:sz w:val="24"/>
          <w:highlight w:val="none"/>
          <w:lang w:eastAsia="zh-CN"/>
          <w14:textFill>
            <w14:solidFill>
              <w14:schemeClr w14:val="tx1"/>
            </w14:solidFill>
          </w14:textFill>
        </w:rPr>
        <w:t>壅水区</w:t>
      </w:r>
      <w:r>
        <w:rPr>
          <w:rFonts w:hint="eastAsia"/>
          <w:b w:val="0"/>
          <w:bCs/>
          <w:color w:val="000000" w:themeColor="text1"/>
          <w:sz w:val="24"/>
          <w:highlight w:val="none"/>
          <w14:textFill>
            <w14:solidFill>
              <w14:schemeClr w14:val="tx1"/>
            </w14:solidFill>
          </w14:textFill>
        </w:rPr>
        <w:t>很小，水位不出河槽，对</w:t>
      </w:r>
      <w:r>
        <w:rPr>
          <w:rFonts w:hint="eastAsia"/>
          <w:b w:val="0"/>
          <w:bCs/>
          <w:color w:val="000000" w:themeColor="text1"/>
          <w:sz w:val="24"/>
          <w:highlight w:val="none"/>
          <w:lang w:eastAsia="zh-CN"/>
          <w14:textFill>
            <w14:solidFill>
              <w14:schemeClr w14:val="tx1"/>
            </w14:solidFill>
          </w14:textFill>
        </w:rPr>
        <w:t>周边</w:t>
      </w:r>
      <w:r>
        <w:rPr>
          <w:rFonts w:hint="eastAsia"/>
          <w:b w:val="0"/>
          <w:bCs/>
          <w:color w:val="000000" w:themeColor="text1"/>
          <w:sz w:val="24"/>
          <w:highlight w:val="none"/>
          <w14:textFill>
            <w14:solidFill>
              <w14:schemeClr w14:val="tx1"/>
            </w14:solidFill>
          </w14:textFill>
        </w:rPr>
        <w:t>植被资源环境影响不大。</w:t>
      </w:r>
    </w:p>
    <w:p>
      <w:pPr>
        <w:autoSpaceDE w:val="0"/>
        <w:autoSpaceDN w:val="0"/>
        <w:adjustRightInd w:val="0"/>
        <w:spacing w:line="480" w:lineRule="exact"/>
        <w:ind w:firstLine="480" w:firstLineChars="200"/>
        <w:rPr>
          <w:rFonts w:hint="eastAsia"/>
          <w:b w:val="0"/>
          <w:bCs/>
          <w:color w:val="000000" w:themeColor="text1"/>
          <w:sz w:val="24"/>
          <w:highlight w:val="none"/>
          <w14:textFill>
            <w14:solidFill>
              <w14:schemeClr w14:val="tx1"/>
            </w14:solidFill>
          </w14:textFill>
        </w:rPr>
      </w:pPr>
      <w:r>
        <w:rPr>
          <w:rFonts w:hint="eastAsia"/>
          <w:b w:val="0"/>
          <w:bCs/>
          <w:color w:val="000000" w:themeColor="text1"/>
          <w:sz w:val="24"/>
          <w:highlight w:val="none"/>
          <w14:textFill>
            <w14:solidFill>
              <w14:schemeClr w14:val="tx1"/>
            </w14:solidFill>
          </w14:textFill>
        </w:rPr>
        <w:fldChar w:fldCharType="begin"/>
      </w:r>
      <w:r>
        <w:rPr>
          <w:rFonts w:hint="eastAsia"/>
          <w:b w:val="0"/>
          <w:bCs/>
          <w:color w:val="000000" w:themeColor="text1"/>
          <w:sz w:val="24"/>
          <w:highlight w:val="none"/>
          <w14:textFill>
            <w14:solidFill>
              <w14:schemeClr w14:val="tx1"/>
            </w14:solidFill>
          </w14:textFill>
        </w:rPr>
        <w:instrText xml:space="preserve"> = 2 \* GB3 \* MERGEFORMAT </w:instrText>
      </w:r>
      <w:r>
        <w:rPr>
          <w:rFonts w:hint="eastAsia"/>
          <w:b w:val="0"/>
          <w:bCs/>
          <w:color w:val="000000" w:themeColor="text1"/>
          <w:sz w:val="24"/>
          <w:highlight w:val="none"/>
          <w14:textFill>
            <w14:solidFill>
              <w14:schemeClr w14:val="tx1"/>
            </w14:solidFill>
          </w14:textFill>
        </w:rPr>
        <w:fldChar w:fldCharType="separate"/>
      </w:r>
      <w:r>
        <w:rPr>
          <w:highlight w:val="none"/>
        </w:rPr>
        <w:t>②</w:t>
      </w:r>
      <w:r>
        <w:rPr>
          <w:rFonts w:hint="eastAsia"/>
          <w:b w:val="0"/>
          <w:bCs/>
          <w:color w:val="000000" w:themeColor="text1"/>
          <w:sz w:val="24"/>
          <w:highlight w:val="none"/>
          <w14:textFill>
            <w14:solidFill>
              <w14:schemeClr w14:val="tx1"/>
            </w14:solidFill>
          </w14:textFill>
        </w:rPr>
        <w:fldChar w:fldCharType="end"/>
      </w:r>
      <w:r>
        <w:rPr>
          <w:rFonts w:hint="eastAsia"/>
          <w:b w:val="0"/>
          <w:bCs/>
          <w:color w:val="000000" w:themeColor="text1"/>
          <w:sz w:val="24"/>
          <w:highlight w:val="none"/>
          <w:lang w:eastAsia="zh-CN"/>
          <w14:textFill>
            <w14:solidFill>
              <w14:schemeClr w14:val="tx1"/>
            </w14:solidFill>
          </w14:textFill>
        </w:rPr>
        <w:t>橡胶坝</w:t>
      </w:r>
      <w:r>
        <w:rPr>
          <w:rFonts w:hint="eastAsia"/>
          <w:b w:val="0"/>
          <w:bCs/>
          <w:color w:val="000000" w:themeColor="text1"/>
          <w:sz w:val="24"/>
          <w:highlight w:val="none"/>
          <w14:textFill>
            <w14:solidFill>
              <w14:schemeClr w14:val="tx1"/>
            </w14:solidFill>
          </w14:textFill>
        </w:rPr>
        <w:t>坝址下游减水河段</w:t>
      </w:r>
    </w:p>
    <w:p>
      <w:pPr>
        <w:autoSpaceDE w:val="0"/>
        <w:autoSpaceDN w:val="0"/>
        <w:adjustRightInd w:val="0"/>
        <w:spacing w:line="480" w:lineRule="exact"/>
        <w:ind w:firstLine="480" w:firstLineChars="200"/>
        <w:rPr>
          <w:rFonts w:hint="eastAsia"/>
          <w:b w:val="0"/>
          <w:bCs/>
          <w:color w:val="auto"/>
          <w:sz w:val="24"/>
          <w:highlight w:val="none"/>
          <w:lang w:eastAsia="zh-CN"/>
        </w:rPr>
      </w:pPr>
      <w:r>
        <w:rPr>
          <w:rFonts w:hint="eastAsia"/>
          <w:b w:val="0"/>
          <w:bCs/>
          <w:color w:val="000000" w:themeColor="text1"/>
          <w:sz w:val="24"/>
          <w:highlight w:val="none"/>
          <w:lang w:eastAsia="zh-CN"/>
          <w14:textFill>
            <w14:solidFill>
              <w14:schemeClr w14:val="tx1"/>
            </w14:solidFill>
          </w14:textFill>
        </w:rPr>
        <w:t>橡胶坝</w:t>
      </w:r>
      <w:r>
        <w:rPr>
          <w:rFonts w:hint="eastAsia"/>
          <w:b w:val="0"/>
          <w:bCs/>
          <w:color w:val="000000" w:themeColor="text1"/>
          <w:sz w:val="24"/>
          <w:highlight w:val="none"/>
          <w14:textFill>
            <w14:solidFill>
              <w14:schemeClr w14:val="tx1"/>
            </w14:solidFill>
          </w14:textFill>
        </w:rPr>
        <w:t>至</w:t>
      </w:r>
      <w:r>
        <w:rPr>
          <w:rFonts w:hint="eastAsia"/>
          <w:b w:val="0"/>
          <w:bCs/>
          <w:color w:val="auto"/>
          <w:sz w:val="24"/>
          <w:highlight w:val="none"/>
        </w:rPr>
        <w:t>电厂房河段，由于</w:t>
      </w:r>
      <w:r>
        <w:rPr>
          <w:rFonts w:hint="eastAsia"/>
          <w:b w:val="0"/>
          <w:bCs/>
          <w:color w:val="auto"/>
          <w:sz w:val="24"/>
          <w:highlight w:val="none"/>
          <w:lang w:eastAsia="zh-CN"/>
        </w:rPr>
        <w:t>橡胶坝</w:t>
      </w:r>
      <w:r>
        <w:rPr>
          <w:rFonts w:hint="eastAsia"/>
          <w:b w:val="0"/>
          <w:bCs/>
          <w:color w:val="auto"/>
          <w:sz w:val="24"/>
          <w:highlight w:val="none"/>
        </w:rPr>
        <w:t>截留引水，</w:t>
      </w:r>
      <w:r>
        <w:rPr>
          <w:rFonts w:hint="eastAsia"/>
          <w:b w:val="0"/>
          <w:bCs/>
          <w:color w:val="auto"/>
          <w:sz w:val="24"/>
          <w:highlight w:val="none"/>
          <w:lang w:eastAsia="zh-CN"/>
        </w:rPr>
        <w:t>输水期</w:t>
      </w:r>
      <w:r>
        <w:rPr>
          <w:rFonts w:hint="eastAsia"/>
          <w:b w:val="0"/>
          <w:bCs/>
          <w:color w:val="auto"/>
          <w:sz w:val="24"/>
          <w:highlight w:val="none"/>
        </w:rPr>
        <w:t>造成坝址至厂房之间的河段流量减小，形成减水河段，</w:t>
      </w:r>
      <w:r>
        <w:rPr>
          <w:rFonts w:hint="eastAsia"/>
          <w:b w:val="0"/>
          <w:bCs/>
          <w:color w:val="auto"/>
          <w:sz w:val="24"/>
          <w:highlight w:val="none"/>
          <w:lang w:eastAsia="zh-CN"/>
        </w:rPr>
        <w:t>但橡胶坝的漫流水量仍能保持非输水期常年最低流量，因此输水期减水段</w:t>
      </w:r>
      <w:r>
        <w:rPr>
          <w:rFonts w:hint="eastAsia"/>
          <w:b w:val="0"/>
          <w:bCs/>
          <w:color w:val="auto"/>
          <w:sz w:val="24"/>
          <w:highlight w:val="none"/>
        </w:rPr>
        <w:t>对两岸的植物</w:t>
      </w:r>
      <w:r>
        <w:rPr>
          <w:rFonts w:hint="eastAsia"/>
          <w:b w:val="0"/>
          <w:bCs/>
          <w:color w:val="auto"/>
          <w:sz w:val="24"/>
          <w:highlight w:val="none"/>
          <w:lang w:eastAsia="zh-CN"/>
        </w:rPr>
        <w:t>不会产生</w:t>
      </w:r>
      <w:r>
        <w:rPr>
          <w:rFonts w:hint="eastAsia"/>
          <w:b w:val="0"/>
          <w:bCs/>
          <w:color w:val="auto"/>
          <w:sz w:val="24"/>
          <w:highlight w:val="none"/>
        </w:rPr>
        <w:t>影响。根据现场调查，电站造成的减水河段两岸植被主要为常见的灌草植被，无水源涵养林、国家珍稀物种分布，两岸自然植</w:t>
      </w:r>
      <w:r>
        <w:rPr>
          <w:rFonts w:hint="eastAsia"/>
          <w:b w:val="0"/>
          <w:bCs/>
          <w:color w:val="000000" w:themeColor="text1"/>
          <w:sz w:val="24"/>
          <w:highlight w:val="none"/>
          <w14:textFill>
            <w14:solidFill>
              <w14:schemeClr w14:val="tx1"/>
            </w14:solidFill>
          </w14:textFill>
        </w:rPr>
        <w:t>被多</w:t>
      </w:r>
      <w:r>
        <w:rPr>
          <w:rFonts w:hint="eastAsia"/>
          <w:b w:val="0"/>
          <w:bCs/>
          <w:color w:val="auto"/>
          <w:sz w:val="24"/>
          <w:highlight w:val="none"/>
        </w:rPr>
        <w:t>为</w:t>
      </w:r>
      <w:r>
        <w:rPr>
          <w:rFonts w:hint="eastAsia"/>
          <w:b w:val="0"/>
          <w:bCs/>
          <w:color w:val="auto"/>
          <w:sz w:val="24"/>
          <w:highlight w:val="none"/>
          <w:lang w:eastAsia="zh-CN"/>
        </w:rPr>
        <w:t>河岸</w:t>
      </w:r>
      <w:r>
        <w:rPr>
          <w:rFonts w:hint="eastAsia"/>
          <w:b w:val="0"/>
          <w:bCs/>
          <w:color w:val="auto"/>
          <w:sz w:val="24"/>
          <w:highlight w:val="none"/>
        </w:rPr>
        <w:t>植被，植被生长期用水主要依靠自然降水</w:t>
      </w:r>
      <w:r>
        <w:rPr>
          <w:rFonts w:hint="eastAsia"/>
          <w:b w:val="0"/>
          <w:bCs/>
          <w:color w:val="auto"/>
          <w:sz w:val="24"/>
          <w:highlight w:val="none"/>
          <w:lang w:eastAsia="zh-CN"/>
        </w:rPr>
        <w:t>。根据黎河水文资料，黎河枯水期基本断流，丰水期“引滦入津工程”不输水，在输水期，</w:t>
      </w:r>
      <w:r>
        <w:rPr>
          <w:rFonts w:hint="eastAsia"/>
          <w:b w:val="0"/>
          <w:bCs/>
          <w:color w:val="auto"/>
          <w:sz w:val="24"/>
          <w:highlight w:val="none"/>
        </w:rPr>
        <w:t>电站引水发电会</w:t>
      </w:r>
      <w:r>
        <w:rPr>
          <w:rFonts w:hint="eastAsia"/>
          <w:b w:val="0"/>
          <w:bCs/>
          <w:color w:val="auto"/>
          <w:sz w:val="24"/>
          <w:highlight w:val="none"/>
          <w:lang w:eastAsia="zh-CN"/>
        </w:rPr>
        <w:t>形成输水期</w:t>
      </w:r>
      <w:r>
        <w:rPr>
          <w:rFonts w:hint="eastAsia"/>
          <w:b w:val="0"/>
          <w:bCs/>
          <w:color w:val="auto"/>
          <w:sz w:val="24"/>
          <w:highlight w:val="none"/>
        </w:rPr>
        <w:t>减水河段</w:t>
      </w:r>
      <w:r>
        <w:rPr>
          <w:rFonts w:hint="eastAsia"/>
          <w:b w:val="0"/>
          <w:bCs/>
          <w:color w:val="auto"/>
          <w:sz w:val="24"/>
          <w:highlight w:val="none"/>
          <w:lang w:eastAsia="zh-CN"/>
        </w:rPr>
        <w:t>。</w:t>
      </w:r>
    </w:p>
    <w:p>
      <w:pPr>
        <w:autoSpaceDE w:val="0"/>
        <w:autoSpaceDN w:val="0"/>
        <w:adjustRightInd w:val="0"/>
        <w:spacing w:line="480" w:lineRule="exact"/>
        <w:ind w:firstLine="480" w:firstLineChars="200"/>
        <w:rPr>
          <w:rFonts w:hint="eastAsia"/>
          <w:b w:val="0"/>
          <w:bCs/>
          <w:color w:val="000000" w:themeColor="text1"/>
          <w:sz w:val="24"/>
          <w:highlight w:val="none"/>
          <w14:textFill>
            <w14:solidFill>
              <w14:schemeClr w14:val="tx1"/>
            </w14:solidFill>
          </w14:textFill>
        </w:rPr>
      </w:pPr>
      <w:r>
        <w:rPr>
          <w:rFonts w:hint="eastAsia"/>
          <w:color w:val="auto"/>
          <w:kern w:val="0"/>
          <w:sz w:val="24"/>
          <w:highlight w:val="none"/>
          <w:lang w:val="zh-CN"/>
        </w:rPr>
        <w:t>本项目橡胶坝坝高</w:t>
      </w:r>
      <w:r>
        <w:rPr>
          <w:rFonts w:hint="eastAsia"/>
          <w:color w:val="auto"/>
          <w:kern w:val="0"/>
          <w:sz w:val="24"/>
          <w:highlight w:val="none"/>
          <w:lang w:val="en-US" w:eastAsia="zh-CN"/>
        </w:rPr>
        <w:t>2</w:t>
      </w:r>
      <w:r>
        <w:rPr>
          <w:rFonts w:hint="eastAsia"/>
          <w:color w:val="auto"/>
          <w:kern w:val="0"/>
          <w:sz w:val="24"/>
          <w:highlight w:val="none"/>
        </w:rPr>
        <w:t>m，</w:t>
      </w:r>
      <w:r>
        <w:rPr>
          <w:rFonts w:hint="eastAsia"/>
          <w:color w:val="auto"/>
          <w:kern w:val="0"/>
          <w:sz w:val="24"/>
          <w:highlight w:val="none"/>
          <w:lang w:val="zh-CN"/>
        </w:rPr>
        <w:t>“</w:t>
      </w:r>
      <w:r>
        <w:rPr>
          <w:color w:val="auto"/>
          <w:kern w:val="0"/>
          <w:sz w:val="24"/>
          <w:highlight w:val="none"/>
          <w:lang w:val="zh-CN"/>
        </w:rPr>
        <w:t>引滦入津工程</w:t>
      </w:r>
      <w:r>
        <w:rPr>
          <w:rFonts w:hint="eastAsia"/>
          <w:color w:val="auto"/>
          <w:kern w:val="0"/>
          <w:sz w:val="24"/>
          <w:highlight w:val="none"/>
          <w:lang w:val="zh-CN"/>
        </w:rPr>
        <w:t>”</w:t>
      </w:r>
      <w:r>
        <w:rPr>
          <w:color w:val="auto"/>
          <w:kern w:val="0"/>
          <w:sz w:val="24"/>
          <w:highlight w:val="none"/>
          <w:lang w:val="zh-CN"/>
        </w:rPr>
        <w:t>输水河道</w:t>
      </w:r>
      <w:r>
        <w:rPr>
          <w:rFonts w:hint="eastAsia"/>
          <w:color w:val="auto"/>
          <w:kern w:val="0"/>
          <w:sz w:val="24"/>
          <w:highlight w:val="none"/>
          <w:lang w:val="zh-CN"/>
        </w:rPr>
        <w:t>黎河</w:t>
      </w:r>
      <w:r>
        <w:rPr>
          <w:color w:val="auto"/>
          <w:kern w:val="0"/>
          <w:sz w:val="24"/>
          <w:highlight w:val="none"/>
          <w:lang w:val="zh-CN"/>
        </w:rPr>
        <w:t>水流流量6</w:t>
      </w:r>
      <w:r>
        <w:rPr>
          <w:rFonts w:hint="eastAsia"/>
          <w:color w:val="auto"/>
          <w:kern w:val="0"/>
          <w:sz w:val="24"/>
          <w:highlight w:val="none"/>
          <w:lang w:val="en-US" w:eastAsia="zh-CN"/>
        </w:rPr>
        <w:t>0</w:t>
      </w:r>
      <w:r>
        <w:rPr>
          <w:color w:val="auto"/>
          <w:kern w:val="0"/>
          <w:sz w:val="24"/>
          <w:highlight w:val="none"/>
          <w:lang w:val="zh-CN"/>
        </w:rPr>
        <w:t>m</w:t>
      </w:r>
      <w:r>
        <w:rPr>
          <w:color w:val="auto"/>
          <w:kern w:val="0"/>
          <w:sz w:val="24"/>
          <w:highlight w:val="none"/>
          <w:vertAlign w:val="superscript"/>
          <w:lang w:val="zh-CN"/>
        </w:rPr>
        <w:t>3</w:t>
      </w:r>
      <w:r>
        <w:rPr>
          <w:color w:val="auto"/>
          <w:kern w:val="0"/>
          <w:sz w:val="24"/>
          <w:highlight w:val="none"/>
          <w:lang w:val="zh-CN"/>
        </w:rPr>
        <w:t>/s，水轮机</w:t>
      </w:r>
      <w:r>
        <w:rPr>
          <w:rFonts w:hint="eastAsia"/>
          <w:color w:val="auto"/>
          <w:kern w:val="0"/>
          <w:sz w:val="24"/>
          <w:highlight w:val="none"/>
          <w:lang w:val="zh-CN"/>
        </w:rPr>
        <w:t>引水</w:t>
      </w:r>
      <w:r>
        <w:rPr>
          <w:color w:val="auto"/>
          <w:kern w:val="0"/>
          <w:sz w:val="24"/>
          <w:highlight w:val="none"/>
          <w:lang w:val="zh-CN"/>
        </w:rPr>
        <w:t>流量</w:t>
      </w:r>
      <w:r>
        <w:rPr>
          <w:rFonts w:hint="eastAsia"/>
          <w:color w:val="auto"/>
          <w:kern w:val="0"/>
          <w:sz w:val="24"/>
          <w:highlight w:val="none"/>
          <w:lang w:val="en-US" w:eastAsia="zh-CN"/>
        </w:rPr>
        <w:t>55.92</w:t>
      </w:r>
      <w:r>
        <w:rPr>
          <w:color w:val="auto"/>
          <w:kern w:val="0"/>
          <w:sz w:val="24"/>
          <w:highlight w:val="none"/>
          <w:lang w:val="zh-CN"/>
        </w:rPr>
        <w:t>m</w:t>
      </w:r>
      <w:r>
        <w:rPr>
          <w:color w:val="auto"/>
          <w:kern w:val="0"/>
          <w:sz w:val="24"/>
          <w:highlight w:val="none"/>
          <w:vertAlign w:val="superscript"/>
          <w:lang w:val="zh-CN"/>
        </w:rPr>
        <w:t>3</w:t>
      </w:r>
      <w:r>
        <w:rPr>
          <w:color w:val="auto"/>
          <w:kern w:val="0"/>
          <w:sz w:val="24"/>
          <w:highlight w:val="none"/>
          <w:lang w:val="zh-CN"/>
        </w:rPr>
        <w:t>/s</w:t>
      </w:r>
      <w:r>
        <w:rPr>
          <w:rFonts w:hint="eastAsia"/>
          <w:color w:val="auto"/>
          <w:kern w:val="0"/>
          <w:sz w:val="24"/>
          <w:highlight w:val="none"/>
          <w:lang w:val="zh-CN"/>
        </w:rPr>
        <w:t>，</w:t>
      </w:r>
      <w:r>
        <w:rPr>
          <w:color w:val="auto"/>
          <w:kern w:val="0"/>
          <w:sz w:val="24"/>
          <w:highlight w:val="none"/>
          <w:lang w:val="zh-CN"/>
        </w:rPr>
        <w:t>小于黎河输水流量</w:t>
      </w:r>
      <w:r>
        <w:rPr>
          <w:rFonts w:hint="eastAsia"/>
          <w:color w:val="auto"/>
          <w:kern w:val="0"/>
          <w:sz w:val="24"/>
          <w:highlight w:val="none"/>
          <w:lang w:val="zh-CN"/>
        </w:rPr>
        <w:t>。设计黎河输水量</w:t>
      </w:r>
      <w:r>
        <w:rPr>
          <w:rFonts w:hint="eastAsia"/>
          <w:color w:val="auto"/>
          <w:kern w:val="0"/>
          <w:sz w:val="24"/>
          <w:highlight w:val="none"/>
          <w:lang w:val="en-US" w:eastAsia="zh-CN"/>
        </w:rPr>
        <w:t>10亿m</w:t>
      </w:r>
      <w:r>
        <w:rPr>
          <w:rFonts w:hint="eastAsia"/>
          <w:color w:val="auto"/>
          <w:kern w:val="0"/>
          <w:sz w:val="24"/>
          <w:highlight w:val="none"/>
          <w:vertAlign w:val="superscript"/>
          <w:lang w:val="en-US" w:eastAsia="zh-CN"/>
        </w:rPr>
        <w:t>3</w:t>
      </w:r>
      <w:r>
        <w:rPr>
          <w:rFonts w:hint="eastAsia"/>
          <w:color w:val="auto"/>
          <w:kern w:val="0"/>
          <w:sz w:val="24"/>
          <w:highlight w:val="none"/>
          <w:lang w:val="en-US" w:eastAsia="zh-CN"/>
        </w:rPr>
        <w:t>/a，本电站设计用水量5.9亿m</w:t>
      </w:r>
      <w:r>
        <w:rPr>
          <w:rFonts w:hint="eastAsia"/>
          <w:color w:val="auto"/>
          <w:kern w:val="0"/>
          <w:sz w:val="24"/>
          <w:highlight w:val="none"/>
          <w:vertAlign w:val="superscript"/>
          <w:lang w:val="en-US" w:eastAsia="zh-CN"/>
        </w:rPr>
        <w:t>3</w:t>
      </w:r>
      <w:r>
        <w:rPr>
          <w:rFonts w:hint="eastAsia"/>
          <w:color w:val="auto"/>
          <w:kern w:val="0"/>
          <w:sz w:val="24"/>
          <w:highlight w:val="none"/>
          <w:lang w:val="en-US" w:eastAsia="zh-CN"/>
        </w:rPr>
        <w:t>/a，通过橡胶坝直接下泄41%，</w:t>
      </w:r>
      <w:r>
        <w:rPr>
          <w:rFonts w:hint="eastAsia"/>
          <w:color w:val="auto"/>
          <w:kern w:val="0"/>
          <w:sz w:val="24"/>
          <w:highlight w:val="none"/>
        </w:rPr>
        <w:t>输水</w:t>
      </w:r>
      <w:r>
        <w:rPr>
          <w:rFonts w:hint="eastAsia"/>
          <w:color w:val="auto"/>
          <w:kern w:val="0"/>
          <w:sz w:val="24"/>
          <w:highlight w:val="none"/>
          <w:lang w:eastAsia="zh-CN"/>
        </w:rPr>
        <w:t>期</w:t>
      </w:r>
      <w:r>
        <w:rPr>
          <w:rFonts w:hint="eastAsia"/>
          <w:color w:val="auto"/>
          <w:kern w:val="0"/>
          <w:sz w:val="24"/>
          <w:highlight w:val="none"/>
        </w:rPr>
        <w:t>直接从橡胶坝漫流</w:t>
      </w:r>
      <w:r>
        <w:rPr>
          <w:rFonts w:hint="eastAsia"/>
          <w:color w:val="auto"/>
          <w:kern w:val="0"/>
          <w:sz w:val="24"/>
          <w:highlight w:val="none"/>
          <w:lang w:eastAsia="zh-CN"/>
        </w:rPr>
        <w:t>，坝下至为水口减水段流量</w:t>
      </w:r>
      <w:r>
        <w:rPr>
          <w:rFonts w:hint="eastAsia"/>
          <w:color w:val="auto"/>
          <w:kern w:val="0"/>
          <w:sz w:val="24"/>
          <w:highlight w:val="none"/>
          <w:lang w:val="en-US" w:eastAsia="zh-CN"/>
        </w:rPr>
        <w:t>4.08</w:t>
      </w:r>
      <w:r>
        <w:rPr>
          <w:color w:val="auto"/>
          <w:kern w:val="0"/>
          <w:sz w:val="24"/>
          <w:highlight w:val="none"/>
          <w:lang w:val="zh-CN"/>
        </w:rPr>
        <w:t>m</w:t>
      </w:r>
      <w:r>
        <w:rPr>
          <w:color w:val="auto"/>
          <w:kern w:val="0"/>
          <w:sz w:val="24"/>
          <w:highlight w:val="none"/>
          <w:vertAlign w:val="superscript"/>
          <w:lang w:val="zh-CN"/>
        </w:rPr>
        <w:t>3</w:t>
      </w:r>
      <w:r>
        <w:rPr>
          <w:color w:val="auto"/>
          <w:kern w:val="0"/>
          <w:sz w:val="24"/>
          <w:highlight w:val="none"/>
          <w:lang w:val="zh-CN"/>
        </w:rPr>
        <w:t>/s</w:t>
      </w:r>
      <w:r>
        <w:rPr>
          <w:rFonts w:hint="eastAsia"/>
          <w:color w:val="auto"/>
          <w:kern w:val="0"/>
          <w:sz w:val="24"/>
          <w:highlight w:val="none"/>
          <w:lang w:val="zh-CN"/>
        </w:rPr>
        <w:t>，远远高于最低生态流量</w:t>
      </w:r>
      <w:r>
        <w:rPr>
          <w:rFonts w:hint="eastAsia"/>
          <w:color w:val="auto"/>
          <w:kern w:val="0"/>
          <w:sz w:val="24"/>
          <w:highlight w:val="none"/>
          <w:lang w:val="en-US" w:eastAsia="zh-CN"/>
        </w:rPr>
        <w:t>0.44</w:t>
      </w:r>
      <w:r>
        <w:rPr>
          <w:color w:val="auto"/>
          <w:kern w:val="0"/>
          <w:sz w:val="24"/>
          <w:highlight w:val="none"/>
          <w:lang w:val="zh-CN"/>
        </w:rPr>
        <w:t>m</w:t>
      </w:r>
      <w:r>
        <w:rPr>
          <w:color w:val="auto"/>
          <w:kern w:val="0"/>
          <w:sz w:val="24"/>
          <w:highlight w:val="none"/>
          <w:vertAlign w:val="superscript"/>
          <w:lang w:val="zh-CN"/>
        </w:rPr>
        <w:t>3</w:t>
      </w:r>
      <w:r>
        <w:rPr>
          <w:color w:val="auto"/>
          <w:kern w:val="0"/>
          <w:sz w:val="24"/>
          <w:highlight w:val="none"/>
          <w:lang w:val="zh-CN"/>
        </w:rPr>
        <w:t>/s</w:t>
      </w:r>
      <w:r>
        <w:rPr>
          <w:rFonts w:hint="eastAsia"/>
          <w:color w:val="auto"/>
          <w:kern w:val="0"/>
          <w:sz w:val="24"/>
          <w:highlight w:val="none"/>
          <w:lang w:val="zh-CN"/>
        </w:rPr>
        <w:t>要求。</w:t>
      </w:r>
      <w:r>
        <w:rPr>
          <w:rFonts w:hint="eastAsia"/>
          <w:b w:val="0"/>
          <w:bCs/>
          <w:color w:val="auto"/>
          <w:sz w:val="24"/>
          <w:highlight w:val="none"/>
          <w:lang w:eastAsia="zh-CN"/>
        </w:rPr>
        <w:t>该减水段与非输水期相比，河道内径流仍大于非引水期，故</w:t>
      </w:r>
      <w:r>
        <w:rPr>
          <w:rFonts w:hint="eastAsia"/>
          <w:b w:val="0"/>
          <w:bCs/>
          <w:color w:val="auto"/>
          <w:sz w:val="24"/>
          <w:highlight w:val="none"/>
        </w:rPr>
        <w:t>对两岸近岸植被生</w:t>
      </w:r>
      <w:r>
        <w:rPr>
          <w:rFonts w:hint="eastAsia"/>
          <w:b w:val="0"/>
          <w:bCs/>
          <w:color w:val="000000" w:themeColor="text1"/>
          <w:sz w:val="24"/>
          <w:highlight w:val="none"/>
          <w14:textFill>
            <w14:solidFill>
              <w14:schemeClr w14:val="tx1"/>
            </w14:solidFill>
          </w14:textFill>
        </w:rPr>
        <w:t>长</w:t>
      </w:r>
      <w:r>
        <w:rPr>
          <w:rFonts w:hint="eastAsia"/>
          <w:b w:val="0"/>
          <w:bCs/>
          <w:color w:val="000000" w:themeColor="text1"/>
          <w:sz w:val="24"/>
          <w:highlight w:val="none"/>
          <w:lang w:eastAsia="zh-CN"/>
          <w14:textFill>
            <w14:solidFill>
              <w14:schemeClr w14:val="tx1"/>
            </w14:solidFill>
          </w14:textFill>
        </w:rPr>
        <w:t>无</w:t>
      </w:r>
      <w:r>
        <w:rPr>
          <w:rFonts w:hint="eastAsia"/>
          <w:b w:val="0"/>
          <w:bCs/>
          <w:color w:val="000000" w:themeColor="text1"/>
          <w:sz w:val="24"/>
          <w:highlight w:val="none"/>
          <w14:textFill>
            <w14:solidFill>
              <w14:schemeClr w14:val="tx1"/>
            </w14:solidFill>
          </w14:textFill>
        </w:rPr>
        <w:t>影响。根据现场走访调查，减水河段两岸近岸植被生长良好，可见，减水河段对沿线两岸近岸植被</w:t>
      </w:r>
      <w:r>
        <w:rPr>
          <w:rFonts w:hint="eastAsia"/>
          <w:b w:val="0"/>
          <w:bCs/>
          <w:color w:val="000000" w:themeColor="text1"/>
          <w:sz w:val="24"/>
          <w:highlight w:val="none"/>
          <w:lang w:eastAsia="zh-CN"/>
          <w14:textFill>
            <w14:solidFill>
              <w14:schemeClr w14:val="tx1"/>
            </w14:solidFill>
          </w14:textFill>
        </w:rPr>
        <w:t>没有</w:t>
      </w:r>
      <w:r>
        <w:rPr>
          <w:rFonts w:hint="eastAsia"/>
          <w:b w:val="0"/>
          <w:bCs/>
          <w:color w:val="000000" w:themeColor="text1"/>
          <w:sz w:val="24"/>
          <w:highlight w:val="none"/>
          <w14:textFill>
            <w14:solidFill>
              <w14:schemeClr w14:val="tx1"/>
            </w14:solidFill>
          </w14:textFill>
        </w:rPr>
        <w:t>影响。</w:t>
      </w:r>
    </w:p>
    <w:p>
      <w:pPr>
        <w:autoSpaceDE w:val="0"/>
        <w:autoSpaceDN w:val="0"/>
        <w:adjustRightInd w:val="0"/>
        <w:spacing w:line="480" w:lineRule="exact"/>
        <w:ind w:firstLine="480" w:firstLineChars="200"/>
        <w:rPr>
          <w:rFonts w:hint="eastAsia"/>
          <w:b w:val="0"/>
          <w:bCs/>
          <w:color w:val="000000" w:themeColor="text1"/>
          <w:sz w:val="24"/>
          <w:highlight w:val="none"/>
          <w:lang w:val="en-US" w:eastAsia="zh-CN"/>
          <w14:textFill>
            <w14:solidFill>
              <w14:schemeClr w14:val="tx1"/>
            </w14:solidFill>
          </w14:textFill>
        </w:rPr>
      </w:pPr>
      <w:r>
        <w:rPr>
          <w:rFonts w:hint="eastAsia"/>
          <w:b w:val="0"/>
          <w:bCs/>
          <w:color w:val="000000" w:themeColor="text1"/>
          <w:sz w:val="24"/>
          <w:highlight w:val="none"/>
          <w:lang w:val="en-US" w:eastAsia="zh-CN"/>
          <w14:textFill>
            <w14:solidFill>
              <w14:schemeClr w14:val="tx1"/>
            </w14:solidFill>
          </w14:textFill>
        </w:rPr>
        <w:t>（2）对陆生动物资源的影响评价</w:t>
      </w:r>
    </w:p>
    <w:p>
      <w:pPr>
        <w:autoSpaceDE w:val="0"/>
        <w:autoSpaceDN w:val="0"/>
        <w:adjustRightInd w:val="0"/>
        <w:spacing w:line="480" w:lineRule="exact"/>
        <w:ind w:firstLine="480" w:firstLineChars="200"/>
        <w:rPr>
          <w:rFonts w:hint="eastAsia"/>
          <w:b w:val="0"/>
          <w:bCs/>
          <w:color w:val="000000" w:themeColor="text1"/>
          <w:sz w:val="24"/>
          <w:highlight w:val="none"/>
          <w:lang w:val="en-US" w:eastAsia="zh-CN"/>
          <w14:textFill>
            <w14:solidFill>
              <w14:schemeClr w14:val="tx1"/>
            </w14:solidFill>
          </w14:textFill>
        </w:rPr>
      </w:pPr>
      <w:r>
        <w:rPr>
          <w:rFonts w:hint="eastAsia"/>
          <w:b w:val="0"/>
          <w:bCs/>
          <w:color w:val="000000" w:themeColor="text1"/>
          <w:sz w:val="24"/>
          <w:highlight w:val="none"/>
          <w:lang w:val="en-US" w:eastAsia="zh-CN"/>
          <w14:textFill>
            <w14:solidFill>
              <w14:schemeClr w14:val="tx1"/>
            </w14:solidFill>
          </w14:textFill>
        </w:rPr>
        <w:t>电站开发建设运行后，对周边道路、植被不会造成影响，对周边野生动物影响较小。根据收集资料及本次调查，评价范围内未发现重点保护野生动物，电站占用地较小，根据本次评价现状调查，电站周围地区生态环境稳定，可知电站开发运营对动物影响不大。</w:t>
      </w:r>
    </w:p>
    <w:p>
      <w:pPr>
        <w:autoSpaceDE w:val="0"/>
        <w:autoSpaceDN w:val="0"/>
        <w:adjustRightInd w:val="0"/>
        <w:spacing w:line="480" w:lineRule="exact"/>
        <w:rPr>
          <w:rFonts w:hint="eastAsia"/>
          <w:b w:val="0"/>
          <w:bCs/>
          <w:color w:val="000000" w:themeColor="text1"/>
          <w:sz w:val="24"/>
          <w:highlight w:val="none"/>
          <w:lang w:val="en-US" w:eastAsia="zh-CN"/>
          <w14:textFill>
            <w14:solidFill>
              <w14:schemeClr w14:val="tx1"/>
            </w14:solidFill>
          </w14:textFill>
        </w:rPr>
      </w:pPr>
      <w:r>
        <w:rPr>
          <w:rFonts w:hint="eastAsia"/>
          <w:b/>
          <w:bCs w:val="0"/>
          <w:color w:val="000000" w:themeColor="text1"/>
          <w:sz w:val="24"/>
          <w:highlight w:val="none"/>
          <w:lang w:val="en-US" w:eastAsia="zh-CN"/>
          <w14:textFill>
            <w14:solidFill>
              <w14:schemeClr w14:val="tx1"/>
            </w14:solidFill>
          </w14:textFill>
        </w:rPr>
        <w:t>5</w:t>
      </w:r>
      <w:r>
        <w:rPr>
          <w:rFonts w:hint="eastAsia"/>
          <w:b/>
          <w:bCs w:val="0"/>
          <w:color w:val="000000" w:themeColor="text1"/>
          <w:sz w:val="24"/>
          <w:highlight w:val="none"/>
          <w14:textFill>
            <w14:solidFill>
              <w14:schemeClr w14:val="tx1"/>
            </w14:solidFill>
          </w14:textFill>
        </w:rPr>
        <w:t>.1.</w:t>
      </w:r>
      <w:r>
        <w:rPr>
          <w:rFonts w:hint="eastAsia"/>
          <w:b/>
          <w:bCs w:val="0"/>
          <w:color w:val="000000" w:themeColor="text1"/>
          <w:sz w:val="24"/>
          <w:highlight w:val="none"/>
          <w:lang w:val="en-US" w:eastAsia="zh-CN"/>
          <w14:textFill>
            <w14:solidFill>
              <w14:schemeClr w14:val="tx1"/>
            </w14:solidFill>
          </w14:textFill>
        </w:rPr>
        <w:t>2</w:t>
      </w:r>
      <w:r>
        <w:rPr>
          <w:rFonts w:hint="eastAsia"/>
          <w:b/>
          <w:bCs w:val="0"/>
          <w:color w:val="000000" w:themeColor="text1"/>
          <w:sz w:val="24"/>
          <w:highlight w:val="none"/>
          <w14:textFill>
            <w14:solidFill>
              <w14:schemeClr w14:val="tx1"/>
            </w14:solidFill>
          </w14:textFill>
        </w:rPr>
        <w:t xml:space="preserve"> </w:t>
      </w:r>
      <w:r>
        <w:rPr>
          <w:rFonts w:hint="eastAsia"/>
          <w:b/>
          <w:bCs w:val="0"/>
          <w:color w:val="000000" w:themeColor="text1"/>
          <w:sz w:val="24"/>
          <w:highlight w:val="none"/>
          <w:lang w:val="en-US" w:eastAsia="zh-CN"/>
          <w14:textFill>
            <w14:solidFill>
              <w14:schemeClr w14:val="tx1"/>
            </w14:solidFill>
          </w14:textFill>
        </w:rPr>
        <w:t>水生生态环境影响回顾性评价</w:t>
      </w:r>
    </w:p>
    <w:p>
      <w:pPr>
        <w:autoSpaceDE w:val="0"/>
        <w:autoSpaceDN w:val="0"/>
        <w:adjustRightInd w:val="0"/>
        <w:spacing w:line="480" w:lineRule="exact"/>
        <w:ind w:firstLine="480" w:firstLineChars="200"/>
        <w:rPr>
          <w:rFonts w:hint="eastAsia"/>
          <w:b w:val="0"/>
          <w:bCs/>
          <w:color w:val="auto"/>
          <w:sz w:val="24"/>
          <w:highlight w:val="none"/>
          <w:lang w:val="en-US" w:eastAsia="zh-CN"/>
        </w:rPr>
      </w:pPr>
      <w:r>
        <w:rPr>
          <w:rFonts w:hint="eastAsia"/>
          <w:b w:val="0"/>
          <w:bCs/>
          <w:color w:val="000000" w:themeColor="text1"/>
          <w:sz w:val="24"/>
          <w:highlight w:val="none"/>
          <w:lang w:val="en-US" w:eastAsia="zh-CN"/>
          <w14:textFill>
            <w14:solidFill>
              <w14:schemeClr w14:val="tx1"/>
            </w14:solidFill>
          </w14:textFill>
        </w:rPr>
        <w:t>电站未开发前，河流为天然状态，水力连通性良好，水生生态环境完整，水生生态环境很少受人为破坏，各类水生生物根据各自生活习性生存，水生生态比较稳定，生物多</w:t>
      </w:r>
      <w:r>
        <w:rPr>
          <w:rFonts w:hint="eastAsia"/>
          <w:b w:val="0"/>
          <w:bCs/>
          <w:color w:val="auto"/>
          <w:sz w:val="24"/>
          <w:highlight w:val="none"/>
          <w:lang w:val="en-US" w:eastAsia="zh-CN"/>
        </w:rPr>
        <w:t>样性较为稳定。</w:t>
      </w:r>
    </w:p>
    <w:p>
      <w:pPr>
        <w:autoSpaceDE w:val="0"/>
        <w:autoSpaceDN w:val="0"/>
        <w:adjustRightInd w:val="0"/>
        <w:spacing w:line="480" w:lineRule="exact"/>
        <w:ind w:firstLine="480" w:firstLineChars="200"/>
        <w:rPr>
          <w:rFonts w:hint="eastAsia"/>
          <w:b w:val="0"/>
          <w:bCs/>
          <w:color w:val="auto"/>
          <w:sz w:val="24"/>
          <w:highlight w:val="none"/>
          <w:lang w:val="en-US" w:eastAsia="zh-CN"/>
        </w:rPr>
      </w:pPr>
      <w:r>
        <w:rPr>
          <w:rFonts w:hint="eastAsia"/>
          <w:b w:val="0"/>
          <w:bCs/>
          <w:color w:val="auto"/>
          <w:sz w:val="24"/>
          <w:highlight w:val="none"/>
          <w:lang w:val="en-US" w:eastAsia="zh-CN"/>
        </w:rPr>
        <w:t>引滦入津输水和电站的建成使得黎河流域水文情势发生一定改变，橡胶坝前河段形成了河道型壅水区生态环境，这对黎河的水生生态系统可能造成累积影响，坝前水生生物由于水量、营养成分的变化，一些适应缓流、较深水的生物可能开始繁衍，但由于输水分两个阶段，且持续时间较短，形成新的水生生态系统种群几率很小。</w:t>
      </w:r>
    </w:p>
    <w:p>
      <w:pPr>
        <w:autoSpaceDE w:val="0"/>
        <w:autoSpaceDN w:val="0"/>
        <w:adjustRightInd w:val="0"/>
        <w:spacing w:line="480" w:lineRule="exact"/>
        <w:ind w:firstLine="480" w:firstLineChars="200"/>
        <w:rPr>
          <w:rFonts w:hint="eastAsia"/>
          <w:b w:val="0"/>
          <w:bCs/>
          <w:color w:val="000000" w:themeColor="text1"/>
          <w:sz w:val="24"/>
          <w:highlight w:val="none"/>
          <w:lang w:val="en-US" w:eastAsia="zh-CN"/>
          <w14:textFill>
            <w14:solidFill>
              <w14:schemeClr w14:val="tx1"/>
            </w14:solidFill>
          </w14:textFill>
        </w:rPr>
      </w:pPr>
      <w:r>
        <w:rPr>
          <w:rFonts w:hint="eastAsia"/>
          <w:b w:val="0"/>
          <w:bCs/>
          <w:color w:val="000000" w:themeColor="text1"/>
          <w:sz w:val="24"/>
          <w:highlight w:val="none"/>
          <w:lang w:val="en-US" w:eastAsia="zh-CN"/>
          <w14:textFill>
            <w14:solidFill>
              <w14:schemeClr w14:val="tx1"/>
            </w14:solidFill>
          </w14:textFill>
        </w:rPr>
        <w:t>（1）水生生物生境的改变及对水生生物影响回顾性评价</w:t>
      </w:r>
    </w:p>
    <w:p>
      <w:pPr>
        <w:autoSpaceDE w:val="0"/>
        <w:autoSpaceDN w:val="0"/>
        <w:adjustRightInd w:val="0"/>
        <w:spacing w:line="480" w:lineRule="exact"/>
        <w:ind w:firstLine="480" w:firstLineChars="200"/>
        <w:rPr>
          <w:rFonts w:hint="eastAsia"/>
          <w:b w:val="0"/>
          <w:bCs/>
          <w:color w:val="000000" w:themeColor="text1"/>
          <w:sz w:val="24"/>
          <w:highlight w:val="none"/>
          <w:lang w:val="en-US" w:eastAsia="zh-CN"/>
          <w14:textFill>
            <w14:solidFill>
              <w14:schemeClr w14:val="tx1"/>
            </w14:solidFill>
          </w14:textFill>
        </w:rPr>
      </w:pPr>
      <w:r>
        <w:rPr>
          <w:rFonts w:hint="eastAsia"/>
          <w:b w:val="0"/>
          <w:bCs/>
          <w:color w:val="000000" w:themeColor="text1"/>
          <w:sz w:val="24"/>
          <w:highlight w:val="none"/>
          <w:lang w:val="en-US" w:eastAsia="zh-CN"/>
          <w14:textFill>
            <w14:solidFill>
              <w14:schemeClr w14:val="tx1"/>
            </w14:solidFill>
          </w14:textFill>
        </w:rPr>
        <w:t>电站建成后，</w:t>
      </w:r>
      <w:r>
        <w:rPr>
          <w:rFonts w:hint="eastAsia"/>
          <w:b w:val="0"/>
          <w:bCs/>
          <w:color w:val="auto"/>
          <w:sz w:val="24"/>
          <w:highlight w:val="none"/>
          <w:lang w:val="en-US" w:eastAsia="zh-CN"/>
        </w:rPr>
        <w:t>黎河由原来的自然河流变成输水期坝后减水河段和坝前壅水区，使水生生物可能会发生改变，壅水区水面面积和水体体积增大，增加壅水区营养物质，有利于浮游动植物等鱼</w:t>
      </w:r>
      <w:r>
        <w:rPr>
          <w:rFonts w:hint="eastAsia"/>
          <w:b w:val="0"/>
          <w:bCs/>
          <w:color w:val="000000" w:themeColor="text1"/>
          <w:sz w:val="24"/>
          <w:highlight w:val="none"/>
          <w:lang w:val="en-US" w:eastAsia="zh-CN"/>
          <w14:textFill>
            <w14:solidFill>
              <w14:schemeClr w14:val="tx1"/>
            </w14:solidFill>
          </w14:textFill>
        </w:rPr>
        <w:t>类饵料的繁殖生长。由于本项目引水为“引滦入津”输水期，下游减水段绿藻类、硅藻类等种类的数量较水电开发建设前已有明显增多。</w:t>
      </w:r>
    </w:p>
    <w:p>
      <w:pPr>
        <w:autoSpaceDE w:val="0"/>
        <w:autoSpaceDN w:val="0"/>
        <w:adjustRightInd w:val="0"/>
        <w:spacing w:line="480" w:lineRule="exact"/>
        <w:ind w:firstLine="480" w:firstLineChars="200"/>
        <w:rPr>
          <w:rFonts w:hint="eastAsia"/>
          <w:b w:val="0"/>
          <w:bCs/>
          <w:color w:val="000000" w:themeColor="text1"/>
          <w:sz w:val="24"/>
          <w:highlight w:val="none"/>
          <w:lang w:val="en-US" w:eastAsia="zh-CN"/>
          <w14:textFill>
            <w14:solidFill>
              <w14:schemeClr w14:val="tx1"/>
            </w14:solidFill>
          </w14:textFill>
        </w:rPr>
      </w:pPr>
      <w:r>
        <w:rPr>
          <w:rFonts w:hint="eastAsia"/>
          <w:b w:val="0"/>
          <w:bCs/>
          <w:color w:val="000000" w:themeColor="text1"/>
          <w:sz w:val="24"/>
          <w:highlight w:val="none"/>
          <w:lang w:val="en-US" w:eastAsia="zh-CN"/>
          <w14:textFill>
            <w14:solidFill>
              <w14:schemeClr w14:val="tx1"/>
            </w14:solidFill>
          </w14:textFill>
        </w:rPr>
        <w:t>经现场调查，水电开发使河流浮游动物生境由原有的河流生态将变成河道型缓流壅水区生态。壅水区浮游动物的种类组成以静水敞水性物种为主，密度以及生物量较水电开发建设前会有上升。</w:t>
      </w:r>
    </w:p>
    <w:p>
      <w:pPr>
        <w:autoSpaceDE w:val="0"/>
        <w:autoSpaceDN w:val="0"/>
        <w:adjustRightInd w:val="0"/>
        <w:spacing w:line="480" w:lineRule="exact"/>
        <w:ind w:firstLine="480" w:firstLineChars="200"/>
        <w:rPr>
          <w:rFonts w:hint="eastAsia"/>
          <w:b w:val="0"/>
          <w:bCs/>
          <w:color w:val="000000" w:themeColor="text1"/>
          <w:sz w:val="24"/>
          <w:highlight w:val="none"/>
          <w:lang w:val="en-US" w:eastAsia="zh-CN"/>
          <w14:textFill>
            <w14:solidFill>
              <w14:schemeClr w14:val="tx1"/>
            </w14:solidFill>
          </w14:textFill>
        </w:rPr>
      </w:pPr>
      <w:r>
        <w:rPr>
          <w:rFonts w:hint="eastAsia"/>
          <w:b w:val="0"/>
          <w:bCs/>
          <w:color w:val="000000" w:themeColor="text1"/>
          <w:sz w:val="24"/>
          <w:highlight w:val="none"/>
          <w:lang w:val="en-US" w:eastAsia="zh-CN"/>
          <w14:textFill>
            <w14:solidFill>
              <w14:schemeClr w14:val="tx1"/>
            </w14:solidFill>
          </w14:textFill>
        </w:rPr>
        <w:t>（2）对鱼类的影响</w:t>
      </w:r>
    </w:p>
    <w:p>
      <w:pPr>
        <w:autoSpaceDE w:val="0"/>
        <w:autoSpaceDN w:val="0"/>
        <w:adjustRightInd w:val="0"/>
        <w:spacing w:line="480" w:lineRule="exact"/>
        <w:ind w:firstLine="480" w:firstLineChars="200"/>
        <w:rPr>
          <w:rFonts w:hint="eastAsia"/>
          <w:b w:val="0"/>
          <w:bCs/>
          <w:color w:val="000000" w:themeColor="text1"/>
          <w:sz w:val="24"/>
          <w:highlight w:val="none"/>
          <w:lang w:val="en-US" w:eastAsia="zh-CN"/>
          <w14:textFill>
            <w14:solidFill>
              <w14:schemeClr w14:val="tx1"/>
            </w14:solidFill>
          </w14:textFill>
        </w:rPr>
      </w:pPr>
      <w:r>
        <w:rPr>
          <w:rFonts w:hint="eastAsia"/>
          <w:b w:val="0"/>
          <w:bCs/>
          <w:color w:val="000000" w:themeColor="text1"/>
          <w:sz w:val="24"/>
          <w:highlight w:val="none"/>
          <w:lang w:val="en-US" w:eastAsia="zh-CN"/>
          <w14:textFill>
            <w14:solidFill>
              <w14:schemeClr w14:val="tx1"/>
            </w14:solidFill>
          </w14:textFill>
        </w:rPr>
        <w:fldChar w:fldCharType="begin"/>
      </w:r>
      <w:r>
        <w:rPr>
          <w:rFonts w:hint="eastAsia"/>
          <w:b w:val="0"/>
          <w:bCs/>
          <w:color w:val="000000" w:themeColor="text1"/>
          <w:sz w:val="24"/>
          <w:highlight w:val="none"/>
          <w:lang w:val="en-US" w:eastAsia="zh-CN"/>
          <w14:textFill>
            <w14:solidFill>
              <w14:schemeClr w14:val="tx1"/>
            </w14:solidFill>
          </w14:textFill>
        </w:rPr>
        <w:instrText xml:space="preserve"> = 1 \* GB3 \* MERGEFORMAT </w:instrText>
      </w:r>
      <w:r>
        <w:rPr>
          <w:rFonts w:hint="eastAsia"/>
          <w:b w:val="0"/>
          <w:bCs/>
          <w:color w:val="000000" w:themeColor="text1"/>
          <w:sz w:val="24"/>
          <w:highlight w:val="none"/>
          <w:lang w:val="en-US" w:eastAsia="zh-CN"/>
          <w14:textFill>
            <w14:solidFill>
              <w14:schemeClr w14:val="tx1"/>
            </w14:solidFill>
          </w14:textFill>
        </w:rPr>
        <w:fldChar w:fldCharType="separate"/>
      </w:r>
      <w:r>
        <w:rPr>
          <w:highlight w:val="none"/>
        </w:rPr>
        <w:t>①</w:t>
      </w:r>
      <w:r>
        <w:rPr>
          <w:rFonts w:hint="eastAsia"/>
          <w:b w:val="0"/>
          <w:bCs/>
          <w:color w:val="000000" w:themeColor="text1"/>
          <w:sz w:val="24"/>
          <w:highlight w:val="none"/>
          <w:lang w:val="en-US" w:eastAsia="zh-CN"/>
          <w14:textFill>
            <w14:solidFill>
              <w14:schemeClr w14:val="tx1"/>
            </w14:solidFill>
          </w14:textFill>
        </w:rPr>
        <w:fldChar w:fldCharType="end"/>
      </w:r>
      <w:r>
        <w:rPr>
          <w:rFonts w:hint="eastAsia"/>
          <w:b w:val="0"/>
          <w:bCs/>
          <w:color w:val="000000" w:themeColor="text1"/>
          <w:sz w:val="24"/>
          <w:highlight w:val="none"/>
          <w:lang w:val="en-US" w:eastAsia="zh-CN"/>
          <w14:textFill>
            <w14:solidFill>
              <w14:schemeClr w14:val="tx1"/>
            </w14:solidFill>
          </w14:textFill>
        </w:rPr>
        <w:t>电站建成后对橡胶坝上下游河段鱼类的影响</w:t>
      </w:r>
    </w:p>
    <w:p>
      <w:pPr>
        <w:autoSpaceDE w:val="0"/>
        <w:autoSpaceDN w:val="0"/>
        <w:adjustRightInd w:val="0"/>
        <w:spacing w:line="480" w:lineRule="exact"/>
        <w:ind w:firstLine="480" w:firstLineChars="200"/>
        <w:rPr>
          <w:rFonts w:hint="eastAsia"/>
          <w:b w:val="0"/>
          <w:bCs/>
          <w:color w:val="000000" w:themeColor="text1"/>
          <w:sz w:val="24"/>
          <w:highlight w:val="none"/>
          <w:lang w:val="en-US" w:eastAsia="zh-CN"/>
          <w14:textFill>
            <w14:solidFill>
              <w14:schemeClr w14:val="tx1"/>
            </w14:solidFill>
          </w14:textFill>
        </w:rPr>
      </w:pPr>
      <w:r>
        <w:rPr>
          <w:rFonts w:hint="eastAsia"/>
          <w:b w:val="0"/>
          <w:bCs/>
          <w:color w:val="000000" w:themeColor="text1"/>
          <w:sz w:val="24"/>
          <w:highlight w:val="none"/>
          <w:lang w:val="en-US" w:eastAsia="zh-CN"/>
          <w14:textFill>
            <w14:solidFill>
              <w14:schemeClr w14:val="tx1"/>
            </w14:solidFill>
          </w14:textFill>
        </w:rPr>
        <w:t>黎河主要是季节性河流，工程运行后，橡胶坝壅水区水体中营养物质和饵料将会逐渐丰富，水质得以改善，水生维管束植</w:t>
      </w:r>
      <w:r>
        <w:rPr>
          <w:rFonts w:hint="eastAsia"/>
          <w:b w:val="0"/>
          <w:bCs/>
          <w:color w:val="auto"/>
          <w:sz w:val="24"/>
          <w:highlight w:val="none"/>
          <w:lang w:val="en-US" w:eastAsia="zh-CN"/>
        </w:rPr>
        <w:t>物种类和数量都将增加，从而为鱼类觅食、栖息、繁衍创造条件，将使评价区域中鱼类在种类和数量上可能产生变化。其总体趋势为：在生态型以鲫、鲇、鲤等广布</w:t>
      </w:r>
      <w:r>
        <w:rPr>
          <w:rFonts w:hint="eastAsia"/>
          <w:b w:val="0"/>
          <w:bCs/>
          <w:color w:val="000000" w:themeColor="text1"/>
          <w:sz w:val="24"/>
          <w:highlight w:val="none"/>
          <w:lang w:val="en-US" w:eastAsia="zh-CN"/>
          <w14:textFill>
            <w14:solidFill>
              <w14:schemeClr w14:val="tx1"/>
            </w14:solidFill>
          </w14:textFill>
        </w:rPr>
        <w:t>性的缓流鱼类和静水鱼类占优势，种类和数量将有一定的程度的增加。水生维管束植物、浮游（动）植物、地栖动物种群、数量的增加，都将为多种鱼类提供饵料资源。根据本次调查发现，橡胶坝坝址上游主要以鲫、鲇、鲤等缓水生态型为主。</w:t>
      </w:r>
    </w:p>
    <w:p>
      <w:pPr>
        <w:autoSpaceDE w:val="0"/>
        <w:autoSpaceDN w:val="0"/>
        <w:adjustRightInd w:val="0"/>
        <w:spacing w:line="480" w:lineRule="exact"/>
        <w:ind w:firstLine="480" w:firstLineChars="200"/>
        <w:rPr>
          <w:rFonts w:hint="eastAsia"/>
          <w:b w:val="0"/>
          <w:bCs/>
          <w:color w:val="auto"/>
          <w:sz w:val="24"/>
          <w:highlight w:val="none"/>
          <w:lang w:val="en-US" w:eastAsia="zh-CN"/>
        </w:rPr>
      </w:pPr>
      <w:r>
        <w:rPr>
          <w:rFonts w:hint="eastAsia"/>
          <w:b w:val="0"/>
          <w:bCs/>
          <w:color w:val="auto"/>
          <w:sz w:val="24"/>
          <w:highlight w:val="none"/>
          <w:lang w:val="en-US" w:eastAsia="zh-CN"/>
        </w:rPr>
        <w:t>经调查，项目运营期橡胶坝保证了下泄流量，有效保证了水生生物（主要为鱼类）的生存环境，项目建成后当地常见鱼类等水生生物仍然可以在流域内发现，由于输水期较短且分两个阶段，因此鱼类等水生生物在数量和种类上未发生明显变化。</w:t>
      </w:r>
    </w:p>
    <w:p>
      <w:pPr>
        <w:autoSpaceDE w:val="0"/>
        <w:autoSpaceDN w:val="0"/>
        <w:adjustRightInd w:val="0"/>
        <w:spacing w:line="480" w:lineRule="exact"/>
        <w:ind w:firstLine="480" w:firstLineChars="200"/>
        <w:rPr>
          <w:rFonts w:hint="eastAsia"/>
          <w:b w:val="0"/>
          <w:bCs/>
          <w:color w:val="auto"/>
          <w:sz w:val="24"/>
          <w:highlight w:val="none"/>
          <w:lang w:val="en-US" w:eastAsia="zh-CN"/>
        </w:rPr>
      </w:pPr>
      <w:r>
        <w:rPr>
          <w:rFonts w:hint="eastAsia"/>
          <w:b w:val="0"/>
          <w:bCs/>
          <w:color w:val="auto"/>
          <w:sz w:val="24"/>
          <w:highlight w:val="none"/>
          <w:lang w:val="en-US" w:eastAsia="zh-CN"/>
        </w:rPr>
        <w:t>经实地调查及资料查阅，黎河不具备天然的流水生境，无洄游性鱼类，且枯水期会断流，因此项目无需采取过鱼措施。</w:t>
      </w:r>
    </w:p>
    <w:p>
      <w:pPr>
        <w:autoSpaceDE w:val="0"/>
        <w:autoSpaceDN w:val="0"/>
        <w:adjustRightInd w:val="0"/>
        <w:spacing w:line="480" w:lineRule="exact"/>
        <w:ind w:firstLine="480" w:firstLineChars="200"/>
        <w:rPr>
          <w:rFonts w:hint="eastAsia"/>
          <w:b w:val="0"/>
          <w:bCs/>
          <w:color w:val="auto"/>
          <w:sz w:val="24"/>
          <w:highlight w:val="none"/>
          <w:lang w:val="en-US" w:eastAsia="zh-CN"/>
        </w:rPr>
      </w:pPr>
      <w:r>
        <w:rPr>
          <w:rFonts w:hint="eastAsia"/>
          <w:b w:val="0"/>
          <w:bCs/>
          <w:color w:val="auto"/>
          <w:sz w:val="24"/>
          <w:highlight w:val="none"/>
          <w:lang w:val="en-US" w:eastAsia="zh-CN"/>
        </w:rPr>
        <w:fldChar w:fldCharType="begin"/>
      </w:r>
      <w:r>
        <w:rPr>
          <w:rFonts w:hint="eastAsia"/>
          <w:b w:val="0"/>
          <w:bCs/>
          <w:color w:val="auto"/>
          <w:sz w:val="24"/>
          <w:highlight w:val="none"/>
          <w:lang w:val="en-US" w:eastAsia="zh-CN"/>
        </w:rPr>
        <w:instrText xml:space="preserve"> = 2 \* GB3 \* MERGEFORMAT </w:instrText>
      </w:r>
      <w:r>
        <w:rPr>
          <w:rFonts w:hint="eastAsia"/>
          <w:b w:val="0"/>
          <w:bCs/>
          <w:color w:val="auto"/>
          <w:sz w:val="24"/>
          <w:highlight w:val="none"/>
          <w:lang w:val="en-US" w:eastAsia="zh-CN"/>
        </w:rPr>
        <w:fldChar w:fldCharType="separate"/>
      </w:r>
      <w:r>
        <w:rPr>
          <w:color w:val="auto"/>
          <w:highlight w:val="none"/>
        </w:rPr>
        <w:t>②</w:t>
      </w:r>
      <w:r>
        <w:rPr>
          <w:rFonts w:hint="eastAsia"/>
          <w:b w:val="0"/>
          <w:bCs/>
          <w:color w:val="auto"/>
          <w:sz w:val="24"/>
          <w:highlight w:val="none"/>
          <w:lang w:val="en-US" w:eastAsia="zh-CN"/>
        </w:rPr>
        <w:fldChar w:fldCharType="end"/>
      </w:r>
      <w:r>
        <w:rPr>
          <w:rFonts w:hint="eastAsia"/>
          <w:b w:val="0"/>
          <w:bCs/>
          <w:color w:val="auto"/>
          <w:sz w:val="24"/>
          <w:highlight w:val="none"/>
          <w:lang w:val="en-US" w:eastAsia="zh-CN"/>
        </w:rPr>
        <w:t>发电尾水对鱼类的影响</w:t>
      </w:r>
    </w:p>
    <w:p>
      <w:pPr>
        <w:autoSpaceDE w:val="0"/>
        <w:autoSpaceDN w:val="0"/>
        <w:adjustRightInd w:val="0"/>
        <w:spacing w:line="480" w:lineRule="exact"/>
        <w:ind w:firstLine="480" w:firstLineChars="200"/>
        <w:rPr>
          <w:rFonts w:hint="eastAsia"/>
          <w:b w:val="0"/>
          <w:bCs/>
          <w:color w:val="000000" w:themeColor="text1"/>
          <w:sz w:val="24"/>
          <w:highlight w:val="none"/>
          <w:lang w:val="en-US" w:eastAsia="zh-CN"/>
          <w14:textFill>
            <w14:solidFill>
              <w14:schemeClr w14:val="tx1"/>
            </w14:solidFill>
          </w14:textFill>
        </w:rPr>
      </w:pPr>
      <w:r>
        <w:rPr>
          <w:rFonts w:hint="eastAsia"/>
          <w:b w:val="0"/>
          <w:bCs/>
          <w:color w:val="000000" w:themeColor="text1"/>
          <w:sz w:val="24"/>
          <w:highlight w:val="none"/>
          <w:lang w:val="en-US" w:eastAsia="zh-CN"/>
          <w14:textFill>
            <w14:solidFill>
              <w14:schemeClr w14:val="tx1"/>
            </w14:solidFill>
          </w14:textFill>
        </w:rPr>
        <w:t>发电尾水下泄稳定，引滦入津工程输水期流速变化不大，对鱼类生长环境造成影响不大。2006年项目建成，已形成较为稳定的水生生态系统，发电尾水对下游鱼类没有产生太大的不利影响。</w:t>
      </w:r>
    </w:p>
    <w:p>
      <w:pPr>
        <w:autoSpaceDE w:val="0"/>
        <w:autoSpaceDN w:val="0"/>
        <w:adjustRightInd w:val="0"/>
        <w:spacing w:line="480" w:lineRule="exact"/>
        <w:rPr>
          <w:rFonts w:hint="eastAsia"/>
          <w:b w:val="0"/>
          <w:bCs/>
          <w:color w:val="000000" w:themeColor="text1"/>
          <w:sz w:val="24"/>
          <w:highlight w:val="none"/>
          <w:lang w:val="en-US" w:eastAsia="zh-CN"/>
          <w14:textFill>
            <w14:solidFill>
              <w14:schemeClr w14:val="tx1"/>
            </w14:solidFill>
          </w14:textFill>
        </w:rPr>
      </w:pPr>
      <w:r>
        <w:rPr>
          <w:rFonts w:hint="eastAsia"/>
          <w:b/>
          <w:bCs w:val="0"/>
          <w:color w:val="000000" w:themeColor="text1"/>
          <w:sz w:val="24"/>
          <w:highlight w:val="none"/>
          <w:lang w:val="en-US" w:eastAsia="zh-CN"/>
          <w14:textFill>
            <w14:solidFill>
              <w14:schemeClr w14:val="tx1"/>
            </w14:solidFill>
          </w14:textFill>
        </w:rPr>
        <w:t>5</w:t>
      </w:r>
      <w:r>
        <w:rPr>
          <w:rFonts w:hint="eastAsia"/>
          <w:b/>
          <w:bCs w:val="0"/>
          <w:color w:val="000000" w:themeColor="text1"/>
          <w:sz w:val="24"/>
          <w:highlight w:val="none"/>
          <w14:textFill>
            <w14:solidFill>
              <w14:schemeClr w14:val="tx1"/>
            </w14:solidFill>
          </w14:textFill>
        </w:rPr>
        <w:t>.1</w:t>
      </w:r>
      <w:r>
        <w:rPr>
          <w:rFonts w:hint="eastAsia"/>
          <w:b/>
          <w:bCs w:val="0"/>
          <w:color w:val="000000" w:themeColor="text1"/>
          <w:sz w:val="24"/>
          <w:highlight w:val="none"/>
          <w:lang w:val="en-US" w:eastAsia="zh-CN"/>
          <w14:textFill>
            <w14:solidFill>
              <w14:schemeClr w14:val="tx1"/>
            </w14:solidFill>
          </w14:textFill>
        </w:rPr>
        <w:t>.3</w:t>
      </w:r>
      <w:r>
        <w:rPr>
          <w:rFonts w:hint="eastAsia"/>
          <w:b/>
          <w:bCs w:val="0"/>
          <w:color w:val="000000" w:themeColor="text1"/>
          <w:sz w:val="24"/>
          <w:highlight w:val="none"/>
          <w14:textFill>
            <w14:solidFill>
              <w14:schemeClr w14:val="tx1"/>
            </w14:solidFill>
          </w14:textFill>
        </w:rPr>
        <w:t xml:space="preserve"> </w:t>
      </w:r>
      <w:r>
        <w:rPr>
          <w:rFonts w:hint="eastAsia"/>
          <w:b/>
          <w:bCs w:val="0"/>
          <w:color w:val="000000" w:themeColor="text1"/>
          <w:sz w:val="24"/>
          <w:highlight w:val="none"/>
          <w:lang w:val="en-US" w:eastAsia="zh-CN"/>
          <w14:textFill>
            <w14:solidFill>
              <w14:schemeClr w14:val="tx1"/>
            </w14:solidFill>
          </w14:textFill>
        </w:rPr>
        <w:t>水文情势回顾性分析</w:t>
      </w:r>
    </w:p>
    <w:p>
      <w:pPr>
        <w:autoSpaceDE w:val="0"/>
        <w:autoSpaceDN w:val="0"/>
        <w:adjustRightInd w:val="0"/>
        <w:spacing w:line="480" w:lineRule="exact"/>
        <w:ind w:firstLine="480" w:firstLineChars="200"/>
        <w:rPr>
          <w:rFonts w:hint="eastAsia"/>
          <w:b w:val="0"/>
          <w:bCs/>
          <w:color w:val="000000" w:themeColor="text1"/>
          <w:sz w:val="24"/>
          <w:highlight w:val="none"/>
          <w:lang w:val="zh-CN" w:eastAsia="zh-CN"/>
          <w14:textFill>
            <w14:solidFill>
              <w14:schemeClr w14:val="tx1"/>
            </w14:solidFill>
          </w14:textFill>
        </w:rPr>
      </w:pPr>
      <w:r>
        <w:rPr>
          <w:rFonts w:hint="eastAsia"/>
          <w:b w:val="0"/>
          <w:bCs/>
          <w:color w:val="000000" w:themeColor="text1"/>
          <w:sz w:val="24"/>
          <w:highlight w:val="none"/>
          <w:lang w:val="en-US" w:eastAsia="zh-CN"/>
          <w14:textFill>
            <w14:solidFill>
              <w14:schemeClr w14:val="tx1"/>
            </w14:solidFill>
          </w14:textFill>
        </w:rPr>
        <w:t>（1）</w:t>
      </w:r>
      <w:r>
        <w:rPr>
          <w:rFonts w:hint="eastAsia"/>
          <w:b w:val="0"/>
          <w:bCs/>
          <w:color w:val="000000" w:themeColor="text1"/>
          <w:sz w:val="24"/>
          <w:highlight w:val="none"/>
          <w:lang w:val="zh-CN" w:eastAsia="zh-CN"/>
          <w14:textFill>
            <w14:solidFill>
              <w14:schemeClr w14:val="tx1"/>
            </w14:solidFill>
          </w14:textFill>
        </w:rPr>
        <w:t>减水河段水文情势影响</w:t>
      </w:r>
    </w:p>
    <w:p>
      <w:pPr>
        <w:autoSpaceDE w:val="0"/>
        <w:autoSpaceDN w:val="0"/>
        <w:adjustRightInd w:val="0"/>
        <w:spacing w:line="480" w:lineRule="exact"/>
        <w:ind w:firstLine="482"/>
        <w:jc w:val="left"/>
        <w:rPr>
          <w:rFonts w:hint="eastAsia"/>
          <w:color w:val="auto"/>
          <w:sz w:val="24"/>
          <w:highlight w:val="none"/>
          <w:lang w:val="zh-CN"/>
        </w:rPr>
      </w:pPr>
      <w:r>
        <w:rPr>
          <w:rFonts w:hint="eastAsia"/>
          <w:color w:val="000000" w:themeColor="text1"/>
          <w:sz w:val="24"/>
          <w:highlight w:val="none"/>
          <w:lang w:val="zh-CN"/>
          <w14:textFill>
            <w14:solidFill>
              <w14:schemeClr w14:val="tx1"/>
            </w14:solidFill>
          </w14:textFill>
        </w:rPr>
        <w:t>在“引滦入津工程”输水期间，项目为橡胶坝拦水，引水渠首位于项目发电厂房上游，</w:t>
      </w:r>
      <w:r>
        <w:rPr>
          <w:color w:val="000000" w:themeColor="text1"/>
          <w:sz w:val="24"/>
          <w:highlight w:val="none"/>
          <w:lang w:val="zh-CN"/>
          <w14:textFill>
            <w14:solidFill>
              <w14:schemeClr w14:val="tx1"/>
            </w14:solidFill>
          </w14:textFill>
        </w:rPr>
        <w:t>本项目渠道引水量为</w:t>
      </w:r>
      <w:r>
        <w:rPr>
          <w:rFonts w:hint="eastAsia"/>
          <w:color w:val="000000" w:themeColor="text1"/>
          <w:sz w:val="24"/>
          <w:highlight w:val="none"/>
          <w:lang w:val="en-US" w:eastAsia="zh-CN"/>
          <w14:textFill>
            <w14:solidFill>
              <w14:schemeClr w14:val="tx1"/>
            </w14:solidFill>
          </w14:textFill>
        </w:rPr>
        <w:t>55.92</w:t>
      </w:r>
      <w:r>
        <w:rPr>
          <w:color w:val="000000" w:themeColor="text1"/>
          <w:sz w:val="24"/>
          <w:highlight w:val="none"/>
          <w:lang w:val="zh-CN"/>
          <w14:textFill>
            <w14:solidFill>
              <w14:schemeClr w14:val="tx1"/>
            </w14:solidFill>
          </w14:textFill>
        </w:rPr>
        <w:t>m</w:t>
      </w:r>
      <w:r>
        <w:rPr>
          <w:color w:val="000000" w:themeColor="text1"/>
          <w:sz w:val="24"/>
          <w:highlight w:val="none"/>
          <w:vertAlign w:val="superscript"/>
          <w:lang w:val="zh-CN"/>
          <w14:textFill>
            <w14:solidFill>
              <w14:schemeClr w14:val="tx1"/>
            </w14:solidFill>
          </w14:textFill>
        </w:rPr>
        <w:t>3</w:t>
      </w:r>
      <w:r>
        <w:rPr>
          <w:color w:val="000000" w:themeColor="text1"/>
          <w:sz w:val="24"/>
          <w:highlight w:val="none"/>
          <w:lang w:val="zh-CN"/>
          <w14:textFill>
            <w14:solidFill>
              <w14:schemeClr w14:val="tx1"/>
            </w14:solidFill>
          </w14:textFill>
        </w:rPr>
        <w:t>/s，项目不设置库区蓄水。</w:t>
      </w:r>
      <w:r>
        <w:rPr>
          <w:color w:val="000000" w:themeColor="text1"/>
          <w:kern w:val="0"/>
          <w:sz w:val="24"/>
          <w:highlight w:val="none"/>
          <w:lang w:val="zh-CN"/>
          <w14:textFill>
            <w14:solidFill>
              <w14:schemeClr w14:val="tx1"/>
            </w14:solidFill>
          </w14:textFill>
        </w:rPr>
        <w:t>本项目橡胶坝高</w:t>
      </w:r>
      <w:r>
        <w:rPr>
          <w:rFonts w:hint="eastAsia"/>
          <w:color w:val="000000" w:themeColor="text1"/>
          <w:kern w:val="0"/>
          <w:sz w:val="24"/>
          <w:highlight w:val="none"/>
          <w:lang w:val="en-US" w:eastAsia="zh-CN"/>
          <w14:textFill>
            <w14:solidFill>
              <w14:schemeClr w14:val="tx1"/>
            </w14:solidFill>
          </w14:textFill>
        </w:rPr>
        <w:t>2</w:t>
      </w:r>
      <w:r>
        <w:rPr>
          <w:color w:val="000000" w:themeColor="text1"/>
          <w:kern w:val="0"/>
          <w:sz w:val="24"/>
          <w:highlight w:val="none"/>
          <w14:textFill>
            <w14:solidFill>
              <w14:schemeClr w14:val="tx1"/>
            </w14:solidFill>
          </w14:textFill>
        </w:rPr>
        <w:t>m</w:t>
      </w:r>
      <w:r>
        <w:rPr>
          <w:color w:val="000000" w:themeColor="text1"/>
          <w:kern w:val="0"/>
          <w:sz w:val="24"/>
          <w:highlight w:val="none"/>
          <w:lang w:val="zh-CN"/>
          <w14:textFill>
            <w14:solidFill>
              <w14:schemeClr w14:val="tx1"/>
            </w14:solidFill>
          </w14:textFill>
        </w:rPr>
        <w:t>，输水期间，输水河道水流流量为6</w:t>
      </w:r>
      <w:r>
        <w:rPr>
          <w:rFonts w:hint="eastAsia"/>
          <w:color w:val="000000" w:themeColor="text1"/>
          <w:kern w:val="0"/>
          <w:sz w:val="24"/>
          <w:highlight w:val="none"/>
          <w:lang w:val="en-US" w:eastAsia="zh-CN"/>
          <w14:textFill>
            <w14:solidFill>
              <w14:schemeClr w14:val="tx1"/>
            </w14:solidFill>
          </w14:textFill>
        </w:rPr>
        <w:t>0</w:t>
      </w:r>
      <w:r>
        <w:rPr>
          <w:color w:val="000000" w:themeColor="text1"/>
          <w:kern w:val="0"/>
          <w:sz w:val="24"/>
          <w:highlight w:val="none"/>
          <w:lang w:val="zh-CN"/>
          <w14:textFill>
            <w14:solidFill>
              <w14:schemeClr w14:val="tx1"/>
            </w14:solidFill>
          </w14:textFill>
        </w:rPr>
        <w:t>m</w:t>
      </w:r>
      <w:r>
        <w:rPr>
          <w:color w:val="000000" w:themeColor="text1"/>
          <w:kern w:val="0"/>
          <w:sz w:val="24"/>
          <w:highlight w:val="none"/>
          <w:vertAlign w:val="superscript"/>
          <w:lang w:val="zh-CN"/>
          <w14:textFill>
            <w14:solidFill>
              <w14:schemeClr w14:val="tx1"/>
            </w14:solidFill>
          </w14:textFill>
        </w:rPr>
        <w:t>3</w:t>
      </w:r>
      <w:r>
        <w:rPr>
          <w:color w:val="000000" w:themeColor="text1"/>
          <w:kern w:val="0"/>
          <w:sz w:val="24"/>
          <w:highlight w:val="none"/>
          <w:lang w:val="zh-CN"/>
          <w14:textFill>
            <w14:solidFill>
              <w14:schemeClr w14:val="tx1"/>
            </w14:solidFill>
          </w14:textFill>
        </w:rPr>
        <w:t>/s，水轮机流量</w:t>
      </w:r>
      <w:r>
        <w:rPr>
          <w:rFonts w:hint="eastAsia"/>
          <w:color w:val="000000" w:themeColor="text1"/>
          <w:kern w:val="0"/>
          <w:sz w:val="24"/>
          <w:highlight w:val="none"/>
          <w:lang w:val="en-US" w:eastAsia="zh-CN"/>
          <w14:textFill>
            <w14:solidFill>
              <w14:schemeClr w14:val="tx1"/>
            </w14:solidFill>
          </w14:textFill>
        </w:rPr>
        <w:t>55.92</w:t>
      </w:r>
      <w:r>
        <w:rPr>
          <w:color w:val="000000" w:themeColor="text1"/>
          <w:kern w:val="0"/>
          <w:sz w:val="24"/>
          <w:highlight w:val="none"/>
          <w:lang w:val="zh-CN"/>
          <w14:textFill>
            <w14:solidFill>
              <w14:schemeClr w14:val="tx1"/>
            </w14:solidFill>
          </w14:textFill>
        </w:rPr>
        <w:t>m</w:t>
      </w:r>
      <w:r>
        <w:rPr>
          <w:color w:val="000000" w:themeColor="text1"/>
          <w:kern w:val="0"/>
          <w:sz w:val="24"/>
          <w:highlight w:val="none"/>
          <w:vertAlign w:val="superscript"/>
          <w:lang w:val="zh-CN"/>
          <w14:textFill>
            <w14:solidFill>
              <w14:schemeClr w14:val="tx1"/>
            </w14:solidFill>
          </w14:textFill>
        </w:rPr>
        <w:t>3</w:t>
      </w:r>
      <w:r>
        <w:rPr>
          <w:color w:val="000000" w:themeColor="text1"/>
          <w:kern w:val="0"/>
          <w:sz w:val="24"/>
          <w:highlight w:val="none"/>
          <w:lang w:val="zh-CN"/>
          <w14:textFill>
            <w14:solidFill>
              <w14:schemeClr w14:val="tx1"/>
            </w14:solidFill>
          </w14:textFill>
        </w:rPr>
        <w:t>/s</w:t>
      </w:r>
      <w:r>
        <w:rPr>
          <w:rFonts w:hint="eastAsia"/>
          <w:color w:val="000000" w:themeColor="text1"/>
          <w:kern w:val="0"/>
          <w:sz w:val="24"/>
          <w:highlight w:val="none"/>
          <w:lang w:val="zh-CN"/>
          <w14:textFill>
            <w14:solidFill>
              <w14:schemeClr w14:val="tx1"/>
            </w14:solidFill>
          </w14:textFill>
        </w:rPr>
        <w:t>，</w:t>
      </w:r>
      <w:r>
        <w:rPr>
          <w:color w:val="000000" w:themeColor="text1"/>
          <w:kern w:val="0"/>
          <w:sz w:val="24"/>
          <w:highlight w:val="none"/>
          <w:lang w:val="zh-CN"/>
          <w14:textFill>
            <w14:solidFill>
              <w14:schemeClr w14:val="tx1"/>
            </w14:solidFill>
          </w14:textFill>
        </w:rPr>
        <w:t>小于黎河输水流量，部分水流从橡胶坝上继续在黎河河道内经过，不会形成</w:t>
      </w:r>
      <w:r>
        <w:rPr>
          <w:rFonts w:hint="eastAsia"/>
          <w:color w:val="000000" w:themeColor="text1"/>
          <w:kern w:val="0"/>
          <w:sz w:val="24"/>
          <w:highlight w:val="none"/>
          <w:lang w:val="zh-CN"/>
          <w14:textFill>
            <w14:solidFill>
              <w14:schemeClr w14:val="tx1"/>
            </w14:solidFill>
          </w14:textFill>
        </w:rPr>
        <w:t>坝后</w:t>
      </w:r>
      <w:r>
        <w:rPr>
          <w:color w:val="000000" w:themeColor="text1"/>
          <w:kern w:val="0"/>
          <w:sz w:val="24"/>
          <w:highlight w:val="none"/>
          <w:lang w:val="zh-CN"/>
          <w14:textFill>
            <w14:solidFill>
              <w14:schemeClr w14:val="tx1"/>
            </w14:solidFill>
          </w14:textFill>
        </w:rPr>
        <w:t>断水，可以保持</w:t>
      </w:r>
      <w:r>
        <w:rPr>
          <w:rFonts w:hint="eastAsia"/>
          <w:color w:val="000000" w:themeColor="text1"/>
          <w:kern w:val="0"/>
          <w:sz w:val="24"/>
          <w:highlight w:val="none"/>
          <w:lang w:val="zh-CN"/>
          <w14:textFill>
            <w14:solidFill>
              <w14:schemeClr w14:val="tx1"/>
            </w14:solidFill>
          </w14:textFill>
        </w:rPr>
        <w:t>坝后减水段最小生态</w:t>
      </w:r>
      <w:r>
        <w:rPr>
          <w:color w:val="000000" w:themeColor="text1"/>
          <w:kern w:val="0"/>
          <w:sz w:val="24"/>
          <w:highlight w:val="none"/>
          <w:lang w:val="zh-CN"/>
          <w14:textFill>
            <w14:solidFill>
              <w14:schemeClr w14:val="tx1"/>
            </w14:solidFill>
          </w14:textFill>
        </w:rPr>
        <w:t>流</w:t>
      </w:r>
      <w:r>
        <w:rPr>
          <w:color w:val="auto"/>
          <w:kern w:val="0"/>
          <w:sz w:val="24"/>
          <w:highlight w:val="none"/>
          <w:lang w:val="zh-CN"/>
        </w:rPr>
        <w:t>水量。</w:t>
      </w:r>
      <w:r>
        <w:rPr>
          <w:color w:val="auto"/>
          <w:sz w:val="24"/>
          <w:highlight w:val="none"/>
          <w:lang w:val="zh-CN"/>
        </w:rPr>
        <w:t>项目引水经发电后尾水直接排入</w:t>
      </w:r>
      <w:r>
        <w:rPr>
          <w:rFonts w:hint="eastAsia"/>
          <w:color w:val="auto"/>
          <w:sz w:val="24"/>
          <w:highlight w:val="none"/>
          <w:lang w:val="zh-CN"/>
        </w:rPr>
        <w:t>黎河</w:t>
      </w:r>
      <w:r>
        <w:rPr>
          <w:color w:val="auto"/>
          <w:sz w:val="24"/>
          <w:highlight w:val="none"/>
          <w:lang w:val="zh-CN"/>
        </w:rPr>
        <w:t>，项目建设运行</w:t>
      </w:r>
      <w:r>
        <w:rPr>
          <w:rFonts w:hint="eastAsia"/>
          <w:color w:val="auto"/>
          <w:sz w:val="24"/>
          <w:highlight w:val="none"/>
          <w:lang w:val="zh-CN"/>
        </w:rPr>
        <w:t>在输水期间坝后</w:t>
      </w:r>
      <w:r>
        <w:rPr>
          <w:color w:val="auto"/>
          <w:sz w:val="24"/>
          <w:highlight w:val="none"/>
          <w:lang w:val="zh-CN"/>
        </w:rPr>
        <w:t>产生</w:t>
      </w:r>
      <w:r>
        <w:rPr>
          <w:rFonts w:hint="eastAsia"/>
          <w:color w:val="auto"/>
          <w:sz w:val="24"/>
          <w:highlight w:val="none"/>
          <w:lang w:val="en-US" w:eastAsia="zh-CN"/>
        </w:rPr>
        <w:t>110</w:t>
      </w:r>
      <w:r>
        <w:rPr>
          <w:rFonts w:hint="eastAsia"/>
          <w:color w:val="auto"/>
          <w:sz w:val="24"/>
          <w:highlight w:val="none"/>
        </w:rPr>
        <w:t>0</w:t>
      </w:r>
      <w:r>
        <w:rPr>
          <w:rFonts w:hint="eastAsia"/>
          <w:color w:val="auto"/>
          <w:sz w:val="24"/>
          <w:highlight w:val="none"/>
          <w:lang w:val="zh-CN"/>
        </w:rPr>
        <w:t>m</w:t>
      </w:r>
      <w:r>
        <w:rPr>
          <w:color w:val="auto"/>
          <w:sz w:val="24"/>
          <w:highlight w:val="none"/>
          <w:lang w:val="zh-CN"/>
        </w:rPr>
        <w:t>减水河段，由于黎河</w:t>
      </w:r>
      <w:r>
        <w:rPr>
          <w:rFonts w:hint="eastAsia"/>
          <w:color w:val="auto"/>
          <w:sz w:val="24"/>
          <w:highlight w:val="none"/>
          <w:lang w:val="zh-CN"/>
        </w:rPr>
        <w:t>在</w:t>
      </w:r>
      <w:r>
        <w:rPr>
          <w:color w:val="auto"/>
          <w:sz w:val="24"/>
          <w:highlight w:val="none"/>
          <w:lang w:val="zh-CN"/>
        </w:rPr>
        <w:t>枯水期断流，本项目在非引水期间</w:t>
      </w:r>
      <w:r>
        <w:rPr>
          <w:rFonts w:hint="eastAsia"/>
          <w:color w:val="auto"/>
          <w:sz w:val="24"/>
          <w:highlight w:val="none"/>
          <w:lang w:val="zh-CN"/>
        </w:rPr>
        <w:t>黎河</w:t>
      </w:r>
      <w:r>
        <w:rPr>
          <w:color w:val="auto"/>
          <w:sz w:val="24"/>
          <w:highlight w:val="none"/>
          <w:lang w:val="zh-CN"/>
        </w:rPr>
        <w:t>干枯，</w:t>
      </w:r>
      <w:r>
        <w:rPr>
          <w:rFonts w:hint="eastAsia"/>
          <w:color w:val="auto"/>
          <w:sz w:val="24"/>
          <w:highlight w:val="none"/>
          <w:lang w:val="zh-CN"/>
        </w:rPr>
        <w:t>对黎河正常水文情势影响较小。</w:t>
      </w:r>
    </w:p>
    <w:p>
      <w:pPr>
        <w:autoSpaceDE w:val="0"/>
        <w:autoSpaceDN w:val="0"/>
        <w:adjustRightInd w:val="0"/>
        <w:spacing w:line="480" w:lineRule="exact"/>
        <w:ind w:firstLine="482"/>
        <w:jc w:val="left"/>
        <w:rPr>
          <w:rFonts w:hint="eastAsia"/>
          <w:color w:val="000000" w:themeColor="text1"/>
          <w:sz w:val="24"/>
          <w:highlight w:val="none"/>
          <w:lang w:val="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（2）</w:t>
      </w:r>
      <w:r>
        <w:rPr>
          <w:rFonts w:hint="eastAsia"/>
          <w:color w:val="000000" w:themeColor="text1"/>
          <w:sz w:val="24"/>
          <w:highlight w:val="none"/>
          <w:lang w:val="zh-CN"/>
          <w14:textFill>
            <w14:solidFill>
              <w14:schemeClr w14:val="tx1"/>
            </w14:solidFill>
          </w14:textFill>
        </w:rPr>
        <w:t>发电厂房下游水文情势影响</w:t>
      </w:r>
    </w:p>
    <w:p>
      <w:pPr>
        <w:autoSpaceDE w:val="0"/>
        <w:autoSpaceDN w:val="0"/>
        <w:adjustRightInd w:val="0"/>
        <w:spacing w:line="480" w:lineRule="exact"/>
        <w:ind w:firstLine="482"/>
        <w:jc w:val="left"/>
        <w:rPr>
          <w:rFonts w:hint="eastAsia"/>
          <w:color w:val="000000" w:themeColor="text1"/>
          <w:sz w:val="24"/>
          <w:highlight w:val="none"/>
          <w:lang w:val="zh-CN"/>
          <w14:textFill>
            <w14:solidFill>
              <w14:schemeClr w14:val="tx1"/>
            </w14:solidFill>
          </w14:textFill>
        </w:rPr>
      </w:pPr>
      <w:r>
        <w:rPr>
          <w:rFonts w:hint="eastAsia"/>
          <w:color w:val="000000" w:themeColor="text1"/>
          <w:sz w:val="24"/>
          <w:highlight w:val="none"/>
          <w:lang w:val="zh-CN"/>
          <w14:textFill>
            <w14:solidFill>
              <w14:schemeClr w14:val="tx1"/>
            </w14:solidFill>
          </w14:textFill>
        </w:rPr>
        <w:t>本水电站为引水式电站，电站通过建设引水渠首、引水渠在“引滦入津工程”输水期间从河道引水发电，项目尾水排入黎河，不会对下游黎河水文情势产生影响，不会对水量、水质造成影响，实施前后引水流量、水质及供水范围均没有变化。因此本工程的修建对下游用水不会产生影响。</w:t>
      </w:r>
    </w:p>
    <w:p>
      <w:pPr>
        <w:autoSpaceDE w:val="0"/>
        <w:autoSpaceDN w:val="0"/>
        <w:adjustRightInd w:val="0"/>
        <w:spacing w:line="480" w:lineRule="exact"/>
        <w:ind w:firstLine="482"/>
        <w:jc w:val="left"/>
        <w:rPr>
          <w:rFonts w:hint="eastAsia"/>
          <w:color w:val="000000" w:themeColor="text1"/>
          <w:sz w:val="24"/>
          <w:highlight w:val="none"/>
          <w:lang w:val="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 xml:space="preserve"> （3）</w:t>
      </w:r>
      <w:r>
        <w:rPr>
          <w:rFonts w:hint="eastAsia"/>
          <w:color w:val="000000" w:themeColor="text1"/>
          <w:sz w:val="24"/>
          <w:highlight w:val="none"/>
          <w:lang w:val="zh-CN"/>
          <w14:textFill>
            <w14:solidFill>
              <w14:schemeClr w14:val="tx1"/>
            </w14:solidFill>
          </w14:textFill>
        </w:rPr>
        <w:t>项目周边地下水水文情势变化</w:t>
      </w:r>
    </w:p>
    <w:p>
      <w:pPr>
        <w:autoSpaceDE w:val="0"/>
        <w:autoSpaceDN w:val="0"/>
        <w:adjustRightInd w:val="0"/>
        <w:spacing w:line="480" w:lineRule="exact"/>
        <w:ind w:firstLine="482"/>
        <w:jc w:val="left"/>
        <w:rPr>
          <w:sz w:val="24"/>
          <w:highlight w:val="none"/>
          <w:lang w:val="zh-CN"/>
        </w:rPr>
      </w:pPr>
      <w:r>
        <w:rPr>
          <w:rFonts w:hint="eastAsia"/>
          <w:color w:val="000000" w:themeColor="text1"/>
          <w:sz w:val="24"/>
          <w:highlight w:val="none"/>
          <w:lang w:val="zh-CN"/>
          <w14:textFill>
            <w14:solidFill>
              <w14:schemeClr w14:val="tx1"/>
            </w14:solidFill>
          </w14:textFill>
        </w:rPr>
        <w:t>本项目水电站雍水区河段</w:t>
      </w:r>
      <w:r>
        <w:rPr>
          <w:rFonts w:hint="eastAsia"/>
          <w:sz w:val="24"/>
          <w:highlight w:val="none"/>
          <w:lang w:val="zh-CN"/>
        </w:rPr>
        <w:t>周边现状水文地质条件简单，在工程的运行期，由于河段因河道输水致使总体水位受到较大的抬升，其周边受河流水量渗透补给后的地下水水文情势也会发生一定的变化，造成黎河两岸周边地下水位相应抬高，地下水位抬高产生的影响主要表现在对土地的浸没影响方面。</w:t>
      </w:r>
    </w:p>
    <w:p>
      <w:pPr>
        <w:autoSpaceDE w:val="0"/>
        <w:autoSpaceDN w:val="0"/>
        <w:adjustRightInd w:val="0"/>
        <w:spacing w:line="480" w:lineRule="exact"/>
        <w:ind w:firstLine="480"/>
        <w:jc w:val="left"/>
        <w:rPr>
          <w:rFonts w:hint="eastAsia"/>
          <w:sz w:val="24"/>
          <w:highlight w:val="none"/>
          <w:lang w:val="zh-CN"/>
        </w:rPr>
      </w:pPr>
      <w:r>
        <w:rPr>
          <w:rFonts w:hint="eastAsia"/>
          <w:sz w:val="24"/>
          <w:highlight w:val="none"/>
          <w:lang w:val="zh-CN"/>
        </w:rPr>
        <w:t>本项目橡胶坝坝后的河段，水位无明显的下降，对地下水水文情势影响较小，不会导致地下水水量岀现严重的减量。而对于发电机尾水的下游河段，由于其河段水文情势变化不大，其周边地下水水文情势变化不明显。</w:t>
      </w:r>
    </w:p>
    <w:p>
      <w:pPr>
        <w:autoSpaceDE w:val="0"/>
        <w:autoSpaceDN w:val="0"/>
        <w:adjustRightInd w:val="0"/>
        <w:spacing w:line="480" w:lineRule="exact"/>
        <w:ind w:firstLine="480"/>
        <w:jc w:val="left"/>
        <w:rPr>
          <w:rFonts w:hint="eastAsia"/>
          <w:sz w:val="24"/>
          <w:highlight w:val="none"/>
          <w:lang w:val="zh-CN"/>
        </w:rPr>
      </w:pPr>
      <w:bookmarkStart w:id="222" w:name="_Toc46734059"/>
      <w:bookmarkStart w:id="223" w:name="_Toc519179375"/>
      <w:bookmarkStart w:id="224" w:name="_Toc509898634"/>
      <w:r>
        <w:rPr>
          <w:rFonts w:hint="eastAsia"/>
          <w:sz w:val="24"/>
          <w:highlight w:val="none"/>
          <w:lang w:val="zh-CN" w:eastAsia="zh-CN"/>
        </w:rPr>
        <w:t>（</w:t>
      </w:r>
      <w:r>
        <w:rPr>
          <w:rFonts w:hint="eastAsia"/>
          <w:sz w:val="24"/>
          <w:highlight w:val="none"/>
          <w:lang w:val="en-US" w:eastAsia="zh-CN"/>
        </w:rPr>
        <w:t>4</w:t>
      </w:r>
      <w:r>
        <w:rPr>
          <w:rFonts w:hint="eastAsia"/>
          <w:sz w:val="24"/>
          <w:highlight w:val="none"/>
          <w:lang w:val="zh-CN" w:eastAsia="zh-CN"/>
        </w:rPr>
        <w:t>）</w:t>
      </w:r>
      <w:r>
        <w:rPr>
          <w:rFonts w:hint="eastAsia"/>
          <w:sz w:val="24"/>
          <w:highlight w:val="none"/>
          <w:lang w:val="zh-CN"/>
        </w:rPr>
        <w:t>泥沙影响</w:t>
      </w:r>
      <w:bookmarkEnd w:id="222"/>
      <w:bookmarkEnd w:id="223"/>
      <w:bookmarkEnd w:id="224"/>
    </w:p>
    <w:p>
      <w:pPr>
        <w:autoSpaceDE w:val="0"/>
        <w:autoSpaceDN w:val="0"/>
        <w:adjustRightInd w:val="0"/>
        <w:spacing w:line="480" w:lineRule="exact"/>
        <w:ind w:firstLine="480"/>
        <w:jc w:val="left"/>
        <w:rPr>
          <w:rFonts w:hint="eastAsia" w:eastAsia="宋体"/>
          <w:b w:val="0"/>
          <w:bCs/>
          <w:color w:val="000000" w:themeColor="text1"/>
          <w:sz w:val="24"/>
          <w:highlight w:val="none"/>
          <w:lang w:val="en-US" w:eastAsia="zh-CN"/>
          <w14:textFill>
            <w14:solidFill>
              <w14:schemeClr w14:val="tx1"/>
            </w14:solidFill>
          </w14:textFill>
        </w:rPr>
      </w:pPr>
      <w:r>
        <w:rPr>
          <w:rFonts w:hint="eastAsia"/>
          <w:sz w:val="24"/>
          <w:highlight w:val="none"/>
          <w:lang w:val="zh-CN"/>
        </w:rPr>
        <w:t>泥沙主要来</w:t>
      </w:r>
      <w:r>
        <w:rPr>
          <w:color w:val="000000" w:themeColor="text1"/>
          <w:sz w:val="24"/>
          <w:highlight w:val="none"/>
          <w:lang w:val="zh-CN"/>
          <w14:textFill>
            <w14:solidFill>
              <w14:schemeClr w14:val="tx1"/>
            </w14:solidFill>
          </w14:textFill>
        </w:rPr>
        <w:t>源于流域内的水土流失。</w:t>
      </w:r>
      <w:r>
        <w:rPr>
          <w:color w:val="000000" w:themeColor="text1"/>
          <w:kern w:val="0"/>
          <w:sz w:val="24"/>
          <w:highlight w:val="none"/>
          <w:lang w:val="zh-CN"/>
          <w14:textFill>
            <w14:solidFill>
              <w14:schemeClr w14:val="tx1"/>
            </w14:solidFill>
          </w14:textFill>
        </w:rPr>
        <w:t>本电站</w:t>
      </w:r>
      <w:r>
        <w:rPr>
          <w:rFonts w:hint="eastAsia"/>
          <w:color w:val="000000" w:themeColor="text1"/>
          <w:kern w:val="0"/>
          <w:sz w:val="24"/>
          <w:highlight w:val="none"/>
          <w:lang w:val="zh-CN"/>
          <w14:textFill>
            <w14:solidFill>
              <w14:schemeClr w14:val="tx1"/>
            </w14:solidFill>
          </w14:textFill>
        </w:rPr>
        <w:t>引水期引自“引滦入津工程”，输水来自大黑汀水库，输水线路全部为钢筋混凝土输水渠及穿山隧道，无自然河流注水。非输水期不引水，故</w:t>
      </w:r>
      <w:r>
        <w:rPr>
          <w:color w:val="000000" w:themeColor="text1"/>
          <w:kern w:val="0"/>
          <w:sz w:val="24"/>
          <w:highlight w:val="none"/>
          <w:lang w:val="zh-CN"/>
          <w14:textFill>
            <w14:solidFill>
              <w14:schemeClr w14:val="tx1"/>
            </w14:solidFill>
          </w14:textFill>
        </w:rPr>
        <w:t>不会产生水土流失现象。</w:t>
      </w:r>
      <w:r>
        <w:rPr>
          <w:rFonts w:hint="eastAsia"/>
          <w:color w:val="000000" w:themeColor="text1"/>
          <w:kern w:val="0"/>
          <w:sz w:val="24"/>
          <w:highlight w:val="none"/>
          <w:lang w:val="zh-CN"/>
          <w14:textFill>
            <w14:solidFill>
              <w14:schemeClr w14:val="tx1"/>
            </w14:solidFill>
          </w14:textFill>
        </w:rPr>
        <w:t>河道不会产生</w:t>
      </w:r>
      <w:r>
        <w:rPr>
          <w:color w:val="000000" w:themeColor="text1"/>
          <w:kern w:val="0"/>
          <w:sz w:val="24"/>
          <w:highlight w:val="none"/>
          <w:lang w:val="zh-CN"/>
          <w14:textFill>
            <w14:solidFill>
              <w14:schemeClr w14:val="tx1"/>
            </w14:solidFill>
          </w14:textFill>
        </w:rPr>
        <w:t>泥沙</w:t>
      </w:r>
      <w:r>
        <w:rPr>
          <w:rFonts w:hint="eastAsia"/>
          <w:color w:val="000000" w:themeColor="text1"/>
          <w:kern w:val="0"/>
          <w:sz w:val="24"/>
          <w:highlight w:val="none"/>
          <w:lang w:val="zh-CN"/>
          <w14:textFill>
            <w14:solidFill>
              <w14:schemeClr w14:val="tx1"/>
            </w14:solidFill>
          </w14:textFill>
        </w:rPr>
        <w:t>淤积</w:t>
      </w:r>
      <w:r>
        <w:rPr>
          <w:rFonts w:hint="eastAsia"/>
          <w:color w:val="000000" w:themeColor="text1"/>
          <w:kern w:val="0"/>
          <w:sz w:val="24"/>
          <w:highlight w:val="none"/>
          <w:lang w:val="en-US" w:eastAsia="zh-CN"/>
          <w14:textFill>
            <w14:solidFill>
              <w14:schemeClr w14:val="tx1"/>
            </w14:solidFill>
          </w14:textFill>
        </w:rPr>
        <w:t>。</w:t>
      </w:r>
    </w:p>
    <w:p>
      <w:pPr>
        <w:autoSpaceDE w:val="0"/>
        <w:autoSpaceDN w:val="0"/>
        <w:adjustRightInd w:val="0"/>
        <w:spacing w:line="480" w:lineRule="exact"/>
        <w:rPr>
          <w:rFonts w:hint="eastAsia"/>
          <w:b w:val="0"/>
          <w:bCs/>
          <w:color w:val="000000" w:themeColor="text1"/>
          <w:sz w:val="24"/>
          <w:highlight w:val="none"/>
          <w:lang w:val="en-US" w:eastAsia="zh-CN"/>
          <w14:textFill>
            <w14:solidFill>
              <w14:schemeClr w14:val="tx1"/>
            </w14:solidFill>
          </w14:textFill>
        </w:rPr>
      </w:pPr>
      <w:r>
        <w:rPr>
          <w:rFonts w:hint="eastAsia"/>
          <w:b/>
          <w:bCs w:val="0"/>
          <w:color w:val="000000" w:themeColor="text1"/>
          <w:sz w:val="24"/>
          <w:highlight w:val="none"/>
          <w:lang w:val="en-US" w:eastAsia="zh-CN"/>
          <w14:textFill>
            <w14:solidFill>
              <w14:schemeClr w14:val="tx1"/>
            </w14:solidFill>
          </w14:textFill>
        </w:rPr>
        <w:t>5</w:t>
      </w:r>
      <w:r>
        <w:rPr>
          <w:rFonts w:hint="eastAsia"/>
          <w:b/>
          <w:bCs w:val="0"/>
          <w:color w:val="000000" w:themeColor="text1"/>
          <w:sz w:val="24"/>
          <w:highlight w:val="none"/>
          <w14:textFill>
            <w14:solidFill>
              <w14:schemeClr w14:val="tx1"/>
            </w14:solidFill>
          </w14:textFill>
        </w:rPr>
        <w:t>.1</w:t>
      </w:r>
      <w:r>
        <w:rPr>
          <w:rFonts w:hint="eastAsia"/>
          <w:b/>
          <w:bCs w:val="0"/>
          <w:color w:val="000000" w:themeColor="text1"/>
          <w:sz w:val="24"/>
          <w:highlight w:val="none"/>
          <w:lang w:val="en-US" w:eastAsia="zh-CN"/>
          <w14:textFill>
            <w14:solidFill>
              <w14:schemeClr w14:val="tx1"/>
            </w14:solidFill>
          </w14:textFill>
        </w:rPr>
        <w:t>.4</w:t>
      </w:r>
      <w:r>
        <w:rPr>
          <w:rFonts w:hint="eastAsia"/>
          <w:b/>
          <w:bCs w:val="0"/>
          <w:color w:val="000000" w:themeColor="text1"/>
          <w:sz w:val="24"/>
          <w:highlight w:val="none"/>
          <w14:textFill>
            <w14:solidFill>
              <w14:schemeClr w14:val="tx1"/>
            </w14:solidFill>
          </w14:textFill>
        </w:rPr>
        <w:t xml:space="preserve"> </w:t>
      </w:r>
      <w:r>
        <w:rPr>
          <w:rFonts w:hint="eastAsia"/>
          <w:b/>
          <w:bCs w:val="0"/>
          <w:color w:val="000000" w:themeColor="text1"/>
          <w:sz w:val="24"/>
          <w:highlight w:val="none"/>
          <w:lang w:val="en-US" w:eastAsia="zh-CN"/>
          <w14:textFill>
            <w14:solidFill>
              <w14:schemeClr w14:val="tx1"/>
            </w14:solidFill>
          </w14:textFill>
        </w:rPr>
        <w:t>地表水环境影响回顾性评价</w:t>
      </w:r>
    </w:p>
    <w:p>
      <w:pPr>
        <w:autoSpaceDE w:val="0"/>
        <w:autoSpaceDN w:val="0"/>
        <w:adjustRightInd w:val="0"/>
        <w:spacing w:line="480" w:lineRule="exact"/>
        <w:jc w:val="left"/>
        <w:rPr>
          <w:b/>
          <w:sz w:val="24"/>
          <w:highlight w:val="none"/>
        </w:rPr>
      </w:pPr>
      <w:r>
        <w:rPr>
          <w:rFonts w:hint="eastAsia"/>
          <w:b/>
          <w:sz w:val="24"/>
          <w:highlight w:val="none"/>
        </w:rPr>
        <w:t>5.</w:t>
      </w:r>
      <w:r>
        <w:rPr>
          <w:rFonts w:hint="eastAsia"/>
          <w:b/>
          <w:sz w:val="24"/>
          <w:highlight w:val="none"/>
          <w:lang w:val="en-US" w:eastAsia="zh-CN"/>
        </w:rPr>
        <w:t>1.4</w:t>
      </w:r>
      <w:r>
        <w:rPr>
          <w:rFonts w:hint="eastAsia"/>
          <w:b/>
          <w:sz w:val="24"/>
          <w:highlight w:val="none"/>
        </w:rPr>
        <w:t>.</w:t>
      </w:r>
      <w:r>
        <w:rPr>
          <w:rFonts w:hint="eastAsia"/>
          <w:b/>
          <w:sz w:val="24"/>
          <w:highlight w:val="none"/>
          <w:lang w:val="en-US" w:eastAsia="zh-CN"/>
        </w:rPr>
        <w:t>1</w:t>
      </w:r>
      <w:r>
        <w:rPr>
          <w:rFonts w:hint="eastAsia"/>
          <w:b/>
          <w:sz w:val="24"/>
          <w:highlight w:val="none"/>
        </w:rPr>
        <w:t xml:space="preserve"> 对区域取用水的影响</w:t>
      </w:r>
    </w:p>
    <w:p>
      <w:pPr>
        <w:autoSpaceDE w:val="0"/>
        <w:autoSpaceDN w:val="0"/>
        <w:adjustRightInd w:val="0"/>
        <w:spacing w:line="480" w:lineRule="exact"/>
        <w:ind w:firstLine="480" w:firstLineChars="200"/>
        <w:jc w:val="left"/>
        <w:rPr>
          <w:bCs/>
          <w:sz w:val="24"/>
          <w:highlight w:val="none"/>
        </w:rPr>
      </w:pPr>
      <w:r>
        <w:rPr>
          <w:rFonts w:hint="eastAsia"/>
          <w:bCs/>
          <w:sz w:val="24"/>
          <w:highlight w:val="none"/>
        </w:rPr>
        <w:t>经调查，黎河不涉及饮用水源取水口，水电站引水量全部回归到黎河，输水水量不减少，故本工程运营对黎河输水水量无影响。</w:t>
      </w:r>
    </w:p>
    <w:p>
      <w:pPr>
        <w:autoSpaceDE w:val="0"/>
        <w:autoSpaceDN w:val="0"/>
        <w:adjustRightInd w:val="0"/>
        <w:spacing w:line="480" w:lineRule="exact"/>
        <w:jc w:val="left"/>
        <w:rPr>
          <w:b/>
          <w:sz w:val="24"/>
          <w:highlight w:val="none"/>
          <w:lang w:val="zh-CN"/>
        </w:rPr>
      </w:pPr>
      <w:r>
        <w:rPr>
          <w:rFonts w:hint="eastAsia"/>
          <w:b/>
          <w:sz w:val="24"/>
          <w:highlight w:val="none"/>
        </w:rPr>
        <w:t>5</w:t>
      </w:r>
      <w:r>
        <w:rPr>
          <w:rFonts w:hint="eastAsia"/>
          <w:b/>
          <w:sz w:val="24"/>
          <w:highlight w:val="none"/>
          <w:lang w:val="zh-CN"/>
        </w:rPr>
        <w:t>.</w:t>
      </w:r>
      <w:r>
        <w:rPr>
          <w:rFonts w:hint="eastAsia"/>
          <w:b/>
          <w:sz w:val="24"/>
          <w:highlight w:val="none"/>
          <w:lang w:val="en-US" w:eastAsia="zh-CN"/>
        </w:rPr>
        <w:t>1.4.2</w:t>
      </w:r>
      <w:r>
        <w:rPr>
          <w:rFonts w:hint="eastAsia"/>
          <w:b/>
          <w:sz w:val="24"/>
          <w:highlight w:val="none"/>
          <w:lang w:val="zh-CN"/>
        </w:rPr>
        <w:t xml:space="preserve"> </w:t>
      </w:r>
      <w:r>
        <w:rPr>
          <w:b/>
          <w:sz w:val="24"/>
          <w:highlight w:val="none"/>
          <w:lang w:val="zh-CN"/>
        </w:rPr>
        <w:t>对水质的影响</w:t>
      </w:r>
    </w:p>
    <w:p>
      <w:pPr>
        <w:autoSpaceDE w:val="0"/>
        <w:autoSpaceDN w:val="0"/>
        <w:adjustRightInd w:val="0"/>
        <w:spacing w:line="480" w:lineRule="exact"/>
        <w:ind w:firstLine="480"/>
        <w:jc w:val="left"/>
        <w:rPr>
          <w:color w:val="000000" w:themeColor="text1"/>
          <w:kern w:val="0"/>
          <w:sz w:val="24"/>
          <w:highlight w:val="none"/>
          <w:lang w:val="zh-CN"/>
          <w14:textFill>
            <w14:solidFill>
              <w14:schemeClr w14:val="tx1"/>
            </w14:solidFill>
          </w14:textFill>
        </w:rPr>
      </w:pPr>
      <w:r>
        <w:rPr>
          <w:rFonts w:hint="eastAsia"/>
          <w:color w:val="000000" w:themeColor="text1"/>
          <w:kern w:val="0"/>
          <w:sz w:val="24"/>
          <w:highlight w:val="none"/>
          <w:lang w:val="zh-CN"/>
          <w14:textFill>
            <w14:solidFill>
              <w14:schemeClr w14:val="tx1"/>
            </w14:solidFill>
          </w14:textFill>
        </w:rPr>
        <w:t>（</w:t>
      </w:r>
      <w:r>
        <w:rPr>
          <w:rFonts w:hint="eastAsia"/>
          <w:color w:val="000000" w:themeColor="text1"/>
          <w:kern w:val="0"/>
          <w:sz w:val="24"/>
          <w:highlight w:val="none"/>
          <w14:textFill>
            <w14:solidFill>
              <w14:schemeClr w14:val="tx1"/>
            </w14:solidFill>
          </w14:textFill>
        </w:rPr>
        <w:t>1</w:t>
      </w:r>
      <w:r>
        <w:rPr>
          <w:rFonts w:hint="eastAsia"/>
          <w:color w:val="000000" w:themeColor="text1"/>
          <w:kern w:val="0"/>
          <w:sz w:val="24"/>
          <w:highlight w:val="none"/>
          <w:lang w:val="zh-CN"/>
          <w14:textFill>
            <w14:solidFill>
              <w14:schemeClr w14:val="tx1"/>
            </w14:solidFill>
          </w14:textFill>
        </w:rPr>
        <w:t>）生活污水</w:t>
      </w:r>
    </w:p>
    <w:p>
      <w:pPr>
        <w:autoSpaceDE w:val="0"/>
        <w:autoSpaceDN w:val="0"/>
        <w:adjustRightInd w:val="0"/>
        <w:spacing w:line="480" w:lineRule="exact"/>
        <w:ind w:firstLine="480"/>
        <w:jc w:val="left"/>
        <w:rPr>
          <w:color w:val="000000" w:themeColor="text1"/>
          <w:kern w:val="0"/>
          <w:sz w:val="24"/>
          <w:highlight w:val="none"/>
          <w:lang w:val="zh-CN"/>
          <w14:textFill>
            <w14:solidFill>
              <w14:schemeClr w14:val="tx1"/>
            </w14:solidFill>
          </w14:textFill>
        </w:rPr>
      </w:pPr>
      <w:r>
        <w:rPr>
          <w:rFonts w:hint="eastAsia"/>
          <w:color w:val="000000" w:themeColor="text1"/>
          <w:kern w:val="0"/>
          <w:sz w:val="24"/>
          <w:highlight w:val="none"/>
          <w:lang w:val="zh-CN"/>
          <w14:textFill>
            <w14:solidFill>
              <w14:schemeClr w14:val="tx1"/>
            </w14:solidFill>
          </w14:textFill>
        </w:rPr>
        <w:t>本项目营运期不产生生产废水，废水主要是职工生活污水。运营期电站只有少量值班人员（每班</w:t>
      </w:r>
      <w:r>
        <w:rPr>
          <w:rFonts w:hint="eastAsia"/>
          <w:color w:val="000000" w:themeColor="text1"/>
          <w:kern w:val="0"/>
          <w:sz w:val="24"/>
          <w:highlight w:val="none"/>
          <w14:textFill>
            <w14:solidFill>
              <w14:schemeClr w14:val="tx1"/>
            </w14:solidFill>
          </w14:textFill>
        </w:rPr>
        <w:t>5人</w:t>
      </w:r>
      <w:r>
        <w:rPr>
          <w:rFonts w:hint="eastAsia"/>
          <w:color w:val="000000" w:themeColor="text1"/>
          <w:kern w:val="0"/>
          <w:sz w:val="24"/>
          <w:highlight w:val="none"/>
          <w:lang w:val="zh-CN"/>
          <w14:textFill>
            <w14:solidFill>
              <w14:schemeClr w14:val="tx1"/>
            </w14:solidFill>
          </w14:textFill>
        </w:rPr>
        <w:t>），生活污水产生量约</w:t>
      </w:r>
      <w:r>
        <w:rPr>
          <w:rFonts w:hint="eastAsia"/>
          <w:color w:val="000000" w:themeColor="text1"/>
          <w:kern w:val="0"/>
          <w:sz w:val="24"/>
          <w:highlight w:val="none"/>
          <w14:textFill>
            <w14:solidFill>
              <w14:schemeClr w14:val="tx1"/>
            </w14:solidFill>
          </w14:textFill>
        </w:rPr>
        <w:t>0.2</w:t>
      </w:r>
      <w:r>
        <w:rPr>
          <w:rFonts w:hint="eastAsia"/>
          <w:color w:val="000000" w:themeColor="text1"/>
          <w:kern w:val="0"/>
          <w:sz w:val="24"/>
          <w:highlight w:val="none"/>
          <w:lang w:val="zh-CN"/>
          <w14:textFill>
            <w14:solidFill>
              <w14:schemeClr w14:val="tx1"/>
            </w14:solidFill>
          </w14:textFill>
        </w:rPr>
        <w:t>m</w:t>
      </w:r>
      <w:r>
        <w:rPr>
          <w:rFonts w:hint="eastAsia"/>
          <w:color w:val="000000" w:themeColor="text1"/>
          <w:kern w:val="0"/>
          <w:sz w:val="24"/>
          <w:highlight w:val="none"/>
          <w:vertAlign w:val="superscript"/>
          <w:lang w:val="zh-CN"/>
          <w14:textFill>
            <w14:solidFill>
              <w14:schemeClr w14:val="tx1"/>
            </w14:solidFill>
          </w14:textFill>
        </w:rPr>
        <w:t>3</w:t>
      </w:r>
      <w:r>
        <w:rPr>
          <w:rFonts w:hint="eastAsia"/>
          <w:color w:val="000000" w:themeColor="text1"/>
          <w:kern w:val="0"/>
          <w:sz w:val="24"/>
          <w:highlight w:val="none"/>
          <w:lang w:val="zh-CN"/>
          <w14:textFill>
            <w14:solidFill>
              <w14:schemeClr w14:val="tx1"/>
            </w14:solidFill>
          </w14:textFill>
        </w:rPr>
        <w:t>/d（</w:t>
      </w:r>
      <w:r>
        <w:rPr>
          <w:rFonts w:hint="eastAsia"/>
          <w:color w:val="000000" w:themeColor="text1"/>
          <w:kern w:val="0"/>
          <w:sz w:val="24"/>
          <w:highlight w:val="none"/>
          <w:lang w:val="en-US" w:eastAsia="zh-CN"/>
          <w14:textFill>
            <w14:solidFill>
              <w14:schemeClr w14:val="tx1"/>
            </w14:solidFill>
          </w14:textFill>
        </w:rPr>
        <w:t>22.4</w:t>
      </w:r>
      <w:r>
        <w:rPr>
          <w:rFonts w:hint="eastAsia"/>
          <w:color w:val="000000" w:themeColor="text1"/>
          <w:kern w:val="0"/>
          <w:sz w:val="24"/>
          <w:highlight w:val="none"/>
          <w:lang w:val="zh-CN"/>
          <w14:textFill>
            <w14:solidFill>
              <w14:schemeClr w14:val="tx1"/>
            </w14:solidFill>
          </w14:textFill>
        </w:rPr>
        <w:t>m</w:t>
      </w:r>
      <w:r>
        <w:rPr>
          <w:rFonts w:hint="eastAsia"/>
          <w:color w:val="000000" w:themeColor="text1"/>
          <w:kern w:val="0"/>
          <w:sz w:val="24"/>
          <w:highlight w:val="none"/>
          <w:vertAlign w:val="superscript"/>
          <w:lang w:val="zh-CN"/>
          <w14:textFill>
            <w14:solidFill>
              <w14:schemeClr w14:val="tx1"/>
            </w14:solidFill>
          </w14:textFill>
        </w:rPr>
        <w:t>3</w:t>
      </w:r>
      <w:r>
        <w:rPr>
          <w:rFonts w:hint="eastAsia"/>
          <w:color w:val="000000" w:themeColor="text1"/>
          <w:kern w:val="0"/>
          <w:sz w:val="24"/>
          <w:highlight w:val="none"/>
          <w:lang w:val="zh-CN"/>
          <w14:textFill>
            <w14:solidFill>
              <w14:schemeClr w14:val="tx1"/>
            </w14:solidFill>
          </w14:textFill>
        </w:rPr>
        <w:t>/a），经化粪池处理，由环卫部门定期清掏，不外排，对黎河水环境无影响。</w:t>
      </w:r>
    </w:p>
    <w:p>
      <w:pPr>
        <w:autoSpaceDE w:val="0"/>
        <w:autoSpaceDN w:val="0"/>
        <w:adjustRightInd w:val="0"/>
        <w:spacing w:line="480" w:lineRule="exact"/>
        <w:ind w:firstLine="480"/>
        <w:jc w:val="left"/>
        <w:rPr>
          <w:color w:val="000000" w:themeColor="text1"/>
          <w:kern w:val="0"/>
          <w:sz w:val="24"/>
          <w:highlight w:val="none"/>
          <w:lang w:val="zh-CN"/>
          <w14:textFill>
            <w14:solidFill>
              <w14:schemeClr w14:val="tx1"/>
            </w14:solidFill>
          </w14:textFill>
        </w:rPr>
      </w:pPr>
      <w:r>
        <w:rPr>
          <w:rFonts w:hint="eastAsia"/>
          <w:color w:val="000000" w:themeColor="text1"/>
          <w:kern w:val="0"/>
          <w:sz w:val="24"/>
          <w:highlight w:val="none"/>
          <w:lang w:val="zh-CN"/>
          <w14:textFill>
            <w14:solidFill>
              <w14:schemeClr w14:val="tx1"/>
            </w14:solidFill>
          </w14:textFill>
        </w:rPr>
        <w:t>（</w:t>
      </w:r>
      <w:r>
        <w:rPr>
          <w:rFonts w:hint="eastAsia"/>
          <w:color w:val="000000" w:themeColor="text1"/>
          <w:kern w:val="0"/>
          <w:sz w:val="24"/>
          <w:highlight w:val="none"/>
          <w14:textFill>
            <w14:solidFill>
              <w14:schemeClr w14:val="tx1"/>
            </w14:solidFill>
          </w14:textFill>
        </w:rPr>
        <w:t>2</w:t>
      </w:r>
      <w:r>
        <w:rPr>
          <w:rFonts w:hint="eastAsia"/>
          <w:color w:val="000000" w:themeColor="text1"/>
          <w:kern w:val="0"/>
          <w:sz w:val="24"/>
          <w:highlight w:val="none"/>
          <w:lang w:val="zh-CN"/>
          <w14:textFill>
            <w14:solidFill>
              <w14:schemeClr w14:val="tx1"/>
            </w14:solidFill>
          </w14:textFill>
        </w:rPr>
        <w:t>）富营养化分析</w:t>
      </w:r>
    </w:p>
    <w:p>
      <w:pPr>
        <w:autoSpaceDE w:val="0"/>
        <w:autoSpaceDN w:val="0"/>
        <w:adjustRightInd w:val="0"/>
        <w:spacing w:line="480" w:lineRule="exact"/>
        <w:ind w:firstLine="480"/>
        <w:jc w:val="left"/>
        <w:rPr>
          <w:color w:val="000000" w:themeColor="text1"/>
          <w:kern w:val="0"/>
          <w:sz w:val="24"/>
          <w:highlight w:val="none"/>
          <w:lang w:val="zh-CN"/>
          <w14:textFill>
            <w14:solidFill>
              <w14:schemeClr w14:val="tx1"/>
            </w14:solidFill>
          </w14:textFill>
        </w:rPr>
      </w:pPr>
      <w:r>
        <w:rPr>
          <w:rFonts w:hint="eastAsia"/>
          <w:color w:val="000000" w:themeColor="text1"/>
          <w:kern w:val="0"/>
          <w:sz w:val="24"/>
          <w:highlight w:val="none"/>
          <w:lang w:val="zh-CN"/>
          <w14:textFill>
            <w14:solidFill>
              <w14:schemeClr w14:val="tx1"/>
            </w14:solidFill>
          </w14:textFill>
        </w:rPr>
        <w:t>水体富营养化是一种营养物质在雍水区水体中积累过多，而造成水体从生产力低的贫营养状态逐步向生产力高的富营养化状态过渡的一种现象，富营养化将引起藻类的过量生长，过量的藻类生长间接地使水中的溶解氧含量降低，恶化水质。通常认为，氮、磷（特别是磷）营养物质浓度的增高，是富营养化产生的原因。发生富营养的条件主要有总磷、总氮等营养盐相对比较充足；缓慢的水流流态；适宜的温度条件，只有在3方面条件都比较适宜时，才会出现某种优势藻类“疯”长现象，发生富营养化。</w:t>
      </w:r>
    </w:p>
    <w:p>
      <w:pPr>
        <w:pStyle w:val="420"/>
        <w:widowControl w:val="0"/>
        <w:spacing w:line="480" w:lineRule="exact"/>
        <w:ind w:firstLine="480" w:firstLineChars="200"/>
        <w:jc w:val="both"/>
        <w:rPr>
          <w:bCs/>
          <w:color w:val="000000"/>
          <w:highlight w:val="none"/>
        </w:rPr>
      </w:pPr>
      <w:r>
        <w:rPr>
          <w:rFonts w:hint="eastAsia"/>
          <w:bCs/>
          <w:color w:val="000000"/>
          <w:highlight w:val="none"/>
        </w:rPr>
        <w:t>参照水利行业标准《地表水资源质量评价技术规程》（SL395-2007），富营养化评价采用综合营养状态指数法。按“贫”、“中”、“富”评价。富营养化状况评价指标主要有：叶绿素a（Chla）、总磷（TP）、总氮（TN）、透明度（SD）、高锰酸盐指数（COD</w:t>
      </w:r>
      <w:r>
        <w:rPr>
          <w:rFonts w:hint="eastAsia"/>
          <w:bCs/>
          <w:color w:val="000000"/>
          <w:highlight w:val="none"/>
          <w:vertAlign w:val="subscript"/>
        </w:rPr>
        <w:t xml:space="preserve"> Mn</w:t>
      </w:r>
      <w:r>
        <w:rPr>
          <w:rFonts w:hint="eastAsia"/>
          <w:bCs/>
          <w:color w:val="000000"/>
          <w:highlight w:val="none"/>
        </w:rPr>
        <w:t>）等5项。</w:t>
      </w:r>
    </w:p>
    <w:p>
      <w:pPr>
        <w:pStyle w:val="420"/>
        <w:widowControl w:val="0"/>
        <w:spacing w:line="480" w:lineRule="exact"/>
        <w:ind w:firstLine="480" w:firstLineChars="200"/>
        <w:jc w:val="both"/>
        <w:rPr>
          <w:b/>
          <w:color w:val="000000"/>
          <w:highlight w:val="none"/>
        </w:rPr>
      </w:pPr>
      <w:r>
        <w:rPr>
          <w:rFonts w:hint="eastAsia"/>
          <w:bCs/>
          <w:color w:val="000000"/>
          <w:highlight w:val="none"/>
        </w:rPr>
        <w:t>本项目布设3个地表水监测断面，采用卡尔森指数方法进行分级与评价（见前文），采用 0～100 的一系列连续数字对湖泊营养状态进行分级，包括：贫营养、中营养、富营养、轻度富营养、中度富营养和重度富营养。</w:t>
      </w:r>
    </w:p>
    <w:p>
      <w:pPr>
        <w:pStyle w:val="420"/>
        <w:widowControl w:val="0"/>
        <w:spacing w:line="480" w:lineRule="exact"/>
        <w:ind w:firstLine="480" w:firstLineChars="200"/>
        <w:jc w:val="both"/>
        <w:rPr>
          <w:kern w:val="2"/>
          <w:highlight w:val="none"/>
        </w:rPr>
      </w:pPr>
      <w:r>
        <w:rPr>
          <w:rFonts w:hint="eastAsia"/>
          <w:kern w:val="2"/>
          <w:highlight w:val="none"/>
        </w:rPr>
        <w:t>本项目各监测断面富营养化评价采用三日现状监测数据平均值进行评价，</w:t>
      </w:r>
    </w:p>
    <w:p>
      <w:pPr>
        <w:pStyle w:val="420"/>
        <w:widowControl w:val="0"/>
        <w:spacing w:line="480" w:lineRule="exact"/>
        <w:ind w:firstLine="480" w:firstLineChars="200"/>
        <w:jc w:val="both"/>
        <w:rPr>
          <w:kern w:val="2"/>
          <w:highlight w:val="none"/>
        </w:rPr>
      </w:pPr>
      <w:r>
        <w:rPr>
          <w:rFonts w:hint="eastAsia"/>
          <w:kern w:val="2"/>
          <w:highlight w:val="none"/>
        </w:rPr>
        <w:t>各监测断面的富营养化综合营养状态指属于中营养化状态，定性评价良好。</w:t>
      </w:r>
    </w:p>
    <w:p>
      <w:pPr>
        <w:autoSpaceDE w:val="0"/>
        <w:autoSpaceDN w:val="0"/>
        <w:adjustRightInd w:val="0"/>
        <w:spacing w:line="480" w:lineRule="exact"/>
        <w:ind w:firstLine="480"/>
        <w:jc w:val="left"/>
        <w:rPr>
          <w:color w:val="000000" w:themeColor="text1"/>
          <w:kern w:val="0"/>
          <w:sz w:val="24"/>
          <w:highlight w:val="none"/>
          <w:lang w:val="zh-CN"/>
          <w14:textFill>
            <w14:solidFill>
              <w14:schemeClr w14:val="tx1"/>
            </w14:solidFill>
          </w14:textFill>
        </w:rPr>
      </w:pPr>
      <w:r>
        <w:rPr>
          <w:rFonts w:hint="eastAsia"/>
          <w:color w:val="000000" w:themeColor="text1"/>
          <w:kern w:val="0"/>
          <w:sz w:val="24"/>
          <w:highlight w:val="none"/>
          <w:lang w:val="zh-CN"/>
          <w14:textFill>
            <w14:solidFill>
              <w14:schemeClr w14:val="tx1"/>
            </w14:solidFill>
          </w14:textFill>
        </w:rPr>
        <w:t>（</w:t>
      </w:r>
      <w:r>
        <w:rPr>
          <w:rFonts w:hint="eastAsia"/>
          <w:color w:val="000000" w:themeColor="text1"/>
          <w:kern w:val="0"/>
          <w:sz w:val="24"/>
          <w:highlight w:val="none"/>
          <w14:textFill>
            <w14:solidFill>
              <w14:schemeClr w14:val="tx1"/>
            </w14:solidFill>
          </w14:textFill>
        </w:rPr>
        <w:t>3</w:t>
      </w:r>
      <w:r>
        <w:rPr>
          <w:rFonts w:hint="eastAsia"/>
          <w:color w:val="000000" w:themeColor="text1"/>
          <w:kern w:val="0"/>
          <w:sz w:val="24"/>
          <w:highlight w:val="none"/>
          <w:lang w:val="zh-CN"/>
          <w14:textFill>
            <w14:solidFill>
              <w14:schemeClr w14:val="tx1"/>
            </w14:solidFill>
          </w14:textFill>
        </w:rPr>
        <w:t>）监测断面水质分析</w:t>
      </w:r>
    </w:p>
    <w:p>
      <w:pPr>
        <w:autoSpaceDE w:val="0"/>
        <w:autoSpaceDN w:val="0"/>
        <w:adjustRightInd w:val="0"/>
        <w:spacing w:line="480" w:lineRule="exact"/>
        <w:ind w:firstLine="480"/>
        <w:jc w:val="left"/>
        <w:rPr>
          <w:kern w:val="0"/>
          <w:sz w:val="24"/>
          <w:highlight w:val="none"/>
        </w:rPr>
      </w:pPr>
      <w:r>
        <w:rPr>
          <w:rFonts w:hint="eastAsia"/>
          <w:kern w:val="0"/>
          <w:sz w:val="24"/>
          <w:highlight w:val="none"/>
          <w:lang w:val="zh-CN"/>
        </w:rPr>
        <w:t>本项目</w:t>
      </w:r>
      <w:r>
        <w:rPr>
          <w:kern w:val="0"/>
          <w:sz w:val="24"/>
          <w:highlight w:val="none"/>
          <w:lang w:val="zh-CN"/>
        </w:rPr>
        <w:t>通过引水渠道引</w:t>
      </w:r>
      <w:r>
        <w:rPr>
          <w:rFonts w:hint="eastAsia"/>
          <w:kern w:val="0"/>
          <w:sz w:val="24"/>
          <w:highlight w:val="none"/>
          <w:lang w:val="zh-CN"/>
        </w:rPr>
        <w:t>“引滦入津工程”输水</w:t>
      </w:r>
      <w:r>
        <w:rPr>
          <w:kern w:val="0"/>
          <w:sz w:val="24"/>
          <w:highlight w:val="none"/>
          <w:lang w:val="zh-CN"/>
        </w:rPr>
        <w:t>发电，尾水最终流入</w:t>
      </w:r>
      <w:r>
        <w:rPr>
          <w:rFonts w:hint="eastAsia"/>
          <w:kern w:val="0"/>
          <w:sz w:val="24"/>
          <w:highlight w:val="none"/>
          <w:lang w:val="zh-CN"/>
        </w:rPr>
        <w:t>黎河</w:t>
      </w:r>
      <w:r>
        <w:rPr>
          <w:kern w:val="0"/>
          <w:sz w:val="24"/>
          <w:highlight w:val="none"/>
          <w:lang w:val="zh-CN"/>
        </w:rPr>
        <w:t>，水力发电站属于清洁能源。电站建成后，就引水发电过程而言，水体经过水轮机及发电机组发电后产生的尾水，不含污染物，河道水质保持原有状态，对原引水河道的水质</w:t>
      </w:r>
      <w:r>
        <w:rPr>
          <w:rFonts w:hint="eastAsia"/>
          <w:kern w:val="0"/>
          <w:sz w:val="24"/>
          <w:highlight w:val="none"/>
          <w:lang w:val="zh-CN"/>
        </w:rPr>
        <w:t>不产生影响</w:t>
      </w:r>
      <w:r>
        <w:rPr>
          <w:kern w:val="0"/>
          <w:sz w:val="24"/>
          <w:highlight w:val="none"/>
          <w:lang w:val="zh-CN"/>
        </w:rPr>
        <w:t>。此外，壅水区蓄水量较小，对水质的影响并不显著，壅水区水质将基本维持引水状况，总的来看，电站运行对引滦入津水质没有影响。</w:t>
      </w:r>
      <w:r>
        <w:rPr>
          <w:rFonts w:hint="eastAsia"/>
          <w:kern w:val="0"/>
          <w:sz w:val="24"/>
          <w:highlight w:val="none"/>
          <w:lang w:val="zh-CN"/>
        </w:rPr>
        <w:t xml:space="preserve">断面水质监测结果进行对比，见表 </w:t>
      </w:r>
      <w:r>
        <w:rPr>
          <w:rFonts w:hint="eastAsia"/>
          <w:kern w:val="0"/>
          <w:sz w:val="24"/>
          <w:highlight w:val="none"/>
        </w:rPr>
        <w:t>5.</w:t>
      </w:r>
      <w:r>
        <w:rPr>
          <w:rFonts w:hint="eastAsia"/>
          <w:kern w:val="0"/>
          <w:sz w:val="24"/>
          <w:highlight w:val="none"/>
          <w:lang w:val="en-US" w:eastAsia="zh-CN"/>
        </w:rPr>
        <w:t>1</w:t>
      </w:r>
      <w:r>
        <w:rPr>
          <w:rFonts w:hint="eastAsia"/>
          <w:kern w:val="0"/>
          <w:sz w:val="24"/>
          <w:highlight w:val="none"/>
        </w:rPr>
        <w:t>-1。</w:t>
      </w:r>
    </w:p>
    <w:p>
      <w:pPr>
        <w:autoSpaceDE w:val="0"/>
        <w:autoSpaceDN w:val="0"/>
        <w:adjustRightInd w:val="0"/>
        <w:spacing w:line="480" w:lineRule="exact"/>
        <w:jc w:val="center"/>
        <w:rPr>
          <w:kern w:val="0"/>
          <w:sz w:val="24"/>
          <w:highlight w:val="none"/>
          <w:lang w:val="zh-CN"/>
        </w:rPr>
      </w:pPr>
      <w:r>
        <w:rPr>
          <w:rFonts w:hint="eastAsia"/>
          <w:b/>
          <w:bCs/>
          <w:kern w:val="0"/>
          <w:sz w:val="24"/>
          <w:highlight w:val="none"/>
          <w:lang w:val="zh-CN"/>
        </w:rPr>
        <w:t>表</w:t>
      </w:r>
      <w:r>
        <w:rPr>
          <w:rFonts w:hint="eastAsia"/>
          <w:b/>
          <w:bCs/>
          <w:kern w:val="0"/>
          <w:sz w:val="24"/>
          <w:highlight w:val="none"/>
        </w:rPr>
        <w:t>5.</w:t>
      </w:r>
      <w:r>
        <w:rPr>
          <w:rFonts w:hint="eastAsia"/>
          <w:b/>
          <w:bCs/>
          <w:kern w:val="0"/>
          <w:sz w:val="24"/>
          <w:highlight w:val="none"/>
          <w:lang w:val="en-US" w:eastAsia="zh-CN"/>
        </w:rPr>
        <w:t>1</w:t>
      </w:r>
      <w:r>
        <w:rPr>
          <w:rFonts w:hint="eastAsia"/>
          <w:b/>
          <w:bCs/>
          <w:kern w:val="0"/>
          <w:sz w:val="24"/>
          <w:highlight w:val="none"/>
        </w:rPr>
        <w:t xml:space="preserve">-1  </w:t>
      </w:r>
      <w:r>
        <w:rPr>
          <w:rFonts w:hint="eastAsia"/>
          <w:b/>
          <w:bCs/>
          <w:kern w:val="0"/>
          <w:sz w:val="24"/>
          <w:highlight w:val="none"/>
          <w:lang w:val="zh-CN"/>
        </w:rPr>
        <w:t xml:space="preserve"> 断面水质监测结果进行对比</w:t>
      </w:r>
    </w:p>
    <w:tbl>
      <w:tblPr>
        <w:tblStyle w:val="52"/>
        <w:tblW w:w="80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7"/>
        <w:gridCol w:w="709"/>
        <w:gridCol w:w="851"/>
        <w:gridCol w:w="872"/>
        <w:gridCol w:w="885"/>
        <w:gridCol w:w="821"/>
        <w:gridCol w:w="728"/>
        <w:gridCol w:w="900"/>
        <w:gridCol w:w="8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7" w:type="dxa"/>
            <w:vAlign w:val="center"/>
          </w:tcPr>
          <w:p>
            <w:pPr>
              <w:autoSpaceDE w:val="0"/>
              <w:autoSpaceDN w:val="0"/>
              <w:adjustRightInd w:val="0"/>
              <w:spacing w:line="300" w:lineRule="exact"/>
              <w:jc w:val="center"/>
              <w:rPr>
                <w:kern w:val="0"/>
                <w:szCs w:val="21"/>
                <w:highlight w:val="none"/>
                <w:lang w:val="zh-CN"/>
              </w:rPr>
            </w:pPr>
            <w:r>
              <w:rPr>
                <w:rFonts w:hint="eastAsia"/>
                <w:kern w:val="0"/>
                <w:szCs w:val="21"/>
                <w:highlight w:val="none"/>
                <w:lang w:val="zh-CN"/>
              </w:rPr>
              <w:t>监测项目</w:t>
            </w:r>
          </w:p>
        </w:tc>
        <w:tc>
          <w:tcPr>
            <w:tcW w:w="709" w:type="dxa"/>
            <w:vAlign w:val="center"/>
          </w:tcPr>
          <w:p>
            <w:pPr>
              <w:autoSpaceDE w:val="0"/>
              <w:autoSpaceDN w:val="0"/>
              <w:adjustRightInd w:val="0"/>
              <w:spacing w:line="300" w:lineRule="exact"/>
              <w:jc w:val="center"/>
              <w:rPr>
                <w:kern w:val="0"/>
                <w:szCs w:val="21"/>
                <w:highlight w:val="none"/>
                <w:lang w:val="zh-CN"/>
              </w:rPr>
            </w:pPr>
            <w:r>
              <w:rPr>
                <w:kern w:val="0"/>
                <w:szCs w:val="21"/>
                <w:highlight w:val="none"/>
                <w:lang w:val="zh-CN"/>
              </w:rPr>
              <w:t>pH</w:t>
            </w:r>
          </w:p>
        </w:tc>
        <w:tc>
          <w:tcPr>
            <w:tcW w:w="851" w:type="dxa"/>
            <w:vAlign w:val="center"/>
          </w:tcPr>
          <w:p>
            <w:pPr>
              <w:autoSpaceDE w:val="0"/>
              <w:autoSpaceDN w:val="0"/>
              <w:adjustRightInd w:val="0"/>
              <w:spacing w:line="300" w:lineRule="exact"/>
              <w:jc w:val="center"/>
              <w:rPr>
                <w:kern w:val="0"/>
                <w:szCs w:val="21"/>
                <w:highlight w:val="none"/>
                <w:lang w:val="zh-CN"/>
              </w:rPr>
            </w:pPr>
            <w:r>
              <w:rPr>
                <w:rFonts w:hint="eastAsia"/>
                <w:kern w:val="0"/>
                <w:szCs w:val="21"/>
                <w:highlight w:val="none"/>
                <w:lang w:val="zh-CN"/>
              </w:rPr>
              <w:t>悬浮物</w:t>
            </w:r>
          </w:p>
        </w:tc>
        <w:tc>
          <w:tcPr>
            <w:tcW w:w="872" w:type="dxa"/>
            <w:vAlign w:val="center"/>
          </w:tcPr>
          <w:p>
            <w:pPr>
              <w:autoSpaceDE w:val="0"/>
              <w:autoSpaceDN w:val="0"/>
              <w:adjustRightInd w:val="0"/>
              <w:spacing w:line="300" w:lineRule="exact"/>
              <w:jc w:val="center"/>
              <w:rPr>
                <w:kern w:val="0"/>
                <w:szCs w:val="21"/>
                <w:highlight w:val="none"/>
                <w:lang w:val="zh-CN"/>
              </w:rPr>
            </w:pPr>
            <w:r>
              <w:rPr>
                <w:rFonts w:hint="eastAsia"/>
                <w:kern w:val="0"/>
                <w:szCs w:val="21"/>
                <w:highlight w:val="none"/>
                <w:lang w:val="zh-CN"/>
              </w:rPr>
              <w:t>高锰酸钾指数</w:t>
            </w:r>
          </w:p>
        </w:tc>
        <w:tc>
          <w:tcPr>
            <w:tcW w:w="885" w:type="dxa"/>
            <w:vAlign w:val="center"/>
          </w:tcPr>
          <w:p>
            <w:pPr>
              <w:autoSpaceDE w:val="0"/>
              <w:autoSpaceDN w:val="0"/>
              <w:adjustRightInd w:val="0"/>
              <w:spacing w:line="300" w:lineRule="exact"/>
              <w:jc w:val="center"/>
              <w:rPr>
                <w:kern w:val="0"/>
                <w:szCs w:val="21"/>
                <w:highlight w:val="none"/>
                <w:lang w:val="zh-CN"/>
              </w:rPr>
            </w:pPr>
            <w:r>
              <w:rPr>
                <w:kern w:val="0"/>
                <w:highlight w:val="none"/>
              </w:rPr>
              <w:t>氨氮</w:t>
            </w:r>
          </w:p>
        </w:tc>
        <w:tc>
          <w:tcPr>
            <w:tcW w:w="821" w:type="dxa"/>
            <w:vAlign w:val="center"/>
          </w:tcPr>
          <w:p>
            <w:pPr>
              <w:autoSpaceDE w:val="0"/>
              <w:autoSpaceDN w:val="0"/>
              <w:adjustRightInd w:val="0"/>
              <w:spacing w:line="300" w:lineRule="exact"/>
              <w:jc w:val="center"/>
              <w:rPr>
                <w:kern w:val="0"/>
                <w:szCs w:val="21"/>
                <w:highlight w:val="none"/>
                <w:lang w:val="zh-CN"/>
              </w:rPr>
            </w:pPr>
            <w:r>
              <w:rPr>
                <w:rFonts w:hint="eastAsia"/>
                <w:kern w:val="0"/>
                <w:szCs w:val="21"/>
                <w:highlight w:val="none"/>
                <w:lang w:val="zh-CN"/>
              </w:rPr>
              <w:t>BOD5</w:t>
            </w:r>
          </w:p>
        </w:tc>
        <w:tc>
          <w:tcPr>
            <w:tcW w:w="728" w:type="dxa"/>
            <w:vAlign w:val="center"/>
          </w:tcPr>
          <w:p>
            <w:pPr>
              <w:autoSpaceDE w:val="0"/>
              <w:autoSpaceDN w:val="0"/>
              <w:adjustRightInd w:val="0"/>
              <w:spacing w:line="300" w:lineRule="exact"/>
              <w:jc w:val="center"/>
              <w:rPr>
                <w:kern w:val="0"/>
                <w:szCs w:val="21"/>
                <w:highlight w:val="none"/>
                <w:lang w:val="zh-CN"/>
              </w:rPr>
            </w:pPr>
            <w:r>
              <w:rPr>
                <w:rFonts w:hint="eastAsia"/>
                <w:kern w:val="0"/>
                <w:szCs w:val="21"/>
                <w:highlight w:val="none"/>
                <w:lang w:val="zh-CN"/>
              </w:rPr>
              <w:t>总氮</w:t>
            </w:r>
          </w:p>
        </w:tc>
        <w:tc>
          <w:tcPr>
            <w:tcW w:w="900" w:type="dxa"/>
            <w:vAlign w:val="center"/>
          </w:tcPr>
          <w:p>
            <w:pPr>
              <w:autoSpaceDE w:val="0"/>
              <w:autoSpaceDN w:val="0"/>
              <w:adjustRightInd w:val="0"/>
              <w:spacing w:line="300" w:lineRule="exact"/>
              <w:jc w:val="center"/>
              <w:rPr>
                <w:kern w:val="0"/>
                <w:szCs w:val="21"/>
                <w:highlight w:val="none"/>
                <w:lang w:val="zh-CN"/>
              </w:rPr>
            </w:pPr>
            <w:r>
              <w:rPr>
                <w:rFonts w:hint="eastAsia"/>
                <w:kern w:val="0"/>
                <w:szCs w:val="21"/>
                <w:highlight w:val="none"/>
                <w:lang w:val="zh-CN"/>
              </w:rPr>
              <w:t>总磷</w:t>
            </w:r>
          </w:p>
        </w:tc>
        <w:tc>
          <w:tcPr>
            <w:tcW w:w="899" w:type="dxa"/>
            <w:vAlign w:val="center"/>
          </w:tcPr>
          <w:p>
            <w:pPr>
              <w:autoSpaceDE w:val="0"/>
              <w:autoSpaceDN w:val="0"/>
              <w:adjustRightInd w:val="0"/>
              <w:spacing w:line="300" w:lineRule="exact"/>
              <w:jc w:val="center"/>
              <w:rPr>
                <w:kern w:val="0"/>
                <w:szCs w:val="21"/>
                <w:highlight w:val="none"/>
                <w:lang w:val="zh-CN"/>
              </w:rPr>
            </w:pPr>
            <w:r>
              <w:rPr>
                <w:rFonts w:hint="eastAsia"/>
                <w:kern w:val="0"/>
                <w:szCs w:val="21"/>
                <w:highlight w:val="none"/>
                <w:lang w:val="zh-CN"/>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7" w:type="dxa"/>
            <w:vAlign w:val="center"/>
          </w:tcPr>
          <w:p>
            <w:pPr>
              <w:autoSpaceDE w:val="0"/>
              <w:autoSpaceDN w:val="0"/>
              <w:adjustRightInd w:val="0"/>
              <w:spacing w:line="300" w:lineRule="exact"/>
              <w:jc w:val="center"/>
              <w:rPr>
                <w:kern w:val="0"/>
                <w:szCs w:val="21"/>
                <w:highlight w:val="none"/>
                <w:lang w:val="zh-CN"/>
              </w:rPr>
            </w:pPr>
            <w:r>
              <w:rPr>
                <w:rFonts w:hint="eastAsia"/>
                <w:kern w:val="0"/>
                <w:szCs w:val="21"/>
                <w:highlight w:val="none"/>
                <w:lang w:val="zh-CN"/>
              </w:rPr>
              <w:t>橡胶坝上游</w:t>
            </w:r>
          </w:p>
        </w:tc>
        <w:tc>
          <w:tcPr>
            <w:tcW w:w="709" w:type="dxa"/>
            <w:vAlign w:val="center"/>
          </w:tcPr>
          <w:p>
            <w:pPr>
              <w:autoSpaceDE w:val="0"/>
              <w:autoSpaceDN w:val="0"/>
              <w:adjustRightInd w:val="0"/>
              <w:spacing w:line="300" w:lineRule="exact"/>
              <w:jc w:val="center"/>
              <w:rPr>
                <w:color w:val="000000" w:themeColor="text1"/>
                <w:kern w:val="0"/>
                <w:szCs w:val="21"/>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7.1</w:t>
            </w:r>
          </w:p>
        </w:tc>
        <w:tc>
          <w:tcPr>
            <w:tcW w:w="851" w:type="dxa"/>
            <w:vAlign w:val="center"/>
          </w:tcPr>
          <w:p>
            <w:pPr>
              <w:autoSpaceDE w:val="0"/>
              <w:autoSpaceDN w:val="0"/>
              <w:adjustRightInd w:val="0"/>
              <w:spacing w:line="300" w:lineRule="exact"/>
              <w:jc w:val="center"/>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12</w:t>
            </w:r>
          </w:p>
        </w:tc>
        <w:tc>
          <w:tcPr>
            <w:tcW w:w="872" w:type="dxa"/>
            <w:vAlign w:val="center"/>
          </w:tcPr>
          <w:p>
            <w:pPr>
              <w:autoSpaceDE w:val="0"/>
              <w:autoSpaceDN w:val="0"/>
              <w:adjustRightInd w:val="0"/>
              <w:spacing w:line="300" w:lineRule="exact"/>
              <w:jc w:val="center"/>
              <w:rPr>
                <w:color w:val="000000" w:themeColor="text1"/>
                <w:kern w:val="0"/>
                <w:szCs w:val="21"/>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3.15</w:t>
            </w:r>
          </w:p>
        </w:tc>
        <w:tc>
          <w:tcPr>
            <w:tcW w:w="885" w:type="dxa"/>
            <w:vAlign w:val="center"/>
          </w:tcPr>
          <w:p>
            <w:pPr>
              <w:autoSpaceDE w:val="0"/>
              <w:autoSpaceDN w:val="0"/>
              <w:adjustRightInd w:val="0"/>
              <w:spacing w:line="300" w:lineRule="exact"/>
              <w:jc w:val="center"/>
              <w:rPr>
                <w:color w:val="000000" w:themeColor="text1"/>
                <w:kern w:val="0"/>
                <w:szCs w:val="21"/>
                <w:highlight w:val="none"/>
                <w14:textFill>
                  <w14:solidFill>
                    <w14:schemeClr w14:val="tx1"/>
                  </w14:solidFill>
                </w14:textFill>
              </w:rPr>
            </w:pPr>
            <w:r>
              <w:rPr>
                <w:color w:val="000000" w:themeColor="text1"/>
                <w:kern w:val="0"/>
                <w:highlight w:val="none"/>
                <w14:textFill>
                  <w14:solidFill>
                    <w14:schemeClr w14:val="tx1"/>
                  </w14:solidFill>
                </w14:textFill>
              </w:rPr>
              <w:t>0.</w:t>
            </w:r>
            <w:r>
              <w:rPr>
                <w:rFonts w:hint="eastAsia"/>
                <w:color w:val="000000" w:themeColor="text1"/>
                <w:kern w:val="0"/>
                <w:highlight w:val="none"/>
                <w14:textFill>
                  <w14:solidFill>
                    <w14:schemeClr w14:val="tx1"/>
                  </w14:solidFill>
                </w14:textFill>
              </w:rPr>
              <w:t>056</w:t>
            </w:r>
          </w:p>
        </w:tc>
        <w:tc>
          <w:tcPr>
            <w:tcW w:w="821" w:type="dxa"/>
            <w:vAlign w:val="center"/>
          </w:tcPr>
          <w:p>
            <w:pPr>
              <w:autoSpaceDE w:val="0"/>
              <w:autoSpaceDN w:val="0"/>
              <w:adjustRightInd w:val="0"/>
              <w:spacing w:line="300" w:lineRule="exact"/>
              <w:jc w:val="center"/>
              <w:rPr>
                <w:color w:val="000000" w:themeColor="text1"/>
                <w:kern w:val="0"/>
                <w:szCs w:val="21"/>
                <w:highlight w:val="none"/>
                <w14:textFill>
                  <w14:solidFill>
                    <w14:schemeClr w14:val="tx1"/>
                  </w14:solidFill>
                </w14:textFill>
              </w:rPr>
            </w:pPr>
            <w:r>
              <w:rPr>
                <w:color w:val="000000" w:themeColor="text1"/>
                <w:kern w:val="0"/>
                <w:highlight w:val="none"/>
                <w14:textFill>
                  <w14:solidFill>
                    <w14:schemeClr w14:val="tx1"/>
                  </w14:solidFill>
                </w14:textFill>
              </w:rPr>
              <w:t>2.</w:t>
            </w:r>
            <w:r>
              <w:rPr>
                <w:rFonts w:hint="eastAsia"/>
                <w:color w:val="000000" w:themeColor="text1"/>
                <w:kern w:val="0"/>
                <w:highlight w:val="none"/>
                <w14:textFill>
                  <w14:solidFill>
                    <w14:schemeClr w14:val="tx1"/>
                  </w14:solidFill>
                </w14:textFill>
              </w:rPr>
              <w:t>25</w:t>
            </w:r>
          </w:p>
        </w:tc>
        <w:tc>
          <w:tcPr>
            <w:tcW w:w="728" w:type="dxa"/>
            <w:vAlign w:val="center"/>
          </w:tcPr>
          <w:p>
            <w:pPr>
              <w:autoSpaceDE w:val="0"/>
              <w:autoSpaceDN w:val="0"/>
              <w:adjustRightInd w:val="0"/>
              <w:spacing w:line="300" w:lineRule="exact"/>
              <w:jc w:val="center"/>
              <w:rPr>
                <w:color w:val="000000" w:themeColor="text1"/>
                <w:kern w:val="0"/>
                <w:szCs w:val="21"/>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2.40</w:t>
            </w:r>
          </w:p>
        </w:tc>
        <w:tc>
          <w:tcPr>
            <w:tcW w:w="900" w:type="dxa"/>
            <w:vAlign w:val="center"/>
          </w:tcPr>
          <w:p>
            <w:pPr>
              <w:autoSpaceDE w:val="0"/>
              <w:autoSpaceDN w:val="0"/>
              <w:adjustRightInd w:val="0"/>
              <w:spacing w:line="300" w:lineRule="exact"/>
              <w:jc w:val="center"/>
              <w:rPr>
                <w:color w:val="000000" w:themeColor="text1"/>
                <w:kern w:val="0"/>
                <w:szCs w:val="21"/>
                <w:highlight w:val="none"/>
                <w14:textFill>
                  <w14:solidFill>
                    <w14:schemeClr w14:val="tx1"/>
                  </w14:solidFill>
                </w14:textFill>
              </w:rPr>
            </w:pPr>
            <w:r>
              <w:rPr>
                <w:color w:val="000000" w:themeColor="text1"/>
                <w:kern w:val="0"/>
                <w:highlight w:val="none"/>
                <w14:textFill>
                  <w14:solidFill>
                    <w14:schemeClr w14:val="tx1"/>
                  </w14:solidFill>
                </w14:textFill>
              </w:rPr>
              <w:t>0.</w:t>
            </w:r>
            <w:r>
              <w:rPr>
                <w:rFonts w:hint="eastAsia"/>
                <w:color w:val="000000" w:themeColor="text1"/>
                <w:kern w:val="0"/>
                <w:highlight w:val="none"/>
                <w14:textFill>
                  <w14:solidFill>
                    <w14:schemeClr w14:val="tx1"/>
                  </w14:solidFill>
                </w14:textFill>
              </w:rPr>
              <w:t>04</w:t>
            </w:r>
          </w:p>
        </w:tc>
        <w:tc>
          <w:tcPr>
            <w:tcW w:w="899" w:type="dxa"/>
            <w:vAlign w:val="center"/>
          </w:tcPr>
          <w:p>
            <w:pPr>
              <w:autoSpaceDE w:val="0"/>
              <w:autoSpaceDN w:val="0"/>
              <w:adjustRightInd w:val="0"/>
              <w:spacing w:line="300" w:lineRule="exact"/>
              <w:jc w:val="center"/>
              <w:rPr>
                <w:color w:val="000000" w:themeColor="text1"/>
                <w:kern w:val="0"/>
                <w:szCs w:val="21"/>
                <w:highlight w:val="none"/>
                <w:lang w:val="zh-CN"/>
                <w14:textFill>
                  <w14:solidFill>
                    <w14:schemeClr w14:val="tx1"/>
                  </w14:solidFill>
                </w14:textFill>
              </w:rPr>
            </w:pPr>
            <w:r>
              <w:rPr>
                <w:color w:val="000000" w:themeColor="text1"/>
                <w:kern w:val="0"/>
                <w:highlight w:val="none"/>
                <w14:textFill>
                  <w14:solidFill>
                    <w14:schemeClr w14:val="tx1"/>
                  </w14:solidFill>
                </w14:textFill>
              </w:rPr>
              <w:t>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7" w:type="dxa"/>
            <w:vAlign w:val="center"/>
          </w:tcPr>
          <w:p>
            <w:pPr>
              <w:autoSpaceDE w:val="0"/>
              <w:autoSpaceDN w:val="0"/>
              <w:adjustRightInd w:val="0"/>
              <w:spacing w:line="300" w:lineRule="exact"/>
              <w:jc w:val="center"/>
              <w:rPr>
                <w:kern w:val="0"/>
                <w:szCs w:val="21"/>
                <w:highlight w:val="none"/>
                <w:lang w:val="zh-CN"/>
              </w:rPr>
            </w:pPr>
            <w:r>
              <w:rPr>
                <w:rFonts w:hint="eastAsia"/>
                <w:kern w:val="0"/>
                <w:szCs w:val="21"/>
                <w:highlight w:val="none"/>
                <w:lang w:val="zh-CN"/>
              </w:rPr>
              <w:t>尾水下游</w:t>
            </w:r>
          </w:p>
        </w:tc>
        <w:tc>
          <w:tcPr>
            <w:tcW w:w="709" w:type="dxa"/>
            <w:vAlign w:val="center"/>
          </w:tcPr>
          <w:p>
            <w:pPr>
              <w:autoSpaceDE w:val="0"/>
              <w:autoSpaceDN w:val="0"/>
              <w:adjustRightInd w:val="0"/>
              <w:spacing w:line="300" w:lineRule="exact"/>
              <w:jc w:val="center"/>
              <w:rPr>
                <w:color w:val="000000" w:themeColor="text1"/>
                <w:kern w:val="0"/>
                <w:szCs w:val="21"/>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7.2</w:t>
            </w:r>
          </w:p>
        </w:tc>
        <w:tc>
          <w:tcPr>
            <w:tcW w:w="851" w:type="dxa"/>
            <w:vAlign w:val="center"/>
          </w:tcPr>
          <w:p>
            <w:pPr>
              <w:autoSpaceDE w:val="0"/>
              <w:autoSpaceDN w:val="0"/>
              <w:adjustRightInd w:val="0"/>
              <w:spacing w:line="300" w:lineRule="exact"/>
              <w:jc w:val="center"/>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12</w:t>
            </w:r>
          </w:p>
        </w:tc>
        <w:tc>
          <w:tcPr>
            <w:tcW w:w="872" w:type="dxa"/>
            <w:vAlign w:val="center"/>
          </w:tcPr>
          <w:p>
            <w:pPr>
              <w:autoSpaceDE w:val="0"/>
              <w:autoSpaceDN w:val="0"/>
              <w:adjustRightInd w:val="0"/>
              <w:spacing w:line="300" w:lineRule="exact"/>
              <w:jc w:val="center"/>
              <w:rPr>
                <w:color w:val="000000" w:themeColor="text1"/>
                <w:kern w:val="0"/>
                <w:szCs w:val="21"/>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2.55</w:t>
            </w:r>
          </w:p>
        </w:tc>
        <w:tc>
          <w:tcPr>
            <w:tcW w:w="885" w:type="dxa"/>
            <w:vAlign w:val="center"/>
          </w:tcPr>
          <w:p>
            <w:pPr>
              <w:autoSpaceDE w:val="0"/>
              <w:autoSpaceDN w:val="0"/>
              <w:adjustRightInd w:val="0"/>
              <w:spacing w:line="300" w:lineRule="exact"/>
              <w:jc w:val="center"/>
              <w:rPr>
                <w:color w:val="000000" w:themeColor="text1"/>
                <w:kern w:val="0"/>
                <w:szCs w:val="21"/>
                <w:highlight w:val="none"/>
                <w14:textFill>
                  <w14:solidFill>
                    <w14:schemeClr w14:val="tx1"/>
                  </w14:solidFill>
                </w14:textFill>
              </w:rPr>
            </w:pPr>
            <w:r>
              <w:rPr>
                <w:color w:val="000000" w:themeColor="text1"/>
                <w:kern w:val="0"/>
                <w:highlight w:val="none"/>
                <w14:textFill>
                  <w14:solidFill>
                    <w14:schemeClr w14:val="tx1"/>
                  </w14:solidFill>
                </w14:textFill>
              </w:rPr>
              <w:t>0.</w:t>
            </w:r>
            <w:r>
              <w:rPr>
                <w:rFonts w:hint="eastAsia"/>
                <w:color w:val="000000" w:themeColor="text1"/>
                <w:kern w:val="0"/>
                <w:highlight w:val="none"/>
                <w14:textFill>
                  <w14:solidFill>
                    <w14:schemeClr w14:val="tx1"/>
                  </w14:solidFill>
                </w14:textFill>
              </w:rPr>
              <w:t>050</w:t>
            </w:r>
          </w:p>
        </w:tc>
        <w:tc>
          <w:tcPr>
            <w:tcW w:w="821" w:type="dxa"/>
            <w:vAlign w:val="center"/>
          </w:tcPr>
          <w:p>
            <w:pPr>
              <w:autoSpaceDE w:val="0"/>
              <w:autoSpaceDN w:val="0"/>
              <w:adjustRightInd w:val="0"/>
              <w:spacing w:line="300" w:lineRule="exact"/>
              <w:jc w:val="center"/>
              <w:rPr>
                <w:color w:val="000000" w:themeColor="text1"/>
                <w:kern w:val="0"/>
                <w:szCs w:val="21"/>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2.4</w:t>
            </w:r>
          </w:p>
        </w:tc>
        <w:tc>
          <w:tcPr>
            <w:tcW w:w="728" w:type="dxa"/>
            <w:vAlign w:val="center"/>
          </w:tcPr>
          <w:p>
            <w:pPr>
              <w:autoSpaceDE w:val="0"/>
              <w:autoSpaceDN w:val="0"/>
              <w:adjustRightInd w:val="0"/>
              <w:spacing w:line="300" w:lineRule="exact"/>
              <w:jc w:val="center"/>
              <w:rPr>
                <w:color w:val="000000" w:themeColor="text1"/>
                <w:kern w:val="0"/>
                <w:szCs w:val="21"/>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0.39</w:t>
            </w:r>
          </w:p>
        </w:tc>
        <w:tc>
          <w:tcPr>
            <w:tcW w:w="900" w:type="dxa"/>
            <w:vAlign w:val="center"/>
          </w:tcPr>
          <w:p>
            <w:pPr>
              <w:autoSpaceDE w:val="0"/>
              <w:autoSpaceDN w:val="0"/>
              <w:adjustRightInd w:val="0"/>
              <w:spacing w:line="300" w:lineRule="exact"/>
              <w:jc w:val="center"/>
              <w:rPr>
                <w:color w:val="000000" w:themeColor="text1"/>
                <w:kern w:val="0"/>
                <w:szCs w:val="21"/>
                <w:highlight w:val="none"/>
                <w14:textFill>
                  <w14:solidFill>
                    <w14:schemeClr w14:val="tx1"/>
                  </w14:solidFill>
                </w14:textFill>
              </w:rPr>
            </w:pPr>
            <w:r>
              <w:rPr>
                <w:color w:val="000000" w:themeColor="text1"/>
                <w:kern w:val="0"/>
                <w:highlight w:val="none"/>
                <w14:textFill>
                  <w14:solidFill>
                    <w14:schemeClr w14:val="tx1"/>
                  </w14:solidFill>
                </w14:textFill>
              </w:rPr>
              <w:t>0.</w:t>
            </w:r>
            <w:r>
              <w:rPr>
                <w:rFonts w:hint="eastAsia"/>
                <w:color w:val="000000" w:themeColor="text1"/>
                <w:kern w:val="0"/>
                <w:highlight w:val="none"/>
                <w14:textFill>
                  <w14:solidFill>
                    <w14:schemeClr w14:val="tx1"/>
                  </w14:solidFill>
                </w14:textFill>
              </w:rPr>
              <w:t>065</w:t>
            </w:r>
          </w:p>
        </w:tc>
        <w:tc>
          <w:tcPr>
            <w:tcW w:w="899" w:type="dxa"/>
            <w:vAlign w:val="center"/>
          </w:tcPr>
          <w:p>
            <w:pPr>
              <w:autoSpaceDE w:val="0"/>
              <w:autoSpaceDN w:val="0"/>
              <w:adjustRightInd w:val="0"/>
              <w:spacing w:line="300" w:lineRule="exact"/>
              <w:jc w:val="center"/>
              <w:rPr>
                <w:color w:val="000000" w:themeColor="text1"/>
                <w:kern w:val="0"/>
                <w:szCs w:val="21"/>
                <w:highlight w:val="none"/>
                <w:lang w:val="zh-CN"/>
                <w14:textFill>
                  <w14:solidFill>
                    <w14:schemeClr w14:val="tx1"/>
                  </w14:solidFill>
                </w14:textFill>
              </w:rPr>
            </w:pPr>
            <w:r>
              <w:rPr>
                <w:color w:val="000000" w:themeColor="text1"/>
                <w:kern w:val="0"/>
                <w:highlight w:val="none"/>
                <w14:textFill>
                  <w14:solidFill>
                    <w14:schemeClr w14:val="tx1"/>
                  </w14:solidFill>
                </w14:textFill>
              </w:rPr>
              <w:t>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7" w:type="dxa"/>
            <w:vAlign w:val="center"/>
          </w:tcPr>
          <w:p>
            <w:pPr>
              <w:autoSpaceDE w:val="0"/>
              <w:autoSpaceDN w:val="0"/>
              <w:adjustRightInd w:val="0"/>
              <w:spacing w:line="300" w:lineRule="exact"/>
              <w:jc w:val="center"/>
              <w:rPr>
                <w:kern w:val="0"/>
                <w:szCs w:val="21"/>
                <w:highlight w:val="none"/>
                <w:lang w:val="zh-CN"/>
              </w:rPr>
            </w:pPr>
            <w:r>
              <w:rPr>
                <w:rFonts w:hint="eastAsia"/>
                <w:kern w:val="0"/>
                <w:szCs w:val="21"/>
                <w:highlight w:val="none"/>
                <w:lang w:val="zh-CN"/>
              </w:rPr>
              <w:t>Ⅲ类标准值</w:t>
            </w:r>
          </w:p>
        </w:tc>
        <w:tc>
          <w:tcPr>
            <w:tcW w:w="709" w:type="dxa"/>
            <w:vAlign w:val="center"/>
          </w:tcPr>
          <w:p>
            <w:pPr>
              <w:autoSpaceDE w:val="0"/>
              <w:autoSpaceDN w:val="0"/>
              <w:adjustRightInd w:val="0"/>
              <w:spacing w:line="300" w:lineRule="exact"/>
              <w:jc w:val="center"/>
              <w:rPr>
                <w:color w:val="000000" w:themeColor="text1"/>
                <w:kern w:val="0"/>
                <w:szCs w:val="21"/>
                <w:highlight w:val="none"/>
                <w:lang w:val="zh-CN"/>
                <w14:textFill>
                  <w14:solidFill>
                    <w14:schemeClr w14:val="tx1"/>
                  </w14:solidFill>
                </w14:textFill>
              </w:rPr>
            </w:pPr>
            <w:r>
              <w:rPr>
                <w:color w:val="000000" w:themeColor="text1"/>
                <w:kern w:val="0"/>
                <w:szCs w:val="21"/>
                <w:highlight w:val="none"/>
                <w:lang w:val="zh-CN"/>
                <w14:textFill>
                  <w14:solidFill>
                    <w14:schemeClr w14:val="tx1"/>
                  </w14:solidFill>
                </w14:textFill>
              </w:rPr>
              <w:t>6~9</w:t>
            </w:r>
          </w:p>
        </w:tc>
        <w:tc>
          <w:tcPr>
            <w:tcW w:w="851" w:type="dxa"/>
            <w:vAlign w:val="center"/>
          </w:tcPr>
          <w:p>
            <w:pPr>
              <w:autoSpaceDE w:val="0"/>
              <w:autoSpaceDN w:val="0"/>
              <w:adjustRightInd w:val="0"/>
              <w:spacing w:line="300" w:lineRule="exact"/>
              <w:jc w:val="center"/>
              <w:rPr>
                <w:color w:val="000000" w:themeColor="text1"/>
                <w:kern w:val="0"/>
                <w:szCs w:val="21"/>
                <w:highlight w:val="none"/>
                <w:lang w:val="zh-CN"/>
                <w14:textFill>
                  <w14:solidFill>
                    <w14:schemeClr w14:val="tx1"/>
                  </w14:solidFill>
                </w14:textFill>
              </w:rPr>
            </w:pPr>
            <w:r>
              <w:rPr>
                <w:rFonts w:hint="eastAsia"/>
                <w:color w:val="000000" w:themeColor="text1"/>
                <w:kern w:val="0"/>
                <w:szCs w:val="21"/>
                <w:highlight w:val="none"/>
                <w:lang w:val="zh-CN"/>
                <w14:textFill>
                  <w14:solidFill>
                    <w14:schemeClr w14:val="tx1"/>
                  </w14:solidFill>
                </w14:textFill>
              </w:rPr>
              <w:t>/</w:t>
            </w:r>
          </w:p>
        </w:tc>
        <w:tc>
          <w:tcPr>
            <w:tcW w:w="872" w:type="dxa"/>
            <w:vAlign w:val="center"/>
          </w:tcPr>
          <w:p>
            <w:pPr>
              <w:autoSpaceDE w:val="0"/>
              <w:autoSpaceDN w:val="0"/>
              <w:adjustRightInd w:val="0"/>
              <w:spacing w:line="300" w:lineRule="exact"/>
              <w:jc w:val="center"/>
              <w:rPr>
                <w:color w:val="000000" w:themeColor="text1"/>
                <w:kern w:val="0"/>
                <w:szCs w:val="21"/>
                <w:highlight w:val="none"/>
                <w:lang w:val="zh-CN"/>
                <w14:textFill>
                  <w14:solidFill>
                    <w14:schemeClr w14:val="tx1"/>
                  </w14:solidFill>
                </w14:textFill>
              </w:rPr>
            </w:pPr>
            <w:r>
              <w:rPr>
                <w:rFonts w:hint="eastAsia"/>
                <w:color w:val="000000" w:themeColor="text1"/>
                <w:kern w:val="0"/>
                <w:szCs w:val="21"/>
                <w:highlight w:val="none"/>
                <w:lang w:val="zh-CN"/>
                <w14:textFill>
                  <w14:solidFill>
                    <w14:schemeClr w14:val="tx1"/>
                  </w14:solidFill>
                </w14:textFill>
              </w:rPr>
              <w:t>≤</w:t>
            </w:r>
            <w:r>
              <w:rPr>
                <w:rFonts w:hint="eastAsia"/>
                <w:color w:val="000000" w:themeColor="text1"/>
                <w:kern w:val="0"/>
                <w:szCs w:val="21"/>
                <w:highlight w:val="none"/>
                <w14:textFill>
                  <w14:solidFill>
                    <w14:schemeClr w14:val="tx1"/>
                  </w14:solidFill>
                </w14:textFill>
              </w:rPr>
              <w:t>6</w:t>
            </w:r>
          </w:p>
        </w:tc>
        <w:tc>
          <w:tcPr>
            <w:tcW w:w="885" w:type="dxa"/>
            <w:vAlign w:val="center"/>
          </w:tcPr>
          <w:p>
            <w:pPr>
              <w:autoSpaceDE w:val="0"/>
              <w:autoSpaceDN w:val="0"/>
              <w:adjustRightInd w:val="0"/>
              <w:spacing w:line="300" w:lineRule="exact"/>
              <w:jc w:val="center"/>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lang w:val="zh-CN"/>
                <w14:textFill>
                  <w14:solidFill>
                    <w14:schemeClr w14:val="tx1"/>
                  </w14:solidFill>
                </w14:textFill>
              </w:rPr>
              <w:t>≤</w:t>
            </w:r>
            <w:r>
              <w:rPr>
                <w:rFonts w:hint="eastAsia"/>
                <w:color w:val="000000" w:themeColor="text1"/>
                <w:kern w:val="0"/>
                <w:szCs w:val="21"/>
                <w:highlight w:val="none"/>
                <w14:textFill>
                  <w14:solidFill>
                    <w14:schemeClr w14:val="tx1"/>
                  </w14:solidFill>
                </w14:textFill>
              </w:rPr>
              <w:t>1.0</w:t>
            </w:r>
          </w:p>
        </w:tc>
        <w:tc>
          <w:tcPr>
            <w:tcW w:w="821" w:type="dxa"/>
            <w:vAlign w:val="center"/>
          </w:tcPr>
          <w:p>
            <w:pPr>
              <w:autoSpaceDE w:val="0"/>
              <w:autoSpaceDN w:val="0"/>
              <w:adjustRightInd w:val="0"/>
              <w:spacing w:line="300" w:lineRule="exact"/>
              <w:jc w:val="center"/>
              <w:rPr>
                <w:color w:val="000000" w:themeColor="text1"/>
                <w:kern w:val="0"/>
                <w:szCs w:val="21"/>
                <w:highlight w:val="none"/>
                <w:lang w:val="zh-CN"/>
                <w14:textFill>
                  <w14:solidFill>
                    <w14:schemeClr w14:val="tx1"/>
                  </w14:solidFill>
                </w14:textFill>
              </w:rPr>
            </w:pPr>
            <w:r>
              <w:rPr>
                <w:rFonts w:hint="eastAsia"/>
                <w:color w:val="000000" w:themeColor="text1"/>
                <w:kern w:val="0"/>
                <w:szCs w:val="21"/>
                <w:highlight w:val="none"/>
                <w:lang w:val="zh-CN"/>
                <w14:textFill>
                  <w14:solidFill>
                    <w14:schemeClr w14:val="tx1"/>
                  </w14:solidFill>
                </w14:textFill>
              </w:rPr>
              <w:t>≤4</w:t>
            </w:r>
          </w:p>
        </w:tc>
        <w:tc>
          <w:tcPr>
            <w:tcW w:w="728" w:type="dxa"/>
            <w:vAlign w:val="center"/>
          </w:tcPr>
          <w:p>
            <w:pPr>
              <w:autoSpaceDE w:val="0"/>
              <w:autoSpaceDN w:val="0"/>
              <w:adjustRightInd w:val="0"/>
              <w:spacing w:line="300" w:lineRule="exact"/>
              <w:jc w:val="center"/>
              <w:rPr>
                <w:color w:val="000000" w:themeColor="text1"/>
                <w:kern w:val="0"/>
                <w:szCs w:val="21"/>
                <w:highlight w:val="none"/>
                <w:lang w:val="zh-CN"/>
                <w14:textFill>
                  <w14:solidFill>
                    <w14:schemeClr w14:val="tx1"/>
                  </w14:solidFill>
                </w14:textFill>
              </w:rPr>
            </w:pPr>
            <w:r>
              <w:rPr>
                <w:rFonts w:hint="eastAsia"/>
                <w:color w:val="000000" w:themeColor="text1"/>
                <w:kern w:val="0"/>
                <w:szCs w:val="21"/>
                <w:highlight w:val="none"/>
                <w:lang w:val="zh-CN"/>
                <w14:textFill>
                  <w14:solidFill>
                    <w14:schemeClr w14:val="tx1"/>
                  </w14:solidFill>
                </w14:textFill>
              </w:rPr>
              <w:t>≤1.0</w:t>
            </w:r>
          </w:p>
        </w:tc>
        <w:tc>
          <w:tcPr>
            <w:tcW w:w="900" w:type="dxa"/>
            <w:vAlign w:val="center"/>
          </w:tcPr>
          <w:p>
            <w:pPr>
              <w:autoSpaceDE w:val="0"/>
              <w:autoSpaceDN w:val="0"/>
              <w:adjustRightInd w:val="0"/>
              <w:spacing w:line="300" w:lineRule="exact"/>
              <w:jc w:val="center"/>
              <w:rPr>
                <w:color w:val="000000" w:themeColor="text1"/>
                <w:kern w:val="0"/>
                <w:szCs w:val="21"/>
                <w:highlight w:val="none"/>
                <w:lang w:val="zh-CN"/>
                <w14:textFill>
                  <w14:solidFill>
                    <w14:schemeClr w14:val="tx1"/>
                  </w14:solidFill>
                </w14:textFill>
              </w:rPr>
            </w:pPr>
            <w:r>
              <w:rPr>
                <w:rFonts w:hint="eastAsia"/>
                <w:color w:val="000000" w:themeColor="text1"/>
                <w:kern w:val="0"/>
                <w:szCs w:val="21"/>
                <w:highlight w:val="none"/>
                <w:lang w:val="zh-CN"/>
                <w14:textFill>
                  <w14:solidFill>
                    <w14:schemeClr w14:val="tx1"/>
                  </w14:solidFill>
                </w14:textFill>
              </w:rPr>
              <w:t>≤0.</w:t>
            </w:r>
            <w:r>
              <w:rPr>
                <w:rFonts w:hint="eastAsia"/>
                <w:color w:val="000000" w:themeColor="text1"/>
                <w:kern w:val="0"/>
                <w:szCs w:val="21"/>
                <w:highlight w:val="none"/>
                <w14:textFill>
                  <w14:solidFill>
                    <w14:schemeClr w14:val="tx1"/>
                  </w14:solidFill>
                </w14:textFill>
              </w:rPr>
              <w:t>2</w:t>
            </w:r>
          </w:p>
        </w:tc>
        <w:tc>
          <w:tcPr>
            <w:tcW w:w="899" w:type="dxa"/>
            <w:vAlign w:val="center"/>
          </w:tcPr>
          <w:p>
            <w:pPr>
              <w:autoSpaceDE w:val="0"/>
              <w:autoSpaceDN w:val="0"/>
              <w:adjustRightInd w:val="0"/>
              <w:spacing w:line="300" w:lineRule="exact"/>
              <w:jc w:val="center"/>
              <w:rPr>
                <w:color w:val="000000" w:themeColor="text1"/>
                <w:kern w:val="0"/>
                <w:szCs w:val="21"/>
                <w:highlight w:val="none"/>
                <w:lang w:val="zh-CN"/>
                <w14:textFill>
                  <w14:solidFill>
                    <w14:schemeClr w14:val="tx1"/>
                  </w14:solidFill>
                </w14:textFill>
              </w:rPr>
            </w:pPr>
            <w:r>
              <w:rPr>
                <w:rFonts w:hint="eastAsia"/>
                <w:color w:val="000000" w:themeColor="text1"/>
                <w:kern w:val="0"/>
                <w:szCs w:val="21"/>
                <w:highlight w:val="none"/>
                <w:lang w:val="zh-CN"/>
                <w14:textFill>
                  <w14:solidFill>
                    <w14:schemeClr w14:val="tx1"/>
                  </w14:solidFill>
                </w14:textFill>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7" w:type="dxa"/>
            <w:vAlign w:val="center"/>
          </w:tcPr>
          <w:p>
            <w:pPr>
              <w:autoSpaceDE w:val="0"/>
              <w:autoSpaceDN w:val="0"/>
              <w:adjustRightInd w:val="0"/>
              <w:spacing w:line="300" w:lineRule="exact"/>
              <w:jc w:val="center"/>
              <w:rPr>
                <w:kern w:val="0"/>
                <w:szCs w:val="21"/>
                <w:highlight w:val="none"/>
                <w:lang w:val="zh-CN"/>
              </w:rPr>
            </w:pPr>
            <w:r>
              <w:rPr>
                <w:rFonts w:hint="eastAsia"/>
                <w:kern w:val="0"/>
                <w:szCs w:val="21"/>
                <w:highlight w:val="none"/>
                <w:lang w:val="zh-CN"/>
              </w:rPr>
              <w:t>达标情况</w:t>
            </w:r>
          </w:p>
        </w:tc>
        <w:tc>
          <w:tcPr>
            <w:tcW w:w="709" w:type="dxa"/>
            <w:vAlign w:val="center"/>
          </w:tcPr>
          <w:p>
            <w:pPr>
              <w:autoSpaceDE w:val="0"/>
              <w:autoSpaceDN w:val="0"/>
              <w:adjustRightInd w:val="0"/>
              <w:spacing w:line="300" w:lineRule="exact"/>
              <w:jc w:val="center"/>
              <w:rPr>
                <w:color w:val="000000" w:themeColor="text1"/>
                <w:kern w:val="0"/>
                <w:szCs w:val="21"/>
                <w:highlight w:val="none"/>
                <w:lang w:val="zh-CN"/>
                <w14:textFill>
                  <w14:solidFill>
                    <w14:schemeClr w14:val="tx1"/>
                  </w14:solidFill>
                </w14:textFill>
              </w:rPr>
            </w:pPr>
            <w:r>
              <w:rPr>
                <w:rFonts w:hint="eastAsia"/>
                <w:color w:val="000000" w:themeColor="text1"/>
                <w:kern w:val="0"/>
                <w:szCs w:val="21"/>
                <w:highlight w:val="none"/>
                <w:lang w:val="zh-CN"/>
                <w14:textFill>
                  <w14:solidFill>
                    <w14:schemeClr w14:val="tx1"/>
                  </w14:solidFill>
                </w14:textFill>
              </w:rPr>
              <w:t>达标</w:t>
            </w:r>
          </w:p>
        </w:tc>
        <w:tc>
          <w:tcPr>
            <w:tcW w:w="851" w:type="dxa"/>
            <w:vAlign w:val="center"/>
          </w:tcPr>
          <w:p>
            <w:pPr>
              <w:autoSpaceDE w:val="0"/>
              <w:autoSpaceDN w:val="0"/>
              <w:adjustRightInd w:val="0"/>
              <w:spacing w:line="300" w:lineRule="exact"/>
              <w:jc w:val="center"/>
              <w:rPr>
                <w:color w:val="000000" w:themeColor="text1"/>
                <w:kern w:val="0"/>
                <w:szCs w:val="21"/>
                <w:highlight w:val="none"/>
                <w:lang w:val="zh-CN"/>
                <w14:textFill>
                  <w14:solidFill>
                    <w14:schemeClr w14:val="tx1"/>
                  </w14:solidFill>
                </w14:textFill>
              </w:rPr>
            </w:pPr>
            <w:r>
              <w:rPr>
                <w:rFonts w:hint="eastAsia"/>
                <w:color w:val="000000" w:themeColor="text1"/>
                <w:kern w:val="0"/>
                <w:szCs w:val="21"/>
                <w:highlight w:val="none"/>
                <w:lang w:val="zh-CN"/>
                <w14:textFill>
                  <w14:solidFill>
                    <w14:schemeClr w14:val="tx1"/>
                  </w14:solidFill>
                </w14:textFill>
              </w:rPr>
              <w:t>达标</w:t>
            </w:r>
          </w:p>
        </w:tc>
        <w:tc>
          <w:tcPr>
            <w:tcW w:w="872" w:type="dxa"/>
            <w:vAlign w:val="center"/>
          </w:tcPr>
          <w:p>
            <w:pPr>
              <w:autoSpaceDE w:val="0"/>
              <w:autoSpaceDN w:val="0"/>
              <w:adjustRightInd w:val="0"/>
              <w:spacing w:line="300" w:lineRule="exact"/>
              <w:jc w:val="center"/>
              <w:rPr>
                <w:color w:val="000000" w:themeColor="text1"/>
                <w:kern w:val="0"/>
                <w:szCs w:val="21"/>
                <w:highlight w:val="none"/>
                <w:lang w:val="zh-CN"/>
                <w14:textFill>
                  <w14:solidFill>
                    <w14:schemeClr w14:val="tx1"/>
                  </w14:solidFill>
                </w14:textFill>
              </w:rPr>
            </w:pPr>
            <w:r>
              <w:rPr>
                <w:rFonts w:hint="eastAsia"/>
                <w:color w:val="000000" w:themeColor="text1"/>
                <w:kern w:val="0"/>
                <w:szCs w:val="21"/>
                <w:highlight w:val="none"/>
                <w:lang w:val="zh-CN"/>
                <w14:textFill>
                  <w14:solidFill>
                    <w14:schemeClr w14:val="tx1"/>
                  </w14:solidFill>
                </w14:textFill>
              </w:rPr>
              <w:t>达标</w:t>
            </w:r>
          </w:p>
        </w:tc>
        <w:tc>
          <w:tcPr>
            <w:tcW w:w="885" w:type="dxa"/>
            <w:vAlign w:val="center"/>
          </w:tcPr>
          <w:p>
            <w:pPr>
              <w:autoSpaceDE w:val="0"/>
              <w:autoSpaceDN w:val="0"/>
              <w:adjustRightInd w:val="0"/>
              <w:spacing w:line="300" w:lineRule="exact"/>
              <w:jc w:val="center"/>
              <w:rPr>
                <w:color w:val="000000" w:themeColor="text1"/>
                <w:kern w:val="0"/>
                <w:szCs w:val="21"/>
                <w:highlight w:val="none"/>
                <w:lang w:val="zh-CN"/>
                <w14:textFill>
                  <w14:solidFill>
                    <w14:schemeClr w14:val="tx1"/>
                  </w14:solidFill>
                </w14:textFill>
              </w:rPr>
            </w:pPr>
            <w:r>
              <w:rPr>
                <w:rFonts w:hint="eastAsia"/>
                <w:color w:val="000000" w:themeColor="text1"/>
                <w:kern w:val="0"/>
                <w:szCs w:val="21"/>
                <w:highlight w:val="none"/>
                <w:lang w:val="zh-CN"/>
                <w14:textFill>
                  <w14:solidFill>
                    <w14:schemeClr w14:val="tx1"/>
                  </w14:solidFill>
                </w14:textFill>
              </w:rPr>
              <w:t>达标</w:t>
            </w:r>
          </w:p>
        </w:tc>
        <w:tc>
          <w:tcPr>
            <w:tcW w:w="821" w:type="dxa"/>
            <w:vAlign w:val="center"/>
          </w:tcPr>
          <w:p>
            <w:pPr>
              <w:autoSpaceDE w:val="0"/>
              <w:autoSpaceDN w:val="0"/>
              <w:adjustRightInd w:val="0"/>
              <w:spacing w:line="300" w:lineRule="exact"/>
              <w:jc w:val="center"/>
              <w:rPr>
                <w:color w:val="000000" w:themeColor="text1"/>
                <w:kern w:val="0"/>
                <w:szCs w:val="21"/>
                <w:highlight w:val="none"/>
                <w:lang w:val="zh-CN"/>
                <w14:textFill>
                  <w14:solidFill>
                    <w14:schemeClr w14:val="tx1"/>
                  </w14:solidFill>
                </w14:textFill>
              </w:rPr>
            </w:pPr>
            <w:r>
              <w:rPr>
                <w:rFonts w:hint="eastAsia"/>
                <w:color w:val="000000" w:themeColor="text1"/>
                <w:kern w:val="0"/>
                <w:szCs w:val="21"/>
                <w:highlight w:val="none"/>
                <w:lang w:val="zh-CN"/>
                <w14:textFill>
                  <w14:solidFill>
                    <w14:schemeClr w14:val="tx1"/>
                  </w14:solidFill>
                </w14:textFill>
              </w:rPr>
              <w:t>达标</w:t>
            </w:r>
          </w:p>
        </w:tc>
        <w:tc>
          <w:tcPr>
            <w:tcW w:w="728" w:type="dxa"/>
            <w:vAlign w:val="center"/>
          </w:tcPr>
          <w:p>
            <w:pPr>
              <w:autoSpaceDE w:val="0"/>
              <w:autoSpaceDN w:val="0"/>
              <w:adjustRightInd w:val="0"/>
              <w:spacing w:line="300" w:lineRule="exact"/>
              <w:jc w:val="center"/>
              <w:rPr>
                <w:color w:val="000000" w:themeColor="text1"/>
                <w:kern w:val="0"/>
                <w:szCs w:val="21"/>
                <w:highlight w:val="none"/>
                <w:lang w:val="zh-CN"/>
                <w14:textFill>
                  <w14:solidFill>
                    <w14:schemeClr w14:val="tx1"/>
                  </w14:solidFill>
                </w14:textFill>
              </w:rPr>
            </w:pPr>
            <w:r>
              <w:rPr>
                <w:rFonts w:hint="eastAsia"/>
                <w:color w:val="000000" w:themeColor="text1"/>
                <w:kern w:val="0"/>
                <w:szCs w:val="21"/>
                <w:highlight w:val="none"/>
                <w:lang w:val="zh-CN"/>
                <w14:textFill>
                  <w14:solidFill>
                    <w14:schemeClr w14:val="tx1"/>
                  </w14:solidFill>
                </w14:textFill>
              </w:rPr>
              <w:t>达标</w:t>
            </w:r>
          </w:p>
        </w:tc>
        <w:tc>
          <w:tcPr>
            <w:tcW w:w="900" w:type="dxa"/>
            <w:vAlign w:val="center"/>
          </w:tcPr>
          <w:p>
            <w:pPr>
              <w:autoSpaceDE w:val="0"/>
              <w:autoSpaceDN w:val="0"/>
              <w:adjustRightInd w:val="0"/>
              <w:spacing w:line="300" w:lineRule="exact"/>
              <w:jc w:val="center"/>
              <w:rPr>
                <w:color w:val="000000" w:themeColor="text1"/>
                <w:kern w:val="0"/>
                <w:szCs w:val="21"/>
                <w:highlight w:val="none"/>
                <w:lang w:val="zh-CN"/>
                <w14:textFill>
                  <w14:solidFill>
                    <w14:schemeClr w14:val="tx1"/>
                  </w14:solidFill>
                </w14:textFill>
              </w:rPr>
            </w:pPr>
            <w:r>
              <w:rPr>
                <w:rFonts w:hint="eastAsia"/>
                <w:color w:val="000000" w:themeColor="text1"/>
                <w:kern w:val="0"/>
                <w:szCs w:val="21"/>
                <w:highlight w:val="none"/>
                <w:lang w:val="zh-CN"/>
                <w14:textFill>
                  <w14:solidFill>
                    <w14:schemeClr w14:val="tx1"/>
                  </w14:solidFill>
                </w14:textFill>
              </w:rPr>
              <w:t>达标</w:t>
            </w:r>
          </w:p>
        </w:tc>
        <w:tc>
          <w:tcPr>
            <w:tcW w:w="899" w:type="dxa"/>
            <w:vAlign w:val="center"/>
          </w:tcPr>
          <w:p>
            <w:pPr>
              <w:autoSpaceDE w:val="0"/>
              <w:autoSpaceDN w:val="0"/>
              <w:adjustRightInd w:val="0"/>
              <w:spacing w:line="300" w:lineRule="exact"/>
              <w:jc w:val="center"/>
              <w:rPr>
                <w:color w:val="000000" w:themeColor="text1"/>
                <w:kern w:val="0"/>
                <w:szCs w:val="21"/>
                <w:highlight w:val="none"/>
                <w:lang w:val="zh-CN"/>
                <w14:textFill>
                  <w14:solidFill>
                    <w14:schemeClr w14:val="tx1"/>
                  </w14:solidFill>
                </w14:textFill>
              </w:rPr>
            </w:pPr>
            <w:r>
              <w:rPr>
                <w:rFonts w:hint="eastAsia"/>
                <w:color w:val="000000" w:themeColor="text1"/>
                <w:kern w:val="0"/>
                <w:szCs w:val="21"/>
                <w:highlight w:val="none"/>
                <w:lang w:val="zh-CN"/>
                <w14:textFill>
                  <w14:solidFill>
                    <w14:schemeClr w14:val="tx1"/>
                  </w14:solidFill>
                </w14:textFill>
              </w:rPr>
              <w:t>达标</w:t>
            </w:r>
          </w:p>
        </w:tc>
      </w:tr>
    </w:tbl>
    <w:p>
      <w:pPr>
        <w:autoSpaceDE w:val="0"/>
        <w:autoSpaceDN w:val="0"/>
        <w:adjustRightInd w:val="0"/>
        <w:spacing w:line="480" w:lineRule="exact"/>
        <w:ind w:firstLine="480" w:firstLineChars="200"/>
        <w:jc w:val="left"/>
        <w:rPr>
          <w:rFonts w:hint="eastAsia"/>
          <w:kern w:val="0"/>
          <w:sz w:val="24"/>
          <w:highlight w:val="none"/>
          <w:lang w:eastAsia="zh-CN"/>
        </w:rPr>
      </w:pPr>
      <w:r>
        <w:rPr>
          <w:rFonts w:hint="eastAsia"/>
          <w:kern w:val="0"/>
          <w:sz w:val="24"/>
          <w:highlight w:val="none"/>
        </w:rPr>
        <w:t>以上监测结果为202</w:t>
      </w:r>
      <w:r>
        <w:rPr>
          <w:rFonts w:hint="eastAsia"/>
          <w:kern w:val="0"/>
          <w:sz w:val="24"/>
          <w:highlight w:val="none"/>
          <w:lang w:val="en-US" w:eastAsia="zh-CN"/>
        </w:rPr>
        <w:t>3</w:t>
      </w:r>
      <w:r>
        <w:rPr>
          <w:rFonts w:hint="eastAsia"/>
          <w:kern w:val="0"/>
          <w:sz w:val="24"/>
          <w:highlight w:val="none"/>
        </w:rPr>
        <w:t>年</w:t>
      </w:r>
      <w:r>
        <w:rPr>
          <w:rFonts w:hint="eastAsia"/>
          <w:kern w:val="0"/>
          <w:sz w:val="24"/>
          <w:highlight w:val="none"/>
          <w:lang w:val="en-US" w:eastAsia="zh-CN"/>
        </w:rPr>
        <w:t>7</w:t>
      </w:r>
      <w:r>
        <w:rPr>
          <w:rFonts w:hint="eastAsia"/>
          <w:kern w:val="0"/>
          <w:sz w:val="24"/>
          <w:highlight w:val="none"/>
        </w:rPr>
        <w:t>月9日-10日平均值，</w:t>
      </w:r>
      <w:r>
        <w:rPr>
          <w:kern w:val="0"/>
          <w:sz w:val="24"/>
          <w:highlight w:val="none"/>
        </w:rPr>
        <w:t>从上表可以看出，黎河输送水所测的各项指标均能达到《地表水环境质量标准》（GB3838-2002）</w:t>
      </w:r>
      <w:r>
        <w:rPr>
          <w:rFonts w:hint="eastAsia" w:ascii="宋体" w:hAnsi="宋体" w:cs="宋体"/>
          <w:kern w:val="0"/>
          <w:sz w:val="24"/>
          <w:highlight w:val="none"/>
        </w:rPr>
        <w:t>Ⅲ</w:t>
      </w:r>
      <w:r>
        <w:rPr>
          <w:kern w:val="0"/>
          <w:sz w:val="24"/>
          <w:highlight w:val="none"/>
        </w:rPr>
        <w:t>类标准要求，地表水环境质量良好</w:t>
      </w:r>
      <w:r>
        <w:rPr>
          <w:rFonts w:hint="eastAsia"/>
          <w:kern w:val="0"/>
          <w:sz w:val="24"/>
          <w:highlight w:val="none"/>
          <w:lang w:eastAsia="zh-CN"/>
        </w:rPr>
        <w:t>。</w:t>
      </w:r>
    </w:p>
    <w:p>
      <w:pPr>
        <w:autoSpaceDE w:val="0"/>
        <w:autoSpaceDN w:val="0"/>
        <w:adjustRightInd w:val="0"/>
        <w:spacing w:line="480" w:lineRule="exact"/>
        <w:jc w:val="left"/>
        <w:rPr>
          <w:rFonts w:hint="eastAsia"/>
          <w:b/>
          <w:bCs/>
          <w:kern w:val="0"/>
          <w:sz w:val="24"/>
          <w:highlight w:val="none"/>
        </w:rPr>
      </w:pPr>
      <w:r>
        <w:rPr>
          <w:rFonts w:hint="eastAsia"/>
          <w:b/>
          <w:bCs/>
          <w:kern w:val="0"/>
          <w:sz w:val="24"/>
          <w:highlight w:val="none"/>
          <w:lang w:val="en-US" w:eastAsia="zh-CN"/>
        </w:rPr>
        <w:t xml:space="preserve">5.1.5 </w:t>
      </w:r>
      <w:r>
        <w:rPr>
          <w:rFonts w:hint="eastAsia"/>
          <w:b/>
          <w:bCs/>
          <w:kern w:val="0"/>
          <w:sz w:val="24"/>
          <w:highlight w:val="none"/>
        </w:rPr>
        <w:t>地下水的</w:t>
      </w:r>
      <w:r>
        <w:rPr>
          <w:rFonts w:hint="eastAsia"/>
          <w:b/>
          <w:bCs/>
          <w:kern w:val="0"/>
          <w:sz w:val="24"/>
          <w:highlight w:val="none"/>
          <w:lang w:eastAsia="zh-CN"/>
        </w:rPr>
        <w:t>环境</w:t>
      </w:r>
      <w:r>
        <w:rPr>
          <w:rFonts w:hint="eastAsia"/>
          <w:b/>
          <w:bCs/>
          <w:kern w:val="0"/>
          <w:sz w:val="24"/>
          <w:highlight w:val="none"/>
        </w:rPr>
        <w:t>影响回顾性评价</w:t>
      </w:r>
    </w:p>
    <w:p>
      <w:pPr>
        <w:autoSpaceDE w:val="0"/>
        <w:autoSpaceDN w:val="0"/>
        <w:adjustRightInd w:val="0"/>
        <w:spacing w:line="480" w:lineRule="exact"/>
        <w:ind w:firstLine="480" w:firstLineChars="200"/>
        <w:jc w:val="left"/>
        <w:rPr>
          <w:rFonts w:hint="eastAsia"/>
          <w:kern w:val="0"/>
          <w:sz w:val="24"/>
          <w:highlight w:val="none"/>
        </w:rPr>
      </w:pPr>
      <w:r>
        <w:rPr>
          <w:rFonts w:hint="eastAsia"/>
          <w:kern w:val="0"/>
          <w:sz w:val="24"/>
          <w:highlight w:val="none"/>
          <w:lang w:eastAsia="zh-CN"/>
        </w:rPr>
        <w:t>电站</w:t>
      </w:r>
      <w:r>
        <w:rPr>
          <w:rFonts w:hint="eastAsia"/>
          <w:kern w:val="0"/>
          <w:sz w:val="24"/>
          <w:highlight w:val="none"/>
        </w:rPr>
        <w:t>为引水式电站，</w:t>
      </w:r>
      <w:r>
        <w:rPr>
          <w:rFonts w:hint="eastAsia"/>
          <w:kern w:val="0"/>
          <w:sz w:val="24"/>
          <w:highlight w:val="none"/>
          <w:lang w:eastAsia="zh-CN"/>
        </w:rPr>
        <w:t>橡胶坝</w:t>
      </w:r>
      <w:r>
        <w:rPr>
          <w:rFonts w:hint="eastAsia"/>
          <w:kern w:val="0"/>
          <w:sz w:val="24"/>
          <w:highlight w:val="none"/>
        </w:rPr>
        <w:t>属低坝，</w:t>
      </w:r>
      <w:r>
        <w:rPr>
          <w:rFonts w:hint="eastAsia"/>
          <w:kern w:val="0"/>
          <w:sz w:val="24"/>
          <w:highlight w:val="none"/>
          <w:lang w:eastAsia="zh-CN"/>
        </w:rPr>
        <w:t>壅水区</w:t>
      </w:r>
      <w:r>
        <w:rPr>
          <w:rFonts w:hint="eastAsia"/>
          <w:kern w:val="0"/>
          <w:sz w:val="24"/>
          <w:highlight w:val="none"/>
        </w:rPr>
        <w:t>很小，水位不出河槽，</w:t>
      </w:r>
      <w:r>
        <w:rPr>
          <w:rFonts w:hint="eastAsia"/>
          <w:kern w:val="0"/>
          <w:sz w:val="24"/>
          <w:highlight w:val="none"/>
          <w:lang w:eastAsia="zh-CN"/>
        </w:rPr>
        <w:t>橡胶坝</w:t>
      </w:r>
      <w:r>
        <w:rPr>
          <w:rFonts w:hint="eastAsia"/>
          <w:kern w:val="0"/>
          <w:sz w:val="24"/>
          <w:highlight w:val="none"/>
        </w:rPr>
        <w:t>上游河水水位变幅不大，不会改变河流两岸地表水及地下水与河水的补给关系；坝址下游至厂房之间减水河段流量减少，减水河段水文情势的变化可能会导致河道附近地下水赋存状况发生变化，减水河段河床周围小范围地下水位略有下降，但影响甚微。</w:t>
      </w:r>
    </w:p>
    <w:p>
      <w:pPr>
        <w:autoSpaceDE w:val="0"/>
        <w:autoSpaceDN w:val="0"/>
        <w:adjustRightInd w:val="0"/>
        <w:spacing w:line="480" w:lineRule="exact"/>
        <w:ind w:firstLine="480" w:firstLineChars="200"/>
        <w:jc w:val="left"/>
        <w:rPr>
          <w:rFonts w:hint="eastAsia"/>
          <w:kern w:val="0"/>
          <w:sz w:val="24"/>
          <w:highlight w:val="none"/>
        </w:rPr>
      </w:pPr>
      <w:r>
        <w:rPr>
          <w:rFonts w:hint="eastAsia"/>
          <w:kern w:val="0"/>
          <w:sz w:val="24"/>
          <w:highlight w:val="none"/>
        </w:rPr>
        <w:t>根据现场走访调查，沿河两岸居民生活用水多取用</w:t>
      </w:r>
      <w:r>
        <w:rPr>
          <w:rFonts w:hint="eastAsia"/>
          <w:kern w:val="0"/>
          <w:sz w:val="24"/>
          <w:highlight w:val="none"/>
          <w:lang w:eastAsia="zh-CN"/>
        </w:rPr>
        <w:t>地下水</w:t>
      </w:r>
      <w:r>
        <w:rPr>
          <w:rFonts w:hint="eastAsia"/>
          <w:kern w:val="0"/>
          <w:sz w:val="24"/>
          <w:highlight w:val="none"/>
        </w:rPr>
        <w:t>，由于电站不会改变河流两岸地表水及地下水与河水的补给关系，故电站建设对沿河两岸地下水用水户无影响，电站的开发对区域地下水影响不大。</w:t>
      </w:r>
    </w:p>
    <w:p>
      <w:pPr>
        <w:autoSpaceDE w:val="0"/>
        <w:autoSpaceDN w:val="0"/>
        <w:adjustRightInd w:val="0"/>
        <w:spacing w:line="480" w:lineRule="exact"/>
        <w:ind w:firstLine="480" w:firstLineChars="200"/>
        <w:jc w:val="left"/>
        <w:rPr>
          <w:rFonts w:hint="eastAsia"/>
          <w:kern w:val="0"/>
          <w:sz w:val="24"/>
          <w:highlight w:val="none"/>
        </w:rPr>
      </w:pPr>
      <w:r>
        <w:rPr>
          <w:rFonts w:hint="eastAsia"/>
          <w:kern w:val="0"/>
          <w:sz w:val="24"/>
          <w:highlight w:val="none"/>
        </w:rPr>
        <w:t>根据本次评价地下水环境质量现状监测结果可知，在水电站已投产多年的情况下，目前区域内的地下水环境质量较好，说明电站的运行对区域地下水影响不大。</w:t>
      </w:r>
    </w:p>
    <w:p>
      <w:pPr>
        <w:autoSpaceDE w:val="0"/>
        <w:autoSpaceDN w:val="0"/>
        <w:adjustRightInd w:val="0"/>
        <w:spacing w:line="480" w:lineRule="exact"/>
        <w:jc w:val="left"/>
        <w:rPr>
          <w:rFonts w:hint="eastAsia"/>
          <w:b/>
          <w:bCs/>
          <w:kern w:val="0"/>
          <w:sz w:val="24"/>
          <w:highlight w:val="none"/>
        </w:rPr>
      </w:pPr>
      <w:r>
        <w:rPr>
          <w:rFonts w:hint="eastAsia"/>
          <w:b/>
          <w:bCs/>
          <w:kern w:val="0"/>
          <w:sz w:val="24"/>
          <w:highlight w:val="none"/>
          <w:lang w:val="en-US" w:eastAsia="zh-CN"/>
        </w:rPr>
        <w:t>5.1.6</w:t>
      </w:r>
      <w:r>
        <w:rPr>
          <w:rFonts w:hint="eastAsia"/>
          <w:b/>
          <w:bCs/>
          <w:kern w:val="0"/>
          <w:sz w:val="24"/>
          <w:highlight w:val="none"/>
        </w:rPr>
        <w:t xml:space="preserve"> 环境空气影响回顾性评价</w:t>
      </w:r>
    </w:p>
    <w:p>
      <w:pPr>
        <w:autoSpaceDE w:val="0"/>
        <w:autoSpaceDN w:val="0"/>
        <w:adjustRightInd w:val="0"/>
        <w:spacing w:line="480" w:lineRule="exact"/>
        <w:ind w:firstLine="480" w:firstLineChars="200"/>
        <w:jc w:val="left"/>
        <w:rPr>
          <w:rFonts w:hint="eastAsia"/>
          <w:color w:val="000000" w:themeColor="text1"/>
          <w:sz w:val="24"/>
          <w:highlight w:val="none"/>
          <w:lang w:val="zh-CN"/>
          <w14:textFill>
            <w14:solidFill>
              <w14:schemeClr w14:val="tx1"/>
            </w14:solidFill>
          </w14:textFill>
        </w:rPr>
      </w:pPr>
      <w:r>
        <w:rPr>
          <w:rFonts w:hint="eastAsia"/>
          <w:kern w:val="0"/>
          <w:sz w:val="24"/>
          <w:highlight w:val="none"/>
        </w:rPr>
        <w:t>水电站运行期没有生产废气产生，</w:t>
      </w:r>
      <w:r>
        <w:rPr>
          <w:rFonts w:hint="eastAsia"/>
          <w:kern w:val="0"/>
          <w:sz w:val="24"/>
          <w:highlight w:val="none"/>
          <w:lang w:eastAsia="zh-CN"/>
        </w:rPr>
        <w:t>项目不设食堂</w:t>
      </w:r>
      <w:r>
        <w:rPr>
          <w:rFonts w:hint="eastAsia"/>
          <w:kern w:val="0"/>
          <w:sz w:val="24"/>
          <w:highlight w:val="none"/>
        </w:rPr>
        <w:t>，</w:t>
      </w:r>
      <w:r>
        <w:rPr>
          <w:rFonts w:hint="eastAsia"/>
          <w:kern w:val="0"/>
          <w:sz w:val="24"/>
          <w:highlight w:val="none"/>
          <w:lang w:eastAsia="zh-CN"/>
        </w:rPr>
        <w:t>供暖采用电能，电站运行</w:t>
      </w:r>
      <w:r>
        <w:rPr>
          <w:rFonts w:hint="eastAsia"/>
          <w:kern w:val="0"/>
          <w:sz w:val="24"/>
          <w:highlight w:val="none"/>
        </w:rPr>
        <w:t>对周边环境</w:t>
      </w:r>
      <w:r>
        <w:rPr>
          <w:rFonts w:hint="eastAsia"/>
          <w:kern w:val="0"/>
          <w:sz w:val="24"/>
          <w:highlight w:val="none"/>
          <w:lang w:eastAsia="zh-CN"/>
        </w:rPr>
        <w:t>空气没有</w:t>
      </w:r>
      <w:r>
        <w:rPr>
          <w:rFonts w:hint="eastAsia"/>
          <w:kern w:val="0"/>
          <w:sz w:val="24"/>
          <w:highlight w:val="none"/>
        </w:rPr>
        <w:t>影响。</w:t>
      </w:r>
    </w:p>
    <w:p>
      <w:pPr>
        <w:spacing w:line="480" w:lineRule="exact"/>
        <w:outlineLvl w:val="1"/>
        <w:rPr>
          <w:rFonts w:hint="eastAsia" w:eastAsia="宋体"/>
          <w:b/>
          <w:snapToGrid w:val="0"/>
          <w:color w:val="000000" w:themeColor="text1"/>
          <w:kern w:val="0"/>
          <w:sz w:val="24"/>
          <w:highlight w:val="none"/>
          <w:lang w:eastAsia="zh-CN"/>
          <w14:textFill>
            <w14:solidFill>
              <w14:schemeClr w14:val="tx1"/>
            </w14:solidFill>
          </w14:textFill>
        </w:rPr>
      </w:pPr>
      <w:bookmarkStart w:id="225" w:name="_Toc19442"/>
      <w:r>
        <w:rPr>
          <w:rFonts w:hint="eastAsia"/>
          <w:b/>
          <w:snapToGrid w:val="0"/>
          <w:color w:val="000000" w:themeColor="text1"/>
          <w:kern w:val="0"/>
          <w:sz w:val="24"/>
          <w:highlight w:val="none"/>
          <w14:textFill>
            <w14:solidFill>
              <w14:schemeClr w14:val="tx1"/>
            </w14:solidFill>
          </w14:textFill>
        </w:rPr>
        <w:t>5.</w:t>
      </w:r>
      <w:r>
        <w:rPr>
          <w:rFonts w:hint="eastAsia"/>
          <w:b/>
          <w:snapToGrid w:val="0"/>
          <w:color w:val="000000" w:themeColor="text1"/>
          <w:kern w:val="0"/>
          <w:sz w:val="24"/>
          <w:highlight w:val="none"/>
          <w:lang w:val="en-US" w:eastAsia="zh-CN"/>
          <w14:textFill>
            <w14:solidFill>
              <w14:schemeClr w14:val="tx1"/>
            </w14:solidFill>
          </w14:textFill>
        </w:rPr>
        <w:t>2</w:t>
      </w:r>
      <w:r>
        <w:rPr>
          <w:rFonts w:hint="eastAsia"/>
          <w:b/>
          <w:snapToGrid w:val="0"/>
          <w:color w:val="000000" w:themeColor="text1"/>
          <w:kern w:val="0"/>
          <w:sz w:val="24"/>
          <w:highlight w:val="none"/>
          <w14:textFill>
            <w14:solidFill>
              <w14:schemeClr w14:val="tx1"/>
            </w14:solidFill>
          </w14:textFill>
        </w:rPr>
        <w:t xml:space="preserve"> </w:t>
      </w:r>
      <w:r>
        <w:rPr>
          <w:rFonts w:hint="eastAsia"/>
          <w:b/>
          <w:snapToGrid w:val="0"/>
          <w:color w:val="000000" w:themeColor="text1"/>
          <w:kern w:val="0"/>
          <w:sz w:val="24"/>
          <w:highlight w:val="none"/>
          <w:lang w:eastAsia="zh-CN"/>
          <w14:textFill>
            <w14:solidFill>
              <w14:schemeClr w14:val="tx1"/>
            </w14:solidFill>
          </w14:textFill>
        </w:rPr>
        <w:t>水文情势影响评价</w:t>
      </w:r>
      <w:bookmarkEnd w:id="225"/>
    </w:p>
    <w:p>
      <w:pPr>
        <w:autoSpaceDE w:val="0"/>
        <w:autoSpaceDN w:val="0"/>
        <w:adjustRightInd w:val="0"/>
        <w:spacing w:line="480" w:lineRule="exact"/>
        <w:ind w:firstLine="480" w:firstLineChars="200"/>
        <w:jc w:val="left"/>
        <w:rPr>
          <w:rFonts w:hint="eastAsia"/>
          <w:b w:val="0"/>
          <w:bCs/>
          <w:color w:val="000000" w:themeColor="text1"/>
          <w:sz w:val="24"/>
          <w:highlight w:val="none"/>
          <w14:textFill>
            <w14:solidFill>
              <w14:schemeClr w14:val="tx1"/>
            </w14:solidFill>
          </w14:textFill>
        </w:rPr>
      </w:pPr>
      <w:r>
        <w:rPr>
          <w:rFonts w:hint="eastAsia"/>
          <w:b w:val="0"/>
          <w:bCs/>
          <w:color w:val="000000" w:themeColor="text1"/>
          <w:sz w:val="24"/>
          <w:highlight w:val="none"/>
          <w14:textFill>
            <w14:solidFill>
              <w14:schemeClr w14:val="tx1"/>
            </w14:solidFill>
          </w14:textFill>
        </w:rPr>
        <w:t>电站为引水式电站，引水式水电站的上游来水</w:t>
      </w:r>
      <w:r>
        <w:rPr>
          <w:rFonts w:hint="eastAsia"/>
          <w:b w:val="0"/>
          <w:bCs/>
          <w:color w:val="000000" w:themeColor="text1"/>
          <w:sz w:val="24"/>
          <w:highlight w:val="none"/>
          <w:lang w:eastAsia="zh-CN"/>
          <w14:textFill>
            <w14:solidFill>
              <w14:schemeClr w14:val="tx1"/>
            </w14:solidFill>
          </w14:textFill>
        </w:rPr>
        <w:t>（引滦入津工程输水）</w:t>
      </w:r>
      <w:r>
        <w:rPr>
          <w:rFonts w:hint="eastAsia"/>
          <w:b w:val="0"/>
          <w:bCs/>
          <w:color w:val="000000" w:themeColor="text1"/>
          <w:sz w:val="24"/>
          <w:highlight w:val="none"/>
          <w14:textFill>
            <w14:solidFill>
              <w14:schemeClr w14:val="tx1"/>
            </w14:solidFill>
          </w14:textFill>
        </w:rPr>
        <w:t>通过引水渠引到下游，这将导致</w:t>
      </w:r>
      <w:r>
        <w:rPr>
          <w:rFonts w:hint="eastAsia"/>
          <w:b w:val="0"/>
          <w:bCs/>
          <w:color w:val="000000" w:themeColor="text1"/>
          <w:sz w:val="24"/>
          <w:highlight w:val="none"/>
          <w:lang w:eastAsia="zh-CN"/>
          <w14:textFill>
            <w14:solidFill>
              <w14:schemeClr w14:val="tx1"/>
            </w14:solidFill>
          </w14:textFill>
        </w:rPr>
        <w:t>橡胶坝</w:t>
      </w:r>
      <w:r>
        <w:rPr>
          <w:rFonts w:hint="eastAsia"/>
          <w:b w:val="0"/>
          <w:bCs/>
          <w:color w:val="000000" w:themeColor="text1"/>
          <w:sz w:val="24"/>
          <w:highlight w:val="none"/>
          <w:lang w:val="en-US" w:eastAsia="zh-CN"/>
          <w14:textFill>
            <w14:solidFill>
              <w14:schemeClr w14:val="tx1"/>
            </w14:solidFill>
          </w14:textFill>
        </w:rPr>
        <w:t>-</w:t>
      </w:r>
      <w:r>
        <w:rPr>
          <w:rFonts w:hint="eastAsia"/>
          <w:b w:val="0"/>
          <w:bCs/>
          <w:color w:val="000000" w:themeColor="text1"/>
          <w:sz w:val="24"/>
          <w:highlight w:val="none"/>
          <w:lang w:eastAsia="zh-CN"/>
          <w14:textFill>
            <w14:solidFill>
              <w14:schemeClr w14:val="tx1"/>
            </w14:solidFill>
          </w14:textFill>
        </w:rPr>
        <w:t>尾水排放口</w:t>
      </w:r>
      <w:r>
        <w:rPr>
          <w:rFonts w:hint="eastAsia"/>
          <w:b w:val="0"/>
          <w:bCs/>
          <w:color w:val="000000" w:themeColor="text1"/>
          <w:sz w:val="24"/>
          <w:highlight w:val="none"/>
          <w14:textFill>
            <w14:solidFill>
              <w14:schemeClr w14:val="tx1"/>
            </w14:solidFill>
          </w14:textFill>
        </w:rPr>
        <w:t>之间的河段出现减水现象，但不会出现脱水现像，对这一区间内的水文情势</w:t>
      </w:r>
      <w:r>
        <w:rPr>
          <w:rFonts w:hint="eastAsia"/>
          <w:b w:val="0"/>
          <w:bCs/>
          <w:color w:val="000000" w:themeColor="text1"/>
          <w:sz w:val="24"/>
          <w:highlight w:val="none"/>
          <w:lang w:eastAsia="zh-CN"/>
          <w14:textFill>
            <w14:solidFill>
              <w14:schemeClr w14:val="tx1"/>
            </w14:solidFill>
          </w14:textFill>
        </w:rPr>
        <w:t>有一定</w:t>
      </w:r>
      <w:r>
        <w:rPr>
          <w:rFonts w:hint="eastAsia"/>
          <w:b w:val="0"/>
          <w:bCs/>
          <w:color w:val="000000" w:themeColor="text1"/>
          <w:sz w:val="24"/>
          <w:highlight w:val="none"/>
          <w14:textFill>
            <w14:solidFill>
              <w14:schemeClr w14:val="tx1"/>
            </w14:solidFill>
          </w14:textFill>
        </w:rPr>
        <w:t>影响。</w:t>
      </w:r>
    </w:p>
    <w:p>
      <w:pPr>
        <w:spacing w:line="480" w:lineRule="exact"/>
        <w:ind w:firstLine="480" w:firstLineChars="200"/>
        <w:jc w:val="left"/>
        <w:rPr>
          <w:color w:val="auto"/>
          <w:kern w:val="0"/>
          <w:sz w:val="24"/>
          <w:highlight w:val="none"/>
        </w:rPr>
      </w:pPr>
      <w:r>
        <w:rPr>
          <w:color w:val="auto"/>
          <w:kern w:val="0"/>
          <w:sz w:val="24"/>
          <w:highlight w:val="none"/>
        </w:rPr>
        <w:t>水电站建成后，</w:t>
      </w:r>
      <w:r>
        <w:rPr>
          <w:rFonts w:hint="eastAsia"/>
          <w:color w:val="auto"/>
          <w:kern w:val="0"/>
          <w:sz w:val="24"/>
          <w:highlight w:val="none"/>
          <w:lang w:eastAsia="zh-CN"/>
        </w:rPr>
        <w:t>输水期</w:t>
      </w:r>
      <w:r>
        <w:rPr>
          <w:color w:val="auto"/>
          <w:kern w:val="0"/>
          <w:sz w:val="24"/>
          <w:highlight w:val="none"/>
        </w:rPr>
        <w:t>在橡胶坝前形成</w:t>
      </w:r>
      <w:r>
        <w:rPr>
          <w:rFonts w:hint="eastAsia"/>
          <w:color w:val="auto"/>
          <w:kern w:val="0"/>
          <w:sz w:val="24"/>
          <w:highlight w:val="none"/>
          <w:lang w:eastAsia="zh-CN"/>
        </w:rPr>
        <w:t>壅水区</w:t>
      </w:r>
      <w:r>
        <w:rPr>
          <w:color w:val="auto"/>
          <w:kern w:val="0"/>
          <w:sz w:val="24"/>
          <w:highlight w:val="none"/>
        </w:rPr>
        <w:t>，将改变原河流径流形式，水面面积</w:t>
      </w:r>
      <w:r>
        <w:rPr>
          <w:rFonts w:hint="eastAsia"/>
          <w:color w:val="auto"/>
          <w:kern w:val="0"/>
          <w:sz w:val="24"/>
          <w:highlight w:val="none"/>
          <w:lang w:eastAsia="zh-CN"/>
        </w:rPr>
        <w:t>增大</w:t>
      </w:r>
      <w:r>
        <w:rPr>
          <w:color w:val="auto"/>
          <w:kern w:val="0"/>
          <w:sz w:val="24"/>
          <w:highlight w:val="none"/>
        </w:rPr>
        <w:t>，水深增加，原天然状态下的水文结构形式也将发生改变。黎河二级水电站形成的回水区结构形式判定，其主要温度特征为：一年中任何时间</w:t>
      </w:r>
      <w:r>
        <w:rPr>
          <w:rFonts w:hint="eastAsia"/>
          <w:color w:val="auto"/>
          <w:kern w:val="0"/>
          <w:sz w:val="24"/>
          <w:highlight w:val="none"/>
          <w:lang w:eastAsia="zh-CN"/>
        </w:rPr>
        <w:t>壅水区</w:t>
      </w:r>
      <w:r>
        <w:rPr>
          <w:color w:val="auto"/>
          <w:kern w:val="0"/>
          <w:sz w:val="24"/>
          <w:highlight w:val="none"/>
        </w:rPr>
        <w:t>和引水渠水温分布都较均匀，水温梯度很小，底部水温随表层水温而变，年差较大，水体与底部之间有明显的热量交换，</w:t>
      </w:r>
      <w:r>
        <w:rPr>
          <w:rFonts w:hint="eastAsia"/>
          <w:color w:val="auto"/>
          <w:kern w:val="0"/>
          <w:sz w:val="24"/>
          <w:highlight w:val="none"/>
          <w:lang w:eastAsia="zh-CN"/>
        </w:rPr>
        <w:t>壅水区</w:t>
      </w:r>
      <w:r>
        <w:rPr>
          <w:color w:val="auto"/>
          <w:kern w:val="0"/>
          <w:sz w:val="24"/>
          <w:highlight w:val="none"/>
        </w:rPr>
        <w:t>和引水渠水温与原黎河河道水温形式基本一致。</w:t>
      </w:r>
      <w:r>
        <w:rPr>
          <w:color w:val="auto"/>
          <w:kern w:val="0"/>
          <w:sz w:val="24"/>
          <w:highlight w:val="none"/>
          <w:lang w:val="zh-CN"/>
        </w:rPr>
        <w:t>电站出水水温与入水水温基本无变化；水轮机组冷却水为河道水，使用水泵从引水渠中引入冷却系统，引水水温约为18</w:t>
      </w:r>
      <w:r>
        <w:rPr>
          <w:rFonts w:hint="eastAsia" w:ascii="宋体" w:hAnsi="宋体" w:cs="宋体"/>
          <w:color w:val="auto"/>
          <w:kern w:val="0"/>
          <w:sz w:val="24"/>
          <w:highlight w:val="none"/>
          <w:lang w:val="zh-CN"/>
        </w:rPr>
        <w:t>℃</w:t>
      </w:r>
      <w:r>
        <w:rPr>
          <w:color w:val="auto"/>
          <w:kern w:val="0"/>
          <w:sz w:val="24"/>
          <w:highlight w:val="none"/>
          <w:lang w:val="zh-CN"/>
        </w:rPr>
        <w:t>，冷却水与发电用水汇合到尾水渠，</w:t>
      </w:r>
      <w:r>
        <w:rPr>
          <w:rFonts w:hint="eastAsia"/>
          <w:color w:val="auto"/>
          <w:kern w:val="0"/>
          <w:sz w:val="24"/>
          <w:highlight w:val="none"/>
          <w:lang w:val="zh-CN"/>
        </w:rPr>
        <w:t>冷却水</w:t>
      </w:r>
      <w:r>
        <w:rPr>
          <w:color w:val="auto"/>
          <w:kern w:val="0"/>
          <w:sz w:val="24"/>
          <w:highlight w:val="none"/>
          <w:lang w:val="zh-CN"/>
        </w:rPr>
        <w:t>出水水温约为28</w:t>
      </w:r>
      <w:r>
        <w:rPr>
          <w:rFonts w:hint="eastAsia" w:ascii="宋体" w:hAnsi="宋体" w:cs="宋体"/>
          <w:color w:val="auto"/>
          <w:kern w:val="0"/>
          <w:sz w:val="24"/>
          <w:highlight w:val="none"/>
          <w:lang w:val="zh-CN"/>
        </w:rPr>
        <w:t>℃</w:t>
      </w:r>
      <w:r>
        <w:rPr>
          <w:color w:val="auto"/>
          <w:kern w:val="0"/>
          <w:sz w:val="24"/>
          <w:highlight w:val="none"/>
          <w:lang w:val="zh-CN"/>
        </w:rPr>
        <w:t>，冷却水用量为</w:t>
      </w:r>
      <w:r>
        <w:rPr>
          <w:rFonts w:hint="eastAsia"/>
          <w:color w:val="auto"/>
          <w:kern w:val="0"/>
          <w:sz w:val="24"/>
          <w:highlight w:val="none"/>
          <w:lang w:val="en-US" w:eastAsia="zh-CN"/>
        </w:rPr>
        <w:t>65.85</w:t>
      </w:r>
      <w:r>
        <w:rPr>
          <w:color w:val="auto"/>
          <w:kern w:val="0"/>
          <w:sz w:val="24"/>
          <w:highlight w:val="none"/>
          <w:lang w:val="zh-CN"/>
        </w:rPr>
        <w:t>m</w:t>
      </w:r>
      <w:r>
        <w:rPr>
          <w:color w:val="auto"/>
          <w:kern w:val="0"/>
          <w:sz w:val="24"/>
          <w:highlight w:val="none"/>
          <w:vertAlign w:val="superscript"/>
          <w:lang w:val="zh-CN"/>
        </w:rPr>
        <w:t>3</w:t>
      </w:r>
      <w:r>
        <w:rPr>
          <w:color w:val="auto"/>
          <w:kern w:val="0"/>
          <w:sz w:val="24"/>
          <w:highlight w:val="none"/>
          <w:lang w:val="zh-CN"/>
        </w:rPr>
        <w:t>/h，发电用水量为</w:t>
      </w:r>
      <w:r>
        <w:rPr>
          <w:rFonts w:hint="eastAsia"/>
          <w:color w:val="auto"/>
          <w:kern w:val="0"/>
          <w:sz w:val="24"/>
          <w:highlight w:val="none"/>
          <w:lang w:val="en-US" w:eastAsia="zh-CN"/>
        </w:rPr>
        <w:t>21.95</w:t>
      </w:r>
      <w:r>
        <w:rPr>
          <w:color w:val="auto"/>
          <w:kern w:val="0"/>
          <w:sz w:val="24"/>
          <w:highlight w:val="none"/>
          <w:lang w:val="zh-CN"/>
        </w:rPr>
        <w:t>万m</w:t>
      </w:r>
      <w:r>
        <w:rPr>
          <w:color w:val="auto"/>
          <w:kern w:val="0"/>
          <w:sz w:val="24"/>
          <w:highlight w:val="none"/>
          <w:vertAlign w:val="superscript"/>
          <w:lang w:val="zh-CN"/>
        </w:rPr>
        <w:t>3</w:t>
      </w:r>
      <w:r>
        <w:rPr>
          <w:color w:val="auto"/>
          <w:kern w:val="0"/>
          <w:sz w:val="24"/>
          <w:highlight w:val="none"/>
          <w:lang w:val="zh-CN"/>
        </w:rPr>
        <w:t>/h，冷却水为发电用水的万分之三左右，对整个水体水温</w:t>
      </w:r>
      <w:r>
        <w:rPr>
          <w:rFonts w:hint="eastAsia"/>
          <w:color w:val="auto"/>
          <w:kern w:val="0"/>
          <w:sz w:val="24"/>
          <w:highlight w:val="none"/>
          <w:lang w:val="zh-CN"/>
        </w:rPr>
        <w:t>不会产生</w:t>
      </w:r>
      <w:r>
        <w:rPr>
          <w:color w:val="auto"/>
          <w:kern w:val="0"/>
          <w:sz w:val="24"/>
          <w:highlight w:val="none"/>
          <w:lang w:val="zh-CN"/>
        </w:rPr>
        <w:t>影响。电站的建设对下游河道的水温影响</w:t>
      </w:r>
      <w:r>
        <w:rPr>
          <w:rFonts w:hint="eastAsia"/>
          <w:color w:val="auto"/>
          <w:kern w:val="0"/>
          <w:sz w:val="24"/>
          <w:highlight w:val="none"/>
          <w:lang w:val="zh-CN"/>
        </w:rPr>
        <w:t>微乎其微</w:t>
      </w:r>
      <w:r>
        <w:rPr>
          <w:color w:val="auto"/>
          <w:kern w:val="0"/>
          <w:sz w:val="24"/>
          <w:highlight w:val="none"/>
          <w:lang w:val="zh-CN"/>
        </w:rPr>
        <w:t>。</w:t>
      </w:r>
    </w:p>
    <w:p>
      <w:pPr>
        <w:autoSpaceDE w:val="0"/>
        <w:autoSpaceDN w:val="0"/>
        <w:adjustRightInd w:val="0"/>
        <w:spacing w:line="480" w:lineRule="exact"/>
        <w:ind w:firstLine="480" w:firstLineChars="200"/>
        <w:jc w:val="left"/>
        <w:rPr>
          <w:rFonts w:hint="eastAsia"/>
          <w:b w:val="0"/>
          <w:bCs/>
          <w:color w:val="auto"/>
          <w:sz w:val="24"/>
          <w:highlight w:val="none"/>
        </w:rPr>
      </w:pPr>
      <w:r>
        <w:rPr>
          <w:rFonts w:hint="eastAsia"/>
          <w:b w:val="0"/>
          <w:bCs/>
          <w:color w:val="auto"/>
          <w:sz w:val="24"/>
          <w:highlight w:val="none"/>
          <w:lang w:eastAsia="zh-CN"/>
        </w:rPr>
        <w:t>“引滦入津工程”输水</w:t>
      </w:r>
      <w:r>
        <w:rPr>
          <w:rFonts w:hint="eastAsia"/>
          <w:b w:val="0"/>
          <w:bCs/>
          <w:color w:val="auto"/>
          <w:sz w:val="24"/>
          <w:highlight w:val="none"/>
        </w:rPr>
        <w:t>电站发电运行期间，会导致坝址以下至电站尾水汇入</w:t>
      </w:r>
      <w:r>
        <w:rPr>
          <w:rFonts w:hint="eastAsia"/>
          <w:b w:val="0"/>
          <w:bCs/>
          <w:color w:val="auto"/>
          <w:sz w:val="24"/>
          <w:highlight w:val="none"/>
          <w:lang w:eastAsia="zh-CN"/>
        </w:rPr>
        <w:t>黎河</w:t>
      </w:r>
      <w:r>
        <w:rPr>
          <w:rFonts w:hint="eastAsia"/>
          <w:b w:val="0"/>
          <w:bCs/>
          <w:color w:val="auto"/>
          <w:sz w:val="24"/>
          <w:highlight w:val="none"/>
        </w:rPr>
        <w:t>道约</w:t>
      </w:r>
      <w:r>
        <w:rPr>
          <w:rFonts w:hint="eastAsia"/>
          <w:b w:val="0"/>
          <w:bCs/>
          <w:color w:val="auto"/>
          <w:sz w:val="24"/>
          <w:highlight w:val="none"/>
          <w:lang w:val="en-US" w:eastAsia="zh-CN"/>
        </w:rPr>
        <w:t>1100</w:t>
      </w:r>
      <w:r>
        <w:rPr>
          <w:rFonts w:hint="eastAsia"/>
          <w:b w:val="0"/>
          <w:bCs/>
          <w:color w:val="auto"/>
          <w:sz w:val="24"/>
          <w:highlight w:val="none"/>
        </w:rPr>
        <w:t>m河段</w:t>
      </w:r>
      <w:r>
        <w:rPr>
          <w:rFonts w:hint="eastAsia"/>
          <w:b w:val="0"/>
          <w:bCs/>
          <w:color w:val="auto"/>
          <w:sz w:val="24"/>
          <w:highlight w:val="none"/>
          <w:lang w:eastAsia="zh-CN"/>
        </w:rPr>
        <w:t>相对减水，输水期</w:t>
      </w:r>
      <w:r>
        <w:rPr>
          <w:rFonts w:hint="eastAsia"/>
          <w:b w:val="0"/>
          <w:bCs/>
          <w:color w:val="auto"/>
          <w:sz w:val="24"/>
          <w:highlight w:val="none"/>
        </w:rPr>
        <w:t>水量减少幅度较为明显，</w:t>
      </w:r>
      <w:r>
        <w:rPr>
          <w:rFonts w:hint="eastAsia"/>
          <w:b w:val="0"/>
          <w:bCs/>
          <w:color w:val="auto"/>
          <w:sz w:val="24"/>
          <w:highlight w:val="none"/>
          <w:lang w:eastAsia="zh-CN"/>
        </w:rPr>
        <w:t>非输水期橡胶坝放水不拦水，</w:t>
      </w:r>
      <w:r>
        <w:rPr>
          <w:rFonts w:hint="eastAsia"/>
          <w:b w:val="0"/>
          <w:bCs/>
          <w:color w:val="auto"/>
          <w:sz w:val="24"/>
          <w:highlight w:val="none"/>
        </w:rPr>
        <w:t>坝后水文情势</w:t>
      </w:r>
      <w:r>
        <w:rPr>
          <w:rFonts w:hint="eastAsia"/>
          <w:b w:val="0"/>
          <w:bCs/>
          <w:color w:val="auto"/>
          <w:sz w:val="24"/>
          <w:highlight w:val="none"/>
          <w:lang w:eastAsia="zh-CN"/>
        </w:rPr>
        <w:t>上下一致</w:t>
      </w:r>
      <w:r>
        <w:rPr>
          <w:rFonts w:hint="eastAsia"/>
          <w:b w:val="0"/>
          <w:bCs/>
          <w:color w:val="auto"/>
          <w:sz w:val="24"/>
          <w:highlight w:val="none"/>
        </w:rPr>
        <w:t>。</w:t>
      </w:r>
    </w:p>
    <w:p>
      <w:pPr>
        <w:autoSpaceDE w:val="0"/>
        <w:autoSpaceDN w:val="0"/>
        <w:adjustRightInd w:val="0"/>
        <w:spacing w:line="480" w:lineRule="exact"/>
        <w:ind w:firstLine="480" w:firstLineChars="200"/>
        <w:jc w:val="left"/>
        <w:rPr>
          <w:rFonts w:hint="eastAsia"/>
          <w:b w:val="0"/>
          <w:bCs/>
          <w:color w:val="auto"/>
          <w:sz w:val="24"/>
          <w:highlight w:val="none"/>
        </w:rPr>
      </w:pPr>
      <w:r>
        <w:rPr>
          <w:rFonts w:hint="eastAsia"/>
          <w:b w:val="0"/>
          <w:bCs/>
          <w:color w:val="auto"/>
          <w:sz w:val="24"/>
          <w:highlight w:val="none"/>
        </w:rPr>
        <w:t>本工程</w:t>
      </w:r>
      <w:r>
        <w:rPr>
          <w:rFonts w:hint="eastAsia"/>
          <w:b w:val="0"/>
          <w:bCs/>
          <w:color w:val="auto"/>
          <w:sz w:val="24"/>
          <w:highlight w:val="none"/>
          <w:lang w:eastAsia="zh-CN"/>
        </w:rPr>
        <w:t>橡胶坝</w:t>
      </w:r>
      <w:r>
        <w:rPr>
          <w:rFonts w:hint="eastAsia"/>
          <w:b w:val="0"/>
          <w:bCs/>
          <w:color w:val="auto"/>
          <w:sz w:val="24"/>
          <w:highlight w:val="none"/>
        </w:rPr>
        <w:t>建成后，</w:t>
      </w:r>
      <w:r>
        <w:rPr>
          <w:rFonts w:hint="eastAsia"/>
          <w:b w:val="0"/>
          <w:bCs/>
          <w:color w:val="auto"/>
          <w:sz w:val="24"/>
          <w:highlight w:val="none"/>
          <w:lang w:eastAsia="zh-CN"/>
        </w:rPr>
        <w:t>电站运期间坝后形成壅水区</w:t>
      </w:r>
      <w:r>
        <w:rPr>
          <w:rFonts w:hint="eastAsia"/>
          <w:b w:val="0"/>
          <w:bCs/>
          <w:color w:val="auto"/>
          <w:sz w:val="24"/>
          <w:highlight w:val="none"/>
        </w:rPr>
        <w:t>，</w:t>
      </w:r>
      <w:r>
        <w:rPr>
          <w:rFonts w:hint="eastAsia"/>
          <w:b w:val="0"/>
          <w:bCs/>
          <w:color w:val="auto"/>
          <w:sz w:val="24"/>
          <w:highlight w:val="none"/>
          <w:lang w:eastAsia="zh-CN"/>
        </w:rPr>
        <w:t>由于</w:t>
      </w:r>
      <w:r>
        <w:rPr>
          <w:color w:val="auto"/>
          <w:kern w:val="0"/>
          <w:sz w:val="24"/>
          <w:highlight w:val="none"/>
          <w:lang w:val="zh-CN"/>
        </w:rPr>
        <w:t>本电站</w:t>
      </w:r>
      <w:r>
        <w:rPr>
          <w:rFonts w:hint="eastAsia"/>
          <w:color w:val="auto"/>
          <w:kern w:val="0"/>
          <w:sz w:val="24"/>
          <w:highlight w:val="none"/>
          <w:lang w:val="zh-CN"/>
        </w:rPr>
        <w:t>引水来自“引滦入津工程”输水，输水来自大黑汀水库，输水线路全部为钢筋混凝土输水渠及穿山隧道，无自然河流和其它水注水。非输水期橡胶坝放气不拦水，汛期黎河成为行洪河道，其它非引水期河道水量较少甚至枯竭，故</w:t>
      </w:r>
      <w:r>
        <w:rPr>
          <w:color w:val="auto"/>
          <w:kern w:val="0"/>
          <w:sz w:val="24"/>
          <w:highlight w:val="none"/>
          <w:lang w:val="zh-CN"/>
        </w:rPr>
        <w:t>不会产生水土流失现象。</w:t>
      </w:r>
      <w:r>
        <w:rPr>
          <w:rFonts w:hint="eastAsia"/>
          <w:color w:val="auto"/>
          <w:kern w:val="0"/>
          <w:sz w:val="24"/>
          <w:highlight w:val="none"/>
          <w:lang w:val="zh-CN"/>
        </w:rPr>
        <w:t>河道不会产生</w:t>
      </w:r>
      <w:r>
        <w:rPr>
          <w:color w:val="auto"/>
          <w:kern w:val="0"/>
          <w:sz w:val="24"/>
          <w:highlight w:val="none"/>
          <w:lang w:val="zh-CN"/>
        </w:rPr>
        <w:t>泥沙</w:t>
      </w:r>
      <w:r>
        <w:rPr>
          <w:rFonts w:hint="eastAsia"/>
          <w:color w:val="auto"/>
          <w:kern w:val="0"/>
          <w:sz w:val="24"/>
          <w:highlight w:val="none"/>
          <w:lang w:val="zh-CN"/>
        </w:rPr>
        <w:t>淤积</w:t>
      </w:r>
      <w:r>
        <w:rPr>
          <w:rFonts w:hint="eastAsia"/>
          <w:color w:val="auto"/>
          <w:kern w:val="0"/>
          <w:sz w:val="24"/>
          <w:highlight w:val="none"/>
          <w:lang w:val="en-US" w:eastAsia="zh-CN"/>
        </w:rPr>
        <w:t>。</w:t>
      </w:r>
    </w:p>
    <w:p>
      <w:pPr>
        <w:autoSpaceDE w:val="0"/>
        <w:autoSpaceDN w:val="0"/>
        <w:adjustRightInd w:val="0"/>
        <w:spacing w:line="480" w:lineRule="exact"/>
        <w:ind w:firstLine="480" w:firstLineChars="200"/>
        <w:jc w:val="left"/>
        <w:rPr>
          <w:rFonts w:hint="eastAsia"/>
          <w:b w:val="0"/>
          <w:bCs/>
          <w:color w:val="000000" w:themeColor="text1"/>
          <w:sz w:val="24"/>
          <w:highlight w:val="none"/>
          <w:lang w:eastAsia="zh-CN"/>
          <w14:textFill>
            <w14:solidFill>
              <w14:schemeClr w14:val="tx1"/>
            </w14:solidFill>
          </w14:textFill>
        </w:rPr>
      </w:pPr>
      <w:r>
        <w:rPr>
          <w:rFonts w:hint="eastAsia"/>
          <w:b w:val="0"/>
          <w:bCs/>
          <w:color w:val="000000" w:themeColor="text1"/>
          <w:sz w:val="24"/>
          <w:highlight w:val="none"/>
          <w14:textFill>
            <w14:solidFill>
              <w14:schemeClr w14:val="tx1"/>
            </w14:solidFill>
          </w14:textFill>
        </w:rPr>
        <w:t>电站为低</w:t>
      </w:r>
      <w:r>
        <w:rPr>
          <w:rFonts w:hint="eastAsia"/>
          <w:b w:val="0"/>
          <w:bCs/>
          <w:color w:val="000000" w:themeColor="text1"/>
          <w:sz w:val="24"/>
          <w:highlight w:val="none"/>
          <w:lang w:eastAsia="zh-CN"/>
          <w14:textFill>
            <w14:solidFill>
              <w14:schemeClr w14:val="tx1"/>
            </w14:solidFill>
          </w14:textFill>
        </w:rPr>
        <w:t>橡胶坝</w:t>
      </w:r>
      <w:r>
        <w:rPr>
          <w:rFonts w:hint="eastAsia"/>
          <w:b w:val="0"/>
          <w:bCs/>
          <w:color w:val="000000" w:themeColor="text1"/>
          <w:sz w:val="24"/>
          <w:highlight w:val="none"/>
          <w14:textFill>
            <w14:solidFill>
              <w14:schemeClr w14:val="tx1"/>
            </w14:solidFill>
          </w14:textFill>
        </w:rPr>
        <w:t>引水式水电站，</w:t>
      </w:r>
      <w:r>
        <w:rPr>
          <w:rFonts w:hint="eastAsia"/>
          <w:b w:val="0"/>
          <w:bCs/>
          <w:color w:val="000000" w:themeColor="text1"/>
          <w:sz w:val="24"/>
          <w:highlight w:val="none"/>
          <w:lang w:eastAsia="zh-CN"/>
          <w14:textFill>
            <w14:solidFill>
              <w14:schemeClr w14:val="tx1"/>
            </w14:solidFill>
          </w14:textFill>
        </w:rPr>
        <w:t>坝后壅水区</w:t>
      </w:r>
      <w:r>
        <w:rPr>
          <w:rFonts w:hint="eastAsia"/>
          <w:b w:val="0"/>
          <w:bCs/>
          <w:color w:val="000000" w:themeColor="text1"/>
          <w:sz w:val="24"/>
          <w:highlight w:val="none"/>
          <w14:textFill>
            <w14:solidFill>
              <w14:schemeClr w14:val="tx1"/>
            </w14:solidFill>
          </w14:textFill>
        </w:rPr>
        <w:t>小，不出河槽，</w:t>
      </w:r>
      <w:r>
        <w:rPr>
          <w:rFonts w:hint="eastAsia"/>
          <w:b w:val="0"/>
          <w:bCs/>
          <w:color w:val="000000" w:themeColor="text1"/>
          <w:sz w:val="24"/>
          <w:highlight w:val="none"/>
          <w:lang w:eastAsia="zh-CN"/>
          <w14:textFill>
            <w14:solidFill>
              <w14:schemeClr w14:val="tx1"/>
            </w14:solidFill>
          </w14:textFill>
        </w:rPr>
        <w:t>壅水区</w:t>
      </w:r>
      <w:r>
        <w:rPr>
          <w:rFonts w:hint="eastAsia"/>
          <w:b w:val="0"/>
          <w:bCs/>
          <w:color w:val="000000" w:themeColor="text1"/>
          <w:sz w:val="24"/>
          <w:highlight w:val="none"/>
          <w14:textFill>
            <w14:solidFill>
              <w14:schemeClr w14:val="tx1"/>
            </w14:solidFill>
          </w14:textFill>
        </w:rPr>
        <w:t>无调节能力，基本按上游来水进行发电，水温基本保持来水温度，水库不会出现水温分层和下泄低温水现象，该河段范围不存在低温水</w:t>
      </w:r>
      <w:r>
        <w:rPr>
          <w:rFonts w:hint="eastAsia"/>
          <w:b w:val="0"/>
          <w:bCs/>
          <w:color w:val="000000" w:themeColor="text1"/>
          <w:sz w:val="24"/>
          <w:highlight w:val="none"/>
          <w:lang w:eastAsia="zh-CN"/>
          <w14:textFill>
            <w14:solidFill>
              <w14:schemeClr w14:val="tx1"/>
            </w14:solidFill>
          </w14:textFill>
        </w:rPr>
        <w:t>和</w:t>
      </w:r>
      <w:r>
        <w:rPr>
          <w:rFonts w:hint="eastAsia"/>
          <w:b w:val="0"/>
          <w:bCs/>
          <w:color w:val="000000" w:themeColor="text1"/>
          <w:sz w:val="24"/>
          <w:highlight w:val="none"/>
          <w14:textFill>
            <w14:solidFill>
              <w14:schemeClr w14:val="tx1"/>
            </w14:solidFill>
          </w14:textFill>
        </w:rPr>
        <w:t>对下游河段水生生物产生影响</w:t>
      </w:r>
      <w:r>
        <w:rPr>
          <w:rFonts w:hint="eastAsia"/>
          <w:b w:val="0"/>
          <w:bCs/>
          <w:color w:val="000000" w:themeColor="text1"/>
          <w:sz w:val="24"/>
          <w:highlight w:val="none"/>
          <w:lang w:eastAsia="zh-CN"/>
          <w14:textFill>
            <w14:solidFill>
              <w14:schemeClr w14:val="tx1"/>
            </w14:solidFill>
          </w14:textFill>
        </w:rPr>
        <w:t>。</w:t>
      </w:r>
    </w:p>
    <w:p>
      <w:pPr>
        <w:autoSpaceDE w:val="0"/>
        <w:autoSpaceDN w:val="0"/>
        <w:adjustRightInd w:val="0"/>
        <w:spacing w:line="480" w:lineRule="exact"/>
        <w:ind w:firstLine="480"/>
        <w:jc w:val="left"/>
        <w:rPr>
          <w:color w:val="000000" w:themeColor="text1"/>
          <w:sz w:val="24"/>
          <w:highlight w:val="none"/>
          <w14:textFill>
            <w14:solidFill>
              <w14:schemeClr w14:val="tx1"/>
            </w14:solidFill>
          </w14:textFill>
        </w:rPr>
      </w:pPr>
      <w:r>
        <w:rPr>
          <w:color w:val="000000" w:themeColor="text1"/>
          <w:kern w:val="0"/>
          <w:sz w:val="24"/>
          <w:highlight w:val="none"/>
          <w:lang w:val="zh-CN"/>
          <w14:textFill>
            <w14:solidFill>
              <w14:schemeClr w14:val="tx1"/>
            </w14:solidFill>
          </w14:textFill>
        </w:rPr>
        <w:t>水温结构采用《水电水利工程水文计算规范》</w:t>
      </w:r>
      <w:r>
        <w:rPr>
          <w:color w:val="000000" w:themeColor="text1"/>
          <w:kern w:val="0"/>
          <w:sz w:val="24"/>
          <w:highlight w:val="none"/>
          <w14:textFill>
            <w14:solidFill>
              <w14:schemeClr w14:val="tx1"/>
            </w14:solidFill>
          </w14:textFill>
        </w:rPr>
        <w:t>(DL/T5431-2009)</w:t>
      </w:r>
      <w:r>
        <w:rPr>
          <w:color w:val="000000" w:themeColor="text1"/>
          <w:kern w:val="0"/>
          <w:sz w:val="24"/>
          <w:highlight w:val="none"/>
          <w:lang w:val="zh-CN"/>
          <w14:textFill>
            <w14:solidFill>
              <w14:schemeClr w14:val="tx1"/>
            </w14:solidFill>
          </w14:textFill>
        </w:rPr>
        <w:t>中推荐的判别公式对水库水体水温分布类型进行初步判别：</w:t>
      </w:r>
    </w:p>
    <w:p>
      <w:pPr>
        <w:autoSpaceDE w:val="0"/>
        <w:autoSpaceDN w:val="0"/>
        <w:adjustRightInd w:val="0"/>
        <w:spacing w:line="480" w:lineRule="exact"/>
        <w:ind w:firstLine="1320" w:firstLineChars="550"/>
        <w:jc w:val="left"/>
        <w:rPr>
          <w:color w:val="000000" w:themeColor="text1"/>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α=W / V</w:t>
      </w:r>
      <w:r>
        <w:rPr>
          <w:color w:val="000000" w:themeColor="text1"/>
          <w:kern w:val="0"/>
          <w:sz w:val="24"/>
          <w:highlight w:val="none"/>
          <w:vertAlign w:val="subscript"/>
          <w:lang w:val="zh-CN"/>
          <w14:textFill>
            <w14:solidFill>
              <w14:schemeClr w14:val="tx1"/>
            </w14:solidFill>
          </w14:textFill>
        </w:rPr>
        <w:t>总</w:t>
      </w:r>
    </w:p>
    <w:p>
      <w:pPr>
        <w:autoSpaceDE w:val="0"/>
        <w:autoSpaceDN w:val="0"/>
        <w:adjustRightInd w:val="0"/>
        <w:spacing w:line="480" w:lineRule="exact"/>
        <w:ind w:firstLine="480"/>
        <w:jc w:val="left"/>
        <w:rPr>
          <w:color w:val="000000" w:themeColor="text1"/>
          <w:sz w:val="24"/>
          <w:highlight w:val="none"/>
          <w14:textFill>
            <w14:solidFill>
              <w14:schemeClr w14:val="tx1"/>
            </w14:solidFill>
          </w14:textFill>
        </w:rPr>
      </w:pPr>
      <w:r>
        <w:rPr>
          <w:color w:val="000000" w:themeColor="text1"/>
          <w:kern w:val="0"/>
          <w:sz w:val="24"/>
          <w:highlight w:val="none"/>
          <w:lang w:val="zh-CN"/>
          <w14:textFill>
            <w14:solidFill>
              <w14:schemeClr w14:val="tx1"/>
            </w14:solidFill>
          </w14:textFill>
        </w:rPr>
        <w:t>式中：</w:t>
      </w:r>
      <w:r>
        <w:rPr>
          <w:color w:val="000000" w:themeColor="text1"/>
          <w:kern w:val="0"/>
          <w:sz w:val="24"/>
          <w:highlight w:val="none"/>
          <w14:textFill>
            <w14:solidFill>
              <w14:schemeClr w14:val="tx1"/>
            </w14:solidFill>
          </w14:textFill>
        </w:rPr>
        <w:t>α—</w:t>
      </w:r>
      <w:r>
        <w:rPr>
          <w:color w:val="000000" w:themeColor="text1"/>
          <w:kern w:val="0"/>
          <w:sz w:val="24"/>
          <w:highlight w:val="none"/>
          <w:lang w:val="zh-CN"/>
          <w14:textFill>
            <w14:solidFill>
              <w14:schemeClr w14:val="tx1"/>
            </w14:solidFill>
          </w14:textFill>
        </w:rPr>
        <w:t>判别系数；</w:t>
      </w:r>
    </w:p>
    <w:p>
      <w:pPr>
        <w:autoSpaceDE w:val="0"/>
        <w:autoSpaceDN w:val="0"/>
        <w:adjustRightInd w:val="0"/>
        <w:spacing w:line="480" w:lineRule="exact"/>
        <w:ind w:firstLine="480" w:firstLineChars="200"/>
        <w:jc w:val="left"/>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w:t>
      </w:r>
      <w:r>
        <w:rPr>
          <w:color w:val="000000" w:themeColor="text1"/>
          <w:kern w:val="0"/>
          <w:sz w:val="24"/>
          <w:highlight w:val="none"/>
          <w:lang w:val="zh-CN"/>
          <w14:textFill>
            <w14:solidFill>
              <w14:schemeClr w14:val="tx1"/>
            </w14:solidFill>
          </w14:textFill>
        </w:rPr>
        <w:t>多年平均年径流量</w:t>
      </w:r>
      <w:r>
        <w:rPr>
          <w:color w:val="000000" w:themeColor="text1"/>
          <w:kern w:val="0"/>
          <w:sz w:val="24"/>
          <w:highlight w:val="none"/>
          <w14:textFill>
            <w14:solidFill>
              <w14:schemeClr w14:val="tx1"/>
            </w14:solidFill>
          </w14:textFill>
        </w:rPr>
        <w:t>(m</w:t>
      </w:r>
      <w:r>
        <w:rPr>
          <w:color w:val="000000" w:themeColor="text1"/>
          <w:kern w:val="0"/>
          <w:sz w:val="24"/>
          <w:highlight w:val="none"/>
          <w:vertAlign w:val="superscript"/>
          <w14:textFill>
            <w14:solidFill>
              <w14:schemeClr w14:val="tx1"/>
            </w14:solidFill>
          </w14:textFill>
        </w:rPr>
        <w:t>3</w:t>
      </w:r>
      <w:r>
        <w:rPr>
          <w:color w:val="000000" w:themeColor="text1"/>
          <w:kern w:val="0"/>
          <w:sz w:val="24"/>
          <w:highlight w:val="none"/>
          <w14:textFill>
            <w14:solidFill>
              <w14:schemeClr w14:val="tx1"/>
            </w14:solidFill>
          </w14:textFill>
        </w:rPr>
        <w:t>)</w:t>
      </w:r>
      <w:r>
        <w:rPr>
          <w:color w:val="000000" w:themeColor="text1"/>
          <w:kern w:val="0"/>
          <w:sz w:val="24"/>
          <w:highlight w:val="none"/>
          <w:lang w:val="zh-CN"/>
          <w14:textFill>
            <w14:solidFill>
              <w14:schemeClr w14:val="tx1"/>
            </w14:solidFill>
          </w14:textFill>
        </w:rPr>
        <w:t>；</w:t>
      </w:r>
      <w:r>
        <w:rPr>
          <w:rFonts w:hint="eastAsia"/>
          <w:color w:val="000000" w:themeColor="text1"/>
          <w:kern w:val="0"/>
          <w:sz w:val="24"/>
          <w:highlight w:val="none"/>
          <w:lang w:val="zh-CN"/>
          <w14:textFill>
            <w14:solidFill>
              <w14:schemeClr w14:val="tx1"/>
            </w14:solidFill>
          </w14:textFill>
        </w:rPr>
        <w:t>本项目取“引滦入津工程”年</w:t>
      </w:r>
      <w:r>
        <w:rPr>
          <w:color w:val="000000" w:themeColor="text1"/>
          <w:kern w:val="0"/>
          <w:sz w:val="24"/>
          <w:highlight w:val="none"/>
          <w:lang w:val="zh-CN"/>
          <w14:textFill>
            <w14:solidFill>
              <w14:schemeClr w14:val="tx1"/>
            </w14:solidFill>
          </w14:textFill>
        </w:rPr>
        <w:t>径流量</w:t>
      </w:r>
      <w:r>
        <w:rPr>
          <w:color w:val="000000" w:themeColor="text1"/>
          <w:sz w:val="24"/>
          <w:highlight w:val="none"/>
          <w14:textFill>
            <w14:solidFill>
              <w14:schemeClr w14:val="tx1"/>
            </w14:solidFill>
          </w14:textFill>
        </w:rPr>
        <w:t>10</w:t>
      </w:r>
      <w:r>
        <w:rPr>
          <w:rFonts w:hint="eastAsia"/>
          <w:color w:val="000000" w:themeColor="text1"/>
          <w:sz w:val="24"/>
          <w:highlight w:val="none"/>
          <w14:textFill>
            <w14:solidFill>
              <w14:schemeClr w14:val="tx1"/>
            </w14:solidFill>
          </w14:textFill>
        </w:rPr>
        <w:t>亿</w:t>
      </w:r>
      <w:r>
        <w:rPr>
          <w:color w:val="000000" w:themeColor="text1"/>
          <w:kern w:val="0"/>
          <w:sz w:val="24"/>
          <w:highlight w:val="none"/>
          <w14:textFill>
            <w14:solidFill>
              <w14:schemeClr w14:val="tx1"/>
            </w14:solidFill>
          </w14:textFill>
        </w:rPr>
        <w:t>m</w:t>
      </w:r>
      <w:r>
        <w:rPr>
          <w:color w:val="000000" w:themeColor="text1"/>
          <w:kern w:val="0"/>
          <w:sz w:val="24"/>
          <w:highlight w:val="none"/>
          <w:vertAlign w:val="superscript"/>
          <w14:textFill>
            <w14:solidFill>
              <w14:schemeClr w14:val="tx1"/>
            </w14:solidFill>
          </w14:textFill>
        </w:rPr>
        <w:t>3</w:t>
      </w:r>
      <w:r>
        <w:rPr>
          <w:rFonts w:hint="eastAsia"/>
          <w:color w:val="000000" w:themeColor="text1"/>
          <w:kern w:val="0"/>
          <w:sz w:val="24"/>
          <w:highlight w:val="none"/>
          <w14:textFill>
            <w14:solidFill>
              <w14:schemeClr w14:val="tx1"/>
            </w14:solidFill>
          </w14:textFill>
        </w:rPr>
        <w:t>；</w:t>
      </w:r>
    </w:p>
    <w:p>
      <w:pPr>
        <w:autoSpaceDE w:val="0"/>
        <w:autoSpaceDN w:val="0"/>
        <w:adjustRightInd w:val="0"/>
        <w:spacing w:line="480" w:lineRule="exact"/>
        <w:ind w:firstLine="480" w:firstLineChars="200"/>
        <w:jc w:val="left"/>
        <w:rPr>
          <w:sz w:val="24"/>
          <w:highlight w:val="none"/>
        </w:rPr>
      </w:pPr>
      <w:r>
        <w:rPr>
          <w:kern w:val="0"/>
          <w:sz w:val="24"/>
          <w:highlight w:val="none"/>
        </w:rPr>
        <w:t>V</w:t>
      </w:r>
      <w:r>
        <w:rPr>
          <w:kern w:val="0"/>
          <w:sz w:val="24"/>
          <w:highlight w:val="none"/>
          <w:vertAlign w:val="subscript"/>
          <w:lang w:val="zh-CN"/>
        </w:rPr>
        <w:t>总</w:t>
      </w:r>
      <w:r>
        <w:rPr>
          <w:kern w:val="0"/>
          <w:sz w:val="24"/>
          <w:highlight w:val="none"/>
        </w:rPr>
        <w:t>—</w:t>
      </w:r>
      <w:r>
        <w:rPr>
          <w:kern w:val="0"/>
          <w:sz w:val="24"/>
          <w:highlight w:val="none"/>
          <w:lang w:val="zh-CN"/>
        </w:rPr>
        <w:t>总库容</w:t>
      </w:r>
      <w:r>
        <w:rPr>
          <w:kern w:val="0"/>
          <w:sz w:val="24"/>
          <w:highlight w:val="none"/>
        </w:rPr>
        <w:t>(m</w:t>
      </w:r>
      <w:r>
        <w:rPr>
          <w:kern w:val="0"/>
          <w:sz w:val="24"/>
          <w:highlight w:val="none"/>
          <w:vertAlign w:val="superscript"/>
        </w:rPr>
        <w:t>3</w:t>
      </w:r>
      <w:r>
        <w:rPr>
          <w:kern w:val="0"/>
          <w:sz w:val="24"/>
          <w:highlight w:val="none"/>
        </w:rPr>
        <w:t>)</w:t>
      </w:r>
      <w:r>
        <w:rPr>
          <w:rFonts w:hint="eastAsia"/>
          <w:kern w:val="0"/>
          <w:sz w:val="24"/>
          <w:highlight w:val="none"/>
          <w:lang w:val="zh-CN"/>
        </w:rPr>
        <w:t>，本项目取</w:t>
      </w:r>
      <w:r>
        <w:rPr>
          <w:rFonts w:hint="eastAsia"/>
          <w:kern w:val="0"/>
          <w:sz w:val="24"/>
          <w:highlight w:val="none"/>
        </w:rPr>
        <w:t>3.7万m</w:t>
      </w:r>
      <w:r>
        <w:rPr>
          <w:rFonts w:hint="eastAsia"/>
          <w:kern w:val="0"/>
          <w:sz w:val="24"/>
          <w:highlight w:val="none"/>
          <w:vertAlign w:val="superscript"/>
        </w:rPr>
        <w:t>2</w:t>
      </w:r>
      <w:r>
        <w:rPr>
          <w:rFonts w:hint="eastAsia"/>
          <w:kern w:val="0"/>
          <w:sz w:val="24"/>
          <w:highlight w:val="none"/>
        </w:rPr>
        <w:t>×深（按平均2m计算）=7.4万</w:t>
      </w:r>
      <w:r>
        <w:rPr>
          <w:kern w:val="0"/>
          <w:sz w:val="24"/>
          <w:highlight w:val="none"/>
        </w:rPr>
        <w:t>m</w:t>
      </w:r>
      <w:r>
        <w:rPr>
          <w:kern w:val="0"/>
          <w:sz w:val="24"/>
          <w:highlight w:val="none"/>
          <w:vertAlign w:val="superscript"/>
        </w:rPr>
        <w:t>3</w:t>
      </w:r>
      <w:r>
        <w:rPr>
          <w:rFonts w:hint="eastAsia"/>
          <w:kern w:val="0"/>
          <w:sz w:val="24"/>
          <w:highlight w:val="none"/>
        </w:rPr>
        <w:t>；</w:t>
      </w:r>
    </w:p>
    <w:p>
      <w:pPr>
        <w:autoSpaceDE w:val="0"/>
        <w:autoSpaceDN w:val="0"/>
        <w:adjustRightInd w:val="0"/>
        <w:spacing w:line="480" w:lineRule="exact"/>
        <w:ind w:firstLine="480"/>
        <w:jc w:val="left"/>
        <w:rPr>
          <w:rFonts w:hint="eastAsia"/>
          <w:color w:val="000000" w:themeColor="text1"/>
          <w:sz w:val="24"/>
          <w:highlight w:val="none"/>
          <w:lang w:val="zh-CN"/>
          <w14:textFill>
            <w14:solidFill>
              <w14:schemeClr w14:val="tx1"/>
            </w14:solidFill>
          </w14:textFill>
        </w:rPr>
      </w:pPr>
      <w:r>
        <w:rPr>
          <w:kern w:val="0"/>
          <w:sz w:val="24"/>
          <w:highlight w:val="none"/>
          <w:lang w:val="zh-CN"/>
        </w:rPr>
        <w:t>当</w:t>
      </w:r>
      <w:r>
        <w:rPr>
          <w:kern w:val="0"/>
          <w:sz w:val="24"/>
          <w:highlight w:val="none"/>
        </w:rPr>
        <w:t xml:space="preserve">α&lt;10 </w:t>
      </w:r>
      <w:r>
        <w:rPr>
          <w:kern w:val="0"/>
          <w:sz w:val="24"/>
          <w:highlight w:val="none"/>
          <w:lang w:val="zh-CN"/>
        </w:rPr>
        <w:t>时，水库为分层型；</w:t>
      </w:r>
      <w:r>
        <w:rPr>
          <w:kern w:val="0"/>
          <w:sz w:val="24"/>
          <w:highlight w:val="none"/>
        </w:rPr>
        <w:t xml:space="preserve">α&gt;20 </w:t>
      </w:r>
      <w:r>
        <w:rPr>
          <w:kern w:val="0"/>
          <w:sz w:val="24"/>
          <w:highlight w:val="none"/>
          <w:lang w:val="zh-CN"/>
        </w:rPr>
        <w:t>时，水库为混合型；</w:t>
      </w:r>
      <w:r>
        <w:rPr>
          <w:kern w:val="0"/>
          <w:sz w:val="24"/>
          <w:highlight w:val="none"/>
        </w:rPr>
        <w:t>10</w:t>
      </w:r>
      <w:r>
        <w:rPr>
          <w:kern w:val="0"/>
          <w:sz w:val="24"/>
          <w:highlight w:val="none"/>
          <w:lang w:val="zh-CN"/>
        </w:rPr>
        <w:t>≤</w:t>
      </w:r>
      <w:r>
        <w:rPr>
          <w:kern w:val="0"/>
          <w:sz w:val="24"/>
          <w:highlight w:val="none"/>
        </w:rPr>
        <w:t xml:space="preserve">α≤20 </w:t>
      </w:r>
      <w:r>
        <w:rPr>
          <w:kern w:val="0"/>
          <w:sz w:val="24"/>
          <w:highlight w:val="none"/>
          <w:lang w:val="zh-CN"/>
        </w:rPr>
        <w:t>时，水库为过渡型。</w:t>
      </w:r>
      <w:r>
        <w:rPr>
          <w:rFonts w:hint="eastAsia"/>
          <w:kern w:val="0"/>
          <w:sz w:val="24"/>
          <w:highlight w:val="none"/>
          <w:lang w:val="zh-CN"/>
        </w:rPr>
        <w:t>本项目为引水式水电站，经计算</w:t>
      </w:r>
      <w:r>
        <w:rPr>
          <w:kern w:val="0"/>
          <w:sz w:val="24"/>
          <w:highlight w:val="none"/>
        </w:rPr>
        <w:t>α</w:t>
      </w:r>
      <w:r>
        <w:rPr>
          <w:rFonts w:hint="eastAsia"/>
          <w:kern w:val="0"/>
          <w:sz w:val="24"/>
          <w:highlight w:val="none"/>
        </w:rPr>
        <w:t>=13513</w:t>
      </w:r>
      <w:r>
        <w:rPr>
          <w:rFonts w:hint="eastAsia"/>
          <w:kern w:val="0"/>
          <w:sz w:val="24"/>
          <w:highlight w:val="none"/>
          <w:lang w:val="zh-CN"/>
        </w:rPr>
        <w:t>，</w:t>
      </w:r>
      <w:r>
        <w:rPr>
          <w:kern w:val="0"/>
          <w:sz w:val="24"/>
          <w:highlight w:val="none"/>
        </w:rPr>
        <w:t>α</w:t>
      </w:r>
      <w:r>
        <w:rPr>
          <w:rFonts w:hint="eastAsia"/>
          <w:kern w:val="0"/>
          <w:sz w:val="24"/>
          <w:highlight w:val="none"/>
          <w:lang w:val="zh-CN"/>
        </w:rPr>
        <w:t>值远远大于 20，属混合型水温结构，显然雍水区不会存在水温分层现象，因此下泄水温与天然河道水温基本一致，对下游的水生生物不会产生影响。</w:t>
      </w:r>
    </w:p>
    <w:p>
      <w:pPr>
        <w:spacing w:line="480" w:lineRule="exact"/>
        <w:outlineLvl w:val="1"/>
        <w:rPr>
          <w:rFonts w:hint="eastAsia" w:eastAsia="宋体"/>
          <w:b/>
          <w:snapToGrid w:val="0"/>
          <w:color w:val="000000" w:themeColor="text1"/>
          <w:kern w:val="0"/>
          <w:sz w:val="24"/>
          <w:highlight w:val="none"/>
          <w:lang w:eastAsia="zh-CN"/>
          <w14:textFill>
            <w14:solidFill>
              <w14:schemeClr w14:val="tx1"/>
            </w14:solidFill>
          </w14:textFill>
        </w:rPr>
      </w:pPr>
      <w:bookmarkStart w:id="226" w:name="_Toc19707"/>
      <w:r>
        <w:rPr>
          <w:rFonts w:hint="eastAsia"/>
          <w:b/>
          <w:snapToGrid w:val="0"/>
          <w:color w:val="000000" w:themeColor="text1"/>
          <w:kern w:val="0"/>
          <w:sz w:val="24"/>
          <w:highlight w:val="none"/>
          <w14:textFill>
            <w14:solidFill>
              <w14:schemeClr w14:val="tx1"/>
            </w14:solidFill>
          </w14:textFill>
        </w:rPr>
        <w:t>5.</w:t>
      </w:r>
      <w:r>
        <w:rPr>
          <w:rFonts w:hint="eastAsia"/>
          <w:b/>
          <w:snapToGrid w:val="0"/>
          <w:color w:val="000000" w:themeColor="text1"/>
          <w:kern w:val="0"/>
          <w:sz w:val="24"/>
          <w:highlight w:val="none"/>
          <w:lang w:val="en-US" w:eastAsia="zh-CN"/>
          <w14:textFill>
            <w14:solidFill>
              <w14:schemeClr w14:val="tx1"/>
            </w14:solidFill>
          </w14:textFill>
        </w:rPr>
        <w:t>3</w:t>
      </w:r>
      <w:r>
        <w:rPr>
          <w:rFonts w:hint="eastAsia"/>
          <w:b/>
          <w:snapToGrid w:val="0"/>
          <w:color w:val="000000" w:themeColor="text1"/>
          <w:kern w:val="0"/>
          <w:sz w:val="24"/>
          <w:highlight w:val="none"/>
          <w14:textFill>
            <w14:solidFill>
              <w14:schemeClr w14:val="tx1"/>
            </w14:solidFill>
          </w14:textFill>
        </w:rPr>
        <w:t xml:space="preserve"> </w:t>
      </w:r>
      <w:r>
        <w:rPr>
          <w:rFonts w:hint="eastAsia"/>
          <w:b/>
          <w:snapToGrid w:val="0"/>
          <w:color w:val="000000" w:themeColor="text1"/>
          <w:kern w:val="0"/>
          <w:sz w:val="24"/>
          <w:highlight w:val="none"/>
          <w:lang w:eastAsia="zh-CN"/>
          <w14:textFill>
            <w14:solidFill>
              <w14:schemeClr w14:val="tx1"/>
            </w14:solidFill>
          </w14:textFill>
        </w:rPr>
        <w:t>地表水环境影响评价</w:t>
      </w:r>
      <w:bookmarkEnd w:id="226"/>
    </w:p>
    <w:p>
      <w:pPr>
        <w:autoSpaceDE w:val="0"/>
        <w:autoSpaceDN w:val="0"/>
        <w:adjustRightInd w:val="0"/>
        <w:spacing w:line="480" w:lineRule="exact"/>
        <w:jc w:val="left"/>
        <w:rPr>
          <w:rFonts w:hint="eastAsia" w:ascii="Times New Roman" w:hAnsi="Times New Roman" w:cs="Times New Roman"/>
          <w:b/>
          <w:bCs/>
          <w:color w:val="000000" w:themeColor="text1"/>
          <w:kern w:val="0"/>
          <w:sz w:val="24"/>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4"/>
          <w:highlight w:val="none"/>
          <w:lang w:val="en-US" w:eastAsia="zh-CN"/>
          <w14:textFill>
            <w14:solidFill>
              <w14:schemeClr w14:val="tx1"/>
            </w14:solidFill>
          </w14:textFill>
        </w:rPr>
        <w:t>5.</w:t>
      </w:r>
      <w:r>
        <w:rPr>
          <w:rFonts w:hint="eastAsia" w:cs="Times New Roman"/>
          <w:b/>
          <w:bCs/>
          <w:color w:val="000000" w:themeColor="text1"/>
          <w:kern w:val="0"/>
          <w:sz w:val="24"/>
          <w:highlight w:val="none"/>
          <w:lang w:val="en-US" w:eastAsia="zh-CN"/>
          <w14:textFill>
            <w14:solidFill>
              <w14:schemeClr w14:val="tx1"/>
            </w14:solidFill>
          </w14:textFill>
        </w:rPr>
        <w:t>3</w:t>
      </w:r>
      <w:r>
        <w:rPr>
          <w:rFonts w:hint="eastAsia" w:ascii="Times New Roman" w:hAnsi="Times New Roman" w:cs="Times New Roman"/>
          <w:b/>
          <w:bCs/>
          <w:color w:val="000000" w:themeColor="text1"/>
          <w:kern w:val="0"/>
          <w:sz w:val="24"/>
          <w:highlight w:val="none"/>
          <w:lang w:val="en-US" w:eastAsia="zh-CN"/>
          <w14:textFill>
            <w14:solidFill>
              <w14:schemeClr w14:val="tx1"/>
            </w14:solidFill>
          </w14:textFill>
        </w:rPr>
        <w:t>.1 地表水水文情势影响分析</w:t>
      </w:r>
    </w:p>
    <w:p>
      <w:pPr>
        <w:autoSpaceDE w:val="0"/>
        <w:autoSpaceDN w:val="0"/>
        <w:adjustRightInd w:val="0"/>
        <w:spacing w:line="480" w:lineRule="exact"/>
        <w:ind w:firstLine="480"/>
        <w:jc w:val="left"/>
        <w:rPr>
          <w:rFonts w:hint="eastAsia" w:ascii="Times New Roman" w:hAnsi="Times New Roman" w:cs="Times New Roman"/>
          <w:color w:val="auto"/>
          <w:kern w:val="0"/>
          <w:sz w:val="24"/>
          <w:highlight w:val="none"/>
          <w:lang w:val="zh-CN"/>
        </w:rPr>
      </w:pPr>
      <w:r>
        <w:rPr>
          <w:rFonts w:hint="eastAsia" w:ascii="Times New Roman" w:hAnsi="Times New Roman" w:cs="Times New Roman"/>
          <w:color w:val="auto"/>
          <w:kern w:val="0"/>
          <w:sz w:val="24"/>
          <w:highlight w:val="none"/>
          <w:lang w:val="zh-CN" w:eastAsia="zh-CN"/>
        </w:rPr>
        <w:t>（</w:t>
      </w:r>
      <w:r>
        <w:rPr>
          <w:rFonts w:hint="eastAsia" w:ascii="Times New Roman" w:hAnsi="Times New Roman" w:cs="Times New Roman"/>
          <w:color w:val="auto"/>
          <w:kern w:val="0"/>
          <w:sz w:val="24"/>
          <w:highlight w:val="none"/>
          <w:lang w:val="en-US" w:eastAsia="zh-CN"/>
        </w:rPr>
        <w:t>1</w:t>
      </w:r>
      <w:r>
        <w:rPr>
          <w:rFonts w:hint="eastAsia" w:ascii="Times New Roman" w:hAnsi="Times New Roman" w:cs="Times New Roman"/>
          <w:color w:val="auto"/>
          <w:kern w:val="0"/>
          <w:sz w:val="24"/>
          <w:highlight w:val="none"/>
          <w:lang w:val="zh-CN" w:eastAsia="zh-CN"/>
        </w:rPr>
        <w:t>）</w:t>
      </w:r>
      <w:r>
        <w:rPr>
          <w:rFonts w:hint="eastAsia" w:ascii="Times New Roman" w:hAnsi="Times New Roman" w:cs="Times New Roman"/>
          <w:color w:val="auto"/>
          <w:kern w:val="0"/>
          <w:sz w:val="24"/>
          <w:highlight w:val="none"/>
          <w:lang w:val="zh-CN"/>
        </w:rPr>
        <w:t>下泄生态流量分析</w:t>
      </w:r>
    </w:p>
    <w:p>
      <w:pPr>
        <w:autoSpaceDE w:val="0"/>
        <w:autoSpaceDN w:val="0"/>
        <w:adjustRightInd w:val="0"/>
        <w:spacing w:line="480" w:lineRule="exact"/>
        <w:ind w:firstLine="480"/>
        <w:jc w:val="left"/>
        <w:rPr>
          <w:rFonts w:hint="eastAsia" w:ascii="Times New Roman" w:hAnsi="Times New Roman" w:cs="Times New Roman"/>
          <w:color w:val="auto"/>
          <w:kern w:val="0"/>
          <w:sz w:val="24"/>
          <w:highlight w:val="none"/>
          <w:lang w:val="zh-CN"/>
        </w:rPr>
      </w:pPr>
      <w:r>
        <w:rPr>
          <w:rFonts w:hint="eastAsia" w:ascii="Times New Roman" w:hAnsi="Times New Roman" w:cs="Times New Roman"/>
          <w:color w:val="auto"/>
          <w:kern w:val="0"/>
          <w:sz w:val="24"/>
          <w:highlight w:val="none"/>
          <w:lang w:val="zh-CN"/>
        </w:rPr>
        <w:t>根据国家环保部（环发[2014]65 号）文件，工程建设运营期需要根据河道生态用水需求，确定取水口相关下泄流量。根据《环境影响评价技术导则地表水环境（HJ2.3-2018）》，河流生态环境需水包括水生生态需水、水环境需水、湿地需水、景观需水、河口压咸需水、其他需水等，其中其他需水主要包括河道工农业生产及生活需水等。根据黎河实际水环境、水生态、湿地环境和景观需水需求，主要考虑水生态需水和水环境需水需求。</w:t>
      </w:r>
    </w:p>
    <w:p>
      <w:pPr>
        <w:autoSpaceDE w:val="0"/>
        <w:autoSpaceDN w:val="0"/>
        <w:adjustRightInd w:val="0"/>
        <w:spacing w:line="480" w:lineRule="exact"/>
        <w:ind w:firstLine="480"/>
        <w:jc w:val="left"/>
        <w:rPr>
          <w:rFonts w:hint="eastAsia" w:ascii="Times New Roman" w:hAnsi="Times New Roman" w:cs="Times New Roman"/>
          <w:color w:val="auto"/>
          <w:kern w:val="0"/>
          <w:sz w:val="24"/>
          <w:highlight w:val="none"/>
          <w:lang w:val="zh-CN"/>
        </w:rPr>
      </w:pPr>
      <w:r>
        <w:rPr>
          <w:rFonts w:hint="eastAsia" w:ascii="Times New Roman" w:hAnsi="Times New Roman" w:cs="Times New Roman"/>
          <w:color w:val="auto"/>
          <w:kern w:val="0"/>
          <w:sz w:val="24"/>
          <w:highlight w:val="none"/>
          <w:lang w:val="zh-CN"/>
        </w:rPr>
        <w:t>河道的最小下泄流量是指为了维持生态环境与环境功能和进行生态建设及生产、生活所需要的河道最小需水量，需要能够满足河道的生产生活用水量、维持河流水环境质量和最小自净用水、水生态用水、河道内输沙需水量、水面蒸发需水量和航运要求、景观用水、水上娱乐环境用水等，各需水量相互重叠，相互补充。</w:t>
      </w:r>
    </w:p>
    <w:p>
      <w:pPr>
        <w:autoSpaceDE w:val="0"/>
        <w:autoSpaceDN w:val="0"/>
        <w:adjustRightInd w:val="0"/>
        <w:spacing w:line="480" w:lineRule="exact"/>
        <w:ind w:firstLine="480"/>
        <w:jc w:val="left"/>
        <w:rPr>
          <w:rFonts w:hint="eastAsia" w:ascii="Times New Roman" w:hAnsi="Times New Roman" w:cs="Times New Roman"/>
          <w:color w:val="auto"/>
          <w:kern w:val="0"/>
          <w:sz w:val="24"/>
          <w:highlight w:val="none"/>
          <w:lang w:val="zh-CN"/>
        </w:rPr>
      </w:pPr>
      <w:r>
        <w:rPr>
          <w:rFonts w:hint="eastAsia" w:ascii="Times New Roman" w:hAnsi="Times New Roman" w:cs="Times New Roman"/>
          <w:color w:val="auto"/>
          <w:kern w:val="0"/>
          <w:sz w:val="24"/>
          <w:highlight w:val="none"/>
          <w:lang w:val="zh-CN"/>
        </w:rPr>
        <w:t>黎河在春秋两个输水期，非输水期，平均流速</w:t>
      </w:r>
      <w:r>
        <w:rPr>
          <w:rFonts w:hint="eastAsia" w:ascii="Times New Roman" w:hAnsi="Times New Roman" w:cs="Times New Roman"/>
          <w:color w:val="auto"/>
          <w:kern w:val="0"/>
          <w:sz w:val="24"/>
          <w:highlight w:val="none"/>
          <w:lang w:val="en-US" w:eastAsia="zh-CN"/>
        </w:rPr>
        <w:t>0.2m</w:t>
      </w:r>
      <w:r>
        <w:rPr>
          <w:rFonts w:hint="eastAsia" w:ascii="Times New Roman" w:hAnsi="Times New Roman" w:cs="Times New Roman"/>
          <w:color w:val="auto"/>
          <w:kern w:val="0"/>
          <w:sz w:val="24"/>
          <w:highlight w:val="none"/>
          <w:vertAlign w:val="superscript"/>
          <w:lang w:val="en-US" w:eastAsia="zh-CN"/>
        </w:rPr>
        <w:t>3</w:t>
      </w:r>
      <w:r>
        <w:rPr>
          <w:rFonts w:hint="eastAsia" w:ascii="Times New Roman" w:hAnsi="Times New Roman" w:cs="Times New Roman"/>
          <w:color w:val="auto"/>
          <w:kern w:val="0"/>
          <w:sz w:val="24"/>
          <w:highlight w:val="none"/>
          <w:lang w:val="en-US" w:eastAsia="zh-CN"/>
        </w:rPr>
        <w:t>/s；输水期流速</w:t>
      </w:r>
      <w:r>
        <w:rPr>
          <w:rFonts w:hint="eastAsia" w:cs="Times New Roman"/>
          <w:color w:val="auto"/>
          <w:kern w:val="0"/>
          <w:sz w:val="24"/>
          <w:highlight w:val="none"/>
          <w:lang w:val="en-US" w:eastAsia="zh-CN"/>
        </w:rPr>
        <w:t>6</w:t>
      </w:r>
      <w:r>
        <w:rPr>
          <w:rFonts w:hint="eastAsia" w:ascii="Times New Roman" w:hAnsi="Times New Roman" w:cs="Times New Roman"/>
          <w:color w:val="auto"/>
          <w:kern w:val="0"/>
          <w:sz w:val="24"/>
          <w:highlight w:val="none"/>
          <w:lang w:val="en-US" w:eastAsia="zh-CN"/>
        </w:rPr>
        <w:t>0m</w:t>
      </w:r>
      <w:r>
        <w:rPr>
          <w:rFonts w:hint="eastAsia" w:ascii="Times New Roman" w:hAnsi="Times New Roman" w:cs="Times New Roman"/>
          <w:color w:val="auto"/>
          <w:kern w:val="0"/>
          <w:sz w:val="24"/>
          <w:highlight w:val="none"/>
          <w:vertAlign w:val="superscript"/>
          <w:lang w:val="en-US" w:eastAsia="zh-CN"/>
        </w:rPr>
        <w:t>3</w:t>
      </w:r>
      <w:r>
        <w:rPr>
          <w:rFonts w:hint="eastAsia" w:ascii="Times New Roman" w:hAnsi="Times New Roman" w:cs="Times New Roman"/>
          <w:color w:val="auto"/>
          <w:kern w:val="0"/>
          <w:sz w:val="24"/>
          <w:highlight w:val="none"/>
          <w:lang w:val="en-US" w:eastAsia="zh-CN"/>
        </w:rPr>
        <w:t>/s。</w:t>
      </w:r>
      <w:r>
        <w:rPr>
          <w:rFonts w:hint="eastAsia" w:ascii="Times New Roman" w:hAnsi="Times New Roman" w:cs="Times New Roman"/>
          <w:color w:val="auto"/>
          <w:kern w:val="0"/>
          <w:sz w:val="24"/>
          <w:highlight w:val="none"/>
          <w:lang w:val="zh-CN"/>
        </w:rPr>
        <w:t>根据国家环境保护总局办公厅《关于印发水电水利建设项目水环境与水生生态保护技术政策研讨会会议纪要的函》（环办函[2006]11 号）推荐，结合工程特点，最终选择按照 Tennant 法对该河段生态需水量进行计算。</w:t>
      </w:r>
    </w:p>
    <w:p>
      <w:pPr>
        <w:autoSpaceDE w:val="0"/>
        <w:autoSpaceDN w:val="0"/>
        <w:adjustRightInd w:val="0"/>
        <w:spacing w:line="480" w:lineRule="exact"/>
        <w:ind w:firstLine="480" w:firstLineChars="200"/>
        <w:jc w:val="left"/>
        <w:rPr>
          <w:rFonts w:hint="eastAsia" w:ascii="Times New Roman" w:hAnsi="Times New Roman" w:cs="Times New Roman"/>
          <w:color w:val="auto"/>
          <w:kern w:val="0"/>
          <w:sz w:val="24"/>
          <w:highlight w:val="none"/>
          <w:lang w:val="zh-CN"/>
        </w:rPr>
      </w:pPr>
      <w:r>
        <w:rPr>
          <w:rFonts w:hint="eastAsia" w:ascii="Times New Roman" w:hAnsi="Times New Roman" w:cs="Times New Roman"/>
          <w:color w:val="auto"/>
          <w:kern w:val="0"/>
          <w:sz w:val="24"/>
          <w:highlight w:val="none"/>
          <w:lang w:val="zh-CN"/>
        </w:rPr>
        <w:t>Tennant法在考虑保护鱼类、野生动物和有关环境资源的河流流量状况下，将全年分为汛期和非汛期两个部分，按照年平均流量的百分数来推荐河流基流，Tennant法认为10%是保持大多数水生生物在全年生存所需的最低径流量。</w:t>
      </w:r>
    </w:p>
    <w:p>
      <w:pPr>
        <w:autoSpaceDE w:val="0"/>
        <w:autoSpaceDN w:val="0"/>
        <w:adjustRightInd w:val="0"/>
        <w:spacing w:line="480" w:lineRule="exact"/>
        <w:ind w:left="0" w:leftChars="0" w:right="0" w:rightChars="0" w:firstLine="0" w:firstLineChars="0"/>
        <w:jc w:val="center"/>
        <w:rPr>
          <w:rFonts w:hint="eastAsia" w:ascii="Times New Roman" w:hAnsi="Times New Roman" w:cs="Times New Roman"/>
          <w:b/>
          <w:bCs/>
          <w:color w:val="auto"/>
          <w:kern w:val="0"/>
          <w:sz w:val="24"/>
          <w:highlight w:val="none"/>
          <w:lang w:val="zh-CN"/>
        </w:rPr>
      </w:pPr>
    </w:p>
    <w:p>
      <w:pPr>
        <w:autoSpaceDE w:val="0"/>
        <w:autoSpaceDN w:val="0"/>
        <w:adjustRightInd w:val="0"/>
        <w:spacing w:line="480" w:lineRule="exact"/>
        <w:ind w:left="0" w:leftChars="0" w:right="0" w:rightChars="0" w:firstLine="0" w:firstLineChars="0"/>
        <w:jc w:val="center"/>
        <w:rPr>
          <w:rFonts w:hint="eastAsia" w:ascii="Times New Roman" w:hAnsi="Times New Roman" w:cs="Times New Roman"/>
          <w:b/>
          <w:bCs/>
          <w:color w:val="auto"/>
          <w:kern w:val="0"/>
          <w:sz w:val="24"/>
          <w:highlight w:val="none"/>
          <w:lang w:val="zh-CN"/>
        </w:rPr>
      </w:pPr>
    </w:p>
    <w:p>
      <w:pPr>
        <w:pStyle w:val="50"/>
        <w:rPr>
          <w:rFonts w:hint="eastAsia" w:ascii="Times New Roman" w:hAnsi="Times New Roman" w:cs="Times New Roman"/>
          <w:b/>
          <w:bCs/>
          <w:color w:val="auto"/>
          <w:kern w:val="0"/>
          <w:sz w:val="24"/>
          <w:highlight w:val="none"/>
          <w:lang w:val="zh-CN"/>
        </w:rPr>
      </w:pPr>
    </w:p>
    <w:p>
      <w:pPr>
        <w:rPr>
          <w:rFonts w:hint="eastAsia"/>
          <w:highlight w:val="none"/>
          <w:lang w:val="zh-CN"/>
        </w:rPr>
      </w:pPr>
    </w:p>
    <w:p>
      <w:pPr>
        <w:autoSpaceDE w:val="0"/>
        <w:autoSpaceDN w:val="0"/>
        <w:adjustRightInd w:val="0"/>
        <w:spacing w:line="480" w:lineRule="exact"/>
        <w:ind w:left="0" w:leftChars="0" w:right="0" w:rightChars="0" w:firstLine="0" w:firstLineChars="0"/>
        <w:jc w:val="center"/>
        <w:rPr>
          <w:rFonts w:hint="eastAsia" w:ascii="Times New Roman" w:hAnsi="Times New Roman" w:cs="Times New Roman"/>
          <w:b/>
          <w:bCs/>
          <w:color w:val="auto"/>
          <w:kern w:val="0"/>
          <w:sz w:val="24"/>
          <w:highlight w:val="none"/>
          <w:lang w:val="zh-CN"/>
        </w:rPr>
      </w:pPr>
      <w:r>
        <w:rPr>
          <w:rFonts w:hint="eastAsia" w:ascii="Times New Roman" w:hAnsi="Times New Roman" w:cs="Times New Roman"/>
          <w:b/>
          <w:bCs/>
          <w:color w:val="auto"/>
          <w:kern w:val="0"/>
          <w:sz w:val="24"/>
          <w:highlight w:val="none"/>
          <w:lang w:val="zh-CN"/>
        </w:rPr>
        <w:t>表</w:t>
      </w:r>
      <w:r>
        <w:rPr>
          <w:rFonts w:hint="eastAsia" w:ascii="Times New Roman" w:hAnsi="Times New Roman" w:cs="Times New Roman"/>
          <w:b/>
          <w:bCs/>
          <w:color w:val="auto"/>
          <w:kern w:val="0"/>
          <w:sz w:val="24"/>
          <w:highlight w:val="none"/>
          <w:lang w:val="en-US" w:eastAsia="zh-CN"/>
        </w:rPr>
        <w:t>5.3</w:t>
      </w:r>
      <w:r>
        <w:rPr>
          <w:rFonts w:hint="eastAsia" w:ascii="Times New Roman" w:hAnsi="Times New Roman" w:cs="Times New Roman"/>
          <w:b/>
          <w:bCs/>
          <w:color w:val="auto"/>
          <w:kern w:val="0"/>
          <w:sz w:val="24"/>
          <w:highlight w:val="none"/>
          <w:lang w:val="zh-CN"/>
        </w:rPr>
        <w:t>-1 保护鱼类、野生动物和有关生态环境资源的河流流量要求</w:t>
      </w:r>
    </w:p>
    <w:tbl>
      <w:tblPr>
        <w:tblStyle w:val="52"/>
        <w:tblW w:w="80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20"/>
        <w:gridCol w:w="3030"/>
        <w:gridCol w:w="31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0" w:type="dxa"/>
            <w:vAlign w:val="center"/>
          </w:tcPr>
          <w:p>
            <w:pPr>
              <w:autoSpaceDE w:val="0"/>
              <w:autoSpaceDN w:val="0"/>
              <w:adjustRightInd w:val="0"/>
              <w:spacing w:line="300" w:lineRule="exact"/>
              <w:jc w:val="center"/>
              <w:rPr>
                <w:color w:val="auto"/>
                <w:kern w:val="0"/>
                <w:szCs w:val="21"/>
                <w:highlight w:val="none"/>
                <w:lang w:val="zh-CN"/>
              </w:rPr>
            </w:pPr>
            <w:r>
              <w:rPr>
                <w:rFonts w:hint="eastAsia"/>
                <w:color w:val="auto"/>
                <w:kern w:val="0"/>
                <w:szCs w:val="21"/>
                <w:highlight w:val="none"/>
                <w:lang w:val="zh-CN"/>
              </w:rPr>
              <w:t>流量状况描述</w:t>
            </w:r>
          </w:p>
        </w:tc>
        <w:tc>
          <w:tcPr>
            <w:tcW w:w="3030" w:type="dxa"/>
            <w:vAlign w:val="center"/>
          </w:tcPr>
          <w:p>
            <w:pPr>
              <w:autoSpaceDE w:val="0"/>
              <w:autoSpaceDN w:val="0"/>
              <w:adjustRightInd w:val="0"/>
              <w:spacing w:line="300" w:lineRule="exact"/>
              <w:jc w:val="center"/>
              <w:rPr>
                <w:rFonts w:hint="eastAsia"/>
                <w:color w:val="auto"/>
                <w:kern w:val="0"/>
                <w:szCs w:val="21"/>
                <w:highlight w:val="none"/>
                <w:lang w:val="zh-CN"/>
              </w:rPr>
            </w:pPr>
            <w:r>
              <w:rPr>
                <w:rFonts w:hint="eastAsia"/>
                <w:color w:val="auto"/>
                <w:kern w:val="0"/>
                <w:szCs w:val="21"/>
                <w:highlight w:val="none"/>
                <w:lang w:val="zh-CN"/>
              </w:rPr>
              <w:t>推荐的基流（10月～3月）</w:t>
            </w:r>
          </w:p>
          <w:p>
            <w:pPr>
              <w:autoSpaceDE w:val="0"/>
              <w:autoSpaceDN w:val="0"/>
              <w:adjustRightInd w:val="0"/>
              <w:spacing w:line="300" w:lineRule="exact"/>
              <w:jc w:val="center"/>
              <w:rPr>
                <w:color w:val="auto"/>
                <w:kern w:val="0"/>
                <w:szCs w:val="21"/>
                <w:highlight w:val="none"/>
                <w:lang w:val="zh-CN"/>
              </w:rPr>
            </w:pPr>
            <w:r>
              <w:rPr>
                <w:rFonts w:hint="eastAsia"/>
                <w:color w:val="auto"/>
                <w:kern w:val="0"/>
                <w:szCs w:val="21"/>
                <w:highlight w:val="none"/>
                <w:lang w:val="zh-CN"/>
              </w:rPr>
              <w:t>（%平均流量）</w:t>
            </w:r>
          </w:p>
        </w:tc>
        <w:tc>
          <w:tcPr>
            <w:tcW w:w="3152" w:type="dxa"/>
            <w:vAlign w:val="center"/>
          </w:tcPr>
          <w:p>
            <w:pPr>
              <w:autoSpaceDE w:val="0"/>
              <w:autoSpaceDN w:val="0"/>
              <w:adjustRightInd w:val="0"/>
              <w:spacing w:line="300" w:lineRule="exact"/>
              <w:jc w:val="center"/>
              <w:rPr>
                <w:rFonts w:hint="eastAsia"/>
                <w:color w:val="auto"/>
                <w:kern w:val="0"/>
                <w:szCs w:val="21"/>
                <w:highlight w:val="none"/>
                <w:lang w:val="zh-CN"/>
              </w:rPr>
            </w:pPr>
            <w:r>
              <w:rPr>
                <w:rFonts w:hint="eastAsia"/>
                <w:color w:val="auto"/>
                <w:kern w:val="0"/>
                <w:szCs w:val="21"/>
                <w:highlight w:val="none"/>
                <w:lang w:val="zh-CN"/>
              </w:rPr>
              <w:t>推荐的基流（4月～9月）</w:t>
            </w:r>
          </w:p>
          <w:p>
            <w:pPr>
              <w:autoSpaceDE w:val="0"/>
              <w:autoSpaceDN w:val="0"/>
              <w:adjustRightInd w:val="0"/>
              <w:spacing w:line="300" w:lineRule="exact"/>
              <w:jc w:val="center"/>
              <w:rPr>
                <w:color w:val="auto"/>
                <w:kern w:val="0"/>
                <w:szCs w:val="21"/>
                <w:highlight w:val="none"/>
                <w:lang w:val="zh-CN"/>
              </w:rPr>
            </w:pPr>
            <w:r>
              <w:rPr>
                <w:rFonts w:hint="eastAsia"/>
                <w:color w:val="auto"/>
                <w:kern w:val="0"/>
                <w:szCs w:val="21"/>
                <w:highlight w:val="none"/>
                <w:lang w:val="zh-CN"/>
              </w:rPr>
              <w:t>（%平均流量）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0" w:type="dxa"/>
            <w:vAlign w:val="center"/>
          </w:tcPr>
          <w:p>
            <w:pPr>
              <w:autoSpaceDE w:val="0"/>
              <w:autoSpaceDN w:val="0"/>
              <w:adjustRightInd w:val="0"/>
              <w:spacing w:line="300" w:lineRule="exact"/>
              <w:jc w:val="center"/>
              <w:rPr>
                <w:color w:val="auto"/>
                <w:kern w:val="0"/>
                <w:szCs w:val="21"/>
                <w:highlight w:val="none"/>
                <w:lang w:val="zh-CN"/>
              </w:rPr>
            </w:pPr>
            <w:r>
              <w:rPr>
                <w:rFonts w:hint="eastAsia"/>
                <w:color w:val="auto"/>
                <w:kern w:val="0"/>
                <w:szCs w:val="21"/>
                <w:highlight w:val="none"/>
                <w:lang w:val="zh-CN"/>
              </w:rPr>
              <w:t>泛滥或最大</w:t>
            </w:r>
          </w:p>
        </w:tc>
        <w:tc>
          <w:tcPr>
            <w:tcW w:w="3030" w:type="dxa"/>
            <w:vAlign w:val="center"/>
          </w:tcPr>
          <w:p>
            <w:pPr>
              <w:autoSpaceDE w:val="0"/>
              <w:autoSpaceDN w:val="0"/>
              <w:adjustRightInd w:val="0"/>
              <w:spacing w:line="300" w:lineRule="exact"/>
              <w:jc w:val="center"/>
              <w:rPr>
                <w:color w:val="auto"/>
                <w:kern w:val="0"/>
                <w:szCs w:val="21"/>
                <w:highlight w:val="none"/>
              </w:rPr>
            </w:pPr>
          </w:p>
        </w:tc>
        <w:tc>
          <w:tcPr>
            <w:tcW w:w="3152" w:type="dxa"/>
            <w:vAlign w:val="center"/>
          </w:tcPr>
          <w:p>
            <w:pPr>
              <w:autoSpaceDE w:val="0"/>
              <w:autoSpaceDN w:val="0"/>
              <w:adjustRightInd w:val="0"/>
              <w:spacing w:line="300" w:lineRule="exact"/>
              <w:jc w:val="center"/>
              <w:rPr>
                <w:color w:val="auto"/>
                <w:kern w:val="0"/>
                <w:szCs w:val="21"/>
                <w:highlight w:val="none"/>
              </w:rPr>
            </w:pPr>
            <w:r>
              <w:rPr>
                <w:rFonts w:hint="eastAsia"/>
                <w:color w:val="auto"/>
                <w:kern w:val="0"/>
                <w:szCs w:val="21"/>
                <w:highlight w:val="none"/>
              </w:rPr>
              <w:t>200（48～72小时）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0" w:type="dxa"/>
            <w:vAlign w:val="center"/>
          </w:tcPr>
          <w:p>
            <w:pPr>
              <w:autoSpaceDE w:val="0"/>
              <w:autoSpaceDN w:val="0"/>
              <w:adjustRightInd w:val="0"/>
              <w:spacing w:line="300" w:lineRule="exact"/>
              <w:jc w:val="center"/>
              <w:rPr>
                <w:color w:val="auto"/>
                <w:kern w:val="0"/>
                <w:szCs w:val="21"/>
                <w:highlight w:val="none"/>
                <w:lang w:val="zh-CN"/>
              </w:rPr>
            </w:pPr>
            <w:r>
              <w:rPr>
                <w:rFonts w:hint="eastAsia"/>
                <w:color w:val="auto"/>
                <w:kern w:val="0"/>
                <w:szCs w:val="21"/>
                <w:highlight w:val="none"/>
                <w:lang w:val="zh-CN"/>
              </w:rPr>
              <w:t>最佳范围</w:t>
            </w:r>
          </w:p>
        </w:tc>
        <w:tc>
          <w:tcPr>
            <w:tcW w:w="3030" w:type="dxa"/>
            <w:vAlign w:val="center"/>
          </w:tcPr>
          <w:p>
            <w:pPr>
              <w:autoSpaceDE w:val="0"/>
              <w:autoSpaceDN w:val="0"/>
              <w:adjustRightInd w:val="0"/>
              <w:spacing w:line="30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60=100</w:t>
            </w:r>
          </w:p>
        </w:tc>
        <w:tc>
          <w:tcPr>
            <w:tcW w:w="3152" w:type="dxa"/>
            <w:vAlign w:val="center"/>
          </w:tcPr>
          <w:p>
            <w:pPr>
              <w:autoSpaceDE w:val="0"/>
              <w:autoSpaceDN w:val="0"/>
              <w:adjustRightInd w:val="0"/>
              <w:spacing w:line="30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0" w:type="dxa"/>
            <w:vAlign w:val="center"/>
          </w:tcPr>
          <w:p>
            <w:pPr>
              <w:autoSpaceDE w:val="0"/>
              <w:autoSpaceDN w:val="0"/>
              <w:adjustRightInd w:val="0"/>
              <w:spacing w:line="300" w:lineRule="exact"/>
              <w:jc w:val="center"/>
              <w:rPr>
                <w:color w:val="auto"/>
                <w:kern w:val="0"/>
                <w:szCs w:val="21"/>
                <w:highlight w:val="none"/>
                <w:lang w:val="zh-CN"/>
              </w:rPr>
            </w:pPr>
            <w:r>
              <w:rPr>
                <w:rFonts w:hint="eastAsia"/>
                <w:color w:val="auto"/>
                <w:kern w:val="0"/>
                <w:szCs w:val="21"/>
                <w:highlight w:val="none"/>
                <w:lang w:val="zh-CN"/>
              </w:rPr>
              <w:t>很好</w:t>
            </w:r>
          </w:p>
        </w:tc>
        <w:tc>
          <w:tcPr>
            <w:tcW w:w="3030" w:type="dxa"/>
            <w:vAlign w:val="center"/>
          </w:tcPr>
          <w:p>
            <w:pPr>
              <w:autoSpaceDE w:val="0"/>
              <w:autoSpaceDN w:val="0"/>
              <w:adjustRightInd w:val="0"/>
              <w:spacing w:line="30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40</w:t>
            </w:r>
          </w:p>
        </w:tc>
        <w:tc>
          <w:tcPr>
            <w:tcW w:w="3152" w:type="dxa"/>
            <w:vAlign w:val="center"/>
          </w:tcPr>
          <w:p>
            <w:pPr>
              <w:autoSpaceDE w:val="0"/>
              <w:autoSpaceDN w:val="0"/>
              <w:adjustRightInd w:val="0"/>
              <w:spacing w:line="30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0" w:type="dxa"/>
            <w:vAlign w:val="center"/>
          </w:tcPr>
          <w:p>
            <w:pPr>
              <w:autoSpaceDE w:val="0"/>
              <w:autoSpaceDN w:val="0"/>
              <w:adjustRightInd w:val="0"/>
              <w:spacing w:line="300" w:lineRule="exact"/>
              <w:jc w:val="center"/>
              <w:rPr>
                <w:color w:val="auto"/>
                <w:kern w:val="0"/>
                <w:szCs w:val="21"/>
                <w:highlight w:val="none"/>
                <w:lang w:val="zh-CN"/>
              </w:rPr>
            </w:pPr>
            <w:r>
              <w:rPr>
                <w:rFonts w:hint="eastAsia"/>
                <w:color w:val="auto"/>
                <w:kern w:val="0"/>
                <w:szCs w:val="21"/>
                <w:highlight w:val="none"/>
                <w:lang w:val="zh-CN"/>
              </w:rPr>
              <w:t>好</w:t>
            </w:r>
          </w:p>
        </w:tc>
        <w:tc>
          <w:tcPr>
            <w:tcW w:w="3030" w:type="dxa"/>
            <w:vAlign w:val="center"/>
          </w:tcPr>
          <w:p>
            <w:pPr>
              <w:autoSpaceDE w:val="0"/>
              <w:autoSpaceDN w:val="0"/>
              <w:adjustRightInd w:val="0"/>
              <w:spacing w:line="30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30</w:t>
            </w:r>
          </w:p>
        </w:tc>
        <w:tc>
          <w:tcPr>
            <w:tcW w:w="3152" w:type="dxa"/>
            <w:vAlign w:val="center"/>
          </w:tcPr>
          <w:p>
            <w:pPr>
              <w:autoSpaceDE w:val="0"/>
              <w:autoSpaceDN w:val="0"/>
              <w:adjustRightInd w:val="0"/>
              <w:spacing w:line="30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0" w:type="dxa"/>
            <w:vAlign w:val="center"/>
          </w:tcPr>
          <w:p>
            <w:pPr>
              <w:autoSpaceDE w:val="0"/>
              <w:autoSpaceDN w:val="0"/>
              <w:adjustRightInd w:val="0"/>
              <w:spacing w:line="300" w:lineRule="exact"/>
              <w:jc w:val="center"/>
              <w:rPr>
                <w:rFonts w:hint="default" w:eastAsia="宋体"/>
                <w:color w:val="auto"/>
                <w:kern w:val="0"/>
                <w:szCs w:val="21"/>
                <w:highlight w:val="none"/>
                <w:lang w:val="en-US" w:eastAsia="zh-CN"/>
              </w:rPr>
            </w:pPr>
            <w:r>
              <w:rPr>
                <w:rFonts w:hint="eastAsia"/>
                <w:color w:val="auto"/>
                <w:kern w:val="0"/>
                <w:szCs w:val="21"/>
                <w:highlight w:val="none"/>
                <w:lang w:val="zh-CN"/>
              </w:rPr>
              <w:t>良好</w:t>
            </w:r>
          </w:p>
        </w:tc>
        <w:tc>
          <w:tcPr>
            <w:tcW w:w="3030" w:type="dxa"/>
            <w:vAlign w:val="center"/>
          </w:tcPr>
          <w:p>
            <w:pPr>
              <w:autoSpaceDE w:val="0"/>
              <w:autoSpaceDN w:val="0"/>
              <w:adjustRightInd w:val="0"/>
              <w:spacing w:line="300" w:lineRule="exact"/>
              <w:jc w:val="center"/>
              <w:rPr>
                <w:rFonts w:hint="eastAsia"/>
                <w:color w:val="auto"/>
                <w:kern w:val="0"/>
                <w:szCs w:val="21"/>
                <w:highlight w:val="none"/>
                <w:lang w:val="en-US" w:eastAsia="zh-CN"/>
              </w:rPr>
            </w:pPr>
            <w:r>
              <w:rPr>
                <w:rFonts w:hint="eastAsia"/>
                <w:color w:val="auto"/>
                <w:kern w:val="0"/>
                <w:szCs w:val="21"/>
                <w:highlight w:val="none"/>
                <w:lang w:val="en-US" w:eastAsia="zh-CN"/>
              </w:rPr>
              <w:t>20</w:t>
            </w:r>
          </w:p>
        </w:tc>
        <w:tc>
          <w:tcPr>
            <w:tcW w:w="3152"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0" w:type="dxa"/>
            <w:vAlign w:val="center"/>
          </w:tcPr>
          <w:p>
            <w:pPr>
              <w:autoSpaceDE w:val="0"/>
              <w:autoSpaceDN w:val="0"/>
              <w:adjustRightInd w:val="0"/>
              <w:spacing w:line="300" w:lineRule="exact"/>
              <w:jc w:val="center"/>
              <w:rPr>
                <w:rFonts w:hint="eastAsia"/>
                <w:color w:val="auto"/>
                <w:kern w:val="0"/>
                <w:szCs w:val="21"/>
                <w:highlight w:val="none"/>
                <w:lang w:val="zh-CN"/>
              </w:rPr>
            </w:pPr>
            <w:r>
              <w:rPr>
                <w:rFonts w:hint="eastAsia"/>
                <w:color w:val="auto"/>
                <w:kern w:val="0"/>
                <w:szCs w:val="21"/>
                <w:highlight w:val="none"/>
                <w:lang w:val="zh-CN"/>
              </w:rPr>
              <w:t xml:space="preserve">一般或较差 </w:t>
            </w:r>
          </w:p>
        </w:tc>
        <w:tc>
          <w:tcPr>
            <w:tcW w:w="3030"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10</w:t>
            </w:r>
          </w:p>
        </w:tc>
        <w:tc>
          <w:tcPr>
            <w:tcW w:w="3152"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0" w:type="dxa"/>
            <w:vAlign w:val="center"/>
          </w:tcPr>
          <w:p>
            <w:pPr>
              <w:autoSpaceDE w:val="0"/>
              <w:autoSpaceDN w:val="0"/>
              <w:adjustRightInd w:val="0"/>
              <w:spacing w:line="300" w:lineRule="exact"/>
              <w:jc w:val="center"/>
              <w:rPr>
                <w:rFonts w:hint="eastAsia"/>
                <w:color w:val="auto"/>
                <w:kern w:val="0"/>
                <w:szCs w:val="21"/>
                <w:highlight w:val="none"/>
                <w:lang w:val="zh-CN"/>
              </w:rPr>
            </w:pPr>
            <w:r>
              <w:rPr>
                <w:rFonts w:hint="eastAsia"/>
                <w:color w:val="auto"/>
                <w:kern w:val="0"/>
                <w:szCs w:val="21"/>
                <w:highlight w:val="none"/>
                <w:lang w:val="zh-CN"/>
              </w:rPr>
              <w:t>差或最小</w:t>
            </w:r>
          </w:p>
        </w:tc>
        <w:tc>
          <w:tcPr>
            <w:tcW w:w="3030"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10</w:t>
            </w:r>
          </w:p>
        </w:tc>
        <w:tc>
          <w:tcPr>
            <w:tcW w:w="3152"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0" w:type="dxa"/>
            <w:vAlign w:val="center"/>
          </w:tcPr>
          <w:p>
            <w:pPr>
              <w:autoSpaceDE w:val="0"/>
              <w:autoSpaceDN w:val="0"/>
              <w:adjustRightInd w:val="0"/>
              <w:spacing w:line="300" w:lineRule="exact"/>
              <w:jc w:val="center"/>
              <w:rPr>
                <w:rFonts w:hint="eastAsia"/>
                <w:color w:val="auto"/>
                <w:kern w:val="0"/>
                <w:szCs w:val="21"/>
                <w:highlight w:val="none"/>
                <w:lang w:val="zh-CN"/>
              </w:rPr>
            </w:pPr>
            <w:r>
              <w:rPr>
                <w:rFonts w:hint="eastAsia"/>
                <w:color w:val="auto"/>
                <w:kern w:val="0"/>
                <w:szCs w:val="21"/>
                <w:highlight w:val="none"/>
                <w:lang w:val="zh-CN"/>
              </w:rPr>
              <w:t xml:space="preserve">极差 </w:t>
            </w:r>
          </w:p>
        </w:tc>
        <w:tc>
          <w:tcPr>
            <w:tcW w:w="3030" w:type="dxa"/>
            <w:vAlign w:val="center"/>
          </w:tcPr>
          <w:p>
            <w:pPr>
              <w:autoSpaceDE w:val="0"/>
              <w:autoSpaceDN w:val="0"/>
              <w:adjustRightInd w:val="0"/>
              <w:spacing w:line="300" w:lineRule="exact"/>
              <w:jc w:val="center"/>
              <w:rPr>
                <w:rFonts w:hint="eastAsia"/>
                <w:color w:val="auto"/>
                <w:kern w:val="0"/>
                <w:szCs w:val="21"/>
                <w:highlight w:val="none"/>
                <w:lang w:val="en-US" w:eastAsia="zh-CN"/>
              </w:rPr>
            </w:pPr>
            <w:r>
              <w:rPr>
                <w:rFonts w:hint="eastAsia"/>
                <w:color w:val="auto"/>
                <w:kern w:val="0"/>
                <w:szCs w:val="21"/>
                <w:highlight w:val="none"/>
                <w:lang w:val="en-US" w:eastAsia="zh-CN"/>
              </w:rPr>
              <w:t>0~10</w:t>
            </w:r>
          </w:p>
        </w:tc>
        <w:tc>
          <w:tcPr>
            <w:tcW w:w="3152" w:type="dxa"/>
            <w:vAlign w:val="center"/>
          </w:tcPr>
          <w:p>
            <w:pPr>
              <w:autoSpaceDE w:val="0"/>
              <w:autoSpaceDN w:val="0"/>
              <w:adjustRightInd w:val="0"/>
              <w:spacing w:line="300" w:lineRule="exact"/>
              <w:jc w:val="center"/>
              <w:rPr>
                <w:rFonts w:hint="eastAsia"/>
                <w:color w:val="auto"/>
                <w:kern w:val="0"/>
                <w:szCs w:val="21"/>
                <w:highlight w:val="none"/>
                <w:lang w:val="en-US" w:eastAsia="zh-CN"/>
              </w:rPr>
            </w:pPr>
            <w:r>
              <w:rPr>
                <w:rFonts w:hint="eastAsia"/>
                <w:color w:val="auto"/>
                <w:kern w:val="0"/>
                <w:szCs w:val="21"/>
                <w:highlight w:val="none"/>
                <w:lang w:val="en-US" w:eastAsia="zh-CN"/>
              </w:rPr>
              <w:t>0~10</w:t>
            </w:r>
          </w:p>
        </w:tc>
      </w:tr>
    </w:tbl>
    <w:p>
      <w:pPr>
        <w:autoSpaceDE w:val="0"/>
        <w:autoSpaceDN w:val="0"/>
        <w:adjustRightInd w:val="0"/>
        <w:spacing w:line="480" w:lineRule="exact"/>
        <w:ind w:firstLine="480"/>
        <w:jc w:val="left"/>
        <w:rPr>
          <w:rFonts w:hint="eastAsia" w:ascii="Times New Roman" w:hAnsi="Times New Roman" w:cs="Times New Roman"/>
          <w:color w:val="auto"/>
          <w:kern w:val="0"/>
          <w:sz w:val="24"/>
          <w:highlight w:val="none"/>
          <w:lang w:val="en-US" w:eastAsia="zh-CN"/>
        </w:rPr>
      </w:pPr>
      <w:r>
        <w:rPr>
          <w:rFonts w:hint="eastAsia" w:ascii="Times New Roman" w:hAnsi="Times New Roman" w:cs="Times New Roman"/>
          <w:color w:val="auto"/>
          <w:kern w:val="0"/>
          <w:sz w:val="24"/>
          <w:highlight w:val="none"/>
          <w:lang w:val="zh-CN"/>
        </w:rPr>
        <w:t>因此，本电站橡胶坝坝址处的生态需水量非输水期为</w:t>
      </w:r>
      <w:r>
        <w:rPr>
          <w:rFonts w:hint="eastAsia" w:ascii="Times New Roman" w:hAnsi="Times New Roman" w:cs="Times New Roman"/>
          <w:color w:val="auto"/>
          <w:kern w:val="0"/>
          <w:sz w:val="24"/>
          <w:highlight w:val="none"/>
          <w:lang w:val="en-US" w:eastAsia="zh-CN"/>
        </w:rPr>
        <w:t>0.</w:t>
      </w:r>
      <w:r>
        <w:rPr>
          <w:rFonts w:hint="eastAsia" w:cs="Times New Roman"/>
          <w:color w:val="auto"/>
          <w:kern w:val="0"/>
          <w:sz w:val="24"/>
          <w:highlight w:val="none"/>
          <w:lang w:val="en-US" w:eastAsia="zh-CN"/>
        </w:rPr>
        <w:t>44</w:t>
      </w:r>
      <w:r>
        <w:rPr>
          <w:rFonts w:hint="eastAsia" w:ascii="Times New Roman" w:hAnsi="Times New Roman" w:cs="Times New Roman"/>
          <w:color w:val="auto"/>
          <w:kern w:val="0"/>
          <w:sz w:val="24"/>
          <w:highlight w:val="none"/>
          <w:lang w:val="zh-CN"/>
        </w:rPr>
        <w:t>m</w:t>
      </w:r>
      <w:r>
        <w:rPr>
          <w:rFonts w:hint="eastAsia" w:ascii="Times New Roman" w:hAnsi="Times New Roman" w:cs="Times New Roman"/>
          <w:color w:val="auto"/>
          <w:kern w:val="0"/>
          <w:sz w:val="24"/>
          <w:highlight w:val="none"/>
          <w:vertAlign w:val="superscript"/>
          <w:lang w:val="zh-CN"/>
        </w:rPr>
        <w:t>3</w:t>
      </w:r>
      <w:r>
        <w:rPr>
          <w:rFonts w:hint="eastAsia" w:ascii="Times New Roman" w:hAnsi="Times New Roman" w:cs="Times New Roman"/>
          <w:color w:val="auto"/>
          <w:kern w:val="0"/>
          <w:sz w:val="24"/>
          <w:highlight w:val="none"/>
          <w:lang w:val="zh-CN"/>
        </w:rPr>
        <w:t>/s，</w:t>
      </w:r>
      <w:r>
        <w:rPr>
          <w:rFonts w:hint="eastAsia"/>
          <w:color w:val="auto"/>
          <w:kern w:val="0"/>
          <w:sz w:val="24"/>
          <w:highlight w:val="none"/>
          <w:lang w:val="zh-CN"/>
        </w:rPr>
        <w:t>“</w:t>
      </w:r>
      <w:r>
        <w:rPr>
          <w:color w:val="auto"/>
          <w:kern w:val="0"/>
          <w:sz w:val="24"/>
          <w:highlight w:val="none"/>
          <w:lang w:val="zh-CN"/>
        </w:rPr>
        <w:t>引滦入津工程</w:t>
      </w:r>
      <w:r>
        <w:rPr>
          <w:rFonts w:hint="eastAsia"/>
          <w:color w:val="auto"/>
          <w:kern w:val="0"/>
          <w:sz w:val="24"/>
          <w:highlight w:val="none"/>
          <w:lang w:val="zh-CN"/>
        </w:rPr>
        <w:t>”</w:t>
      </w:r>
      <w:r>
        <w:rPr>
          <w:color w:val="auto"/>
          <w:kern w:val="0"/>
          <w:sz w:val="24"/>
          <w:highlight w:val="none"/>
          <w:lang w:val="zh-CN"/>
        </w:rPr>
        <w:t>输水河道</w:t>
      </w:r>
      <w:r>
        <w:rPr>
          <w:rFonts w:hint="eastAsia"/>
          <w:color w:val="auto"/>
          <w:kern w:val="0"/>
          <w:sz w:val="24"/>
          <w:highlight w:val="none"/>
          <w:lang w:val="zh-CN"/>
        </w:rPr>
        <w:t>黎河</w:t>
      </w:r>
      <w:r>
        <w:rPr>
          <w:color w:val="auto"/>
          <w:kern w:val="0"/>
          <w:sz w:val="24"/>
          <w:highlight w:val="none"/>
          <w:lang w:val="zh-CN"/>
        </w:rPr>
        <w:t>水流流量6</w:t>
      </w:r>
      <w:r>
        <w:rPr>
          <w:rFonts w:hint="eastAsia"/>
          <w:color w:val="auto"/>
          <w:kern w:val="0"/>
          <w:sz w:val="24"/>
          <w:highlight w:val="none"/>
          <w:lang w:val="en-US" w:eastAsia="zh-CN"/>
        </w:rPr>
        <w:t>0</w:t>
      </w:r>
      <w:r>
        <w:rPr>
          <w:color w:val="auto"/>
          <w:kern w:val="0"/>
          <w:sz w:val="24"/>
          <w:highlight w:val="none"/>
          <w:lang w:val="zh-CN"/>
        </w:rPr>
        <w:t>m</w:t>
      </w:r>
      <w:r>
        <w:rPr>
          <w:color w:val="auto"/>
          <w:kern w:val="0"/>
          <w:sz w:val="24"/>
          <w:highlight w:val="none"/>
          <w:vertAlign w:val="superscript"/>
          <w:lang w:val="zh-CN"/>
        </w:rPr>
        <w:t>3</w:t>
      </w:r>
      <w:r>
        <w:rPr>
          <w:color w:val="auto"/>
          <w:kern w:val="0"/>
          <w:sz w:val="24"/>
          <w:highlight w:val="none"/>
          <w:lang w:val="zh-CN"/>
        </w:rPr>
        <w:t>/s，水轮机</w:t>
      </w:r>
      <w:r>
        <w:rPr>
          <w:rFonts w:hint="eastAsia"/>
          <w:color w:val="auto"/>
          <w:kern w:val="0"/>
          <w:sz w:val="24"/>
          <w:highlight w:val="none"/>
          <w:lang w:val="zh-CN"/>
        </w:rPr>
        <w:t>引水</w:t>
      </w:r>
      <w:r>
        <w:rPr>
          <w:color w:val="auto"/>
          <w:kern w:val="0"/>
          <w:sz w:val="24"/>
          <w:highlight w:val="none"/>
          <w:lang w:val="zh-CN"/>
        </w:rPr>
        <w:t>流量5</w:t>
      </w:r>
      <w:r>
        <w:rPr>
          <w:rFonts w:hint="eastAsia"/>
          <w:color w:val="auto"/>
          <w:kern w:val="0"/>
          <w:sz w:val="24"/>
          <w:highlight w:val="none"/>
          <w:lang w:val="en-US" w:eastAsia="zh-CN"/>
        </w:rPr>
        <w:t>5.92</w:t>
      </w:r>
      <w:r>
        <w:rPr>
          <w:color w:val="auto"/>
          <w:kern w:val="0"/>
          <w:sz w:val="24"/>
          <w:highlight w:val="none"/>
          <w:lang w:val="zh-CN"/>
        </w:rPr>
        <w:t>m</w:t>
      </w:r>
      <w:r>
        <w:rPr>
          <w:color w:val="auto"/>
          <w:kern w:val="0"/>
          <w:sz w:val="24"/>
          <w:highlight w:val="none"/>
          <w:vertAlign w:val="superscript"/>
          <w:lang w:val="zh-CN"/>
        </w:rPr>
        <w:t>3</w:t>
      </w:r>
      <w:r>
        <w:rPr>
          <w:color w:val="auto"/>
          <w:kern w:val="0"/>
          <w:sz w:val="24"/>
          <w:highlight w:val="none"/>
          <w:lang w:val="zh-CN"/>
        </w:rPr>
        <w:t>/s</w:t>
      </w:r>
      <w:r>
        <w:rPr>
          <w:rFonts w:hint="eastAsia"/>
          <w:color w:val="auto"/>
          <w:kern w:val="0"/>
          <w:sz w:val="24"/>
          <w:highlight w:val="none"/>
          <w:lang w:val="zh-CN"/>
        </w:rPr>
        <w:t>，</w:t>
      </w:r>
      <w:r>
        <w:rPr>
          <w:color w:val="auto"/>
          <w:kern w:val="0"/>
          <w:sz w:val="24"/>
          <w:highlight w:val="none"/>
          <w:lang w:val="zh-CN"/>
        </w:rPr>
        <w:t>小于黎河输水流量</w:t>
      </w:r>
      <w:r>
        <w:rPr>
          <w:rFonts w:hint="eastAsia"/>
          <w:color w:val="auto"/>
          <w:kern w:val="0"/>
          <w:sz w:val="24"/>
          <w:highlight w:val="none"/>
          <w:lang w:val="zh-CN"/>
        </w:rPr>
        <w:t>。设计黎河输水量</w:t>
      </w:r>
      <w:r>
        <w:rPr>
          <w:rFonts w:hint="eastAsia"/>
          <w:color w:val="auto"/>
          <w:kern w:val="0"/>
          <w:sz w:val="24"/>
          <w:highlight w:val="none"/>
          <w:lang w:val="en-US" w:eastAsia="zh-CN"/>
        </w:rPr>
        <w:t>10亿m</w:t>
      </w:r>
      <w:r>
        <w:rPr>
          <w:rFonts w:hint="eastAsia"/>
          <w:color w:val="auto"/>
          <w:kern w:val="0"/>
          <w:sz w:val="24"/>
          <w:highlight w:val="none"/>
          <w:vertAlign w:val="superscript"/>
          <w:lang w:val="en-US" w:eastAsia="zh-CN"/>
        </w:rPr>
        <w:t>3</w:t>
      </w:r>
      <w:r>
        <w:rPr>
          <w:rFonts w:hint="eastAsia"/>
          <w:color w:val="auto"/>
          <w:kern w:val="0"/>
          <w:sz w:val="24"/>
          <w:highlight w:val="none"/>
          <w:lang w:val="en-US" w:eastAsia="zh-CN"/>
        </w:rPr>
        <w:t>/a，本电站设计用水量5.9亿m</w:t>
      </w:r>
      <w:r>
        <w:rPr>
          <w:rFonts w:hint="eastAsia"/>
          <w:color w:val="auto"/>
          <w:kern w:val="0"/>
          <w:sz w:val="24"/>
          <w:highlight w:val="none"/>
          <w:vertAlign w:val="superscript"/>
          <w:lang w:val="en-US" w:eastAsia="zh-CN"/>
        </w:rPr>
        <w:t>3</w:t>
      </w:r>
      <w:r>
        <w:rPr>
          <w:rFonts w:hint="eastAsia"/>
          <w:color w:val="auto"/>
          <w:kern w:val="0"/>
          <w:sz w:val="24"/>
          <w:highlight w:val="none"/>
          <w:lang w:val="en-US" w:eastAsia="zh-CN"/>
        </w:rPr>
        <w:t>/a，通过橡胶坝直接下泄41%，</w:t>
      </w:r>
      <w:r>
        <w:rPr>
          <w:rFonts w:hint="eastAsia"/>
          <w:color w:val="auto"/>
          <w:kern w:val="0"/>
          <w:sz w:val="24"/>
          <w:highlight w:val="none"/>
        </w:rPr>
        <w:t>输水</w:t>
      </w:r>
      <w:r>
        <w:rPr>
          <w:rFonts w:hint="eastAsia"/>
          <w:color w:val="auto"/>
          <w:kern w:val="0"/>
          <w:sz w:val="24"/>
          <w:highlight w:val="none"/>
          <w:lang w:eastAsia="zh-CN"/>
        </w:rPr>
        <w:t>期</w:t>
      </w:r>
      <w:r>
        <w:rPr>
          <w:rFonts w:hint="eastAsia"/>
          <w:color w:val="auto"/>
          <w:kern w:val="0"/>
          <w:sz w:val="24"/>
          <w:highlight w:val="none"/>
        </w:rPr>
        <w:t>直接从橡胶坝漫流</w:t>
      </w:r>
      <w:r>
        <w:rPr>
          <w:rFonts w:hint="eastAsia"/>
          <w:color w:val="auto"/>
          <w:kern w:val="0"/>
          <w:sz w:val="24"/>
          <w:highlight w:val="none"/>
          <w:lang w:eastAsia="zh-CN"/>
        </w:rPr>
        <w:t>，坝下至为水口减水段流量</w:t>
      </w:r>
      <w:r>
        <w:rPr>
          <w:rFonts w:hint="eastAsia"/>
          <w:color w:val="auto"/>
          <w:kern w:val="0"/>
          <w:sz w:val="24"/>
          <w:highlight w:val="none"/>
          <w:lang w:val="en-US" w:eastAsia="zh-CN"/>
        </w:rPr>
        <w:t>4.08</w:t>
      </w:r>
      <w:r>
        <w:rPr>
          <w:color w:val="auto"/>
          <w:kern w:val="0"/>
          <w:sz w:val="24"/>
          <w:highlight w:val="none"/>
          <w:lang w:val="zh-CN"/>
        </w:rPr>
        <w:t>m</w:t>
      </w:r>
      <w:r>
        <w:rPr>
          <w:color w:val="auto"/>
          <w:kern w:val="0"/>
          <w:sz w:val="24"/>
          <w:highlight w:val="none"/>
          <w:vertAlign w:val="superscript"/>
          <w:lang w:val="zh-CN"/>
        </w:rPr>
        <w:t>3</w:t>
      </w:r>
      <w:r>
        <w:rPr>
          <w:color w:val="auto"/>
          <w:kern w:val="0"/>
          <w:sz w:val="24"/>
          <w:highlight w:val="none"/>
          <w:lang w:val="zh-CN"/>
        </w:rPr>
        <w:t>/s</w:t>
      </w:r>
      <w:r>
        <w:rPr>
          <w:rFonts w:hint="eastAsia"/>
          <w:color w:val="auto"/>
          <w:kern w:val="0"/>
          <w:sz w:val="24"/>
          <w:highlight w:val="none"/>
          <w:lang w:val="zh-CN"/>
        </w:rPr>
        <w:t>，远远高于最低生态流量</w:t>
      </w:r>
      <w:r>
        <w:rPr>
          <w:rFonts w:hint="eastAsia"/>
          <w:color w:val="auto"/>
          <w:kern w:val="0"/>
          <w:sz w:val="24"/>
          <w:highlight w:val="none"/>
          <w:lang w:val="en-US" w:eastAsia="zh-CN"/>
        </w:rPr>
        <w:t>0.44</w:t>
      </w:r>
      <w:r>
        <w:rPr>
          <w:color w:val="auto"/>
          <w:kern w:val="0"/>
          <w:sz w:val="24"/>
          <w:highlight w:val="none"/>
          <w:lang w:val="zh-CN"/>
        </w:rPr>
        <w:t>m</w:t>
      </w:r>
      <w:r>
        <w:rPr>
          <w:color w:val="auto"/>
          <w:kern w:val="0"/>
          <w:sz w:val="24"/>
          <w:highlight w:val="none"/>
          <w:vertAlign w:val="superscript"/>
          <w:lang w:val="zh-CN"/>
        </w:rPr>
        <w:t>3</w:t>
      </w:r>
      <w:r>
        <w:rPr>
          <w:color w:val="auto"/>
          <w:kern w:val="0"/>
          <w:sz w:val="24"/>
          <w:highlight w:val="none"/>
          <w:lang w:val="zh-CN"/>
        </w:rPr>
        <w:t>/s</w:t>
      </w:r>
      <w:r>
        <w:rPr>
          <w:rFonts w:hint="eastAsia"/>
          <w:color w:val="auto"/>
          <w:kern w:val="0"/>
          <w:sz w:val="24"/>
          <w:highlight w:val="none"/>
          <w:lang w:val="zh-CN"/>
        </w:rPr>
        <w:t>要求</w:t>
      </w:r>
    </w:p>
    <w:p>
      <w:pPr>
        <w:autoSpaceDE w:val="0"/>
        <w:autoSpaceDN w:val="0"/>
        <w:adjustRightInd w:val="0"/>
        <w:spacing w:line="480" w:lineRule="exact"/>
        <w:ind w:firstLine="480"/>
        <w:jc w:val="left"/>
        <w:rPr>
          <w:rFonts w:hint="eastAsia" w:ascii="Times New Roman" w:hAnsi="Times New Roman" w:cs="Times New Roman"/>
          <w:color w:val="auto"/>
          <w:kern w:val="0"/>
          <w:sz w:val="24"/>
          <w:highlight w:val="none"/>
          <w:lang w:val="en-US" w:eastAsia="zh-CN"/>
        </w:rPr>
      </w:pPr>
      <w:r>
        <w:rPr>
          <w:rFonts w:hint="eastAsia" w:ascii="Times New Roman" w:hAnsi="Times New Roman" w:cs="Times New Roman"/>
          <w:color w:val="auto"/>
          <w:kern w:val="0"/>
          <w:sz w:val="24"/>
          <w:highlight w:val="none"/>
          <w:lang w:val="en-US" w:eastAsia="zh-CN"/>
        </w:rPr>
        <w:t>（2）运营期水文情势影响评价</w:t>
      </w:r>
    </w:p>
    <w:p>
      <w:pPr>
        <w:autoSpaceDE w:val="0"/>
        <w:autoSpaceDN w:val="0"/>
        <w:adjustRightInd w:val="0"/>
        <w:spacing w:line="480" w:lineRule="exact"/>
        <w:ind w:firstLine="480"/>
        <w:jc w:val="left"/>
        <w:rPr>
          <w:rFonts w:hint="eastAsia" w:ascii="Times New Roman" w:hAnsi="Times New Roman" w:cs="Times New Roman"/>
          <w:color w:val="auto"/>
          <w:kern w:val="0"/>
          <w:sz w:val="24"/>
          <w:highlight w:val="none"/>
          <w:lang w:val="zh-CN"/>
        </w:rPr>
      </w:pPr>
      <w:r>
        <w:rPr>
          <w:rFonts w:hint="eastAsia" w:ascii="Times New Roman" w:hAnsi="Times New Roman" w:cs="Times New Roman"/>
          <w:color w:val="auto"/>
          <w:kern w:val="0"/>
          <w:sz w:val="24"/>
          <w:highlight w:val="none"/>
          <w:lang w:val="zh-CN"/>
        </w:rPr>
        <w:t>本项目为单一发电项目，完全橡胶坝引水进行发电，无蓄水功能，尾水全部排入黎河。尾水排入黎河会对下游局部范围河段的水文情势造成一定的影响，主要体现在流量较厂房上游来水增大，流量集中，但径流量与天然状态基本无变化。</w:t>
      </w:r>
    </w:p>
    <w:p>
      <w:pPr>
        <w:autoSpaceDE w:val="0"/>
        <w:autoSpaceDN w:val="0"/>
        <w:adjustRightInd w:val="0"/>
        <w:spacing w:line="480" w:lineRule="exact"/>
        <w:ind w:firstLine="480"/>
        <w:jc w:val="left"/>
        <w:rPr>
          <w:rFonts w:hint="eastAsia" w:ascii="Times New Roman" w:hAnsi="Times New Roman" w:cs="Times New Roman"/>
          <w:color w:val="auto"/>
          <w:kern w:val="0"/>
          <w:sz w:val="24"/>
          <w:highlight w:val="none"/>
          <w:lang w:val="zh-CN"/>
        </w:rPr>
      </w:pPr>
      <w:r>
        <w:rPr>
          <w:rFonts w:hint="eastAsia" w:ascii="Times New Roman" w:hAnsi="Times New Roman" w:cs="Times New Roman"/>
          <w:color w:val="auto"/>
          <w:kern w:val="0"/>
          <w:sz w:val="24"/>
          <w:highlight w:val="none"/>
          <w:lang w:val="zh-CN"/>
        </w:rPr>
        <w:t>由于本项目建设规模较小，分析认为尾水汇入处便可恢复至天然状态，对河道水文情势的影响较小。</w:t>
      </w:r>
    </w:p>
    <w:p>
      <w:pPr>
        <w:autoSpaceDE w:val="0"/>
        <w:autoSpaceDN w:val="0"/>
        <w:adjustRightInd w:val="0"/>
        <w:spacing w:line="480" w:lineRule="exact"/>
        <w:ind w:firstLine="480"/>
        <w:jc w:val="left"/>
        <w:rPr>
          <w:rFonts w:hint="eastAsia" w:ascii="Times New Roman" w:hAnsi="Times New Roman" w:cs="Times New Roman"/>
          <w:color w:val="auto"/>
          <w:kern w:val="0"/>
          <w:sz w:val="24"/>
          <w:highlight w:val="none"/>
          <w:lang w:val="en-US" w:eastAsia="zh-CN"/>
        </w:rPr>
      </w:pPr>
      <w:r>
        <w:rPr>
          <w:rFonts w:hint="eastAsia" w:ascii="Times New Roman" w:hAnsi="Times New Roman" w:cs="Times New Roman"/>
          <w:color w:val="auto"/>
          <w:kern w:val="0"/>
          <w:sz w:val="24"/>
          <w:highlight w:val="none"/>
          <w:lang w:val="en-US" w:eastAsia="zh-CN"/>
        </w:rPr>
        <w:t>（3）泥沙情势影响评价</w:t>
      </w:r>
    </w:p>
    <w:p>
      <w:pPr>
        <w:autoSpaceDE w:val="0"/>
        <w:autoSpaceDN w:val="0"/>
        <w:adjustRightInd w:val="0"/>
        <w:spacing w:line="480" w:lineRule="exact"/>
        <w:ind w:left="0" w:leftChars="0" w:right="0" w:rightChars="0" w:firstLine="0" w:firstLineChars="0"/>
        <w:jc w:val="center"/>
        <w:rPr>
          <w:rFonts w:hint="eastAsia" w:ascii="Times New Roman" w:hAnsi="Times New Roman" w:cs="Times New Roman"/>
          <w:b/>
          <w:bCs/>
          <w:color w:val="auto"/>
          <w:kern w:val="0"/>
          <w:sz w:val="24"/>
          <w:highlight w:val="none"/>
          <w:lang w:val="zh-CN"/>
        </w:rPr>
      </w:pPr>
      <w:r>
        <w:rPr>
          <w:rFonts w:hint="eastAsia" w:ascii="Times New Roman" w:hAnsi="Times New Roman" w:cs="Times New Roman"/>
          <w:b/>
          <w:bCs/>
          <w:color w:val="auto"/>
          <w:kern w:val="0"/>
          <w:sz w:val="24"/>
          <w:highlight w:val="none"/>
          <w:lang w:val="zh-CN"/>
        </w:rPr>
        <w:t>表</w:t>
      </w:r>
      <w:r>
        <w:rPr>
          <w:rFonts w:hint="eastAsia" w:ascii="Times New Roman" w:hAnsi="Times New Roman" w:cs="Times New Roman"/>
          <w:b/>
          <w:bCs/>
          <w:color w:val="auto"/>
          <w:kern w:val="0"/>
          <w:sz w:val="24"/>
          <w:highlight w:val="none"/>
          <w:lang w:val="en-US" w:eastAsia="zh-CN"/>
        </w:rPr>
        <w:t>5.3</w:t>
      </w:r>
      <w:r>
        <w:rPr>
          <w:rFonts w:hint="eastAsia" w:ascii="Times New Roman" w:hAnsi="Times New Roman" w:cs="Times New Roman"/>
          <w:b/>
          <w:bCs/>
          <w:color w:val="auto"/>
          <w:kern w:val="0"/>
          <w:sz w:val="24"/>
          <w:highlight w:val="none"/>
          <w:lang w:val="zh-CN"/>
        </w:rPr>
        <w:t>-</w:t>
      </w:r>
      <w:r>
        <w:rPr>
          <w:rFonts w:hint="eastAsia" w:ascii="Times New Roman" w:hAnsi="Times New Roman" w:cs="Times New Roman"/>
          <w:b/>
          <w:bCs/>
          <w:color w:val="auto"/>
          <w:kern w:val="0"/>
          <w:sz w:val="24"/>
          <w:highlight w:val="none"/>
          <w:lang w:val="en-US" w:eastAsia="zh-CN"/>
        </w:rPr>
        <w:t xml:space="preserve">2  </w:t>
      </w:r>
      <w:r>
        <w:rPr>
          <w:rFonts w:hint="eastAsia" w:ascii="Times New Roman" w:hAnsi="Times New Roman" w:cs="Times New Roman"/>
          <w:b/>
          <w:bCs/>
          <w:color w:val="auto"/>
          <w:kern w:val="0"/>
          <w:sz w:val="24"/>
          <w:highlight w:val="none"/>
          <w:lang w:val="zh-CN"/>
        </w:rPr>
        <w:t>潘家口水库以上滦河干支流泥沙基本情况</w:t>
      </w:r>
    </w:p>
    <w:tbl>
      <w:tblPr>
        <w:tblStyle w:val="52"/>
        <w:tblW w:w="85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73"/>
        <w:gridCol w:w="935"/>
        <w:gridCol w:w="1122"/>
        <w:gridCol w:w="1122"/>
        <w:gridCol w:w="1122"/>
        <w:gridCol w:w="1122"/>
        <w:gridCol w:w="11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73" w:type="dxa"/>
            <w:vAlign w:val="center"/>
          </w:tcPr>
          <w:p>
            <w:pPr>
              <w:autoSpaceDE w:val="0"/>
              <w:autoSpaceDN w:val="0"/>
              <w:adjustRightInd w:val="0"/>
              <w:spacing w:line="300" w:lineRule="exact"/>
              <w:jc w:val="center"/>
              <w:rPr>
                <w:color w:val="auto"/>
                <w:kern w:val="0"/>
                <w:szCs w:val="21"/>
                <w:highlight w:val="none"/>
                <w:lang w:val="zh-CN"/>
              </w:rPr>
            </w:pPr>
            <w:r>
              <w:rPr>
                <w:rFonts w:hint="eastAsia"/>
                <w:color w:val="auto"/>
                <w:kern w:val="0"/>
                <w:szCs w:val="21"/>
                <w:highlight w:val="none"/>
                <w:lang w:val="zh-CN"/>
              </w:rPr>
              <w:t>河名</w:t>
            </w:r>
          </w:p>
        </w:tc>
        <w:tc>
          <w:tcPr>
            <w:tcW w:w="935" w:type="dxa"/>
            <w:vAlign w:val="center"/>
          </w:tcPr>
          <w:p>
            <w:pPr>
              <w:autoSpaceDE w:val="0"/>
              <w:autoSpaceDN w:val="0"/>
              <w:adjustRightInd w:val="0"/>
              <w:spacing w:line="300" w:lineRule="exact"/>
              <w:jc w:val="center"/>
              <w:rPr>
                <w:rFonts w:hint="default" w:eastAsia="宋体"/>
                <w:color w:val="auto"/>
                <w:kern w:val="0"/>
                <w:szCs w:val="21"/>
                <w:highlight w:val="none"/>
                <w:lang w:val="en-US" w:eastAsia="zh-CN"/>
              </w:rPr>
            </w:pPr>
            <w:r>
              <w:rPr>
                <w:rFonts w:hint="eastAsia"/>
                <w:color w:val="auto"/>
                <w:kern w:val="0"/>
                <w:szCs w:val="21"/>
                <w:highlight w:val="none"/>
                <w:lang w:val="zh-CN"/>
              </w:rPr>
              <w:t>滦河</w:t>
            </w:r>
          </w:p>
        </w:tc>
        <w:tc>
          <w:tcPr>
            <w:tcW w:w="1122" w:type="dxa"/>
            <w:vAlign w:val="center"/>
          </w:tcPr>
          <w:p>
            <w:pPr>
              <w:autoSpaceDE w:val="0"/>
              <w:autoSpaceDN w:val="0"/>
              <w:adjustRightInd w:val="0"/>
              <w:spacing w:line="300" w:lineRule="exact"/>
              <w:jc w:val="center"/>
              <w:rPr>
                <w:color w:val="auto"/>
                <w:kern w:val="0"/>
                <w:szCs w:val="21"/>
                <w:highlight w:val="none"/>
                <w:lang w:val="zh-CN"/>
              </w:rPr>
            </w:pPr>
            <w:r>
              <w:rPr>
                <w:rFonts w:hint="eastAsia"/>
                <w:color w:val="auto"/>
                <w:kern w:val="0"/>
                <w:szCs w:val="21"/>
                <w:highlight w:val="none"/>
                <w:lang w:val="zh-CN"/>
              </w:rPr>
              <w:t>小滦河</w:t>
            </w:r>
          </w:p>
        </w:tc>
        <w:tc>
          <w:tcPr>
            <w:tcW w:w="1122" w:type="dxa"/>
            <w:vAlign w:val="center"/>
          </w:tcPr>
          <w:p>
            <w:pPr>
              <w:autoSpaceDE w:val="0"/>
              <w:autoSpaceDN w:val="0"/>
              <w:adjustRightInd w:val="0"/>
              <w:spacing w:line="300" w:lineRule="exact"/>
              <w:jc w:val="center"/>
              <w:rPr>
                <w:rFonts w:hint="eastAsia"/>
                <w:color w:val="auto"/>
                <w:kern w:val="0"/>
                <w:szCs w:val="21"/>
                <w:highlight w:val="none"/>
                <w:lang w:val="zh-CN"/>
              </w:rPr>
            </w:pPr>
            <w:r>
              <w:rPr>
                <w:rFonts w:hint="eastAsia"/>
                <w:color w:val="auto"/>
                <w:kern w:val="0"/>
                <w:szCs w:val="21"/>
                <w:highlight w:val="none"/>
                <w:lang w:val="zh-CN"/>
              </w:rPr>
              <w:t>兴州河</w:t>
            </w:r>
          </w:p>
        </w:tc>
        <w:tc>
          <w:tcPr>
            <w:tcW w:w="1122" w:type="dxa"/>
            <w:vAlign w:val="center"/>
          </w:tcPr>
          <w:p>
            <w:pPr>
              <w:autoSpaceDE w:val="0"/>
              <w:autoSpaceDN w:val="0"/>
              <w:adjustRightInd w:val="0"/>
              <w:spacing w:line="300" w:lineRule="exact"/>
              <w:jc w:val="center"/>
              <w:rPr>
                <w:rFonts w:hint="eastAsia"/>
                <w:color w:val="auto"/>
                <w:kern w:val="0"/>
                <w:szCs w:val="21"/>
                <w:highlight w:val="none"/>
                <w:lang w:val="zh-CN"/>
              </w:rPr>
            </w:pPr>
            <w:r>
              <w:rPr>
                <w:rFonts w:hint="eastAsia"/>
                <w:color w:val="auto"/>
                <w:kern w:val="0"/>
                <w:szCs w:val="21"/>
                <w:highlight w:val="none"/>
                <w:lang w:val="zh-CN"/>
              </w:rPr>
              <w:t>尹逊河</w:t>
            </w:r>
          </w:p>
        </w:tc>
        <w:tc>
          <w:tcPr>
            <w:tcW w:w="1122" w:type="dxa"/>
            <w:vAlign w:val="center"/>
          </w:tcPr>
          <w:p>
            <w:pPr>
              <w:autoSpaceDE w:val="0"/>
              <w:autoSpaceDN w:val="0"/>
              <w:adjustRightInd w:val="0"/>
              <w:spacing w:line="300" w:lineRule="exact"/>
              <w:jc w:val="center"/>
              <w:rPr>
                <w:rFonts w:hint="eastAsia"/>
                <w:color w:val="auto"/>
                <w:kern w:val="0"/>
                <w:szCs w:val="21"/>
                <w:highlight w:val="none"/>
                <w:lang w:val="zh-CN"/>
              </w:rPr>
            </w:pPr>
            <w:r>
              <w:rPr>
                <w:rFonts w:hint="eastAsia"/>
                <w:color w:val="auto"/>
                <w:kern w:val="0"/>
                <w:szCs w:val="21"/>
                <w:highlight w:val="none"/>
                <w:lang w:val="zh-CN"/>
              </w:rPr>
              <w:t>武烈河</w:t>
            </w:r>
          </w:p>
        </w:tc>
        <w:tc>
          <w:tcPr>
            <w:tcW w:w="1122" w:type="dxa"/>
            <w:vAlign w:val="center"/>
          </w:tcPr>
          <w:p>
            <w:pPr>
              <w:autoSpaceDE w:val="0"/>
              <w:autoSpaceDN w:val="0"/>
              <w:adjustRightInd w:val="0"/>
              <w:spacing w:line="300" w:lineRule="exact"/>
              <w:jc w:val="center"/>
              <w:rPr>
                <w:rFonts w:hint="eastAsia"/>
                <w:color w:val="auto"/>
                <w:kern w:val="0"/>
                <w:szCs w:val="21"/>
                <w:highlight w:val="none"/>
                <w:lang w:val="zh-CN"/>
              </w:rPr>
            </w:pPr>
            <w:r>
              <w:rPr>
                <w:rFonts w:hint="eastAsia"/>
                <w:color w:val="auto"/>
                <w:kern w:val="0"/>
                <w:szCs w:val="21"/>
                <w:highlight w:val="none"/>
                <w:lang w:val="zh-CN"/>
              </w:rPr>
              <w:t>蚂蚁吐河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73" w:type="dxa"/>
            <w:vAlign w:val="center"/>
          </w:tcPr>
          <w:p>
            <w:pPr>
              <w:autoSpaceDE w:val="0"/>
              <w:autoSpaceDN w:val="0"/>
              <w:adjustRightInd w:val="0"/>
              <w:spacing w:line="300" w:lineRule="exact"/>
              <w:jc w:val="center"/>
              <w:rPr>
                <w:rFonts w:hint="default" w:eastAsia="宋体"/>
                <w:color w:val="auto"/>
                <w:kern w:val="0"/>
                <w:szCs w:val="21"/>
                <w:highlight w:val="none"/>
                <w:lang w:val="en-US" w:eastAsia="zh-CN"/>
              </w:rPr>
            </w:pPr>
            <w:r>
              <w:rPr>
                <w:rFonts w:hint="eastAsia"/>
                <w:color w:val="auto"/>
                <w:kern w:val="0"/>
                <w:szCs w:val="21"/>
                <w:highlight w:val="none"/>
                <w:lang w:val="zh-CN"/>
              </w:rPr>
              <w:t>平均含砂量</w:t>
            </w:r>
            <w:r>
              <w:rPr>
                <w:rFonts w:hint="eastAsia"/>
                <w:color w:val="auto"/>
                <w:kern w:val="0"/>
                <w:szCs w:val="21"/>
                <w:highlight w:val="none"/>
                <w:lang w:val="en-US" w:eastAsia="zh-CN"/>
              </w:rPr>
              <w:t>kg/m</w:t>
            </w:r>
            <w:r>
              <w:rPr>
                <w:rFonts w:hint="eastAsia"/>
                <w:color w:val="auto"/>
                <w:kern w:val="0"/>
                <w:szCs w:val="21"/>
                <w:highlight w:val="none"/>
                <w:vertAlign w:val="superscript"/>
                <w:lang w:val="en-US" w:eastAsia="zh-CN"/>
              </w:rPr>
              <w:t>3</w:t>
            </w:r>
          </w:p>
        </w:tc>
        <w:tc>
          <w:tcPr>
            <w:tcW w:w="935" w:type="dxa"/>
            <w:vAlign w:val="center"/>
          </w:tcPr>
          <w:p>
            <w:pPr>
              <w:autoSpaceDE w:val="0"/>
              <w:autoSpaceDN w:val="0"/>
              <w:adjustRightInd w:val="0"/>
              <w:spacing w:line="300" w:lineRule="exact"/>
              <w:jc w:val="center"/>
              <w:rPr>
                <w:color w:val="auto"/>
                <w:kern w:val="0"/>
                <w:szCs w:val="21"/>
                <w:highlight w:val="none"/>
              </w:rPr>
            </w:pPr>
            <w:r>
              <w:rPr>
                <w:rFonts w:hint="eastAsia"/>
                <w:color w:val="auto"/>
                <w:kern w:val="0"/>
                <w:szCs w:val="21"/>
                <w:highlight w:val="none"/>
                <w:lang w:val="en-US" w:eastAsia="zh-CN"/>
              </w:rPr>
              <w:t>3.41</w:t>
            </w:r>
          </w:p>
        </w:tc>
        <w:tc>
          <w:tcPr>
            <w:tcW w:w="1122" w:type="dxa"/>
            <w:vAlign w:val="center"/>
          </w:tcPr>
          <w:p>
            <w:pPr>
              <w:autoSpaceDE w:val="0"/>
              <w:autoSpaceDN w:val="0"/>
              <w:adjustRightInd w:val="0"/>
              <w:spacing w:line="30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3.57</w:t>
            </w:r>
          </w:p>
        </w:tc>
        <w:tc>
          <w:tcPr>
            <w:tcW w:w="1122"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6.31</w:t>
            </w:r>
          </w:p>
        </w:tc>
        <w:tc>
          <w:tcPr>
            <w:tcW w:w="1122"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17.8</w:t>
            </w:r>
          </w:p>
        </w:tc>
        <w:tc>
          <w:tcPr>
            <w:tcW w:w="1122"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8.37</w:t>
            </w:r>
          </w:p>
        </w:tc>
        <w:tc>
          <w:tcPr>
            <w:tcW w:w="1122"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29.6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73" w:type="dxa"/>
            <w:vAlign w:val="center"/>
          </w:tcPr>
          <w:p>
            <w:pPr>
              <w:autoSpaceDE w:val="0"/>
              <w:autoSpaceDN w:val="0"/>
              <w:adjustRightInd w:val="0"/>
              <w:spacing w:line="300" w:lineRule="exact"/>
              <w:jc w:val="center"/>
              <w:rPr>
                <w:rFonts w:hint="default" w:eastAsia="宋体"/>
                <w:color w:val="auto"/>
                <w:kern w:val="0"/>
                <w:szCs w:val="21"/>
                <w:highlight w:val="none"/>
                <w:lang w:val="en-US" w:eastAsia="zh-CN"/>
              </w:rPr>
            </w:pPr>
            <w:r>
              <w:rPr>
                <w:rFonts w:hint="eastAsia"/>
                <w:color w:val="auto"/>
                <w:kern w:val="0"/>
                <w:szCs w:val="21"/>
                <w:highlight w:val="none"/>
                <w:lang w:val="zh-CN"/>
              </w:rPr>
              <w:t>多年平均砂量</w:t>
            </w:r>
            <w:r>
              <w:rPr>
                <w:rFonts w:hint="eastAsia"/>
                <w:color w:val="auto"/>
                <w:kern w:val="0"/>
                <w:szCs w:val="21"/>
                <w:highlight w:val="none"/>
                <w:lang w:val="en-US" w:eastAsia="zh-CN"/>
              </w:rPr>
              <w:t>10</w:t>
            </w:r>
            <w:r>
              <w:rPr>
                <w:rFonts w:hint="eastAsia"/>
                <w:color w:val="auto"/>
                <w:kern w:val="0"/>
                <w:szCs w:val="21"/>
                <w:highlight w:val="none"/>
                <w:vertAlign w:val="superscript"/>
                <w:lang w:val="en-US" w:eastAsia="zh-CN"/>
              </w:rPr>
              <w:t>4</w:t>
            </w:r>
            <w:r>
              <w:rPr>
                <w:rFonts w:hint="eastAsia"/>
                <w:color w:val="auto"/>
                <w:kern w:val="0"/>
                <w:szCs w:val="21"/>
                <w:highlight w:val="none"/>
                <w:lang w:val="en-US" w:eastAsia="zh-CN"/>
              </w:rPr>
              <w:t>t</w:t>
            </w:r>
          </w:p>
        </w:tc>
        <w:tc>
          <w:tcPr>
            <w:tcW w:w="935"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182</w:t>
            </w:r>
          </w:p>
        </w:tc>
        <w:tc>
          <w:tcPr>
            <w:tcW w:w="1122"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24.8</w:t>
            </w:r>
          </w:p>
        </w:tc>
        <w:tc>
          <w:tcPr>
            <w:tcW w:w="1122"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63.3</w:t>
            </w:r>
          </w:p>
        </w:tc>
        <w:tc>
          <w:tcPr>
            <w:tcW w:w="1122"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649</w:t>
            </w:r>
          </w:p>
        </w:tc>
        <w:tc>
          <w:tcPr>
            <w:tcW w:w="1122"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175</w:t>
            </w:r>
          </w:p>
        </w:tc>
        <w:tc>
          <w:tcPr>
            <w:tcW w:w="1122"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649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18" w:type="dxa"/>
            <w:gridSpan w:val="7"/>
            <w:vAlign w:val="center"/>
          </w:tcPr>
          <w:p>
            <w:pPr>
              <w:autoSpaceDE w:val="0"/>
              <w:autoSpaceDN w:val="0"/>
              <w:adjustRightInd w:val="0"/>
              <w:spacing w:line="300" w:lineRule="exact"/>
              <w:jc w:val="left"/>
              <w:rPr>
                <w:rFonts w:hint="default"/>
                <w:color w:val="auto"/>
                <w:kern w:val="0"/>
                <w:szCs w:val="21"/>
                <w:highlight w:val="none"/>
                <w:lang w:val="en-US" w:eastAsia="zh-CN"/>
              </w:rPr>
            </w:pPr>
            <w:r>
              <w:rPr>
                <w:rFonts w:hint="eastAsia" w:ascii="Times New Roman" w:hAnsi="Times New Roman" w:cs="Times New Roman"/>
                <w:color w:val="auto"/>
                <w:kern w:val="0"/>
                <w:sz w:val="21"/>
                <w:szCs w:val="21"/>
                <w:highlight w:val="none"/>
                <w:lang w:val="en-US" w:eastAsia="zh-CN"/>
              </w:rPr>
              <w:t>资料引自：海河水力。2013年10月，第40页。潘家口水库泥沙淤积来源及淤积现状分析。</w:t>
            </w:r>
          </w:p>
        </w:tc>
      </w:tr>
    </w:tbl>
    <w:p>
      <w:pPr>
        <w:autoSpaceDE w:val="0"/>
        <w:autoSpaceDN w:val="0"/>
        <w:adjustRightInd w:val="0"/>
        <w:spacing w:line="480" w:lineRule="exact"/>
        <w:ind w:firstLine="480"/>
        <w:jc w:val="left"/>
        <w:rPr>
          <w:rFonts w:hint="default" w:ascii="Times New Roman" w:hAnsi="Times New Roman" w:cs="Times New Roman"/>
          <w:color w:val="auto"/>
          <w:kern w:val="0"/>
          <w:sz w:val="24"/>
          <w:highlight w:val="none"/>
          <w:lang w:val="en-US" w:eastAsia="zh-CN"/>
        </w:rPr>
      </w:pPr>
      <w:r>
        <w:rPr>
          <w:rFonts w:hint="eastAsia" w:ascii="Times New Roman" w:hAnsi="Times New Roman" w:cs="Times New Roman"/>
          <w:color w:val="auto"/>
          <w:kern w:val="0"/>
          <w:sz w:val="24"/>
          <w:highlight w:val="none"/>
          <w:lang w:val="en-US" w:eastAsia="zh-CN"/>
        </w:rPr>
        <w:t>泥沙随河水进入潘家口水库，然后进入大黑汀水库，经引水期进入黎河。由于；潘家口水库上游来砂经过潘家口水库、大黑汀水库沉淀淤积，水中泥沙淤积率在70%以上，进入黎河泥沙很少，来水清澈。因此无泥沙淤积问题</w:t>
      </w:r>
      <w:r>
        <w:rPr>
          <w:rFonts w:hint="eastAsia" w:ascii="Times New Roman" w:hAnsi="宋体" w:eastAsia="宋体" w:cs="Times New Roman"/>
          <w:bCs/>
          <w:color w:val="auto"/>
          <w:kern w:val="0"/>
          <w:highlight w:val="none"/>
          <w:lang w:val="en-US" w:eastAsia="zh-CN"/>
        </w:rPr>
        <w:t>。</w:t>
      </w:r>
    </w:p>
    <w:p>
      <w:pPr>
        <w:autoSpaceDE w:val="0"/>
        <w:autoSpaceDN w:val="0"/>
        <w:adjustRightInd w:val="0"/>
        <w:spacing w:line="480" w:lineRule="exact"/>
        <w:ind w:firstLine="480"/>
        <w:jc w:val="left"/>
        <w:rPr>
          <w:rFonts w:hint="eastAsia" w:ascii="Times New Roman" w:hAnsi="Times New Roman" w:cs="Times New Roman"/>
          <w:color w:val="auto"/>
          <w:kern w:val="0"/>
          <w:sz w:val="24"/>
          <w:highlight w:val="none"/>
          <w:lang w:val="en-US" w:eastAsia="zh-CN"/>
        </w:rPr>
      </w:pPr>
      <w:r>
        <w:rPr>
          <w:rFonts w:hint="eastAsia" w:ascii="Times New Roman" w:hAnsi="Times New Roman" w:cs="Times New Roman"/>
          <w:color w:val="auto"/>
          <w:kern w:val="0"/>
          <w:sz w:val="24"/>
          <w:highlight w:val="none"/>
          <w:lang w:val="en-US" w:eastAsia="zh-CN"/>
        </w:rPr>
        <w:t>（4）</w:t>
      </w:r>
      <w:r>
        <w:rPr>
          <w:rFonts w:hint="eastAsia" w:ascii="Times New Roman" w:hAnsi="Times New Roman" w:cs="Times New Roman"/>
          <w:color w:val="auto"/>
          <w:kern w:val="0"/>
          <w:sz w:val="24"/>
          <w:highlight w:val="none"/>
          <w:lang w:val="zh-CN"/>
        </w:rPr>
        <w:t>地表水水温影响</w:t>
      </w:r>
    </w:p>
    <w:p>
      <w:pPr>
        <w:autoSpaceDE w:val="0"/>
        <w:autoSpaceDN w:val="0"/>
        <w:adjustRightInd w:val="0"/>
        <w:spacing w:line="480" w:lineRule="exact"/>
        <w:ind w:firstLine="480"/>
        <w:jc w:val="left"/>
        <w:rPr>
          <w:rFonts w:hint="eastAsia" w:ascii="Times New Roman" w:hAnsi="Times New Roman" w:cs="Times New Roman"/>
          <w:color w:val="auto"/>
          <w:kern w:val="0"/>
          <w:sz w:val="24"/>
          <w:highlight w:val="none"/>
          <w:lang w:val="zh-CN"/>
        </w:rPr>
      </w:pPr>
      <w:r>
        <w:rPr>
          <w:rFonts w:hint="eastAsia" w:ascii="Times New Roman" w:hAnsi="Times New Roman" w:cs="Times New Roman"/>
          <w:color w:val="auto"/>
          <w:kern w:val="0"/>
          <w:sz w:val="24"/>
          <w:highlight w:val="none"/>
          <w:lang w:val="en-US" w:eastAsia="zh-CN"/>
        </w:rPr>
        <w:t>水流经发电机组后排放，水流温度会略微有所提高（机组将水流势能、动能转化为机械能，设备运转中摩擦产生一定的热量），但变化幅度很小，对于地表水水温现状不生产明显影响。</w:t>
      </w:r>
    </w:p>
    <w:p>
      <w:pPr>
        <w:autoSpaceDE w:val="0"/>
        <w:autoSpaceDN w:val="0"/>
        <w:adjustRightInd w:val="0"/>
        <w:spacing w:line="480" w:lineRule="exact"/>
        <w:jc w:val="left"/>
        <w:rPr>
          <w:rFonts w:hint="eastAsia" w:ascii="Times New Roman" w:hAnsi="Times New Roman" w:cs="Times New Roman"/>
          <w:b/>
          <w:bCs/>
          <w:color w:val="000000" w:themeColor="text1"/>
          <w:kern w:val="0"/>
          <w:sz w:val="24"/>
          <w:highlight w:val="none"/>
          <w:lang w:val="en-US" w:eastAsia="zh-CN"/>
          <w14:textFill>
            <w14:solidFill>
              <w14:schemeClr w14:val="tx1"/>
            </w14:solidFill>
          </w14:textFill>
        </w:rPr>
      </w:pPr>
      <w:r>
        <w:rPr>
          <w:rFonts w:hint="eastAsia" w:ascii="Times New Roman" w:hAnsi="Times New Roman" w:cs="Times New Roman"/>
          <w:b/>
          <w:bCs/>
          <w:color w:val="000000" w:themeColor="text1"/>
          <w:kern w:val="0"/>
          <w:sz w:val="24"/>
          <w:highlight w:val="none"/>
          <w:lang w:val="en-US" w:eastAsia="zh-CN"/>
          <w14:textFill>
            <w14:solidFill>
              <w14:schemeClr w14:val="tx1"/>
            </w14:solidFill>
          </w14:textFill>
        </w:rPr>
        <w:t>5.</w:t>
      </w:r>
      <w:r>
        <w:rPr>
          <w:rFonts w:hint="eastAsia" w:cs="Times New Roman"/>
          <w:b/>
          <w:bCs/>
          <w:color w:val="000000" w:themeColor="text1"/>
          <w:kern w:val="0"/>
          <w:sz w:val="24"/>
          <w:highlight w:val="none"/>
          <w:lang w:val="en-US" w:eastAsia="zh-CN"/>
          <w14:textFill>
            <w14:solidFill>
              <w14:schemeClr w14:val="tx1"/>
            </w14:solidFill>
          </w14:textFill>
        </w:rPr>
        <w:t>3</w:t>
      </w:r>
      <w:r>
        <w:rPr>
          <w:rFonts w:hint="eastAsia" w:ascii="Times New Roman" w:hAnsi="Times New Roman" w:cs="Times New Roman"/>
          <w:b/>
          <w:bCs/>
          <w:color w:val="000000" w:themeColor="text1"/>
          <w:kern w:val="0"/>
          <w:sz w:val="24"/>
          <w:highlight w:val="none"/>
          <w:lang w:val="en-US" w:eastAsia="zh-CN"/>
          <w14:textFill>
            <w14:solidFill>
              <w14:schemeClr w14:val="tx1"/>
            </w14:solidFill>
          </w14:textFill>
        </w:rPr>
        <w:t>.2 地表水水质影响分析</w:t>
      </w:r>
    </w:p>
    <w:p>
      <w:pPr>
        <w:autoSpaceDE w:val="0"/>
        <w:autoSpaceDN w:val="0"/>
        <w:adjustRightInd w:val="0"/>
        <w:spacing w:line="480" w:lineRule="exact"/>
        <w:ind w:firstLine="480"/>
        <w:jc w:val="left"/>
        <w:rPr>
          <w:rFonts w:hint="eastAsia"/>
          <w:color w:val="auto"/>
          <w:kern w:val="0"/>
          <w:sz w:val="24"/>
          <w:highlight w:val="none"/>
          <w:lang w:val="zh-CN"/>
        </w:rPr>
      </w:pPr>
      <w:r>
        <w:rPr>
          <w:rFonts w:hint="eastAsia" w:ascii="Times New Roman" w:hAnsi="Times New Roman" w:cs="Times New Roman"/>
          <w:color w:val="auto"/>
          <w:kern w:val="0"/>
          <w:sz w:val="24"/>
          <w:highlight w:val="none"/>
          <w:lang w:val="zh-CN"/>
        </w:rPr>
        <w:t>（</w:t>
      </w:r>
      <w:r>
        <w:rPr>
          <w:rFonts w:hint="eastAsia" w:ascii="Times New Roman" w:hAnsi="Times New Roman" w:cs="Times New Roman"/>
          <w:color w:val="auto"/>
          <w:kern w:val="0"/>
          <w:sz w:val="24"/>
          <w:highlight w:val="none"/>
          <w:lang w:val="en-US" w:eastAsia="zh-CN"/>
        </w:rPr>
        <w:t>1</w:t>
      </w:r>
      <w:r>
        <w:rPr>
          <w:rFonts w:hint="eastAsia" w:ascii="Times New Roman" w:hAnsi="Times New Roman" w:cs="Times New Roman"/>
          <w:color w:val="auto"/>
          <w:kern w:val="0"/>
          <w:sz w:val="24"/>
          <w:highlight w:val="none"/>
          <w:lang w:val="zh-CN"/>
        </w:rPr>
        <w:t>）橡胶坝</w:t>
      </w:r>
      <w:r>
        <w:rPr>
          <w:rFonts w:hint="eastAsia"/>
          <w:color w:val="auto"/>
          <w:kern w:val="0"/>
          <w:sz w:val="24"/>
          <w:highlight w:val="none"/>
          <w:lang w:val="zh-CN"/>
        </w:rPr>
        <w:t>运行对水环境的影响</w:t>
      </w:r>
    </w:p>
    <w:p>
      <w:pPr>
        <w:autoSpaceDE w:val="0"/>
        <w:autoSpaceDN w:val="0"/>
        <w:adjustRightInd w:val="0"/>
        <w:spacing w:line="480" w:lineRule="exact"/>
        <w:ind w:firstLine="480"/>
        <w:jc w:val="left"/>
        <w:rPr>
          <w:rFonts w:hint="eastAsia"/>
          <w:color w:val="auto"/>
          <w:kern w:val="0"/>
          <w:sz w:val="24"/>
          <w:highlight w:val="none"/>
          <w:lang w:val="zh-CN"/>
        </w:rPr>
      </w:pPr>
      <w:r>
        <w:rPr>
          <w:rFonts w:hint="eastAsia"/>
          <w:color w:val="auto"/>
          <w:kern w:val="0"/>
          <w:sz w:val="24"/>
          <w:highlight w:val="none"/>
          <w:lang w:val="zh-CN"/>
        </w:rPr>
        <w:t>电站引水后，下泄水质与输水水质相比不发生变化。根据本次地表水环境质量现状监测结果可知，各监测断面所有监测因子均满足《地表水环境质量标准》(GB3838-2002)Ⅲ类标准，说明电站运行对水环境不产生影响。</w:t>
      </w:r>
    </w:p>
    <w:p>
      <w:pPr>
        <w:autoSpaceDE w:val="0"/>
        <w:autoSpaceDN w:val="0"/>
        <w:adjustRightInd w:val="0"/>
        <w:spacing w:line="480" w:lineRule="exact"/>
        <w:ind w:firstLine="480"/>
        <w:jc w:val="left"/>
        <w:rPr>
          <w:rFonts w:hint="eastAsia"/>
          <w:color w:val="auto"/>
          <w:kern w:val="0"/>
          <w:sz w:val="24"/>
          <w:highlight w:val="none"/>
          <w:lang w:val="zh-CN"/>
        </w:rPr>
      </w:pPr>
      <w:r>
        <w:rPr>
          <w:rFonts w:hint="eastAsia"/>
          <w:color w:val="auto"/>
          <w:kern w:val="0"/>
          <w:sz w:val="24"/>
          <w:highlight w:val="none"/>
          <w:lang w:val="zh-CN"/>
        </w:rPr>
        <w:t>（</w:t>
      </w:r>
      <w:r>
        <w:rPr>
          <w:rFonts w:hint="eastAsia"/>
          <w:color w:val="auto"/>
          <w:kern w:val="0"/>
          <w:sz w:val="24"/>
          <w:highlight w:val="none"/>
          <w:lang w:val="en-US" w:eastAsia="zh-CN"/>
        </w:rPr>
        <w:t>2</w:t>
      </w:r>
      <w:r>
        <w:rPr>
          <w:rFonts w:hint="eastAsia"/>
          <w:color w:val="auto"/>
          <w:kern w:val="0"/>
          <w:sz w:val="24"/>
          <w:highlight w:val="none"/>
          <w:lang w:val="zh-CN"/>
        </w:rPr>
        <w:t>）减水河段水质预测分析</w:t>
      </w:r>
    </w:p>
    <w:p>
      <w:pPr>
        <w:autoSpaceDE w:val="0"/>
        <w:autoSpaceDN w:val="0"/>
        <w:adjustRightInd w:val="0"/>
        <w:spacing w:line="480" w:lineRule="exact"/>
        <w:ind w:firstLine="480"/>
        <w:jc w:val="left"/>
        <w:rPr>
          <w:rFonts w:hint="eastAsia"/>
          <w:color w:val="auto"/>
          <w:kern w:val="0"/>
          <w:sz w:val="24"/>
          <w:highlight w:val="none"/>
          <w:lang w:val="zh-CN"/>
        </w:rPr>
      </w:pPr>
      <w:r>
        <w:rPr>
          <w:rFonts w:hint="eastAsia"/>
          <w:color w:val="auto"/>
          <w:kern w:val="0"/>
          <w:sz w:val="24"/>
          <w:highlight w:val="none"/>
          <w:lang w:val="zh-CN"/>
        </w:rPr>
        <w:t>本项目水电站运行后，大部分输水被引致电站厂房发电用，仅有坝上溢流下泄，水量约</w:t>
      </w:r>
      <w:r>
        <w:rPr>
          <w:rFonts w:hint="eastAsia"/>
          <w:color w:val="auto"/>
          <w:kern w:val="0"/>
          <w:sz w:val="24"/>
          <w:highlight w:val="none"/>
          <w:lang w:val="en-US" w:eastAsia="zh-CN"/>
        </w:rPr>
        <w:t>6m</w:t>
      </w:r>
      <w:r>
        <w:rPr>
          <w:rFonts w:hint="eastAsia"/>
          <w:color w:val="auto"/>
          <w:kern w:val="0"/>
          <w:sz w:val="24"/>
          <w:highlight w:val="none"/>
          <w:vertAlign w:val="superscript"/>
          <w:lang w:val="en-US" w:eastAsia="zh-CN"/>
        </w:rPr>
        <w:t>3</w:t>
      </w:r>
      <w:r>
        <w:rPr>
          <w:rFonts w:hint="eastAsia"/>
          <w:color w:val="auto"/>
          <w:kern w:val="0"/>
          <w:sz w:val="24"/>
          <w:highlight w:val="none"/>
          <w:lang w:val="en-US" w:eastAsia="zh-CN"/>
        </w:rPr>
        <w:t>/s，满足最小生态流量需求，</w:t>
      </w:r>
      <w:r>
        <w:rPr>
          <w:rFonts w:hint="eastAsia"/>
          <w:color w:val="auto"/>
          <w:kern w:val="0"/>
          <w:sz w:val="24"/>
          <w:highlight w:val="none"/>
          <w:lang w:val="zh-CN"/>
        </w:rPr>
        <w:t>将在橡胶坝址~厂房尾水出口断面之间形成长约</w:t>
      </w:r>
      <w:r>
        <w:rPr>
          <w:rFonts w:hint="eastAsia"/>
          <w:color w:val="auto"/>
          <w:kern w:val="0"/>
          <w:sz w:val="24"/>
          <w:highlight w:val="none"/>
          <w:lang w:val="en-US" w:eastAsia="zh-CN"/>
        </w:rPr>
        <w:t>1100</w:t>
      </w:r>
      <w:r>
        <w:rPr>
          <w:rFonts w:hint="eastAsia"/>
          <w:color w:val="auto"/>
          <w:kern w:val="0"/>
          <w:sz w:val="24"/>
          <w:highlight w:val="none"/>
          <w:lang w:val="zh-CN"/>
        </w:rPr>
        <w:t>m 的相对减水河段。减水河段内无工矿企业污染源，沿岸有部分分散村民点，生活污水不进入黎河河道，水质能够满足 III 类水域功能区水质要求。电站坝址处下泄生态流量后，减水河段水质不会受到不利影响，减水河段水体水质与建电站前差别不大，不会改变水域功能。根据本次地表水环境质量现状监测结果可知，减水河段水质满足《地表水环境质量标准》(GB3838-2002)Ⅲ类标准要求。</w:t>
      </w:r>
    </w:p>
    <w:p>
      <w:pPr>
        <w:autoSpaceDE w:val="0"/>
        <w:autoSpaceDN w:val="0"/>
        <w:adjustRightInd w:val="0"/>
        <w:spacing w:line="480" w:lineRule="exact"/>
        <w:ind w:firstLine="480"/>
        <w:jc w:val="left"/>
        <w:rPr>
          <w:rFonts w:hint="eastAsia"/>
          <w:color w:val="auto"/>
          <w:kern w:val="0"/>
          <w:sz w:val="24"/>
          <w:highlight w:val="none"/>
          <w:lang w:val="zh-CN"/>
        </w:rPr>
      </w:pPr>
      <w:r>
        <w:rPr>
          <w:rFonts w:hint="eastAsia"/>
          <w:color w:val="auto"/>
          <w:kern w:val="0"/>
          <w:sz w:val="24"/>
          <w:highlight w:val="none"/>
          <w:lang w:val="zh-CN"/>
        </w:rPr>
        <w:t>（</w:t>
      </w:r>
      <w:r>
        <w:rPr>
          <w:rFonts w:hint="eastAsia"/>
          <w:color w:val="auto"/>
          <w:kern w:val="0"/>
          <w:sz w:val="24"/>
          <w:highlight w:val="none"/>
          <w:lang w:val="en-US" w:eastAsia="zh-CN"/>
        </w:rPr>
        <w:t>3</w:t>
      </w:r>
      <w:r>
        <w:rPr>
          <w:rFonts w:hint="eastAsia"/>
          <w:color w:val="auto"/>
          <w:kern w:val="0"/>
          <w:sz w:val="24"/>
          <w:highlight w:val="none"/>
          <w:lang w:val="zh-CN"/>
        </w:rPr>
        <w:t>）厂址下游河段水质影响</w:t>
      </w:r>
    </w:p>
    <w:p>
      <w:pPr>
        <w:autoSpaceDE w:val="0"/>
        <w:autoSpaceDN w:val="0"/>
        <w:adjustRightInd w:val="0"/>
        <w:spacing w:line="480" w:lineRule="exact"/>
        <w:ind w:firstLine="480"/>
        <w:jc w:val="left"/>
        <w:rPr>
          <w:rFonts w:hint="eastAsia"/>
          <w:color w:val="auto"/>
          <w:kern w:val="0"/>
          <w:sz w:val="24"/>
          <w:highlight w:val="none"/>
          <w:lang w:val="zh-CN"/>
        </w:rPr>
      </w:pPr>
      <w:r>
        <w:rPr>
          <w:rFonts w:hint="eastAsia"/>
          <w:color w:val="auto"/>
          <w:kern w:val="0"/>
          <w:sz w:val="24"/>
          <w:highlight w:val="none"/>
          <w:lang w:val="zh-CN"/>
        </w:rPr>
        <w:t>水电站正常运行不会产生废润滑油，仅在检修时会产生一定的废润滑油，因此，必须杜绝水电站检修时废润滑油直接排入黎河。环评提出：废润滑油必须统一由危废收集容器收集后存放在危废暂存间，然后委托有资质单位对其进行处置。</w:t>
      </w:r>
      <w:r>
        <w:rPr>
          <w:rFonts w:hint="eastAsia"/>
          <w:color w:val="auto"/>
          <w:kern w:val="0"/>
          <w:sz w:val="24"/>
          <w:highlight w:val="none"/>
          <w:lang w:val="zh-CN" w:eastAsia="zh-CN"/>
        </w:rPr>
        <w:t>职工生活废水排入化粪池，化粪池达到防渗要求，化粪池废水由环卫部门定期清掏，</w:t>
      </w:r>
      <w:r>
        <w:rPr>
          <w:rFonts w:hint="eastAsia"/>
          <w:color w:val="auto"/>
          <w:kern w:val="0"/>
          <w:sz w:val="24"/>
          <w:highlight w:val="none"/>
          <w:lang w:val="zh-CN"/>
        </w:rPr>
        <w:t>禁止外排。电站不会对黎河水质造成影响。</w:t>
      </w:r>
    </w:p>
    <w:p>
      <w:pPr>
        <w:autoSpaceDE w:val="0"/>
        <w:autoSpaceDN w:val="0"/>
        <w:adjustRightInd w:val="0"/>
        <w:spacing w:line="480" w:lineRule="exact"/>
        <w:ind w:firstLine="480"/>
        <w:jc w:val="left"/>
        <w:rPr>
          <w:rFonts w:hint="eastAsia"/>
          <w:color w:val="auto"/>
          <w:kern w:val="0"/>
          <w:sz w:val="24"/>
          <w:highlight w:val="none"/>
          <w:lang w:val="zh-CN"/>
        </w:rPr>
      </w:pPr>
      <w:r>
        <w:rPr>
          <w:rFonts w:hint="eastAsia"/>
          <w:color w:val="auto"/>
          <w:kern w:val="0"/>
          <w:sz w:val="24"/>
          <w:highlight w:val="none"/>
          <w:lang w:val="zh-CN"/>
        </w:rPr>
        <w:t>水力发电本身属清洁能源，电站运行期间无生产废水排放。水电站运行管理总人数为 5 人，根据工程分析，本项目运行期生活污水产生量较小，主要含 COD、氨氮，不排入黎河，对发电厂房下游河段水质无影响。</w:t>
      </w:r>
    </w:p>
    <w:p>
      <w:pPr>
        <w:autoSpaceDE w:val="0"/>
        <w:autoSpaceDN w:val="0"/>
        <w:adjustRightInd w:val="0"/>
        <w:spacing w:line="480" w:lineRule="exact"/>
        <w:jc w:val="left"/>
        <w:rPr>
          <w:rFonts w:hint="eastAsia"/>
          <w:color w:val="auto"/>
          <w:kern w:val="0"/>
          <w:sz w:val="24"/>
          <w:highlight w:val="none"/>
          <w:lang w:val="zh-CN"/>
        </w:rPr>
      </w:pPr>
      <w:r>
        <w:rPr>
          <w:rFonts w:hint="eastAsia" w:ascii="Times New Roman" w:hAnsi="Times New Roman" w:cs="Times New Roman"/>
          <w:b/>
          <w:bCs/>
          <w:color w:val="auto"/>
          <w:kern w:val="0"/>
          <w:sz w:val="24"/>
          <w:highlight w:val="none"/>
          <w:lang w:val="en-US" w:eastAsia="zh-CN"/>
        </w:rPr>
        <w:t>5.</w:t>
      </w:r>
      <w:r>
        <w:rPr>
          <w:rFonts w:hint="eastAsia" w:cs="Times New Roman"/>
          <w:b/>
          <w:bCs/>
          <w:color w:val="auto"/>
          <w:kern w:val="0"/>
          <w:sz w:val="24"/>
          <w:highlight w:val="none"/>
          <w:lang w:val="en-US" w:eastAsia="zh-CN"/>
        </w:rPr>
        <w:t>3</w:t>
      </w:r>
      <w:r>
        <w:rPr>
          <w:rFonts w:hint="eastAsia" w:ascii="Times New Roman" w:hAnsi="Times New Roman" w:cs="Times New Roman"/>
          <w:b/>
          <w:bCs/>
          <w:color w:val="auto"/>
          <w:kern w:val="0"/>
          <w:sz w:val="24"/>
          <w:highlight w:val="none"/>
          <w:lang w:val="en-US" w:eastAsia="zh-CN"/>
        </w:rPr>
        <w:t xml:space="preserve">.3 </w:t>
      </w:r>
      <w:r>
        <w:rPr>
          <w:rFonts w:hint="eastAsia"/>
          <w:b/>
          <w:bCs/>
          <w:color w:val="auto"/>
          <w:kern w:val="0"/>
          <w:sz w:val="24"/>
          <w:highlight w:val="none"/>
          <w:lang w:val="zh-CN"/>
        </w:rPr>
        <w:t>壅水区富营养化影响预测与分析</w:t>
      </w:r>
    </w:p>
    <w:p>
      <w:pPr>
        <w:autoSpaceDE w:val="0"/>
        <w:autoSpaceDN w:val="0"/>
        <w:adjustRightInd w:val="0"/>
        <w:spacing w:line="480" w:lineRule="exact"/>
        <w:ind w:firstLine="480"/>
        <w:jc w:val="left"/>
        <w:rPr>
          <w:rFonts w:hint="eastAsia"/>
          <w:color w:val="000000" w:themeColor="text1"/>
          <w:kern w:val="0"/>
          <w:sz w:val="24"/>
          <w:highlight w:val="none"/>
          <w:lang w:val="zh-CN"/>
          <w14:textFill>
            <w14:solidFill>
              <w14:schemeClr w14:val="tx1"/>
            </w14:solidFill>
          </w14:textFill>
        </w:rPr>
      </w:pPr>
      <w:r>
        <w:rPr>
          <w:rFonts w:hint="eastAsia"/>
          <w:color w:val="auto"/>
          <w:kern w:val="0"/>
          <w:sz w:val="24"/>
          <w:highlight w:val="none"/>
          <w:lang w:val="zh-CN"/>
        </w:rPr>
        <w:t>壅水区水质预测最为关</w:t>
      </w:r>
      <w:r>
        <w:rPr>
          <w:rFonts w:hint="eastAsia"/>
          <w:color w:val="000000" w:themeColor="text1"/>
          <w:kern w:val="0"/>
          <w:sz w:val="24"/>
          <w:highlight w:val="none"/>
          <w:lang w:val="zh-CN"/>
          <w14:textFill>
            <w14:solidFill>
              <w14:schemeClr w14:val="tx1"/>
            </w14:solidFill>
          </w14:textFill>
        </w:rPr>
        <w:t>注的内容是富营养化问题。水体富营养化是一种营养物质在壅水区水体中累积过多，造成水体从生产力低的贫营养状态逐步向生产力高的富营养化状态过渡的一种现象，富营养化将引起藻类的过量生长，过量的藻类生长间接地使水中的溶解氧含量降低，恶化水质。通常认为，氮、磷等营养物质浓度的增高，是富营养化产生的原因。</w:t>
      </w:r>
    </w:p>
    <w:p>
      <w:pPr>
        <w:autoSpaceDE w:val="0"/>
        <w:autoSpaceDN w:val="0"/>
        <w:adjustRightInd w:val="0"/>
        <w:spacing w:line="480" w:lineRule="exact"/>
        <w:ind w:firstLine="480" w:firstLineChars="200"/>
        <w:rPr>
          <w:rFonts w:hint="eastAsia"/>
          <w:color w:val="auto"/>
          <w:kern w:val="0"/>
          <w:sz w:val="24"/>
          <w:highlight w:val="none"/>
          <w:lang w:val="zh-CN"/>
        </w:rPr>
      </w:pPr>
      <w:r>
        <w:rPr>
          <w:rFonts w:hint="eastAsia"/>
          <w:color w:val="auto"/>
          <w:kern w:val="0"/>
          <w:sz w:val="24"/>
          <w:highlight w:val="none"/>
          <w:lang w:val="zh-CN"/>
        </w:rPr>
        <w:t>本环评选用容易引起水库富营养化的氮、磷指标，对雍水区营养化趋势进行预测与评价。采用《环境影响评价技术导则-地表水环境（HJ2.3-2018）》推荐的狄龙模式对雍水区内氮、磷浓度是否会造成库区水体富营养化的预测分析，公式如下：</w:t>
      </w:r>
    </w:p>
    <w:p>
      <w:pPr>
        <w:autoSpaceDE w:val="0"/>
        <w:autoSpaceDN w:val="0"/>
        <w:adjustRightInd w:val="0"/>
        <w:spacing w:line="240" w:lineRule="auto"/>
        <w:ind w:firstLine="480" w:firstLineChars="200"/>
        <w:rPr>
          <w:rFonts w:hint="eastAsia"/>
          <w:color w:val="auto"/>
          <w:kern w:val="0"/>
          <w:sz w:val="24"/>
          <w:highlight w:val="none"/>
          <w:lang w:val="zh-CN"/>
        </w:rPr>
      </w:pPr>
      <w:r>
        <w:rPr>
          <w:rFonts w:hint="eastAsia"/>
          <w:color w:val="auto"/>
          <w:kern w:val="0"/>
          <w:sz w:val="24"/>
          <w:highlight w:val="none"/>
          <w:lang w:val="en-US" w:eastAsia="zh-CN"/>
        </w:rPr>
        <w:t xml:space="preserve">    </w:t>
      </w:r>
      <w:r>
        <w:rPr>
          <w:rFonts w:hint="eastAsia"/>
          <w:color w:val="auto"/>
          <w:kern w:val="0"/>
          <w:sz w:val="24"/>
          <w:highlight w:val="none"/>
          <w:lang w:val="zh-CN"/>
        </w:rPr>
        <w:drawing>
          <wp:inline distT="0" distB="0" distL="114300" distR="114300">
            <wp:extent cx="2105025" cy="1676400"/>
            <wp:effectExtent l="0" t="0" r="9525" b="0"/>
            <wp:docPr id="40" name="图片 40" descr="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555"/>
                    <pic:cNvPicPr>
                      <a:picLocks noChangeAspect="1"/>
                    </pic:cNvPicPr>
                  </pic:nvPicPr>
                  <pic:blipFill>
                    <a:blip r:embed="rId74"/>
                    <a:stretch>
                      <a:fillRect/>
                    </a:stretch>
                  </pic:blipFill>
                  <pic:spPr>
                    <a:xfrm>
                      <a:off x="0" y="0"/>
                      <a:ext cx="2105025" cy="1676400"/>
                    </a:xfrm>
                    <a:prstGeom prst="rect">
                      <a:avLst/>
                    </a:prstGeom>
                  </pic:spPr>
                </pic:pic>
              </a:graphicData>
            </a:graphic>
          </wp:inline>
        </w:drawing>
      </w:r>
    </w:p>
    <w:p>
      <w:pPr>
        <w:autoSpaceDE w:val="0"/>
        <w:autoSpaceDN w:val="0"/>
        <w:adjustRightInd w:val="0"/>
        <w:spacing w:line="480" w:lineRule="exact"/>
        <w:ind w:firstLine="420" w:firstLineChars="200"/>
        <w:rPr>
          <w:rFonts w:hint="eastAsia"/>
          <w:color w:val="auto"/>
          <w:kern w:val="0"/>
          <w:sz w:val="24"/>
          <w:highlight w:val="none"/>
          <w:lang w:val="zh-CN"/>
        </w:rPr>
      </w:pPr>
      <w:r>
        <w:rPr>
          <w:rFonts w:hint="eastAsia"/>
          <w:highlight w:val="none"/>
          <w:lang w:val="en-US" w:eastAsia="zh-CN"/>
        </w:rPr>
        <w:t xml:space="preserve"> </w:t>
      </w:r>
      <w:r>
        <w:rPr>
          <w:rFonts w:hint="eastAsia"/>
          <w:color w:val="auto"/>
          <w:kern w:val="0"/>
          <w:sz w:val="24"/>
          <w:highlight w:val="none"/>
          <w:lang w:val="zh-CN"/>
        </w:rPr>
        <w:t>式中：</w:t>
      </w:r>
      <w:r>
        <w:rPr>
          <w:rFonts w:hint="eastAsia"/>
          <w:color w:val="auto"/>
          <w:kern w:val="0"/>
          <w:sz w:val="24"/>
          <w:highlight w:val="none"/>
          <w:lang w:val="en-US" w:eastAsia="zh-CN"/>
        </w:rPr>
        <w:t>[</w:t>
      </w:r>
      <w:r>
        <w:rPr>
          <w:rFonts w:hint="eastAsia"/>
          <w:color w:val="auto"/>
          <w:kern w:val="0"/>
          <w:sz w:val="24"/>
          <w:highlight w:val="none"/>
          <w:lang w:val="zh-CN"/>
        </w:rPr>
        <w:t>P</w:t>
      </w:r>
      <w:r>
        <w:rPr>
          <w:rFonts w:hint="eastAsia"/>
          <w:color w:val="auto"/>
          <w:kern w:val="0"/>
          <w:sz w:val="24"/>
          <w:highlight w:val="none"/>
          <w:lang w:val="en-US" w:eastAsia="zh-CN"/>
        </w:rPr>
        <w:t>]</w:t>
      </w:r>
      <w:r>
        <w:rPr>
          <w:rFonts w:hint="eastAsia"/>
          <w:color w:val="auto"/>
          <w:kern w:val="0"/>
          <w:sz w:val="24"/>
          <w:highlight w:val="none"/>
          <w:lang w:val="zh-CN"/>
        </w:rPr>
        <w:t>—湖库中氮、磷的平均浓度，mg/L；</w:t>
      </w:r>
    </w:p>
    <w:p>
      <w:pPr>
        <w:keepNext w:val="0"/>
        <w:keepLines w:val="0"/>
        <w:pageBreakBefore w:val="0"/>
        <w:widowControl w:val="0"/>
        <w:kinsoku/>
        <w:wordWrap/>
        <w:overflowPunct/>
        <w:topLinePunct w:val="0"/>
        <w:autoSpaceDE w:val="0"/>
        <w:autoSpaceDN w:val="0"/>
        <w:bidi w:val="0"/>
        <w:adjustRightInd w:val="0"/>
        <w:snapToGrid/>
        <w:spacing w:line="480" w:lineRule="exact"/>
        <w:ind w:firstLine="480" w:firstLineChars="200"/>
        <w:textAlignment w:val="auto"/>
        <w:rPr>
          <w:rFonts w:hint="eastAsia"/>
          <w:color w:val="auto"/>
          <w:kern w:val="0"/>
          <w:sz w:val="24"/>
          <w:highlight w:val="none"/>
          <w:lang w:val="zh-CN"/>
        </w:rPr>
      </w:pPr>
      <w:r>
        <w:rPr>
          <w:rFonts w:hint="eastAsia"/>
          <w:color w:val="auto"/>
          <w:kern w:val="0"/>
          <w:sz w:val="24"/>
          <w:highlight w:val="none"/>
          <w:lang w:val="zh-CN"/>
        </w:rPr>
        <w:t>Ip —单位时间进入湖库的氮、磷质量，g/a；</w:t>
      </w:r>
    </w:p>
    <w:p>
      <w:pPr>
        <w:keepNext w:val="0"/>
        <w:keepLines w:val="0"/>
        <w:pageBreakBefore w:val="0"/>
        <w:widowControl w:val="0"/>
        <w:kinsoku/>
        <w:wordWrap/>
        <w:overflowPunct/>
        <w:topLinePunct w:val="0"/>
        <w:autoSpaceDE w:val="0"/>
        <w:autoSpaceDN w:val="0"/>
        <w:bidi w:val="0"/>
        <w:adjustRightInd w:val="0"/>
        <w:snapToGrid/>
        <w:spacing w:line="480" w:lineRule="exact"/>
        <w:ind w:firstLine="480" w:firstLineChars="200"/>
        <w:textAlignment w:val="auto"/>
        <w:rPr>
          <w:rFonts w:hint="eastAsia"/>
          <w:color w:val="auto"/>
          <w:kern w:val="0"/>
          <w:sz w:val="24"/>
          <w:highlight w:val="none"/>
          <w:lang w:val="zh-CN"/>
        </w:rPr>
      </w:pPr>
      <w:r>
        <w:rPr>
          <w:rFonts w:hint="eastAsia"/>
          <w:color w:val="auto"/>
          <w:kern w:val="0"/>
          <w:sz w:val="24"/>
          <w:highlight w:val="none"/>
          <w:lang w:val="zh-CN"/>
        </w:rPr>
        <w:t>Lp —单位时间、单位面积进入湖库的氮、磷负荷量，g/(m</w:t>
      </w:r>
      <w:r>
        <w:rPr>
          <w:rFonts w:hint="eastAsia"/>
          <w:color w:val="auto"/>
          <w:kern w:val="0"/>
          <w:sz w:val="24"/>
          <w:highlight w:val="none"/>
          <w:vertAlign w:val="superscript"/>
          <w:lang w:val="zh-CN"/>
        </w:rPr>
        <w:t>2</w:t>
      </w:r>
      <w:r>
        <w:rPr>
          <w:rFonts w:hint="eastAsia"/>
          <w:color w:val="auto"/>
          <w:kern w:val="0"/>
          <w:sz w:val="24"/>
          <w:highlight w:val="none"/>
          <w:lang w:val="zh-CN"/>
        </w:rPr>
        <w:t>·a)；</w:t>
      </w:r>
    </w:p>
    <w:p>
      <w:pPr>
        <w:keepNext w:val="0"/>
        <w:keepLines w:val="0"/>
        <w:pageBreakBefore w:val="0"/>
        <w:widowControl w:val="0"/>
        <w:kinsoku/>
        <w:wordWrap/>
        <w:overflowPunct/>
        <w:topLinePunct w:val="0"/>
        <w:autoSpaceDE w:val="0"/>
        <w:autoSpaceDN w:val="0"/>
        <w:bidi w:val="0"/>
        <w:adjustRightInd w:val="0"/>
        <w:snapToGrid/>
        <w:spacing w:line="480" w:lineRule="exact"/>
        <w:ind w:firstLine="480" w:firstLineChars="200"/>
        <w:textAlignment w:val="auto"/>
        <w:rPr>
          <w:rFonts w:hint="eastAsia"/>
          <w:color w:val="auto"/>
          <w:kern w:val="0"/>
          <w:sz w:val="24"/>
          <w:highlight w:val="none"/>
          <w:lang w:val="zh-CN"/>
        </w:rPr>
      </w:pPr>
      <w:r>
        <w:rPr>
          <w:rFonts w:hint="eastAsia"/>
          <w:color w:val="auto"/>
          <w:kern w:val="0"/>
          <w:sz w:val="24"/>
          <w:highlight w:val="none"/>
          <w:lang w:val="zh-CN"/>
        </w:rPr>
        <w:t>H—平均水深，m；</w:t>
      </w:r>
    </w:p>
    <w:p>
      <w:pPr>
        <w:keepNext w:val="0"/>
        <w:keepLines w:val="0"/>
        <w:pageBreakBefore w:val="0"/>
        <w:widowControl w:val="0"/>
        <w:kinsoku/>
        <w:wordWrap/>
        <w:overflowPunct/>
        <w:topLinePunct w:val="0"/>
        <w:autoSpaceDE w:val="0"/>
        <w:autoSpaceDN w:val="0"/>
        <w:bidi w:val="0"/>
        <w:adjustRightInd w:val="0"/>
        <w:snapToGrid/>
        <w:spacing w:line="480" w:lineRule="exact"/>
        <w:ind w:firstLine="480" w:firstLineChars="200"/>
        <w:textAlignment w:val="auto"/>
        <w:rPr>
          <w:rFonts w:hint="eastAsia"/>
          <w:color w:val="auto"/>
          <w:kern w:val="0"/>
          <w:sz w:val="24"/>
          <w:highlight w:val="none"/>
          <w:lang w:val="zh-CN"/>
        </w:rPr>
      </w:pPr>
      <w:r>
        <w:rPr>
          <w:rFonts w:hint="eastAsia"/>
          <w:color w:val="auto"/>
          <w:kern w:val="0"/>
          <w:sz w:val="24"/>
          <w:highlight w:val="none"/>
          <w:lang w:val="zh-CN"/>
        </w:rPr>
        <w:t>Rp —氮、磷在湖库中的滞留率，量纲为1；</w:t>
      </w:r>
    </w:p>
    <w:p>
      <w:pPr>
        <w:keepNext w:val="0"/>
        <w:keepLines w:val="0"/>
        <w:pageBreakBefore w:val="0"/>
        <w:widowControl w:val="0"/>
        <w:kinsoku/>
        <w:wordWrap/>
        <w:overflowPunct/>
        <w:topLinePunct w:val="0"/>
        <w:autoSpaceDE w:val="0"/>
        <w:autoSpaceDN w:val="0"/>
        <w:bidi w:val="0"/>
        <w:adjustRightInd w:val="0"/>
        <w:snapToGrid/>
        <w:spacing w:line="480" w:lineRule="exact"/>
        <w:ind w:firstLine="480" w:firstLineChars="200"/>
        <w:textAlignment w:val="auto"/>
        <w:rPr>
          <w:rFonts w:hint="eastAsia"/>
          <w:color w:val="auto"/>
          <w:kern w:val="0"/>
          <w:sz w:val="24"/>
          <w:highlight w:val="none"/>
          <w:lang w:val="zh-CN"/>
        </w:rPr>
      </w:pPr>
      <w:r>
        <w:rPr>
          <w:rFonts w:hint="eastAsia"/>
          <w:color w:val="auto"/>
          <w:kern w:val="0"/>
          <w:sz w:val="24"/>
          <w:highlight w:val="none"/>
          <w:lang w:val="zh-CN"/>
        </w:rPr>
        <w:t>qa —年出流的水量，m</w:t>
      </w:r>
      <w:r>
        <w:rPr>
          <w:rFonts w:hint="eastAsia"/>
          <w:color w:val="auto"/>
          <w:kern w:val="0"/>
          <w:sz w:val="24"/>
          <w:highlight w:val="none"/>
          <w:vertAlign w:val="superscript"/>
          <w:lang w:val="zh-CN"/>
        </w:rPr>
        <w:t>3</w:t>
      </w:r>
      <w:r>
        <w:rPr>
          <w:rFonts w:hint="eastAsia"/>
          <w:color w:val="auto"/>
          <w:kern w:val="0"/>
          <w:sz w:val="24"/>
          <w:highlight w:val="none"/>
          <w:lang w:val="zh-CN"/>
        </w:rPr>
        <w:t>/a；</w:t>
      </w:r>
    </w:p>
    <w:p>
      <w:pPr>
        <w:keepNext w:val="0"/>
        <w:keepLines w:val="0"/>
        <w:pageBreakBefore w:val="0"/>
        <w:widowControl w:val="0"/>
        <w:kinsoku/>
        <w:wordWrap/>
        <w:overflowPunct/>
        <w:topLinePunct w:val="0"/>
        <w:autoSpaceDE w:val="0"/>
        <w:autoSpaceDN w:val="0"/>
        <w:bidi w:val="0"/>
        <w:adjustRightInd w:val="0"/>
        <w:snapToGrid/>
        <w:spacing w:line="480" w:lineRule="exact"/>
        <w:ind w:firstLine="480" w:firstLineChars="200"/>
        <w:textAlignment w:val="auto"/>
        <w:rPr>
          <w:rFonts w:hint="eastAsia"/>
          <w:color w:val="auto"/>
          <w:kern w:val="0"/>
          <w:sz w:val="24"/>
          <w:highlight w:val="none"/>
          <w:lang w:val="zh-CN"/>
        </w:rPr>
      </w:pPr>
      <w:r>
        <w:rPr>
          <w:rFonts w:hint="eastAsia"/>
          <w:color w:val="auto"/>
          <w:kern w:val="0"/>
          <w:sz w:val="24"/>
          <w:highlight w:val="none"/>
          <w:lang w:val="zh-CN"/>
        </w:rPr>
        <w:t>q i —年入流的水量，m</w:t>
      </w:r>
      <w:r>
        <w:rPr>
          <w:rFonts w:hint="eastAsia"/>
          <w:color w:val="auto"/>
          <w:kern w:val="0"/>
          <w:sz w:val="24"/>
          <w:highlight w:val="none"/>
          <w:vertAlign w:val="superscript"/>
          <w:lang w:val="zh-CN"/>
        </w:rPr>
        <w:t>3</w:t>
      </w:r>
      <w:r>
        <w:rPr>
          <w:rFonts w:hint="eastAsia"/>
          <w:color w:val="auto"/>
          <w:kern w:val="0"/>
          <w:sz w:val="24"/>
          <w:highlight w:val="none"/>
          <w:lang w:val="zh-CN"/>
        </w:rPr>
        <w:t>/a；</w:t>
      </w:r>
    </w:p>
    <w:p>
      <w:pPr>
        <w:keepNext w:val="0"/>
        <w:keepLines w:val="0"/>
        <w:pageBreakBefore w:val="0"/>
        <w:widowControl w:val="0"/>
        <w:kinsoku/>
        <w:wordWrap/>
        <w:overflowPunct/>
        <w:topLinePunct w:val="0"/>
        <w:autoSpaceDE w:val="0"/>
        <w:autoSpaceDN w:val="0"/>
        <w:bidi w:val="0"/>
        <w:adjustRightInd w:val="0"/>
        <w:snapToGrid/>
        <w:spacing w:line="480" w:lineRule="exact"/>
        <w:ind w:firstLine="480" w:firstLineChars="200"/>
        <w:textAlignment w:val="auto"/>
        <w:rPr>
          <w:rFonts w:hint="eastAsia"/>
          <w:color w:val="auto"/>
          <w:kern w:val="0"/>
          <w:sz w:val="24"/>
          <w:highlight w:val="none"/>
          <w:lang w:val="zh-CN"/>
        </w:rPr>
      </w:pPr>
      <w:r>
        <w:rPr>
          <w:rFonts w:hint="eastAsia"/>
          <w:color w:val="auto"/>
          <w:kern w:val="0"/>
          <w:sz w:val="24"/>
          <w:highlight w:val="none"/>
          <w:lang w:val="en-US" w:eastAsia="zh-CN"/>
        </w:rPr>
        <w:t>[</w:t>
      </w:r>
      <w:r>
        <w:rPr>
          <w:rFonts w:hint="eastAsia"/>
          <w:color w:val="auto"/>
          <w:kern w:val="0"/>
          <w:sz w:val="24"/>
          <w:highlight w:val="none"/>
          <w:lang w:val="zh-CN"/>
        </w:rPr>
        <w:t>P</w:t>
      </w:r>
      <w:r>
        <w:rPr>
          <w:rFonts w:hint="eastAsia"/>
          <w:color w:val="auto"/>
          <w:kern w:val="0"/>
          <w:sz w:val="24"/>
          <w:highlight w:val="none"/>
          <w:lang w:val="en-US" w:eastAsia="zh-CN"/>
        </w:rPr>
        <w:t>]</w:t>
      </w:r>
      <w:r>
        <w:rPr>
          <w:rFonts w:hint="eastAsia"/>
          <w:color w:val="auto"/>
          <w:kern w:val="0"/>
          <w:sz w:val="24"/>
          <w:highlight w:val="none"/>
          <w:lang w:val="zh-CN"/>
        </w:rPr>
        <w:t>a —年出流的氮、磷平均浓度，mg/L；</w:t>
      </w:r>
    </w:p>
    <w:p>
      <w:pPr>
        <w:keepNext w:val="0"/>
        <w:keepLines w:val="0"/>
        <w:pageBreakBefore w:val="0"/>
        <w:widowControl w:val="0"/>
        <w:kinsoku/>
        <w:wordWrap/>
        <w:overflowPunct/>
        <w:topLinePunct w:val="0"/>
        <w:autoSpaceDE w:val="0"/>
        <w:autoSpaceDN w:val="0"/>
        <w:bidi w:val="0"/>
        <w:adjustRightInd w:val="0"/>
        <w:snapToGrid/>
        <w:spacing w:line="480" w:lineRule="exact"/>
        <w:ind w:firstLine="480" w:firstLineChars="200"/>
        <w:textAlignment w:val="auto"/>
        <w:rPr>
          <w:rFonts w:hint="eastAsia"/>
          <w:color w:val="auto"/>
          <w:kern w:val="0"/>
          <w:sz w:val="24"/>
          <w:highlight w:val="none"/>
          <w:lang w:val="zh-CN"/>
        </w:rPr>
      </w:pPr>
      <w:r>
        <w:rPr>
          <w:rFonts w:hint="eastAsia"/>
          <w:color w:val="auto"/>
          <w:kern w:val="0"/>
          <w:sz w:val="24"/>
          <w:highlight w:val="none"/>
          <w:lang w:val="en-US" w:eastAsia="zh-CN"/>
        </w:rPr>
        <w:t>[</w:t>
      </w:r>
      <w:r>
        <w:rPr>
          <w:rFonts w:hint="eastAsia"/>
          <w:color w:val="auto"/>
          <w:kern w:val="0"/>
          <w:sz w:val="24"/>
          <w:highlight w:val="none"/>
          <w:lang w:val="zh-CN"/>
        </w:rPr>
        <w:t>P</w:t>
      </w:r>
      <w:r>
        <w:rPr>
          <w:rFonts w:hint="eastAsia"/>
          <w:color w:val="auto"/>
          <w:kern w:val="0"/>
          <w:sz w:val="24"/>
          <w:highlight w:val="none"/>
          <w:lang w:val="en-US" w:eastAsia="zh-CN"/>
        </w:rPr>
        <w:t>]</w:t>
      </w:r>
      <w:r>
        <w:rPr>
          <w:rFonts w:hint="eastAsia"/>
          <w:color w:val="auto"/>
          <w:kern w:val="0"/>
          <w:sz w:val="24"/>
          <w:highlight w:val="none"/>
          <w:lang w:val="zh-CN"/>
        </w:rPr>
        <w:t>i —年入流的 TN（TP）平均浓度，mg/L；</w:t>
      </w:r>
    </w:p>
    <w:p>
      <w:pPr>
        <w:keepNext w:val="0"/>
        <w:keepLines w:val="0"/>
        <w:pageBreakBefore w:val="0"/>
        <w:widowControl w:val="0"/>
        <w:kinsoku/>
        <w:wordWrap/>
        <w:overflowPunct/>
        <w:topLinePunct w:val="0"/>
        <w:autoSpaceDE w:val="0"/>
        <w:autoSpaceDN w:val="0"/>
        <w:bidi w:val="0"/>
        <w:adjustRightInd w:val="0"/>
        <w:snapToGrid/>
        <w:spacing w:line="480" w:lineRule="exact"/>
        <w:ind w:firstLine="480" w:firstLineChars="200"/>
        <w:textAlignment w:val="auto"/>
        <w:rPr>
          <w:rFonts w:hint="eastAsia"/>
          <w:color w:val="auto"/>
          <w:kern w:val="0"/>
          <w:sz w:val="24"/>
          <w:highlight w:val="none"/>
          <w:lang w:val="zh-CN"/>
        </w:rPr>
      </w:pPr>
      <w:r>
        <w:rPr>
          <w:rFonts w:hint="eastAsia"/>
          <w:color w:val="auto"/>
          <w:kern w:val="0"/>
          <w:sz w:val="24"/>
          <w:highlight w:val="none"/>
          <w:lang w:val="zh-CN"/>
        </w:rPr>
        <w:t>r—水力冲刷系数，1/a；</w:t>
      </w:r>
    </w:p>
    <w:p>
      <w:pPr>
        <w:keepNext w:val="0"/>
        <w:keepLines w:val="0"/>
        <w:pageBreakBefore w:val="0"/>
        <w:widowControl w:val="0"/>
        <w:kinsoku/>
        <w:wordWrap/>
        <w:overflowPunct/>
        <w:topLinePunct w:val="0"/>
        <w:autoSpaceDE w:val="0"/>
        <w:autoSpaceDN w:val="0"/>
        <w:bidi w:val="0"/>
        <w:adjustRightInd w:val="0"/>
        <w:snapToGrid/>
        <w:spacing w:line="480" w:lineRule="exact"/>
        <w:ind w:firstLine="480" w:firstLineChars="200"/>
        <w:textAlignment w:val="auto"/>
        <w:rPr>
          <w:rFonts w:hint="eastAsia"/>
          <w:color w:val="auto"/>
          <w:kern w:val="0"/>
          <w:sz w:val="24"/>
          <w:highlight w:val="none"/>
          <w:lang w:val="zh-CN"/>
        </w:rPr>
      </w:pPr>
      <w:r>
        <w:rPr>
          <w:rFonts w:hint="eastAsia"/>
          <w:color w:val="auto"/>
          <w:kern w:val="0"/>
          <w:sz w:val="24"/>
          <w:highlight w:val="none"/>
          <w:lang w:val="zh-CN"/>
        </w:rPr>
        <w:t>Q—湖库年出流水量，m</w:t>
      </w:r>
      <w:r>
        <w:rPr>
          <w:rFonts w:hint="eastAsia"/>
          <w:color w:val="auto"/>
          <w:kern w:val="0"/>
          <w:sz w:val="24"/>
          <w:highlight w:val="none"/>
          <w:vertAlign w:val="superscript"/>
          <w:lang w:val="zh-CN"/>
        </w:rPr>
        <w:t>3</w:t>
      </w:r>
      <w:r>
        <w:rPr>
          <w:rFonts w:hint="eastAsia"/>
          <w:color w:val="auto"/>
          <w:kern w:val="0"/>
          <w:sz w:val="24"/>
          <w:highlight w:val="none"/>
          <w:lang w:val="zh-CN"/>
        </w:rPr>
        <w:t>/a；</w:t>
      </w:r>
    </w:p>
    <w:p>
      <w:pPr>
        <w:keepNext w:val="0"/>
        <w:keepLines w:val="0"/>
        <w:pageBreakBefore w:val="0"/>
        <w:widowControl w:val="0"/>
        <w:kinsoku/>
        <w:wordWrap/>
        <w:overflowPunct/>
        <w:topLinePunct w:val="0"/>
        <w:autoSpaceDE w:val="0"/>
        <w:autoSpaceDN w:val="0"/>
        <w:bidi w:val="0"/>
        <w:adjustRightInd w:val="0"/>
        <w:snapToGrid/>
        <w:spacing w:line="480" w:lineRule="exact"/>
        <w:ind w:firstLine="480" w:firstLineChars="200"/>
        <w:textAlignment w:val="auto"/>
        <w:rPr>
          <w:rFonts w:hint="eastAsia"/>
          <w:color w:val="auto"/>
          <w:kern w:val="0"/>
          <w:sz w:val="24"/>
          <w:highlight w:val="none"/>
          <w:lang w:val="zh-CN"/>
        </w:rPr>
      </w:pPr>
      <w:r>
        <w:rPr>
          <w:rFonts w:hint="eastAsia"/>
          <w:color w:val="auto"/>
          <w:kern w:val="0"/>
          <w:sz w:val="24"/>
          <w:highlight w:val="none"/>
          <w:lang w:val="zh-CN"/>
        </w:rPr>
        <w:t>V —水体体积，即总库容，m</w:t>
      </w:r>
      <w:r>
        <w:rPr>
          <w:rFonts w:hint="eastAsia"/>
          <w:color w:val="auto"/>
          <w:kern w:val="0"/>
          <w:sz w:val="24"/>
          <w:highlight w:val="none"/>
          <w:vertAlign w:val="superscript"/>
          <w:lang w:val="zh-CN"/>
        </w:rPr>
        <w:t>3</w:t>
      </w:r>
      <w:r>
        <w:rPr>
          <w:rFonts w:hint="eastAsia"/>
          <w:color w:val="auto"/>
          <w:kern w:val="0"/>
          <w:sz w:val="24"/>
          <w:highlight w:val="none"/>
          <w:lang w:val="zh-CN"/>
        </w:rPr>
        <w:t>；</w:t>
      </w:r>
    </w:p>
    <w:p>
      <w:pPr>
        <w:keepNext w:val="0"/>
        <w:keepLines w:val="0"/>
        <w:pageBreakBefore w:val="0"/>
        <w:widowControl w:val="0"/>
        <w:kinsoku/>
        <w:wordWrap/>
        <w:overflowPunct/>
        <w:topLinePunct w:val="0"/>
        <w:autoSpaceDE w:val="0"/>
        <w:autoSpaceDN w:val="0"/>
        <w:bidi w:val="0"/>
        <w:adjustRightInd w:val="0"/>
        <w:snapToGrid/>
        <w:spacing w:line="480" w:lineRule="exact"/>
        <w:ind w:firstLine="480" w:firstLineChars="200"/>
        <w:textAlignment w:val="auto"/>
        <w:rPr>
          <w:rFonts w:hint="eastAsia"/>
          <w:color w:val="auto"/>
          <w:kern w:val="0"/>
          <w:sz w:val="24"/>
          <w:highlight w:val="none"/>
          <w:lang w:val="zh-CN"/>
        </w:rPr>
      </w:pPr>
      <w:r>
        <w:rPr>
          <w:rFonts w:hint="eastAsia"/>
          <w:color w:val="auto"/>
          <w:kern w:val="0"/>
          <w:sz w:val="24"/>
          <w:highlight w:val="none"/>
          <w:lang w:val="zh-CN"/>
        </w:rPr>
        <w:t>A—水库水面面积，m</w:t>
      </w:r>
      <w:r>
        <w:rPr>
          <w:rFonts w:hint="eastAsia"/>
          <w:color w:val="auto"/>
          <w:kern w:val="0"/>
          <w:sz w:val="24"/>
          <w:highlight w:val="none"/>
          <w:vertAlign w:val="superscript"/>
          <w:lang w:val="zh-CN"/>
        </w:rPr>
        <w:t>2</w:t>
      </w:r>
      <w:r>
        <w:rPr>
          <w:rFonts w:hint="eastAsia"/>
          <w:color w:val="auto"/>
          <w:kern w:val="0"/>
          <w:sz w:val="24"/>
          <w:highlight w:val="none"/>
          <w:lang w:val="zh-CN"/>
        </w:rPr>
        <w:t xml:space="preserve"> 。</w:t>
      </w:r>
    </w:p>
    <w:p>
      <w:pPr>
        <w:keepNext w:val="0"/>
        <w:keepLines w:val="0"/>
        <w:pageBreakBefore w:val="0"/>
        <w:widowControl w:val="0"/>
        <w:kinsoku/>
        <w:wordWrap/>
        <w:overflowPunct/>
        <w:topLinePunct w:val="0"/>
        <w:autoSpaceDE w:val="0"/>
        <w:autoSpaceDN w:val="0"/>
        <w:bidi w:val="0"/>
        <w:adjustRightInd w:val="0"/>
        <w:snapToGrid/>
        <w:spacing w:line="480" w:lineRule="exact"/>
        <w:ind w:firstLine="480" w:firstLineChars="200"/>
        <w:textAlignment w:val="auto"/>
        <w:rPr>
          <w:rFonts w:hint="eastAsia"/>
          <w:color w:val="auto"/>
          <w:kern w:val="0"/>
          <w:sz w:val="24"/>
          <w:highlight w:val="none"/>
          <w:lang w:val="zh-CN"/>
        </w:rPr>
      </w:pPr>
      <w:r>
        <w:rPr>
          <w:rFonts w:hint="eastAsia"/>
          <w:color w:val="auto"/>
          <w:kern w:val="0"/>
          <w:sz w:val="24"/>
          <w:highlight w:val="none"/>
          <w:lang w:val="zh-CN"/>
        </w:rPr>
        <w:t>（1）参数值确定</w:t>
      </w:r>
    </w:p>
    <w:p>
      <w:pPr>
        <w:keepNext w:val="0"/>
        <w:keepLines w:val="0"/>
        <w:pageBreakBefore w:val="0"/>
        <w:widowControl w:val="0"/>
        <w:kinsoku/>
        <w:wordWrap/>
        <w:overflowPunct/>
        <w:topLinePunct w:val="0"/>
        <w:autoSpaceDE w:val="0"/>
        <w:autoSpaceDN w:val="0"/>
        <w:bidi w:val="0"/>
        <w:adjustRightInd w:val="0"/>
        <w:snapToGrid/>
        <w:spacing w:line="480" w:lineRule="exact"/>
        <w:ind w:firstLine="480" w:firstLineChars="200"/>
        <w:textAlignment w:val="auto"/>
        <w:rPr>
          <w:rFonts w:hint="eastAsia"/>
          <w:color w:val="auto"/>
          <w:kern w:val="0"/>
          <w:sz w:val="24"/>
          <w:highlight w:val="none"/>
          <w:lang w:val="zh-CN"/>
        </w:rPr>
      </w:pPr>
      <w:r>
        <w:rPr>
          <w:rFonts w:hint="eastAsia"/>
          <w:color w:val="auto"/>
          <w:kern w:val="0"/>
          <w:sz w:val="24"/>
          <w:highlight w:val="none"/>
          <w:lang w:val="zh-CN"/>
        </w:rPr>
        <w:t>①</w:t>
      </w:r>
      <w:r>
        <w:rPr>
          <w:rFonts w:hint="eastAsia" w:ascii="Times New Roman"/>
          <w:color w:val="auto"/>
          <w:kern w:val="0"/>
          <w:sz w:val="24"/>
          <w:highlight w:val="none"/>
          <w:lang w:val="zh-CN"/>
        </w:rPr>
        <w:t>氮、磷</w:t>
      </w:r>
      <w:r>
        <w:rPr>
          <w:rFonts w:hint="eastAsia"/>
          <w:color w:val="auto"/>
          <w:kern w:val="0"/>
          <w:sz w:val="24"/>
          <w:highlight w:val="none"/>
          <w:lang w:val="zh-CN"/>
        </w:rPr>
        <w:t>负荷量</w:t>
      </w:r>
    </w:p>
    <w:p>
      <w:pPr>
        <w:keepNext w:val="0"/>
        <w:keepLines w:val="0"/>
        <w:pageBreakBefore w:val="0"/>
        <w:widowControl w:val="0"/>
        <w:kinsoku/>
        <w:wordWrap/>
        <w:overflowPunct/>
        <w:topLinePunct w:val="0"/>
        <w:autoSpaceDE w:val="0"/>
        <w:autoSpaceDN w:val="0"/>
        <w:bidi w:val="0"/>
        <w:adjustRightInd w:val="0"/>
        <w:snapToGrid/>
        <w:spacing w:line="480" w:lineRule="exact"/>
        <w:ind w:firstLine="480" w:firstLineChars="200"/>
        <w:textAlignment w:val="auto"/>
        <w:rPr>
          <w:rFonts w:hint="eastAsia"/>
          <w:color w:val="auto"/>
          <w:kern w:val="0"/>
          <w:sz w:val="24"/>
          <w:highlight w:val="none"/>
          <w:lang w:val="zh-CN"/>
        </w:rPr>
      </w:pPr>
      <w:r>
        <w:rPr>
          <w:rFonts w:hint="eastAsia"/>
          <w:color w:val="auto"/>
          <w:kern w:val="0"/>
          <w:sz w:val="24"/>
          <w:highlight w:val="none"/>
          <w:lang w:val="zh-CN"/>
        </w:rPr>
        <w:t>根据雍水区范围内污染源调查，雍水区范围内无规模以上排污口，主要污染物为农业面源污染及农村生活污水。正常输水期时，雍水区表面积为</w:t>
      </w:r>
      <w:r>
        <w:rPr>
          <w:rFonts w:hint="eastAsia"/>
          <w:color w:val="auto"/>
          <w:kern w:val="0"/>
          <w:sz w:val="24"/>
          <w:highlight w:val="none"/>
          <w:lang w:val="en-US" w:eastAsia="zh-CN"/>
        </w:rPr>
        <w:t>17200</w:t>
      </w:r>
      <w:r>
        <w:rPr>
          <w:rFonts w:hint="eastAsia"/>
          <w:color w:val="auto"/>
          <w:kern w:val="0"/>
          <w:sz w:val="24"/>
          <w:highlight w:val="none"/>
          <w:lang w:val="zh-CN"/>
        </w:rPr>
        <w:t>m</w:t>
      </w:r>
      <w:r>
        <w:rPr>
          <w:rFonts w:hint="eastAsia"/>
          <w:color w:val="auto"/>
          <w:kern w:val="0"/>
          <w:sz w:val="24"/>
          <w:highlight w:val="none"/>
          <w:vertAlign w:val="superscript"/>
          <w:lang w:val="zh-CN"/>
        </w:rPr>
        <w:t>2</w:t>
      </w:r>
      <w:r>
        <w:rPr>
          <w:rFonts w:hint="eastAsia"/>
          <w:color w:val="auto"/>
          <w:kern w:val="0"/>
          <w:sz w:val="24"/>
          <w:highlight w:val="none"/>
          <w:lang w:val="zh-CN"/>
        </w:rPr>
        <w:t>。雍水区库氮、磷入库量及负荷量详见表5.3</w:t>
      </w:r>
      <w:r>
        <w:rPr>
          <w:rFonts w:hint="eastAsia"/>
          <w:color w:val="auto"/>
          <w:kern w:val="0"/>
          <w:sz w:val="24"/>
          <w:highlight w:val="none"/>
          <w:lang w:val="en-US" w:eastAsia="zh-CN"/>
        </w:rPr>
        <w:t>-3</w:t>
      </w:r>
      <w:r>
        <w:rPr>
          <w:rFonts w:hint="eastAsia"/>
          <w:color w:val="auto"/>
          <w:kern w:val="0"/>
          <w:sz w:val="24"/>
          <w:highlight w:val="none"/>
          <w:lang w:val="zh-CN"/>
        </w:rPr>
        <w:t>。</w:t>
      </w:r>
    </w:p>
    <w:p>
      <w:pPr>
        <w:keepNext w:val="0"/>
        <w:keepLines w:val="0"/>
        <w:pageBreakBefore w:val="0"/>
        <w:widowControl w:val="0"/>
        <w:kinsoku/>
        <w:wordWrap/>
        <w:overflowPunct/>
        <w:topLinePunct w:val="0"/>
        <w:autoSpaceDE w:val="0"/>
        <w:autoSpaceDN w:val="0"/>
        <w:bidi w:val="0"/>
        <w:adjustRightInd w:val="0"/>
        <w:snapToGrid/>
        <w:spacing w:line="480" w:lineRule="exact"/>
        <w:ind w:left="0" w:leftChars="0" w:right="0" w:rightChars="0" w:firstLine="0" w:firstLineChars="0"/>
        <w:jc w:val="center"/>
        <w:textAlignment w:val="auto"/>
        <w:rPr>
          <w:rFonts w:hint="eastAsia"/>
          <w:color w:val="auto"/>
          <w:kern w:val="0"/>
          <w:sz w:val="24"/>
          <w:highlight w:val="none"/>
          <w:lang w:val="zh-CN"/>
        </w:rPr>
      </w:pPr>
      <w:r>
        <w:rPr>
          <w:rFonts w:hint="eastAsia"/>
          <w:b/>
          <w:bCs/>
          <w:color w:val="auto"/>
          <w:kern w:val="0"/>
          <w:sz w:val="24"/>
          <w:highlight w:val="none"/>
          <w:lang w:val="zh-CN"/>
        </w:rPr>
        <w:t>表 5.3</w:t>
      </w:r>
      <w:r>
        <w:rPr>
          <w:rFonts w:hint="eastAsia"/>
          <w:b/>
          <w:bCs/>
          <w:color w:val="auto"/>
          <w:kern w:val="0"/>
          <w:sz w:val="24"/>
          <w:highlight w:val="none"/>
          <w:lang w:val="en-US" w:eastAsia="zh-CN"/>
        </w:rPr>
        <w:t>-3</w:t>
      </w:r>
      <w:r>
        <w:rPr>
          <w:rFonts w:hint="eastAsia"/>
          <w:b/>
          <w:bCs/>
          <w:color w:val="auto"/>
          <w:kern w:val="0"/>
          <w:sz w:val="24"/>
          <w:highlight w:val="none"/>
          <w:lang w:val="zh-CN"/>
        </w:rPr>
        <w:t xml:space="preserve"> </w:t>
      </w:r>
      <w:r>
        <w:rPr>
          <w:rFonts w:hint="eastAsia"/>
          <w:b/>
          <w:bCs/>
          <w:color w:val="auto"/>
          <w:kern w:val="0"/>
          <w:sz w:val="24"/>
          <w:highlight w:val="none"/>
          <w:lang w:val="en-US" w:eastAsia="zh-CN"/>
        </w:rPr>
        <w:t xml:space="preserve"> 橡胶</w:t>
      </w:r>
      <w:r>
        <w:rPr>
          <w:rFonts w:hint="eastAsia"/>
          <w:b/>
          <w:bCs/>
          <w:color w:val="auto"/>
          <w:kern w:val="0"/>
          <w:sz w:val="24"/>
          <w:highlight w:val="none"/>
          <w:lang w:val="zh-CN"/>
        </w:rPr>
        <w:t>坝址以上流域污染源氮、磷汇入量</w:t>
      </w:r>
    </w:p>
    <w:tbl>
      <w:tblPr>
        <w:tblStyle w:val="52"/>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20"/>
        <w:gridCol w:w="1171"/>
        <w:gridCol w:w="1238"/>
        <w:gridCol w:w="32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20" w:type="dxa"/>
            <w:vMerge w:val="restart"/>
            <w:vAlign w:val="center"/>
          </w:tcPr>
          <w:p>
            <w:pPr>
              <w:autoSpaceDE w:val="0"/>
              <w:autoSpaceDN w:val="0"/>
              <w:adjustRightInd w:val="0"/>
              <w:spacing w:line="30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名称</w:t>
            </w:r>
          </w:p>
        </w:tc>
        <w:tc>
          <w:tcPr>
            <w:tcW w:w="2409" w:type="dxa"/>
            <w:gridSpan w:val="2"/>
            <w:vAlign w:val="center"/>
          </w:tcPr>
          <w:p>
            <w:pPr>
              <w:autoSpaceDE w:val="0"/>
              <w:autoSpaceDN w:val="0"/>
              <w:adjustRightInd w:val="0"/>
              <w:spacing w:line="300" w:lineRule="exact"/>
              <w:jc w:val="center"/>
              <w:rPr>
                <w:rFonts w:hint="eastAsia"/>
                <w:color w:val="auto"/>
                <w:kern w:val="0"/>
                <w:szCs w:val="21"/>
                <w:highlight w:val="none"/>
                <w:lang w:val="zh-CN"/>
              </w:rPr>
            </w:pPr>
            <w:r>
              <w:rPr>
                <w:rFonts w:hint="eastAsia"/>
                <w:color w:val="auto"/>
                <w:kern w:val="0"/>
                <w:szCs w:val="21"/>
                <w:highlight w:val="none"/>
                <w:lang w:val="zh-CN"/>
              </w:rPr>
              <w:t>雍水区</w:t>
            </w:r>
          </w:p>
        </w:tc>
        <w:tc>
          <w:tcPr>
            <w:tcW w:w="3291" w:type="dxa"/>
            <w:vMerge w:val="restart"/>
            <w:vAlign w:val="center"/>
          </w:tcPr>
          <w:p>
            <w:pPr>
              <w:autoSpaceDE w:val="0"/>
              <w:autoSpaceDN w:val="0"/>
              <w:adjustRightInd w:val="0"/>
              <w:spacing w:line="300" w:lineRule="exact"/>
              <w:jc w:val="center"/>
              <w:rPr>
                <w:rFonts w:hint="eastAsia"/>
                <w:color w:val="auto"/>
                <w:kern w:val="0"/>
                <w:szCs w:val="21"/>
                <w:highlight w:val="none"/>
                <w:lang w:val="zh-CN"/>
              </w:rPr>
            </w:pPr>
            <w:r>
              <w:rPr>
                <w:rFonts w:hint="eastAsia"/>
                <w:color w:val="auto"/>
                <w:kern w:val="0"/>
                <w:szCs w:val="21"/>
                <w:highlight w:val="none"/>
                <w:lang w:val="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20" w:type="dxa"/>
            <w:vMerge w:val="continue"/>
            <w:vAlign w:val="center"/>
          </w:tcPr>
          <w:p>
            <w:pPr>
              <w:autoSpaceDE w:val="0"/>
              <w:autoSpaceDN w:val="0"/>
              <w:adjustRightInd w:val="0"/>
              <w:spacing w:line="300" w:lineRule="exact"/>
              <w:jc w:val="center"/>
              <w:rPr>
                <w:color w:val="auto"/>
                <w:kern w:val="0"/>
                <w:szCs w:val="21"/>
                <w:highlight w:val="none"/>
              </w:rPr>
            </w:pPr>
          </w:p>
        </w:tc>
        <w:tc>
          <w:tcPr>
            <w:tcW w:w="1171" w:type="dxa"/>
            <w:vAlign w:val="center"/>
          </w:tcPr>
          <w:p>
            <w:pPr>
              <w:autoSpaceDE w:val="0"/>
              <w:autoSpaceDN w:val="0"/>
              <w:adjustRightInd w:val="0"/>
              <w:spacing w:line="30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TN</w:t>
            </w:r>
          </w:p>
        </w:tc>
        <w:tc>
          <w:tcPr>
            <w:tcW w:w="1238"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TP</w:t>
            </w:r>
          </w:p>
        </w:tc>
        <w:tc>
          <w:tcPr>
            <w:tcW w:w="3291" w:type="dxa"/>
            <w:vMerge w:val="continue"/>
            <w:vAlign w:val="center"/>
          </w:tcPr>
          <w:p>
            <w:pPr>
              <w:autoSpaceDE w:val="0"/>
              <w:autoSpaceDN w:val="0"/>
              <w:adjustRightInd w:val="0"/>
              <w:spacing w:line="300" w:lineRule="exact"/>
              <w:jc w:val="center"/>
              <w:rPr>
                <w:rFonts w:hint="eastAsia"/>
                <w:color w:val="auto"/>
                <w:kern w:val="0"/>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20"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eastAsia="zh-CN"/>
              </w:rPr>
              <w:t>雍水区</w:t>
            </w:r>
            <w:r>
              <w:rPr>
                <w:rFonts w:hint="eastAsia"/>
                <w:color w:val="auto"/>
                <w:kern w:val="0"/>
                <w:szCs w:val="21"/>
                <w:highlight w:val="none"/>
              </w:rPr>
              <w:t>污染物</w:t>
            </w:r>
            <w:r>
              <w:rPr>
                <w:rFonts w:hint="eastAsia"/>
                <w:color w:val="auto"/>
                <w:kern w:val="0"/>
                <w:szCs w:val="21"/>
                <w:highlight w:val="none"/>
                <w:lang w:eastAsia="zh-CN"/>
              </w:rPr>
              <w:t>存</w:t>
            </w:r>
            <w:r>
              <w:rPr>
                <w:rFonts w:hint="eastAsia"/>
                <w:color w:val="auto"/>
                <w:kern w:val="0"/>
                <w:szCs w:val="21"/>
                <w:highlight w:val="none"/>
              </w:rPr>
              <w:t>量（t/a）</w:t>
            </w:r>
          </w:p>
        </w:tc>
        <w:tc>
          <w:tcPr>
            <w:tcW w:w="1171"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0.09</w:t>
            </w:r>
          </w:p>
        </w:tc>
        <w:tc>
          <w:tcPr>
            <w:tcW w:w="1238"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0.02</w:t>
            </w:r>
          </w:p>
        </w:tc>
        <w:tc>
          <w:tcPr>
            <w:tcW w:w="3291" w:type="dxa"/>
            <w:vAlign w:val="center"/>
          </w:tcPr>
          <w:p>
            <w:pPr>
              <w:autoSpaceDE w:val="0"/>
              <w:autoSpaceDN w:val="0"/>
              <w:adjustRightInd w:val="0"/>
              <w:spacing w:line="300" w:lineRule="exact"/>
              <w:jc w:val="center"/>
              <w:rPr>
                <w:rFonts w:hint="eastAsia"/>
                <w:color w:val="auto"/>
                <w:kern w:val="0"/>
                <w:szCs w:val="21"/>
                <w:highlight w:val="none"/>
                <w:lang w:val="en-US" w:eastAsia="zh-CN"/>
              </w:rPr>
            </w:pPr>
            <w:r>
              <w:rPr>
                <w:rFonts w:hint="eastAsia"/>
                <w:color w:val="auto"/>
                <w:kern w:val="0"/>
                <w:sz w:val="21"/>
                <w:szCs w:val="21"/>
                <w:highlight w:val="none"/>
                <w:lang w:val="zh-CN"/>
              </w:rPr>
              <w:t>根据雍水区总库容</w:t>
            </w:r>
            <w:r>
              <w:rPr>
                <w:rFonts w:hint="eastAsia"/>
                <w:color w:val="auto"/>
                <w:kern w:val="0"/>
                <w:sz w:val="21"/>
                <w:szCs w:val="21"/>
                <w:highlight w:val="none"/>
                <w:lang w:val="en-US" w:eastAsia="zh-CN"/>
              </w:rPr>
              <w:t>396100</w:t>
            </w:r>
            <w:r>
              <w:rPr>
                <w:rFonts w:hint="eastAsia"/>
                <w:color w:val="auto"/>
                <w:kern w:val="0"/>
                <w:sz w:val="21"/>
                <w:szCs w:val="21"/>
                <w:highlight w:val="none"/>
                <w:lang w:val="zh-CN"/>
              </w:rPr>
              <w:t>m</w:t>
            </w:r>
            <w:r>
              <w:rPr>
                <w:rFonts w:hint="eastAsia"/>
                <w:color w:val="auto"/>
                <w:kern w:val="0"/>
                <w:sz w:val="21"/>
                <w:szCs w:val="21"/>
                <w:highlight w:val="none"/>
                <w:vertAlign w:val="superscript"/>
                <w:lang w:val="zh-CN"/>
              </w:rPr>
              <w:t>3</w:t>
            </w:r>
            <w:r>
              <w:rPr>
                <w:rFonts w:hint="eastAsia"/>
                <w:color w:val="auto"/>
                <w:kern w:val="0"/>
                <w:sz w:val="21"/>
                <w:szCs w:val="21"/>
                <w:highlight w:val="none"/>
                <w:vertAlign w:val="baseline"/>
                <w:lang w:val="zh-CN"/>
              </w:rPr>
              <w:t>计算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20" w:type="dxa"/>
            <w:vAlign w:val="center"/>
          </w:tcPr>
          <w:p>
            <w:pPr>
              <w:autoSpaceDE w:val="0"/>
              <w:autoSpaceDN w:val="0"/>
              <w:adjustRightInd w:val="0"/>
              <w:spacing w:line="300" w:lineRule="exact"/>
              <w:jc w:val="center"/>
              <w:rPr>
                <w:rFonts w:hint="eastAsia"/>
                <w:color w:val="auto"/>
                <w:kern w:val="0"/>
                <w:szCs w:val="21"/>
                <w:highlight w:val="none"/>
              </w:rPr>
            </w:pPr>
            <w:r>
              <w:rPr>
                <w:rFonts w:hint="default"/>
                <w:color w:val="auto"/>
                <w:kern w:val="0"/>
                <w:szCs w:val="21"/>
                <w:highlight w:val="none"/>
                <w:lang w:val="en-US" w:eastAsia="zh-CN"/>
              </w:rPr>
              <w:t>负荷量 g/(m</w:t>
            </w:r>
            <w:r>
              <w:rPr>
                <w:rFonts w:hint="default"/>
                <w:color w:val="auto"/>
                <w:kern w:val="0"/>
                <w:szCs w:val="21"/>
                <w:highlight w:val="none"/>
                <w:vertAlign w:val="superscript"/>
                <w:lang w:val="en-US" w:eastAsia="zh-CN"/>
              </w:rPr>
              <w:t xml:space="preserve"> 2</w:t>
            </w:r>
            <w:r>
              <w:rPr>
                <w:rFonts w:hint="default"/>
                <w:color w:val="auto"/>
                <w:kern w:val="0"/>
                <w:szCs w:val="21"/>
                <w:highlight w:val="none"/>
                <w:lang w:val="en-US" w:eastAsia="zh-CN"/>
              </w:rPr>
              <w:t xml:space="preserve">·a) </w:t>
            </w:r>
          </w:p>
        </w:tc>
        <w:tc>
          <w:tcPr>
            <w:tcW w:w="1171"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3.86</w:t>
            </w:r>
          </w:p>
        </w:tc>
        <w:tc>
          <w:tcPr>
            <w:tcW w:w="1238"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0.86</w:t>
            </w:r>
          </w:p>
        </w:tc>
        <w:tc>
          <w:tcPr>
            <w:tcW w:w="3291"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w:t>
            </w:r>
          </w:p>
        </w:tc>
      </w:tr>
    </w:tbl>
    <w:p>
      <w:pPr>
        <w:autoSpaceDE w:val="0"/>
        <w:autoSpaceDN w:val="0"/>
        <w:adjustRightInd w:val="0"/>
        <w:spacing w:line="480" w:lineRule="exact"/>
        <w:ind w:firstLine="480" w:firstLineChars="200"/>
        <w:rPr>
          <w:rFonts w:hint="default" w:eastAsia="宋体"/>
          <w:color w:val="auto"/>
          <w:kern w:val="0"/>
          <w:sz w:val="24"/>
          <w:highlight w:val="none"/>
          <w:lang w:val="en-US" w:eastAsia="zh-CN"/>
        </w:rPr>
      </w:pPr>
      <w:r>
        <w:rPr>
          <w:rFonts w:hint="eastAsia"/>
          <w:color w:val="auto"/>
          <w:kern w:val="0"/>
          <w:sz w:val="24"/>
          <w:highlight w:val="none"/>
          <w:lang w:val="zh-CN"/>
        </w:rPr>
        <w:t>②水力冲刷系数</w:t>
      </w:r>
      <w:r>
        <w:rPr>
          <w:rFonts w:hint="eastAsia"/>
          <w:color w:val="auto"/>
          <w:kern w:val="0"/>
          <w:sz w:val="24"/>
          <w:highlight w:val="none"/>
          <w:lang w:val="en-US" w:eastAsia="zh-CN"/>
        </w:rPr>
        <w:t>(r=Q/A)</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color w:val="auto"/>
          <w:sz w:val="24"/>
          <w:szCs w:val="24"/>
          <w:highlight w:val="none"/>
        </w:rPr>
      </w:pPr>
      <w:r>
        <w:rPr>
          <w:rFonts w:hint="eastAsia"/>
          <w:color w:val="auto"/>
          <w:kern w:val="0"/>
          <w:sz w:val="24"/>
          <w:highlight w:val="none"/>
          <w:lang w:val="en-US" w:eastAsia="zh-CN"/>
        </w:rPr>
        <w:t>该系数为</w:t>
      </w:r>
      <w:r>
        <w:rPr>
          <w:rFonts w:hint="eastAsia"/>
          <w:color w:val="auto"/>
          <w:kern w:val="0"/>
          <w:sz w:val="24"/>
          <w:highlight w:val="none"/>
          <w:lang w:val="zh-CN"/>
        </w:rPr>
        <w:t>湖库水力冲刷系数，本项目</w:t>
      </w:r>
      <w:r>
        <w:rPr>
          <w:rFonts w:hint="eastAsia"/>
          <w:color w:val="auto"/>
          <w:kern w:val="0"/>
          <w:sz w:val="24"/>
          <w:highlight w:val="none"/>
          <w:lang w:val="en-US" w:eastAsia="zh-CN"/>
        </w:rPr>
        <w:t>2022年</w:t>
      </w:r>
      <w:r>
        <w:rPr>
          <w:rFonts w:hint="eastAsia"/>
          <w:color w:val="auto"/>
          <w:kern w:val="0"/>
          <w:sz w:val="24"/>
          <w:highlight w:val="none"/>
          <w:lang w:val="zh-CN"/>
        </w:rPr>
        <w:t>雍水区实际径流量</w:t>
      </w:r>
      <w:r>
        <w:rPr>
          <w:rFonts w:hint="eastAsia"/>
          <w:color w:val="auto"/>
          <w:kern w:val="0"/>
          <w:sz w:val="24"/>
          <w:highlight w:val="none"/>
          <w:lang w:val="en-US" w:eastAsia="zh-CN"/>
        </w:rPr>
        <w:t>3</w:t>
      </w:r>
      <w:r>
        <w:rPr>
          <w:rFonts w:hint="eastAsia"/>
          <w:color w:val="auto"/>
          <w:kern w:val="0"/>
          <w:sz w:val="24"/>
          <w:highlight w:val="none"/>
          <w:lang w:val="zh-CN"/>
        </w:rPr>
        <w:t>×10</w:t>
      </w:r>
      <w:r>
        <w:rPr>
          <w:rFonts w:hint="eastAsia"/>
          <w:color w:val="auto"/>
          <w:kern w:val="0"/>
          <w:sz w:val="24"/>
          <w:highlight w:val="none"/>
          <w:vertAlign w:val="superscript"/>
          <w:lang w:val="en-US" w:eastAsia="zh-CN"/>
        </w:rPr>
        <w:t>9</w:t>
      </w:r>
      <w:r>
        <w:rPr>
          <w:rFonts w:hint="eastAsia"/>
          <w:color w:val="auto"/>
          <w:kern w:val="0"/>
          <w:sz w:val="24"/>
          <w:highlight w:val="none"/>
          <w:lang w:val="zh-CN"/>
        </w:rPr>
        <w:t xml:space="preserve"> m</w:t>
      </w:r>
      <w:r>
        <w:rPr>
          <w:rFonts w:hint="eastAsia"/>
          <w:color w:val="auto"/>
          <w:kern w:val="0"/>
          <w:sz w:val="24"/>
          <w:highlight w:val="none"/>
          <w:vertAlign w:val="superscript"/>
          <w:lang w:val="zh-CN"/>
        </w:rPr>
        <w:t>3</w:t>
      </w:r>
      <w:r>
        <w:rPr>
          <w:rFonts w:hint="eastAsia"/>
          <w:color w:val="auto"/>
          <w:kern w:val="0"/>
          <w:sz w:val="24"/>
          <w:highlight w:val="none"/>
          <w:lang w:val="zh-CN"/>
        </w:rPr>
        <w:t>，雍水区总库容</w:t>
      </w:r>
      <w:r>
        <w:rPr>
          <w:rFonts w:hint="eastAsia"/>
          <w:color w:val="auto"/>
          <w:kern w:val="0"/>
          <w:sz w:val="24"/>
          <w:highlight w:val="none"/>
          <w:lang w:val="en-US" w:eastAsia="zh-CN"/>
        </w:rPr>
        <w:t>396100</w:t>
      </w:r>
      <w:r>
        <w:rPr>
          <w:rFonts w:hint="eastAsia"/>
          <w:color w:val="auto"/>
          <w:kern w:val="0"/>
          <w:sz w:val="24"/>
          <w:highlight w:val="none"/>
          <w:lang w:val="zh-CN"/>
        </w:rPr>
        <w:t>m</w:t>
      </w:r>
      <w:r>
        <w:rPr>
          <w:rFonts w:hint="eastAsia"/>
          <w:color w:val="auto"/>
          <w:kern w:val="0"/>
          <w:sz w:val="24"/>
          <w:highlight w:val="none"/>
          <w:vertAlign w:val="superscript"/>
          <w:lang w:val="zh-CN"/>
        </w:rPr>
        <w:t>3</w:t>
      </w:r>
      <w:r>
        <w:rPr>
          <w:rFonts w:hint="eastAsia"/>
          <w:color w:val="auto"/>
          <w:kern w:val="0"/>
          <w:sz w:val="24"/>
          <w:highlight w:val="none"/>
          <w:lang w:val="zh-CN"/>
        </w:rPr>
        <w:t>（平均深</w:t>
      </w:r>
      <w:r>
        <w:rPr>
          <w:rFonts w:hint="eastAsia"/>
          <w:color w:val="auto"/>
          <w:kern w:val="0"/>
          <w:sz w:val="24"/>
          <w:highlight w:val="none"/>
          <w:lang w:val="en-US" w:eastAsia="zh-CN"/>
        </w:rPr>
        <w:t>1.7m</w:t>
      </w:r>
      <w:r>
        <w:rPr>
          <w:rFonts w:hint="eastAsia"/>
          <w:color w:val="auto"/>
          <w:kern w:val="0"/>
          <w:sz w:val="24"/>
          <w:highlight w:val="none"/>
          <w:lang w:val="zh-CN"/>
        </w:rPr>
        <w:t>），由于本项目不属于湖库，利用该公式计算得到的水力冲刷系数明显不合理。故参考水力冲刷定义，按</w:t>
      </w:r>
      <w:r>
        <w:rPr>
          <w:rFonts w:hint="eastAsia"/>
          <w:color w:val="auto"/>
          <w:kern w:val="0"/>
          <w:sz w:val="24"/>
          <w:highlight w:val="none"/>
          <w:lang w:val="en-US" w:eastAsia="zh-CN"/>
        </w:rPr>
        <w:t>r=hi/hp计算，其中hi冲刷前垂线水深（m），hp冲刷后垂线水深（m）；</w:t>
      </w:r>
      <w:r>
        <w:rPr>
          <w:rFonts w:hint="eastAsia"/>
          <w:color w:val="auto"/>
          <w:kern w:val="0"/>
          <w:sz w:val="24"/>
          <w:highlight w:val="none"/>
          <w:lang w:val="zh-CN"/>
        </w:rPr>
        <w:t>计算水力冲刷系数为</w:t>
      </w:r>
      <w:r>
        <w:rPr>
          <w:rFonts w:hint="eastAsia"/>
          <w:color w:val="auto"/>
          <w:kern w:val="0"/>
          <w:sz w:val="24"/>
          <w:highlight w:val="none"/>
          <w:lang w:val="en-US" w:eastAsia="zh-CN"/>
        </w:rPr>
        <w:t>3.0</w:t>
      </w:r>
      <w:r>
        <w:rPr>
          <w:rFonts w:hint="eastAsia"/>
          <w:color w:val="auto"/>
          <w:kern w:val="0"/>
          <w:sz w:val="24"/>
          <w:highlight w:val="none"/>
          <w:lang w:val="zh-CN"/>
        </w:rPr>
        <w:t>/a。</w:t>
      </w:r>
    </w:p>
    <w:p>
      <w:pPr>
        <w:autoSpaceDE w:val="0"/>
        <w:autoSpaceDN w:val="0"/>
        <w:adjustRightInd w:val="0"/>
        <w:spacing w:line="480" w:lineRule="exact"/>
        <w:ind w:firstLine="480" w:firstLineChars="200"/>
        <w:rPr>
          <w:rFonts w:hint="default" w:eastAsia="宋体"/>
          <w:color w:val="auto"/>
          <w:kern w:val="0"/>
          <w:sz w:val="24"/>
          <w:highlight w:val="none"/>
          <w:lang w:val="en-US" w:eastAsia="zh-CN"/>
        </w:rPr>
      </w:pPr>
      <w:r>
        <w:rPr>
          <w:rFonts w:hint="eastAsia"/>
          <w:color w:val="auto"/>
          <w:kern w:val="0"/>
          <w:sz w:val="24"/>
          <w:highlight w:val="none"/>
          <w:lang w:val="zh-CN"/>
        </w:rPr>
        <w:t>③滞留率</w:t>
      </w:r>
      <w:r>
        <w:rPr>
          <w:rFonts w:hint="eastAsia"/>
          <w:color w:val="auto"/>
          <w:kern w:val="0"/>
          <w:sz w:val="24"/>
          <w:highlight w:val="none"/>
          <w:lang w:val="en-US" w:eastAsia="zh-CN"/>
        </w:rPr>
        <w:t>(Rp)</w:t>
      </w:r>
    </w:p>
    <w:p>
      <w:pPr>
        <w:autoSpaceDE w:val="0"/>
        <w:autoSpaceDN w:val="0"/>
        <w:adjustRightInd w:val="0"/>
        <w:spacing w:line="480" w:lineRule="exact"/>
        <w:ind w:firstLine="480" w:firstLineChars="200"/>
        <w:rPr>
          <w:rFonts w:hint="eastAsia"/>
          <w:color w:val="auto"/>
          <w:highlight w:val="none"/>
          <w:lang w:val="zh-CN"/>
        </w:rPr>
      </w:pPr>
      <w:r>
        <w:rPr>
          <w:rFonts w:hint="eastAsia"/>
          <w:color w:val="auto"/>
          <w:kern w:val="0"/>
          <w:sz w:val="24"/>
          <w:highlight w:val="none"/>
          <w:lang w:val="zh-CN"/>
        </w:rPr>
        <w:t>在无实测值情况下，参考狄龙等人根据大量资料统计分析所得的经验方程进行计算：</w:t>
      </w:r>
    </w:p>
    <w:p>
      <w:pPr>
        <w:autoSpaceDE w:val="0"/>
        <w:autoSpaceDN w:val="0"/>
        <w:adjustRightInd w:val="0"/>
        <w:spacing w:line="480" w:lineRule="exact"/>
        <w:ind w:firstLine="1200" w:firstLineChars="500"/>
        <w:rPr>
          <w:rFonts w:hint="default"/>
          <w:color w:val="auto"/>
          <w:kern w:val="0"/>
          <w:sz w:val="24"/>
          <w:highlight w:val="none"/>
          <w:lang w:val="en-US" w:eastAsia="zh-CN"/>
        </w:rPr>
      </w:pPr>
      <w:r>
        <w:rPr>
          <w:rFonts w:hint="eastAsia"/>
          <w:color w:val="auto"/>
          <w:kern w:val="0"/>
          <w:sz w:val="24"/>
          <w:highlight w:val="none"/>
          <w:lang w:val="en-US" w:eastAsia="zh-CN"/>
        </w:rPr>
        <w:t>Rp=0.426e</w:t>
      </w:r>
      <w:r>
        <w:rPr>
          <w:rFonts w:hint="eastAsia"/>
          <w:color w:val="auto"/>
          <w:kern w:val="0"/>
          <w:sz w:val="24"/>
          <w:highlight w:val="none"/>
          <w:vertAlign w:val="superscript"/>
          <w:lang w:val="en-US" w:eastAsia="zh-CN"/>
        </w:rPr>
        <w:t>-0.271(Q/A)</w:t>
      </w:r>
      <w:r>
        <w:rPr>
          <w:rFonts w:hint="eastAsia"/>
          <w:color w:val="auto"/>
          <w:kern w:val="0"/>
          <w:sz w:val="24"/>
          <w:highlight w:val="none"/>
          <w:lang w:val="en-US" w:eastAsia="zh-CN"/>
        </w:rPr>
        <w:t>+0.574e</w:t>
      </w:r>
      <w:r>
        <w:rPr>
          <w:rFonts w:hint="eastAsia"/>
          <w:color w:val="auto"/>
          <w:kern w:val="0"/>
          <w:sz w:val="24"/>
          <w:highlight w:val="none"/>
          <w:vertAlign w:val="superscript"/>
          <w:lang w:val="en-US" w:eastAsia="zh-CN"/>
        </w:rPr>
        <w:t>-0.00949(Q/A)</w:t>
      </w:r>
    </w:p>
    <w:p>
      <w:pPr>
        <w:autoSpaceDE w:val="0"/>
        <w:autoSpaceDN w:val="0"/>
        <w:adjustRightInd w:val="0"/>
        <w:spacing w:line="480" w:lineRule="exact"/>
        <w:ind w:firstLine="1440" w:firstLineChars="600"/>
        <w:rPr>
          <w:rFonts w:hint="default"/>
          <w:color w:val="auto"/>
          <w:kern w:val="0"/>
          <w:sz w:val="24"/>
          <w:highlight w:val="none"/>
          <w:lang w:val="en-US" w:eastAsia="zh-CN"/>
        </w:rPr>
      </w:pPr>
      <w:r>
        <w:rPr>
          <w:rFonts w:hint="eastAsia"/>
          <w:color w:val="auto"/>
          <w:kern w:val="0"/>
          <w:sz w:val="24"/>
          <w:highlight w:val="none"/>
          <w:lang w:val="en-US" w:eastAsia="zh-CN"/>
        </w:rPr>
        <w:t>=0.426e</w:t>
      </w:r>
      <w:r>
        <w:rPr>
          <w:rFonts w:hint="eastAsia"/>
          <w:color w:val="auto"/>
          <w:kern w:val="0"/>
          <w:sz w:val="24"/>
          <w:highlight w:val="none"/>
          <w:vertAlign w:val="superscript"/>
          <w:lang w:val="en-US" w:eastAsia="zh-CN"/>
        </w:rPr>
        <w:t>-0.813</w:t>
      </w:r>
      <w:r>
        <w:rPr>
          <w:rFonts w:hint="eastAsia"/>
          <w:color w:val="auto"/>
          <w:kern w:val="0"/>
          <w:sz w:val="24"/>
          <w:highlight w:val="none"/>
          <w:lang w:val="en-US" w:eastAsia="zh-CN"/>
        </w:rPr>
        <w:t>+0.574e</w:t>
      </w:r>
      <w:r>
        <w:rPr>
          <w:rFonts w:hint="eastAsia"/>
          <w:color w:val="auto"/>
          <w:kern w:val="0"/>
          <w:sz w:val="24"/>
          <w:highlight w:val="none"/>
          <w:vertAlign w:val="superscript"/>
          <w:lang w:val="en-US" w:eastAsia="zh-CN"/>
        </w:rPr>
        <w:t>-0.0284</w:t>
      </w:r>
    </w:p>
    <w:p>
      <w:pPr>
        <w:autoSpaceDE w:val="0"/>
        <w:autoSpaceDN w:val="0"/>
        <w:adjustRightInd w:val="0"/>
        <w:spacing w:line="480" w:lineRule="exact"/>
        <w:ind w:firstLine="1440" w:firstLineChars="600"/>
        <w:rPr>
          <w:rFonts w:hint="default"/>
          <w:color w:val="auto"/>
          <w:kern w:val="0"/>
          <w:sz w:val="24"/>
          <w:highlight w:val="none"/>
          <w:lang w:val="en-US" w:eastAsia="zh-CN"/>
        </w:rPr>
      </w:pPr>
      <w:r>
        <w:rPr>
          <w:rFonts w:hint="eastAsia"/>
          <w:color w:val="auto"/>
          <w:kern w:val="0"/>
          <w:sz w:val="24"/>
          <w:highlight w:val="none"/>
          <w:lang w:val="en-US" w:eastAsia="zh-CN"/>
        </w:rPr>
        <w:t>=0.44+0.574=1.014</w:t>
      </w:r>
    </w:p>
    <w:p>
      <w:pPr>
        <w:autoSpaceDE w:val="0"/>
        <w:autoSpaceDN w:val="0"/>
        <w:adjustRightInd w:val="0"/>
        <w:spacing w:line="480" w:lineRule="exact"/>
        <w:ind w:firstLine="480" w:firstLineChars="200"/>
        <w:rPr>
          <w:rFonts w:hint="eastAsia"/>
          <w:color w:val="auto"/>
          <w:kern w:val="0"/>
          <w:sz w:val="24"/>
          <w:highlight w:val="none"/>
          <w:lang w:val="zh-CN"/>
        </w:rPr>
      </w:pPr>
      <w:r>
        <w:rPr>
          <w:rFonts w:hint="eastAsia"/>
          <w:color w:val="auto"/>
          <w:kern w:val="0"/>
          <w:sz w:val="24"/>
          <w:highlight w:val="none"/>
          <w:lang w:val="zh-CN"/>
        </w:rPr>
        <w:t>④平均水深</w:t>
      </w:r>
    </w:p>
    <w:p>
      <w:pPr>
        <w:autoSpaceDE w:val="0"/>
        <w:autoSpaceDN w:val="0"/>
        <w:adjustRightInd w:val="0"/>
        <w:spacing w:line="480" w:lineRule="exact"/>
        <w:ind w:firstLine="480" w:firstLineChars="200"/>
        <w:rPr>
          <w:rFonts w:hint="eastAsia"/>
          <w:color w:val="auto"/>
          <w:kern w:val="0"/>
          <w:sz w:val="24"/>
          <w:highlight w:val="none"/>
          <w:lang w:val="zh-CN"/>
        </w:rPr>
      </w:pPr>
      <w:r>
        <w:rPr>
          <w:rFonts w:hint="eastAsia"/>
          <w:color w:val="auto"/>
          <w:kern w:val="0"/>
          <w:sz w:val="24"/>
          <w:highlight w:val="none"/>
          <w:lang w:val="zh-CN"/>
        </w:rPr>
        <w:t>平均水深为</w:t>
      </w:r>
      <w:r>
        <w:rPr>
          <w:rFonts w:hint="eastAsia"/>
          <w:color w:val="auto"/>
          <w:kern w:val="0"/>
          <w:sz w:val="24"/>
          <w:highlight w:val="none"/>
          <w:lang w:val="en-US" w:eastAsia="zh-CN"/>
        </w:rPr>
        <w:t>1.7</w:t>
      </w:r>
      <w:r>
        <w:rPr>
          <w:rFonts w:hint="eastAsia"/>
          <w:color w:val="auto"/>
          <w:kern w:val="0"/>
          <w:sz w:val="24"/>
          <w:highlight w:val="none"/>
          <w:lang w:val="zh-CN"/>
        </w:rPr>
        <w:t>m。</w:t>
      </w:r>
    </w:p>
    <w:p>
      <w:pPr>
        <w:autoSpaceDE w:val="0"/>
        <w:autoSpaceDN w:val="0"/>
        <w:adjustRightInd w:val="0"/>
        <w:spacing w:line="480" w:lineRule="exact"/>
        <w:ind w:firstLine="480" w:firstLineChars="200"/>
        <w:rPr>
          <w:rFonts w:hint="eastAsia"/>
          <w:color w:val="auto"/>
          <w:kern w:val="0"/>
          <w:sz w:val="24"/>
          <w:highlight w:val="none"/>
          <w:lang w:val="zh-CN"/>
        </w:rPr>
      </w:pPr>
      <w:r>
        <w:rPr>
          <w:rFonts w:hint="eastAsia"/>
          <w:color w:val="auto"/>
          <w:kern w:val="0"/>
          <w:sz w:val="24"/>
          <w:highlight w:val="none"/>
          <w:lang w:val="zh-CN"/>
        </w:rPr>
        <w:t>（2）预测结果</w:t>
      </w:r>
    </w:p>
    <w:p>
      <w:pPr>
        <w:autoSpaceDE w:val="0"/>
        <w:autoSpaceDN w:val="0"/>
        <w:adjustRightInd w:val="0"/>
        <w:spacing w:line="480" w:lineRule="exact"/>
        <w:ind w:firstLine="480" w:firstLineChars="200"/>
        <w:rPr>
          <w:rFonts w:hint="eastAsia"/>
          <w:color w:val="auto"/>
          <w:kern w:val="0"/>
          <w:sz w:val="24"/>
          <w:highlight w:val="none"/>
          <w:lang w:val="zh-CN"/>
        </w:rPr>
      </w:pPr>
      <w:r>
        <w:rPr>
          <w:rFonts w:hint="eastAsia"/>
          <w:color w:val="auto"/>
          <w:kern w:val="0"/>
          <w:sz w:val="24"/>
          <w:highlight w:val="none"/>
          <w:lang w:val="zh-CN"/>
        </w:rPr>
        <w:t>依据上述参数值，采用狄龙模型进行预测，预测结果见下表。</w:t>
      </w:r>
    </w:p>
    <w:p>
      <w:pPr>
        <w:autoSpaceDE w:val="0"/>
        <w:autoSpaceDN w:val="0"/>
        <w:adjustRightInd w:val="0"/>
        <w:spacing w:line="480" w:lineRule="exact"/>
        <w:ind w:left="0" w:leftChars="0" w:right="0" w:rightChars="0" w:firstLine="0" w:firstLineChars="0"/>
        <w:jc w:val="center"/>
        <w:rPr>
          <w:rFonts w:hint="eastAsia"/>
          <w:b/>
          <w:bCs/>
          <w:color w:val="auto"/>
          <w:kern w:val="0"/>
          <w:sz w:val="24"/>
          <w:highlight w:val="none"/>
          <w:lang w:val="zh-CN"/>
        </w:rPr>
      </w:pPr>
      <w:r>
        <w:rPr>
          <w:rFonts w:hint="eastAsia"/>
          <w:b/>
          <w:bCs/>
          <w:color w:val="auto"/>
          <w:kern w:val="0"/>
          <w:sz w:val="24"/>
          <w:highlight w:val="none"/>
          <w:lang w:val="zh-CN"/>
        </w:rPr>
        <w:t>表 5.3.8 水库富营养化预测参数及预测结果</w:t>
      </w:r>
    </w:p>
    <w:tbl>
      <w:tblPr>
        <w:tblStyle w:val="52"/>
        <w:tblW w:w="85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5"/>
        <w:gridCol w:w="1350"/>
        <w:gridCol w:w="1156"/>
        <w:gridCol w:w="1124"/>
        <w:gridCol w:w="858"/>
        <w:gridCol w:w="991"/>
        <w:gridCol w:w="991"/>
        <w:gridCol w:w="9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5" w:type="dxa"/>
            <w:vMerge w:val="restart"/>
            <w:vAlign w:val="center"/>
          </w:tcPr>
          <w:p>
            <w:pPr>
              <w:autoSpaceDE w:val="0"/>
              <w:autoSpaceDN w:val="0"/>
              <w:adjustRightInd w:val="0"/>
              <w:spacing w:line="300" w:lineRule="exact"/>
              <w:jc w:val="center"/>
              <w:rPr>
                <w:color w:val="auto"/>
                <w:kern w:val="0"/>
                <w:szCs w:val="21"/>
                <w:highlight w:val="none"/>
                <w:lang w:val="zh-CN"/>
              </w:rPr>
            </w:pPr>
            <w:r>
              <w:rPr>
                <w:rFonts w:hint="eastAsia"/>
                <w:color w:val="auto"/>
                <w:kern w:val="0"/>
                <w:szCs w:val="21"/>
                <w:highlight w:val="none"/>
                <w:lang w:val="zh-CN"/>
              </w:rPr>
              <w:t>项目</w:t>
            </w:r>
          </w:p>
        </w:tc>
        <w:tc>
          <w:tcPr>
            <w:tcW w:w="2506" w:type="dxa"/>
            <w:gridSpan w:val="2"/>
            <w:vAlign w:val="center"/>
          </w:tcPr>
          <w:p>
            <w:pPr>
              <w:autoSpaceDE w:val="0"/>
              <w:autoSpaceDN w:val="0"/>
              <w:adjustRightInd w:val="0"/>
              <w:spacing w:line="300" w:lineRule="exact"/>
              <w:jc w:val="center"/>
              <w:rPr>
                <w:color w:val="auto"/>
                <w:kern w:val="0"/>
                <w:szCs w:val="21"/>
                <w:highlight w:val="none"/>
                <w:lang w:val="zh-CN"/>
              </w:rPr>
            </w:pPr>
            <w:r>
              <w:rPr>
                <w:rFonts w:hint="eastAsia"/>
                <w:color w:val="auto"/>
                <w:kern w:val="0"/>
                <w:szCs w:val="21"/>
                <w:highlight w:val="none"/>
                <w:lang w:val="zh-CN"/>
              </w:rPr>
              <w:t>入库年负荷量 Lp</w:t>
            </w:r>
          </w:p>
        </w:tc>
        <w:tc>
          <w:tcPr>
            <w:tcW w:w="1124" w:type="dxa"/>
            <w:vMerge w:val="restart"/>
            <w:vAlign w:val="center"/>
          </w:tcPr>
          <w:p>
            <w:pPr>
              <w:autoSpaceDE w:val="0"/>
              <w:autoSpaceDN w:val="0"/>
              <w:adjustRightInd w:val="0"/>
              <w:spacing w:line="300" w:lineRule="exact"/>
              <w:jc w:val="center"/>
              <w:rPr>
                <w:rFonts w:hint="eastAsia"/>
                <w:color w:val="auto"/>
                <w:kern w:val="0"/>
                <w:szCs w:val="21"/>
                <w:highlight w:val="none"/>
                <w:lang w:val="zh-CN"/>
              </w:rPr>
            </w:pPr>
            <w:r>
              <w:rPr>
                <w:rFonts w:hint="eastAsia"/>
                <w:color w:val="auto"/>
                <w:kern w:val="0"/>
                <w:szCs w:val="21"/>
                <w:highlight w:val="none"/>
                <w:lang w:val="zh-CN"/>
              </w:rPr>
              <w:t>水力冲刷</w:t>
            </w:r>
          </w:p>
          <w:p>
            <w:pPr>
              <w:autoSpaceDE w:val="0"/>
              <w:autoSpaceDN w:val="0"/>
              <w:adjustRightInd w:val="0"/>
              <w:spacing w:line="300" w:lineRule="exact"/>
              <w:jc w:val="center"/>
              <w:rPr>
                <w:rFonts w:hint="eastAsia"/>
                <w:color w:val="auto"/>
                <w:kern w:val="0"/>
                <w:szCs w:val="21"/>
                <w:highlight w:val="none"/>
                <w:lang w:val="zh-CN"/>
              </w:rPr>
            </w:pPr>
            <w:r>
              <w:rPr>
                <w:rFonts w:hint="eastAsia"/>
                <w:color w:val="auto"/>
                <w:kern w:val="0"/>
                <w:szCs w:val="21"/>
                <w:highlight w:val="none"/>
                <w:lang w:val="zh-CN"/>
              </w:rPr>
              <w:t>系数 r</w:t>
            </w:r>
          </w:p>
        </w:tc>
        <w:tc>
          <w:tcPr>
            <w:tcW w:w="858" w:type="dxa"/>
            <w:vMerge w:val="restart"/>
            <w:vAlign w:val="center"/>
          </w:tcPr>
          <w:p>
            <w:pPr>
              <w:autoSpaceDE w:val="0"/>
              <w:autoSpaceDN w:val="0"/>
              <w:adjustRightInd w:val="0"/>
              <w:spacing w:line="300" w:lineRule="exact"/>
              <w:jc w:val="center"/>
              <w:rPr>
                <w:rFonts w:hint="eastAsia"/>
                <w:color w:val="auto"/>
                <w:kern w:val="0"/>
                <w:szCs w:val="21"/>
                <w:highlight w:val="none"/>
                <w:lang w:val="zh-CN"/>
              </w:rPr>
            </w:pPr>
            <w:r>
              <w:rPr>
                <w:rFonts w:hint="eastAsia"/>
                <w:color w:val="auto"/>
                <w:kern w:val="0"/>
                <w:szCs w:val="21"/>
                <w:highlight w:val="none"/>
                <w:lang w:val="zh-CN"/>
              </w:rPr>
              <w:t>滞留率 Rp</w:t>
            </w:r>
          </w:p>
        </w:tc>
        <w:tc>
          <w:tcPr>
            <w:tcW w:w="991" w:type="dxa"/>
            <w:vMerge w:val="restart"/>
            <w:vAlign w:val="center"/>
          </w:tcPr>
          <w:p>
            <w:pPr>
              <w:autoSpaceDE w:val="0"/>
              <w:autoSpaceDN w:val="0"/>
              <w:adjustRightInd w:val="0"/>
              <w:spacing w:line="300" w:lineRule="exact"/>
              <w:jc w:val="center"/>
              <w:rPr>
                <w:rFonts w:hint="eastAsia"/>
                <w:color w:val="auto"/>
                <w:kern w:val="0"/>
                <w:szCs w:val="21"/>
                <w:highlight w:val="none"/>
                <w:lang w:val="zh-CN"/>
              </w:rPr>
            </w:pPr>
            <w:r>
              <w:rPr>
                <w:rFonts w:hint="eastAsia"/>
                <w:color w:val="auto"/>
                <w:kern w:val="0"/>
                <w:szCs w:val="21"/>
                <w:highlight w:val="none"/>
                <w:lang w:val="zh-CN"/>
              </w:rPr>
              <w:t>平均水深H</w:t>
            </w:r>
          </w:p>
        </w:tc>
        <w:tc>
          <w:tcPr>
            <w:tcW w:w="1982" w:type="dxa"/>
            <w:gridSpan w:val="2"/>
            <w:vAlign w:val="center"/>
          </w:tcPr>
          <w:p>
            <w:pPr>
              <w:autoSpaceDE w:val="0"/>
              <w:autoSpaceDN w:val="0"/>
              <w:adjustRightInd w:val="0"/>
              <w:spacing w:line="300" w:lineRule="exact"/>
              <w:jc w:val="center"/>
              <w:rPr>
                <w:rFonts w:hint="eastAsia"/>
                <w:color w:val="auto"/>
                <w:kern w:val="0"/>
                <w:szCs w:val="21"/>
                <w:highlight w:val="none"/>
                <w:lang w:val="zh-CN"/>
              </w:rPr>
            </w:pPr>
            <w:r>
              <w:rPr>
                <w:rFonts w:hint="eastAsia"/>
                <w:color w:val="auto"/>
                <w:kern w:val="0"/>
                <w:szCs w:val="21"/>
                <w:highlight w:val="none"/>
                <w:lang w:val="zh-CN"/>
              </w:rPr>
              <w:t>预测结果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5" w:type="dxa"/>
            <w:vMerge w:val="continue"/>
            <w:vAlign w:val="center"/>
          </w:tcPr>
          <w:p>
            <w:pPr>
              <w:autoSpaceDE w:val="0"/>
              <w:autoSpaceDN w:val="0"/>
              <w:adjustRightInd w:val="0"/>
              <w:spacing w:line="300" w:lineRule="exact"/>
              <w:jc w:val="center"/>
              <w:rPr>
                <w:rFonts w:hint="default" w:eastAsia="宋体"/>
                <w:color w:val="auto"/>
                <w:kern w:val="0"/>
                <w:szCs w:val="21"/>
                <w:highlight w:val="none"/>
                <w:lang w:val="en-US" w:eastAsia="zh-CN"/>
              </w:rPr>
            </w:pPr>
          </w:p>
        </w:tc>
        <w:tc>
          <w:tcPr>
            <w:tcW w:w="1350" w:type="dxa"/>
            <w:vAlign w:val="center"/>
          </w:tcPr>
          <w:p>
            <w:pPr>
              <w:autoSpaceDE w:val="0"/>
              <w:autoSpaceDN w:val="0"/>
              <w:adjustRightInd w:val="0"/>
              <w:spacing w:line="30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TP</w:t>
            </w:r>
          </w:p>
        </w:tc>
        <w:tc>
          <w:tcPr>
            <w:tcW w:w="1156" w:type="dxa"/>
            <w:vAlign w:val="center"/>
          </w:tcPr>
          <w:p>
            <w:pPr>
              <w:autoSpaceDE w:val="0"/>
              <w:autoSpaceDN w:val="0"/>
              <w:adjustRightInd w:val="0"/>
              <w:spacing w:line="30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TN</w:t>
            </w:r>
          </w:p>
        </w:tc>
        <w:tc>
          <w:tcPr>
            <w:tcW w:w="1124" w:type="dxa"/>
            <w:vMerge w:val="continue"/>
            <w:vAlign w:val="center"/>
          </w:tcPr>
          <w:p>
            <w:pPr>
              <w:autoSpaceDE w:val="0"/>
              <w:autoSpaceDN w:val="0"/>
              <w:adjustRightInd w:val="0"/>
              <w:spacing w:line="300" w:lineRule="exact"/>
              <w:jc w:val="center"/>
              <w:rPr>
                <w:rFonts w:hint="default"/>
                <w:color w:val="auto"/>
                <w:kern w:val="0"/>
                <w:szCs w:val="21"/>
                <w:highlight w:val="none"/>
                <w:lang w:val="en-US" w:eastAsia="zh-CN"/>
              </w:rPr>
            </w:pPr>
          </w:p>
        </w:tc>
        <w:tc>
          <w:tcPr>
            <w:tcW w:w="858" w:type="dxa"/>
            <w:vMerge w:val="continue"/>
            <w:vAlign w:val="center"/>
          </w:tcPr>
          <w:p>
            <w:pPr>
              <w:autoSpaceDE w:val="0"/>
              <w:autoSpaceDN w:val="0"/>
              <w:adjustRightInd w:val="0"/>
              <w:spacing w:line="300" w:lineRule="exact"/>
              <w:jc w:val="center"/>
              <w:rPr>
                <w:rFonts w:hint="default"/>
                <w:color w:val="auto"/>
                <w:kern w:val="0"/>
                <w:szCs w:val="21"/>
                <w:highlight w:val="none"/>
                <w:lang w:val="en-US" w:eastAsia="zh-CN"/>
              </w:rPr>
            </w:pPr>
          </w:p>
        </w:tc>
        <w:tc>
          <w:tcPr>
            <w:tcW w:w="991" w:type="dxa"/>
            <w:vMerge w:val="continue"/>
            <w:vAlign w:val="center"/>
          </w:tcPr>
          <w:p>
            <w:pPr>
              <w:autoSpaceDE w:val="0"/>
              <w:autoSpaceDN w:val="0"/>
              <w:adjustRightInd w:val="0"/>
              <w:spacing w:line="300" w:lineRule="exact"/>
              <w:jc w:val="center"/>
              <w:rPr>
                <w:rFonts w:hint="default"/>
                <w:color w:val="auto"/>
                <w:kern w:val="0"/>
                <w:szCs w:val="21"/>
                <w:highlight w:val="none"/>
                <w:lang w:val="en-US" w:eastAsia="zh-CN"/>
              </w:rPr>
            </w:pPr>
          </w:p>
        </w:tc>
        <w:tc>
          <w:tcPr>
            <w:tcW w:w="991" w:type="dxa"/>
            <w:vAlign w:val="center"/>
          </w:tcPr>
          <w:p>
            <w:pPr>
              <w:autoSpaceDE w:val="0"/>
              <w:autoSpaceDN w:val="0"/>
              <w:adjustRightInd w:val="0"/>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总磷</w:t>
            </w:r>
          </w:p>
        </w:tc>
        <w:tc>
          <w:tcPr>
            <w:tcW w:w="991" w:type="dxa"/>
            <w:vAlign w:val="center"/>
          </w:tcPr>
          <w:p>
            <w:pPr>
              <w:autoSpaceDE w:val="0"/>
              <w:autoSpaceDN w:val="0"/>
              <w:adjustRightInd w:val="0"/>
              <w:spacing w:line="300" w:lineRule="exact"/>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总氮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5" w:type="dxa"/>
            <w:vAlign w:val="center"/>
          </w:tcPr>
          <w:p>
            <w:pPr>
              <w:autoSpaceDE w:val="0"/>
              <w:autoSpaceDN w:val="0"/>
              <w:adjustRightInd w:val="0"/>
              <w:spacing w:line="30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单位</w:t>
            </w:r>
          </w:p>
        </w:tc>
        <w:tc>
          <w:tcPr>
            <w:tcW w:w="1350"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default"/>
                <w:color w:val="auto"/>
                <w:kern w:val="0"/>
                <w:szCs w:val="21"/>
                <w:highlight w:val="none"/>
                <w:lang w:val="en-US" w:eastAsia="zh-CN"/>
              </w:rPr>
              <w:t>g/(m</w:t>
            </w:r>
            <w:r>
              <w:rPr>
                <w:rFonts w:hint="default"/>
                <w:color w:val="auto"/>
                <w:kern w:val="0"/>
                <w:szCs w:val="21"/>
                <w:highlight w:val="none"/>
                <w:vertAlign w:val="superscript"/>
                <w:lang w:val="en-US" w:eastAsia="zh-CN"/>
              </w:rPr>
              <w:t>2</w:t>
            </w:r>
            <w:r>
              <w:rPr>
                <w:rFonts w:hint="default"/>
                <w:color w:val="auto"/>
                <w:kern w:val="0"/>
                <w:szCs w:val="21"/>
                <w:highlight w:val="none"/>
                <w:lang w:val="en-US" w:eastAsia="zh-CN"/>
              </w:rPr>
              <w:t xml:space="preserve"> •a) </w:t>
            </w:r>
          </w:p>
        </w:tc>
        <w:tc>
          <w:tcPr>
            <w:tcW w:w="1156"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default"/>
                <w:color w:val="auto"/>
                <w:kern w:val="0"/>
                <w:szCs w:val="21"/>
                <w:highlight w:val="none"/>
                <w:lang w:val="en-US" w:eastAsia="zh-CN"/>
              </w:rPr>
              <w:t>g/(m</w:t>
            </w:r>
            <w:r>
              <w:rPr>
                <w:rFonts w:hint="default"/>
                <w:color w:val="auto"/>
                <w:kern w:val="0"/>
                <w:szCs w:val="21"/>
                <w:highlight w:val="none"/>
                <w:vertAlign w:val="superscript"/>
                <w:lang w:val="en-US" w:eastAsia="zh-CN"/>
              </w:rPr>
              <w:t>2</w:t>
            </w:r>
            <w:r>
              <w:rPr>
                <w:rFonts w:hint="default"/>
                <w:color w:val="auto"/>
                <w:kern w:val="0"/>
                <w:szCs w:val="21"/>
                <w:highlight w:val="none"/>
                <w:lang w:val="en-US" w:eastAsia="zh-CN"/>
              </w:rPr>
              <w:t xml:space="preserve"> •a) </w:t>
            </w:r>
          </w:p>
        </w:tc>
        <w:tc>
          <w:tcPr>
            <w:tcW w:w="1124"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default"/>
                <w:color w:val="auto"/>
                <w:kern w:val="0"/>
                <w:szCs w:val="21"/>
                <w:highlight w:val="none"/>
                <w:lang w:val="en-US" w:eastAsia="zh-CN"/>
              </w:rPr>
              <w:t>1/a</w:t>
            </w:r>
          </w:p>
        </w:tc>
        <w:tc>
          <w:tcPr>
            <w:tcW w:w="858"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default"/>
                <w:color w:val="auto"/>
                <w:kern w:val="0"/>
                <w:szCs w:val="21"/>
                <w:highlight w:val="none"/>
                <w:lang w:val="en-US" w:eastAsia="zh-CN"/>
              </w:rPr>
              <w:t>1</w:t>
            </w:r>
          </w:p>
        </w:tc>
        <w:tc>
          <w:tcPr>
            <w:tcW w:w="991"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default"/>
                <w:color w:val="auto"/>
                <w:kern w:val="0"/>
                <w:szCs w:val="21"/>
                <w:highlight w:val="none"/>
                <w:lang w:val="en-US" w:eastAsia="zh-CN"/>
              </w:rPr>
              <w:t>m</w:t>
            </w:r>
          </w:p>
        </w:tc>
        <w:tc>
          <w:tcPr>
            <w:tcW w:w="991"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mg/L</w:t>
            </w:r>
          </w:p>
        </w:tc>
        <w:tc>
          <w:tcPr>
            <w:tcW w:w="991" w:type="dxa"/>
            <w:vAlign w:val="center"/>
          </w:tcPr>
          <w:p>
            <w:pPr>
              <w:autoSpaceDE w:val="0"/>
              <w:autoSpaceDN w:val="0"/>
              <w:adjustRightInd w:val="0"/>
              <w:spacing w:line="300" w:lineRule="exact"/>
              <w:jc w:val="center"/>
              <w:rPr>
                <w:rFonts w:hint="eastAsia"/>
                <w:color w:val="auto"/>
                <w:kern w:val="0"/>
                <w:szCs w:val="21"/>
                <w:highlight w:val="none"/>
                <w:lang w:val="en-US" w:eastAsia="zh-CN"/>
              </w:rPr>
            </w:pPr>
            <w:r>
              <w:rPr>
                <w:rFonts w:hint="eastAsia"/>
                <w:color w:val="auto"/>
                <w:kern w:val="0"/>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5" w:type="dxa"/>
            <w:vAlign w:val="center"/>
          </w:tcPr>
          <w:p>
            <w:pPr>
              <w:autoSpaceDE w:val="0"/>
              <w:autoSpaceDN w:val="0"/>
              <w:adjustRightInd w:val="0"/>
              <w:spacing w:line="30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雍水区</w:t>
            </w:r>
          </w:p>
        </w:tc>
        <w:tc>
          <w:tcPr>
            <w:tcW w:w="1350"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3.86</w:t>
            </w:r>
          </w:p>
        </w:tc>
        <w:tc>
          <w:tcPr>
            <w:tcW w:w="1156"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0.86</w:t>
            </w:r>
          </w:p>
        </w:tc>
        <w:tc>
          <w:tcPr>
            <w:tcW w:w="1124"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 w:val="24"/>
                <w:highlight w:val="none"/>
                <w:lang w:val="en-US" w:eastAsia="zh-CN"/>
              </w:rPr>
              <w:t>3.0</w:t>
            </w:r>
          </w:p>
        </w:tc>
        <w:tc>
          <w:tcPr>
            <w:tcW w:w="858"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1.014</w:t>
            </w:r>
          </w:p>
        </w:tc>
        <w:tc>
          <w:tcPr>
            <w:tcW w:w="991"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1.7</w:t>
            </w:r>
          </w:p>
        </w:tc>
        <w:tc>
          <w:tcPr>
            <w:tcW w:w="991"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0.011</w:t>
            </w:r>
          </w:p>
        </w:tc>
        <w:tc>
          <w:tcPr>
            <w:tcW w:w="991"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0.002</w:t>
            </w:r>
          </w:p>
        </w:tc>
      </w:tr>
    </w:tbl>
    <w:p>
      <w:pPr>
        <w:autoSpaceDE w:val="0"/>
        <w:autoSpaceDN w:val="0"/>
        <w:adjustRightInd w:val="0"/>
        <w:spacing w:line="480" w:lineRule="exact"/>
        <w:ind w:firstLine="480" w:firstLineChars="200"/>
        <w:rPr>
          <w:rFonts w:hint="eastAsia"/>
          <w:color w:val="auto"/>
          <w:kern w:val="0"/>
          <w:sz w:val="24"/>
          <w:highlight w:val="none"/>
          <w:lang w:val="zh-CN"/>
        </w:rPr>
      </w:pPr>
      <w:r>
        <w:rPr>
          <w:rFonts w:hint="eastAsia"/>
          <w:color w:val="auto"/>
          <w:kern w:val="0"/>
          <w:sz w:val="24"/>
          <w:highlight w:val="none"/>
          <w:lang w:val="zh-CN"/>
        </w:rPr>
        <w:t>根据表 5.3</w:t>
      </w:r>
      <w:r>
        <w:rPr>
          <w:rFonts w:hint="eastAsia"/>
          <w:color w:val="auto"/>
          <w:kern w:val="0"/>
          <w:sz w:val="24"/>
          <w:highlight w:val="none"/>
          <w:lang w:val="en-US" w:eastAsia="zh-CN"/>
        </w:rPr>
        <w:t>-8</w:t>
      </w:r>
      <w:r>
        <w:rPr>
          <w:rFonts w:hint="eastAsia"/>
          <w:color w:val="auto"/>
          <w:kern w:val="0"/>
          <w:sz w:val="24"/>
          <w:highlight w:val="none"/>
          <w:lang w:val="zh-CN"/>
        </w:rPr>
        <w:t xml:space="preserve"> 预测结果分析，雍水区氮、磷预测结果均能满足《地表水环境质量标准》（GB3838-2002）</w:t>
      </w:r>
      <w:r>
        <w:rPr>
          <w:rFonts w:hint="eastAsia"/>
          <w:color w:val="auto"/>
          <w:kern w:val="0"/>
          <w:sz w:val="24"/>
          <w:highlight w:val="none"/>
          <w:lang w:val="zh-CN"/>
        </w:rPr>
        <w:fldChar w:fldCharType="begin"/>
      </w:r>
      <w:r>
        <w:rPr>
          <w:rFonts w:hint="eastAsia"/>
          <w:color w:val="auto"/>
          <w:kern w:val="0"/>
          <w:sz w:val="24"/>
          <w:highlight w:val="none"/>
          <w:lang w:val="zh-CN"/>
        </w:rPr>
        <w:instrText xml:space="preserve"> = 3 \* ROMAN \* MERGEFORMAT </w:instrText>
      </w:r>
      <w:r>
        <w:rPr>
          <w:rFonts w:hint="eastAsia"/>
          <w:color w:val="auto"/>
          <w:kern w:val="0"/>
          <w:sz w:val="24"/>
          <w:highlight w:val="none"/>
          <w:lang w:val="zh-CN"/>
        </w:rPr>
        <w:fldChar w:fldCharType="separate"/>
      </w:r>
      <w:r>
        <w:rPr>
          <w:color w:val="auto"/>
          <w:highlight w:val="none"/>
        </w:rPr>
        <w:t>III</w:t>
      </w:r>
      <w:r>
        <w:rPr>
          <w:rFonts w:hint="eastAsia"/>
          <w:color w:val="auto"/>
          <w:kern w:val="0"/>
          <w:sz w:val="24"/>
          <w:highlight w:val="none"/>
          <w:lang w:val="zh-CN"/>
        </w:rPr>
        <w:fldChar w:fldCharType="end"/>
      </w:r>
      <w:r>
        <w:rPr>
          <w:rFonts w:hint="eastAsia"/>
          <w:color w:val="auto"/>
          <w:kern w:val="0"/>
          <w:sz w:val="24"/>
          <w:highlight w:val="none"/>
          <w:lang w:val="zh-CN"/>
        </w:rPr>
        <w:t>类水质标准要求，总氮</w:t>
      </w:r>
      <w:r>
        <w:rPr>
          <w:rFonts w:hint="eastAsia"/>
          <w:color w:val="auto"/>
          <w:kern w:val="0"/>
          <w:sz w:val="24"/>
          <w:highlight w:val="none"/>
          <w:lang w:val="en-US" w:eastAsia="zh-CN"/>
        </w:rPr>
        <w:t>1.0</w:t>
      </w:r>
      <w:r>
        <w:rPr>
          <w:rFonts w:hint="eastAsia"/>
          <w:color w:val="auto"/>
          <w:kern w:val="0"/>
          <w:szCs w:val="21"/>
          <w:highlight w:val="none"/>
          <w:lang w:val="en-US" w:eastAsia="zh-CN"/>
        </w:rPr>
        <w:t>mg/L</w:t>
      </w:r>
      <w:r>
        <w:rPr>
          <w:rFonts w:hint="eastAsia"/>
          <w:color w:val="auto"/>
          <w:kern w:val="0"/>
          <w:sz w:val="24"/>
          <w:highlight w:val="none"/>
          <w:lang w:val="en-US" w:eastAsia="zh-CN"/>
        </w:rPr>
        <w:t>，</w:t>
      </w:r>
      <w:r>
        <w:rPr>
          <w:rFonts w:hint="eastAsia"/>
          <w:color w:val="auto"/>
          <w:kern w:val="0"/>
          <w:sz w:val="24"/>
          <w:highlight w:val="none"/>
          <w:lang w:val="zh-CN"/>
        </w:rPr>
        <w:t>总磷（以P计）</w:t>
      </w:r>
      <w:r>
        <w:rPr>
          <w:rFonts w:hint="eastAsia"/>
          <w:color w:val="auto"/>
          <w:kern w:val="0"/>
          <w:sz w:val="24"/>
          <w:highlight w:val="none"/>
          <w:lang w:val="en-US" w:eastAsia="zh-CN"/>
        </w:rPr>
        <w:t>0.2</w:t>
      </w:r>
      <w:r>
        <w:rPr>
          <w:rFonts w:hint="eastAsia"/>
          <w:color w:val="auto"/>
          <w:kern w:val="0"/>
          <w:szCs w:val="21"/>
          <w:highlight w:val="none"/>
          <w:lang w:val="en-US" w:eastAsia="zh-CN"/>
        </w:rPr>
        <w:t>mg/L</w:t>
      </w:r>
      <w:r>
        <w:rPr>
          <w:rFonts w:hint="eastAsia"/>
          <w:color w:val="auto"/>
          <w:kern w:val="0"/>
          <w:sz w:val="24"/>
          <w:highlight w:val="none"/>
          <w:lang w:val="zh-CN"/>
        </w:rPr>
        <w:t>。</w:t>
      </w:r>
    </w:p>
    <w:p>
      <w:pPr>
        <w:autoSpaceDE w:val="0"/>
        <w:autoSpaceDN w:val="0"/>
        <w:adjustRightInd w:val="0"/>
        <w:spacing w:line="480" w:lineRule="exact"/>
        <w:ind w:firstLine="480" w:firstLineChars="200"/>
        <w:rPr>
          <w:rFonts w:hint="eastAsia"/>
          <w:color w:val="auto"/>
          <w:kern w:val="0"/>
          <w:sz w:val="24"/>
          <w:highlight w:val="none"/>
          <w:lang w:val="zh-CN"/>
        </w:rPr>
      </w:pPr>
      <w:r>
        <w:rPr>
          <w:rFonts w:hint="eastAsia"/>
          <w:color w:val="auto"/>
          <w:kern w:val="0"/>
          <w:sz w:val="24"/>
          <w:highlight w:val="none"/>
          <w:lang w:val="zh-CN"/>
        </w:rPr>
        <w:t>（3）营养状态分级</w:t>
      </w:r>
    </w:p>
    <w:p>
      <w:pPr>
        <w:autoSpaceDE w:val="0"/>
        <w:autoSpaceDN w:val="0"/>
        <w:adjustRightInd w:val="0"/>
        <w:spacing w:line="480" w:lineRule="exact"/>
        <w:ind w:firstLine="480" w:firstLineChars="200"/>
        <w:rPr>
          <w:rFonts w:hint="eastAsia"/>
          <w:color w:val="auto"/>
          <w:kern w:val="0"/>
          <w:sz w:val="24"/>
          <w:highlight w:val="none"/>
          <w:lang w:val="zh-CN"/>
        </w:rPr>
      </w:pPr>
      <w:r>
        <w:rPr>
          <w:rFonts w:hint="eastAsia"/>
          <w:color w:val="auto"/>
          <w:kern w:val="0"/>
          <w:sz w:val="24"/>
          <w:highlight w:val="none"/>
          <w:lang w:val="zh-CN"/>
        </w:rPr>
        <w:t>根据《地表水资源质量评价技术规程》（SL395-2007），水库营养状态评价标准及分级方法见下表。</w:t>
      </w:r>
    </w:p>
    <w:p>
      <w:pPr>
        <w:autoSpaceDE w:val="0"/>
        <w:autoSpaceDN w:val="0"/>
        <w:adjustRightInd w:val="0"/>
        <w:spacing w:line="480" w:lineRule="exact"/>
        <w:ind w:left="0" w:leftChars="0" w:right="0" w:rightChars="0" w:firstLine="0" w:firstLineChars="0"/>
        <w:jc w:val="center"/>
        <w:rPr>
          <w:rFonts w:hint="eastAsia"/>
          <w:b/>
          <w:bCs/>
          <w:color w:val="auto"/>
          <w:kern w:val="0"/>
          <w:sz w:val="24"/>
          <w:highlight w:val="none"/>
          <w:lang w:val="zh-CN"/>
        </w:rPr>
      </w:pPr>
      <w:r>
        <w:rPr>
          <w:rFonts w:hint="eastAsia"/>
          <w:b/>
          <w:bCs/>
          <w:color w:val="auto"/>
          <w:kern w:val="0"/>
          <w:sz w:val="24"/>
          <w:highlight w:val="none"/>
          <w:lang w:val="zh-CN"/>
        </w:rPr>
        <w:t>表5.3.9 水库营养状态评价标准及分值</w:t>
      </w:r>
    </w:p>
    <w:tbl>
      <w:tblPr>
        <w:tblStyle w:val="52"/>
        <w:tblW w:w="79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3"/>
        <w:gridCol w:w="1577"/>
        <w:gridCol w:w="1599"/>
        <w:gridCol w:w="1911"/>
        <w:gridCol w:w="18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00" w:type="dxa"/>
            <w:gridSpan w:val="2"/>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default"/>
                <w:color w:val="auto"/>
                <w:kern w:val="0"/>
                <w:szCs w:val="21"/>
                <w:highlight w:val="none"/>
                <w:lang w:val="en-US" w:eastAsia="zh-CN"/>
              </w:rPr>
              <w:t>营养状态分级 EI=营养状态指数</w:t>
            </w:r>
          </w:p>
        </w:tc>
        <w:tc>
          <w:tcPr>
            <w:tcW w:w="1599"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default"/>
                <w:color w:val="auto"/>
                <w:kern w:val="0"/>
                <w:szCs w:val="21"/>
                <w:highlight w:val="none"/>
                <w:lang w:val="en-US" w:eastAsia="zh-CN"/>
              </w:rPr>
              <w:t>评价项目赋分值 En</w:t>
            </w:r>
          </w:p>
        </w:tc>
        <w:tc>
          <w:tcPr>
            <w:tcW w:w="1911"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default"/>
                <w:color w:val="auto"/>
                <w:kern w:val="0"/>
                <w:szCs w:val="21"/>
                <w:highlight w:val="none"/>
                <w:lang w:val="en-US" w:eastAsia="zh-CN"/>
              </w:rPr>
              <w:t xml:space="preserve">TN(mg/L) </w:t>
            </w:r>
          </w:p>
        </w:tc>
        <w:tc>
          <w:tcPr>
            <w:tcW w:w="1819"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default"/>
                <w:color w:val="auto"/>
                <w:kern w:val="0"/>
                <w:szCs w:val="21"/>
                <w:highlight w:val="none"/>
                <w:lang w:val="en-US" w:eastAsia="zh-CN"/>
              </w:rPr>
              <w:t>TP(mg/L)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00" w:type="dxa"/>
            <w:gridSpan w:val="2"/>
            <w:vMerge w:val="restart"/>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default"/>
                <w:color w:val="auto"/>
                <w:kern w:val="0"/>
                <w:szCs w:val="21"/>
                <w:highlight w:val="none"/>
                <w:lang w:val="en-US" w:eastAsia="zh-CN"/>
              </w:rPr>
              <w:t>贫营养 0≤EI≤20</w:t>
            </w:r>
          </w:p>
        </w:tc>
        <w:tc>
          <w:tcPr>
            <w:tcW w:w="1599"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10</w:t>
            </w:r>
          </w:p>
        </w:tc>
        <w:tc>
          <w:tcPr>
            <w:tcW w:w="1911"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0.02</w:t>
            </w:r>
          </w:p>
        </w:tc>
        <w:tc>
          <w:tcPr>
            <w:tcW w:w="1819"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00" w:type="dxa"/>
            <w:gridSpan w:val="2"/>
            <w:vMerge w:val="continue"/>
            <w:vAlign w:val="center"/>
          </w:tcPr>
          <w:p>
            <w:pPr>
              <w:autoSpaceDE w:val="0"/>
              <w:autoSpaceDN w:val="0"/>
              <w:adjustRightInd w:val="0"/>
              <w:spacing w:line="300" w:lineRule="exact"/>
              <w:jc w:val="center"/>
              <w:rPr>
                <w:rFonts w:hint="default"/>
                <w:color w:val="auto"/>
                <w:kern w:val="0"/>
                <w:szCs w:val="21"/>
                <w:highlight w:val="none"/>
                <w:lang w:val="en-US" w:eastAsia="zh-CN"/>
              </w:rPr>
            </w:pPr>
          </w:p>
        </w:tc>
        <w:tc>
          <w:tcPr>
            <w:tcW w:w="1599"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20</w:t>
            </w:r>
          </w:p>
        </w:tc>
        <w:tc>
          <w:tcPr>
            <w:tcW w:w="1911"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0.05</w:t>
            </w:r>
          </w:p>
        </w:tc>
        <w:tc>
          <w:tcPr>
            <w:tcW w:w="1819"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00" w:type="dxa"/>
            <w:gridSpan w:val="2"/>
            <w:vMerge w:val="restart"/>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default"/>
                <w:color w:val="auto"/>
                <w:kern w:val="0"/>
                <w:szCs w:val="21"/>
                <w:highlight w:val="none"/>
                <w:lang w:val="en-US" w:eastAsia="zh-CN"/>
              </w:rPr>
              <w:t>中营养 20＜EI≤50</w:t>
            </w:r>
          </w:p>
        </w:tc>
        <w:tc>
          <w:tcPr>
            <w:tcW w:w="1599"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30</w:t>
            </w:r>
          </w:p>
        </w:tc>
        <w:tc>
          <w:tcPr>
            <w:tcW w:w="1911"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0.10</w:t>
            </w:r>
          </w:p>
        </w:tc>
        <w:tc>
          <w:tcPr>
            <w:tcW w:w="1819"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00" w:type="dxa"/>
            <w:gridSpan w:val="2"/>
            <w:vMerge w:val="continue"/>
            <w:vAlign w:val="center"/>
          </w:tcPr>
          <w:p>
            <w:pPr>
              <w:autoSpaceDE w:val="0"/>
              <w:autoSpaceDN w:val="0"/>
              <w:adjustRightInd w:val="0"/>
              <w:spacing w:line="300" w:lineRule="exact"/>
              <w:jc w:val="center"/>
              <w:rPr>
                <w:rFonts w:hint="default"/>
                <w:color w:val="auto"/>
                <w:kern w:val="0"/>
                <w:szCs w:val="21"/>
                <w:highlight w:val="none"/>
                <w:lang w:val="en-US" w:eastAsia="zh-CN"/>
              </w:rPr>
            </w:pPr>
          </w:p>
        </w:tc>
        <w:tc>
          <w:tcPr>
            <w:tcW w:w="1599"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40</w:t>
            </w:r>
          </w:p>
        </w:tc>
        <w:tc>
          <w:tcPr>
            <w:tcW w:w="1911"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0.30</w:t>
            </w:r>
          </w:p>
        </w:tc>
        <w:tc>
          <w:tcPr>
            <w:tcW w:w="1819"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0.025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00" w:type="dxa"/>
            <w:gridSpan w:val="2"/>
            <w:vMerge w:val="continue"/>
            <w:vAlign w:val="center"/>
          </w:tcPr>
          <w:p>
            <w:pPr>
              <w:autoSpaceDE w:val="0"/>
              <w:autoSpaceDN w:val="0"/>
              <w:adjustRightInd w:val="0"/>
              <w:spacing w:line="300" w:lineRule="exact"/>
              <w:jc w:val="center"/>
              <w:rPr>
                <w:rFonts w:hint="default"/>
                <w:color w:val="auto"/>
                <w:kern w:val="0"/>
                <w:szCs w:val="21"/>
                <w:highlight w:val="none"/>
                <w:lang w:val="en-US" w:eastAsia="zh-CN"/>
              </w:rPr>
            </w:pPr>
          </w:p>
        </w:tc>
        <w:tc>
          <w:tcPr>
            <w:tcW w:w="1599"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50</w:t>
            </w:r>
          </w:p>
        </w:tc>
        <w:tc>
          <w:tcPr>
            <w:tcW w:w="1911"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0.50</w:t>
            </w:r>
          </w:p>
        </w:tc>
        <w:tc>
          <w:tcPr>
            <w:tcW w:w="1819"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vMerge w:val="restart"/>
            <w:vAlign w:val="center"/>
          </w:tcPr>
          <w:p>
            <w:pPr>
              <w:autoSpaceDE w:val="0"/>
              <w:autoSpaceDN w:val="0"/>
              <w:adjustRightInd w:val="0"/>
              <w:spacing w:line="300" w:lineRule="exact"/>
              <w:jc w:val="center"/>
              <w:rPr>
                <w:rFonts w:hint="default" w:eastAsia="宋体"/>
                <w:color w:val="auto"/>
                <w:kern w:val="0"/>
                <w:szCs w:val="21"/>
                <w:highlight w:val="none"/>
                <w:lang w:val="en-US" w:eastAsia="zh-CN"/>
              </w:rPr>
            </w:pPr>
            <w:r>
              <w:rPr>
                <w:rFonts w:hint="default" w:eastAsia="宋体"/>
                <w:color w:val="auto"/>
                <w:kern w:val="0"/>
                <w:szCs w:val="21"/>
                <w:highlight w:val="none"/>
                <w:lang w:val="en-US" w:eastAsia="zh-CN"/>
              </w:rPr>
              <w:t>富营养</w:t>
            </w:r>
          </w:p>
        </w:tc>
        <w:tc>
          <w:tcPr>
            <w:tcW w:w="1577"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default"/>
                <w:color w:val="auto"/>
                <w:kern w:val="0"/>
                <w:szCs w:val="21"/>
                <w:highlight w:val="none"/>
                <w:lang w:val="en-US" w:eastAsia="zh-CN"/>
              </w:rPr>
              <w:t>轻度富营养 50＜EI≤60</w:t>
            </w:r>
          </w:p>
        </w:tc>
        <w:tc>
          <w:tcPr>
            <w:tcW w:w="1599"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60</w:t>
            </w:r>
          </w:p>
        </w:tc>
        <w:tc>
          <w:tcPr>
            <w:tcW w:w="1911"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1.0</w:t>
            </w:r>
          </w:p>
        </w:tc>
        <w:tc>
          <w:tcPr>
            <w:tcW w:w="1819"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0.100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vMerge w:val="continue"/>
            <w:vAlign w:val="center"/>
          </w:tcPr>
          <w:p>
            <w:pPr>
              <w:autoSpaceDE w:val="0"/>
              <w:autoSpaceDN w:val="0"/>
              <w:adjustRightInd w:val="0"/>
              <w:spacing w:line="300" w:lineRule="exact"/>
              <w:jc w:val="center"/>
              <w:rPr>
                <w:rFonts w:hint="default" w:eastAsia="宋体"/>
                <w:color w:val="auto"/>
                <w:kern w:val="0"/>
                <w:szCs w:val="21"/>
                <w:highlight w:val="none"/>
                <w:lang w:val="en-US" w:eastAsia="zh-CN"/>
              </w:rPr>
            </w:pPr>
          </w:p>
        </w:tc>
        <w:tc>
          <w:tcPr>
            <w:tcW w:w="1577" w:type="dxa"/>
            <w:vMerge w:val="restart"/>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default"/>
                <w:color w:val="auto"/>
                <w:kern w:val="0"/>
                <w:szCs w:val="21"/>
                <w:highlight w:val="none"/>
                <w:lang w:val="en-US" w:eastAsia="zh-CN"/>
              </w:rPr>
              <w:t>中度富营养60＜EI≤80</w:t>
            </w:r>
          </w:p>
        </w:tc>
        <w:tc>
          <w:tcPr>
            <w:tcW w:w="1599"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70</w:t>
            </w:r>
          </w:p>
        </w:tc>
        <w:tc>
          <w:tcPr>
            <w:tcW w:w="1911"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2.0</w:t>
            </w:r>
          </w:p>
        </w:tc>
        <w:tc>
          <w:tcPr>
            <w:tcW w:w="1819"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0.200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vMerge w:val="continue"/>
            <w:vAlign w:val="center"/>
          </w:tcPr>
          <w:p>
            <w:pPr>
              <w:autoSpaceDE w:val="0"/>
              <w:autoSpaceDN w:val="0"/>
              <w:adjustRightInd w:val="0"/>
              <w:spacing w:line="300" w:lineRule="exact"/>
              <w:jc w:val="center"/>
              <w:rPr>
                <w:rFonts w:hint="default" w:eastAsia="宋体"/>
                <w:color w:val="auto"/>
                <w:kern w:val="0"/>
                <w:szCs w:val="21"/>
                <w:highlight w:val="none"/>
                <w:lang w:val="en-US" w:eastAsia="zh-CN"/>
              </w:rPr>
            </w:pPr>
          </w:p>
        </w:tc>
        <w:tc>
          <w:tcPr>
            <w:tcW w:w="1577" w:type="dxa"/>
            <w:vMerge w:val="continue"/>
            <w:vAlign w:val="center"/>
          </w:tcPr>
          <w:p>
            <w:pPr>
              <w:autoSpaceDE w:val="0"/>
              <w:autoSpaceDN w:val="0"/>
              <w:adjustRightInd w:val="0"/>
              <w:spacing w:line="300" w:lineRule="exact"/>
              <w:jc w:val="center"/>
              <w:rPr>
                <w:rFonts w:hint="default"/>
                <w:color w:val="auto"/>
                <w:kern w:val="0"/>
                <w:szCs w:val="21"/>
                <w:highlight w:val="none"/>
                <w:lang w:val="en-US" w:eastAsia="zh-CN"/>
              </w:rPr>
            </w:pPr>
          </w:p>
        </w:tc>
        <w:tc>
          <w:tcPr>
            <w:tcW w:w="1599"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80</w:t>
            </w:r>
          </w:p>
        </w:tc>
        <w:tc>
          <w:tcPr>
            <w:tcW w:w="1911"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6.0</w:t>
            </w:r>
          </w:p>
        </w:tc>
        <w:tc>
          <w:tcPr>
            <w:tcW w:w="1819"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0.600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vMerge w:val="continue"/>
            <w:vAlign w:val="center"/>
          </w:tcPr>
          <w:p>
            <w:pPr>
              <w:autoSpaceDE w:val="0"/>
              <w:autoSpaceDN w:val="0"/>
              <w:adjustRightInd w:val="0"/>
              <w:spacing w:line="300" w:lineRule="exact"/>
              <w:jc w:val="center"/>
              <w:rPr>
                <w:rFonts w:hint="default" w:eastAsia="宋体"/>
                <w:color w:val="auto"/>
                <w:kern w:val="0"/>
                <w:szCs w:val="21"/>
                <w:highlight w:val="none"/>
                <w:lang w:val="en-US" w:eastAsia="zh-CN"/>
              </w:rPr>
            </w:pPr>
          </w:p>
        </w:tc>
        <w:tc>
          <w:tcPr>
            <w:tcW w:w="1577" w:type="dxa"/>
            <w:vMerge w:val="restart"/>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default"/>
                <w:color w:val="auto"/>
                <w:kern w:val="0"/>
                <w:szCs w:val="21"/>
                <w:highlight w:val="none"/>
                <w:lang w:val="en-US" w:eastAsia="zh-CN"/>
              </w:rPr>
              <w:t>重度富营养80＜EI≤100</w:t>
            </w:r>
          </w:p>
        </w:tc>
        <w:tc>
          <w:tcPr>
            <w:tcW w:w="1599"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90</w:t>
            </w:r>
          </w:p>
        </w:tc>
        <w:tc>
          <w:tcPr>
            <w:tcW w:w="1911"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9.0</w:t>
            </w:r>
          </w:p>
        </w:tc>
        <w:tc>
          <w:tcPr>
            <w:tcW w:w="1819"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0.900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3" w:type="dxa"/>
            <w:vMerge w:val="continue"/>
            <w:vAlign w:val="center"/>
          </w:tcPr>
          <w:p>
            <w:pPr>
              <w:autoSpaceDE w:val="0"/>
              <w:autoSpaceDN w:val="0"/>
              <w:adjustRightInd w:val="0"/>
              <w:spacing w:line="300" w:lineRule="exact"/>
              <w:jc w:val="center"/>
              <w:rPr>
                <w:rFonts w:hint="default" w:eastAsia="宋体"/>
                <w:color w:val="auto"/>
                <w:kern w:val="0"/>
                <w:szCs w:val="21"/>
                <w:highlight w:val="none"/>
                <w:lang w:val="en-US" w:eastAsia="zh-CN"/>
              </w:rPr>
            </w:pPr>
          </w:p>
        </w:tc>
        <w:tc>
          <w:tcPr>
            <w:tcW w:w="1577" w:type="dxa"/>
            <w:vMerge w:val="continue"/>
            <w:vAlign w:val="center"/>
          </w:tcPr>
          <w:p>
            <w:pPr>
              <w:autoSpaceDE w:val="0"/>
              <w:autoSpaceDN w:val="0"/>
              <w:adjustRightInd w:val="0"/>
              <w:spacing w:line="300" w:lineRule="exact"/>
              <w:jc w:val="center"/>
              <w:rPr>
                <w:rFonts w:hint="default"/>
                <w:color w:val="auto"/>
                <w:kern w:val="0"/>
                <w:szCs w:val="21"/>
                <w:highlight w:val="none"/>
                <w:lang w:val="en-US" w:eastAsia="zh-CN"/>
              </w:rPr>
            </w:pPr>
          </w:p>
        </w:tc>
        <w:tc>
          <w:tcPr>
            <w:tcW w:w="1599"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100</w:t>
            </w:r>
          </w:p>
        </w:tc>
        <w:tc>
          <w:tcPr>
            <w:tcW w:w="1911"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16.0</w:t>
            </w:r>
          </w:p>
        </w:tc>
        <w:tc>
          <w:tcPr>
            <w:tcW w:w="1819" w:type="dxa"/>
            <w:vAlign w:val="center"/>
          </w:tcPr>
          <w:p>
            <w:pPr>
              <w:autoSpaceDE w:val="0"/>
              <w:autoSpaceDN w:val="0"/>
              <w:adjustRightInd w:val="0"/>
              <w:spacing w:line="30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1.300</w:t>
            </w:r>
          </w:p>
        </w:tc>
      </w:tr>
    </w:tbl>
    <w:p>
      <w:pPr>
        <w:autoSpaceDE w:val="0"/>
        <w:autoSpaceDN w:val="0"/>
        <w:adjustRightInd w:val="0"/>
        <w:spacing w:line="480" w:lineRule="exact"/>
        <w:ind w:firstLine="960" w:firstLineChars="400"/>
        <w:rPr>
          <w:rFonts w:hint="eastAsia"/>
          <w:color w:val="auto"/>
          <w:kern w:val="0"/>
          <w:sz w:val="24"/>
          <w:highlight w:val="none"/>
          <w:lang w:val="zh-CN"/>
        </w:rPr>
      </w:pPr>
      <w:r>
        <w:rPr>
          <w:rFonts w:hint="eastAsia"/>
          <w:color w:val="auto"/>
          <w:kern w:val="0"/>
          <w:sz w:val="24"/>
          <w:highlight w:val="none"/>
          <w:lang w:val="zh-CN"/>
        </w:rPr>
        <w:t>采用指数法进行湖库营养状态评价，计算公式如下</w:t>
      </w:r>
    </w:p>
    <w:p>
      <w:pPr>
        <w:autoSpaceDE w:val="0"/>
        <w:autoSpaceDN w:val="0"/>
        <w:adjustRightInd w:val="0"/>
        <w:spacing w:line="240" w:lineRule="auto"/>
        <w:ind w:firstLine="480" w:firstLineChars="200"/>
        <w:rPr>
          <w:rFonts w:hint="eastAsia"/>
          <w:color w:val="auto"/>
          <w:kern w:val="0"/>
          <w:sz w:val="24"/>
          <w:highlight w:val="none"/>
          <w:lang w:val="zh-CN"/>
        </w:rPr>
      </w:pPr>
      <w:r>
        <w:rPr>
          <w:rFonts w:hint="eastAsia"/>
          <w:color w:val="auto"/>
          <w:kern w:val="0"/>
          <w:sz w:val="24"/>
          <w:highlight w:val="none"/>
          <w:lang w:val="en-US" w:eastAsia="zh-CN"/>
        </w:rPr>
        <w:t xml:space="preserve">       </w:t>
      </w:r>
      <w:r>
        <w:rPr>
          <w:rFonts w:hint="eastAsia"/>
          <w:color w:val="auto"/>
          <w:kern w:val="0"/>
          <w:sz w:val="24"/>
          <w:highlight w:val="none"/>
          <w:lang w:val="zh-CN"/>
        </w:rPr>
        <w:drawing>
          <wp:inline distT="0" distB="0" distL="114300" distR="114300">
            <wp:extent cx="1143000" cy="513715"/>
            <wp:effectExtent l="0" t="0" r="0" b="635"/>
            <wp:docPr id="27" name="图片 27" descr="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78"/>
                    <pic:cNvPicPr>
                      <a:picLocks noChangeAspect="1"/>
                    </pic:cNvPicPr>
                  </pic:nvPicPr>
                  <pic:blipFill>
                    <a:blip r:embed="rId75"/>
                    <a:stretch>
                      <a:fillRect/>
                    </a:stretch>
                  </pic:blipFill>
                  <pic:spPr>
                    <a:xfrm>
                      <a:off x="0" y="0"/>
                      <a:ext cx="1143000" cy="513715"/>
                    </a:xfrm>
                    <a:prstGeom prst="rect">
                      <a:avLst/>
                    </a:prstGeom>
                  </pic:spPr>
                </pic:pic>
              </a:graphicData>
            </a:graphic>
          </wp:inline>
        </w:drawing>
      </w:r>
    </w:p>
    <w:p>
      <w:pPr>
        <w:autoSpaceDE w:val="0"/>
        <w:autoSpaceDN w:val="0"/>
        <w:adjustRightInd w:val="0"/>
        <w:spacing w:line="480" w:lineRule="exact"/>
        <w:ind w:firstLine="480" w:firstLineChars="200"/>
        <w:rPr>
          <w:rFonts w:hint="eastAsia"/>
          <w:color w:val="auto"/>
          <w:kern w:val="0"/>
          <w:sz w:val="24"/>
          <w:highlight w:val="none"/>
          <w:lang w:val="zh-CN"/>
        </w:rPr>
      </w:pPr>
      <w:r>
        <w:rPr>
          <w:rFonts w:hint="eastAsia"/>
          <w:color w:val="auto"/>
          <w:kern w:val="0"/>
          <w:sz w:val="24"/>
          <w:highlight w:val="none"/>
          <w:lang w:val="zh-CN"/>
        </w:rPr>
        <w:t>式中： EI—营养状态指数；</w:t>
      </w:r>
    </w:p>
    <w:p>
      <w:pPr>
        <w:autoSpaceDE w:val="0"/>
        <w:autoSpaceDN w:val="0"/>
        <w:adjustRightInd w:val="0"/>
        <w:spacing w:line="480" w:lineRule="exact"/>
        <w:ind w:firstLine="1200" w:firstLineChars="500"/>
        <w:rPr>
          <w:rFonts w:hint="eastAsia"/>
          <w:color w:val="auto"/>
          <w:kern w:val="0"/>
          <w:sz w:val="24"/>
          <w:highlight w:val="none"/>
          <w:lang w:val="zh-CN"/>
        </w:rPr>
      </w:pPr>
      <w:r>
        <w:rPr>
          <w:rFonts w:hint="eastAsia"/>
          <w:color w:val="auto"/>
          <w:kern w:val="0"/>
          <w:sz w:val="24"/>
          <w:highlight w:val="none"/>
          <w:lang w:val="zh-CN"/>
        </w:rPr>
        <w:t>N —评价项目个数；</w:t>
      </w:r>
    </w:p>
    <w:p>
      <w:pPr>
        <w:autoSpaceDE w:val="0"/>
        <w:autoSpaceDN w:val="0"/>
        <w:adjustRightInd w:val="0"/>
        <w:spacing w:line="480" w:lineRule="exact"/>
        <w:ind w:firstLine="1200" w:firstLineChars="500"/>
        <w:rPr>
          <w:rFonts w:hint="eastAsia"/>
          <w:color w:val="auto"/>
          <w:kern w:val="0"/>
          <w:sz w:val="24"/>
          <w:highlight w:val="none"/>
          <w:lang w:val="zh-CN"/>
        </w:rPr>
      </w:pPr>
      <w:r>
        <w:rPr>
          <w:rFonts w:hint="eastAsia"/>
          <w:color w:val="auto"/>
          <w:kern w:val="0"/>
          <w:sz w:val="24"/>
          <w:highlight w:val="none"/>
          <w:lang w:val="zh-CN"/>
        </w:rPr>
        <w:t>E n —评价项目赋分值，需线性插值法计算赋分值；</w:t>
      </w:r>
    </w:p>
    <w:p>
      <w:pPr>
        <w:autoSpaceDE w:val="0"/>
        <w:autoSpaceDN w:val="0"/>
        <w:adjustRightInd w:val="0"/>
        <w:spacing w:line="480" w:lineRule="exact"/>
        <w:ind w:firstLine="480" w:firstLineChars="200"/>
        <w:rPr>
          <w:rFonts w:hint="eastAsia"/>
          <w:color w:val="auto"/>
          <w:kern w:val="0"/>
          <w:sz w:val="24"/>
          <w:highlight w:val="none"/>
          <w:lang w:val="zh-CN"/>
        </w:rPr>
      </w:pPr>
      <w:r>
        <w:rPr>
          <w:rFonts w:hint="eastAsia"/>
          <w:color w:val="auto"/>
          <w:kern w:val="0"/>
          <w:sz w:val="24"/>
          <w:highlight w:val="none"/>
          <w:lang w:val="zh-CN"/>
        </w:rPr>
        <w:t>根据上述分析，本项目雍水区总体水质为贫营养化。运营期须严格控制水库流域氮、磷的排入量，加强水质监测，以便及时采取应对措施，严防水库向富营养化发展。电站不发电时，橡胶坝放气不拦水，汛期黎河河道作为行洪河道，枯水期河道内水量很少甚至无水，因此电站发电时不会发生富营养化现象。</w:t>
      </w:r>
    </w:p>
    <w:p>
      <w:pPr>
        <w:autoSpaceDE w:val="0"/>
        <w:autoSpaceDN w:val="0"/>
        <w:adjustRightInd w:val="0"/>
        <w:spacing w:line="480" w:lineRule="exact"/>
        <w:ind w:firstLine="480"/>
        <w:jc w:val="left"/>
        <w:rPr>
          <w:rFonts w:hint="eastAsia"/>
          <w:color w:val="auto"/>
          <w:kern w:val="0"/>
          <w:sz w:val="24"/>
          <w:highlight w:val="none"/>
          <w:lang w:val="zh-CN"/>
        </w:rPr>
      </w:pPr>
      <w:r>
        <w:rPr>
          <w:rFonts w:hint="eastAsia"/>
          <w:color w:val="auto"/>
          <w:kern w:val="0"/>
          <w:sz w:val="24"/>
          <w:highlight w:val="none"/>
          <w:lang w:val="zh-CN"/>
        </w:rPr>
        <w:t>综合以上分析以及实地走访调查，本项目</w:t>
      </w:r>
      <w:r>
        <w:rPr>
          <w:rFonts w:hint="eastAsia"/>
          <w:color w:val="auto"/>
          <w:kern w:val="0"/>
          <w:sz w:val="24"/>
          <w:highlight w:val="none"/>
          <w:lang w:val="en-US" w:eastAsia="zh-CN"/>
        </w:rPr>
        <w:t>2006</w:t>
      </w:r>
      <w:r>
        <w:rPr>
          <w:rFonts w:hint="eastAsia"/>
          <w:color w:val="auto"/>
          <w:kern w:val="0"/>
          <w:sz w:val="24"/>
          <w:highlight w:val="none"/>
          <w:lang w:val="zh-CN"/>
        </w:rPr>
        <w:t>年投产至今运行期间，黎河无发生富营养化的记录，故项目的运行不会引起黎河富营养化现象发生。</w:t>
      </w:r>
    </w:p>
    <w:p>
      <w:pPr>
        <w:autoSpaceDE w:val="0"/>
        <w:autoSpaceDN w:val="0"/>
        <w:adjustRightInd w:val="0"/>
        <w:spacing w:line="480" w:lineRule="exact"/>
        <w:ind w:firstLine="480" w:firstLineChars="200"/>
        <w:rPr>
          <w:color w:val="auto"/>
          <w:sz w:val="24"/>
          <w:highlight w:val="none"/>
        </w:rPr>
      </w:pPr>
      <w:r>
        <w:rPr>
          <w:color w:val="auto"/>
          <w:sz w:val="24"/>
          <w:highlight w:val="none"/>
        </w:rPr>
        <w:t>地表水环境影响评价自查表见</w:t>
      </w:r>
      <w:r>
        <w:rPr>
          <w:rFonts w:hint="eastAsia"/>
          <w:color w:val="auto"/>
          <w:sz w:val="24"/>
          <w:highlight w:val="none"/>
        </w:rPr>
        <w:t>5</w:t>
      </w:r>
      <w:r>
        <w:rPr>
          <w:color w:val="auto"/>
          <w:sz w:val="24"/>
          <w:highlight w:val="none"/>
        </w:rPr>
        <w:t>.</w:t>
      </w:r>
      <w:r>
        <w:rPr>
          <w:rFonts w:hint="eastAsia"/>
          <w:color w:val="auto"/>
          <w:sz w:val="24"/>
          <w:highlight w:val="none"/>
          <w:lang w:val="en-US" w:eastAsia="zh-CN"/>
        </w:rPr>
        <w:t>3</w:t>
      </w:r>
      <w:r>
        <w:rPr>
          <w:color w:val="auto"/>
          <w:sz w:val="24"/>
          <w:highlight w:val="none"/>
        </w:rPr>
        <w:t>-</w:t>
      </w:r>
      <w:r>
        <w:rPr>
          <w:rFonts w:hint="eastAsia"/>
          <w:color w:val="auto"/>
          <w:sz w:val="24"/>
          <w:highlight w:val="none"/>
          <w:lang w:val="en-US" w:eastAsia="zh-CN"/>
        </w:rPr>
        <w:t>3</w:t>
      </w:r>
      <w:r>
        <w:rPr>
          <w:color w:val="auto"/>
          <w:sz w:val="24"/>
          <w:highlight w:val="none"/>
        </w:rPr>
        <w:t>。</w:t>
      </w:r>
    </w:p>
    <w:p>
      <w:pPr>
        <w:autoSpaceDE w:val="0"/>
        <w:autoSpaceDN w:val="0"/>
        <w:adjustRightInd w:val="0"/>
        <w:spacing w:line="480" w:lineRule="exact"/>
        <w:ind w:firstLine="480" w:firstLineChars="200"/>
        <w:rPr>
          <w:color w:val="000000"/>
          <w:sz w:val="24"/>
          <w:highlight w:val="none"/>
        </w:rPr>
      </w:pPr>
    </w:p>
    <w:p>
      <w:pPr>
        <w:autoSpaceDE w:val="0"/>
        <w:autoSpaceDN w:val="0"/>
        <w:adjustRightInd w:val="0"/>
        <w:spacing w:line="480" w:lineRule="exact"/>
        <w:ind w:firstLine="480" w:firstLineChars="200"/>
        <w:rPr>
          <w:color w:val="000000"/>
          <w:sz w:val="24"/>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spacing w:line="400" w:lineRule="exact"/>
        <w:jc w:val="center"/>
        <w:rPr>
          <w:b/>
          <w:color w:val="000000"/>
          <w:sz w:val="24"/>
          <w:highlight w:val="none"/>
        </w:rPr>
      </w:pPr>
      <w:r>
        <w:rPr>
          <w:b/>
          <w:bCs/>
          <w:color w:val="000000"/>
          <w:sz w:val="24"/>
          <w:highlight w:val="none"/>
        </w:rPr>
        <w:t>表</w:t>
      </w:r>
      <w:r>
        <w:rPr>
          <w:rFonts w:hint="eastAsia"/>
          <w:b/>
          <w:bCs/>
          <w:color w:val="000000"/>
          <w:sz w:val="24"/>
          <w:highlight w:val="none"/>
        </w:rPr>
        <w:t>5</w:t>
      </w:r>
      <w:r>
        <w:rPr>
          <w:b/>
          <w:bCs/>
          <w:color w:val="000000"/>
          <w:sz w:val="24"/>
          <w:highlight w:val="none"/>
        </w:rPr>
        <w:t>.</w:t>
      </w:r>
      <w:r>
        <w:rPr>
          <w:rFonts w:hint="eastAsia"/>
          <w:b/>
          <w:bCs/>
          <w:color w:val="000000"/>
          <w:sz w:val="24"/>
          <w:highlight w:val="none"/>
          <w:lang w:val="en-US" w:eastAsia="zh-CN"/>
        </w:rPr>
        <w:t>3</w:t>
      </w:r>
      <w:r>
        <w:rPr>
          <w:b/>
          <w:bCs/>
          <w:color w:val="000000"/>
          <w:sz w:val="24"/>
          <w:highlight w:val="none"/>
        </w:rPr>
        <w:t>-</w:t>
      </w:r>
      <w:r>
        <w:rPr>
          <w:rFonts w:hint="eastAsia"/>
          <w:b/>
          <w:bCs/>
          <w:color w:val="000000"/>
          <w:sz w:val="24"/>
          <w:highlight w:val="none"/>
          <w:lang w:val="en-US" w:eastAsia="zh-CN"/>
        </w:rPr>
        <w:t>3</w:t>
      </w:r>
      <w:r>
        <w:rPr>
          <w:b/>
          <w:bCs/>
          <w:color w:val="000000"/>
          <w:sz w:val="24"/>
          <w:highlight w:val="none"/>
        </w:rPr>
        <w:t xml:space="preserve">  地表水环境影响评价自查表</w:t>
      </w:r>
    </w:p>
    <w:tbl>
      <w:tblPr>
        <w:tblStyle w:val="51"/>
        <w:tblW w:w="144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3"/>
        <w:gridCol w:w="1559"/>
        <w:gridCol w:w="48"/>
        <w:gridCol w:w="2208"/>
        <w:gridCol w:w="1184"/>
        <w:gridCol w:w="541"/>
        <w:gridCol w:w="120"/>
        <w:gridCol w:w="1755"/>
        <w:gridCol w:w="157"/>
        <w:gridCol w:w="2105"/>
        <w:gridCol w:w="138"/>
        <w:gridCol w:w="909"/>
        <w:gridCol w:w="1300"/>
        <w:gridCol w:w="13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0" w:type="dxa"/>
            <w:gridSpan w:val="3"/>
            <w:vAlign w:val="center"/>
          </w:tcPr>
          <w:p>
            <w:pPr>
              <w:spacing w:line="300" w:lineRule="exact"/>
              <w:jc w:val="center"/>
              <w:rPr>
                <w:b/>
                <w:color w:val="000000"/>
                <w:szCs w:val="21"/>
                <w:highlight w:val="none"/>
              </w:rPr>
            </w:pPr>
            <w:r>
              <w:rPr>
                <w:b/>
                <w:color w:val="000000"/>
                <w:szCs w:val="21"/>
                <w:highlight w:val="none"/>
              </w:rPr>
              <w:t>工作内容</w:t>
            </w:r>
          </w:p>
        </w:tc>
        <w:tc>
          <w:tcPr>
            <w:tcW w:w="11763" w:type="dxa"/>
            <w:gridSpan w:val="11"/>
            <w:vAlign w:val="center"/>
          </w:tcPr>
          <w:p>
            <w:pPr>
              <w:spacing w:line="300" w:lineRule="exact"/>
              <w:jc w:val="center"/>
              <w:rPr>
                <w:b/>
                <w:bCs/>
                <w:color w:val="000000"/>
                <w:szCs w:val="21"/>
                <w:highlight w:val="none"/>
              </w:rPr>
            </w:pPr>
            <w:r>
              <w:rPr>
                <w:b/>
                <w:bCs/>
                <w:color w:val="000000"/>
                <w:szCs w:val="21"/>
                <w:highlight w:val="none"/>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restart"/>
            <w:vAlign w:val="center"/>
          </w:tcPr>
          <w:p>
            <w:pPr>
              <w:spacing w:line="300" w:lineRule="exact"/>
              <w:jc w:val="center"/>
              <w:rPr>
                <w:color w:val="000000"/>
                <w:szCs w:val="21"/>
                <w:highlight w:val="none"/>
              </w:rPr>
            </w:pPr>
            <w:r>
              <w:rPr>
                <w:color w:val="000000"/>
                <w:szCs w:val="21"/>
                <w:highlight w:val="none"/>
              </w:rPr>
              <w:t>影响</w:t>
            </w:r>
          </w:p>
          <w:p>
            <w:pPr>
              <w:spacing w:line="300" w:lineRule="exact"/>
              <w:jc w:val="center"/>
              <w:rPr>
                <w:color w:val="000000"/>
                <w:szCs w:val="21"/>
                <w:highlight w:val="none"/>
              </w:rPr>
            </w:pPr>
            <w:r>
              <w:rPr>
                <w:color w:val="000000"/>
                <w:szCs w:val="21"/>
                <w:highlight w:val="none"/>
              </w:rPr>
              <w:t>识别</w:t>
            </w:r>
          </w:p>
        </w:tc>
        <w:tc>
          <w:tcPr>
            <w:tcW w:w="1607" w:type="dxa"/>
            <w:gridSpan w:val="2"/>
            <w:vAlign w:val="center"/>
          </w:tcPr>
          <w:p>
            <w:pPr>
              <w:spacing w:line="300" w:lineRule="exact"/>
              <w:jc w:val="center"/>
              <w:rPr>
                <w:color w:val="000000"/>
                <w:szCs w:val="21"/>
                <w:highlight w:val="none"/>
              </w:rPr>
            </w:pPr>
            <w:r>
              <w:rPr>
                <w:color w:val="000000"/>
                <w:szCs w:val="21"/>
                <w:highlight w:val="none"/>
              </w:rPr>
              <w:t>影响类型</w:t>
            </w:r>
          </w:p>
        </w:tc>
        <w:tc>
          <w:tcPr>
            <w:tcW w:w="11763" w:type="dxa"/>
            <w:gridSpan w:val="11"/>
            <w:vAlign w:val="center"/>
          </w:tcPr>
          <w:p>
            <w:pPr>
              <w:spacing w:line="300" w:lineRule="exact"/>
              <w:jc w:val="center"/>
              <w:rPr>
                <w:bCs/>
                <w:color w:val="000000"/>
                <w:szCs w:val="21"/>
                <w:highlight w:val="none"/>
              </w:rPr>
            </w:pPr>
            <w:r>
              <w:rPr>
                <w:szCs w:val="21"/>
                <w:highlight w:val="none"/>
              </w:rPr>
              <w:t>水污染影响型</w:t>
            </w:r>
            <w:r>
              <w:rPr>
                <w:rFonts w:hint="eastAsia" w:ascii="MS Mincho" w:hAnsi="MS Mincho" w:cs="MS Mincho"/>
                <w:szCs w:val="21"/>
                <w:highlight w:val="none"/>
              </w:rPr>
              <w:t>□</w:t>
            </w:r>
            <w:r>
              <w:rPr>
                <w:szCs w:val="21"/>
                <w:highlight w:val="none"/>
              </w:rPr>
              <w:t>；水文要素影响型</w:t>
            </w:r>
            <w:r>
              <w:rPr>
                <w:rFonts w:hint="eastAsia"/>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607" w:type="dxa"/>
            <w:gridSpan w:val="2"/>
            <w:vAlign w:val="center"/>
          </w:tcPr>
          <w:p>
            <w:pPr>
              <w:spacing w:line="300" w:lineRule="exact"/>
              <w:jc w:val="center"/>
              <w:rPr>
                <w:color w:val="auto"/>
                <w:szCs w:val="21"/>
                <w:highlight w:val="none"/>
              </w:rPr>
            </w:pPr>
            <w:r>
              <w:rPr>
                <w:color w:val="auto"/>
                <w:szCs w:val="21"/>
                <w:highlight w:val="none"/>
              </w:rPr>
              <w:t>水环境保护目标</w:t>
            </w:r>
          </w:p>
        </w:tc>
        <w:tc>
          <w:tcPr>
            <w:tcW w:w="11763" w:type="dxa"/>
            <w:gridSpan w:val="11"/>
            <w:vAlign w:val="center"/>
          </w:tcPr>
          <w:p>
            <w:pPr>
              <w:spacing w:line="300" w:lineRule="exact"/>
              <w:jc w:val="left"/>
              <w:rPr>
                <w:bCs/>
                <w:color w:val="auto"/>
                <w:szCs w:val="21"/>
                <w:highlight w:val="none"/>
              </w:rPr>
            </w:pPr>
            <w:r>
              <w:rPr>
                <w:color w:val="auto"/>
                <w:szCs w:val="21"/>
                <w:highlight w:val="none"/>
              </w:rPr>
              <w:t>饮用水水源保护区 □； 饮用水取水口 □； 涉水的自然保护区 □； 重要湿地 □；重点保护与珍稀水生生物的栖息地□；重要水生生物的自然产卵场及索饵场、越冬场和洄游通道、天然渔场等渔业水体□；涉水的风景名胜区 □； 其他</w:t>
            </w:r>
            <w:r>
              <w:rPr>
                <w:rFonts w:hint="eastAsia" w:ascii="MS Mincho" w:hAnsi="MS Mincho" w:eastAsia="MS Mincho" w:cs="MS Mincho"/>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607" w:type="dxa"/>
            <w:gridSpan w:val="2"/>
            <w:vMerge w:val="restart"/>
            <w:vAlign w:val="center"/>
          </w:tcPr>
          <w:p>
            <w:pPr>
              <w:pStyle w:val="137"/>
              <w:jc w:val="center"/>
              <w:rPr>
                <w:rFonts w:ascii="Times New Roman" w:cs="Times New Roman"/>
                <w:bCs/>
                <w:color w:val="auto"/>
                <w:sz w:val="21"/>
                <w:szCs w:val="21"/>
                <w:highlight w:val="none"/>
              </w:rPr>
            </w:pPr>
            <w:r>
              <w:rPr>
                <w:rFonts w:ascii="Times New Roman" w:cs="Times New Roman"/>
                <w:color w:val="auto"/>
                <w:sz w:val="21"/>
                <w:szCs w:val="21"/>
                <w:highlight w:val="none"/>
              </w:rPr>
              <w:t>影响途径</w:t>
            </w:r>
          </w:p>
        </w:tc>
        <w:tc>
          <w:tcPr>
            <w:tcW w:w="5965" w:type="dxa"/>
            <w:gridSpan w:val="6"/>
            <w:vAlign w:val="center"/>
          </w:tcPr>
          <w:p>
            <w:pPr>
              <w:spacing w:line="300" w:lineRule="exact"/>
              <w:jc w:val="center"/>
              <w:rPr>
                <w:bCs/>
                <w:color w:val="auto"/>
                <w:szCs w:val="21"/>
                <w:highlight w:val="none"/>
              </w:rPr>
            </w:pPr>
            <w:r>
              <w:rPr>
                <w:color w:val="auto"/>
                <w:szCs w:val="21"/>
                <w:highlight w:val="none"/>
              </w:rPr>
              <w:t>水污染影响型</w:t>
            </w:r>
          </w:p>
        </w:tc>
        <w:tc>
          <w:tcPr>
            <w:tcW w:w="5798" w:type="dxa"/>
            <w:gridSpan w:val="5"/>
            <w:vAlign w:val="center"/>
          </w:tcPr>
          <w:p>
            <w:pPr>
              <w:spacing w:line="300" w:lineRule="exact"/>
              <w:jc w:val="center"/>
              <w:rPr>
                <w:bCs/>
                <w:color w:val="auto"/>
                <w:szCs w:val="21"/>
                <w:highlight w:val="none"/>
              </w:rPr>
            </w:pPr>
            <w:r>
              <w:rPr>
                <w:color w:val="auto"/>
                <w:szCs w:val="21"/>
                <w:highlight w:val="none"/>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607" w:type="dxa"/>
            <w:gridSpan w:val="2"/>
            <w:vMerge w:val="continue"/>
            <w:vAlign w:val="center"/>
          </w:tcPr>
          <w:p>
            <w:pPr>
              <w:spacing w:line="300" w:lineRule="exact"/>
              <w:jc w:val="center"/>
              <w:rPr>
                <w:color w:val="auto"/>
                <w:szCs w:val="21"/>
                <w:highlight w:val="none"/>
              </w:rPr>
            </w:pPr>
          </w:p>
        </w:tc>
        <w:tc>
          <w:tcPr>
            <w:tcW w:w="5965" w:type="dxa"/>
            <w:gridSpan w:val="6"/>
            <w:vAlign w:val="center"/>
          </w:tcPr>
          <w:p>
            <w:pPr>
              <w:spacing w:line="300" w:lineRule="exact"/>
              <w:rPr>
                <w:bCs/>
                <w:color w:val="auto"/>
                <w:szCs w:val="21"/>
                <w:highlight w:val="none"/>
              </w:rPr>
            </w:pPr>
            <w:r>
              <w:rPr>
                <w:color w:val="auto"/>
                <w:szCs w:val="21"/>
                <w:highlight w:val="none"/>
              </w:rPr>
              <w:t>直接排放□；间接排放</w:t>
            </w:r>
            <w:r>
              <w:rPr>
                <w:rFonts w:hint="eastAsia" w:ascii="MS Mincho" w:hAnsi="MS Mincho" w:cs="MS Mincho"/>
                <w:color w:val="auto"/>
                <w:szCs w:val="21"/>
                <w:highlight w:val="none"/>
              </w:rPr>
              <w:t>□</w:t>
            </w:r>
            <w:r>
              <w:rPr>
                <w:color w:val="auto"/>
                <w:szCs w:val="21"/>
                <w:highlight w:val="none"/>
              </w:rPr>
              <w:t>；</w:t>
            </w:r>
          </w:p>
        </w:tc>
        <w:tc>
          <w:tcPr>
            <w:tcW w:w="5798" w:type="dxa"/>
            <w:gridSpan w:val="5"/>
            <w:vAlign w:val="center"/>
          </w:tcPr>
          <w:p>
            <w:pPr>
              <w:spacing w:line="300" w:lineRule="exact"/>
              <w:rPr>
                <w:bCs/>
                <w:color w:val="auto"/>
                <w:szCs w:val="21"/>
                <w:highlight w:val="none"/>
              </w:rPr>
            </w:pPr>
            <w:r>
              <w:rPr>
                <w:color w:val="auto"/>
                <w:szCs w:val="21"/>
                <w:highlight w:val="none"/>
              </w:rPr>
              <w:t>其他</w:t>
            </w:r>
            <w:r>
              <w:rPr>
                <w:rFonts w:hint="eastAsia"/>
                <w:color w:val="auto"/>
                <w:szCs w:val="21"/>
                <w:highlight w:val="none"/>
              </w:rPr>
              <w:t>☑</w:t>
            </w:r>
            <w:r>
              <w:rPr>
                <w:color w:val="auto"/>
                <w:szCs w:val="21"/>
                <w:highlight w:val="none"/>
              </w:rPr>
              <w:t xml:space="preserve"> 水温</w:t>
            </w:r>
            <w:r>
              <w:rPr>
                <w:rFonts w:hint="eastAsia"/>
                <w:color w:val="auto"/>
                <w:szCs w:val="21"/>
                <w:highlight w:val="none"/>
              </w:rPr>
              <w:t>□</w:t>
            </w:r>
            <w:r>
              <w:rPr>
                <w:color w:val="auto"/>
                <w:szCs w:val="21"/>
                <w:highlight w:val="none"/>
              </w:rPr>
              <w:t>：径流</w:t>
            </w:r>
            <w:r>
              <w:rPr>
                <w:rFonts w:hint="eastAsia"/>
                <w:color w:val="auto"/>
                <w:szCs w:val="21"/>
                <w:highlight w:val="none"/>
              </w:rPr>
              <w:t>□</w:t>
            </w:r>
            <w:r>
              <w:rPr>
                <w:color w:val="auto"/>
                <w:szCs w:val="21"/>
                <w:highlight w:val="none"/>
              </w:rPr>
              <w:t>；水域面积□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607" w:type="dxa"/>
            <w:gridSpan w:val="2"/>
            <w:vAlign w:val="center"/>
          </w:tcPr>
          <w:p>
            <w:pPr>
              <w:spacing w:line="300" w:lineRule="exact"/>
              <w:jc w:val="center"/>
              <w:rPr>
                <w:color w:val="auto"/>
                <w:szCs w:val="21"/>
                <w:highlight w:val="none"/>
              </w:rPr>
            </w:pPr>
            <w:r>
              <w:rPr>
                <w:color w:val="auto"/>
                <w:szCs w:val="21"/>
                <w:highlight w:val="none"/>
              </w:rPr>
              <w:t>影响因子</w:t>
            </w:r>
          </w:p>
        </w:tc>
        <w:tc>
          <w:tcPr>
            <w:tcW w:w="5965" w:type="dxa"/>
            <w:gridSpan w:val="6"/>
            <w:vAlign w:val="center"/>
          </w:tcPr>
          <w:p>
            <w:pPr>
              <w:spacing w:line="300" w:lineRule="exact"/>
              <w:jc w:val="left"/>
              <w:rPr>
                <w:color w:val="auto"/>
                <w:szCs w:val="21"/>
                <w:highlight w:val="none"/>
              </w:rPr>
            </w:pPr>
            <w:r>
              <w:rPr>
                <w:color w:val="auto"/>
                <w:szCs w:val="21"/>
                <w:highlight w:val="none"/>
              </w:rPr>
              <w:t>持久性污染物 □；有毒有害污染物 □； 非持久性污染物 □；PH 值□；热污染□；富营养化□；其他</w:t>
            </w:r>
            <w:r>
              <w:rPr>
                <w:rFonts w:hint="eastAsia"/>
                <w:color w:val="auto"/>
                <w:szCs w:val="21"/>
                <w:highlight w:val="none"/>
              </w:rPr>
              <w:t>□</w:t>
            </w:r>
          </w:p>
        </w:tc>
        <w:tc>
          <w:tcPr>
            <w:tcW w:w="5798" w:type="dxa"/>
            <w:gridSpan w:val="5"/>
            <w:vAlign w:val="center"/>
          </w:tcPr>
          <w:p>
            <w:pPr>
              <w:spacing w:line="300" w:lineRule="exact"/>
              <w:jc w:val="center"/>
              <w:rPr>
                <w:bCs/>
                <w:color w:val="auto"/>
                <w:szCs w:val="21"/>
                <w:highlight w:val="none"/>
              </w:rPr>
            </w:pPr>
            <w:r>
              <w:rPr>
                <w:color w:val="auto"/>
                <w:szCs w:val="21"/>
                <w:highlight w:val="none"/>
              </w:rPr>
              <w:t>水温</w:t>
            </w:r>
            <w:r>
              <w:rPr>
                <w:rFonts w:hint="eastAsia"/>
                <w:color w:val="auto"/>
                <w:szCs w:val="21"/>
                <w:highlight w:val="none"/>
              </w:rPr>
              <w:t>□</w:t>
            </w:r>
            <w:r>
              <w:rPr>
                <w:color w:val="auto"/>
                <w:szCs w:val="21"/>
                <w:highlight w:val="none"/>
              </w:rPr>
              <w:t>；水位（水深） □；流速 □；流量□；其他</w:t>
            </w:r>
            <w:r>
              <w:rPr>
                <w:rFonts w:hint="eastAsia"/>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70" w:type="dxa"/>
            <w:gridSpan w:val="3"/>
            <w:vMerge w:val="restart"/>
            <w:vAlign w:val="center"/>
          </w:tcPr>
          <w:p>
            <w:pPr>
              <w:spacing w:line="300" w:lineRule="exact"/>
              <w:jc w:val="center"/>
              <w:rPr>
                <w:color w:val="auto"/>
                <w:szCs w:val="21"/>
                <w:highlight w:val="none"/>
              </w:rPr>
            </w:pPr>
            <w:r>
              <w:rPr>
                <w:color w:val="auto"/>
                <w:szCs w:val="21"/>
                <w:highlight w:val="none"/>
              </w:rPr>
              <w:t>评价等级</w:t>
            </w:r>
          </w:p>
        </w:tc>
        <w:tc>
          <w:tcPr>
            <w:tcW w:w="5965" w:type="dxa"/>
            <w:gridSpan w:val="6"/>
            <w:vAlign w:val="center"/>
          </w:tcPr>
          <w:p>
            <w:pPr>
              <w:spacing w:line="300" w:lineRule="exact"/>
              <w:jc w:val="center"/>
              <w:rPr>
                <w:color w:val="auto"/>
                <w:szCs w:val="21"/>
                <w:highlight w:val="none"/>
              </w:rPr>
            </w:pPr>
            <w:r>
              <w:rPr>
                <w:color w:val="auto"/>
                <w:szCs w:val="21"/>
                <w:highlight w:val="none"/>
              </w:rPr>
              <w:t>水污染影响型</w:t>
            </w:r>
          </w:p>
        </w:tc>
        <w:tc>
          <w:tcPr>
            <w:tcW w:w="5798" w:type="dxa"/>
            <w:gridSpan w:val="5"/>
            <w:vAlign w:val="center"/>
          </w:tcPr>
          <w:p>
            <w:pPr>
              <w:spacing w:line="300" w:lineRule="exact"/>
              <w:jc w:val="center"/>
              <w:rPr>
                <w:bCs/>
                <w:color w:val="auto"/>
                <w:szCs w:val="21"/>
                <w:highlight w:val="none"/>
              </w:rPr>
            </w:pPr>
            <w:r>
              <w:rPr>
                <w:color w:val="auto"/>
                <w:szCs w:val="21"/>
                <w:highlight w:val="none"/>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70" w:type="dxa"/>
            <w:gridSpan w:val="3"/>
            <w:vMerge w:val="continue"/>
            <w:vAlign w:val="center"/>
          </w:tcPr>
          <w:p>
            <w:pPr>
              <w:spacing w:line="300" w:lineRule="exact"/>
              <w:jc w:val="center"/>
              <w:rPr>
                <w:color w:val="auto"/>
                <w:szCs w:val="21"/>
                <w:highlight w:val="none"/>
              </w:rPr>
            </w:pPr>
          </w:p>
        </w:tc>
        <w:tc>
          <w:tcPr>
            <w:tcW w:w="5965" w:type="dxa"/>
            <w:gridSpan w:val="6"/>
            <w:vAlign w:val="center"/>
          </w:tcPr>
          <w:p>
            <w:pPr>
              <w:spacing w:line="300" w:lineRule="exact"/>
              <w:jc w:val="center"/>
              <w:rPr>
                <w:color w:val="auto"/>
                <w:szCs w:val="21"/>
                <w:highlight w:val="none"/>
              </w:rPr>
            </w:pPr>
            <w:r>
              <w:rPr>
                <w:color w:val="auto"/>
                <w:szCs w:val="21"/>
                <w:highlight w:val="none"/>
              </w:rPr>
              <w:t xml:space="preserve">一级 □；二级 </w:t>
            </w:r>
            <w:r>
              <w:rPr>
                <w:rFonts w:hint="eastAsia"/>
                <w:color w:val="auto"/>
                <w:szCs w:val="21"/>
                <w:highlight w:val="none"/>
                <w:lang w:eastAsia="zh-CN"/>
              </w:rPr>
              <w:t>☑</w:t>
            </w:r>
            <w:r>
              <w:rPr>
                <w:color w:val="auto"/>
                <w:szCs w:val="21"/>
                <w:highlight w:val="none"/>
              </w:rPr>
              <w:t xml:space="preserve">；三级 A </w:t>
            </w:r>
            <w:r>
              <w:rPr>
                <w:rFonts w:hint="eastAsia"/>
                <w:color w:val="auto"/>
                <w:szCs w:val="21"/>
                <w:highlight w:val="none"/>
                <w:lang w:eastAsia="zh-CN"/>
              </w:rPr>
              <w:t>□</w:t>
            </w:r>
            <w:r>
              <w:rPr>
                <w:color w:val="auto"/>
                <w:szCs w:val="21"/>
                <w:highlight w:val="none"/>
              </w:rPr>
              <w:t xml:space="preserve">：三级 B </w:t>
            </w:r>
            <w:r>
              <w:rPr>
                <w:rFonts w:hint="eastAsia" w:ascii="MS Mincho" w:hAnsi="MS Mincho" w:cs="MS Mincho"/>
                <w:color w:val="auto"/>
                <w:szCs w:val="21"/>
                <w:highlight w:val="none"/>
              </w:rPr>
              <w:t>□</w:t>
            </w:r>
          </w:p>
        </w:tc>
        <w:tc>
          <w:tcPr>
            <w:tcW w:w="5798" w:type="dxa"/>
            <w:gridSpan w:val="5"/>
            <w:vAlign w:val="center"/>
          </w:tcPr>
          <w:p>
            <w:pPr>
              <w:spacing w:line="300" w:lineRule="exact"/>
              <w:jc w:val="center"/>
              <w:rPr>
                <w:rFonts w:hint="eastAsia" w:eastAsia="宋体"/>
                <w:bCs/>
                <w:color w:val="auto"/>
                <w:szCs w:val="21"/>
                <w:highlight w:val="none"/>
                <w:lang w:eastAsia="zh-CN"/>
              </w:rPr>
            </w:pPr>
            <w:r>
              <w:rPr>
                <w:color w:val="auto"/>
                <w:szCs w:val="21"/>
                <w:highlight w:val="none"/>
              </w:rPr>
              <w:t>一级□；二级</w:t>
            </w:r>
            <w:r>
              <w:rPr>
                <w:rFonts w:hint="eastAsia"/>
                <w:color w:val="auto"/>
                <w:szCs w:val="21"/>
                <w:highlight w:val="none"/>
                <w:lang w:eastAsia="zh-CN"/>
              </w:rPr>
              <w:t>☑</w:t>
            </w:r>
            <w:r>
              <w:rPr>
                <w:color w:val="auto"/>
                <w:szCs w:val="21"/>
                <w:highlight w:val="none"/>
              </w:rPr>
              <w:t>；三级</w:t>
            </w:r>
            <w:r>
              <w:rPr>
                <w:rFonts w:hint="eastAsia"/>
                <w:color w:val="auto"/>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restart"/>
            <w:vAlign w:val="center"/>
          </w:tcPr>
          <w:p>
            <w:pPr>
              <w:spacing w:line="300" w:lineRule="exact"/>
              <w:jc w:val="center"/>
              <w:rPr>
                <w:color w:val="000000"/>
                <w:szCs w:val="21"/>
                <w:highlight w:val="none"/>
              </w:rPr>
            </w:pPr>
            <w:r>
              <w:rPr>
                <w:color w:val="000000"/>
                <w:szCs w:val="21"/>
                <w:highlight w:val="none"/>
              </w:rPr>
              <w:t>现状</w:t>
            </w:r>
          </w:p>
          <w:p>
            <w:pPr>
              <w:spacing w:line="300" w:lineRule="exact"/>
              <w:jc w:val="center"/>
              <w:rPr>
                <w:color w:val="000000"/>
                <w:szCs w:val="21"/>
                <w:highlight w:val="none"/>
              </w:rPr>
            </w:pPr>
            <w:r>
              <w:rPr>
                <w:color w:val="000000"/>
                <w:szCs w:val="21"/>
                <w:highlight w:val="none"/>
              </w:rPr>
              <w:t>调查</w:t>
            </w:r>
          </w:p>
        </w:tc>
        <w:tc>
          <w:tcPr>
            <w:tcW w:w="1607" w:type="dxa"/>
            <w:gridSpan w:val="2"/>
            <w:vMerge w:val="restart"/>
            <w:vAlign w:val="center"/>
          </w:tcPr>
          <w:p>
            <w:pPr>
              <w:spacing w:line="300" w:lineRule="exact"/>
              <w:jc w:val="center"/>
              <w:rPr>
                <w:color w:val="auto"/>
                <w:szCs w:val="21"/>
                <w:highlight w:val="none"/>
              </w:rPr>
            </w:pPr>
            <w:r>
              <w:rPr>
                <w:color w:val="auto"/>
                <w:szCs w:val="21"/>
                <w:highlight w:val="none"/>
              </w:rPr>
              <w:t>区域污染源</w:t>
            </w:r>
          </w:p>
        </w:tc>
        <w:tc>
          <w:tcPr>
            <w:tcW w:w="5965" w:type="dxa"/>
            <w:gridSpan w:val="6"/>
            <w:vAlign w:val="center"/>
          </w:tcPr>
          <w:p>
            <w:pPr>
              <w:spacing w:line="300" w:lineRule="exact"/>
              <w:jc w:val="center"/>
              <w:rPr>
                <w:color w:val="auto"/>
                <w:szCs w:val="21"/>
                <w:highlight w:val="none"/>
              </w:rPr>
            </w:pPr>
            <w:r>
              <w:rPr>
                <w:color w:val="auto"/>
                <w:szCs w:val="21"/>
                <w:highlight w:val="none"/>
              </w:rPr>
              <w:t>调查项目</w:t>
            </w:r>
          </w:p>
        </w:tc>
        <w:tc>
          <w:tcPr>
            <w:tcW w:w="5798" w:type="dxa"/>
            <w:gridSpan w:val="5"/>
            <w:vAlign w:val="center"/>
          </w:tcPr>
          <w:p>
            <w:pPr>
              <w:pStyle w:val="137"/>
              <w:jc w:val="center"/>
              <w:rPr>
                <w:rFonts w:ascii="Times New Roman" w:cs="Times New Roman"/>
                <w:bCs/>
                <w:color w:val="auto"/>
                <w:sz w:val="21"/>
                <w:szCs w:val="21"/>
                <w:highlight w:val="none"/>
              </w:rPr>
            </w:pPr>
            <w:r>
              <w:rPr>
                <w:rFonts w:ascii="Times New Roman" w:cs="Times New Roman"/>
                <w:color w:val="auto"/>
                <w:sz w:val="21"/>
                <w:szCs w:val="21"/>
                <w:highlight w:val="none"/>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607" w:type="dxa"/>
            <w:gridSpan w:val="2"/>
            <w:vMerge w:val="continue"/>
            <w:vAlign w:val="center"/>
          </w:tcPr>
          <w:p>
            <w:pPr>
              <w:spacing w:line="300" w:lineRule="exact"/>
              <w:jc w:val="center"/>
              <w:rPr>
                <w:color w:val="auto"/>
                <w:szCs w:val="21"/>
                <w:highlight w:val="none"/>
              </w:rPr>
            </w:pPr>
          </w:p>
        </w:tc>
        <w:tc>
          <w:tcPr>
            <w:tcW w:w="3392" w:type="dxa"/>
            <w:gridSpan w:val="2"/>
            <w:vAlign w:val="center"/>
          </w:tcPr>
          <w:p>
            <w:pPr>
              <w:pStyle w:val="137"/>
              <w:rPr>
                <w:rFonts w:ascii="Times New Roman" w:cs="Times New Roman"/>
                <w:color w:val="auto"/>
                <w:sz w:val="21"/>
                <w:szCs w:val="21"/>
                <w:highlight w:val="none"/>
              </w:rPr>
            </w:pPr>
            <w:r>
              <w:rPr>
                <w:rFonts w:ascii="Times New Roman" w:cs="Times New Roman"/>
                <w:color w:val="auto"/>
                <w:sz w:val="21"/>
                <w:szCs w:val="21"/>
                <w:highlight w:val="none"/>
              </w:rPr>
              <w:t>已建</w:t>
            </w:r>
            <w:r>
              <w:rPr>
                <w:rFonts w:hint="eastAsia" w:ascii="MS Mincho" w:hAnsi="MS Mincho" w:cs="MS Mincho"/>
                <w:color w:val="auto"/>
                <w:szCs w:val="21"/>
                <w:highlight w:val="none"/>
                <w:lang w:eastAsia="zh-CN"/>
              </w:rPr>
              <w:t>☑</w:t>
            </w:r>
            <w:r>
              <w:rPr>
                <w:rFonts w:ascii="Times New Roman" w:cs="Times New Roman"/>
                <w:color w:val="auto"/>
                <w:sz w:val="21"/>
                <w:szCs w:val="21"/>
                <w:highlight w:val="none"/>
              </w:rPr>
              <w:t>；在建□；拟建□；其他□</w:t>
            </w:r>
          </w:p>
        </w:tc>
        <w:tc>
          <w:tcPr>
            <w:tcW w:w="2573" w:type="dxa"/>
            <w:gridSpan w:val="4"/>
            <w:vAlign w:val="center"/>
          </w:tcPr>
          <w:p>
            <w:pPr>
              <w:pStyle w:val="137"/>
              <w:jc w:val="center"/>
              <w:rPr>
                <w:rFonts w:ascii="Times New Roman" w:cs="Times New Roman"/>
                <w:color w:val="auto"/>
                <w:szCs w:val="21"/>
                <w:highlight w:val="none"/>
              </w:rPr>
            </w:pPr>
            <w:r>
              <w:rPr>
                <w:rFonts w:ascii="Times New Roman" w:cs="Times New Roman"/>
                <w:color w:val="auto"/>
                <w:sz w:val="21"/>
                <w:szCs w:val="21"/>
                <w:highlight w:val="none"/>
              </w:rPr>
              <w:t>拟替代的污染源□</w:t>
            </w:r>
          </w:p>
        </w:tc>
        <w:tc>
          <w:tcPr>
            <w:tcW w:w="5798" w:type="dxa"/>
            <w:gridSpan w:val="5"/>
            <w:vAlign w:val="center"/>
          </w:tcPr>
          <w:p>
            <w:pPr>
              <w:pStyle w:val="137"/>
              <w:rPr>
                <w:rFonts w:ascii="Times New Roman" w:cs="Times New Roman"/>
                <w:color w:val="auto"/>
                <w:sz w:val="21"/>
                <w:szCs w:val="21"/>
                <w:highlight w:val="none"/>
              </w:rPr>
            </w:pPr>
            <w:r>
              <w:rPr>
                <w:rFonts w:ascii="Times New Roman" w:cs="Times New Roman"/>
                <w:color w:val="auto"/>
                <w:sz w:val="21"/>
                <w:szCs w:val="21"/>
                <w:highlight w:val="none"/>
              </w:rPr>
              <w:t>排污许可证□；环评</w:t>
            </w:r>
            <w:r>
              <w:rPr>
                <w:rFonts w:hint="eastAsia" w:ascii="MS Mincho" w:hAnsi="MS Mincho" w:cs="MS Mincho"/>
                <w:color w:val="auto"/>
                <w:szCs w:val="21"/>
                <w:highlight w:val="none"/>
              </w:rPr>
              <w:t>□</w:t>
            </w:r>
            <w:r>
              <w:rPr>
                <w:rFonts w:ascii="Times New Roman" w:cs="Times New Roman"/>
                <w:color w:val="auto"/>
                <w:sz w:val="21"/>
                <w:szCs w:val="21"/>
                <w:highlight w:val="none"/>
              </w:rPr>
              <w:t xml:space="preserve">；环保验收□；既有实测□；现场监测□；入河排放口数据□；其他 </w:t>
            </w:r>
            <w:r>
              <w:rPr>
                <w:rFonts w:hint="eastAsia" w:ascii="Times New Roman"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607" w:type="dxa"/>
            <w:gridSpan w:val="2"/>
            <w:vMerge w:val="restart"/>
            <w:vAlign w:val="center"/>
          </w:tcPr>
          <w:p>
            <w:pPr>
              <w:pStyle w:val="137"/>
              <w:rPr>
                <w:rFonts w:ascii="Times New Roman" w:cs="Times New Roman"/>
                <w:color w:val="auto"/>
                <w:sz w:val="21"/>
                <w:szCs w:val="21"/>
                <w:highlight w:val="none"/>
              </w:rPr>
            </w:pPr>
            <w:r>
              <w:rPr>
                <w:rFonts w:ascii="Times New Roman" w:cs="Times New Roman"/>
                <w:color w:val="auto"/>
                <w:sz w:val="21"/>
                <w:szCs w:val="21"/>
                <w:highlight w:val="none"/>
              </w:rPr>
              <w:t>受影响水体水环境质量</w:t>
            </w:r>
          </w:p>
        </w:tc>
        <w:tc>
          <w:tcPr>
            <w:tcW w:w="5965" w:type="dxa"/>
            <w:gridSpan w:val="6"/>
            <w:vAlign w:val="center"/>
          </w:tcPr>
          <w:p>
            <w:pPr>
              <w:spacing w:line="300" w:lineRule="exact"/>
              <w:jc w:val="center"/>
              <w:rPr>
                <w:color w:val="auto"/>
                <w:szCs w:val="21"/>
                <w:highlight w:val="none"/>
              </w:rPr>
            </w:pPr>
            <w:r>
              <w:rPr>
                <w:color w:val="auto"/>
                <w:szCs w:val="21"/>
                <w:highlight w:val="none"/>
              </w:rPr>
              <w:t>调查时期</w:t>
            </w:r>
          </w:p>
        </w:tc>
        <w:tc>
          <w:tcPr>
            <w:tcW w:w="5798" w:type="dxa"/>
            <w:gridSpan w:val="5"/>
            <w:vAlign w:val="center"/>
          </w:tcPr>
          <w:p>
            <w:pPr>
              <w:spacing w:line="300" w:lineRule="exact"/>
              <w:jc w:val="center"/>
              <w:rPr>
                <w:color w:val="auto"/>
                <w:szCs w:val="21"/>
                <w:highlight w:val="none"/>
              </w:rPr>
            </w:pPr>
            <w:r>
              <w:rPr>
                <w:color w:val="auto"/>
                <w:szCs w:val="21"/>
                <w:highlight w:val="none"/>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607" w:type="dxa"/>
            <w:gridSpan w:val="2"/>
            <w:vMerge w:val="continue"/>
            <w:tcBorders>
              <w:bottom w:val="single" w:color="auto" w:sz="4" w:space="0"/>
            </w:tcBorders>
            <w:vAlign w:val="center"/>
          </w:tcPr>
          <w:p>
            <w:pPr>
              <w:spacing w:line="300" w:lineRule="exact"/>
              <w:jc w:val="center"/>
              <w:rPr>
                <w:color w:val="auto"/>
                <w:szCs w:val="21"/>
                <w:highlight w:val="none"/>
              </w:rPr>
            </w:pPr>
          </w:p>
        </w:tc>
        <w:tc>
          <w:tcPr>
            <w:tcW w:w="5965" w:type="dxa"/>
            <w:gridSpan w:val="6"/>
            <w:tcBorders>
              <w:top w:val="single" w:color="auto" w:sz="4" w:space="0"/>
              <w:bottom w:val="single" w:color="auto" w:sz="4" w:space="0"/>
              <w:right w:val="single" w:color="auto" w:sz="4" w:space="0"/>
            </w:tcBorders>
            <w:vAlign w:val="center"/>
          </w:tcPr>
          <w:p>
            <w:pPr>
              <w:pStyle w:val="137"/>
              <w:rPr>
                <w:rFonts w:ascii="Times New Roman" w:cs="Times New Roman"/>
                <w:color w:val="auto"/>
                <w:sz w:val="21"/>
                <w:szCs w:val="21"/>
                <w:highlight w:val="none"/>
              </w:rPr>
            </w:pPr>
            <w:r>
              <w:rPr>
                <w:rFonts w:ascii="Times New Roman" w:cs="Times New Roman"/>
                <w:color w:val="auto"/>
                <w:sz w:val="21"/>
                <w:szCs w:val="21"/>
                <w:highlight w:val="none"/>
              </w:rPr>
              <w:t>丰水期</w:t>
            </w:r>
            <w:r>
              <w:rPr>
                <w:rFonts w:hint="eastAsia" w:ascii="Times New Roman" w:cs="Times New Roman"/>
                <w:color w:val="auto"/>
                <w:sz w:val="21"/>
                <w:szCs w:val="21"/>
                <w:highlight w:val="none"/>
                <w:lang w:eastAsia="zh-CN"/>
              </w:rPr>
              <w:t>☑</w:t>
            </w:r>
            <w:r>
              <w:rPr>
                <w:rFonts w:ascii="Times New Roman" w:cs="Times New Roman"/>
                <w:color w:val="auto"/>
                <w:sz w:val="21"/>
                <w:szCs w:val="21"/>
                <w:highlight w:val="none"/>
              </w:rPr>
              <w:t>；平水期□；枯水期</w:t>
            </w:r>
            <w:r>
              <w:rPr>
                <w:rFonts w:hint="eastAsia" w:ascii="Times New Roman" w:cs="Times New Roman"/>
                <w:color w:val="auto"/>
                <w:sz w:val="21"/>
                <w:szCs w:val="21"/>
                <w:highlight w:val="none"/>
                <w:lang w:eastAsia="zh-CN"/>
              </w:rPr>
              <w:t>□</w:t>
            </w:r>
            <w:r>
              <w:rPr>
                <w:rFonts w:ascii="Times New Roman" w:cs="Times New Roman"/>
                <w:color w:val="auto"/>
                <w:sz w:val="21"/>
                <w:szCs w:val="21"/>
                <w:highlight w:val="none"/>
              </w:rPr>
              <w:t>；冰封期□春季</w:t>
            </w:r>
            <w:r>
              <w:rPr>
                <w:rFonts w:hint="eastAsia" w:ascii="Times New Roman" w:cs="Times New Roman"/>
                <w:color w:val="auto"/>
                <w:sz w:val="21"/>
                <w:szCs w:val="21"/>
                <w:highlight w:val="none"/>
                <w:lang w:eastAsia="zh-CN"/>
              </w:rPr>
              <w:t>□</w:t>
            </w:r>
            <w:r>
              <w:rPr>
                <w:rFonts w:ascii="Times New Roman" w:cs="Times New Roman"/>
                <w:color w:val="auto"/>
                <w:sz w:val="21"/>
                <w:szCs w:val="21"/>
                <w:highlight w:val="none"/>
              </w:rPr>
              <w:t>；夏季</w:t>
            </w:r>
            <w:r>
              <w:rPr>
                <w:rFonts w:hint="eastAsia" w:ascii="Times New Roman" w:cs="Times New Roman"/>
                <w:color w:val="auto"/>
                <w:sz w:val="21"/>
                <w:szCs w:val="21"/>
                <w:highlight w:val="none"/>
                <w:lang w:eastAsia="zh-CN"/>
              </w:rPr>
              <w:t>☑</w:t>
            </w:r>
            <w:r>
              <w:rPr>
                <w:rFonts w:ascii="Times New Roman" w:cs="Times New Roman"/>
                <w:color w:val="auto"/>
                <w:sz w:val="21"/>
                <w:szCs w:val="21"/>
                <w:highlight w:val="none"/>
              </w:rPr>
              <w:t>；秋季</w:t>
            </w:r>
            <w:r>
              <w:rPr>
                <w:rFonts w:hint="eastAsia" w:ascii="Times New Roman" w:cs="Times New Roman"/>
                <w:color w:val="auto"/>
                <w:sz w:val="21"/>
                <w:szCs w:val="21"/>
                <w:highlight w:val="none"/>
                <w:lang w:eastAsia="zh-CN"/>
              </w:rPr>
              <w:t>□</w:t>
            </w:r>
            <w:r>
              <w:rPr>
                <w:rFonts w:ascii="Times New Roman" w:cs="Times New Roman"/>
                <w:color w:val="auto"/>
                <w:sz w:val="21"/>
                <w:szCs w:val="21"/>
                <w:highlight w:val="none"/>
              </w:rPr>
              <w:t>；冬季□</w:t>
            </w:r>
          </w:p>
        </w:tc>
        <w:tc>
          <w:tcPr>
            <w:tcW w:w="5798" w:type="dxa"/>
            <w:gridSpan w:val="5"/>
            <w:tcBorders>
              <w:top w:val="single" w:color="auto" w:sz="4" w:space="0"/>
              <w:left w:val="single" w:color="auto" w:sz="4" w:space="0"/>
              <w:bottom w:val="single" w:color="auto" w:sz="4" w:space="0"/>
              <w:right w:val="single" w:color="auto" w:sz="4" w:space="0"/>
            </w:tcBorders>
            <w:vAlign w:val="center"/>
          </w:tcPr>
          <w:p>
            <w:pPr>
              <w:pStyle w:val="137"/>
              <w:rPr>
                <w:rFonts w:ascii="Times New Roman" w:cs="Times New Roman"/>
                <w:color w:val="auto"/>
                <w:sz w:val="21"/>
                <w:szCs w:val="21"/>
                <w:highlight w:val="none"/>
              </w:rPr>
            </w:pPr>
            <w:r>
              <w:rPr>
                <w:rFonts w:ascii="Times New Roman" w:cs="Times New Roman"/>
                <w:color w:val="auto"/>
                <w:sz w:val="21"/>
                <w:szCs w:val="21"/>
                <w:highlight w:val="none"/>
              </w:rPr>
              <w:t xml:space="preserve">生态环境保护主管部门 □； 补充监测 </w:t>
            </w:r>
            <w:r>
              <w:rPr>
                <w:rFonts w:hint="eastAsia" w:ascii="Times New Roman" w:cs="Times New Roman"/>
                <w:color w:val="auto"/>
                <w:sz w:val="21"/>
                <w:szCs w:val="21"/>
                <w:highlight w:val="none"/>
              </w:rPr>
              <w:t>☑</w:t>
            </w:r>
            <w:r>
              <w:rPr>
                <w:rFonts w:ascii="Times New Roman" w:cs="Times New Roman"/>
                <w:color w:val="auto"/>
                <w:sz w:val="21"/>
                <w:szCs w:val="21"/>
                <w:highlight w:val="none"/>
              </w:rPr>
              <w:t>；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607" w:type="dxa"/>
            <w:gridSpan w:val="2"/>
            <w:tcBorders>
              <w:top w:val="single" w:color="auto" w:sz="4" w:space="0"/>
              <w:bottom w:val="single" w:color="auto" w:sz="4" w:space="0"/>
              <w:right w:val="single" w:color="auto" w:sz="4" w:space="0"/>
            </w:tcBorders>
            <w:vAlign w:val="center"/>
          </w:tcPr>
          <w:p>
            <w:pPr>
              <w:spacing w:line="300" w:lineRule="exact"/>
              <w:jc w:val="left"/>
              <w:rPr>
                <w:color w:val="auto"/>
                <w:szCs w:val="21"/>
                <w:highlight w:val="none"/>
              </w:rPr>
            </w:pPr>
            <w:r>
              <w:rPr>
                <w:color w:val="auto"/>
                <w:szCs w:val="21"/>
                <w:highlight w:val="none"/>
              </w:rPr>
              <w:t>区域水资源开发利用状况</w:t>
            </w:r>
          </w:p>
        </w:tc>
        <w:tc>
          <w:tcPr>
            <w:tcW w:w="11763" w:type="dxa"/>
            <w:gridSpan w:val="11"/>
            <w:tcBorders>
              <w:top w:val="single" w:color="auto" w:sz="4" w:space="0"/>
              <w:left w:val="single" w:color="auto" w:sz="4" w:space="0"/>
              <w:bottom w:val="single" w:color="auto" w:sz="4" w:space="0"/>
              <w:right w:val="single" w:color="auto" w:sz="4" w:space="0"/>
            </w:tcBorders>
            <w:vAlign w:val="center"/>
          </w:tcPr>
          <w:p>
            <w:pPr>
              <w:spacing w:line="300" w:lineRule="exact"/>
              <w:jc w:val="left"/>
              <w:rPr>
                <w:color w:val="auto"/>
                <w:szCs w:val="21"/>
                <w:highlight w:val="none"/>
              </w:rPr>
            </w:pPr>
            <w:r>
              <w:rPr>
                <w:color w:val="auto"/>
                <w:szCs w:val="21"/>
                <w:highlight w:val="none"/>
              </w:rPr>
              <w:t>未开发□；开发量 40%以下□；开发量 40%以上</w:t>
            </w:r>
            <w:r>
              <w:rPr>
                <w:rFonts w:hint="eastAsia"/>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607" w:type="dxa"/>
            <w:gridSpan w:val="2"/>
            <w:vMerge w:val="restart"/>
            <w:tcBorders>
              <w:top w:val="single" w:color="auto" w:sz="4" w:space="0"/>
              <w:right w:val="single" w:color="auto" w:sz="4" w:space="0"/>
            </w:tcBorders>
            <w:vAlign w:val="center"/>
          </w:tcPr>
          <w:p>
            <w:pPr>
              <w:pStyle w:val="137"/>
              <w:rPr>
                <w:rFonts w:ascii="Times New Roman" w:cs="Times New Roman"/>
                <w:color w:val="auto"/>
                <w:sz w:val="21"/>
                <w:szCs w:val="21"/>
                <w:highlight w:val="none"/>
              </w:rPr>
            </w:pPr>
            <w:r>
              <w:rPr>
                <w:rFonts w:ascii="Times New Roman" w:cs="Times New Roman"/>
                <w:color w:val="auto"/>
                <w:sz w:val="21"/>
                <w:szCs w:val="21"/>
                <w:highlight w:val="none"/>
              </w:rPr>
              <w:t>水文情势调查</w:t>
            </w:r>
          </w:p>
        </w:tc>
        <w:tc>
          <w:tcPr>
            <w:tcW w:w="5965" w:type="dxa"/>
            <w:gridSpan w:val="6"/>
            <w:tcBorders>
              <w:top w:val="single" w:color="auto" w:sz="4" w:space="0"/>
              <w:left w:val="single" w:color="auto" w:sz="4" w:space="0"/>
              <w:bottom w:val="single" w:color="auto" w:sz="4" w:space="0"/>
              <w:right w:val="single" w:color="auto" w:sz="4" w:space="0"/>
            </w:tcBorders>
            <w:vAlign w:val="center"/>
          </w:tcPr>
          <w:p>
            <w:pPr>
              <w:spacing w:line="300" w:lineRule="exact"/>
              <w:jc w:val="center"/>
              <w:rPr>
                <w:color w:val="auto"/>
                <w:szCs w:val="21"/>
                <w:highlight w:val="none"/>
              </w:rPr>
            </w:pPr>
            <w:r>
              <w:rPr>
                <w:color w:val="auto"/>
                <w:szCs w:val="21"/>
                <w:highlight w:val="none"/>
              </w:rPr>
              <w:t>调查时期</w:t>
            </w:r>
          </w:p>
        </w:tc>
        <w:tc>
          <w:tcPr>
            <w:tcW w:w="5798" w:type="dxa"/>
            <w:gridSpan w:val="5"/>
            <w:tcBorders>
              <w:top w:val="single" w:color="auto" w:sz="4" w:space="0"/>
              <w:left w:val="single" w:color="auto" w:sz="4" w:space="0"/>
              <w:bottom w:val="single" w:color="auto" w:sz="4" w:space="0"/>
              <w:right w:val="single" w:color="auto" w:sz="4" w:space="0"/>
            </w:tcBorders>
            <w:vAlign w:val="center"/>
          </w:tcPr>
          <w:p>
            <w:pPr>
              <w:pStyle w:val="137"/>
              <w:jc w:val="center"/>
              <w:rPr>
                <w:rFonts w:ascii="Times New Roman" w:cs="Times New Roman"/>
                <w:color w:val="auto"/>
                <w:sz w:val="21"/>
                <w:szCs w:val="21"/>
                <w:highlight w:val="none"/>
              </w:rPr>
            </w:pPr>
            <w:r>
              <w:rPr>
                <w:rFonts w:ascii="Times New Roman" w:cs="Times New Roman"/>
                <w:color w:val="auto"/>
                <w:sz w:val="21"/>
                <w:szCs w:val="21"/>
                <w:highlight w:val="none"/>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607" w:type="dxa"/>
            <w:gridSpan w:val="2"/>
            <w:vMerge w:val="continue"/>
            <w:tcBorders>
              <w:bottom w:val="single" w:color="auto" w:sz="4" w:space="0"/>
              <w:right w:val="single" w:color="auto" w:sz="4" w:space="0"/>
            </w:tcBorders>
            <w:vAlign w:val="center"/>
          </w:tcPr>
          <w:p>
            <w:pPr>
              <w:spacing w:line="300" w:lineRule="exact"/>
              <w:jc w:val="center"/>
              <w:rPr>
                <w:color w:val="auto"/>
                <w:szCs w:val="21"/>
                <w:highlight w:val="none"/>
              </w:rPr>
            </w:pPr>
          </w:p>
        </w:tc>
        <w:tc>
          <w:tcPr>
            <w:tcW w:w="5965" w:type="dxa"/>
            <w:gridSpan w:val="6"/>
            <w:tcBorders>
              <w:top w:val="single" w:color="auto" w:sz="4" w:space="0"/>
              <w:left w:val="single" w:color="auto" w:sz="4" w:space="0"/>
              <w:bottom w:val="single" w:color="auto" w:sz="4" w:space="0"/>
              <w:right w:val="single" w:color="auto" w:sz="4" w:space="0"/>
            </w:tcBorders>
            <w:vAlign w:val="center"/>
          </w:tcPr>
          <w:p>
            <w:pPr>
              <w:pStyle w:val="137"/>
              <w:rPr>
                <w:rFonts w:ascii="Times New Roman" w:cs="Times New Roman"/>
                <w:color w:val="auto"/>
                <w:sz w:val="21"/>
                <w:szCs w:val="21"/>
                <w:highlight w:val="none"/>
              </w:rPr>
            </w:pPr>
            <w:r>
              <w:rPr>
                <w:rFonts w:ascii="Times New Roman" w:cs="Times New Roman"/>
                <w:color w:val="auto"/>
                <w:sz w:val="21"/>
                <w:szCs w:val="21"/>
                <w:highlight w:val="none"/>
              </w:rPr>
              <w:t xml:space="preserve">丰水期 </w:t>
            </w:r>
            <w:r>
              <w:rPr>
                <w:rFonts w:hint="eastAsia" w:ascii="Times New Roman" w:cs="Times New Roman"/>
                <w:color w:val="auto"/>
                <w:sz w:val="21"/>
                <w:szCs w:val="21"/>
                <w:highlight w:val="none"/>
                <w:lang w:eastAsia="zh-CN"/>
              </w:rPr>
              <w:t>□</w:t>
            </w:r>
            <w:r>
              <w:rPr>
                <w:rFonts w:ascii="Times New Roman" w:cs="Times New Roman"/>
                <w:color w:val="auto"/>
                <w:sz w:val="21"/>
                <w:szCs w:val="21"/>
                <w:highlight w:val="none"/>
              </w:rPr>
              <w:t xml:space="preserve">；平水期 □； 枯水期 </w:t>
            </w:r>
            <w:r>
              <w:rPr>
                <w:rFonts w:hint="eastAsia" w:ascii="Times New Roman" w:cs="Times New Roman"/>
                <w:color w:val="auto"/>
                <w:sz w:val="21"/>
                <w:szCs w:val="21"/>
                <w:highlight w:val="none"/>
                <w:lang w:eastAsia="zh-CN"/>
              </w:rPr>
              <w:t>☑</w:t>
            </w:r>
            <w:r>
              <w:rPr>
                <w:rFonts w:ascii="Times New Roman" w:cs="Times New Roman"/>
                <w:color w:val="auto"/>
                <w:sz w:val="21"/>
                <w:szCs w:val="21"/>
                <w:highlight w:val="none"/>
              </w:rPr>
              <w:t>； 冰封期 （）春季□；夏季</w:t>
            </w:r>
            <w:r>
              <w:rPr>
                <w:rFonts w:hint="eastAsia" w:ascii="Times New Roman" w:cs="Times New Roman"/>
                <w:color w:val="auto"/>
                <w:sz w:val="21"/>
                <w:szCs w:val="21"/>
                <w:highlight w:val="none"/>
                <w:lang w:eastAsia="zh-CN"/>
              </w:rPr>
              <w:t>☑</w:t>
            </w:r>
            <w:r>
              <w:rPr>
                <w:rFonts w:ascii="Times New Roman" w:cs="Times New Roman"/>
                <w:color w:val="auto"/>
                <w:sz w:val="21"/>
                <w:szCs w:val="21"/>
                <w:highlight w:val="none"/>
              </w:rPr>
              <w:t>；秋季□；冬季□</w:t>
            </w:r>
          </w:p>
        </w:tc>
        <w:tc>
          <w:tcPr>
            <w:tcW w:w="5798" w:type="dxa"/>
            <w:gridSpan w:val="5"/>
            <w:tcBorders>
              <w:top w:val="single" w:color="auto" w:sz="4" w:space="0"/>
              <w:left w:val="single" w:color="auto" w:sz="4" w:space="0"/>
              <w:bottom w:val="single" w:color="auto" w:sz="4" w:space="0"/>
              <w:right w:val="single" w:color="auto" w:sz="4" w:space="0"/>
            </w:tcBorders>
            <w:vAlign w:val="center"/>
          </w:tcPr>
          <w:p>
            <w:pPr>
              <w:pStyle w:val="137"/>
              <w:rPr>
                <w:rFonts w:ascii="Times New Roman" w:cs="Times New Roman"/>
                <w:color w:val="auto"/>
                <w:sz w:val="21"/>
                <w:szCs w:val="21"/>
                <w:highlight w:val="none"/>
              </w:rPr>
            </w:pPr>
            <w:r>
              <w:rPr>
                <w:rFonts w:ascii="Times New Roman" w:cs="Times New Roman"/>
                <w:color w:val="auto"/>
                <w:sz w:val="21"/>
                <w:szCs w:val="21"/>
                <w:highlight w:val="none"/>
              </w:rPr>
              <w:t xml:space="preserve">水行政主管部门 □；补充监测 □； 其他 </w:t>
            </w:r>
            <w:r>
              <w:rPr>
                <w:rFonts w:hint="eastAsia" w:ascii="Times New Roman"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607" w:type="dxa"/>
            <w:gridSpan w:val="2"/>
            <w:vMerge w:val="restart"/>
            <w:tcBorders>
              <w:top w:val="single" w:color="auto" w:sz="4" w:space="0"/>
              <w:right w:val="single" w:color="auto" w:sz="4" w:space="0"/>
            </w:tcBorders>
            <w:vAlign w:val="center"/>
          </w:tcPr>
          <w:p>
            <w:pPr>
              <w:pStyle w:val="137"/>
              <w:rPr>
                <w:rFonts w:ascii="Times New Roman" w:cs="Times New Roman"/>
                <w:color w:val="auto"/>
                <w:sz w:val="21"/>
                <w:szCs w:val="21"/>
                <w:highlight w:val="none"/>
              </w:rPr>
            </w:pPr>
            <w:r>
              <w:rPr>
                <w:rFonts w:ascii="Times New Roman" w:cs="Times New Roman"/>
                <w:color w:val="auto"/>
                <w:sz w:val="21"/>
                <w:szCs w:val="21"/>
                <w:highlight w:val="none"/>
              </w:rPr>
              <w:t>补充监测</w:t>
            </w:r>
          </w:p>
        </w:tc>
        <w:tc>
          <w:tcPr>
            <w:tcW w:w="5965" w:type="dxa"/>
            <w:gridSpan w:val="6"/>
            <w:tcBorders>
              <w:top w:val="single" w:color="auto" w:sz="4" w:space="0"/>
              <w:left w:val="single" w:color="auto" w:sz="4" w:space="0"/>
              <w:bottom w:val="single" w:color="auto" w:sz="4" w:space="0"/>
              <w:right w:val="single" w:color="auto" w:sz="4" w:space="0"/>
            </w:tcBorders>
            <w:vAlign w:val="center"/>
          </w:tcPr>
          <w:p>
            <w:pPr>
              <w:spacing w:line="300" w:lineRule="exact"/>
              <w:jc w:val="center"/>
              <w:rPr>
                <w:color w:val="auto"/>
                <w:szCs w:val="21"/>
                <w:highlight w:val="none"/>
              </w:rPr>
            </w:pPr>
            <w:r>
              <w:rPr>
                <w:color w:val="auto"/>
                <w:szCs w:val="21"/>
                <w:highlight w:val="none"/>
              </w:rPr>
              <w:t>监测时期</w:t>
            </w:r>
          </w:p>
        </w:tc>
        <w:tc>
          <w:tcPr>
            <w:tcW w:w="2105" w:type="dxa"/>
            <w:tcBorders>
              <w:top w:val="single" w:color="auto" w:sz="4" w:space="0"/>
              <w:left w:val="single" w:color="auto" w:sz="4" w:space="0"/>
              <w:bottom w:val="single" w:color="auto" w:sz="4" w:space="0"/>
              <w:right w:val="single" w:color="auto" w:sz="4" w:space="0"/>
            </w:tcBorders>
            <w:vAlign w:val="center"/>
          </w:tcPr>
          <w:p>
            <w:pPr>
              <w:spacing w:line="300" w:lineRule="exact"/>
              <w:jc w:val="center"/>
              <w:rPr>
                <w:color w:val="auto"/>
                <w:szCs w:val="21"/>
                <w:highlight w:val="none"/>
              </w:rPr>
            </w:pPr>
            <w:r>
              <w:rPr>
                <w:color w:val="auto"/>
                <w:szCs w:val="21"/>
                <w:highlight w:val="none"/>
              </w:rPr>
              <w:t>监测因子</w:t>
            </w:r>
          </w:p>
        </w:tc>
        <w:tc>
          <w:tcPr>
            <w:tcW w:w="3693" w:type="dxa"/>
            <w:gridSpan w:val="4"/>
            <w:tcBorders>
              <w:top w:val="single" w:color="auto" w:sz="4" w:space="0"/>
              <w:left w:val="single" w:color="auto" w:sz="4" w:space="0"/>
              <w:bottom w:val="single" w:color="auto" w:sz="4" w:space="0"/>
              <w:right w:val="single" w:color="auto" w:sz="4" w:space="0"/>
            </w:tcBorders>
            <w:vAlign w:val="center"/>
          </w:tcPr>
          <w:p>
            <w:pPr>
              <w:pStyle w:val="137"/>
              <w:rPr>
                <w:rFonts w:ascii="Times New Roman" w:cs="Times New Roman"/>
                <w:color w:val="auto"/>
                <w:sz w:val="21"/>
                <w:szCs w:val="21"/>
                <w:highlight w:val="none"/>
              </w:rPr>
            </w:pPr>
            <w:r>
              <w:rPr>
                <w:rFonts w:ascii="Times New Roman" w:cs="Times New Roman"/>
                <w:color w:val="auto"/>
                <w:sz w:val="21"/>
                <w:szCs w:val="21"/>
                <w:highlight w:val="none"/>
              </w:rPr>
              <w:t>监测断面或点位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tcBorders>
              <w:bottom w:val="single" w:color="auto" w:sz="4" w:space="0"/>
            </w:tcBorders>
            <w:vAlign w:val="center"/>
          </w:tcPr>
          <w:p>
            <w:pPr>
              <w:spacing w:line="300" w:lineRule="exact"/>
              <w:jc w:val="center"/>
              <w:rPr>
                <w:color w:val="000000"/>
                <w:szCs w:val="21"/>
                <w:highlight w:val="none"/>
              </w:rPr>
            </w:pPr>
          </w:p>
        </w:tc>
        <w:tc>
          <w:tcPr>
            <w:tcW w:w="1607" w:type="dxa"/>
            <w:gridSpan w:val="2"/>
            <w:vMerge w:val="continue"/>
            <w:tcBorders>
              <w:bottom w:val="single" w:color="auto" w:sz="4" w:space="0"/>
              <w:right w:val="single" w:color="auto" w:sz="4" w:space="0"/>
            </w:tcBorders>
            <w:vAlign w:val="center"/>
          </w:tcPr>
          <w:p>
            <w:pPr>
              <w:spacing w:line="300" w:lineRule="exact"/>
              <w:jc w:val="center"/>
              <w:rPr>
                <w:color w:val="auto"/>
                <w:szCs w:val="21"/>
                <w:highlight w:val="none"/>
              </w:rPr>
            </w:pPr>
          </w:p>
        </w:tc>
        <w:tc>
          <w:tcPr>
            <w:tcW w:w="5965" w:type="dxa"/>
            <w:gridSpan w:val="6"/>
            <w:tcBorders>
              <w:top w:val="single" w:color="auto" w:sz="4" w:space="0"/>
              <w:left w:val="single" w:color="auto" w:sz="4" w:space="0"/>
              <w:bottom w:val="single" w:color="auto" w:sz="4" w:space="0"/>
              <w:right w:val="single" w:color="auto" w:sz="4" w:space="0"/>
            </w:tcBorders>
            <w:vAlign w:val="center"/>
          </w:tcPr>
          <w:p>
            <w:pPr>
              <w:pStyle w:val="137"/>
              <w:rPr>
                <w:rFonts w:ascii="Times New Roman" w:cs="Times New Roman"/>
                <w:color w:val="auto"/>
                <w:sz w:val="21"/>
                <w:szCs w:val="21"/>
                <w:highlight w:val="none"/>
              </w:rPr>
            </w:pPr>
            <w:r>
              <w:rPr>
                <w:rFonts w:ascii="Times New Roman" w:cs="Times New Roman"/>
                <w:color w:val="auto"/>
                <w:sz w:val="21"/>
                <w:szCs w:val="21"/>
                <w:highlight w:val="none"/>
              </w:rPr>
              <w:t xml:space="preserve">丰水期 </w:t>
            </w:r>
            <w:r>
              <w:rPr>
                <w:rFonts w:hint="eastAsia" w:ascii="Times New Roman" w:cs="Times New Roman"/>
                <w:color w:val="auto"/>
                <w:sz w:val="21"/>
                <w:szCs w:val="21"/>
                <w:highlight w:val="none"/>
                <w:lang w:eastAsia="zh-CN"/>
              </w:rPr>
              <w:t>□</w:t>
            </w:r>
            <w:r>
              <w:rPr>
                <w:rFonts w:ascii="Times New Roman" w:cs="Times New Roman"/>
                <w:color w:val="auto"/>
                <w:sz w:val="21"/>
                <w:szCs w:val="21"/>
                <w:highlight w:val="none"/>
              </w:rPr>
              <w:t xml:space="preserve">； 平水期 □； 枯水期 </w:t>
            </w:r>
            <w:r>
              <w:rPr>
                <w:rFonts w:hint="eastAsia" w:ascii="Times New Roman" w:cs="Times New Roman"/>
                <w:color w:val="auto"/>
                <w:sz w:val="21"/>
                <w:szCs w:val="21"/>
                <w:highlight w:val="none"/>
                <w:lang w:eastAsia="zh-CN"/>
              </w:rPr>
              <w:t>☑</w:t>
            </w:r>
            <w:r>
              <w:rPr>
                <w:rFonts w:ascii="Times New Roman" w:cs="Times New Roman"/>
                <w:color w:val="auto"/>
                <w:sz w:val="21"/>
                <w:szCs w:val="21"/>
                <w:highlight w:val="none"/>
              </w:rPr>
              <w:t>； 冰封期 □春季</w:t>
            </w:r>
            <w:r>
              <w:rPr>
                <w:rFonts w:hint="eastAsia" w:ascii="Times New Roman" w:cs="Times New Roman"/>
                <w:color w:val="auto"/>
                <w:sz w:val="21"/>
                <w:szCs w:val="21"/>
                <w:highlight w:val="none"/>
                <w:lang w:eastAsia="zh-CN"/>
              </w:rPr>
              <w:t>□</w:t>
            </w:r>
            <w:r>
              <w:rPr>
                <w:rFonts w:ascii="Times New Roman" w:cs="Times New Roman"/>
                <w:color w:val="auto"/>
                <w:sz w:val="21"/>
                <w:szCs w:val="21"/>
                <w:highlight w:val="none"/>
              </w:rPr>
              <w:t>；夏</w:t>
            </w:r>
          </w:p>
          <w:p>
            <w:pPr>
              <w:pStyle w:val="137"/>
              <w:rPr>
                <w:rFonts w:ascii="Times New Roman" w:cs="Times New Roman"/>
                <w:color w:val="auto"/>
                <w:sz w:val="21"/>
                <w:szCs w:val="21"/>
                <w:highlight w:val="none"/>
              </w:rPr>
            </w:pPr>
            <w:r>
              <w:rPr>
                <w:rFonts w:ascii="Times New Roman" w:cs="Times New Roman"/>
                <w:color w:val="auto"/>
                <w:sz w:val="21"/>
                <w:szCs w:val="21"/>
                <w:highlight w:val="none"/>
              </w:rPr>
              <w:t>季</w:t>
            </w:r>
            <w:r>
              <w:rPr>
                <w:rFonts w:hint="eastAsia" w:ascii="Times New Roman" w:cs="Times New Roman"/>
                <w:color w:val="auto"/>
                <w:sz w:val="21"/>
                <w:szCs w:val="21"/>
                <w:highlight w:val="none"/>
                <w:lang w:eastAsia="zh-CN"/>
              </w:rPr>
              <w:t>☑</w:t>
            </w:r>
            <w:r>
              <w:rPr>
                <w:rFonts w:ascii="Times New Roman" w:cs="Times New Roman"/>
                <w:color w:val="auto"/>
                <w:sz w:val="21"/>
                <w:szCs w:val="21"/>
                <w:highlight w:val="none"/>
              </w:rPr>
              <w:t>；秋季□；冬季□</w:t>
            </w:r>
          </w:p>
        </w:tc>
        <w:tc>
          <w:tcPr>
            <w:tcW w:w="2105" w:type="dxa"/>
            <w:tcBorders>
              <w:top w:val="single" w:color="auto" w:sz="4" w:space="0"/>
              <w:left w:val="single" w:color="auto" w:sz="4" w:space="0"/>
              <w:bottom w:val="single" w:color="auto" w:sz="4" w:space="0"/>
              <w:right w:val="single" w:color="auto" w:sz="4" w:space="0"/>
            </w:tcBorders>
            <w:vAlign w:val="center"/>
          </w:tcPr>
          <w:p>
            <w:pPr>
              <w:spacing w:line="300" w:lineRule="exact"/>
              <w:jc w:val="center"/>
              <w:rPr>
                <w:color w:val="auto"/>
                <w:szCs w:val="21"/>
                <w:highlight w:val="none"/>
              </w:rPr>
            </w:pPr>
            <w:r>
              <w:rPr>
                <w:color w:val="auto"/>
                <w:szCs w:val="21"/>
                <w:highlight w:val="none"/>
              </w:rPr>
              <w:t>（</w:t>
            </w:r>
            <w:r>
              <w:rPr>
                <w:rFonts w:hint="eastAsia"/>
                <w:color w:val="auto"/>
                <w:szCs w:val="21"/>
                <w:highlight w:val="none"/>
              </w:rPr>
              <w:t>PH、COD、DO、氨氮、TP、TN、石油类</w:t>
            </w:r>
            <w:r>
              <w:rPr>
                <w:color w:val="auto"/>
                <w:szCs w:val="21"/>
                <w:highlight w:val="none"/>
              </w:rPr>
              <w:t>）</w:t>
            </w:r>
          </w:p>
        </w:tc>
        <w:tc>
          <w:tcPr>
            <w:tcW w:w="3693" w:type="dxa"/>
            <w:gridSpan w:val="4"/>
            <w:tcBorders>
              <w:top w:val="single" w:color="auto" w:sz="4" w:space="0"/>
              <w:left w:val="single" w:color="auto" w:sz="4" w:space="0"/>
              <w:bottom w:val="single" w:color="auto" w:sz="4" w:space="0"/>
              <w:right w:val="single" w:color="auto" w:sz="4" w:space="0"/>
            </w:tcBorders>
            <w:vAlign w:val="center"/>
          </w:tcPr>
          <w:p>
            <w:pPr>
              <w:spacing w:line="300" w:lineRule="exact"/>
              <w:jc w:val="center"/>
              <w:rPr>
                <w:color w:val="auto"/>
                <w:szCs w:val="21"/>
                <w:highlight w:val="none"/>
              </w:rPr>
            </w:pPr>
            <w:r>
              <w:rPr>
                <w:color w:val="auto"/>
                <w:szCs w:val="21"/>
                <w:highlight w:val="none"/>
              </w:rPr>
              <w:t>监测断面或点位个数（</w:t>
            </w:r>
            <w:r>
              <w:rPr>
                <w:rFonts w:hint="eastAsia"/>
                <w:color w:val="auto"/>
                <w:szCs w:val="21"/>
                <w:highlight w:val="none"/>
              </w:rPr>
              <w:t>3</w:t>
            </w:r>
            <w:r>
              <w:rPr>
                <w:color w:val="auto"/>
                <w:szCs w:val="21"/>
                <w:highlight w:val="none"/>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restart"/>
            <w:vAlign w:val="center"/>
          </w:tcPr>
          <w:p>
            <w:pPr>
              <w:spacing w:line="300" w:lineRule="exact"/>
              <w:jc w:val="center"/>
              <w:rPr>
                <w:color w:val="000000"/>
                <w:szCs w:val="21"/>
                <w:highlight w:val="none"/>
              </w:rPr>
            </w:pPr>
            <w:r>
              <w:rPr>
                <w:color w:val="000000"/>
                <w:szCs w:val="21"/>
                <w:highlight w:val="none"/>
              </w:rPr>
              <w:t>现状</w:t>
            </w:r>
          </w:p>
          <w:p>
            <w:pPr>
              <w:spacing w:line="300" w:lineRule="exact"/>
              <w:jc w:val="center"/>
              <w:rPr>
                <w:color w:val="000000"/>
                <w:szCs w:val="21"/>
                <w:highlight w:val="none"/>
              </w:rPr>
            </w:pPr>
          </w:p>
          <w:p>
            <w:pPr>
              <w:spacing w:line="300" w:lineRule="exact"/>
              <w:jc w:val="center"/>
              <w:rPr>
                <w:color w:val="000000"/>
                <w:highlight w:val="none"/>
              </w:rPr>
            </w:pPr>
            <w:r>
              <w:rPr>
                <w:color w:val="000000"/>
                <w:szCs w:val="21"/>
                <w:highlight w:val="none"/>
              </w:rPr>
              <w:t>评价</w:t>
            </w:r>
          </w:p>
        </w:tc>
        <w:tc>
          <w:tcPr>
            <w:tcW w:w="1559" w:type="dxa"/>
            <w:vAlign w:val="center"/>
          </w:tcPr>
          <w:p>
            <w:pPr>
              <w:spacing w:line="300" w:lineRule="exact"/>
              <w:jc w:val="center"/>
              <w:rPr>
                <w:color w:val="000000"/>
                <w:szCs w:val="21"/>
                <w:highlight w:val="none"/>
              </w:rPr>
            </w:pPr>
            <w:r>
              <w:rPr>
                <w:color w:val="000000"/>
                <w:highlight w:val="none"/>
              </w:rPr>
              <w:t>评价范围</w:t>
            </w:r>
          </w:p>
        </w:tc>
        <w:tc>
          <w:tcPr>
            <w:tcW w:w="11811" w:type="dxa"/>
            <w:gridSpan w:val="12"/>
            <w:vAlign w:val="center"/>
          </w:tcPr>
          <w:p>
            <w:pPr>
              <w:rPr>
                <w:bCs/>
                <w:color w:val="auto"/>
                <w:szCs w:val="21"/>
                <w:highlight w:val="none"/>
              </w:rPr>
            </w:pPr>
            <w:r>
              <w:rPr>
                <w:color w:val="auto"/>
                <w:highlight w:val="none"/>
              </w:rPr>
              <w:t>河流：长度（</w:t>
            </w:r>
            <w:r>
              <w:rPr>
                <w:rFonts w:hint="eastAsia"/>
                <w:color w:val="auto"/>
                <w:highlight w:val="none"/>
              </w:rPr>
              <w:t>2.6</w:t>
            </w:r>
            <w:r>
              <w:rPr>
                <w:color w:val="auto"/>
                <w:highlight w:val="none"/>
              </w:rPr>
              <w:t xml:space="preserve"> ）km；湖库、河口及近岸海域：面积（ ）km</w:t>
            </w:r>
            <w:r>
              <w:rPr>
                <w:color w:val="auto"/>
                <w:highlight w:val="none"/>
                <w:vertAlign w:val="superscript"/>
              </w:rPr>
              <w:t xml:space="preserve"> 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559" w:type="dxa"/>
            <w:vAlign w:val="center"/>
          </w:tcPr>
          <w:p>
            <w:pPr>
              <w:spacing w:line="300" w:lineRule="exact"/>
              <w:jc w:val="center"/>
              <w:rPr>
                <w:color w:val="000000"/>
                <w:szCs w:val="21"/>
                <w:highlight w:val="none"/>
              </w:rPr>
            </w:pPr>
            <w:r>
              <w:rPr>
                <w:color w:val="000000"/>
                <w:highlight w:val="none"/>
              </w:rPr>
              <w:t>评价因子</w:t>
            </w:r>
          </w:p>
        </w:tc>
        <w:tc>
          <w:tcPr>
            <w:tcW w:w="11811" w:type="dxa"/>
            <w:gridSpan w:val="12"/>
            <w:vAlign w:val="center"/>
          </w:tcPr>
          <w:p>
            <w:pPr>
              <w:spacing w:line="300" w:lineRule="exact"/>
              <w:jc w:val="left"/>
              <w:rPr>
                <w:bCs/>
                <w:color w:val="000000"/>
                <w:szCs w:val="21"/>
                <w:highlight w:val="none"/>
              </w:rPr>
            </w:pPr>
            <w:r>
              <w:rPr>
                <w:bCs/>
                <w:color w:val="00000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559" w:type="dxa"/>
            <w:vAlign w:val="center"/>
          </w:tcPr>
          <w:p>
            <w:pPr>
              <w:jc w:val="center"/>
              <w:rPr>
                <w:bCs/>
                <w:color w:val="000000"/>
                <w:szCs w:val="21"/>
                <w:highlight w:val="none"/>
              </w:rPr>
            </w:pPr>
            <w:r>
              <w:rPr>
                <w:color w:val="000000"/>
                <w:highlight w:val="none"/>
              </w:rPr>
              <w:t>评价标准</w:t>
            </w:r>
          </w:p>
        </w:tc>
        <w:tc>
          <w:tcPr>
            <w:tcW w:w="11811" w:type="dxa"/>
            <w:gridSpan w:val="12"/>
            <w:vAlign w:val="center"/>
          </w:tcPr>
          <w:p>
            <w:pPr>
              <w:spacing w:line="300" w:lineRule="exact"/>
              <w:jc w:val="left"/>
              <w:rPr>
                <w:bCs/>
                <w:color w:val="000000"/>
                <w:szCs w:val="21"/>
                <w:highlight w:val="none"/>
              </w:rPr>
            </w:pPr>
            <w:r>
              <w:rPr>
                <w:bCs/>
                <w:color w:val="000000"/>
                <w:szCs w:val="21"/>
                <w:highlight w:val="none"/>
              </w:rPr>
              <w:t>河流、湖库、河</w:t>
            </w:r>
            <w:r>
              <w:rPr>
                <w:rFonts w:hint="eastAsia"/>
                <w:bCs/>
                <w:color w:val="000000"/>
                <w:szCs w:val="21"/>
                <w:highlight w:val="none"/>
              </w:rPr>
              <w:t>☑</w:t>
            </w:r>
            <w:r>
              <w:rPr>
                <w:bCs/>
                <w:color w:val="000000"/>
                <w:szCs w:val="21"/>
                <w:highlight w:val="none"/>
              </w:rPr>
              <w:t>：I 类□；II 类□；III 类</w:t>
            </w:r>
            <w:r>
              <w:rPr>
                <w:rFonts w:hint="eastAsia"/>
                <w:bCs/>
                <w:color w:val="000000"/>
                <w:szCs w:val="21"/>
                <w:highlight w:val="none"/>
              </w:rPr>
              <w:t>☑</w:t>
            </w:r>
            <w:r>
              <w:rPr>
                <w:bCs/>
                <w:color w:val="000000"/>
                <w:szCs w:val="21"/>
                <w:highlight w:val="none"/>
              </w:rPr>
              <w:t>；IV 类□；V 类□</w:t>
            </w:r>
          </w:p>
          <w:p>
            <w:pPr>
              <w:spacing w:line="300" w:lineRule="exact"/>
              <w:jc w:val="left"/>
              <w:rPr>
                <w:bCs/>
                <w:color w:val="000000"/>
                <w:szCs w:val="21"/>
                <w:highlight w:val="none"/>
              </w:rPr>
            </w:pPr>
            <w:r>
              <w:rPr>
                <w:bCs/>
                <w:color w:val="000000"/>
                <w:szCs w:val="21"/>
                <w:highlight w:val="none"/>
              </w:rPr>
              <w:t>近岸海域： 第一类 □； 第二类 □； 第三类 □；第四类 □</w:t>
            </w:r>
          </w:p>
          <w:p>
            <w:pPr>
              <w:spacing w:line="300" w:lineRule="exact"/>
              <w:jc w:val="left"/>
              <w:rPr>
                <w:bCs/>
                <w:color w:val="000000"/>
                <w:szCs w:val="21"/>
                <w:highlight w:val="none"/>
              </w:rPr>
            </w:pPr>
            <w:r>
              <w:rPr>
                <w:bCs/>
                <w:color w:val="000000"/>
                <w:szCs w:val="21"/>
                <w:highlight w:val="none"/>
              </w:rPr>
              <w:t>规划年评价标准（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559" w:type="dxa"/>
            <w:vAlign w:val="center"/>
          </w:tcPr>
          <w:p>
            <w:pPr>
              <w:spacing w:line="300" w:lineRule="exact"/>
              <w:jc w:val="center"/>
              <w:rPr>
                <w:color w:val="000000"/>
                <w:szCs w:val="21"/>
                <w:highlight w:val="none"/>
              </w:rPr>
            </w:pPr>
            <w:r>
              <w:rPr>
                <w:bCs/>
                <w:color w:val="000000"/>
                <w:szCs w:val="21"/>
                <w:highlight w:val="none"/>
              </w:rPr>
              <w:t>评价时期</w:t>
            </w:r>
          </w:p>
        </w:tc>
        <w:tc>
          <w:tcPr>
            <w:tcW w:w="11811" w:type="dxa"/>
            <w:gridSpan w:val="12"/>
            <w:vAlign w:val="center"/>
          </w:tcPr>
          <w:p>
            <w:pPr>
              <w:spacing w:line="300" w:lineRule="exact"/>
              <w:rPr>
                <w:bCs/>
                <w:color w:val="000000"/>
                <w:szCs w:val="21"/>
                <w:highlight w:val="none"/>
              </w:rPr>
            </w:pPr>
            <w:r>
              <w:rPr>
                <w:bCs/>
                <w:color w:val="000000"/>
                <w:szCs w:val="21"/>
                <w:highlight w:val="none"/>
              </w:rPr>
              <w:t xml:space="preserve">丰水期 </w:t>
            </w:r>
            <w:r>
              <w:rPr>
                <w:rFonts w:hint="eastAsia"/>
                <w:bCs/>
                <w:color w:val="000000"/>
                <w:szCs w:val="21"/>
                <w:highlight w:val="none"/>
                <w:lang w:eastAsia="zh-CN"/>
              </w:rPr>
              <w:t>☑</w:t>
            </w:r>
            <w:r>
              <w:rPr>
                <w:bCs/>
                <w:color w:val="000000"/>
                <w:szCs w:val="21"/>
                <w:highlight w:val="none"/>
              </w:rPr>
              <w:t xml:space="preserve">；平水期 □； 枯水期 </w:t>
            </w:r>
            <w:r>
              <w:rPr>
                <w:rFonts w:hint="eastAsia"/>
                <w:bCs/>
                <w:color w:val="000000"/>
                <w:szCs w:val="21"/>
                <w:highlight w:val="none"/>
                <w:lang w:eastAsia="zh-CN"/>
              </w:rPr>
              <w:t>□</w:t>
            </w:r>
            <w:r>
              <w:rPr>
                <w:bCs/>
                <w:color w:val="000000"/>
                <w:szCs w:val="21"/>
                <w:highlight w:val="none"/>
              </w:rPr>
              <w:t>；冰封期 □</w:t>
            </w:r>
          </w:p>
          <w:p>
            <w:pPr>
              <w:spacing w:line="300" w:lineRule="exact"/>
              <w:rPr>
                <w:bCs/>
                <w:color w:val="000000"/>
                <w:szCs w:val="21"/>
                <w:highlight w:val="none"/>
              </w:rPr>
            </w:pPr>
            <w:r>
              <w:rPr>
                <w:bCs/>
                <w:color w:val="000000"/>
                <w:szCs w:val="21"/>
                <w:highlight w:val="none"/>
              </w:rPr>
              <w:t xml:space="preserve">春季 □； 夏季 </w:t>
            </w:r>
            <w:r>
              <w:rPr>
                <w:rFonts w:hint="eastAsia"/>
                <w:bCs/>
                <w:color w:val="000000"/>
                <w:szCs w:val="21"/>
                <w:highlight w:val="none"/>
                <w:lang w:eastAsia="zh-CN"/>
              </w:rPr>
              <w:t>☑</w:t>
            </w:r>
            <w:r>
              <w:rPr>
                <w:bCs/>
                <w:color w:val="000000"/>
                <w:szCs w:val="21"/>
                <w:highlight w:val="none"/>
              </w:rPr>
              <w:t>； 秋季 □； 冬季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559" w:type="dxa"/>
            <w:vAlign w:val="center"/>
          </w:tcPr>
          <w:p>
            <w:pPr>
              <w:spacing w:line="300" w:lineRule="exact"/>
              <w:jc w:val="center"/>
              <w:rPr>
                <w:color w:val="000000"/>
                <w:szCs w:val="21"/>
                <w:highlight w:val="none"/>
              </w:rPr>
            </w:pPr>
            <w:r>
              <w:rPr>
                <w:color w:val="000000"/>
                <w:szCs w:val="21"/>
                <w:highlight w:val="none"/>
              </w:rPr>
              <w:t>评价结论</w:t>
            </w:r>
          </w:p>
        </w:tc>
        <w:tc>
          <w:tcPr>
            <w:tcW w:w="10465" w:type="dxa"/>
            <w:gridSpan w:val="11"/>
            <w:vAlign w:val="center"/>
          </w:tcPr>
          <w:p>
            <w:pPr>
              <w:spacing w:line="300" w:lineRule="exact"/>
              <w:jc w:val="left"/>
              <w:rPr>
                <w:color w:val="000000"/>
                <w:szCs w:val="21"/>
                <w:highlight w:val="none"/>
              </w:rPr>
            </w:pPr>
            <w:r>
              <w:rPr>
                <w:color w:val="000000"/>
                <w:szCs w:val="21"/>
                <w:highlight w:val="none"/>
              </w:rPr>
              <w:t>水环境功能区或水功能区、近岸海域环境功能区水质达标状况： 达标</w:t>
            </w:r>
            <w:r>
              <w:rPr>
                <w:rFonts w:hint="eastAsia" w:ascii="MS Mincho" w:hAnsi="MS Mincho" w:eastAsia="MS Mincho" w:cs="MS Mincho"/>
                <w:color w:val="000000"/>
                <w:szCs w:val="21"/>
                <w:highlight w:val="none"/>
              </w:rPr>
              <w:t>☑</w:t>
            </w:r>
            <w:r>
              <w:rPr>
                <w:color w:val="000000"/>
                <w:szCs w:val="21"/>
                <w:highlight w:val="none"/>
              </w:rPr>
              <w:t>； 不达标 □</w:t>
            </w:r>
          </w:p>
          <w:p>
            <w:pPr>
              <w:spacing w:line="300" w:lineRule="exact"/>
              <w:jc w:val="left"/>
              <w:rPr>
                <w:color w:val="000000"/>
                <w:szCs w:val="21"/>
                <w:highlight w:val="none"/>
              </w:rPr>
            </w:pPr>
            <w:r>
              <w:rPr>
                <w:color w:val="000000"/>
                <w:szCs w:val="21"/>
                <w:highlight w:val="none"/>
              </w:rPr>
              <w:t xml:space="preserve">水环境控制单元或断面水质达标状况 □： 达标 </w:t>
            </w:r>
            <w:r>
              <w:rPr>
                <w:rFonts w:hint="eastAsia"/>
                <w:color w:val="000000"/>
                <w:szCs w:val="21"/>
                <w:highlight w:val="none"/>
              </w:rPr>
              <w:t>☑</w:t>
            </w:r>
            <w:r>
              <w:rPr>
                <w:color w:val="000000"/>
                <w:szCs w:val="21"/>
                <w:highlight w:val="none"/>
              </w:rPr>
              <w:t>；不达标 □</w:t>
            </w:r>
          </w:p>
          <w:p>
            <w:pPr>
              <w:spacing w:line="300" w:lineRule="exact"/>
              <w:jc w:val="left"/>
              <w:rPr>
                <w:color w:val="000000"/>
                <w:szCs w:val="21"/>
                <w:highlight w:val="none"/>
              </w:rPr>
            </w:pPr>
            <w:r>
              <w:rPr>
                <w:color w:val="000000"/>
                <w:szCs w:val="21"/>
                <w:highlight w:val="none"/>
              </w:rPr>
              <w:t>水环境保护目标质量状况□：达标</w:t>
            </w:r>
            <w:r>
              <w:rPr>
                <w:rFonts w:hint="eastAsia"/>
                <w:bCs/>
                <w:color w:val="000000"/>
                <w:szCs w:val="21"/>
                <w:highlight w:val="none"/>
              </w:rPr>
              <w:t>☑</w:t>
            </w:r>
            <w:r>
              <w:rPr>
                <w:color w:val="000000"/>
                <w:szCs w:val="21"/>
                <w:highlight w:val="none"/>
              </w:rPr>
              <w:t>；不达标□</w:t>
            </w:r>
          </w:p>
          <w:p>
            <w:pPr>
              <w:spacing w:line="300" w:lineRule="exact"/>
              <w:jc w:val="left"/>
              <w:rPr>
                <w:color w:val="000000"/>
                <w:szCs w:val="21"/>
                <w:highlight w:val="none"/>
              </w:rPr>
            </w:pPr>
            <w:r>
              <w:rPr>
                <w:color w:val="000000"/>
                <w:szCs w:val="21"/>
                <w:highlight w:val="none"/>
              </w:rPr>
              <w:t xml:space="preserve">对照断面、控制断面等代表性断面的水质状况 </w:t>
            </w:r>
            <w:r>
              <w:rPr>
                <w:rFonts w:hint="eastAsia"/>
                <w:color w:val="000000"/>
                <w:szCs w:val="21"/>
                <w:highlight w:val="none"/>
              </w:rPr>
              <w:t>☑</w:t>
            </w:r>
            <w:r>
              <w:rPr>
                <w:color w:val="000000"/>
                <w:szCs w:val="21"/>
                <w:highlight w:val="none"/>
              </w:rPr>
              <w:t>： 达标 □； 不达标 □</w:t>
            </w:r>
          </w:p>
          <w:p>
            <w:pPr>
              <w:spacing w:line="300" w:lineRule="exact"/>
              <w:jc w:val="left"/>
              <w:rPr>
                <w:color w:val="000000"/>
                <w:szCs w:val="21"/>
                <w:highlight w:val="none"/>
              </w:rPr>
            </w:pPr>
            <w:r>
              <w:rPr>
                <w:color w:val="000000"/>
                <w:szCs w:val="21"/>
                <w:highlight w:val="none"/>
              </w:rPr>
              <w:t>底泥污染评价□</w:t>
            </w:r>
          </w:p>
          <w:p>
            <w:pPr>
              <w:spacing w:line="300" w:lineRule="exact"/>
              <w:jc w:val="left"/>
              <w:rPr>
                <w:color w:val="000000"/>
                <w:szCs w:val="21"/>
                <w:highlight w:val="none"/>
              </w:rPr>
            </w:pPr>
            <w:r>
              <w:rPr>
                <w:color w:val="000000"/>
                <w:szCs w:val="21"/>
                <w:highlight w:val="none"/>
              </w:rPr>
              <w:t>水资源与开发利用程度及其水文情势评价</w:t>
            </w:r>
            <w:r>
              <w:rPr>
                <w:rFonts w:hint="eastAsia"/>
                <w:color w:val="000000"/>
                <w:szCs w:val="21"/>
                <w:highlight w:val="none"/>
              </w:rPr>
              <w:t>☑</w:t>
            </w:r>
          </w:p>
          <w:p>
            <w:pPr>
              <w:spacing w:line="300" w:lineRule="exact"/>
              <w:jc w:val="left"/>
              <w:rPr>
                <w:color w:val="000000"/>
                <w:szCs w:val="21"/>
                <w:highlight w:val="none"/>
              </w:rPr>
            </w:pPr>
            <w:r>
              <w:rPr>
                <w:color w:val="000000"/>
                <w:szCs w:val="21"/>
                <w:highlight w:val="none"/>
              </w:rPr>
              <w:t>水环境质量回顾评价 □</w:t>
            </w:r>
          </w:p>
          <w:p>
            <w:pPr>
              <w:spacing w:line="300" w:lineRule="exact"/>
              <w:jc w:val="left"/>
              <w:rPr>
                <w:color w:val="000000"/>
                <w:szCs w:val="21"/>
                <w:highlight w:val="none"/>
              </w:rPr>
            </w:pPr>
            <w:r>
              <w:rPr>
                <w:color w:val="000000"/>
                <w:szCs w:val="21"/>
                <w:highlight w:val="none"/>
              </w:rPr>
              <w:t>流域（区域）水资源（包括水能资源）与开发利用总体状况、生态流量管理要求与现状满足程度、建设项目占用水域空间的水流状况与河湖演变状况 □</w:t>
            </w:r>
          </w:p>
        </w:tc>
        <w:tc>
          <w:tcPr>
            <w:tcW w:w="1346" w:type="dxa"/>
            <w:vAlign w:val="center"/>
          </w:tcPr>
          <w:p>
            <w:pPr>
              <w:spacing w:line="300" w:lineRule="exact"/>
              <w:jc w:val="center"/>
              <w:rPr>
                <w:bCs/>
                <w:color w:val="000000"/>
                <w:szCs w:val="21"/>
                <w:highlight w:val="none"/>
              </w:rPr>
            </w:pPr>
            <w:r>
              <w:rPr>
                <w:bCs/>
                <w:color w:val="000000"/>
                <w:szCs w:val="21"/>
                <w:highlight w:val="none"/>
              </w:rPr>
              <w:t>达标区</w:t>
            </w:r>
            <w:r>
              <w:rPr>
                <w:rFonts w:hint="eastAsia" w:ascii="MS Mincho" w:hAnsi="MS Mincho" w:eastAsia="MS Mincho" w:cs="MS Mincho"/>
                <w:color w:val="000000"/>
                <w:szCs w:val="21"/>
                <w:highlight w:val="none"/>
              </w:rPr>
              <w:t>☑</w:t>
            </w:r>
          </w:p>
          <w:p>
            <w:pPr>
              <w:spacing w:line="300" w:lineRule="exact"/>
              <w:jc w:val="center"/>
              <w:rPr>
                <w:bCs/>
                <w:color w:val="000000"/>
                <w:szCs w:val="21"/>
                <w:highlight w:val="none"/>
              </w:rPr>
            </w:pPr>
            <w:r>
              <w:rPr>
                <w:bCs/>
                <w:color w:val="000000"/>
                <w:szCs w:val="21"/>
                <w:highlight w:val="none"/>
              </w:rPr>
              <w:t>不达标区□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restart"/>
            <w:vAlign w:val="center"/>
          </w:tcPr>
          <w:p>
            <w:pPr>
              <w:spacing w:line="300" w:lineRule="exact"/>
              <w:jc w:val="center"/>
              <w:rPr>
                <w:color w:val="000000"/>
                <w:szCs w:val="21"/>
                <w:highlight w:val="none"/>
              </w:rPr>
            </w:pPr>
            <w:r>
              <w:rPr>
                <w:color w:val="000000"/>
                <w:szCs w:val="21"/>
                <w:highlight w:val="none"/>
              </w:rPr>
              <w:t>预测</w:t>
            </w:r>
          </w:p>
          <w:p>
            <w:pPr>
              <w:spacing w:line="300" w:lineRule="exact"/>
              <w:jc w:val="center"/>
              <w:rPr>
                <w:color w:val="000000"/>
                <w:szCs w:val="21"/>
                <w:highlight w:val="none"/>
              </w:rPr>
            </w:pPr>
            <w:r>
              <w:rPr>
                <w:color w:val="000000"/>
                <w:szCs w:val="21"/>
                <w:highlight w:val="none"/>
              </w:rPr>
              <w:t>情景</w:t>
            </w:r>
          </w:p>
        </w:tc>
        <w:tc>
          <w:tcPr>
            <w:tcW w:w="1559" w:type="dxa"/>
            <w:vAlign w:val="center"/>
          </w:tcPr>
          <w:p>
            <w:pPr>
              <w:spacing w:line="300" w:lineRule="exact"/>
              <w:jc w:val="center"/>
              <w:rPr>
                <w:color w:val="000000"/>
                <w:szCs w:val="21"/>
                <w:highlight w:val="none"/>
              </w:rPr>
            </w:pPr>
            <w:r>
              <w:rPr>
                <w:color w:val="000000"/>
                <w:szCs w:val="21"/>
                <w:highlight w:val="none"/>
              </w:rPr>
              <w:t>预测范围</w:t>
            </w:r>
          </w:p>
        </w:tc>
        <w:tc>
          <w:tcPr>
            <w:tcW w:w="11811" w:type="dxa"/>
            <w:gridSpan w:val="12"/>
            <w:vAlign w:val="center"/>
          </w:tcPr>
          <w:p>
            <w:pPr>
              <w:spacing w:line="300" w:lineRule="exact"/>
              <w:jc w:val="center"/>
              <w:rPr>
                <w:bCs/>
                <w:color w:val="000000"/>
                <w:szCs w:val="21"/>
                <w:highlight w:val="none"/>
              </w:rPr>
            </w:pPr>
            <w:r>
              <w:rPr>
                <w:color w:val="000000"/>
                <w:szCs w:val="21"/>
                <w:highlight w:val="none"/>
              </w:rPr>
              <w:t>河流：</w:t>
            </w:r>
            <w:r>
              <w:rPr>
                <w:color w:val="auto"/>
                <w:szCs w:val="21"/>
                <w:highlight w:val="none"/>
              </w:rPr>
              <w:t>长度（</w:t>
            </w:r>
            <w:r>
              <w:rPr>
                <w:rFonts w:hint="eastAsia"/>
                <w:color w:val="auto"/>
                <w:szCs w:val="21"/>
                <w:highlight w:val="none"/>
                <w:lang w:val="en-US" w:eastAsia="zh-CN"/>
              </w:rPr>
              <w:t>2.6</w:t>
            </w:r>
            <w:r>
              <w:rPr>
                <w:color w:val="auto"/>
                <w:szCs w:val="21"/>
                <w:highlight w:val="none"/>
              </w:rPr>
              <w:t>）km；湖库、河□及近岸海域：面积（）km</w:t>
            </w:r>
            <w:r>
              <w:rPr>
                <w:color w:val="auto"/>
                <w:szCs w:val="21"/>
                <w:highlight w:val="none"/>
                <w:vertAlign w:val="superscript"/>
              </w:rPr>
              <w:t xml:space="preserve"> 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559" w:type="dxa"/>
            <w:vAlign w:val="center"/>
          </w:tcPr>
          <w:p>
            <w:pPr>
              <w:spacing w:line="300" w:lineRule="exact"/>
              <w:jc w:val="center"/>
              <w:rPr>
                <w:color w:val="000000"/>
                <w:szCs w:val="21"/>
                <w:highlight w:val="none"/>
              </w:rPr>
            </w:pPr>
            <w:r>
              <w:rPr>
                <w:color w:val="000000"/>
                <w:szCs w:val="21"/>
                <w:highlight w:val="none"/>
              </w:rPr>
              <w:t>预测因子</w:t>
            </w:r>
          </w:p>
        </w:tc>
        <w:tc>
          <w:tcPr>
            <w:tcW w:w="11811" w:type="dxa"/>
            <w:gridSpan w:val="12"/>
            <w:vAlign w:val="center"/>
          </w:tcPr>
          <w:p>
            <w:pPr>
              <w:spacing w:line="300" w:lineRule="exact"/>
              <w:jc w:val="center"/>
              <w:rPr>
                <w:bCs/>
                <w:color w:val="000000"/>
                <w:szCs w:val="21"/>
                <w:highlight w:val="none"/>
              </w:rPr>
            </w:pPr>
            <w:r>
              <w:rPr>
                <w:color w:val="000000"/>
                <w:szCs w:val="21"/>
                <w:highlight w:val="none"/>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559" w:type="dxa"/>
            <w:vAlign w:val="center"/>
          </w:tcPr>
          <w:p>
            <w:pPr>
              <w:spacing w:line="300" w:lineRule="exact"/>
              <w:jc w:val="center"/>
              <w:rPr>
                <w:color w:val="000000"/>
                <w:szCs w:val="21"/>
                <w:highlight w:val="none"/>
              </w:rPr>
            </w:pPr>
            <w:r>
              <w:rPr>
                <w:color w:val="000000"/>
                <w:szCs w:val="21"/>
                <w:highlight w:val="none"/>
              </w:rPr>
              <w:t>预测时期</w:t>
            </w:r>
          </w:p>
        </w:tc>
        <w:tc>
          <w:tcPr>
            <w:tcW w:w="11811" w:type="dxa"/>
            <w:gridSpan w:val="12"/>
            <w:vAlign w:val="center"/>
          </w:tcPr>
          <w:p>
            <w:pPr>
              <w:spacing w:line="300" w:lineRule="exact"/>
              <w:jc w:val="left"/>
              <w:rPr>
                <w:color w:val="000000"/>
                <w:szCs w:val="21"/>
                <w:highlight w:val="none"/>
              </w:rPr>
            </w:pPr>
            <w:r>
              <w:rPr>
                <w:color w:val="000000"/>
                <w:szCs w:val="21"/>
                <w:highlight w:val="none"/>
              </w:rPr>
              <w:t xml:space="preserve">丰水期 </w:t>
            </w:r>
            <w:r>
              <w:rPr>
                <w:rFonts w:hint="eastAsia"/>
                <w:color w:val="000000"/>
                <w:szCs w:val="21"/>
                <w:highlight w:val="none"/>
                <w:lang w:eastAsia="zh-CN"/>
              </w:rPr>
              <w:t>□</w:t>
            </w:r>
            <w:r>
              <w:rPr>
                <w:color w:val="000000"/>
                <w:szCs w:val="21"/>
                <w:highlight w:val="none"/>
              </w:rPr>
              <w:t xml:space="preserve">； 平水期 □； 枯水期 </w:t>
            </w:r>
            <w:r>
              <w:rPr>
                <w:rFonts w:hint="eastAsia"/>
                <w:color w:val="000000"/>
                <w:szCs w:val="21"/>
                <w:highlight w:val="none"/>
                <w:lang w:eastAsia="zh-CN"/>
              </w:rPr>
              <w:t>☑</w:t>
            </w:r>
            <w:r>
              <w:rPr>
                <w:color w:val="000000"/>
                <w:szCs w:val="21"/>
                <w:highlight w:val="none"/>
              </w:rPr>
              <w:t>； 冰封期 □</w:t>
            </w:r>
          </w:p>
          <w:p>
            <w:pPr>
              <w:spacing w:line="300" w:lineRule="exact"/>
              <w:jc w:val="left"/>
              <w:rPr>
                <w:bCs/>
                <w:color w:val="000000"/>
                <w:szCs w:val="21"/>
                <w:highlight w:val="none"/>
              </w:rPr>
            </w:pPr>
            <w:r>
              <w:rPr>
                <w:color w:val="000000"/>
                <w:szCs w:val="21"/>
                <w:highlight w:val="none"/>
              </w:rPr>
              <w:t>春季</w:t>
            </w:r>
            <w:r>
              <w:rPr>
                <w:rFonts w:hint="eastAsia"/>
                <w:color w:val="000000"/>
                <w:szCs w:val="21"/>
                <w:highlight w:val="none"/>
                <w:lang w:eastAsia="zh-CN"/>
              </w:rPr>
              <w:t>□</w:t>
            </w:r>
            <w:r>
              <w:rPr>
                <w:color w:val="000000"/>
                <w:szCs w:val="21"/>
                <w:highlight w:val="none"/>
              </w:rPr>
              <w:t>；夏季</w:t>
            </w:r>
            <w:r>
              <w:rPr>
                <w:rFonts w:hint="eastAsia"/>
                <w:color w:val="000000"/>
                <w:szCs w:val="21"/>
                <w:highlight w:val="none"/>
                <w:lang w:eastAsia="zh-CN"/>
              </w:rPr>
              <w:t>☑</w:t>
            </w:r>
            <w:r>
              <w:rPr>
                <w:color w:val="000000"/>
                <w:szCs w:val="21"/>
                <w:highlight w:val="none"/>
              </w:rPr>
              <w:t>；秋季</w:t>
            </w:r>
            <w:r>
              <w:rPr>
                <w:rFonts w:hint="eastAsia"/>
                <w:color w:val="000000"/>
                <w:szCs w:val="21"/>
                <w:highlight w:val="none"/>
                <w:lang w:eastAsia="zh-CN"/>
              </w:rPr>
              <w:t>□</w:t>
            </w:r>
            <w:r>
              <w:rPr>
                <w:color w:val="000000"/>
                <w:szCs w:val="21"/>
                <w:highlight w:val="none"/>
              </w:rPr>
              <w:t>；冬季□；设计水文条件□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559" w:type="dxa"/>
            <w:vAlign w:val="center"/>
          </w:tcPr>
          <w:p>
            <w:pPr>
              <w:spacing w:line="300" w:lineRule="exact"/>
              <w:jc w:val="center"/>
              <w:rPr>
                <w:color w:val="000000"/>
                <w:szCs w:val="21"/>
                <w:highlight w:val="none"/>
              </w:rPr>
            </w:pPr>
            <w:r>
              <w:rPr>
                <w:color w:val="000000"/>
                <w:szCs w:val="21"/>
                <w:highlight w:val="none"/>
              </w:rPr>
              <w:t>预测情景</w:t>
            </w:r>
          </w:p>
        </w:tc>
        <w:tc>
          <w:tcPr>
            <w:tcW w:w="11811" w:type="dxa"/>
            <w:gridSpan w:val="12"/>
            <w:vAlign w:val="center"/>
          </w:tcPr>
          <w:p>
            <w:pPr>
              <w:pStyle w:val="137"/>
              <w:rPr>
                <w:rFonts w:ascii="Times New Roman" w:cs="Times New Roman"/>
                <w:sz w:val="21"/>
                <w:szCs w:val="21"/>
                <w:highlight w:val="none"/>
              </w:rPr>
            </w:pPr>
            <w:r>
              <w:rPr>
                <w:rFonts w:ascii="Times New Roman" w:cs="Times New Roman"/>
                <w:sz w:val="21"/>
                <w:szCs w:val="21"/>
                <w:highlight w:val="none"/>
              </w:rPr>
              <w:t>建设期□；生产运行期</w:t>
            </w:r>
            <w:r>
              <w:rPr>
                <w:rFonts w:hint="eastAsia" w:ascii="Times New Roman" w:cs="Times New Roman"/>
                <w:sz w:val="21"/>
                <w:szCs w:val="21"/>
                <w:highlight w:val="none"/>
              </w:rPr>
              <w:t>☑</w:t>
            </w:r>
            <w:r>
              <w:rPr>
                <w:rFonts w:ascii="Times New Roman" w:cs="Times New Roman"/>
                <w:sz w:val="21"/>
                <w:szCs w:val="21"/>
                <w:highlight w:val="none"/>
              </w:rPr>
              <w:t>；服务期满后□</w:t>
            </w:r>
          </w:p>
          <w:p>
            <w:pPr>
              <w:pStyle w:val="137"/>
              <w:rPr>
                <w:rFonts w:ascii="Times New Roman" w:cs="Times New Roman"/>
                <w:sz w:val="21"/>
                <w:szCs w:val="21"/>
                <w:highlight w:val="none"/>
              </w:rPr>
            </w:pPr>
            <w:r>
              <w:rPr>
                <w:rFonts w:ascii="Times New Roman" w:cs="Times New Roman"/>
                <w:sz w:val="21"/>
                <w:szCs w:val="21"/>
                <w:highlight w:val="none"/>
              </w:rPr>
              <w:t xml:space="preserve">正常工况 </w:t>
            </w:r>
            <w:r>
              <w:rPr>
                <w:rFonts w:hint="eastAsia" w:ascii="Times New Roman" w:cs="Times New Roman"/>
                <w:sz w:val="21"/>
                <w:szCs w:val="21"/>
                <w:highlight w:val="none"/>
              </w:rPr>
              <w:t>☑</w:t>
            </w:r>
            <w:r>
              <w:rPr>
                <w:rFonts w:ascii="Times New Roman" w:cs="Times New Roman"/>
                <w:sz w:val="21"/>
                <w:szCs w:val="21"/>
                <w:highlight w:val="none"/>
              </w:rPr>
              <w:t>； 非正常工况 □</w:t>
            </w:r>
          </w:p>
          <w:p>
            <w:pPr>
              <w:pStyle w:val="137"/>
              <w:rPr>
                <w:rFonts w:ascii="Times New Roman" w:cs="Times New Roman"/>
                <w:sz w:val="21"/>
                <w:szCs w:val="21"/>
                <w:highlight w:val="none"/>
              </w:rPr>
            </w:pPr>
            <w:r>
              <w:rPr>
                <w:rFonts w:ascii="Times New Roman" w:cs="Times New Roman"/>
                <w:sz w:val="21"/>
                <w:szCs w:val="21"/>
                <w:highlight w:val="none"/>
              </w:rPr>
              <w:t xml:space="preserve">污染控制和减缓措施方案 </w:t>
            </w:r>
            <w:r>
              <w:rPr>
                <w:rFonts w:hint="eastAsia" w:ascii="Times New Roman" w:cs="Times New Roman"/>
                <w:sz w:val="21"/>
                <w:szCs w:val="21"/>
                <w:highlight w:val="none"/>
              </w:rPr>
              <w:t>☑</w:t>
            </w:r>
          </w:p>
          <w:p>
            <w:pPr>
              <w:pStyle w:val="137"/>
              <w:rPr>
                <w:rFonts w:ascii="Times New Roman" w:cs="Times New Roman"/>
                <w:sz w:val="21"/>
                <w:szCs w:val="21"/>
                <w:highlight w:val="none"/>
              </w:rPr>
            </w:pPr>
            <w:r>
              <w:rPr>
                <w:rFonts w:ascii="Times New Roman" w:cs="Times New Roman"/>
                <w:sz w:val="21"/>
                <w:szCs w:val="21"/>
                <w:highlight w:val="none"/>
              </w:rPr>
              <w:t>区（流）域环境质量改善目标要求情景□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restart"/>
            <w:vAlign w:val="center"/>
          </w:tcPr>
          <w:p>
            <w:pPr>
              <w:spacing w:line="300" w:lineRule="exact"/>
              <w:jc w:val="center"/>
              <w:rPr>
                <w:color w:val="000000"/>
                <w:szCs w:val="21"/>
                <w:highlight w:val="none"/>
              </w:rPr>
            </w:pPr>
            <w:r>
              <w:rPr>
                <w:color w:val="000000"/>
                <w:szCs w:val="21"/>
                <w:highlight w:val="none"/>
              </w:rPr>
              <w:t>预测</w:t>
            </w:r>
          </w:p>
          <w:p>
            <w:pPr>
              <w:spacing w:line="300" w:lineRule="exact"/>
              <w:jc w:val="center"/>
              <w:rPr>
                <w:color w:val="000000"/>
                <w:highlight w:val="none"/>
              </w:rPr>
            </w:pPr>
            <w:r>
              <w:rPr>
                <w:color w:val="000000"/>
                <w:szCs w:val="21"/>
                <w:highlight w:val="none"/>
              </w:rPr>
              <w:t>情景</w:t>
            </w:r>
          </w:p>
        </w:tc>
        <w:tc>
          <w:tcPr>
            <w:tcW w:w="1559" w:type="dxa"/>
            <w:vMerge w:val="restart"/>
            <w:vAlign w:val="center"/>
          </w:tcPr>
          <w:p>
            <w:pPr>
              <w:pStyle w:val="137"/>
              <w:jc w:val="center"/>
              <w:rPr>
                <w:rFonts w:ascii="Times New Roman" w:cs="Times New Roman"/>
                <w:sz w:val="21"/>
                <w:szCs w:val="21"/>
                <w:highlight w:val="none"/>
              </w:rPr>
            </w:pPr>
            <w:r>
              <w:rPr>
                <w:rFonts w:ascii="Times New Roman" w:cs="Times New Roman"/>
                <w:sz w:val="21"/>
                <w:szCs w:val="21"/>
                <w:highlight w:val="none"/>
              </w:rPr>
              <w:t>预测方法</w:t>
            </w:r>
          </w:p>
        </w:tc>
        <w:tc>
          <w:tcPr>
            <w:tcW w:w="11811" w:type="dxa"/>
            <w:gridSpan w:val="12"/>
            <w:vAlign w:val="center"/>
          </w:tcPr>
          <w:p>
            <w:pPr>
              <w:pStyle w:val="137"/>
              <w:rPr>
                <w:rFonts w:ascii="Times New Roman" w:cs="Times New Roman"/>
                <w:bCs/>
                <w:sz w:val="21"/>
                <w:szCs w:val="21"/>
                <w:highlight w:val="none"/>
              </w:rPr>
            </w:pPr>
            <w:r>
              <w:rPr>
                <w:rFonts w:ascii="Times New Roman" w:cs="Times New Roman"/>
                <w:sz w:val="21"/>
                <w:szCs w:val="21"/>
                <w:highlight w:val="none"/>
              </w:rPr>
              <w:t>数值解□：解析解</w:t>
            </w:r>
            <w:r>
              <w:rPr>
                <w:rFonts w:hint="eastAsia" w:ascii="Times New Roman" w:cs="Times New Roman"/>
                <w:sz w:val="21"/>
                <w:szCs w:val="21"/>
                <w:highlight w:val="none"/>
              </w:rPr>
              <w:t>☑</w:t>
            </w:r>
            <w:r>
              <w:rPr>
                <w:rFonts w:ascii="Times New Roman" w:cs="Times New Roman"/>
                <w:sz w:val="21"/>
                <w:szCs w:val="21"/>
                <w:highlight w:val="none"/>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559" w:type="dxa"/>
            <w:vMerge w:val="continue"/>
            <w:vAlign w:val="center"/>
          </w:tcPr>
          <w:p>
            <w:pPr>
              <w:spacing w:line="300" w:lineRule="exact"/>
              <w:jc w:val="center"/>
              <w:rPr>
                <w:color w:val="000000"/>
                <w:szCs w:val="21"/>
                <w:highlight w:val="none"/>
              </w:rPr>
            </w:pPr>
          </w:p>
        </w:tc>
        <w:tc>
          <w:tcPr>
            <w:tcW w:w="11811" w:type="dxa"/>
            <w:gridSpan w:val="12"/>
            <w:vAlign w:val="center"/>
          </w:tcPr>
          <w:p>
            <w:pPr>
              <w:spacing w:line="300" w:lineRule="exact"/>
              <w:jc w:val="left"/>
              <w:rPr>
                <w:bCs/>
                <w:color w:val="000000"/>
                <w:szCs w:val="21"/>
                <w:highlight w:val="none"/>
              </w:rPr>
            </w:pPr>
            <w:r>
              <w:rPr>
                <w:color w:val="000000"/>
                <w:szCs w:val="21"/>
                <w:highlight w:val="none"/>
              </w:rPr>
              <w:t xml:space="preserve">导则推荐模式 </w:t>
            </w:r>
            <w:r>
              <w:rPr>
                <w:rFonts w:hint="eastAsia"/>
                <w:color w:val="000000"/>
                <w:szCs w:val="21"/>
                <w:highlight w:val="none"/>
              </w:rPr>
              <w:t>☑</w:t>
            </w:r>
            <w:r>
              <w:rPr>
                <w:color w:val="000000"/>
                <w:szCs w:val="21"/>
                <w:highlight w:val="none"/>
              </w:rPr>
              <w:t>：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559" w:type="dxa"/>
            <w:vAlign w:val="center"/>
          </w:tcPr>
          <w:p>
            <w:pPr>
              <w:pStyle w:val="137"/>
              <w:rPr>
                <w:rFonts w:ascii="Times New Roman" w:cs="Times New Roman"/>
                <w:bCs/>
                <w:sz w:val="21"/>
                <w:szCs w:val="21"/>
                <w:highlight w:val="none"/>
              </w:rPr>
            </w:pPr>
            <w:r>
              <w:rPr>
                <w:rFonts w:ascii="Times New Roman" w:cs="Times New Roman"/>
                <w:sz w:val="21"/>
                <w:szCs w:val="21"/>
                <w:highlight w:val="none"/>
              </w:rPr>
              <w:t>水污染控制和水环境影响减缓措施有效性评价</w:t>
            </w:r>
          </w:p>
        </w:tc>
        <w:tc>
          <w:tcPr>
            <w:tcW w:w="11811" w:type="dxa"/>
            <w:gridSpan w:val="12"/>
            <w:vAlign w:val="center"/>
          </w:tcPr>
          <w:p>
            <w:pPr>
              <w:spacing w:line="300" w:lineRule="exact"/>
              <w:jc w:val="left"/>
              <w:rPr>
                <w:bCs/>
                <w:color w:val="000000"/>
                <w:szCs w:val="21"/>
                <w:highlight w:val="none"/>
              </w:rPr>
            </w:pPr>
            <w:r>
              <w:rPr>
                <w:color w:val="000000"/>
                <w:szCs w:val="21"/>
                <w:highlight w:val="none"/>
              </w:rPr>
              <w:t>区（流）域水环境质量改善目标</w:t>
            </w:r>
            <w:r>
              <w:rPr>
                <w:rFonts w:hint="eastAsia"/>
                <w:color w:val="000000"/>
                <w:szCs w:val="21"/>
                <w:highlight w:val="none"/>
              </w:rPr>
              <w:t>☑</w:t>
            </w:r>
            <w:r>
              <w:rPr>
                <w:color w:val="000000"/>
                <w:szCs w:val="21"/>
                <w:highlight w:val="none"/>
              </w:rPr>
              <w:t>；替代削减源□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559" w:type="dxa"/>
            <w:vAlign w:val="center"/>
          </w:tcPr>
          <w:p>
            <w:pPr>
              <w:spacing w:line="300" w:lineRule="exact"/>
              <w:jc w:val="center"/>
              <w:rPr>
                <w:color w:val="000000"/>
                <w:szCs w:val="21"/>
                <w:highlight w:val="none"/>
              </w:rPr>
            </w:pPr>
            <w:r>
              <w:rPr>
                <w:color w:val="000000"/>
                <w:szCs w:val="21"/>
                <w:highlight w:val="none"/>
              </w:rPr>
              <w:t>水环境影响</w:t>
            </w:r>
          </w:p>
          <w:p>
            <w:pPr>
              <w:spacing w:line="300" w:lineRule="exact"/>
              <w:jc w:val="center"/>
              <w:rPr>
                <w:color w:val="000000"/>
                <w:szCs w:val="21"/>
                <w:highlight w:val="none"/>
              </w:rPr>
            </w:pPr>
            <w:r>
              <w:rPr>
                <w:color w:val="000000"/>
                <w:szCs w:val="21"/>
                <w:highlight w:val="none"/>
              </w:rPr>
              <w:t>评价</w:t>
            </w:r>
          </w:p>
        </w:tc>
        <w:tc>
          <w:tcPr>
            <w:tcW w:w="11811" w:type="dxa"/>
            <w:gridSpan w:val="12"/>
            <w:vAlign w:val="center"/>
          </w:tcPr>
          <w:p>
            <w:pPr>
              <w:spacing w:line="300" w:lineRule="exact"/>
              <w:rPr>
                <w:bCs/>
                <w:color w:val="000000"/>
                <w:szCs w:val="21"/>
                <w:highlight w:val="none"/>
              </w:rPr>
            </w:pPr>
            <w:r>
              <w:rPr>
                <w:bCs/>
                <w:color w:val="000000"/>
                <w:szCs w:val="21"/>
                <w:highlight w:val="none"/>
              </w:rPr>
              <w:t>排放口混合区外满足水环境管理要求 □  ；水环境功能区或水功能区、近岸海域环境功能区水质达标</w:t>
            </w:r>
            <w:r>
              <w:rPr>
                <w:rFonts w:hint="eastAsia"/>
                <w:bCs/>
                <w:color w:val="000000"/>
                <w:szCs w:val="21"/>
                <w:highlight w:val="none"/>
              </w:rPr>
              <w:t>☑</w:t>
            </w:r>
          </w:p>
          <w:p>
            <w:pPr>
              <w:spacing w:line="300" w:lineRule="exact"/>
              <w:rPr>
                <w:bCs/>
                <w:color w:val="000000"/>
                <w:szCs w:val="21"/>
                <w:highlight w:val="none"/>
              </w:rPr>
            </w:pPr>
            <w:r>
              <w:rPr>
                <w:bCs/>
                <w:color w:val="000000"/>
                <w:szCs w:val="21"/>
                <w:highlight w:val="none"/>
              </w:rPr>
              <w:t xml:space="preserve">满足水环境保护目标水域水环境质量要求 </w:t>
            </w:r>
            <w:r>
              <w:rPr>
                <w:rFonts w:hint="eastAsia"/>
                <w:bCs/>
                <w:color w:val="000000"/>
                <w:szCs w:val="21"/>
                <w:highlight w:val="none"/>
              </w:rPr>
              <w:t>☑</w:t>
            </w:r>
            <w:r>
              <w:rPr>
                <w:bCs/>
                <w:color w:val="000000"/>
                <w:szCs w:val="21"/>
                <w:highlight w:val="none"/>
              </w:rPr>
              <w:t xml:space="preserve">  ；水环境控制单元或断面水质达标 □</w:t>
            </w:r>
          </w:p>
          <w:p>
            <w:pPr>
              <w:spacing w:line="300" w:lineRule="exact"/>
              <w:rPr>
                <w:bCs/>
                <w:color w:val="000000"/>
                <w:szCs w:val="21"/>
                <w:highlight w:val="none"/>
              </w:rPr>
            </w:pPr>
            <w:r>
              <w:rPr>
                <w:bCs/>
                <w:color w:val="000000"/>
                <w:szCs w:val="21"/>
                <w:highlight w:val="none"/>
              </w:rPr>
              <w:t>满足重点水污染物排放总量控制指标要求,重点行业建设项目, 主要污染物排放满足等量或减量替代要求□</w:t>
            </w:r>
          </w:p>
          <w:p>
            <w:pPr>
              <w:spacing w:line="300" w:lineRule="exact"/>
              <w:rPr>
                <w:bCs/>
                <w:color w:val="000000"/>
                <w:szCs w:val="21"/>
                <w:highlight w:val="none"/>
              </w:rPr>
            </w:pPr>
            <w:r>
              <w:rPr>
                <w:bCs/>
                <w:color w:val="000000"/>
                <w:szCs w:val="21"/>
                <w:highlight w:val="none"/>
              </w:rPr>
              <w:t>满足区（流）域水环境质量改善目标要求</w:t>
            </w:r>
            <w:r>
              <w:rPr>
                <w:rFonts w:hint="eastAsia"/>
                <w:bCs/>
                <w:color w:val="000000"/>
                <w:szCs w:val="21"/>
                <w:highlight w:val="none"/>
              </w:rPr>
              <w:t>☑</w:t>
            </w:r>
          </w:p>
          <w:p>
            <w:pPr>
              <w:spacing w:line="300" w:lineRule="exact"/>
              <w:rPr>
                <w:bCs/>
                <w:color w:val="000000"/>
                <w:szCs w:val="21"/>
                <w:highlight w:val="none"/>
              </w:rPr>
            </w:pPr>
            <w:r>
              <w:rPr>
                <w:bCs/>
                <w:color w:val="000000"/>
                <w:szCs w:val="21"/>
                <w:highlight w:val="none"/>
              </w:rPr>
              <w:t xml:space="preserve">水文要素影响型建设项目 同时应包括水文情势变化评价、 主要水文特征值影响评价、 生态流量符合性评价 </w:t>
            </w:r>
            <w:r>
              <w:rPr>
                <w:rFonts w:hint="eastAsia"/>
                <w:bCs/>
                <w:color w:val="000000"/>
                <w:szCs w:val="21"/>
                <w:highlight w:val="none"/>
              </w:rPr>
              <w:t>☑</w:t>
            </w:r>
          </w:p>
          <w:p>
            <w:pPr>
              <w:spacing w:line="300" w:lineRule="exact"/>
              <w:rPr>
                <w:bCs/>
                <w:color w:val="000000"/>
                <w:szCs w:val="21"/>
                <w:highlight w:val="none"/>
              </w:rPr>
            </w:pPr>
            <w:r>
              <w:rPr>
                <w:bCs/>
                <w:color w:val="000000"/>
                <w:szCs w:val="21"/>
                <w:highlight w:val="none"/>
              </w:rPr>
              <w:t>对于新设或调整入河 （湖库、 近岸海域） 排放口的建设项目, 应包括排放口设置的环境合理性评价 □</w:t>
            </w:r>
          </w:p>
          <w:p>
            <w:pPr>
              <w:spacing w:line="300" w:lineRule="exact"/>
              <w:rPr>
                <w:bCs/>
                <w:color w:val="000000"/>
                <w:szCs w:val="21"/>
                <w:highlight w:val="none"/>
              </w:rPr>
            </w:pPr>
            <w:r>
              <w:rPr>
                <w:bCs/>
                <w:color w:val="000000"/>
                <w:szCs w:val="21"/>
                <w:highlight w:val="none"/>
              </w:rPr>
              <w:t>满足生态保护红线、水环境质量底线、资源利用上线和环境准入清单管理要求□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restart"/>
            <w:vAlign w:val="center"/>
          </w:tcPr>
          <w:p>
            <w:pPr>
              <w:spacing w:line="300" w:lineRule="exact"/>
              <w:jc w:val="center"/>
              <w:rPr>
                <w:color w:val="000000"/>
                <w:szCs w:val="21"/>
                <w:highlight w:val="none"/>
              </w:rPr>
            </w:pPr>
            <w:r>
              <w:rPr>
                <w:color w:val="000000"/>
                <w:szCs w:val="21"/>
                <w:highlight w:val="none"/>
              </w:rPr>
              <w:t>影响</w:t>
            </w:r>
          </w:p>
          <w:p>
            <w:pPr>
              <w:spacing w:line="300" w:lineRule="exact"/>
              <w:jc w:val="center"/>
              <w:rPr>
                <w:color w:val="000000"/>
                <w:szCs w:val="21"/>
                <w:highlight w:val="none"/>
              </w:rPr>
            </w:pPr>
            <w:r>
              <w:rPr>
                <w:color w:val="000000"/>
                <w:szCs w:val="21"/>
                <w:highlight w:val="none"/>
              </w:rPr>
              <w:t>预测</w:t>
            </w:r>
          </w:p>
        </w:tc>
        <w:tc>
          <w:tcPr>
            <w:tcW w:w="1559" w:type="dxa"/>
            <w:vMerge w:val="restart"/>
            <w:vAlign w:val="center"/>
          </w:tcPr>
          <w:p>
            <w:pPr>
              <w:spacing w:line="300" w:lineRule="exact"/>
              <w:jc w:val="center"/>
              <w:rPr>
                <w:color w:val="000000"/>
                <w:szCs w:val="21"/>
                <w:highlight w:val="none"/>
              </w:rPr>
            </w:pPr>
            <w:r>
              <w:rPr>
                <w:color w:val="000000"/>
                <w:szCs w:val="21"/>
                <w:highlight w:val="none"/>
              </w:rPr>
              <w:t>污染源排放量核算</w:t>
            </w:r>
          </w:p>
        </w:tc>
        <w:tc>
          <w:tcPr>
            <w:tcW w:w="5856" w:type="dxa"/>
            <w:gridSpan w:val="6"/>
            <w:vAlign w:val="center"/>
          </w:tcPr>
          <w:p>
            <w:pPr>
              <w:spacing w:line="300" w:lineRule="exact"/>
              <w:jc w:val="center"/>
              <w:rPr>
                <w:color w:val="000000"/>
                <w:szCs w:val="21"/>
                <w:highlight w:val="none"/>
              </w:rPr>
            </w:pPr>
            <w:r>
              <w:rPr>
                <w:color w:val="000000"/>
                <w:szCs w:val="21"/>
                <w:highlight w:val="none"/>
              </w:rPr>
              <w:t>污染物名称</w:t>
            </w:r>
          </w:p>
        </w:tc>
        <w:tc>
          <w:tcPr>
            <w:tcW w:w="3309" w:type="dxa"/>
            <w:gridSpan w:val="4"/>
            <w:vAlign w:val="center"/>
          </w:tcPr>
          <w:p>
            <w:pPr>
              <w:spacing w:line="300" w:lineRule="exact"/>
              <w:jc w:val="center"/>
              <w:rPr>
                <w:color w:val="000000"/>
                <w:szCs w:val="21"/>
                <w:highlight w:val="none"/>
              </w:rPr>
            </w:pPr>
            <w:r>
              <w:rPr>
                <w:color w:val="000000"/>
                <w:szCs w:val="21"/>
                <w:highlight w:val="none"/>
              </w:rPr>
              <w:t>排放量（t/a）</w:t>
            </w:r>
          </w:p>
        </w:tc>
        <w:tc>
          <w:tcPr>
            <w:tcW w:w="2646" w:type="dxa"/>
            <w:gridSpan w:val="2"/>
            <w:vAlign w:val="center"/>
          </w:tcPr>
          <w:p>
            <w:pPr>
              <w:spacing w:line="300" w:lineRule="exact"/>
              <w:jc w:val="center"/>
              <w:rPr>
                <w:bCs/>
                <w:color w:val="000000"/>
                <w:szCs w:val="21"/>
                <w:highlight w:val="none"/>
              </w:rPr>
            </w:pPr>
            <w:r>
              <w:rPr>
                <w:color w:val="000000"/>
                <w:szCs w:val="21"/>
                <w:highlight w:val="none"/>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559" w:type="dxa"/>
            <w:vMerge w:val="continue"/>
            <w:vAlign w:val="center"/>
          </w:tcPr>
          <w:p>
            <w:pPr>
              <w:spacing w:line="300" w:lineRule="exact"/>
              <w:jc w:val="center"/>
              <w:rPr>
                <w:color w:val="000000"/>
                <w:szCs w:val="21"/>
                <w:highlight w:val="none"/>
              </w:rPr>
            </w:pPr>
          </w:p>
        </w:tc>
        <w:tc>
          <w:tcPr>
            <w:tcW w:w="5856" w:type="dxa"/>
            <w:gridSpan w:val="6"/>
            <w:vAlign w:val="center"/>
          </w:tcPr>
          <w:p>
            <w:pPr>
              <w:spacing w:line="300" w:lineRule="exact"/>
              <w:jc w:val="center"/>
              <w:rPr>
                <w:bCs/>
                <w:color w:val="000000"/>
                <w:szCs w:val="21"/>
                <w:highlight w:val="none"/>
              </w:rPr>
            </w:pPr>
            <w:r>
              <w:rPr>
                <w:bCs/>
                <w:color w:val="000000"/>
                <w:szCs w:val="21"/>
                <w:highlight w:val="none"/>
              </w:rPr>
              <w:t>（COD、氨氮、SS）</w:t>
            </w:r>
          </w:p>
        </w:tc>
        <w:tc>
          <w:tcPr>
            <w:tcW w:w="3309" w:type="dxa"/>
            <w:gridSpan w:val="4"/>
            <w:vAlign w:val="center"/>
          </w:tcPr>
          <w:p>
            <w:pPr>
              <w:spacing w:line="300" w:lineRule="exact"/>
              <w:jc w:val="center"/>
              <w:rPr>
                <w:bCs/>
                <w:color w:val="000000"/>
                <w:szCs w:val="21"/>
                <w:highlight w:val="none"/>
              </w:rPr>
            </w:pPr>
            <w:r>
              <w:rPr>
                <w:bCs/>
                <w:color w:val="000000"/>
                <w:szCs w:val="21"/>
                <w:highlight w:val="none"/>
              </w:rPr>
              <w:t>（</w:t>
            </w:r>
            <w:r>
              <w:rPr>
                <w:rFonts w:hint="eastAsia"/>
                <w:bCs/>
                <w:color w:val="000000"/>
                <w:szCs w:val="21"/>
                <w:highlight w:val="none"/>
              </w:rPr>
              <w:t>不外排</w:t>
            </w:r>
            <w:r>
              <w:rPr>
                <w:bCs/>
                <w:color w:val="000000"/>
                <w:szCs w:val="21"/>
                <w:highlight w:val="none"/>
              </w:rPr>
              <w:t>）</w:t>
            </w:r>
          </w:p>
        </w:tc>
        <w:tc>
          <w:tcPr>
            <w:tcW w:w="2646" w:type="dxa"/>
            <w:gridSpan w:val="2"/>
            <w:vAlign w:val="center"/>
          </w:tcPr>
          <w:p>
            <w:pPr>
              <w:spacing w:line="300" w:lineRule="exact"/>
              <w:jc w:val="center"/>
              <w:rPr>
                <w:bCs/>
                <w:color w:val="000000"/>
                <w:szCs w:val="21"/>
                <w:highlight w:val="none"/>
              </w:rPr>
            </w:pPr>
            <w:r>
              <w:rPr>
                <w:bCs/>
                <w:color w:val="00000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559" w:type="dxa"/>
            <w:vMerge w:val="restart"/>
            <w:vAlign w:val="center"/>
          </w:tcPr>
          <w:p>
            <w:pPr>
              <w:spacing w:line="300" w:lineRule="exact"/>
              <w:jc w:val="center"/>
              <w:rPr>
                <w:color w:val="000000"/>
                <w:szCs w:val="21"/>
                <w:highlight w:val="none"/>
              </w:rPr>
            </w:pPr>
            <w:r>
              <w:rPr>
                <w:color w:val="000000"/>
                <w:szCs w:val="21"/>
                <w:highlight w:val="none"/>
              </w:rPr>
              <w:t>替代源排放</w:t>
            </w:r>
          </w:p>
          <w:p>
            <w:pPr>
              <w:spacing w:line="300" w:lineRule="exact"/>
              <w:jc w:val="center"/>
              <w:rPr>
                <w:color w:val="000000"/>
                <w:szCs w:val="21"/>
                <w:highlight w:val="none"/>
              </w:rPr>
            </w:pPr>
            <w:r>
              <w:rPr>
                <w:color w:val="000000"/>
                <w:szCs w:val="21"/>
                <w:highlight w:val="none"/>
              </w:rPr>
              <w:t>情况</w:t>
            </w:r>
          </w:p>
        </w:tc>
        <w:tc>
          <w:tcPr>
            <w:tcW w:w="2256" w:type="dxa"/>
            <w:gridSpan w:val="2"/>
            <w:vAlign w:val="center"/>
          </w:tcPr>
          <w:p>
            <w:pPr>
              <w:spacing w:line="300" w:lineRule="exact"/>
              <w:jc w:val="center"/>
              <w:rPr>
                <w:bCs/>
                <w:color w:val="000000"/>
                <w:szCs w:val="21"/>
                <w:highlight w:val="none"/>
              </w:rPr>
            </w:pPr>
            <w:r>
              <w:rPr>
                <w:color w:val="000000"/>
                <w:szCs w:val="21"/>
                <w:highlight w:val="none"/>
              </w:rPr>
              <w:t>污染源名称</w:t>
            </w:r>
          </w:p>
        </w:tc>
        <w:tc>
          <w:tcPr>
            <w:tcW w:w="1845" w:type="dxa"/>
            <w:gridSpan w:val="3"/>
            <w:vAlign w:val="center"/>
          </w:tcPr>
          <w:p>
            <w:pPr>
              <w:spacing w:line="300" w:lineRule="exact"/>
              <w:jc w:val="center"/>
              <w:rPr>
                <w:bCs/>
                <w:color w:val="000000"/>
                <w:szCs w:val="21"/>
                <w:highlight w:val="none"/>
              </w:rPr>
            </w:pPr>
            <w:r>
              <w:rPr>
                <w:color w:val="000000"/>
                <w:szCs w:val="21"/>
                <w:highlight w:val="none"/>
              </w:rPr>
              <w:t>排污许可证编号</w:t>
            </w:r>
          </w:p>
        </w:tc>
        <w:tc>
          <w:tcPr>
            <w:tcW w:w="1755" w:type="dxa"/>
            <w:vAlign w:val="center"/>
          </w:tcPr>
          <w:p>
            <w:pPr>
              <w:spacing w:line="300" w:lineRule="exact"/>
              <w:jc w:val="center"/>
              <w:rPr>
                <w:bCs/>
                <w:color w:val="000000"/>
                <w:szCs w:val="21"/>
                <w:highlight w:val="none"/>
              </w:rPr>
            </w:pPr>
            <w:r>
              <w:rPr>
                <w:color w:val="000000"/>
                <w:szCs w:val="21"/>
                <w:highlight w:val="none"/>
              </w:rPr>
              <w:t>污染物名称</w:t>
            </w:r>
          </w:p>
        </w:tc>
        <w:tc>
          <w:tcPr>
            <w:tcW w:w="3309" w:type="dxa"/>
            <w:gridSpan w:val="4"/>
            <w:vAlign w:val="center"/>
          </w:tcPr>
          <w:p>
            <w:pPr>
              <w:spacing w:line="300" w:lineRule="exact"/>
              <w:jc w:val="center"/>
              <w:rPr>
                <w:bCs/>
                <w:color w:val="000000"/>
                <w:szCs w:val="21"/>
                <w:highlight w:val="none"/>
              </w:rPr>
            </w:pPr>
            <w:r>
              <w:rPr>
                <w:color w:val="000000"/>
                <w:szCs w:val="21"/>
                <w:highlight w:val="none"/>
              </w:rPr>
              <w:t>排放量/（t/a）</w:t>
            </w:r>
          </w:p>
        </w:tc>
        <w:tc>
          <w:tcPr>
            <w:tcW w:w="2646" w:type="dxa"/>
            <w:gridSpan w:val="2"/>
            <w:vAlign w:val="center"/>
          </w:tcPr>
          <w:p>
            <w:pPr>
              <w:spacing w:line="300" w:lineRule="exact"/>
              <w:jc w:val="center"/>
              <w:rPr>
                <w:bCs/>
                <w:color w:val="000000"/>
                <w:szCs w:val="21"/>
                <w:highlight w:val="none"/>
              </w:rPr>
            </w:pPr>
            <w:r>
              <w:rPr>
                <w:color w:val="000000"/>
                <w:szCs w:val="21"/>
                <w:highlight w:val="none"/>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559" w:type="dxa"/>
            <w:vMerge w:val="continue"/>
            <w:vAlign w:val="center"/>
          </w:tcPr>
          <w:p>
            <w:pPr>
              <w:spacing w:line="300" w:lineRule="exact"/>
              <w:jc w:val="center"/>
              <w:rPr>
                <w:color w:val="000000"/>
                <w:szCs w:val="21"/>
                <w:highlight w:val="none"/>
              </w:rPr>
            </w:pPr>
          </w:p>
        </w:tc>
        <w:tc>
          <w:tcPr>
            <w:tcW w:w="2256" w:type="dxa"/>
            <w:gridSpan w:val="2"/>
            <w:vAlign w:val="center"/>
          </w:tcPr>
          <w:p>
            <w:pPr>
              <w:pStyle w:val="137"/>
              <w:jc w:val="center"/>
              <w:rPr>
                <w:rFonts w:ascii="Times New Roman" w:cs="Times New Roman"/>
                <w:bCs/>
                <w:sz w:val="21"/>
                <w:szCs w:val="21"/>
                <w:highlight w:val="none"/>
              </w:rPr>
            </w:pPr>
            <w:r>
              <w:rPr>
                <w:rFonts w:ascii="Times New Roman" w:cs="Times New Roman"/>
                <w:bCs/>
                <w:sz w:val="21"/>
                <w:szCs w:val="21"/>
                <w:highlight w:val="none"/>
              </w:rPr>
              <w:t>（）</w:t>
            </w:r>
          </w:p>
        </w:tc>
        <w:tc>
          <w:tcPr>
            <w:tcW w:w="1845" w:type="dxa"/>
            <w:gridSpan w:val="3"/>
            <w:vAlign w:val="center"/>
          </w:tcPr>
          <w:p>
            <w:pPr>
              <w:pStyle w:val="137"/>
              <w:jc w:val="center"/>
              <w:rPr>
                <w:rFonts w:ascii="Times New Roman" w:cs="Times New Roman"/>
                <w:bCs/>
                <w:sz w:val="21"/>
                <w:szCs w:val="21"/>
                <w:highlight w:val="none"/>
              </w:rPr>
            </w:pPr>
            <w:r>
              <w:rPr>
                <w:rFonts w:ascii="Times New Roman" w:cs="Times New Roman"/>
                <w:bCs/>
                <w:sz w:val="21"/>
                <w:szCs w:val="21"/>
                <w:highlight w:val="none"/>
              </w:rPr>
              <w:t>（）</w:t>
            </w:r>
          </w:p>
        </w:tc>
        <w:tc>
          <w:tcPr>
            <w:tcW w:w="1755" w:type="dxa"/>
            <w:vAlign w:val="center"/>
          </w:tcPr>
          <w:p>
            <w:pPr>
              <w:pStyle w:val="137"/>
              <w:jc w:val="center"/>
              <w:rPr>
                <w:rFonts w:ascii="Times New Roman" w:cs="Times New Roman"/>
                <w:bCs/>
                <w:sz w:val="21"/>
                <w:szCs w:val="21"/>
                <w:highlight w:val="none"/>
              </w:rPr>
            </w:pPr>
            <w:r>
              <w:rPr>
                <w:rFonts w:ascii="Times New Roman" w:cs="Times New Roman"/>
                <w:bCs/>
                <w:sz w:val="21"/>
                <w:szCs w:val="21"/>
                <w:highlight w:val="none"/>
              </w:rPr>
              <w:t>（）</w:t>
            </w:r>
          </w:p>
        </w:tc>
        <w:tc>
          <w:tcPr>
            <w:tcW w:w="3309" w:type="dxa"/>
            <w:gridSpan w:val="4"/>
            <w:vAlign w:val="center"/>
          </w:tcPr>
          <w:p>
            <w:pPr>
              <w:pStyle w:val="137"/>
              <w:jc w:val="center"/>
              <w:rPr>
                <w:rFonts w:ascii="Times New Roman" w:cs="Times New Roman"/>
                <w:bCs/>
                <w:sz w:val="21"/>
                <w:szCs w:val="21"/>
                <w:highlight w:val="none"/>
              </w:rPr>
            </w:pPr>
            <w:r>
              <w:rPr>
                <w:rFonts w:ascii="Times New Roman" w:cs="Times New Roman"/>
                <w:bCs/>
                <w:sz w:val="21"/>
                <w:szCs w:val="21"/>
                <w:highlight w:val="none"/>
              </w:rPr>
              <w:t>（）</w:t>
            </w:r>
          </w:p>
        </w:tc>
        <w:tc>
          <w:tcPr>
            <w:tcW w:w="2646" w:type="dxa"/>
            <w:gridSpan w:val="2"/>
            <w:vAlign w:val="center"/>
          </w:tcPr>
          <w:p>
            <w:pPr>
              <w:pStyle w:val="137"/>
              <w:jc w:val="center"/>
              <w:rPr>
                <w:rFonts w:ascii="Times New Roman" w:cs="Times New Roman"/>
                <w:bCs/>
                <w:sz w:val="21"/>
                <w:szCs w:val="21"/>
                <w:highlight w:val="none"/>
              </w:rPr>
            </w:pPr>
            <w:r>
              <w:rPr>
                <w:rFonts w:ascii="Times New Roman" w:cs="Times New Roman"/>
                <w:bCs/>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559" w:type="dxa"/>
            <w:vAlign w:val="center"/>
          </w:tcPr>
          <w:p>
            <w:pPr>
              <w:pStyle w:val="137"/>
              <w:jc w:val="center"/>
              <w:rPr>
                <w:rFonts w:ascii="Times New Roman" w:cs="Times New Roman"/>
                <w:sz w:val="21"/>
                <w:szCs w:val="21"/>
                <w:highlight w:val="none"/>
              </w:rPr>
            </w:pPr>
            <w:r>
              <w:rPr>
                <w:rFonts w:ascii="Times New Roman" w:cs="Times New Roman"/>
                <w:sz w:val="21"/>
                <w:szCs w:val="21"/>
                <w:highlight w:val="none"/>
              </w:rPr>
              <w:t>生态流量确定</w:t>
            </w:r>
          </w:p>
        </w:tc>
        <w:tc>
          <w:tcPr>
            <w:tcW w:w="11811" w:type="dxa"/>
            <w:gridSpan w:val="12"/>
            <w:vAlign w:val="center"/>
          </w:tcPr>
          <w:p>
            <w:pPr>
              <w:pStyle w:val="137"/>
              <w:rPr>
                <w:rFonts w:ascii="Times New Roman" w:cs="Times New Roman"/>
                <w:sz w:val="21"/>
                <w:szCs w:val="21"/>
                <w:highlight w:val="none"/>
              </w:rPr>
            </w:pPr>
            <w:r>
              <w:rPr>
                <w:rFonts w:ascii="Times New Roman" w:cs="Times New Roman"/>
                <w:sz w:val="21"/>
                <w:szCs w:val="21"/>
                <w:highlight w:val="none"/>
              </w:rPr>
              <w:t>生态流量：一般水期 （</w:t>
            </w:r>
            <w:r>
              <w:rPr>
                <w:rFonts w:hint="eastAsia" w:ascii="Times New Roman" w:cs="Times New Roman"/>
                <w:sz w:val="21"/>
                <w:szCs w:val="21"/>
                <w:highlight w:val="none"/>
                <w:lang w:val="en-US" w:eastAsia="zh-CN"/>
              </w:rPr>
              <w:t>4</w:t>
            </w:r>
            <w:r>
              <w:rPr>
                <w:rFonts w:ascii="Times New Roman" w:cs="Times New Roman"/>
                <w:sz w:val="21"/>
                <w:szCs w:val="21"/>
                <w:highlight w:val="none"/>
              </w:rPr>
              <w:t xml:space="preserve"> ） m</w:t>
            </w:r>
            <w:r>
              <w:rPr>
                <w:rFonts w:ascii="Times New Roman" w:cs="Times New Roman"/>
                <w:sz w:val="21"/>
                <w:szCs w:val="21"/>
                <w:highlight w:val="none"/>
                <w:vertAlign w:val="superscript"/>
              </w:rPr>
              <w:t>3</w:t>
            </w:r>
            <w:r>
              <w:rPr>
                <w:rFonts w:ascii="Times New Roman" w:cs="Times New Roman"/>
                <w:sz w:val="21"/>
                <w:szCs w:val="21"/>
                <w:highlight w:val="none"/>
              </w:rPr>
              <w:t xml:space="preserve"> /s；鱼类繁殖期 （ ）m</w:t>
            </w:r>
            <w:r>
              <w:rPr>
                <w:rFonts w:ascii="Times New Roman" w:cs="Times New Roman"/>
                <w:sz w:val="21"/>
                <w:szCs w:val="21"/>
                <w:highlight w:val="none"/>
                <w:vertAlign w:val="superscript"/>
              </w:rPr>
              <w:t>3</w:t>
            </w:r>
            <w:r>
              <w:rPr>
                <w:rFonts w:ascii="Times New Roman" w:cs="Times New Roman"/>
                <w:sz w:val="21"/>
                <w:szCs w:val="21"/>
                <w:highlight w:val="none"/>
              </w:rPr>
              <w:t xml:space="preserve"> /s； 其他（ ）m</w:t>
            </w:r>
            <w:r>
              <w:rPr>
                <w:rFonts w:ascii="Times New Roman" w:cs="Times New Roman"/>
                <w:sz w:val="21"/>
                <w:szCs w:val="21"/>
                <w:highlight w:val="none"/>
                <w:vertAlign w:val="superscript"/>
              </w:rPr>
              <w:t>3</w:t>
            </w:r>
            <w:r>
              <w:rPr>
                <w:rFonts w:ascii="Times New Roman" w:cs="Times New Roman"/>
                <w:sz w:val="21"/>
                <w:szCs w:val="21"/>
                <w:highlight w:val="none"/>
              </w:rPr>
              <w:t xml:space="preserve"> /s</w:t>
            </w:r>
          </w:p>
          <w:p>
            <w:pPr>
              <w:pStyle w:val="137"/>
              <w:rPr>
                <w:rFonts w:ascii="Times New Roman" w:cs="Times New Roman"/>
                <w:sz w:val="21"/>
                <w:szCs w:val="21"/>
                <w:highlight w:val="none"/>
              </w:rPr>
            </w:pPr>
            <w:r>
              <w:rPr>
                <w:rFonts w:ascii="Times New Roman" w:cs="Times New Roman"/>
                <w:sz w:val="21"/>
                <w:szCs w:val="21"/>
                <w:highlight w:val="none"/>
              </w:rPr>
              <w:t>生态水位：一般水期（</w:t>
            </w:r>
            <w:r>
              <w:rPr>
                <w:rFonts w:hint="eastAsia" w:ascii="Times New Roman" w:cs="Times New Roman"/>
                <w:sz w:val="21"/>
                <w:szCs w:val="21"/>
                <w:highlight w:val="none"/>
                <w:lang w:val="en-US" w:eastAsia="zh-CN"/>
              </w:rPr>
              <w:t>1</w:t>
            </w:r>
            <w:r>
              <w:rPr>
                <w:rFonts w:ascii="Times New Roman" w:cs="Times New Roman"/>
                <w:sz w:val="21"/>
                <w:szCs w:val="21"/>
                <w:highlight w:val="none"/>
              </w:rPr>
              <w:t xml:space="preserve"> ）m；鱼类繁殖期（ ）m；其他（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restart"/>
            <w:vAlign w:val="center"/>
          </w:tcPr>
          <w:p>
            <w:pPr>
              <w:spacing w:line="300" w:lineRule="exact"/>
              <w:jc w:val="center"/>
              <w:rPr>
                <w:color w:val="000000"/>
                <w:szCs w:val="21"/>
                <w:highlight w:val="none"/>
              </w:rPr>
            </w:pPr>
            <w:r>
              <w:rPr>
                <w:color w:val="000000"/>
                <w:szCs w:val="21"/>
                <w:highlight w:val="none"/>
              </w:rPr>
              <w:t>防治</w:t>
            </w:r>
          </w:p>
          <w:p>
            <w:pPr>
              <w:pStyle w:val="137"/>
              <w:ind w:firstLine="210" w:firstLineChars="100"/>
              <w:rPr>
                <w:rFonts w:ascii="Times New Roman" w:cs="Times New Roman"/>
                <w:sz w:val="21"/>
                <w:szCs w:val="21"/>
                <w:highlight w:val="none"/>
              </w:rPr>
            </w:pPr>
            <w:r>
              <w:rPr>
                <w:rFonts w:ascii="Times New Roman" w:cs="Times New Roman"/>
                <w:sz w:val="21"/>
                <w:szCs w:val="21"/>
                <w:highlight w:val="none"/>
              </w:rPr>
              <w:t>措施</w:t>
            </w:r>
          </w:p>
        </w:tc>
        <w:tc>
          <w:tcPr>
            <w:tcW w:w="1559" w:type="dxa"/>
            <w:tcBorders>
              <w:top w:val="single" w:color="auto" w:sz="4" w:space="0"/>
              <w:left w:val="single" w:color="auto" w:sz="4" w:space="0"/>
              <w:bottom w:val="single" w:color="auto" w:sz="4" w:space="0"/>
              <w:right w:val="single" w:color="auto" w:sz="4" w:space="0"/>
            </w:tcBorders>
            <w:vAlign w:val="center"/>
          </w:tcPr>
          <w:p>
            <w:pPr>
              <w:spacing w:line="300" w:lineRule="exact"/>
              <w:jc w:val="center"/>
              <w:rPr>
                <w:color w:val="000000"/>
                <w:szCs w:val="21"/>
                <w:highlight w:val="none"/>
              </w:rPr>
            </w:pPr>
            <w:r>
              <w:rPr>
                <w:color w:val="000000"/>
                <w:szCs w:val="21"/>
                <w:highlight w:val="none"/>
              </w:rPr>
              <w:t>环保措施</w:t>
            </w:r>
          </w:p>
        </w:tc>
        <w:tc>
          <w:tcPr>
            <w:tcW w:w="11811" w:type="dxa"/>
            <w:gridSpan w:val="12"/>
            <w:tcBorders>
              <w:top w:val="single" w:color="auto" w:sz="4" w:space="0"/>
              <w:left w:val="single" w:color="auto" w:sz="4" w:space="0"/>
              <w:bottom w:val="single" w:color="auto" w:sz="4" w:space="0"/>
              <w:right w:val="single" w:color="auto" w:sz="4" w:space="0"/>
            </w:tcBorders>
            <w:vAlign w:val="center"/>
          </w:tcPr>
          <w:p>
            <w:pPr>
              <w:spacing w:line="300" w:lineRule="exact"/>
              <w:jc w:val="left"/>
              <w:rPr>
                <w:color w:val="000000"/>
                <w:szCs w:val="21"/>
                <w:highlight w:val="none"/>
              </w:rPr>
            </w:pPr>
            <w:r>
              <w:rPr>
                <w:color w:val="000000"/>
                <w:szCs w:val="21"/>
                <w:highlight w:val="none"/>
              </w:rPr>
              <w:t>污水处理设施</w:t>
            </w:r>
            <w:r>
              <w:rPr>
                <w:rFonts w:hint="eastAsia" w:ascii="MS Mincho" w:hAnsi="MS Mincho" w:eastAsia="MS Mincho" w:cs="MS Mincho"/>
                <w:color w:val="000000"/>
                <w:szCs w:val="21"/>
                <w:highlight w:val="none"/>
              </w:rPr>
              <w:t>☑</w:t>
            </w:r>
            <w:r>
              <w:rPr>
                <w:color w:val="000000"/>
                <w:szCs w:val="21"/>
                <w:highlight w:val="none"/>
              </w:rPr>
              <w:t>；水文减缓设施□；生态流量保障设施□；区域消减□；依托其他工程措施；其他□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559" w:type="dxa"/>
            <w:vMerge w:val="restart"/>
            <w:tcBorders>
              <w:top w:val="single" w:color="auto" w:sz="4" w:space="0"/>
              <w:left w:val="single" w:color="auto" w:sz="4" w:space="0"/>
              <w:right w:val="single" w:color="auto" w:sz="4" w:space="0"/>
            </w:tcBorders>
            <w:vAlign w:val="center"/>
          </w:tcPr>
          <w:p>
            <w:pPr>
              <w:spacing w:line="300" w:lineRule="exact"/>
              <w:jc w:val="center"/>
              <w:rPr>
                <w:color w:val="000000"/>
                <w:szCs w:val="21"/>
                <w:highlight w:val="none"/>
              </w:rPr>
            </w:pPr>
            <w:r>
              <w:rPr>
                <w:color w:val="000000"/>
                <w:szCs w:val="21"/>
                <w:highlight w:val="none"/>
              </w:rPr>
              <w:t>监测计划</w:t>
            </w:r>
          </w:p>
        </w:tc>
        <w:tc>
          <w:tcPr>
            <w:tcW w:w="3981" w:type="dxa"/>
            <w:gridSpan w:val="4"/>
            <w:tcBorders>
              <w:top w:val="single" w:color="auto" w:sz="4" w:space="0"/>
              <w:left w:val="single" w:color="auto" w:sz="4" w:space="0"/>
              <w:bottom w:val="single" w:color="auto" w:sz="4" w:space="0"/>
              <w:right w:val="single" w:color="auto" w:sz="4" w:space="0"/>
            </w:tcBorders>
            <w:vAlign w:val="center"/>
          </w:tcPr>
          <w:p>
            <w:pPr>
              <w:spacing w:line="300" w:lineRule="exact"/>
              <w:jc w:val="center"/>
              <w:rPr>
                <w:color w:val="000000"/>
                <w:szCs w:val="21"/>
                <w:highlight w:val="none"/>
              </w:rPr>
            </w:pPr>
          </w:p>
        </w:tc>
        <w:tc>
          <w:tcPr>
            <w:tcW w:w="4275" w:type="dxa"/>
            <w:gridSpan w:val="5"/>
            <w:tcBorders>
              <w:top w:val="single" w:color="auto" w:sz="4" w:space="0"/>
              <w:left w:val="single" w:color="auto" w:sz="4" w:space="0"/>
              <w:bottom w:val="single" w:color="auto" w:sz="4" w:space="0"/>
              <w:right w:val="single" w:color="auto" w:sz="4" w:space="0"/>
            </w:tcBorders>
            <w:vAlign w:val="center"/>
          </w:tcPr>
          <w:p>
            <w:pPr>
              <w:spacing w:line="300" w:lineRule="exact"/>
              <w:jc w:val="center"/>
              <w:rPr>
                <w:color w:val="000000"/>
                <w:szCs w:val="21"/>
                <w:highlight w:val="none"/>
              </w:rPr>
            </w:pPr>
            <w:r>
              <w:rPr>
                <w:color w:val="000000"/>
                <w:szCs w:val="21"/>
                <w:highlight w:val="none"/>
              </w:rPr>
              <w:t>环境质量</w:t>
            </w:r>
          </w:p>
        </w:tc>
        <w:tc>
          <w:tcPr>
            <w:tcW w:w="3555" w:type="dxa"/>
            <w:gridSpan w:val="3"/>
            <w:tcBorders>
              <w:top w:val="single" w:color="auto" w:sz="4" w:space="0"/>
              <w:left w:val="single" w:color="auto" w:sz="4" w:space="0"/>
              <w:bottom w:val="single" w:color="auto" w:sz="4" w:space="0"/>
              <w:right w:val="single" w:color="auto" w:sz="4" w:space="0"/>
            </w:tcBorders>
            <w:vAlign w:val="center"/>
          </w:tcPr>
          <w:p>
            <w:pPr>
              <w:spacing w:line="300" w:lineRule="exact"/>
              <w:jc w:val="center"/>
              <w:rPr>
                <w:color w:val="000000"/>
                <w:szCs w:val="21"/>
                <w:highlight w:val="none"/>
              </w:rPr>
            </w:pPr>
            <w:r>
              <w:rPr>
                <w:color w:val="000000"/>
                <w:szCs w:val="21"/>
                <w:highlight w:val="none"/>
              </w:rPr>
              <w:t>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559" w:type="dxa"/>
            <w:vMerge w:val="continue"/>
            <w:tcBorders>
              <w:left w:val="single" w:color="auto" w:sz="4" w:space="0"/>
              <w:right w:val="single" w:color="auto" w:sz="4" w:space="0"/>
            </w:tcBorders>
            <w:vAlign w:val="center"/>
          </w:tcPr>
          <w:p>
            <w:pPr>
              <w:spacing w:line="300" w:lineRule="exact"/>
              <w:jc w:val="center"/>
              <w:rPr>
                <w:color w:val="000000"/>
                <w:szCs w:val="21"/>
                <w:highlight w:val="none"/>
              </w:rPr>
            </w:pPr>
          </w:p>
        </w:tc>
        <w:tc>
          <w:tcPr>
            <w:tcW w:w="3981" w:type="dxa"/>
            <w:gridSpan w:val="4"/>
            <w:tcBorders>
              <w:top w:val="single" w:color="auto" w:sz="4" w:space="0"/>
              <w:left w:val="single" w:color="auto" w:sz="4" w:space="0"/>
              <w:bottom w:val="single" w:color="auto" w:sz="4" w:space="0"/>
              <w:right w:val="single" w:color="auto" w:sz="4" w:space="0"/>
            </w:tcBorders>
            <w:vAlign w:val="center"/>
          </w:tcPr>
          <w:p>
            <w:pPr>
              <w:spacing w:line="300" w:lineRule="exact"/>
              <w:jc w:val="center"/>
              <w:rPr>
                <w:color w:val="000000"/>
                <w:szCs w:val="21"/>
                <w:highlight w:val="none"/>
              </w:rPr>
            </w:pPr>
            <w:r>
              <w:rPr>
                <w:color w:val="000000"/>
                <w:szCs w:val="21"/>
                <w:highlight w:val="none"/>
              </w:rPr>
              <w:t>监测方式</w:t>
            </w:r>
          </w:p>
        </w:tc>
        <w:tc>
          <w:tcPr>
            <w:tcW w:w="4275" w:type="dxa"/>
            <w:gridSpan w:val="5"/>
            <w:tcBorders>
              <w:top w:val="single" w:color="auto" w:sz="4" w:space="0"/>
              <w:left w:val="single" w:color="auto" w:sz="4" w:space="0"/>
              <w:bottom w:val="single" w:color="auto" w:sz="4" w:space="0"/>
              <w:right w:val="single" w:color="auto" w:sz="4" w:space="0"/>
            </w:tcBorders>
            <w:vAlign w:val="center"/>
          </w:tcPr>
          <w:p>
            <w:pPr>
              <w:spacing w:line="300" w:lineRule="exact"/>
              <w:jc w:val="center"/>
              <w:rPr>
                <w:color w:val="000000"/>
                <w:szCs w:val="21"/>
                <w:highlight w:val="none"/>
              </w:rPr>
            </w:pPr>
            <w:r>
              <w:rPr>
                <w:color w:val="000000"/>
                <w:szCs w:val="21"/>
                <w:highlight w:val="none"/>
              </w:rPr>
              <w:t>手动</w:t>
            </w:r>
            <w:r>
              <w:rPr>
                <w:rFonts w:hint="eastAsia"/>
                <w:color w:val="000000"/>
                <w:szCs w:val="21"/>
                <w:highlight w:val="none"/>
              </w:rPr>
              <w:t>☑</w:t>
            </w:r>
            <w:r>
              <w:rPr>
                <w:color w:val="000000"/>
                <w:szCs w:val="21"/>
                <w:highlight w:val="none"/>
              </w:rPr>
              <w:t>；自动□；无监测□</w:t>
            </w:r>
          </w:p>
        </w:tc>
        <w:tc>
          <w:tcPr>
            <w:tcW w:w="3555" w:type="dxa"/>
            <w:gridSpan w:val="3"/>
            <w:tcBorders>
              <w:top w:val="single" w:color="auto" w:sz="4" w:space="0"/>
              <w:left w:val="single" w:color="auto" w:sz="4" w:space="0"/>
              <w:bottom w:val="single" w:color="auto" w:sz="4" w:space="0"/>
              <w:right w:val="single" w:color="auto" w:sz="4" w:space="0"/>
            </w:tcBorders>
            <w:vAlign w:val="center"/>
          </w:tcPr>
          <w:p>
            <w:pPr>
              <w:spacing w:line="300" w:lineRule="exact"/>
              <w:jc w:val="center"/>
              <w:rPr>
                <w:color w:val="000000"/>
                <w:szCs w:val="21"/>
                <w:highlight w:val="none"/>
              </w:rPr>
            </w:pPr>
            <w:r>
              <w:rPr>
                <w:color w:val="000000"/>
                <w:szCs w:val="21"/>
                <w:highlight w:val="none"/>
              </w:rPr>
              <w:t>手动</w:t>
            </w:r>
            <w:r>
              <w:rPr>
                <w:rFonts w:hint="eastAsia"/>
                <w:color w:val="000000"/>
                <w:szCs w:val="21"/>
                <w:highlight w:val="none"/>
                <w:lang w:eastAsia="zh-CN"/>
              </w:rPr>
              <w:t>□</w:t>
            </w:r>
            <w:r>
              <w:rPr>
                <w:color w:val="000000"/>
                <w:szCs w:val="21"/>
                <w:highlight w:val="none"/>
              </w:rPr>
              <w:t>；自动□；无监测□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559" w:type="dxa"/>
            <w:vMerge w:val="continue"/>
            <w:tcBorders>
              <w:left w:val="single" w:color="auto" w:sz="4" w:space="0"/>
              <w:right w:val="single" w:color="auto" w:sz="4" w:space="0"/>
            </w:tcBorders>
            <w:vAlign w:val="center"/>
          </w:tcPr>
          <w:p>
            <w:pPr>
              <w:spacing w:line="300" w:lineRule="exact"/>
              <w:jc w:val="center"/>
              <w:rPr>
                <w:color w:val="000000"/>
                <w:szCs w:val="21"/>
                <w:highlight w:val="none"/>
              </w:rPr>
            </w:pPr>
          </w:p>
        </w:tc>
        <w:tc>
          <w:tcPr>
            <w:tcW w:w="3981" w:type="dxa"/>
            <w:gridSpan w:val="4"/>
            <w:tcBorders>
              <w:top w:val="single" w:color="auto" w:sz="4" w:space="0"/>
              <w:left w:val="single" w:color="auto" w:sz="4" w:space="0"/>
              <w:bottom w:val="single" w:color="auto" w:sz="4" w:space="0"/>
              <w:right w:val="single" w:color="auto" w:sz="4" w:space="0"/>
            </w:tcBorders>
            <w:vAlign w:val="center"/>
          </w:tcPr>
          <w:p>
            <w:pPr>
              <w:spacing w:line="300" w:lineRule="exact"/>
              <w:jc w:val="center"/>
              <w:rPr>
                <w:color w:val="auto"/>
                <w:szCs w:val="21"/>
                <w:highlight w:val="none"/>
              </w:rPr>
            </w:pPr>
            <w:r>
              <w:rPr>
                <w:color w:val="auto"/>
                <w:szCs w:val="21"/>
                <w:highlight w:val="none"/>
              </w:rPr>
              <w:t>监测点位</w:t>
            </w:r>
          </w:p>
        </w:tc>
        <w:tc>
          <w:tcPr>
            <w:tcW w:w="4275" w:type="dxa"/>
            <w:gridSpan w:val="5"/>
            <w:tcBorders>
              <w:top w:val="single" w:color="auto" w:sz="4" w:space="0"/>
              <w:left w:val="single" w:color="auto" w:sz="4" w:space="0"/>
              <w:bottom w:val="single" w:color="auto" w:sz="4" w:space="0"/>
              <w:right w:val="single" w:color="auto" w:sz="4" w:space="0"/>
            </w:tcBorders>
            <w:vAlign w:val="center"/>
          </w:tcPr>
          <w:p>
            <w:pPr>
              <w:spacing w:line="300" w:lineRule="exact"/>
              <w:jc w:val="center"/>
              <w:rPr>
                <w:color w:val="auto"/>
                <w:szCs w:val="21"/>
                <w:highlight w:val="none"/>
              </w:rPr>
            </w:pPr>
            <w:r>
              <w:rPr>
                <w:color w:val="auto"/>
                <w:szCs w:val="21"/>
                <w:highlight w:val="none"/>
              </w:rPr>
              <w:t>（橡胶坝上游</w:t>
            </w:r>
            <w:r>
              <w:rPr>
                <w:rFonts w:hint="eastAsia"/>
                <w:color w:val="auto"/>
                <w:szCs w:val="21"/>
                <w:highlight w:val="none"/>
                <w:lang w:val="en-US" w:eastAsia="zh-CN"/>
              </w:rPr>
              <w:t>15</w:t>
            </w:r>
            <w:r>
              <w:rPr>
                <w:rFonts w:hint="eastAsia"/>
                <w:color w:val="auto"/>
                <w:szCs w:val="21"/>
                <w:highlight w:val="none"/>
              </w:rPr>
              <w:t>0</w:t>
            </w:r>
            <w:r>
              <w:rPr>
                <w:color w:val="auto"/>
                <w:szCs w:val="21"/>
                <w:highlight w:val="none"/>
              </w:rPr>
              <w:t>m</w:t>
            </w:r>
            <w:r>
              <w:rPr>
                <w:rFonts w:hint="eastAsia"/>
                <w:color w:val="auto"/>
                <w:szCs w:val="21"/>
                <w:highlight w:val="none"/>
              </w:rPr>
              <w:t>（控制断面），橡胶坝下</w:t>
            </w:r>
            <w:r>
              <w:rPr>
                <w:rFonts w:hint="eastAsia"/>
                <w:color w:val="auto"/>
                <w:szCs w:val="21"/>
                <w:highlight w:val="none"/>
                <w:lang w:val="en-US" w:eastAsia="zh-CN"/>
              </w:rPr>
              <w:t>5</w:t>
            </w:r>
            <w:r>
              <w:rPr>
                <w:rFonts w:hint="eastAsia"/>
                <w:color w:val="auto"/>
                <w:szCs w:val="21"/>
                <w:highlight w:val="none"/>
              </w:rPr>
              <w:t>0m（减水断面），水</w:t>
            </w:r>
            <w:r>
              <w:rPr>
                <w:color w:val="auto"/>
                <w:szCs w:val="21"/>
                <w:highlight w:val="none"/>
              </w:rPr>
              <w:t>电厂房尾水口下游</w:t>
            </w:r>
            <w:r>
              <w:rPr>
                <w:rFonts w:hint="eastAsia"/>
                <w:color w:val="auto"/>
                <w:szCs w:val="21"/>
                <w:highlight w:val="none"/>
                <w:lang w:val="en-US" w:eastAsia="zh-CN"/>
              </w:rPr>
              <w:t>9</w:t>
            </w:r>
            <w:r>
              <w:rPr>
                <w:rFonts w:hint="eastAsia"/>
                <w:color w:val="auto"/>
                <w:szCs w:val="21"/>
                <w:highlight w:val="none"/>
              </w:rPr>
              <w:t>00</w:t>
            </w:r>
            <w:r>
              <w:rPr>
                <w:color w:val="auto"/>
                <w:szCs w:val="21"/>
                <w:highlight w:val="none"/>
              </w:rPr>
              <w:t>m）</w:t>
            </w:r>
          </w:p>
        </w:tc>
        <w:tc>
          <w:tcPr>
            <w:tcW w:w="3555" w:type="dxa"/>
            <w:gridSpan w:val="3"/>
            <w:tcBorders>
              <w:top w:val="single" w:color="auto" w:sz="4" w:space="0"/>
              <w:left w:val="single" w:color="auto" w:sz="4" w:space="0"/>
              <w:bottom w:val="single" w:color="auto" w:sz="4" w:space="0"/>
              <w:right w:val="single" w:color="auto" w:sz="4" w:space="0"/>
            </w:tcBorders>
            <w:vAlign w:val="center"/>
          </w:tcPr>
          <w:p>
            <w:pPr>
              <w:spacing w:line="300" w:lineRule="exact"/>
              <w:jc w:val="center"/>
              <w:rPr>
                <w:color w:val="auto"/>
                <w:szCs w:val="21"/>
                <w:highlight w:val="none"/>
              </w:rPr>
            </w:pPr>
            <w:r>
              <w:rPr>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559" w:type="dxa"/>
            <w:vMerge w:val="continue"/>
            <w:tcBorders>
              <w:left w:val="single" w:color="auto" w:sz="4" w:space="0"/>
              <w:bottom w:val="single" w:color="auto" w:sz="4" w:space="0"/>
              <w:right w:val="single" w:color="auto" w:sz="4" w:space="0"/>
            </w:tcBorders>
            <w:vAlign w:val="center"/>
          </w:tcPr>
          <w:p>
            <w:pPr>
              <w:spacing w:line="300" w:lineRule="exact"/>
              <w:jc w:val="center"/>
              <w:rPr>
                <w:color w:val="000000"/>
                <w:szCs w:val="21"/>
                <w:highlight w:val="none"/>
              </w:rPr>
            </w:pPr>
          </w:p>
        </w:tc>
        <w:tc>
          <w:tcPr>
            <w:tcW w:w="3981" w:type="dxa"/>
            <w:gridSpan w:val="4"/>
            <w:tcBorders>
              <w:top w:val="single" w:color="auto" w:sz="4" w:space="0"/>
              <w:left w:val="single" w:color="auto" w:sz="4" w:space="0"/>
              <w:bottom w:val="single" w:color="auto" w:sz="4" w:space="0"/>
              <w:right w:val="single" w:color="auto" w:sz="4" w:space="0"/>
            </w:tcBorders>
            <w:vAlign w:val="center"/>
          </w:tcPr>
          <w:p>
            <w:pPr>
              <w:spacing w:line="300" w:lineRule="exact"/>
              <w:jc w:val="center"/>
              <w:rPr>
                <w:color w:val="auto"/>
                <w:szCs w:val="21"/>
                <w:highlight w:val="none"/>
              </w:rPr>
            </w:pPr>
            <w:r>
              <w:rPr>
                <w:color w:val="auto"/>
                <w:szCs w:val="21"/>
                <w:highlight w:val="none"/>
              </w:rPr>
              <w:t>监测因子</w:t>
            </w:r>
          </w:p>
        </w:tc>
        <w:tc>
          <w:tcPr>
            <w:tcW w:w="4275" w:type="dxa"/>
            <w:gridSpan w:val="5"/>
            <w:tcBorders>
              <w:top w:val="single" w:color="auto" w:sz="4" w:space="0"/>
              <w:left w:val="single" w:color="auto" w:sz="4" w:space="0"/>
              <w:bottom w:val="single" w:color="auto" w:sz="4" w:space="0"/>
              <w:right w:val="single" w:color="auto" w:sz="4" w:space="0"/>
            </w:tcBorders>
            <w:vAlign w:val="center"/>
          </w:tcPr>
          <w:p>
            <w:pPr>
              <w:spacing w:line="300" w:lineRule="exact"/>
              <w:jc w:val="center"/>
              <w:rPr>
                <w:color w:val="auto"/>
                <w:szCs w:val="21"/>
                <w:highlight w:val="none"/>
              </w:rPr>
            </w:pPr>
            <w:r>
              <w:rPr>
                <w:color w:val="auto"/>
                <w:szCs w:val="21"/>
                <w:highlight w:val="none"/>
              </w:rPr>
              <w:t>（</w:t>
            </w:r>
            <w:r>
              <w:rPr>
                <w:rFonts w:hint="eastAsia"/>
                <w:color w:val="auto"/>
                <w:szCs w:val="21"/>
                <w:highlight w:val="none"/>
              </w:rPr>
              <w:t>PH、COD、DO、氨氮、TP、TN、石油类</w:t>
            </w:r>
            <w:r>
              <w:rPr>
                <w:color w:val="auto"/>
                <w:szCs w:val="21"/>
                <w:highlight w:val="none"/>
              </w:rPr>
              <w:t>）</w:t>
            </w:r>
          </w:p>
        </w:tc>
        <w:tc>
          <w:tcPr>
            <w:tcW w:w="3555" w:type="dxa"/>
            <w:gridSpan w:val="3"/>
            <w:tcBorders>
              <w:top w:val="single" w:color="auto" w:sz="4" w:space="0"/>
              <w:left w:val="single" w:color="auto" w:sz="4" w:space="0"/>
              <w:bottom w:val="single" w:color="auto" w:sz="4" w:space="0"/>
              <w:right w:val="single" w:color="auto" w:sz="4" w:space="0"/>
            </w:tcBorders>
            <w:vAlign w:val="center"/>
          </w:tcPr>
          <w:p>
            <w:pPr>
              <w:spacing w:line="300" w:lineRule="exact"/>
              <w:jc w:val="center"/>
              <w:rPr>
                <w:color w:val="auto"/>
                <w:szCs w:val="21"/>
                <w:highlight w:val="none"/>
              </w:rPr>
            </w:pPr>
            <w:r>
              <w:rPr>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3" w:type="dxa"/>
            <w:vMerge w:val="continue"/>
            <w:vAlign w:val="center"/>
          </w:tcPr>
          <w:p>
            <w:pPr>
              <w:spacing w:line="300" w:lineRule="exact"/>
              <w:jc w:val="center"/>
              <w:rPr>
                <w:color w:val="000000"/>
                <w:szCs w:val="21"/>
                <w:highlight w:val="none"/>
              </w:rPr>
            </w:pPr>
          </w:p>
        </w:tc>
        <w:tc>
          <w:tcPr>
            <w:tcW w:w="1559" w:type="dxa"/>
            <w:tcBorders>
              <w:top w:val="single" w:color="auto" w:sz="4" w:space="0"/>
              <w:left w:val="single" w:color="auto" w:sz="4" w:space="0"/>
              <w:bottom w:val="single" w:color="auto" w:sz="4" w:space="0"/>
              <w:right w:val="single" w:color="auto" w:sz="4" w:space="0"/>
            </w:tcBorders>
            <w:vAlign w:val="center"/>
          </w:tcPr>
          <w:p>
            <w:pPr>
              <w:spacing w:line="300" w:lineRule="exact"/>
              <w:jc w:val="center"/>
              <w:rPr>
                <w:color w:val="000000"/>
                <w:szCs w:val="21"/>
                <w:highlight w:val="none"/>
              </w:rPr>
            </w:pPr>
            <w:r>
              <w:rPr>
                <w:color w:val="000000"/>
                <w:sz w:val="18"/>
                <w:szCs w:val="18"/>
                <w:highlight w:val="none"/>
              </w:rPr>
              <w:t>污染物排放清单</w:t>
            </w:r>
          </w:p>
        </w:tc>
        <w:tc>
          <w:tcPr>
            <w:tcW w:w="11811" w:type="dxa"/>
            <w:gridSpan w:val="12"/>
            <w:tcBorders>
              <w:top w:val="single" w:color="auto" w:sz="4" w:space="0"/>
              <w:left w:val="single" w:color="auto" w:sz="4" w:space="0"/>
              <w:bottom w:val="single" w:color="auto" w:sz="4" w:space="0"/>
              <w:right w:val="single" w:color="auto" w:sz="4" w:space="0"/>
            </w:tcBorders>
            <w:vAlign w:val="center"/>
          </w:tcPr>
          <w:p>
            <w:pPr>
              <w:spacing w:line="300" w:lineRule="exact"/>
              <w:jc w:val="center"/>
              <w:rPr>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22" w:type="dxa"/>
            <w:gridSpan w:val="2"/>
            <w:tcBorders>
              <w:right w:val="single" w:color="auto" w:sz="4" w:space="0"/>
            </w:tcBorders>
            <w:vAlign w:val="center"/>
          </w:tcPr>
          <w:p>
            <w:pPr>
              <w:spacing w:line="300" w:lineRule="exact"/>
              <w:jc w:val="center"/>
              <w:rPr>
                <w:color w:val="000000"/>
                <w:szCs w:val="21"/>
                <w:highlight w:val="none"/>
              </w:rPr>
            </w:pPr>
            <w:r>
              <w:rPr>
                <w:color w:val="000000"/>
                <w:szCs w:val="21"/>
                <w:highlight w:val="none"/>
              </w:rPr>
              <w:t>评价结论</w:t>
            </w:r>
          </w:p>
        </w:tc>
        <w:tc>
          <w:tcPr>
            <w:tcW w:w="11811" w:type="dxa"/>
            <w:gridSpan w:val="12"/>
            <w:tcBorders>
              <w:top w:val="single" w:color="auto" w:sz="4" w:space="0"/>
              <w:left w:val="single" w:color="auto" w:sz="4" w:space="0"/>
              <w:bottom w:val="single" w:color="auto" w:sz="4" w:space="0"/>
              <w:right w:val="single" w:color="auto" w:sz="4" w:space="0"/>
            </w:tcBorders>
            <w:vAlign w:val="center"/>
          </w:tcPr>
          <w:p>
            <w:pPr>
              <w:spacing w:line="300" w:lineRule="exact"/>
              <w:jc w:val="left"/>
              <w:rPr>
                <w:color w:val="000000"/>
                <w:szCs w:val="21"/>
                <w:highlight w:val="none"/>
              </w:rPr>
            </w:pPr>
            <w:r>
              <w:rPr>
                <w:color w:val="000000"/>
                <w:szCs w:val="21"/>
                <w:highlight w:val="none"/>
              </w:rPr>
              <w:t>可以接受</w:t>
            </w:r>
            <w:r>
              <w:rPr>
                <w:rFonts w:hint="eastAsia" w:ascii="MS Mincho" w:hAnsi="MS Mincho" w:eastAsia="MS Mincho" w:cs="MS Mincho"/>
                <w:color w:val="000000"/>
                <w:szCs w:val="21"/>
                <w:highlight w:val="none"/>
              </w:rPr>
              <w:t>☑</w:t>
            </w:r>
            <w:r>
              <w:rPr>
                <w:color w:val="000000"/>
                <w:szCs w:val="21"/>
                <w:highlight w:val="none"/>
              </w:rPr>
              <w:t>；不可以接受□</w:t>
            </w:r>
          </w:p>
        </w:tc>
      </w:tr>
    </w:tbl>
    <w:p>
      <w:pPr>
        <w:pStyle w:val="137"/>
        <w:rPr>
          <w:rFonts w:ascii="Times New Roman" w:cs="Times New Roman"/>
          <w:sz w:val="21"/>
          <w:szCs w:val="21"/>
          <w:highlight w:val="none"/>
        </w:rPr>
        <w:sectPr>
          <w:headerReference r:id="rId17"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spacing w:line="480" w:lineRule="exact"/>
        <w:outlineLvl w:val="1"/>
        <w:rPr>
          <w:rFonts w:hint="eastAsia" w:eastAsia="宋体"/>
          <w:b/>
          <w:snapToGrid w:val="0"/>
          <w:color w:val="000000" w:themeColor="text1"/>
          <w:kern w:val="0"/>
          <w:sz w:val="24"/>
          <w:highlight w:val="none"/>
          <w:lang w:eastAsia="zh-CN"/>
          <w14:textFill>
            <w14:solidFill>
              <w14:schemeClr w14:val="tx1"/>
            </w14:solidFill>
          </w14:textFill>
        </w:rPr>
      </w:pPr>
      <w:bookmarkStart w:id="227" w:name="_Toc24625"/>
      <w:bookmarkStart w:id="228" w:name="_Toc468692994"/>
      <w:r>
        <w:rPr>
          <w:rFonts w:hint="eastAsia"/>
          <w:b/>
          <w:snapToGrid w:val="0"/>
          <w:color w:val="000000" w:themeColor="text1"/>
          <w:kern w:val="0"/>
          <w:sz w:val="24"/>
          <w:highlight w:val="none"/>
          <w14:textFill>
            <w14:solidFill>
              <w14:schemeClr w14:val="tx1"/>
            </w14:solidFill>
          </w14:textFill>
        </w:rPr>
        <w:t>5.</w:t>
      </w:r>
      <w:r>
        <w:rPr>
          <w:rFonts w:hint="eastAsia"/>
          <w:b/>
          <w:snapToGrid w:val="0"/>
          <w:color w:val="000000" w:themeColor="text1"/>
          <w:kern w:val="0"/>
          <w:sz w:val="24"/>
          <w:highlight w:val="none"/>
          <w:lang w:val="en-US" w:eastAsia="zh-CN"/>
          <w14:textFill>
            <w14:solidFill>
              <w14:schemeClr w14:val="tx1"/>
            </w14:solidFill>
          </w14:textFill>
        </w:rPr>
        <w:t>4</w:t>
      </w:r>
      <w:r>
        <w:rPr>
          <w:rFonts w:hint="eastAsia"/>
          <w:b/>
          <w:snapToGrid w:val="0"/>
          <w:color w:val="000000" w:themeColor="text1"/>
          <w:kern w:val="0"/>
          <w:sz w:val="24"/>
          <w:highlight w:val="none"/>
          <w14:textFill>
            <w14:solidFill>
              <w14:schemeClr w14:val="tx1"/>
            </w14:solidFill>
          </w14:textFill>
        </w:rPr>
        <w:t xml:space="preserve"> </w:t>
      </w:r>
      <w:r>
        <w:rPr>
          <w:rFonts w:hint="eastAsia"/>
          <w:b/>
          <w:snapToGrid w:val="0"/>
          <w:color w:val="000000" w:themeColor="text1"/>
          <w:kern w:val="0"/>
          <w:sz w:val="24"/>
          <w:highlight w:val="none"/>
          <w:lang w:eastAsia="zh-CN"/>
          <w14:textFill>
            <w14:solidFill>
              <w14:schemeClr w14:val="tx1"/>
            </w14:solidFill>
          </w14:textFill>
        </w:rPr>
        <w:t>生态环境影响评价</w:t>
      </w:r>
      <w:bookmarkEnd w:id="227"/>
    </w:p>
    <w:p>
      <w:pPr>
        <w:spacing w:line="480" w:lineRule="exact"/>
        <w:rPr>
          <w:b/>
          <w:color w:val="auto"/>
          <w:sz w:val="24"/>
          <w:highlight w:val="none"/>
        </w:rPr>
      </w:pPr>
      <w:bookmarkStart w:id="229" w:name="_Toc471855666"/>
      <w:bookmarkStart w:id="230" w:name="_Toc486312357"/>
      <w:bookmarkStart w:id="231" w:name="_Toc10380"/>
      <w:bookmarkStart w:id="232" w:name="_Toc509898641"/>
      <w:bookmarkStart w:id="233" w:name="_Toc519179382"/>
      <w:bookmarkStart w:id="234" w:name="_Toc46734069"/>
      <w:r>
        <w:rPr>
          <w:rFonts w:hint="eastAsia"/>
          <w:b/>
          <w:color w:val="auto"/>
          <w:sz w:val="24"/>
          <w:highlight w:val="none"/>
        </w:rPr>
        <w:t>5.</w:t>
      </w:r>
      <w:r>
        <w:rPr>
          <w:rFonts w:hint="eastAsia"/>
          <w:b/>
          <w:color w:val="auto"/>
          <w:sz w:val="24"/>
          <w:highlight w:val="none"/>
          <w:lang w:val="en-US" w:eastAsia="zh-CN"/>
        </w:rPr>
        <w:t>4</w:t>
      </w:r>
      <w:r>
        <w:rPr>
          <w:b/>
          <w:color w:val="auto"/>
          <w:sz w:val="24"/>
          <w:highlight w:val="none"/>
        </w:rPr>
        <w:t>.1</w:t>
      </w:r>
      <w:bookmarkEnd w:id="229"/>
      <w:bookmarkEnd w:id="230"/>
      <w:bookmarkEnd w:id="231"/>
      <w:r>
        <w:rPr>
          <w:b/>
          <w:color w:val="auto"/>
          <w:sz w:val="24"/>
          <w:highlight w:val="none"/>
        </w:rPr>
        <w:t>对区域植被</w:t>
      </w:r>
      <w:r>
        <w:rPr>
          <w:rFonts w:hint="eastAsia"/>
          <w:b/>
          <w:color w:val="auto"/>
          <w:sz w:val="24"/>
          <w:highlight w:val="none"/>
        </w:rPr>
        <w:t>和植物多样化</w:t>
      </w:r>
      <w:r>
        <w:rPr>
          <w:b/>
          <w:color w:val="auto"/>
          <w:sz w:val="24"/>
          <w:highlight w:val="none"/>
        </w:rPr>
        <w:t>的影响分析</w:t>
      </w:r>
      <w:bookmarkEnd w:id="232"/>
      <w:bookmarkEnd w:id="233"/>
      <w:bookmarkEnd w:id="234"/>
    </w:p>
    <w:p>
      <w:pPr>
        <w:spacing w:line="480" w:lineRule="exact"/>
        <w:ind w:firstLine="480" w:firstLineChars="200"/>
        <w:rPr>
          <w:color w:val="auto"/>
          <w:sz w:val="24"/>
          <w:highlight w:val="none"/>
        </w:rPr>
      </w:pPr>
      <w:r>
        <w:rPr>
          <w:color w:val="auto"/>
          <w:sz w:val="24"/>
          <w:highlight w:val="none"/>
        </w:rPr>
        <w:t>本项目工程占地面积较小，占用植被以当地常见物种为主，植被类型相对较简单，所以从区域角度看，工程建设不存在引起物种减少或某种植被类型消失的情况，没有改变本地区植物的群落类型和植被类型的多样性和稳定性，更没有引起植物种群或群落的灭绝，因此，工程建设对整个区域的植被影响很小。</w:t>
      </w:r>
    </w:p>
    <w:p>
      <w:pPr>
        <w:widowControl/>
        <w:spacing w:line="480" w:lineRule="exact"/>
        <w:ind w:firstLine="480" w:firstLineChars="200"/>
        <w:jc w:val="left"/>
        <w:rPr>
          <w:color w:val="auto"/>
          <w:sz w:val="24"/>
          <w:highlight w:val="none"/>
        </w:rPr>
      </w:pPr>
      <w:r>
        <w:rPr>
          <w:color w:val="auto"/>
          <w:sz w:val="24"/>
          <w:highlight w:val="none"/>
        </w:rPr>
        <w:t>项目占地类型为河滩非耕地，通过现场调查，项目建设对植被破坏已经基本恢复，植被影响基本可以忽略。</w:t>
      </w:r>
    </w:p>
    <w:p>
      <w:pPr>
        <w:spacing w:line="480" w:lineRule="exact"/>
        <w:ind w:firstLine="480" w:firstLineChars="200"/>
        <w:jc w:val="left"/>
        <w:rPr>
          <w:color w:val="auto"/>
          <w:kern w:val="0"/>
          <w:sz w:val="24"/>
          <w:highlight w:val="none"/>
        </w:rPr>
      </w:pPr>
      <w:r>
        <w:rPr>
          <w:color w:val="auto"/>
          <w:sz w:val="24"/>
          <w:highlight w:val="none"/>
        </w:rPr>
        <w:t>本项目施工期已结束，运营期间采取了相应的生态保护措施，以降低对生态环境的影响。</w:t>
      </w:r>
      <w:r>
        <w:rPr>
          <w:color w:val="auto"/>
          <w:kern w:val="0"/>
          <w:sz w:val="24"/>
          <w:highlight w:val="none"/>
        </w:rPr>
        <w:t>注重前池和压力管道区域生态保护</w:t>
      </w:r>
      <w:r>
        <w:rPr>
          <w:rFonts w:hint="eastAsia"/>
          <w:color w:val="auto"/>
          <w:kern w:val="0"/>
          <w:sz w:val="24"/>
          <w:highlight w:val="none"/>
          <w:lang w:eastAsia="zh-CN"/>
        </w:rPr>
        <w:t>、</w:t>
      </w:r>
      <w:r>
        <w:rPr>
          <w:color w:val="auto"/>
          <w:kern w:val="0"/>
          <w:sz w:val="24"/>
          <w:highlight w:val="none"/>
        </w:rPr>
        <w:t>引水渠道的生态恢复措施和水土保持措施问题。</w:t>
      </w:r>
    </w:p>
    <w:p>
      <w:pPr>
        <w:spacing w:line="480" w:lineRule="exact"/>
        <w:jc w:val="left"/>
        <w:rPr>
          <w:rFonts w:hint="eastAsia"/>
          <w:b/>
          <w:bCs/>
          <w:color w:val="000000" w:themeColor="text1"/>
          <w:kern w:val="0"/>
          <w:sz w:val="24"/>
          <w:highlight w:val="none"/>
          <w:lang w:val="zh-CN"/>
          <w14:textFill>
            <w14:solidFill>
              <w14:schemeClr w14:val="tx1"/>
            </w14:solidFill>
          </w14:textFill>
        </w:rPr>
      </w:pPr>
      <w:bookmarkStart w:id="235" w:name="_Toc509898642"/>
      <w:bookmarkStart w:id="236" w:name="_Toc519179383"/>
      <w:bookmarkStart w:id="237" w:name="_Toc46734070"/>
      <w:r>
        <w:rPr>
          <w:rFonts w:hint="eastAsia"/>
          <w:b/>
          <w:color w:val="auto"/>
          <w:kern w:val="0"/>
          <w:sz w:val="24"/>
          <w:highlight w:val="none"/>
        </w:rPr>
        <w:t>5.</w:t>
      </w:r>
      <w:r>
        <w:rPr>
          <w:rFonts w:hint="eastAsia"/>
          <w:b/>
          <w:color w:val="auto"/>
          <w:kern w:val="0"/>
          <w:sz w:val="24"/>
          <w:highlight w:val="none"/>
          <w:lang w:val="en-US" w:eastAsia="zh-CN"/>
        </w:rPr>
        <w:t>4</w:t>
      </w:r>
      <w:r>
        <w:rPr>
          <w:b/>
          <w:color w:val="auto"/>
          <w:kern w:val="0"/>
          <w:sz w:val="24"/>
          <w:highlight w:val="none"/>
        </w:rPr>
        <w:t>.2</w:t>
      </w:r>
      <w:bookmarkEnd w:id="235"/>
      <w:bookmarkEnd w:id="236"/>
      <w:bookmarkEnd w:id="237"/>
      <w:r>
        <w:rPr>
          <w:rFonts w:hint="eastAsia"/>
          <w:b/>
          <w:bCs/>
          <w:color w:val="000000" w:themeColor="text1"/>
          <w:kern w:val="0"/>
          <w:sz w:val="24"/>
          <w:highlight w:val="none"/>
          <w:lang w:val="zh-CN"/>
          <w14:textFill>
            <w14:solidFill>
              <w14:schemeClr w14:val="tx1"/>
            </w14:solidFill>
          </w14:textFill>
        </w:rPr>
        <w:t>对陆生生态的影响</w:t>
      </w:r>
    </w:p>
    <w:p>
      <w:pPr>
        <w:autoSpaceDE w:val="0"/>
        <w:autoSpaceDN w:val="0"/>
        <w:adjustRightInd w:val="0"/>
        <w:spacing w:line="480" w:lineRule="exact"/>
        <w:ind w:firstLine="480" w:firstLineChars="200"/>
        <w:rPr>
          <w:rFonts w:hint="eastAsia"/>
          <w:color w:val="000000" w:themeColor="text1"/>
          <w:kern w:val="0"/>
          <w:sz w:val="24"/>
          <w:highlight w:val="none"/>
          <w:lang w:val="zh-CN"/>
          <w14:textFill>
            <w14:solidFill>
              <w14:schemeClr w14:val="tx1"/>
            </w14:solidFill>
          </w14:textFill>
        </w:rPr>
      </w:pPr>
      <w:r>
        <w:rPr>
          <w:rFonts w:hint="eastAsia"/>
          <w:color w:val="000000" w:themeColor="text1"/>
          <w:kern w:val="0"/>
          <w:sz w:val="24"/>
          <w:highlight w:val="none"/>
          <w:lang w:val="zh-CN"/>
          <w14:textFill>
            <w14:solidFill>
              <w14:schemeClr w14:val="tx1"/>
            </w14:solidFill>
          </w14:textFill>
        </w:rPr>
        <w:t>根据实地调查，工程占地主要影响的植被有低矮灌丛、杂草及人工植被，无珍稀物种分布，人工植被主要为经济林木及农作物。生活在此群落内的植物种类也将受到工程征地影响，但由于这样的群落在评价区其它地方均有广泛分布，所以本工程的修建不会对评价区的植被类型以及植物物种多样性带来较大影响。</w:t>
      </w:r>
    </w:p>
    <w:p>
      <w:pPr>
        <w:autoSpaceDE w:val="0"/>
        <w:autoSpaceDN w:val="0"/>
        <w:adjustRightInd w:val="0"/>
        <w:spacing w:line="480" w:lineRule="exact"/>
        <w:ind w:firstLine="480" w:firstLineChars="200"/>
        <w:rPr>
          <w:rFonts w:hint="eastAsia"/>
          <w:color w:val="000000" w:themeColor="text1"/>
          <w:kern w:val="0"/>
          <w:sz w:val="24"/>
          <w:highlight w:val="none"/>
          <w:lang w:val="zh-CN"/>
          <w14:textFill>
            <w14:solidFill>
              <w14:schemeClr w14:val="tx1"/>
            </w14:solidFill>
          </w14:textFill>
        </w:rPr>
      </w:pPr>
      <w:r>
        <w:rPr>
          <w:rFonts w:hint="eastAsia"/>
          <w:color w:val="000000" w:themeColor="text1"/>
          <w:kern w:val="0"/>
          <w:sz w:val="24"/>
          <w:highlight w:val="none"/>
          <w:lang w:val="zh-CN"/>
          <w14:textFill>
            <w14:solidFill>
              <w14:schemeClr w14:val="tx1"/>
            </w14:solidFill>
          </w14:textFill>
        </w:rPr>
        <w:t>项目所占用各种土地利用类型将被建设用地所代替，土石方开挖及回填、建筑物修建等破坏了当地植被，影响了动物生境，则必然对栖息于此环境的动物生存环境产生破坏，特别是灌丛灌草丛动物群和林缘耕地动物群的动物所赖以生存的环境遭到破坏，爬行动物中多种蛇类、鸟类及兽类的多种鼠类，因其生存环境的破坏而失去隐蔽场所和食物来源被迫转移它处，使其生存空间受到压缩。</w:t>
      </w:r>
    </w:p>
    <w:p>
      <w:pPr>
        <w:spacing w:line="480" w:lineRule="exact"/>
        <w:ind w:firstLine="480" w:firstLineChars="200"/>
        <w:jc w:val="left"/>
        <w:rPr>
          <w:color w:val="auto"/>
          <w:sz w:val="24"/>
          <w:highlight w:val="none"/>
        </w:rPr>
      </w:pPr>
      <w:r>
        <w:rPr>
          <w:rFonts w:hint="eastAsia"/>
          <w:color w:val="000000" w:themeColor="text1"/>
          <w:kern w:val="0"/>
          <w:sz w:val="24"/>
          <w:highlight w:val="none"/>
          <w:lang w:val="zh-CN"/>
          <w14:textFill>
            <w14:solidFill>
              <w14:schemeClr w14:val="tx1"/>
            </w14:solidFill>
          </w14:textFill>
        </w:rPr>
        <w:t>如此，这些动物在转移过程中还会受到人们的伤害和天敌的捕食，致使种群数量减少。但是，工程占地对动植物的影响仅限于项目范围内，不影响项目范围以外生境，在采取生态环境保护措施条件下，不利影响将得到减缓</w:t>
      </w:r>
      <w:r>
        <w:rPr>
          <w:color w:val="auto"/>
          <w:sz w:val="24"/>
          <w:highlight w:val="none"/>
        </w:rPr>
        <w:t>。</w:t>
      </w:r>
    </w:p>
    <w:p>
      <w:pPr>
        <w:spacing w:line="480" w:lineRule="exact"/>
        <w:jc w:val="left"/>
        <w:rPr>
          <w:b/>
          <w:color w:val="auto"/>
          <w:sz w:val="24"/>
          <w:highlight w:val="none"/>
        </w:rPr>
      </w:pPr>
      <w:bookmarkStart w:id="238" w:name="_Toc509898643"/>
      <w:bookmarkStart w:id="239" w:name="_Toc519179384"/>
      <w:bookmarkStart w:id="240" w:name="_Toc46734071"/>
      <w:r>
        <w:rPr>
          <w:rFonts w:hint="eastAsia"/>
          <w:b/>
          <w:color w:val="auto"/>
          <w:sz w:val="24"/>
          <w:highlight w:val="none"/>
        </w:rPr>
        <w:t>5.</w:t>
      </w:r>
      <w:r>
        <w:rPr>
          <w:rFonts w:hint="eastAsia"/>
          <w:b/>
          <w:color w:val="auto"/>
          <w:sz w:val="24"/>
          <w:highlight w:val="none"/>
          <w:lang w:val="en-US" w:eastAsia="zh-CN"/>
        </w:rPr>
        <w:t>4</w:t>
      </w:r>
      <w:r>
        <w:rPr>
          <w:b/>
          <w:color w:val="auto"/>
          <w:sz w:val="24"/>
          <w:highlight w:val="none"/>
        </w:rPr>
        <w:t>.3对水生动物的影响</w:t>
      </w:r>
      <w:bookmarkEnd w:id="238"/>
      <w:bookmarkEnd w:id="239"/>
      <w:bookmarkEnd w:id="240"/>
    </w:p>
    <w:p>
      <w:pPr>
        <w:spacing w:line="480" w:lineRule="exact"/>
        <w:ind w:firstLine="480" w:firstLineChars="200"/>
        <w:jc w:val="left"/>
        <w:rPr>
          <w:rFonts w:hint="eastAsia"/>
          <w:color w:val="auto"/>
          <w:sz w:val="24"/>
          <w:highlight w:val="none"/>
          <w:lang w:eastAsia="zh-CN"/>
        </w:rPr>
      </w:pPr>
      <w:r>
        <w:rPr>
          <w:color w:val="auto"/>
          <w:sz w:val="24"/>
          <w:highlight w:val="none"/>
        </w:rPr>
        <w:t>经现场调查，项目区无洄游性鱼类，也无鱼类‘三场’。项目属于修建取水橡胶坝通过引水发电工程，但属于季节性发电工程，即引滦入津输水时，取水橡胶坝会截取部分水经过输水管线用于发电，输水河道仍保持正常流水量；停止输水时，橡胶坝</w:t>
      </w:r>
      <w:r>
        <w:rPr>
          <w:rFonts w:hint="eastAsia"/>
          <w:color w:val="auto"/>
          <w:sz w:val="24"/>
          <w:highlight w:val="none"/>
          <w:lang w:eastAsia="zh-CN"/>
        </w:rPr>
        <w:t>放气不</w:t>
      </w:r>
      <w:r>
        <w:rPr>
          <w:color w:val="auto"/>
          <w:sz w:val="24"/>
          <w:highlight w:val="none"/>
        </w:rPr>
        <w:t>拦截河水</w:t>
      </w:r>
      <w:r>
        <w:rPr>
          <w:rFonts w:hint="eastAsia"/>
          <w:color w:val="auto"/>
          <w:sz w:val="24"/>
          <w:highlight w:val="none"/>
          <w:lang w:eastAsia="zh-CN"/>
        </w:rPr>
        <w:t>，</w:t>
      </w:r>
      <w:r>
        <w:rPr>
          <w:color w:val="auto"/>
          <w:sz w:val="24"/>
          <w:highlight w:val="none"/>
        </w:rPr>
        <w:t>河道</w:t>
      </w:r>
      <w:r>
        <w:rPr>
          <w:rFonts w:hint="eastAsia"/>
          <w:color w:val="auto"/>
          <w:sz w:val="24"/>
          <w:highlight w:val="none"/>
          <w:lang w:eastAsia="zh-CN"/>
        </w:rPr>
        <w:t>处于天然</w:t>
      </w:r>
      <w:r>
        <w:rPr>
          <w:color w:val="auto"/>
          <w:sz w:val="24"/>
          <w:highlight w:val="none"/>
        </w:rPr>
        <w:t>径流</w:t>
      </w:r>
      <w:r>
        <w:rPr>
          <w:rFonts w:hint="eastAsia"/>
          <w:color w:val="auto"/>
          <w:sz w:val="24"/>
          <w:highlight w:val="none"/>
          <w:lang w:eastAsia="zh-CN"/>
        </w:rPr>
        <w:t>或污水状态</w:t>
      </w:r>
      <w:r>
        <w:rPr>
          <w:color w:val="auto"/>
          <w:sz w:val="24"/>
          <w:highlight w:val="none"/>
        </w:rPr>
        <w:t>，原河流水不会受到任何影响</w:t>
      </w:r>
      <w:r>
        <w:rPr>
          <w:rFonts w:hint="eastAsia"/>
          <w:color w:val="auto"/>
          <w:sz w:val="24"/>
          <w:highlight w:val="none"/>
          <w:lang w:eastAsia="zh-CN"/>
        </w:rPr>
        <w:t>。</w:t>
      </w:r>
    </w:p>
    <w:p>
      <w:pPr>
        <w:spacing w:line="480" w:lineRule="exact"/>
        <w:ind w:firstLine="480" w:firstLineChars="200"/>
        <w:jc w:val="left"/>
        <w:rPr>
          <w:rFonts w:hint="eastAsia"/>
          <w:color w:val="auto"/>
          <w:sz w:val="24"/>
          <w:highlight w:val="none"/>
          <w:lang w:eastAsia="zh-CN"/>
        </w:rPr>
      </w:pPr>
      <w:r>
        <w:rPr>
          <w:rFonts w:hint="eastAsia"/>
          <w:color w:val="auto"/>
          <w:kern w:val="0"/>
          <w:sz w:val="24"/>
          <w:highlight w:val="none"/>
          <w:lang w:val="zh-CN"/>
        </w:rPr>
        <w:t>本项目用水时段：</w:t>
      </w:r>
      <w:r>
        <w:rPr>
          <w:color w:val="auto"/>
          <w:kern w:val="0"/>
          <w:sz w:val="24"/>
          <w:highlight w:val="none"/>
          <w:lang w:val="zh-CN"/>
        </w:rPr>
        <w:t>第一个输水时段</w:t>
      </w:r>
      <w:r>
        <w:rPr>
          <w:rFonts w:hint="eastAsia"/>
          <w:color w:val="auto"/>
          <w:kern w:val="0"/>
          <w:sz w:val="24"/>
          <w:highlight w:val="none"/>
          <w:lang w:val="zh-CN"/>
        </w:rPr>
        <w:t>（</w:t>
      </w:r>
      <w:r>
        <w:rPr>
          <w:color w:val="auto"/>
          <w:kern w:val="0"/>
          <w:sz w:val="24"/>
          <w:highlight w:val="none"/>
          <w:lang w:val="zh-CN"/>
        </w:rPr>
        <w:t>4月至6月</w:t>
      </w:r>
      <w:r>
        <w:rPr>
          <w:rFonts w:hint="eastAsia"/>
          <w:color w:val="auto"/>
          <w:kern w:val="0"/>
          <w:sz w:val="24"/>
          <w:highlight w:val="none"/>
          <w:lang w:val="zh-CN"/>
        </w:rPr>
        <w:t>），</w:t>
      </w:r>
      <w:r>
        <w:rPr>
          <w:color w:val="auto"/>
          <w:kern w:val="0"/>
          <w:sz w:val="24"/>
          <w:highlight w:val="none"/>
          <w:lang w:val="zh-CN"/>
        </w:rPr>
        <w:t>第</w:t>
      </w:r>
      <w:r>
        <w:rPr>
          <w:rFonts w:hint="eastAsia"/>
          <w:color w:val="auto"/>
          <w:kern w:val="0"/>
          <w:sz w:val="24"/>
          <w:highlight w:val="none"/>
          <w:lang w:val="zh-CN"/>
        </w:rPr>
        <w:t>二</w:t>
      </w:r>
      <w:r>
        <w:rPr>
          <w:color w:val="auto"/>
          <w:kern w:val="0"/>
          <w:sz w:val="24"/>
          <w:highlight w:val="none"/>
          <w:lang w:val="zh-CN"/>
        </w:rPr>
        <w:t>个输水时段</w:t>
      </w:r>
      <w:r>
        <w:rPr>
          <w:rFonts w:hint="eastAsia"/>
          <w:color w:val="auto"/>
          <w:kern w:val="0"/>
          <w:sz w:val="24"/>
          <w:highlight w:val="none"/>
          <w:lang w:val="zh-CN"/>
        </w:rPr>
        <w:t>（</w:t>
      </w:r>
      <w:r>
        <w:rPr>
          <w:color w:val="auto"/>
          <w:kern w:val="0"/>
          <w:sz w:val="24"/>
          <w:highlight w:val="none"/>
          <w:lang w:val="zh-CN"/>
        </w:rPr>
        <w:t>9月至12月</w:t>
      </w:r>
      <w:r>
        <w:rPr>
          <w:rFonts w:hint="eastAsia"/>
          <w:color w:val="auto"/>
          <w:kern w:val="0"/>
          <w:sz w:val="24"/>
          <w:highlight w:val="none"/>
          <w:lang w:val="zh-CN"/>
        </w:rPr>
        <w:t>）。</w:t>
      </w:r>
      <w:r>
        <w:rPr>
          <w:color w:val="auto"/>
          <w:kern w:val="0"/>
          <w:sz w:val="24"/>
          <w:highlight w:val="none"/>
          <w:lang w:val="zh-CN"/>
        </w:rPr>
        <w:t>本项目在第一个输水时段内发电</w:t>
      </w:r>
      <w:r>
        <w:rPr>
          <w:rFonts w:hint="eastAsia"/>
          <w:color w:val="auto"/>
          <w:kern w:val="0"/>
          <w:sz w:val="24"/>
          <w:highlight w:val="none"/>
          <w:lang w:val="zh-CN"/>
        </w:rPr>
        <w:t>时间约</w:t>
      </w:r>
      <w:r>
        <w:rPr>
          <w:color w:val="auto"/>
          <w:kern w:val="0"/>
          <w:sz w:val="24"/>
          <w:highlight w:val="none"/>
          <w:lang w:val="zh-CN"/>
        </w:rPr>
        <w:t>60天，第二个输水时段发电</w:t>
      </w:r>
      <w:r>
        <w:rPr>
          <w:rFonts w:hint="eastAsia"/>
          <w:color w:val="auto"/>
          <w:kern w:val="0"/>
          <w:sz w:val="24"/>
          <w:highlight w:val="none"/>
          <w:lang w:val="zh-CN"/>
        </w:rPr>
        <w:t>时间约</w:t>
      </w:r>
      <w:r>
        <w:rPr>
          <w:color w:val="auto"/>
          <w:kern w:val="0"/>
          <w:sz w:val="24"/>
          <w:highlight w:val="none"/>
          <w:lang w:val="zh-CN"/>
        </w:rPr>
        <w:t>70天</w:t>
      </w:r>
      <w:r>
        <w:rPr>
          <w:rFonts w:hint="eastAsia"/>
          <w:color w:val="auto"/>
          <w:kern w:val="0"/>
          <w:sz w:val="24"/>
          <w:highlight w:val="none"/>
          <w:lang w:val="zh-CN"/>
        </w:rPr>
        <w:t>。冬季（</w:t>
      </w:r>
      <w:r>
        <w:rPr>
          <w:rFonts w:hint="eastAsia"/>
          <w:color w:val="auto"/>
          <w:kern w:val="0"/>
          <w:sz w:val="24"/>
          <w:highlight w:val="none"/>
        </w:rPr>
        <w:t>1-3月</w:t>
      </w:r>
      <w:r>
        <w:rPr>
          <w:rFonts w:hint="eastAsia"/>
          <w:color w:val="auto"/>
          <w:kern w:val="0"/>
          <w:sz w:val="24"/>
          <w:highlight w:val="none"/>
          <w:lang w:val="zh-CN"/>
        </w:rPr>
        <w:t>）“引滦入津工程”停止使用。</w:t>
      </w:r>
    </w:p>
    <w:p>
      <w:pPr>
        <w:spacing w:line="480" w:lineRule="exact"/>
        <w:ind w:firstLine="480" w:firstLineChars="200"/>
        <w:jc w:val="left"/>
        <w:rPr>
          <w:rFonts w:hint="eastAsia" w:eastAsia="宋体"/>
          <w:color w:val="auto"/>
          <w:sz w:val="24"/>
          <w:highlight w:val="none"/>
          <w:lang w:eastAsia="zh-CN"/>
        </w:rPr>
      </w:pPr>
      <w:r>
        <w:rPr>
          <w:color w:val="auto"/>
          <w:sz w:val="24"/>
          <w:highlight w:val="none"/>
        </w:rPr>
        <w:t>因此，电站厂房建成对上游河流浮游动植物、底栖动物以及鱼类等水生生物的影响不明显</w:t>
      </w:r>
      <w:r>
        <w:rPr>
          <w:rFonts w:hint="eastAsia"/>
          <w:color w:val="auto"/>
          <w:sz w:val="24"/>
          <w:highlight w:val="none"/>
          <w:lang w:eastAsia="zh-CN"/>
        </w:rPr>
        <w:t>。</w:t>
      </w:r>
    </w:p>
    <w:p>
      <w:pPr>
        <w:autoSpaceDE w:val="0"/>
        <w:autoSpaceDN w:val="0"/>
        <w:adjustRightInd w:val="0"/>
        <w:spacing w:line="480" w:lineRule="exact"/>
        <w:ind w:firstLine="480" w:firstLineChars="200"/>
        <w:rPr>
          <w:rFonts w:hint="eastAsia"/>
          <w:color w:val="000000" w:themeColor="text1"/>
          <w:kern w:val="0"/>
          <w:sz w:val="24"/>
          <w:highlight w:val="none"/>
          <w:lang w:val="zh-CN"/>
          <w14:textFill>
            <w14:solidFill>
              <w14:schemeClr w14:val="tx1"/>
            </w14:solidFill>
          </w14:textFill>
        </w:rPr>
      </w:pPr>
      <w:r>
        <w:rPr>
          <w:rFonts w:hint="eastAsia"/>
          <w:color w:val="000000" w:themeColor="text1"/>
          <w:kern w:val="0"/>
          <w:sz w:val="24"/>
          <w:highlight w:val="none"/>
          <w:lang w:val="zh-CN"/>
          <w14:textFill>
            <w14:solidFill>
              <w14:schemeClr w14:val="tx1"/>
            </w14:solidFill>
          </w14:textFill>
        </w:rPr>
        <w:t>工程的建设将使评价区生境片段化，并产生一定阻隔效应。鱼类栖息地的片段化和破碎化导致形成大小不同的异质种群，种群间的基因交流受阻，生存和繁殖等受到不同程度的影响。数量较大的种群之间可能出现遗传分化，数量相对较小的种群将逐渐丧失遗传多样性，遭遇遗传漂变，长期生存将受到一定程度的威胁，导致特定水域中部分鱼类种群灭绝的几率增加。大坝阻隔河流中鱼类的空间分布格局，鱼类的种群数量将会发生较大变化，资源也会受到一定程度的影响。</w:t>
      </w:r>
    </w:p>
    <w:p>
      <w:pPr>
        <w:autoSpaceDE w:val="0"/>
        <w:autoSpaceDN w:val="0"/>
        <w:adjustRightInd w:val="0"/>
        <w:spacing w:line="480" w:lineRule="exact"/>
        <w:ind w:firstLine="480" w:firstLineChars="200"/>
        <w:rPr>
          <w:rFonts w:hint="eastAsia"/>
          <w:color w:val="000000" w:themeColor="text1"/>
          <w:kern w:val="0"/>
          <w:sz w:val="24"/>
          <w:highlight w:val="none"/>
          <w:lang w:val="zh-CN"/>
          <w14:textFill>
            <w14:solidFill>
              <w14:schemeClr w14:val="tx1"/>
            </w14:solidFill>
          </w14:textFill>
        </w:rPr>
      </w:pPr>
      <w:r>
        <w:rPr>
          <w:rFonts w:hint="eastAsia"/>
          <w:color w:val="000000" w:themeColor="text1"/>
          <w:kern w:val="0"/>
          <w:sz w:val="24"/>
          <w:highlight w:val="none"/>
          <w:lang w:val="zh-CN"/>
          <w14:textFill>
            <w14:solidFill>
              <w14:schemeClr w14:val="tx1"/>
            </w14:solidFill>
          </w14:textFill>
        </w:rPr>
        <w:t>电站运营期，壅水区水流变缓、水深增加、水体体积增加、流水生境萎缩，水动力过程发生较大变化。饵料生物得以发展，各种浮游动植物、水生维管植物、底栖动物等的种群数量将会明显增加，给这些鱼类造成良好的生活环境，其资源量将会有增加。电站运行期将造成橡胶坝至厂房尾水出口处的河段出现减水状况，由于水量的减少，鱼类的栖息空间将缩减，饵料生物也受到影响，鱼类资源量会有所减少。</w:t>
      </w:r>
    </w:p>
    <w:p>
      <w:pPr>
        <w:autoSpaceDE w:val="0"/>
        <w:autoSpaceDN w:val="0"/>
        <w:adjustRightInd w:val="0"/>
        <w:spacing w:line="480" w:lineRule="exact"/>
        <w:ind w:firstLine="480" w:firstLineChars="200"/>
        <w:rPr>
          <w:rFonts w:hint="eastAsia"/>
          <w:color w:val="000000" w:themeColor="text1"/>
          <w:kern w:val="0"/>
          <w:sz w:val="24"/>
          <w:highlight w:val="none"/>
          <w:lang w:val="zh-CN"/>
          <w14:textFill>
            <w14:solidFill>
              <w14:schemeClr w14:val="tx1"/>
            </w14:solidFill>
          </w14:textFill>
        </w:rPr>
      </w:pPr>
      <w:r>
        <w:rPr>
          <w:rFonts w:hint="eastAsia"/>
          <w:color w:val="000000" w:themeColor="text1"/>
          <w:kern w:val="0"/>
          <w:sz w:val="24"/>
          <w:highlight w:val="none"/>
          <w:lang w:val="zh-CN"/>
          <w14:textFill>
            <w14:solidFill>
              <w14:schemeClr w14:val="tx1"/>
            </w14:solidFill>
          </w14:textFill>
        </w:rPr>
        <w:t>评价区内没有鱼类“三场”分布，没有洄游性鱼类和其它珍稀水生生物，因此工程建设运行不会造成上述影响。</w:t>
      </w:r>
    </w:p>
    <w:p>
      <w:pPr>
        <w:spacing w:line="460" w:lineRule="exact"/>
        <w:jc w:val="left"/>
        <w:rPr>
          <w:b/>
          <w:kern w:val="0"/>
          <w:sz w:val="24"/>
          <w:highlight w:val="none"/>
        </w:rPr>
      </w:pPr>
      <w:bookmarkStart w:id="241" w:name="_Toc46734075"/>
      <w:r>
        <w:rPr>
          <w:rFonts w:hint="eastAsia"/>
          <w:b/>
          <w:kern w:val="0"/>
          <w:sz w:val="24"/>
          <w:highlight w:val="none"/>
        </w:rPr>
        <w:t>5.</w:t>
      </w:r>
      <w:r>
        <w:rPr>
          <w:rFonts w:hint="eastAsia"/>
          <w:b/>
          <w:kern w:val="0"/>
          <w:sz w:val="24"/>
          <w:highlight w:val="none"/>
          <w:lang w:val="en-US" w:eastAsia="zh-CN"/>
        </w:rPr>
        <w:t>4.4</w:t>
      </w:r>
      <w:r>
        <w:rPr>
          <w:b/>
          <w:kern w:val="0"/>
          <w:sz w:val="24"/>
          <w:highlight w:val="none"/>
        </w:rPr>
        <w:t>对河岸生态的影响</w:t>
      </w:r>
      <w:bookmarkEnd w:id="241"/>
    </w:p>
    <w:p>
      <w:pPr>
        <w:spacing w:line="460" w:lineRule="exact"/>
        <w:ind w:firstLine="480" w:firstLineChars="200"/>
        <w:jc w:val="left"/>
        <w:rPr>
          <w:color w:val="auto"/>
          <w:kern w:val="0"/>
          <w:sz w:val="24"/>
          <w:highlight w:val="none"/>
        </w:rPr>
      </w:pPr>
      <w:r>
        <w:rPr>
          <w:kern w:val="0"/>
          <w:sz w:val="24"/>
          <w:highlight w:val="none"/>
        </w:rPr>
        <w:t>本项目位于黎河南岸，总长度达</w:t>
      </w:r>
      <w:r>
        <w:rPr>
          <w:rFonts w:hint="eastAsia"/>
          <w:kern w:val="0"/>
          <w:sz w:val="24"/>
          <w:highlight w:val="none"/>
          <w:lang w:val="en-US" w:eastAsia="zh-CN"/>
        </w:rPr>
        <w:t>260</w:t>
      </w:r>
      <w:r>
        <w:rPr>
          <w:kern w:val="0"/>
          <w:sz w:val="24"/>
          <w:highlight w:val="none"/>
        </w:rPr>
        <w:t>0m，项目的橡胶坝，引水渠、</w:t>
      </w:r>
      <w:r>
        <w:rPr>
          <w:rFonts w:hint="eastAsia"/>
          <w:kern w:val="0"/>
          <w:sz w:val="24"/>
          <w:highlight w:val="none"/>
          <w:lang w:eastAsia="zh-CN"/>
        </w:rPr>
        <w:t>尾</w:t>
      </w:r>
      <w:r>
        <w:rPr>
          <w:kern w:val="0"/>
          <w:sz w:val="24"/>
          <w:highlight w:val="none"/>
        </w:rPr>
        <w:t>水区等，需挖掘岸边土壤，破坏岸边植被等，现已恢复堤岸，加固堤坝，植被已恢复等。项目不会对黎河</w:t>
      </w:r>
      <w:r>
        <w:rPr>
          <w:color w:val="auto"/>
          <w:kern w:val="0"/>
          <w:sz w:val="24"/>
          <w:highlight w:val="none"/>
        </w:rPr>
        <w:t>南岸堤坝以及植被生物等生态环境产生重大影响。</w:t>
      </w:r>
    </w:p>
    <w:p>
      <w:pPr>
        <w:spacing w:line="460" w:lineRule="exact"/>
        <w:ind w:firstLine="482" w:firstLineChars="200"/>
        <w:jc w:val="center"/>
        <w:rPr>
          <w:b/>
          <w:color w:val="auto"/>
          <w:kern w:val="0"/>
          <w:sz w:val="24"/>
          <w:highlight w:val="none"/>
        </w:rPr>
      </w:pPr>
    </w:p>
    <w:p>
      <w:pPr>
        <w:spacing w:line="460" w:lineRule="exact"/>
        <w:ind w:firstLine="482" w:firstLineChars="200"/>
        <w:jc w:val="center"/>
        <w:rPr>
          <w:b/>
          <w:color w:val="auto"/>
          <w:kern w:val="0"/>
          <w:sz w:val="24"/>
          <w:highlight w:val="none"/>
        </w:rPr>
      </w:pPr>
    </w:p>
    <w:p>
      <w:pPr>
        <w:spacing w:line="460" w:lineRule="exact"/>
        <w:ind w:firstLine="482" w:firstLineChars="200"/>
        <w:jc w:val="center"/>
        <w:rPr>
          <w:b/>
          <w:color w:val="auto"/>
          <w:kern w:val="0"/>
          <w:sz w:val="24"/>
          <w:highlight w:val="none"/>
        </w:rPr>
      </w:pPr>
      <w:r>
        <w:rPr>
          <w:b/>
          <w:color w:val="auto"/>
          <w:kern w:val="0"/>
          <w:sz w:val="24"/>
          <w:highlight w:val="none"/>
        </w:rPr>
        <w:t>表</w:t>
      </w:r>
      <w:r>
        <w:rPr>
          <w:rFonts w:hint="eastAsia"/>
          <w:b/>
          <w:color w:val="auto"/>
          <w:kern w:val="0"/>
          <w:sz w:val="24"/>
          <w:highlight w:val="none"/>
        </w:rPr>
        <w:t>5</w:t>
      </w:r>
      <w:r>
        <w:rPr>
          <w:b/>
          <w:color w:val="auto"/>
          <w:kern w:val="0"/>
          <w:sz w:val="24"/>
          <w:highlight w:val="none"/>
        </w:rPr>
        <w:t>.</w:t>
      </w:r>
      <w:r>
        <w:rPr>
          <w:rFonts w:hint="eastAsia"/>
          <w:b/>
          <w:color w:val="auto"/>
          <w:kern w:val="0"/>
          <w:sz w:val="24"/>
          <w:highlight w:val="none"/>
          <w:lang w:val="en-US" w:eastAsia="zh-CN"/>
        </w:rPr>
        <w:t>4</w:t>
      </w:r>
      <w:r>
        <w:rPr>
          <w:b/>
          <w:color w:val="auto"/>
          <w:kern w:val="0"/>
          <w:sz w:val="24"/>
          <w:highlight w:val="none"/>
        </w:rPr>
        <w:t>-1  生态影响评价自查表</w:t>
      </w:r>
    </w:p>
    <w:tbl>
      <w:tblPr>
        <w:tblStyle w:val="5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9"/>
        <w:gridCol w:w="1276"/>
        <w:gridCol w:w="60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5" w:type="dxa"/>
            <w:gridSpan w:val="2"/>
          </w:tcPr>
          <w:p>
            <w:pPr>
              <w:spacing w:line="320" w:lineRule="exact"/>
              <w:jc w:val="center"/>
              <w:rPr>
                <w:color w:val="auto"/>
                <w:kern w:val="0"/>
                <w:szCs w:val="21"/>
                <w:highlight w:val="none"/>
              </w:rPr>
            </w:pPr>
            <w:r>
              <w:rPr>
                <w:color w:val="auto"/>
                <w:kern w:val="0"/>
                <w:szCs w:val="21"/>
                <w:highlight w:val="none"/>
              </w:rPr>
              <w:t>工作内容</w:t>
            </w:r>
          </w:p>
        </w:tc>
        <w:tc>
          <w:tcPr>
            <w:tcW w:w="6002" w:type="dxa"/>
          </w:tcPr>
          <w:p>
            <w:pPr>
              <w:spacing w:line="320" w:lineRule="exact"/>
              <w:jc w:val="center"/>
              <w:rPr>
                <w:color w:val="auto"/>
                <w:kern w:val="0"/>
                <w:szCs w:val="21"/>
                <w:highlight w:val="none"/>
              </w:rPr>
            </w:pPr>
            <w:r>
              <w:rPr>
                <w:color w:val="auto"/>
                <w:kern w:val="0"/>
                <w:szCs w:val="21"/>
                <w:highlight w:val="none"/>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dxa"/>
            <w:vMerge w:val="restart"/>
            <w:vAlign w:val="center"/>
          </w:tcPr>
          <w:p>
            <w:pPr>
              <w:spacing w:line="320" w:lineRule="exact"/>
              <w:rPr>
                <w:color w:val="auto"/>
                <w:kern w:val="0"/>
                <w:szCs w:val="21"/>
                <w:highlight w:val="none"/>
              </w:rPr>
            </w:pPr>
            <w:r>
              <w:rPr>
                <w:color w:val="auto"/>
                <w:kern w:val="0"/>
                <w:szCs w:val="21"/>
                <w:highlight w:val="none"/>
              </w:rPr>
              <w:t>生态影响识别</w:t>
            </w:r>
          </w:p>
        </w:tc>
        <w:tc>
          <w:tcPr>
            <w:tcW w:w="1276" w:type="dxa"/>
            <w:vAlign w:val="center"/>
          </w:tcPr>
          <w:p>
            <w:pPr>
              <w:spacing w:line="320" w:lineRule="exact"/>
              <w:rPr>
                <w:color w:val="auto"/>
                <w:kern w:val="0"/>
                <w:szCs w:val="21"/>
                <w:highlight w:val="none"/>
              </w:rPr>
            </w:pPr>
            <w:r>
              <w:rPr>
                <w:rFonts w:hint="eastAsia"/>
                <w:color w:val="auto"/>
                <w:kern w:val="0"/>
                <w:szCs w:val="21"/>
                <w:highlight w:val="none"/>
              </w:rPr>
              <w:t>生态保护目标</w:t>
            </w:r>
          </w:p>
        </w:tc>
        <w:tc>
          <w:tcPr>
            <w:tcW w:w="6002" w:type="dxa"/>
            <w:vAlign w:val="center"/>
          </w:tcPr>
          <w:p>
            <w:pPr>
              <w:spacing w:line="320" w:lineRule="exact"/>
              <w:rPr>
                <w:rFonts w:hint="eastAsia" w:eastAsia="宋体"/>
                <w:color w:val="auto"/>
                <w:kern w:val="0"/>
                <w:szCs w:val="21"/>
                <w:highlight w:val="none"/>
                <w:lang w:eastAsia="zh-CN"/>
              </w:rPr>
            </w:pPr>
            <w:r>
              <w:rPr>
                <w:rFonts w:hint="eastAsia"/>
                <w:color w:val="auto"/>
                <w:kern w:val="0"/>
                <w:szCs w:val="21"/>
                <w:highlight w:val="none"/>
              </w:rPr>
              <w:t>重要物种□；国家公园□；自然保护区□；自然公园□；世界自然遗产□；生态保护红线</w:t>
            </w:r>
            <w:r>
              <w:rPr>
                <w:rFonts w:hint="eastAsia"/>
                <w:color w:val="auto"/>
                <w:kern w:val="0"/>
                <w:szCs w:val="21"/>
                <w:highlight w:val="none"/>
                <w:lang w:eastAsia="zh-CN"/>
              </w:rPr>
              <w:t>☑</w:t>
            </w:r>
            <w:r>
              <w:rPr>
                <w:rFonts w:hint="eastAsia"/>
                <w:color w:val="auto"/>
                <w:kern w:val="0"/>
                <w:szCs w:val="21"/>
                <w:highlight w:val="none"/>
              </w:rPr>
              <w:t>；重要生境□；其他具有重要生态功能、对保护生物多样性具有重要意义的区域□；其他</w:t>
            </w:r>
            <w:r>
              <w:rPr>
                <w:rFonts w:hint="eastAsia"/>
                <w:color w:val="auto"/>
                <w:kern w:val="0"/>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dxa"/>
            <w:vMerge w:val="continue"/>
            <w:vAlign w:val="center"/>
          </w:tcPr>
          <w:p>
            <w:pPr>
              <w:spacing w:line="320" w:lineRule="exact"/>
              <w:rPr>
                <w:color w:val="auto"/>
                <w:kern w:val="0"/>
                <w:szCs w:val="21"/>
                <w:highlight w:val="none"/>
              </w:rPr>
            </w:pPr>
          </w:p>
        </w:tc>
        <w:tc>
          <w:tcPr>
            <w:tcW w:w="1276" w:type="dxa"/>
            <w:vAlign w:val="center"/>
          </w:tcPr>
          <w:p>
            <w:pPr>
              <w:spacing w:line="320" w:lineRule="exact"/>
              <w:rPr>
                <w:color w:val="auto"/>
                <w:kern w:val="0"/>
                <w:szCs w:val="21"/>
                <w:highlight w:val="none"/>
              </w:rPr>
            </w:pPr>
            <w:r>
              <w:rPr>
                <w:rFonts w:hint="eastAsia"/>
                <w:color w:val="auto"/>
                <w:kern w:val="0"/>
                <w:szCs w:val="21"/>
                <w:highlight w:val="none"/>
              </w:rPr>
              <w:t>影响方式</w:t>
            </w:r>
          </w:p>
        </w:tc>
        <w:tc>
          <w:tcPr>
            <w:tcW w:w="6002" w:type="dxa"/>
            <w:vAlign w:val="center"/>
          </w:tcPr>
          <w:p>
            <w:pPr>
              <w:spacing w:line="320" w:lineRule="exact"/>
              <w:rPr>
                <w:color w:val="auto"/>
                <w:kern w:val="0"/>
                <w:szCs w:val="21"/>
                <w:highlight w:val="none"/>
              </w:rPr>
            </w:pPr>
            <w:r>
              <w:rPr>
                <w:rFonts w:hint="eastAsia"/>
                <w:color w:val="auto"/>
                <w:kern w:val="0"/>
                <w:szCs w:val="21"/>
                <w:highlight w:val="none"/>
              </w:rPr>
              <w:t>工程占用</w:t>
            </w:r>
            <w:r>
              <w:rPr>
                <w:rFonts w:hint="eastAsia"/>
                <w:color w:val="auto"/>
                <w:kern w:val="0"/>
                <w:szCs w:val="21"/>
                <w:highlight w:val="none"/>
                <w:lang w:eastAsia="zh-CN"/>
              </w:rPr>
              <w:t>☑</w:t>
            </w:r>
            <w:r>
              <w:rPr>
                <w:rFonts w:hint="eastAsia"/>
                <w:color w:val="auto"/>
                <w:kern w:val="0"/>
                <w:szCs w:val="21"/>
                <w:highlight w:val="none"/>
              </w:rPr>
              <w:t>；施工活动干扰</w:t>
            </w:r>
            <w:r>
              <w:rPr>
                <w:rFonts w:hint="eastAsia"/>
                <w:color w:val="auto"/>
                <w:kern w:val="0"/>
                <w:szCs w:val="21"/>
                <w:highlight w:val="none"/>
                <w:lang w:eastAsia="zh-CN"/>
              </w:rPr>
              <w:t>☑</w:t>
            </w:r>
            <w:r>
              <w:rPr>
                <w:rFonts w:hint="eastAsia"/>
                <w:color w:val="auto"/>
                <w:kern w:val="0"/>
                <w:szCs w:val="21"/>
                <w:highlight w:val="none"/>
              </w:rPr>
              <w:t>；改变环境条件□；其他□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dxa"/>
            <w:vMerge w:val="continue"/>
            <w:vAlign w:val="center"/>
          </w:tcPr>
          <w:p>
            <w:pPr>
              <w:spacing w:line="320" w:lineRule="exact"/>
              <w:rPr>
                <w:color w:val="auto"/>
                <w:kern w:val="0"/>
                <w:szCs w:val="21"/>
                <w:highlight w:val="none"/>
              </w:rPr>
            </w:pPr>
          </w:p>
        </w:tc>
        <w:tc>
          <w:tcPr>
            <w:tcW w:w="1276" w:type="dxa"/>
            <w:vAlign w:val="center"/>
          </w:tcPr>
          <w:p>
            <w:pPr>
              <w:spacing w:line="320" w:lineRule="exact"/>
              <w:rPr>
                <w:color w:val="auto"/>
                <w:kern w:val="0"/>
                <w:szCs w:val="21"/>
                <w:highlight w:val="none"/>
              </w:rPr>
            </w:pPr>
            <w:r>
              <w:rPr>
                <w:rFonts w:hint="eastAsia"/>
                <w:color w:val="auto"/>
                <w:kern w:val="0"/>
                <w:szCs w:val="21"/>
                <w:highlight w:val="none"/>
              </w:rPr>
              <w:t>评价因子</w:t>
            </w:r>
          </w:p>
        </w:tc>
        <w:tc>
          <w:tcPr>
            <w:tcW w:w="6002" w:type="dxa"/>
            <w:vAlign w:val="center"/>
          </w:tcPr>
          <w:p>
            <w:pPr>
              <w:spacing w:line="320" w:lineRule="exact"/>
              <w:rPr>
                <w:color w:val="auto"/>
                <w:kern w:val="0"/>
                <w:szCs w:val="21"/>
                <w:highlight w:val="none"/>
              </w:rPr>
            </w:pPr>
            <w:r>
              <w:rPr>
                <w:rFonts w:hint="eastAsia"/>
                <w:color w:val="auto"/>
                <w:kern w:val="0"/>
                <w:szCs w:val="21"/>
                <w:highlight w:val="none"/>
              </w:rPr>
              <w:t>物种</w:t>
            </w:r>
            <w:r>
              <w:rPr>
                <w:rFonts w:hint="eastAsia"/>
                <w:color w:val="auto"/>
                <w:kern w:val="0"/>
                <w:szCs w:val="21"/>
                <w:highlight w:val="none"/>
                <w:lang w:eastAsia="zh-CN"/>
              </w:rPr>
              <w:t>☑</w:t>
            </w:r>
            <w:r>
              <w:rPr>
                <w:rFonts w:hint="eastAsia"/>
                <w:color w:val="auto"/>
                <w:kern w:val="0"/>
                <w:szCs w:val="21"/>
                <w:highlight w:val="none"/>
              </w:rPr>
              <w:t>（</w:t>
            </w:r>
            <w:r>
              <w:rPr>
                <w:rFonts w:hint="eastAsia"/>
                <w:caps/>
                <w:color w:val="auto"/>
                <w:szCs w:val="21"/>
                <w:highlight w:val="none"/>
              </w:rPr>
              <w:t>分布范围、种群数量、种群结构、行为</w:t>
            </w:r>
            <w:r>
              <w:rPr>
                <w:rFonts w:hint="eastAsia"/>
                <w:color w:val="auto"/>
                <w:kern w:val="0"/>
                <w:szCs w:val="21"/>
                <w:highlight w:val="none"/>
              </w:rPr>
              <w:t>）</w:t>
            </w:r>
          </w:p>
          <w:p>
            <w:pPr>
              <w:spacing w:line="320" w:lineRule="exact"/>
              <w:rPr>
                <w:color w:val="auto"/>
                <w:kern w:val="0"/>
                <w:szCs w:val="21"/>
                <w:highlight w:val="none"/>
              </w:rPr>
            </w:pPr>
            <w:r>
              <w:rPr>
                <w:rFonts w:hint="eastAsia"/>
                <w:color w:val="auto"/>
                <w:kern w:val="0"/>
                <w:szCs w:val="21"/>
                <w:highlight w:val="none"/>
              </w:rPr>
              <w:t>生境</w:t>
            </w:r>
            <w:r>
              <w:rPr>
                <w:rFonts w:hint="eastAsia"/>
                <w:color w:val="auto"/>
                <w:kern w:val="0"/>
                <w:szCs w:val="21"/>
                <w:highlight w:val="none"/>
                <w:lang w:eastAsia="zh-CN"/>
              </w:rPr>
              <w:t>☑</w:t>
            </w:r>
            <w:r>
              <w:rPr>
                <w:rFonts w:hint="eastAsia"/>
                <w:color w:val="auto"/>
                <w:kern w:val="0"/>
                <w:szCs w:val="21"/>
                <w:highlight w:val="none"/>
              </w:rPr>
              <w:t>（</w:t>
            </w:r>
            <w:r>
              <w:rPr>
                <w:rFonts w:hint="eastAsia"/>
                <w:caps/>
                <w:color w:val="auto"/>
                <w:szCs w:val="21"/>
                <w:highlight w:val="none"/>
              </w:rPr>
              <w:t>生境面积、质量、连通性</w:t>
            </w:r>
            <w:r>
              <w:rPr>
                <w:rFonts w:hint="eastAsia"/>
                <w:color w:val="auto"/>
                <w:kern w:val="0"/>
                <w:szCs w:val="21"/>
                <w:highlight w:val="none"/>
              </w:rPr>
              <w:t>）</w:t>
            </w:r>
          </w:p>
          <w:p>
            <w:pPr>
              <w:spacing w:line="320" w:lineRule="exact"/>
              <w:rPr>
                <w:color w:val="auto"/>
                <w:kern w:val="0"/>
                <w:szCs w:val="21"/>
                <w:highlight w:val="none"/>
              </w:rPr>
            </w:pPr>
            <w:r>
              <w:rPr>
                <w:rFonts w:hint="eastAsia"/>
                <w:color w:val="auto"/>
                <w:kern w:val="0"/>
                <w:szCs w:val="21"/>
                <w:highlight w:val="none"/>
              </w:rPr>
              <w:t>生物群落</w:t>
            </w:r>
            <w:r>
              <w:rPr>
                <w:rFonts w:hint="eastAsia"/>
                <w:color w:val="auto"/>
                <w:kern w:val="0"/>
                <w:szCs w:val="21"/>
                <w:highlight w:val="none"/>
                <w:lang w:eastAsia="zh-CN"/>
              </w:rPr>
              <w:t>☑</w:t>
            </w:r>
            <w:r>
              <w:rPr>
                <w:rFonts w:hint="eastAsia"/>
                <w:color w:val="auto"/>
                <w:kern w:val="0"/>
                <w:szCs w:val="21"/>
                <w:highlight w:val="none"/>
              </w:rPr>
              <w:t>（</w:t>
            </w:r>
            <w:r>
              <w:rPr>
                <w:rFonts w:hint="eastAsia"/>
                <w:caps/>
                <w:color w:val="auto"/>
                <w:szCs w:val="21"/>
                <w:highlight w:val="none"/>
              </w:rPr>
              <w:t>物种组成、群落结构</w:t>
            </w:r>
            <w:r>
              <w:rPr>
                <w:rFonts w:hint="eastAsia"/>
                <w:color w:val="auto"/>
                <w:kern w:val="0"/>
                <w:szCs w:val="21"/>
                <w:highlight w:val="none"/>
              </w:rPr>
              <w:t>）</w:t>
            </w:r>
          </w:p>
          <w:p>
            <w:pPr>
              <w:spacing w:line="320" w:lineRule="exact"/>
              <w:rPr>
                <w:color w:val="auto"/>
                <w:kern w:val="0"/>
                <w:szCs w:val="21"/>
                <w:highlight w:val="none"/>
              </w:rPr>
            </w:pPr>
            <w:r>
              <w:rPr>
                <w:rFonts w:hint="eastAsia"/>
                <w:color w:val="auto"/>
                <w:kern w:val="0"/>
                <w:szCs w:val="21"/>
                <w:highlight w:val="none"/>
              </w:rPr>
              <w:t>生态系统</w:t>
            </w:r>
            <w:r>
              <w:rPr>
                <w:rFonts w:hint="eastAsia"/>
                <w:color w:val="auto"/>
                <w:kern w:val="0"/>
                <w:szCs w:val="21"/>
                <w:highlight w:val="none"/>
                <w:lang w:eastAsia="zh-CN"/>
              </w:rPr>
              <w:t>☑</w:t>
            </w:r>
            <w:r>
              <w:rPr>
                <w:rFonts w:hint="eastAsia"/>
                <w:color w:val="auto"/>
                <w:kern w:val="0"/>
                <w:szCs w:val="21"/>
                <w:highlight w:val="none"/>
              </w:rPr>
              <w:t>（</w:t>
            </w:r>
            <w:r>
              <w:rPr>
                <w:rFonts w:hint="eastAsia"/>
                <w:caps/>
                <w:color w:val="auto"/>
                <w:szCs w:val="21"/>
                <w:highlight w:val="none"/>
              </w:rPr>
              <w:t>植被覆盖度、生产力、生物量、生态系统功能</w:t>
            </w:r>
            <w:r>
              <w:rPr>
                <w:rFonts w:hint="eastAsia"/>
                <w:color w:val="auto"/>
                <w:kern w:val="0"/>
                <w:szCs w:val="21"/>
                <w:highlight w:val="none"/>
              </w:rPr>
              <w:t>）</w:t>
            </w:r>
          </w:p>
          <w:p>
            <w:pPr>
              <w:spacing w:line="320" w:lineRule="exact"/>
              <w:rPr>
                <w:color w:val="auto"/>
                <w:kern w:val="0"/>
                <w:szCs w:val="21"/>
                <w:highlight w:val="none"/>
              </w:rPr>
            </w:pPr>
            <w:r>
              <w:rPr>
                <w:rFonts w:hint="eastAsia"/>
                <w:color w:val="auto"/>
                <w:kern w:val="0"/>
                <w:szCs w:val="21"/>
                <w:highlight w:val="none"/>
              </w:rPr>
              <w:t>生物多样性</w:t>
            </w:r>
            <w:r>
              <w:rPr>
                <w:rFonts w:hint="eastAsia"/>
                <w:color w:val="auto"/>
                <w:kern w:val="0"/>
                <w:szCs w:val="21"/>
                <w:highlight w:val="none"/>
                <w:lang w:eastAsia="zh-CN"/>
              </w:rPr>
              <w:t>☑</w:t>
            </w:r>
            <w:r>
              <w:rPr>
                <w:rFonts w:hint="eastAsia"/>
                <w:color w:val="auto"/>
                <w:kern w:val="0"/>
                <w:szCs w:val="21"/>
                <w:highlight w:val="none"/>
              </w:rPr>
              <w:t>（</w:t>
            </w:r>
            <w:r>
              <w:rPr>
                <w:rFonts w:hint="eastAsia"/>
                <w:caps/>
                <w:color w:val="auto"/>
                <w:szCs w:val="21"/>
                <w:highlight w:val="none"/>
              </w:rPr>
              <w:t>物种丰富度、均匀度、优势度</w:t>
            </w:r>
            <w:r>
              <w:rPr>
                <w:rFonts w:hint="eastAsia"/>
                <w:color w:val="auto"/>
                <w:kern w:val="0"/>
                <w:szCs w:val="21"/>
                <w:highlight w:val="none"/>
              </w:rPr>
              <w:t>）</w:t>
            </w:r>
          </w:p>
          <w:p>
            <w:pPr>
              <w:spacing w:line="320" w:lineRule="exact"/>
              <w:rPr>
                <w:color w:val="auto"/>
                <w:kern w:val="0"/>
                <w:szCs w:val="21"/>
                <w:highlight w:val="none"/>
              </w:rPr>
            </w:pPr>
            <w:r>
              <w:rPr>
                <w:rFonts w:hint="eastAsia"/>
                <w:color w:val="auto"/>
                <w:kern w:val="0"/>
                <w:szCs w:val="21"/>
                <w:highlight w:val="none"/>
              </w:rPr>
              <w:t>生态敏感区□（ ）</w:t>
            </w:r>
          </w:p>
          <w:p>
            <w:pPr>
              <w:spacing w:line="320" w:lineRule="exact"/>
              <w:rPr>
                <w:color w:val="auto"/>
                <w:kern w:val="0"/>
                <w:szCs w:val="21"/>
                <w:highlight w:val="none"/>
              </w:rPr>
            </w:pPr>
            <w:r>
              <w:rPr>
                <w:rFonts w:hint="eastAsia"/>
                <w:color w:val="auto"/>
                <w:kern w:val="0"/>
                <w:szCs w:val="21"/>
                <w:highlight w:val="none"/>
              </w:rPr>
              <w:t>自然景观□（ ）</w:t>
            </w:r>
          </w:p>
          <w:p>
            <w:pPr>
              <w:spacing w:line="320" w:lineRule="exact"/>
              <w:rPr>
                <w:color w:val="auto"/>
                <w:kern w:val="0"/>
                <w:szCs w:val="21"/>
                <w:highlight w:val="none"/>
              </w:rPr>
            </w:pPr>
            <w:r>
              <w:rPr>
                <w:rFonts w:hint="eastAsia"/>
                <w:color w:val="auto"/>
                <w:kern w:val="0"/>
                <w:szCs w:val="21"/>
                <w:highlight w:val="none"/>
              </w:rPr>
              <w:t>自然遗迹□（ ）</w:t>
            </w:r>
          </w:p>
          <w:p>
            <w:pPr>
              <w:spacing w:line="320" w:lineRule="exact"/>
              <w:rPr>
                <w:color w:val="auto"/>
                <w:kern w:val="0"/>
                <w:szCs w:val="21"/>
                <w:highlight w:val="none"/>
              </w:rPr>
            </w:pPr>
            <w:r>
              <w:rPr>
                <w:rFonts w:hint="eastAsia"/>
                <w:color w:val="auto"/>
                <w:kern w:val="0"/>
                <w:szCs w:val="21"/>
                <w:highlight w:val="none"/>
              </w:rPr>
              <w:t>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5" w:type="dxa"/>
            <w:gridSpan w:val="2"/>
            <w:vAlign w:val="center"/>
          </w:tcPr>
          <w:p>
            <w:pPr>
              <w:spacing w:line="320" w:lineRule="exact"/>
              <w:rPr>
                <w:color w:val="auto"/>
                <w:kern w:val="0"/>
                <w:szCs w:val="21"/>
                <w:highlight w:val="none"/>
              </w:rPr>
            </w:pPr>
            <w:r>
              <w:rPr>
                <w:color w:val="auto"/>
                <w:kern w:val="0"/>
                <w:szCs w:val="21"/>
                <w:highlight w:val="none"/>
              </w:rPr>
              <w:t>评价等级</w:t>
            </w:r>
          </w:p>
        </w:tc>
        <w:tc>
          <w:tcPr>
            <w:tcW w:w="6002" w:type="dxa"/>
            <w:vAlign w:val="center"/>
          </w:tcPr>
          <w:p>
            <w:pPr>
              <w:spacing w:line="320" w:lineRule="exact"/>
              <w:rPr>
                <w:color w:val="auto"/>
                <w:kern w:val="0"/>
                <w:szCs w:val="21"/>
                <w:highlight w:val="none"/>
              </w:rPr>
            </w:pPr>
            <w:r>
              <w:rPr>
                <w:rFonts w:hint="eastAsia"/>
                <w:color w:val="auto"/>
                <w:kern w:val="0"/>
                <w:szCs w:val="21"/>
                <w:highlight w:val="none"/>
              </w:rPr>
              <w:t xml:space="preserve">一级□ </w:t>
            </w:r>
            <w:r>
              <w:rPr>
                <w:color w:val="auto"/>
                <w:kern w:val="0"/>
                <w:szCs w:val="21"/>
                <w:highlight w:val="none"/>
              </w:rPr>
              <w:t xml:space="preserve">  </w:t>
            </w:r>
            <w:r>
              <w:rPr>
                <w:rFonts w:hint="eastAsia"/>
                <w:color w:val="auto"/>
                <w:kern w:val="0"/>
                <w:szCs w:val="21"/>
                <w:highlight w:val="none"/>
              </w:rPr>
              <w:t xml:space="preserve"> 二级</w:t>
            </w:r>
            <w:r>
              <w:rPr>
                <w:rFonts w:hint="eastAsia"/>
                <w:color w:val="auto"/>
                <w:kern w:val="0"/>
                <w:szCs w:val="21"/>
                <w:highlight w:val="none"/>
                <w:lang w:eastAsia="zh-CN"/>
              </w:rPr>
              <w:t>☑</w:t>
            </w:r>
            <w:r>
              <w:rPr>
                <w:rFonts w:hint="eastAsia"/>
                <w:color w:val="auto"/>
                <w:kern w:val="0"/>
                <w:szCs w:val="21"/>
                <w:highlight w:val="none"/>
              </w:rPr>
              <w:t xml:space="preserve"> </w:t>
            </w:r>
            <w:r>
              <w:rPr>
                <w:color w:val="auto"/>
                <w:kern w:val="0"/>
                <w:szCs w:val="21"/>
                <w:highlight w:val="none"/>
              </w:rPr>
              <w:t xml:space="preserve">    </w:t>
            </w:r>
            <w:r>
              <w:rPr>
                <w:rFonts w:hint="eastAsia"/>
                <w:color w:val="auto"/>
                <w:kern w:val="0"/>
                <w:szCs w:val="21"/>
                <w:highlight w:val="none"/>
              </w:rPr>
              <w:t xml:space="preserve">三级□ </w:t>
            </w:r>
            <w:r>
              <w:rPr>
                <w:color w:val="auto"/>
                <w:kern w:val="0"/>
                <w:szCs w:val="21"/>
                <w:highlight w:val="none"/>
              </w:rPr>
              <w:t xml:space="preserve">   </w:t>
            </w:r>
            <w:r>
              <w:rPr>
                <w:rFonts w:hint="eastAsia"/>
                <w:color w:val="auto"/>
                <w:kern w:val="0"/>
                <w:szCs w:val="21"/>
                <w:highlight w:val="none"/>
              </w:rPr>
              <w:t>生态影响简单分析□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5" w:type="dxa"/>
            <w:gridSpan w:val="2"/>
            <w:vAlign w:val="center"/>
          </w:tcPr>
          <w:p>
            <w:pPr>
              <w:spacing w:line="320" w:lineRule="exact"/>
              <w:rPr>
                <w:color w:val="auto"/>
                <w:kern w:val="0"/>
                <w:szCs w:val="21"/>
                <w:highlight w:val="none"/>
              </w:rPr>
            </w:pPr>
            <w:r>
              <w:rPr>
                <w:color w:val="auto"/>
                <w:kern w:val="0"/>
                <w:szCs w:val="21"/>
                <w:highlight w:val="none"/>
              </w:rPr>
              <w:t>评价范围</w:t>
            </w:r>
          </w:p>
        </w:tc>
        <w:tc>
          <w:tcPr>
            <w:tcW w:w="6002" w:type="dxa"/>
            <w:vAlign w:val="center"/>
          </w:tcPr>
          <w:p>
            <w:pPr>
              <w:spacing w:line="320" w:lineRule="exact"/>
              <w:rPr>
                <w:color w:val="auto"/>
                <w:kern w:val="0"/>
                <w:szCs w:val="21"/>
                <w:highlight w:val="none"/>
              </w:rPr>
            </w:pPr>
            <w:r>
              <w:rPr>
                <w:rFonts w:hint="eastAsia"/>
                <w:color w:val="auto"/>
                <w:kern w:val="0"/>
                <w:szCs w:val="21"/>
                <w:highlight w:val="none"/>
              </w:rPr>
              <w:t>陆域面积：（</w:t>
            </w:r>
            <w:r>
              <w:rPr>
                <w:color w:val="auto"/>
                <w:kern w:val="0"/>
                <w:szCs w:val="21"/>
                <w:highlight w:val="none"/>
              </w:rPr>
              <w:t>1.0</w:t>
            </w:r>
            <w:r>
              <w:rPr>
                <w:rFonts w:hint="eastAsia"/>
                <w:color w:val="auto"/>
                <w:kern w:val="0"/>
                <w:szCs w:val="21"/>
                <w:highlight w:val="none"/>
                <w:lang w:val="en-US" w:eastAsia="zh-CN"/>
              </w:rPr>
              <w:t>1</w:t>
            </w:r>
            <w:r>
              <w:rPr>
                <w:rFonts w:hint="eastAsia"/>
                <w:color w:val="auto"/>
                <w:kern w:val="0"/>
                <w:szCs w:val="21"/>
                <w:highlight w:val="none"/>
              </w:rPr>
              <w:t>）km</w:t>
            </w:r>
            <w:r>
              <w:rPr>
                <w:rFonts w:hint="eastAsia"/>
                <w:color w:val="auto"/>
                <w:kern w:val="0"/>
                <w:szCs w:val="21"/>
                <w:highlight w:val="none"/>
                <w:vertAlign w:val="superscript"/>
              </w:rPr>
              <w:t>2</w:t>
            </w:r>
            <w:r>
              <w:rPr>
                <w:rFonts w:hint="eastAsia"/>
                <w:color w:val="auto"/>
                <w:kern w:val="0"/>
                <w:szCs w:val="21"/>
                <w:highlight w:val="none"/>
              </w:rPr>
              <w:t>；水域面积：（</w:t>
            </w:r>
            <w:r>
              <w:rPr>
                <w:rFonts w:hint="eastAsia"/>
                <w:color w:val="auto"/>
                <w:kern w:val="0"/>
                <w:szCs w:val="21"/>
                <w:highlight w:val="none"/>
                <w:lang w:val="en-US" w:eastAsia="zh-CN"/>
              </w:rPr>
              <w:t>0.26</w:t>
            </w:r>
            <w:r>
              <w:rPr>
                <w:rFonts w:hint="eastAsia"/>
                <w:color w:val="auto"/>
                <w:kern w:val="0"/>
                <w:szCs w:val="21"/>
                <w:highlight w:val="none"/>
              </w:rPr>
              <w:t>）km</w:t>
            </w:r>
            <w:r>
              <w:rPr>
                <w:rFonts w:hint="eastAsia"/>
                <w:color w:val="auto"/>
                <w:kern w:val="0"/>
                <w:szCs w:val="21"/>
                <w:highlight w:val="none"/>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dxa"/>
            <w:vMerge w:val="restart"/>
            <w:vAlign w:val="center"/>
          </w:tcPr>
          <w:p>
            <w:pPr>
              <w:spacing w:line="320" w:lineRule="exact"/>
              <w:rPr>
                <w:color w:val="auto"/>
                <w:kern w:val="0"/>
                <w:szCs w:val="21"/>
                <w:highlight w:val="none"/>
              </w:rPr>
            </w:pPr>
            <w:r>
              <w:rPr>
                <w:color w:val="auto"/>
                <w:kern w:val="0"/>
                <w:szCs w:val="21"/>
                <w:highlight w:val="none"/>
              </w:rPr>
              <w:t>生态现状调查与评价</w:t>
            </w:r>
          </w:p>
        </w:tc>
        <w:tc>
          <w:tcPr>
            <w:tcW w:w="1276" w:type="dxa"/>
            <w:vAlign w:val="center"/>
          </w:tcPr>
          <w:p>
            <w:pPr>
              <w:spacing w:line="320" w:lineRule="exact"/>
              <w:rPr>
                <w:color w:val="auto"/>
                <w:kern w:val="0"/>
                <w:szCs w:val="21"/>
                <w:highlight w:val="none"/>
              </w:rPr>
            </w:pPr>
            <w:r>
              <w:rPr>
                <w:rFonts w:hint="eastAsia"/>
                <w:color w:val="auto"/>
                <w:kern w:val="0"/>
                <w:szCs w:val="21"/>
                <w:highlight w:val="none"/>
              </w:rPr>
              <w:t>调查方法</w:t>
            </w:r>
          </w:p>
        </w:tc>
        <w:tc>
          <w:tcPr>
            <w:tcW w:w="6002" w:type="dxa"/>
            <w:vAlign w:val="center"/>
          </w:tcPr>
          <w:p>
            <w:pPr>
              <w:spacing w:line="320" w:lineRule="exact"/>
              <w:rPr>
                <w:color w:val="auto"/>
                <w:kern w:val="0"/>
                <w:szCs w:val="21"/>
                <w:highlight w:val="none"/>
              </w:rPr>
            </w:pPr>
            <w:r>
              <w:rPr>
                <w:rFonts w:hint="eastAsia"/>
                <w:color w:val="auto"/>
                <w:kern w:val="0"/>
                <w:szCs w:val="21"/>
                <w:highlight w:val="none"/>
              </w:rPr>
              <w:t>资料收集</w:t>
            </w:r>
            <w:r>
              <w:rPr>
                <w:rFonts w:hint="eastAsia"/>
                <w:color w:val="auto"/>
                <w:kern w:val="0"/>
                <w:szCs w:val="21"/>
                <w:highlight w:val="none"/>
                <w:lang w:eastAsia="zh-CN"/>
              </w:rPr>
              <w:t>☑</w:t>
            </w:r>
            <w:r>
              <w:rPr>
                <w:rFonts w:hint="eastAsia"/>
                <w:color w:val="auto"/>
                <w:kern w:val="0"/>
                <w:szCs w:val="21"/>
                <w:highlight w:val="none"/>
              </w:rPr>
              <w:t>；遥感调查□；调查样方、样线□；调查点位、断面</w:t>
            </w:r>
            <w:r>
              <w:rPr>
                <w:rFonts w:hint="eastAsia"/>
                <w:color w:val="auto"/>
                <w:kern w:val="0"/>
                <w:szCs w:val="21"/>
                <w:highlight w:val="none"/>
                <w:lang w:eastAsia="zh-CN"/>
              </w:rPr>
              <w:t>☑</w:t>
            </w:r>
            <w:r>
              <w:rPr>
                <w:rFonts w:hint="eastAsia"/>
                <w:color w:val="auto"/>
                <w:kern w:val="0"/>
                <w:szCs w:val="21"/>
                <w:highlight w:val="none"/>
              </w:rPr>
              <w:t>；专家和公众咨询法□；其他</w:t>
            </w:r>
            <w:r>
              <w:rPr>
                <w:rFonts w:hint="eastAsia"/>
                <w:color w:val="auto"/>
                <w:kern w:val="0"/>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dxa"/>
            <w:vMerge w:val="continue"/>
            <w:vAlign w:val="center"/>
          </w:tcPr>
          <w:p>
            <w:pPr>
              <w:spacing w:line="320" w:lineRule="exact"/>
              <w:rPr>
                <w:color w:val="auto"/>
                <w:kern w:val="0"/>
                <w:szCs w:val="21"/>
                <w:highlight w:val="none"/>
              </w:rPr>
            </w:pPr>
          </w:p>
        </w:tc>
        <w:tc>
          <w:tcPr>
            <w:tcW w:w="1276" w:type="dxa"/>
            <w:vAlign w:val="center"/>
          </w:tcPr>
          <w:p>
            <w:pPr>
              <w:spacing w:line="320" w:lineRule="exact"/>
              <w:rPr>
                <w:color w:val="auto"/>
                <w:kern w:val="0"/>
                <w:szCs w:val="21"/>
                <w:highlight w:val="none"/>
              </w:rPr>
            </w:pPr>
            <w:r>
              <w:rPr>
                <w:rFonts w:hint="eastAsia"/>
                <w:color w:val="auto"/>
                <w:kern w:val="0"/>
                <w:szCs w:val="21"/>
                <w:highlight w:val="none"/>
              </w:rPr>
              <w:t>调查时间</w:t>
            </w:r>
          </w:p>
        </w:tc>
        <w:tc>
          <w:tcPr>
            <w:tcW w:w="6002" w:type="dxa"/>
            <w:vAlign w:val="center"/>
          </w:tcPr>
          <w:p>
            <w:pPr>
              <w:spacing w:line="320" w:lineRule="exact"/>
              <w:rPr>
                <w:color w:val="auto"/>
                <w:kern w:val="0"/>
                <w:szCs w:val="21"/>
                <w:highlight w:val="none"/>
              </w:rPr>
            </w:pPr>
            <w:r>
              <w:rPr>
                <w:rFonts w:hint="eastAsia"/>
                <w:color w:val="auto"/>
                <w:kern w:val="0"/>
                <w:szCs w:val="21"/>
                <w:highlight w:val="none"/>
              </w:rPr>
              <w:t>春季□；夏季</w:t>
            </w:r>
            <w:r>
              <w:rPr>
                <w:rFonts w:hint="eastAsia"/>
                <w:color w:val="auto"/>
                <w:kern w:val="0"/>
                <w:szCs w:val="21"/>
                <w:highlight w:val="none"/>
                <w:lang w:eastAsia="zh-CN"/>
              </w:rPr>
              <w:t>☑</w:t>
            </w:r>
            <w:r>
              <w:rPr>
                <w:rFonts w:hint="eastAsia"/>
                <w:color w:val="auto"/>
                <w:kern w:val="0"/>
                <w:szCs w:val="21"/>
                <w:highlight w:val="none"/>
              </w:rPr>
              <w:t>；秋季□；冬季□</w:t>
            </w:r>
          </w:p>
          <w:p>
            <w:pPr>
              <w:spacing w:line="320" w:lineRule="exact"/>
              <w:rPr>
                <w:color w:val="auto"/>
                <w:kern w:val="0"/>
                <w:szCs w:val="21"/>
                <w:highlight w:val="none"/>
              </w:rPr>
            </w:pPr>
            <w:r>
              <w:rPr>
                <w:rFonts w:hint="eastAsia"/>
                <w:color w:val="auto"/>
                <w:kern w:val="0"/>
                <w:szCs w:val="21"/>
                <w:highlight w:val="none"/>
              </w:rPr>
              <w:t>丰水期□；枯水期</w:t>
            </w:r>
            <w:r>
              <w:rPr>
                <w:rFonts w:hint="eastAsia"/>
                <w:color w:val="auto"/>
                <w:kern w:val="0"/>
                <w:szCs w:val="21"/>
                <w:highlight w:val="none"/>
                <w:lang w:eastAsia="zh-CN"/>
              </w:rPr>
              <w:t>☑</w:t>
            </w:r>
            <w:r>
              <w:rPr>
                <w:rFonts w:hint="eastAsia"/>
                <w:color w:val="auto"/>
                <w:kern w:val="0"/>
                <w:szCs w:val="21"/>
                <w:highlight w:val="none"/>
              </w:rPr>
              <w:t>；平水期□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dxa"/>
            <w:vMerge w:val="continue"/>
            <w:vAlign w:val="center"/>
          </w:tcPr>
          <w:p>
            <w:pPr>
              <w:spacing w:line="320" w:lineRule="exact"/>
              <w:rPr>
                <w:color w:val="auto"/>
                <w:kern w:val="0"/>
                <w:szCs w:val="21"/>
                <w:highlight w:val="none"/>
              </w:rPr>
            </w:pPr>
          </w:p>
        </w:tc>
        <w:tc>
          <w:tcPr>
            <w:tcW w:w="1276" w:type="dxa"/>
            <w:vAlign w:val="center"/>
          </w:tcPr>
          <w:p>
            <w:pPr>
              <w:spacing w:line="320" w:lineRule="exact"/>
              <w:rPr>
                <w:color w:val="auto"/>
                <w:kern w:val="0"/>
                <w:szCs w:val="21"/>
                <w:highlight w:val="none"/>
              </w:rPr>
            </w:pPr>
            <w:r>
              <w:rPr>
                <w:rFonts w:hint="eastAsia"/>
                <w:color w:val="auto"/>
                <w:kern w:val="0"/>
                <w:szCs w:val="21"/>
                <w:highlight w:val="none"/>
              </w:rPr>
              <w:t>所在区域的</w:t>
            </w:r>
          </w:p>
          <w:p>
            <w:pPr>
              <w:spacing w:line="320" w:lineRule="exact"/>
              <w:rPr>
                <w:color w:val="auto"/>
                <w:kern w:val="0"/>
                <w:szCs w:val="21"/>
                <w:highlight w:val="none"/>
              </w:rPr>
            </w:pPr>
            <w:r>
              <w:rPr>
                <w:rFonts w:hint="eastAsia"/>
                <w:color w:val="auto"/>
                <w:kern w:val="0"/>
                <w:szCs w:val="21"/>
                <w:highlight w:val="none"/>
              </w:rPr>
              <w:t>生态问题</w:t>
            </w:r>
          </w:p>
        </w:tc>
        <w:tc>
          <w:tcPr>
            <w:tcW w:w="6002" w:type="dxa"/>
            <w:vAlign w:val="center"/>
          </w:tcPr>
          <w:p>
            <w:pPr>
              <w:spacing w:line="320" w:lineRule="exact"/>
              <w:rPr>
                <w:color w:val="auto"/>
                <w:kern w:val="0"/>
                <w:szCs w:val="21"/>
                <w:highlight w:val="none"/>
              </w:rPr>
            </w:pPr>
            <w:r>
              <w:rPr>
                <w:rFonts w:hint="eastAsia"/>
                <w:color w:val="auto"/>
                <w:kern w:val="0"/>
                <w:szCs w:val="21"/>
                <w:highlight w:val="none"/>
              </w:rPr>
              <w:t>水土流失</w:t>
            </w:r>
            <w:r>
              <w:rPr>
                <w:rFonts w:hint="eastAsia"/>
                <w:color w:val="auto"/>
                <w:kern w:val="0"/>
                <w:szCs w:val="21"/>
                <w:highlight w:val="none"/>
                <w:lang w:eastAsia="zh-CN"/>
              </w:rPr>
              <w:t>□</w:t>
            </w:r>
            <w:r>
              <w:rPr>
                <w:rFonts w:hint="eastAsia"/>
                <w:color w:val="auto"/>
                <w:kern w:val="0"/>
                <w:szCs w:val="21"/>
                <w:highlight w:val="none"/>
              </w:rPr>
              <w:t>；沙漠化□；石漠化□；盐渍化□；生物入侵□；污染危害</w:t>
            </w:r>
            <w:r>
              <w:rPr>
                <w:rFonts w:hint="eastAsia"/>
                <w:color w:val="auto"/>
                <w:kern w:val="0"/>
                <w:szCs w:val="21"/>
                <w:highlight w:val="none"/>
                <w:lang w:eastAsia="zh-CN"/>
              </w:rPr>
              <w:t>☑</w:t>
            </w:r>
            <w:r>
              <w:rPr>
                <w:rFonts w:hint="eastAsia"/>
                <w:color w:val="auto"/>
                <w:kern w:val="0"/>
                <w:szCs w:val="21"/>
                <w:highlight w:val="none"/>
              </w:rPr>
              <w:t>；其他</w:t>
            </w:r>
            <w:r>
              <w:rPr>
                <w:rFonts w:hint="eastAsia"/>
                <w:color w:val="auto"/>
                <w:kern w:val="0"/>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dxa"/>
            <w:vMerge w:val="continue"/>
            <w:vAlign w:val="center"/>
          </w:tcPr>
          <w:p>
            <w:pPr>
              <w:spacing w:line="320" w:lineRule="exact"/>
              <w:rPr>
                <w:color w:val="auto"/>
                <w:kern w:val="0"/>
                <w:szCs w:val="21"/>
                <w:highlight w:val="none"/>
              </w:rPr>
            </w:pPr>
          </w:p>
        </w:tc>
        <w:tc>
          <w:tcPr>
            <w:tcW w:w="1276" w:type="dxa"/>
            <w:vAlign w:val="center"/>
          </w:tcPr>
          <w:p>
            <w:pPr>
              <w:spacing w:line="320" w:lineRule="exact"/>
              <w:rPr>
                <w:color w:val="auto"/>
                <w:kern w:val="0"/>
                <w:szCs w:val="21"/>
                <w:highlight w:val="none"/>
              </w:rPr>
            </w:pPr>
            <w:r>
              <w:rPr>
                <w:rFonts w:hint="eastAsia"/>
                <w:color w:val="auto"/>
                <w:kern w:val="0"/>
                <w:szCs w:val="21"/>
                <w:highlight w:val="none"/>
              </w:rPr>
              <w:t>评价内容</w:t>
            </w:r>
          </w:p>
        </w:tc>
        <w:tc>
          <w:tcPr>
            <w:tcW w:w="6002" w:type="dxa"/>
            <w:vAlign w:val="center"/>
          </w:tcPr>
          <w:p>
            <w:pPr>
              <w:spacing w:line="320" w:lineRule="exact"/>
              <w:rPr>
                <w:color w:val="auto"/>
                <w:kern w:val="0"/>
                <w:szCs w:val="21"/>
                <w:highlight w:val="none"/>
              </w:rPr>
            </w:pPr>
            <w:r>
              <w:rPr>
                <w:rFonts w:hint="eastAsia"/>
                <w:color w:val="auto"/>
                <w:kern w:val="0"/>
                <w:szCs w:val="21"/>
                <w:highlight w:val="none"/>
              </w:rPr>
              <w:t>植被/植物群落</w:t>
            </w:r>
            <w:r>
              <w:rPr>
                <w:rFonts w:hint="eastAsia"/>
                <w:color w:val="auto"/>
                <w:kern w:val="0"/>
                <w:szCs w:val="21"/>
                <w:highlight w:val="none"/>
                <w:lang w:eastAsia="zh-CN"/>
              </w:rPr>
              <w:t>☑</w:t>
            </w:r>
            <w:r>
              <w:rPr>
                <w:rFonts w:hint="eastAsia"/>
                <w:color w:val="auto"/>
                <w:kern w:val="0"/>
                <w:szCs w:val="21"/>
                <w:highlight w:val="none"/>
              </w:rPr>
              <w:t>；土地利用</w:t>
            </w:r>
            <w:r>
              <w:rPr>
                <w:rFonts w:hint="eastAsia"/>
                <w:color w:val="auto"/>
                <w:kern w:val="0"/>
                <w:szCs w:val="21"/>
                <w:highlight w:val="none"/>
                <w:lang w:eastAsia="zh-CN"/>
              </w:rPr>
              <w:t>☑</w:t>
            </w:r>
            <w:r>
              <w:rPr>
                <w:rFonts w:hint="eastAsia"/>
                <w:color w:val="auto"/>
                <w:kern w:val="0"/>
                <w:szCs w:val="21"/>
                <w:highlight w:val="none"/>
              </w:rPr>
              <w:t>；生态系统□；生物多样性</w:t>
            </w:r>
            <w:r>
              <w:rPr>
                <w:rFonts w:hint="eastAsia"/>
                <w:color w:val="auto"/>
                <w:kern w:val="0"/>
                <w:szCs w:val="21"/>
                <w:highlight w:val="none"/>
                <w:lang w:eastAsia="zh-CN"/>
              </w:rPr>
              <w:t>☑</w:t>
            </w:r>
            <w:r>
              <w:rPr>
                <w:rFonts w:hint="eastAsia"/>
                <w:color w:val="auto"/>
                <w:kern w:val="0"/>
                <w:szCs w:val="21"/>
                <w:highlight w:val="none"/>
              </w:rPr>
              <w:t>；重要物种□；生态敏感区□；其他</w:t>
            </w:r>
            <w:r>
              <w:rPr>
                <w:rFonts w:hint="eastAsia"/>
                <w:color w:val="auto"/>
                <w:kern w:val="0"/>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dxa"/>
            <w:vMerge w:val="restart"/>
            <w:vAlign w:val="center"/>
          </w:tcPr>
          <w:p>
            <w:pPr>
              <w:spacing w:line="320" w:lineRule="exact"/>
              <w:rPr>
                <w:color w:val="auto"/>
                <w:kern w:val="0"/>
                <w:szCs w:val="21"/>
                <w:highlight w:val="none"/>
              </w:rPr>
            </w:pPr>
            <w:r>
              <w:rPr>
                <w:color w:val="auto"/>
                <w:kern w:val="0"/>
                <w:szCs w:val="21"/>
                <w:highlight w:val="none"/>
              </w:rPr>
              <w:t>生态影响预测与评价</w:t>
            </w:r>
          </w:p>
        </w:tc>
        <w:tc>
          <w:tcPr>
            <w:tcW w:w="1276" w:type="dxa"/>
            <w:vAlign w:val="center"/>
          </w:tcPr>
          <w:p>
            <w:pPr>
              <w:spacing w:line="320" w:lineRule="exact"/>
              <w:rPr>
                <w:color w:val="auto"/>
                <w:kern w:val="0"/>
                <w:szCs w:val="21"/>
                <w:highlight w:val="none"/>
              </w:rPr>
            </w:pPr>
            <w:r>
              <w:rPr>
                <w:rFonts w:hint="eastAsia"/>
                <w:color w:val="auto"/>
                <w:kern w:val="0"/>
                <w:szCs w:val="21"/>
                <w:highlight w:val="none"/>
              </w:rPr>
              <w:t xml:space="preserve">评价方法  </w:t>
            </w:r>
          </w:p>
        </w:tc>
        <w:tc>
          <w:tcPr>
            <w:tcW w:w="6002" w:type="dxa"/>
            <w:vAlign w:val="center"/>
          </w:tcPr>
          <w:p>
            <w:pPr>
              <w:spacing w:line="320" w:lineRule="exact"/>
              <w:rPr>
                <w:color w:val="auto"/>
                <w:kern w:val="0"/>
                <w:szCs w:val="21"/>
                <w:highlight w:val="none"/>
              </w:rPr>
            </w:pPr>
            <w:r>
              <w:rPr>
                <w:rFonts w:hint="eastAsia"/>
                <w:color w:val="auto"/>
                <w:kern w:val="0"/>
                <w:szCs w:val="21"/>
                <w:highlight w:val="none"/>
              </w:rPr>
              <w:t>定性□；定性和定量</w:t>
            </w:r>
            <w:r>
              <w:rPr>
                <w:rFonts w:hint="eastAsia"/>
                <w:color w:val="auto"/>
                <w:kern w:val="0"/>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dxa"/>
            <w:vMerge w:val="continue"/>
            <w:vAlign w:val="center"/>
          </w:tcPr>
          <w:p>
            <w:pPr>
              <w:pStyle w:val="26"/>
              <w:spacing w:line="320" w:lineRule="exact"/>
              <w:ind w:left="0" w:leftChars="0" w:right="0" w:rightChars="0"/>
              <w:rPr>
                <w:color w:val="auto"/>
                <w:szCs w:val="21"/>
                <w:highlight w:val="none"/>
              </w:rPr>
            </w:pPr>
          </w:p>
        </w:tc>
        <w:tc>
          <w:tcPr>
            <w:tcW w:w="1276" w:type="dxa"/>
            <w:vAlign w:val="center"/>
          </w:tcPr>
          <w:p>
            <w:pPr>
              <w:spacing w:line="320" w:lineRule="exact"/>
              <w:rPr>
                <w:color w:val="auto"/>
                <w:kern w:val="0"/>
                <w:szCs w:val="21"/>
                <w:highlight w:val="none"/>
              </w:rPr>
            </w:pPr>
            <w:r>
              <w:rPr>
                <w:rFonts w:hint="eastAsia"/>
                <w:color w:val="auto"/>
                <w:kern w:val="0"/>
                <w:szCs w:val="21"/>
                <w:highlight w:val="none"/>
              </w:rPr>
              <w:t>评价内容</w:t>
            </w:r>
          </w:p>
        </w:tc>
        <w:tc>
          <w:tcPr>
            <w:tcW w:w="6002" w:type="dxa"/>
            <w:vAlign w:val="center"/>
          </w:tcPr>
          <w:p>
            <w:pPr>
              <w:spacing w:line="320" w:lineRule="exact"/>
              <w:rPr>
                <w:color w:val="auto"/>
                <w:kern w:val="0"/>
                <w:szCs w:val="21"/>
                <w:highlight w:val="none"/>
              </w:rPr>
            </w:pPr>
            <w:r>
              <w:rPr>
                <w:rFonts w:hint="eastAsia"/>
                <w:color w:val="auto"/>
                <w:kern w:val="0"/>
                <w:szCs w:val="21"/>
                <w:highlight w:val="none"/>
              </w:rPr>
              <w:t>植被/植物群落</w:t>
            </w:r>
            <w:r>
              <w:rPr>
                <w:rFonts w:hint="eastAsia"/>
                <w:color w:val="auto"/>
                <w:kern w:val="0"/>
                <w:szCs w:val="21"/>
                <w:highlight w:val="none"/>
                <w:lang w:eastAsia="zh-CN"/>
              </w:rPr>
              <w:t>☑</w:t>
            </w:r>
            <w:r>
              <w:rPr>
                <w:rFonts w:hint="eastAsia"/>
                <w:color w:val="auto"/>
                <w:kern w:val="0"/>
                <w:szCs w:val="21"/>
                <w:highlight w:val="none"/>
              </w:rPr>
              <w:t>；土地利用</w:t>
            </w:r>
            <w:r>
              <w:rPr>
                <w:rFonts w:hint="eastAsia"/>
                <w:color w:val="auto"/>
                <w:kern w:val="0"/>
                <w:szCs w:val="21"/>
                <w:highlight w:val="none"/>
                <w:lang w:eastAsia="zh-CN"/>
              </w:rPr>
              <w:t>☑</w:t>
            </w:r>
            <w:r>
              <w:rPr>
                <w:rFonts w:hint="eastAsia"/>
                <w:color w:val="auto"/>
                <w:kern w:val="0"/>
                <w:szCs w:val="21"/>
                <w:highlight w:val="none"/>
              </w:rPr>
              <w:t>；生态系统□；生物多样性</w:t>
            </w:r>
            <w:r>
              <w:rPr>
                <w:rFonts w:hint="eastAsia"/>
                <w:color w:val="auto"/>
                <w:kern w:val="0"/>
                <w:szCs w:val="21"/>
                <w:highlight w:val="none"/>
                <w:lang w:eastAsia="zh-CN"/>
              </w:rPr>
              <w:t>☑</w:t>
            </w:r>
            <w:r>
              <w:rPr>
                <w:rFonts w:hint="eastAsia"/>
                <w:color w:val="auto"/>
                <w:kern w:val="0"/>
                <w:szCs w:val="21"/>
                <w:highlight w:val="none"/>
              </w:rPr>
              <w:t>；重要物种□；生态敏感区□；生物入侵风险□；其他</w:t>
            </w:r>
            <w:r>
              <w:rPr>
                <w:rFonts w:hint="eastAsia"/>
                <w:color w:val="auto"/>
                <w:kern w:val="0"/>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dxa"/>
            <w:vMerge w:val="restart"/>
            <w:vAlign w:val="center"/>
          </w:tcPr>
          <w:p>
            <w:pPr>
              <w:spacing w:line="320" w:lineRule="exact"/>
              <w:rPr>
                <w:color w:val="auto"/>
                <w:kern w:val="0"/>
                <w:szCs w:val="21"/>
                <w:highlight w:val="none"/>
              </w:rPr>
            </w:pPr>
            <w:r>
              <w:rPr>
                <w:color w:val="auto"/>
                <w:kern w:val="0"/>
                <w:szCs w:val="21"/>
                <w:highlight w:val="none"/>
              </w:rPr>
              <w:t>生态保护对策措施</w:t>
            </w:r>
          </w:p>
        </w:tc>
        <w:tc>
          <w:tcPr>
            <w:tcW w:w="1276" w:type="dxa"/>
            <w:vAlign w:val="center"/>
          </w:tcPr>
          <w:p>
            <w:pPr>
              <w:spacing w:line="320" w:lineRule="exact"/>
              <w:rPr>
                <w:color w:val="auto"/>
                <w:kern w:val="0"/>
                <w:szCs w:val="21"/>
                <w:highlight w:val="none"/>
              </w:rPr>
            </w:pPr>
            <w:r>
              <w:rPr>
                <w:rFonts w:hint="eastAsia"/>
                <w:color w:val="auto"/>
                <w:kern w:val="0"/>
                <w:szCs w:val="21"/>
                <w:highlight w:val="none"/>
              </w:rPr>
              <w:t>对策措施</w:t>
            </w:r>
          </w:p>
        </w:tc>
        <w:tc>
          <w:tcPr>
            <w:tcW w:w="6002" w:type="dxa"/>
            <w:vAlign w:val="center"/>
          </w:tcPr>
          <w:p>
            <w:pPr>
              <w:spacing w:line="320" w:lineRule="exact"/>
              <w:rPr>
                <w:color w:val="auto"/>
                <w:kern w:val="0"/>
                <w:szCs w:val="21"/>
                <w:highlight w:val="none"/>
              </w:rPr>
            </w:pPr>
            <w:r>
              <w:rPr>
                <w:rFonts w:hint="eastAsia"/>
                <w:color w:val="auto"/>
                <w:kern w:val="0"/>
                <w:szCs w:val="21"/>
                <w:highlight w:val="none"/>
              </w:rPr>
              <w:t>避让□；减缓</w:t>
            </w:r>
            <w:r>
              <w:rPr>
                <w:rFonts w:hint="eastAsia"/>
                <w:color w:val="auto"/>
                <w:kern w:val="0"/>
                <w:szCs w:val="21"/>
                <w:highlight w:val="none"/>
                <w:lang w:eastAsia="zh-CN"/>
              </w:rPr>
              <w:t>☑</w:t>
            </w:r>
            <w:r>
              <w:rPr>
                <w:rFonts w:hint="eastAsia"/>
                <w:color w:val="auto"/>
                <w:kern w:val="0"/>
                <w:szCs w:val="21"/>
                <w:highlight w:val="none"/>
              </w:rPr>
              <w:t>；生态修复□；生态补偿□；科研□；其他□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dxa"/>
            <w:vMerge w:val="continue"/>
            <w:vAlign w:val="center"/>
          </w:tcPr>
          <w:p>
            <w:pPr>
              <w:spacing w:line="320" w:lineRule="exact"/>
              <w:rPr>
                <w:color w:val="auto"/>
                <w:kern w:val="0"/>
                <w:szCs w:val="21"/>
                <w:highlight w:val="none"/>
              </w:rPr>
            </w:pPr>
          </w:p>
        </w:tc>
        <w:tc>
          <w:tcPr>
            <w:tcW w:w="1276" w:type="dxa"/>
            <w:vAlign w:val="center"/>
          </w:tcPr>
          <w:p>
            <w:pPr>
              <w:spacing w:line="320" w:lineRule="exact"/>
              <w:rPr>
                <w:color w:val="auto"/>
                <w:kern w:val="0"/>
                <w:szCs w:val="21"/>
                <w:highlight w:val="none"/>
              </w:rPr>
            </w:pPr>
            <w:r>
              <w:rPr>
                <w:rFonts w:hint="eastAsia"/>
                <w:color w:val="auto"/>
                <w:kern w:val="0"/>
                <w:szCs w:val="21"/>
                <w:highlight w:val="none"/>
              </w:rPr>
              <w:t>生态监测计划</w:t>
            </w:r>
          </w:p>
        </w:tc>
        <w:tc>
          <w:tcPr>
            <w:tcW w:w="6002" w:type="dxa"/>
            <w:vAlign w:val="center"/>
          </w:tcPr>
          <w:p>
            <w:pPr>
              <w:spacing w:line="320" w:lineRule="exact"/>
              <w:rPr>
                <w:color w:val="auto"/>
                <w:kern w:val="0"/>
                <w:szCs w:val="21"/>
                <w:highlight w:val="none"/>
              </w:rPr>
            </w:pPr>
            <w:r>
              <w:rPr>
                <w:rFonts w:hint="eastAsia"/>
                <w:color w:val="auto"/>
                <w:kern w:val="0"/>
                <w:szCs w:val="21"/>
                <w:highlight w:val="none"/>
              </w:rPr>
              <w:t>全生命周期□；长期跟踪□；常规</w:t>
            </w:r>
            <w:r>
              <w:rPr>
                <w:rFonts w:hint="eastAsia"/>
                <w:color w:val="auto"/>
                <w:kern w:val="0"/>
                <w:szCs w:val="21"/>
                <w:highlight w:val="none"/>
                <w:lang w:eastAsia="zh-CN"/>
              </w:rPr>
              <w:t>☑</w:t>
            </w:r>
            <w:r>
              <w:rPr>
                <w:rFonts w:hint="eastAsia"/>
                <w:color w:val="auto"/>
                <w:kern w:val="0"/>
                <w:szCs w:val="21"/>
                <w:highlight w:val="none"/>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dxa"/>
            <w:vMerge w:val="continue"/>
            <w:vAlign w:val="center"/>
          </w:tcPr>
          <w:p>
            <w:pPr>
              <w:spacing w:line="320" w:lineRule="exact"/>
              <w:rPr>
                <w:color w:val="auto"/>
                <w:kern w:val="0"/>
                <w:szCs w:val="21"/>
                <w:highlight w:val="none"/>
              </w:rPr>
            </w:pPr>
          </w:p>
        </w:tc>
        <w:tc>
          <w:tcPr>
            <w:tcW w:w="1276" w:type="dxa"/>
            <w:vAlign w:val="center"/>
          </w:tcPr>
          <w:p>
            <w:pPr>
              <w:spacing w:line="320" w:lineRule="exact"/>
              <w:rPr>
                <w:color w:val="auto"/>
                <w:kern w:val="0"/>
                <w:szCs w:val="21"/>
                <w:highlight w:val="none"/>
              </w:rPr>
            </w:pPr>
            <w:r>
              <w:rPr>
                <w:rFonts w:hint="eastAsia"/>
                <w:color w:val="auto"/>
                <w:kern w:val="0"/>
                <w:szCs w:val="21"/>
                <w:highlight w:val="none"/>
              </w:rPr>
              <w:t>环境管理</w:t>
            </w:r>
          </w:p>
        </w:tc>
        <w:tc>
          <w:tcPr>
            <w:tcW w:w="6002" w:type="dxa"/>
            <w:vAlign w:val="center"/>
          </w:tcPr>
          <w:p>
            <w:pPr>
              <w:spacing w:line="320" w:lineRule="exact"/>
              <w:rPr>
                <w:color w:val="auto"/>
                <w:kern w:val="0"/>
                <w:szCs w:val="21"/>
                <w:highlight w:val="none"/>
              </w:rPr>
            </w:pPr>
            <w:r>
              <w:rPr>
                <w:rFonts w:hint="eastAsia"/>
                <w:color w:val="auto"/>
                <w:kern w:val="0"/>
                <w:szCs w:val="21"/>
                <w:highlight w:val="none"/>
              </w:rPr>
              <w:t>环境监理□；环境影响后评价□；其他□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9" w:type="dxa"/>
            <w:vAlign w:val="center"/>
          </w:tcPr>
          <w:p>
            <w:pPr>
              <w:spacing w:line="320" w:lineRule="exact"/>
              <w:rPr>
                <w:color w:val="auto"/>
                <w:kern w:val="0"/>
                <w:szCs w:val="21"/>
                <w:highlight w:val="none"/>
              </w:rPr>
            </w:pPr>
            <w:r>
              <w:rPr>
                <w:color w:val="auto"/>
                <w:kern w:val="0"/>
                <w:szCs w:val="21"/>
                <w:highlight w:val="none"/>
              </w:rPr>
              <w:t>评价结论</w:t>
            </w:r>
          </w:p>
        </w:tc>
        <w:tc>
          <w:tcPr>
            <w:tcW w:w="1276" w:type="dxa"/>
            <w:vAlign w:val="center"/>
          </w:tcPr>
          <w:p>
            <w:pPr>
              <w:spacing w:line="320" w:lineRule="exact"/>
              <w:rPr>
                <w:color w:val="auto"/>
                <w:kern w:val="0"/>
                <w:szCs w:val="21"/>
                <w:highlight w:val="none"/>
              </w:rPr>
            </w:pPr>
            <w:r>
              <w:rPr>
                <w:rFonts w:hint="eastAsia"/>
                <w:color w:val="auto"/>
                <w:kern w:val="0"/>
                <w:szCs w:val="21"/>
                <w:highlight w:val="none"/>
              </w:rPr>
              <w:t>生态影响</w:t>
            </w:r>
          </w:p>
        </w:tc>
        <w:tc>
          <w:tcPr>
            <w:tcW w:w="6002" w:type="dxa"/>
            <w:vAlign w:val="center"/>
          </w:tcPr>
          <w:p>
            <w:pPr>
              <w:spacing w:line="320" w:lineRule="exact"/>
              <w:rPr>
                <w:color w:val="auto"/>
                <w:kern w:val="0"/>
                <w:szCs w:val="21"/>
                <w:highlight w:val="none"/>
              </w:rPr>
            </w:pPr>
            <w:r>
              <w:rPr>
                <w:rFonts w:hint="eastAsia"/>
                <w:color w:val="auto"/>
                <w:kern w:val="0"/>
                <w:szCs w:val="21"/>
                <w:highlight w:val="none"/>
              </w:rPr>
              <w:t>可行</w:t>
            </w:r>
            <w:r>
              <w:rPr>
                <w:rFonts w:hint="eastAsia"/>
                <w:color w:val="auto"/>
                <w:kern w:val="0"/>
                <w:szCs w:val="21"/>
                <w:highlight w:val="none"/>
                <w:lang w:eastAsia="zh-CN"/>
              </w:rPr>
              <w:t>☑</w:t>
            </w:r>
            <w:r>
              <w:rPr>
                <w:rFonts w:hint="eastAsia"/>
                <w:color w:val="auto"/>
                <w:kern w:val="0"/>
                <w:szCs w:val="21"/>
                <w:highlight w:val="none"/>
              </w:rPr>
              <w:t>；不可行□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67" w:type="dxa"/>
            <w:gridSpan w:val="3"/>
            <w:vAlign w:val="center"/>
          </w:tcPr>
          <w:p>
            <w:pPr>
              <w:spacing w:line="320" w:lineRule="exact"/>
              <w:rPr>
                <w:color w:val="auto"/>
                <w:kern w:val="0"/>
                <w:szCs w:val="21"/>
                <w:highlight w:val="none"/>
              </w:rPr>
            </w:pPr>
            <w:r>
              <w:rPr>
                <w:color w:val="auto"/>
                <w:kern w:val="0"/>
                <w:szCs w:val="21"/>
                <w:highlight w:val="none"/>
              </w:rPr>
              <w:t>注：</w:t>
            </w:r>
            <w:r>
              <w:rPr>
                <w:color w:val="auto"/>
                <w:szCs w:val="21"/>
                <w:highlight w:val="none"/>
              </w:rPr>
              <w:t>“□”为勾选项，可</w:t>
            </w:r>
            <w:r>
              <w:rPr>
                <w:rFonts w:hint="eastAsia" w:ascii="宋体" w:hAnsi="宋体" w:cs="Segoe UI Symbol"/>
                <w:color w:val="auto"/>
                <w:szCs w:val="21"/>
                <w:highlight w:val="none"/>
              </w:rPr>
              <w:t>√</w:t>
            </w:r>
            <w:r>
              <w:rPr>
                <w:color w:val="auto"/>
                <w:szCs w:val="21"/>
                <w:highlight w:val="none"/>
              </w:rPr>
              <w:t>；“（ ）”为内容填写项</w:t>
            </w:r>
          </w:p>
        </w:tc>
      </w:tr>
    </w:tbl>
    <w:p>
      <w:pPr>
        <w:keepNext w:val="0"/>
        <w:keepLines w:val="0"/>
        <w:pageBreakBefore w:val="0"/>
        <w:widowControl w:val="0"/>
        <w:kinsoku/>
        <w:wordWrap/>
        <w:overflowPunct/>
        <w:topLinePunct w:val="0"/>
        <w:bidi w:val="0"/>
        <w:adjustRightInd/>
        <w:snapToGrid/>
        <w:spacing w:line="480" w:lineRule="exact"/>
        <w:textAlignment w:val="auto"/>
        <w:outlineLvl w:val="1"/>
        <w:rPr>
          <w:b/>
          <w:snapToGrid w:val="0"/>
          <w:kern w:val="0"/>
          <w:sz w:val="24"/>
          <w:highlight w:val="none"/>
        </w:rPr>
      </w:pPr>
      <w:bookmarkStart w:id="242" w:name="_Toc9105"/>
      <w:r>
        <w:rPr>
          <w:rFonts w:hint="eastAsia"/>
          <w:b/>
          <w:snapToGrid w:val="0"/>
          <w:kern w:val="0"/>
          <w:sz w:val="24"/>
          <w:highlight w:val="none"/>
        </w:rPr>
        <w:t>5.</w:t>
      </w:r>
      <w:r>
        <w:rPr>
          <w:rFonts w:hint="eastAsia"/>
          <w:b/>
          <w:snapToGrid w:val="0"/>
          <w:kern w:val="0"/>
          <w:sz w:val="24"/>
          <w:highlight w:val="none"/>
          <w:lang w:val="en-US" w:eastAsia="zh-CN"/>
        </w:rPr>
        <w:t>5</w:t>
      </w:r>
      <w:r>
        <w:rPr>
          <w:rFonts w:hint="eastAsia"/>
          <w:b/>
          <w:snapToGrid w:val="0"/>
          <w:kern w:val="0"/>
          <w:sz w:val="24"/>
          <w:highlight w:val="none"/>
        </w:rPr>
        <w:t>地下水环境影响</w:t>
      </w:r>
      <w:r>
        <w:rPr>
          <w:b/>
          <w:snapToGrid w:val="0"/>
          <w:kern w:val="0"/>
          <w:sz w:val="24"/>
          <w:highlight w:val="none"/>
        </w:rPr>
        <w:t>评价</w:t>
      </w:r>
      <w:bookmarkEnd w:id="242"/>
    </w:p>
    <w:p>
      <w:pPr>
        <w:keepNext w:val="0"/>
        <w:keepLines w:val="0"/>
        <w:pageBreakBefore w:val="0"/>
        <w:widowControl w:val="0"/>
        <w:kinsoku/>
        <w:wordWrap/>
        <w:overflowPunct/>
        <w:topLinePunct w:val="0"/>
        <w:autoSpaceDE w:val="0"/>
        <w:autoSpaceDN w:val="0"/>
        <w:bidi w:val="0"/>
        <w:adjustRightInd/>
        <w:snapToGrid/>
        <w:spacing w:line="480" w:lineRule="exact"/>
        <w:ind w:firstLine="480"/>
        <w:textAlignment w:val="auto"/>
        <w:rPr>
          <w:sz w:val="24"/>
          <w:highlight w:val="none"/>
        </w:rPr>
      </w:pPr>
      <w:r>
        <w:rPr>
          <w:rFonts w:hint="eastAsia"/>
          <w:sz w:val="24"/>
          <w:highlight w:val="none"/>
        </w:rPr>
        <w:t>根据《环境影响评价技术导则-地下水环境》（HJ 610-2016），地下水环境影响评价工作等级为三级。</w:t>
      </w:r>
    </w:p>
    <w:p>
      <w:pPr>
        <w:keepNext w:val="0"/>
        <w:keepLines w:val="0"/>
        <w:pageBreakBefore w:val="0"/>
        <w:widowControl w:val="0"/>
        <w:kinsoku/>
        <w:wordWrap/>
        <w:overflowPunct/>
        <w:topLinePunct w:val="0"/>
        <w:autoSpaceDE w:val="0"/>
        <w:autoSpaceDN w:val="0"/>
        <w:bidi w:val="0"/>
        <w:adjustRightInd/>
        <w:snapToGrid/>
        <w:spacing w:line="480" w:lineRule="exact"/>
        <w:ind w:firstLine="480"/>
        <w:textAlignment w:val="auto"/>
        <w:rPr>
          <w:color w:val="auto"/>
          <w:sz w:val="24"/>
          <w:highlight w:val="none"/>
        </w:rPr>
      </w:pPr>
      <w:r>
        <w:rPr>
          <w:rFonts w:hint="eastAsia"/>
          <w:color w:val="auto"/>
          <w:sz w:val="24"/>
          <w:highlight w:val="none"/>
        </w:rPr>
        <w:t>由于工程已经建成且运行</w:t>
      </w:r>
      <w:r>
        <w:rPr>
          <w:rFonts w:hint="eastAsia"/>
          <w:color w:val="auto"/>
          <w:sz w:val="24"/>
          <w:highlight w:val="none"/>
          <w:lang w:val="en-US" w:eastAsia="zh-CN"/>
        </w:rPr>
        <w:t>17</w:t>
      </w:r>
      <w:r>
        <w:rPr>
          <w:rFonts w:hint="eastAsia"/>
          <w:color w:val="auto"/>
          <w:sz w:val="24"/>
          <w:highlight w:val="none"/>
        </w:rPr>
        <w:t>年，根据现场调查情况进行现状评价</w:t>
      </w:r>
      <w:r>
        <w:rPr>
          <w:rFonts w:hint="eastAsia"/>
          <w:color w:val="auto"/>
          <w:sz w:val="24"/>
          <w:highlight w:val="none"/>
          <w:lang w:eastAsia="zh-CN"/>
        </w:rPr>
        <w:t>并及</w:t>
      </w:r>
      <w:r>
        <w:rPr>
          <w:rFonts w:hint="eastAsia"/>
          <w:color w:val="auto"/>
          <w:sz w:val="24"/>
          <w:highlight w:val="none"/>
        </w:rPr>
        <w:t>对地下水影响进行预测和分析，并提出切实可行的环境保护措施与地下水环境影响跟踪监测计划。</w:t>
      </w:r>
    </w:p>
    <w:p>
      <w:pPr>
        <w:keepNext w:val="0"/>
        <w:keepLines w:val="0"/>
        <w:pageBreakBefore w:val="0"/>
        <w:widowControl w:val="0"/>
        <w:kinsoku/>
        <w:wordWrap/>
        <w:overflowPunct/>
        <w:topLinePunct w:val="0"/>
        <w:autoSpaceDE w:val="0"/>
        <w:autoSpaceDN w:val="0"/>
        <w:bidi w:val="0"/>
        <w:adjustRightInd/>
        <w:snapToGrid/>
        <w:spacing w:line="480" w:lineRule="exact"/>
        <w:textAlignment w:val="auto"/>
        <w:rPr>
          <w:rFonts w:hint="default" w:ascii="Times New Roman" w:hAnsi="Times New Roman" w:eastAsia="宋体" w:cs="Times New Roman"/>
          <w:color w:val="auto"/>
          <w:sz w:val="24"/>
          <w:szCs w:val="24"/>
          <w:highlight w:val="none"/>
          <w:lang w:eastAsia="zh-CN"/>
        </w:rPr>
      </w:pPr>
      <w:r>
        <w:rPr>
          <w:rFonts w:hint="eastAsia"/>
          <w:b/>
          <w:bCs/>
          <w:sz w:val="24"/>
          <w:highlight w:val="none"/>
        </w:rPr>
        <w:t>5</w:t>
      </w:r>
      <w:r>
        <w:rPr>
          <w:b/>
          <w:bCs/>
          <w:sz w:val="24"/>
          <w:highlight w:val="none"/>
        </w:rPr>
        <w:t>.</w:t>
      </w:r>
      <w:r>
        <w:rPr>
          <w:rFonts w:hint="eastAsia"/>
          <w:b/>
          <w:bCs/>
          <w:sz w:val="24"/>
          <w:highlight w:val="none"/>
          <w:lang w:val="en-US" w:eastAsia="zh-CN"/>
        </w:rPr>
        <w:t>5</w:t>
      </w:r>
      <w:r>
        <w:rPr>
          <w:b/>
          <w:bCs/>
          <w:sz w:val="24"/>
          <w:highlight w:val="none"/>
        </w:rPr>
        <w:t xml:space="preserve">.1 </w:t>
      </w:r>
      <w:r>
        <w:rPr>
          <w:rFonts w:hint="default" w:ascii="Times New Roman" w:hAnsi="Times New Roman" w:eastAsia="宋体" w:cs="Times New Roman"/>
          <w:b/>
          <w:bCs/>
          <w:color w:val="auto"/>
          <w:kern w:val="0"/>
          <w:sz w:val="24"/>
          <w:szCs w:val="24"/>
          <w:highlight w:val="none"/>
          <w:lang w:eastAsia="zh-CN"/>
        </w:rPr>
        <w:t>评价区地层特征</w:t>
      </w:r>
    </w:p>
    <w:p>
      <w:pPr>
        <w:keepNext w:val="0"/>
        <w:keepLines w:val="0"/>
        <w:pageBreakBefore w:val="0"/>
        <w:widowControl w:val="0"/>
        <w:kinsoku/>
        <w:wordWrap/>
        <w:overflowPunct/>
        <w:topLinePunct w:val="0"/>
        <w:autoSpaceDE/>
        <w:autoSpaceDN/>
        <w:bidi w:val="0"/>
        <w:adjustRightInd/>
        <w:snapToGrid/>
        <w:spacing w:line="480" w:lineRule="exact"/>
        <w:ind w:firstLine="482"/>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评价区周边出露地层主要包括第四系全新统现代冲积地层(Q</w:t>
      </w:r>
      <w:r>
        <w:rPr>
          <w:rFonts w:hint="default" w:ascii="Times New Roman" w:hAnsi="Times New Roman" w:eastAsia="宋体" w:cs="Times New Roman"/>
          <w:color w:val="auto"/>
          <w:sz w:val="24"/>
          <w:szCs w:val="24"/>
          <w:highlight w:val="none"/>
          <w:vertAlign w:val="subscript"/>
        </w:rPr>
        <w:t>4</w:t>
      </w:r>
      <w:r>
        <w:rPr>
          <w:rFonts w:hint="default" w:ascii="Times New Roman" w:hAnsi="Times New Roman" w:eastAsia="宋体" w:cs="Times New Roman"/>
          <w:color w:val="auto"/>
          <w:sz w:val="24"/>
          <w:szCs w:val="24"/>
          <w:highlight w:val="none"/>
          <w:vertAlign w:val="superscript"/>
          <w:lang w:val="en-US" w:eastAsia="zh-CN"/>
        </w:rPr>
        <w:t>a</w:t>
      </w:r>
      <w:r>
        <w:rPr>
          <w:rFonts w:hint="default" w:ascii="Times New Roman" w:hAnsi="Times New Roman" w:eastAsia="宋体" w:cs="Times New Roman"/>
          <w:color w:val="auto"/>
          <w:sz w:val="24"/>
          <w:szCs w:val="24"/>
          <w:highlight w:val="none"/>
          <w:vertAlign w:val="superscript"/>
        </w:rPr>
        <w:t>l</w:t>
      </w:r>
      <w:r>
        <w:rPr>
          <w:rFonts w:hint="default" w:ascii="Times New Roman" w:hAnsi="Times New Roman" w:eastAsia="宋体" w:cs="Times New Roman"/>
          <w:color w:val="auto"/>
          <w:sz w:val="24"/>
          <w:szCs w:val="24"/>
          <w:highlight w:val="none"/>
        </w:rPr>
        <w:t>)，岩性主要为砂、砂砾、卵石，主要分布在评价区的南部，沿沙河呈条带状分布</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第四系全新统(Q</w:t>
      </w:r>
      <w:r>
        <w:rPr>
          <w:rFonts w:hint="default" w:ascii="Times New Roman" w:hAnsi="Times New Roman" w:eastAsia="宋体" w:cs="Times New Roman"/>
          <w:color w:val="auto"/>
          <w:sz w:val="24"/>
          <w:szCs w:val="24"/>
          <w:highlight w:val="none"/>
          <w:vertAlign w:val="subscript"/>
        </w:rPr>
        <w:t>4</w:t>
      </w:r>
      <w:r>
        <w:rPr>
          <w:rFonts w:hint="default" w:ascii="Times New Roman" w:hAnsi="Times New Roman" w:eastAsia="宋体" w:cs="Times New Roman"/>
          <w:color w:val="auto"/>
          <w:sz w:val="24"/>
          <w:szCs w:val="24"/>
          <w:highlight w:val="none"/>
          <w:vertAlign w:val="superscript"/>
        </w:rPr>
        <w:t>pl</w:t>
      </w:r>
      <w:r>
        <w:rPr>
          <w:rFonts w:hint="default" w:ascii="Times New Roman" w:hAnsi="Times New Roman" w:eastAsia="宋体" w:cs="Times New Roman"/>
          <w:color w:val="auto"/>
          <w:sz w:val="24"/>
          <w:szCs w:val="24"/>
          <w:highlight w:val="none"/>
          <w:vertAlign w:val="superscript"/>
          <w:lang w:val="en-US" w:eastAsia="zh-CN"/>
        </w:rPr>
        <w:t>+a</w:t>
      </w:r>
      <w:r>
        <w:rPr>
          <w:rFonts w:hint="default" w:ascii="Times New Roman" w:hAnsi="Times New Roman" w:eastAsia="宋体" w:cs="Times New Roman"/>
          <w:color w:val="auto"/>
          <w:sz w:val="24"/>
          <w:szCs w:val="24"/>
          <w:highlight w:val="none"/>
          <w:vertAlign w:val="superscript"/>
        </w:rPr>
        <w:t>l</w:t>
      </w:r>
      <w:r>
        <w:rPr>
          <w:rFonts w:hint="default" w:ascii="Times New Roman" w:hAnsi="Times New Roman" w:eastAsia="宋体" w:cs="Times New Roman"/>
          <w:color w:val="auto"/>
          <w:sz w:val="24"/>
          <w:szCs w:val="24"/>
          <w:highlight w:val="none"/>
        </w:rPr>
        <w:t>)冲积、洪积地层，岩性主要为黄土状亚砂土、亚粘土夹砾石透镜体，广泛分布于研究区内。其中全新统冲积层及冲洪积层(Q</w:t>
      </w:r>
      <w:r>
        <w:rPr>
          <w:rFonts w:hint="default" w:ascii="Times New Roman" w:hAnsi="Times New Roman" w:eastAsia="宋体" w:cs="Times New Roman"/>
          <w:color w:val="auto"/>
          <w:sz w:val="24"/>
          <w:szCs w:val="24"/>
          <w:highlight w:val="none"/>
          <w:vertAlign w:val="subscript"/>
        </w:rPr>
        <w:t>4</w:t>
      </w:r>
      <w:r>
        <w:rPr>
          <w:rFonts w:hint="default" w:ascii="Times New Roman" w:hAnsi="Times New Roman" w:eastAsia="宋体" w:cs="Times New Roman"/>
          <w:color w:val="auto"/>
          <w:sz w:val="24"/>
          <w:szCs w:val="24"/>
          <w:highlight w:val="none"/>
          <w:vertAlign w:val="superscript"/>
          <w:lang w:val="en-US" w:eastAsia="zh-CN"/>
        </w:rPr>
        <w:t>a</w:t>
      </w:r>
      <w:r>
        <w:rPr>
          <w:rFonts w:hint="default" w:ascii="Times New Roman" w:hAnsi="Times New Roman" w:eastAsia="宋体" w:cs="Times New Roman"/>
          <w:color w:val="auto"/>
          <w:sz w:val="24"/>
          <w:szCs w:val="24"/>
          <w:highlight w:val="none"/>
          <w:vertAlign w:val="superscript"/>
        </w:rPr>
        <w:t>l</w:t>
      </w:r>
      <w:r>
        <w:rPr>
          <w:rFonts w:hint="default" w:ascii="Times New Roman" w:hAnsi="Times New Roman" w:eastAsia="宋体" w:cs="Times New Roman"/>
          <w:color w:val="auto"/>
          <w:sz w:val="24"/>
          <w:szCs w:val="24"/>
          <w:highlight w:val="none"/>
        </w:rPr>
        <w:t>、Q</w:t>
      </w:r>
      <w:r>
        <w:rPr>
          <w:rFonts w:hint="default" w:ascii="Times New Roman" w:hAnsi="Times New Roman" w:eastAsia="宋体" w:cs="Times New Roman"/>
          <w:color w:val="auto"/>
          <w:sz w:val="24"/>
          <w:szCs w:val="24"/>
          <w:highlight w:val="none"/>
          <w:vertAlign w:val="subscript"/>
        </w:rPr>
        <w:t>4</w:t>
      </w:r>
      <w:r>
        <w:rPr>
          <w:rFonts w:hint="default" w:ascii="Times New Roman" w:hAnsi="Times New Roman" w:eastAsia="宋体" w:cs="Times New Roman"/>
          <w:color w:val="auto"/>
          <w:sz w:val="24"/>
          <w:szCs w:val="24"/>
          <w:highlight w:val="none"/>
          <w:vertAlign w:val="superscript"/>
        </w:rPr>
        <w:t>pl</w:t>
      </w:r>
      <w:r>
        <w:rPr>
          <w:rFonts w:hint="default" w:ascii="Times New Roman" w:hAnsi="Times New Roman" w:eastAsia="宋体" w:cs="Times New Roman"/>
          <w:color w:val="auto"/>
          <w:sz w:val="24"/>
          <w:szCs w:val="24"/>
          <w:highlight w:val="none"/>
          <w:vertAlign w:val="superscript"/>
          <w:lang w:val="en-US" w:eastAsia="zh-CN"/>
        </w:rPr>
        <w:t>+a</w:t>
      </w:r>
      <w:r>
        <w:rPr>
          <w:rFonts w:hint="default" w:ascii="Times New Roman" w:hAnsi="Times New Roman" w:eastAsia="宋体" w:cs="Times New Roman"/>
          <w:color w:val="auto"/>
          <w:sz w:val="24"/>
          <w:szCs w:val="24"/>
          <w:highlight w:val="none"/>
          <w:vertAlign w:val="superscript"/>
        </w:rPr>
        <w:t>l</w:t>
      </w:r>
      <w:r>
        <w:rPr>
          <w:rFonts w:hint="default" w:ascii="Times New Roman" w:hAnsi="Times New Roman" w:eastAsia="宋体" w:cs="Times New Roman"/>
          <w:color w:val="auto"/>
          <w:sz w:val="24"/>
          <w:szCs w:val="24"/>
          <w:highlight w:val="none"/>
        </w:rPr>
        <w:t>)导水性和富水性较好，含水层厚度一般5-15m，单井单位涌水量大于100m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rPr>
        <w:t>/h-m。</w:t>
      </w:r>
    </w:p>
    <w:p>
      <w:pPr>
        <w:keepNext w:val="0"/>
        <w:keepLines w:val="0"/>
        <w:pageBreakBefore w:val="0"/>
        <w:widowControl w:val="0"/>
        <w:kinsoku/>
        <w:wordWrap/>
        <w:overflowPunct/>
        <w:topLinePunct w:val="0"/>
        <w:autoSpaceDE/>
        <w:autoSpaceDN/>
        <w:bidi w:val="0"/>
        <w:adjustRightInd/>
        <w:snapToGrid/>
        <w:spacing w:line="480" w:lineRule="exact"/>
        <w:ind w:firstLine="480"/>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①全新统(Q</w:t>
      </w:r>
      <w:r>
        <w:rPr>
          <w:rFonts w:hint="default" w:ascii="Times New Roman" w:hAnsi="Times New Roman" w:eastAsia="宋体" w:cs="Times New Roman"/>
          <w:color w:val="auto"/>
          <w:sz w:val="24"/>
          <w:szCs w:val="24"/>
          <w:highlight w:val="none"/>
          <w:vertAlign w:val="subscript"/>
        </w:rPr>
        <w:t>4</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上部由黄土、亚粘土、淤泥和粉细砂组成，下部由亚粘土、粘土砂、砂砾石、砾石、卵砾石混合堆积组成，全系统(Q</w:t>
      </w:r>
      <w:r>
        <w:rPr>
          <w:rFonts w:hint="default" w:ascii="Times New Roman" w:hAnsi="Times New Roman" w:eastAsia="宋体" w:cs="Times New Roman"/>
          <w:color w:val="auto"/>
          <w:sz w:val="24"/>
          <w:szCs w:val="24"/>
          <w:highlight w:val="none"/>
          <w:vertAlign w:val="subscript"/>
        </w:rPr>
        <w:t>4</w:t>
      </w:r>
      <w:r>
        <w:rPr>
          <w:rFonts w:hint="default" w:ascii="Times New Roman" w:hAnsi="Times New Roman" w:eastAsia="宋体" w:cs="Times New Roman"/>
          <w:color w:val="auto"/>
          <w:sz w:val="24"/>
          <w:szCs w:val="24"/>
          <w:highlight w:val="none"/>
        </w:rPr>
        <w:t>)地层在傅家铺村较薄，在堡子店村附近相对较厚，全新统(Q</w:t>
      </w:r>
      <w:r>
        <w:rPr>
          <w:rFonts w:hint="default" w:ascii="Times New Roman" w:hAnsi="Times New Roman" w:eastAsia="宋体" w:cs="Times New Roman"/>
          <w:color w:val="auto"/>
          <w:sz w:val="24"/>
          <w:szCs w:val="24"/>
          <w:highlight w:val="none"/>
          <w:vertAlign w:val="subscript"/>
        </w:rPr>
        <w:t>4</w:t>
      </w:r>
      <w:r>
        <w:rPr>
          <w:rFonts w:hint="default" w:ascii="Times New Roman" w:hAnsi="Times New Roman" w:eastAsia="宋体" w:cs="Times New Roman"/>
          <w:color w:val="auto"/>
          <w:sz w:val="24"/>
          <w:szCs w:val="24"/>
          <w:highlight w:val="none"/>
        </w:rPr>
        <w:t>)地层厚度15-30m。</w:t>
      </w:r>
    </w:p>
    <w:p>
      <w:pPr>
        <w:keepNext w:val="0"/>
        <w:keepLines w:val="0"/>
        <w:pageBreakBefore w:val="0"/>
        <w:widowControl w:val="0"/>
        <w:kinsoku/>
        <w:wordWrap/>
        <w:overflowPunct/>
        <w:topLinePunct w:val="0"/>
        <w:autoSpaceDE/>
        <w:autoSpaceDN/>
        <w:bidi w:val="0"/>
        <w:adjustRightInd/>
        <w:snapToGrid/>
        <w:spacing w:line="480" w:lineRule="exact"/>
        <w:ind w:firstLine="480"/>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②中上更新统(Q</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主要由黄土砾石层、亚粘土砾石层(泥包砾)粘土层、细砂泥质砂层夹砂砾石透镜体组成。砾石以石英砂岩和各类片麻岩为主。砾石直径大者可达50cm，评价区Q</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平均厚度35m左右。其中全系统(Q</w:t>
      </w:r>
      <w:r>
        <w:rPr>
          <w:rFonts w:hint="default" w:ascii="Times New Roman" w:hAnsi="Times New Roman" w:eastAsia="宋体" w:cs="Times New Roman"/>
          <w:color w:val="auto"/>
          <w:sz w:val="24"/>
          <w:szCs w:val="24"/>
          <w:highlight w:val="none"/>
          <w:vertAlign w:val="subscript"/>
        </w:rPr>
        <w:t>4</w:t>
      </w:r>
      <w:r>
        <w:rPr>
          <w:rFonts w:hint="default" w:ascii="Times New Roman" w:hAnsi="Times New Roman" w:eastAsia="宋体" w:cs="Times New Roman"/>
          <w:color w:val="auto"/>
          <w:sz w:val="24"/>
          <w:szCs w:val="24"/>
          <w:highlight w:val="none"/>
        </w:rPr>
        <w:t>)和上更新统(Q</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)地层之间存在弱透水层，但弱透水层厚度较薄，平均厚度仅3-5m左右。</w:t>
      </w:r>
    </w:p>
    <w:p>
      <w:pPr>
        <w:keepNext w:val="0"/>
        <w:keepLines w:val="0"/>
        <w:pageBreakBefore w:val="0"/>
        <w:widowControl w:val="0"/>
        <w:kinsoku/>
        <w:wordWrap/>
        <w:overflowPunct/>
        <w:topLinePunct w:val="0"/>
        <w:autoSpaceDE/>
        <w:autoSpaceDN/>
        <w:bidi w:val="0"/>
        <w:adjustRightInd/>
        <w:snapToGrid/>
        <w:spacing w:line="480" w:lineRule="exact"/>
        <w:ind w:firstLine="480"/>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③中更新统(Q</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主要是一套含少量粘性土的卵砾石层的沉积物，卵石有轻微风化现象，评价区Q</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厚度</w:t>
      </w:r>
      <w:r>
        <w:rPr>
          <w:rFonts w:hint="default" w:ascii="Times New Roman" w:hAnsi="Times New Roman" w:eastAsia="宋体" w:cs="Times New Roman"/>
          <w:color w:val="auto"/>
          <w:sz w:val="24"/>
          <w:szCs w:val="24"/>
          <w:highlight w:val="none"/>
          <w:lang w:eastAsia="zh-CN"/>
        </w:rPr>
        <w:t>一</w:t>
      </w:r>
      <w:r>
        <w:rPr>
          <w:rFonts w:hint="default" w:ascii="Times New Roman" w:hAnsi="Times New Roman" w:eastAsia="宋体" w:cs="Times New Roman"/>
          <w:color w:val="auto"/>
          <w:sz w:val="24"/>
          <w:szCs w:val="24"/>
          <w:highlight w:val="none"/>
        </w:rPr>
        <w:t>般50-70m。</w:t>
      </w:r>
    </w:p>
    <w:p>
      <w:pPr>
        <w:keepNext w:val="0"/>
        <w:keepLines w:val="0"/>
        <w:pageBreakBefore w:val="0"/>
        <w:widowControl w:val="0"/>
        <w:kinsoku/>
        <w:wordWrap/>
        <w:overflowPunct/>
        <w:topLinePunct w:val="0"/>
        <w:autoSpaceDE/>
        <w:autoSpaceDN/>
        <w:bidi w:val="0"/>
        <w:adjustRightInd/>
        <w:snapToGrid/>
        <w:spacing w:line="480" w:lineRule="exact"/>
        <w:ind w:firstLine="480"/>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④早更新统(Q</w:t>
      </w:r>
      <w:r>
        <w:rPr>
          <w:rFonts w:hint="default" w:ascii="Times New Roman" w:hAnsi="Times New Roman" w:eastAsia="宋体" w:cs="Times New Roman"/>
          <w:color w:val="auto"/>
          <w:sz w:val="24"/>
          <w:szCs w:val="24"/>
          <w:highlight w:val="none"/>
          <w:vertAlign w:val="subscript"/>
        </w:rPr>
        <w:t>1</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主要是一套含粘性土的卵砾石沉积物，并夹有粘砂土、砂粘土土层，其厚度100-200m。卵砾石层岩性除石英砂岩外，还有如变质岩、岩浆岩，多风化成砂性及粘性土，该层一般不含水。</w:t>
      </w:r>
    </w:p>
    <w:p>
      <w:pPr>
        <w:keepNext w:val="0"/>
        <w:keepLines w:val="0"/>
        <w:pageBreakBefore w:val="0"/>
        <w:widowControl w:val="0"/>
        <w:kinsoku/>
        <w:wordWrap/>
        <w:overflowPunct/>
        <w:topLinePunct w:val="0"/>
        <w:autoSpaceDE/>
        <w:autoSpaceDN/>
        <w:bidi w:val="0"/>
        <w:adjustRightInd/>
        <w:snapToGrid/>
        <w:spacing w:line="480" w:lineRule="exact"/>
        <w:ind w:firstLine="480"/>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底部粘土层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一般厚2-3.0m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含少量破碎角砾。</w:t>
      </w:r>
    </w:p>
    <w:p>
      <w:pPr>
        <w:keepNext w:val="0"/>
        <w:keepLines w:val="0"/>
        <w:pageBreakBefore w:val="0"/>
        <w:widowControl w:val="0"/>
        <w:kinsoku/>
        <w:wordWrap/>
        <w:overflowPunct/>
        <w:topLinePunct w:val="0"/>
        <w:autoSpaceDE/>
        <w:autoSpaceDN/>
        <w:bidi w:val="0"/>
        <w:adjustRightInd/>
        <w:snapToGrid/>
        <w:spacing w:line="480" w:lineRule="exact"/>
        <w:ind w:firstLine="480"/>
        <w:textAlignment w:val="auto"/>
        <w:outlineLvl w:val="9"/>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⑤隐伏于第四系沉积物之下，为太古界迁西群马兰峪组变质岩系，岩性为</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480" w:lineRule="exact"/>
        <w:ind w:firstLine="480"/>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黑云角闪斜片麻岩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新鲜岩石以灰绿色-灰黑色，风化后为土色，中粒花岗变晶结构，片麻状构造，主要矿物为角闪石、斜长石、石英、黑云母等，黑云母交代角闪石现象较为普遍，但仍不见残留假象。</w:t>
      </w:r>
    </w:p>
    <w:p>
      <w:pPr>
        <w:keepNext w:val="0"/>
        <w:keepLines w:val="0"/>
        <w:pageBreakBefore w:val="0"/>
        <w:widowControl w:val="0"/>
        <w:kinsoku/>
        <w:wordWrap/>
        <w:overflowPunct/>
        <w:topLinePunct w:val="0"/>
        <w:autoSpaceDE/>
        <w:autoSpaceDN/>
        <w:bidi w:val="0"/>
        <w:adjustRightInd/>
        <w:snapToGrid/>
        <w:spacing w:line="480" w:lineRule="exact"/>
        <w:ind w:firstLine="480"/>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角闪辉石斜长片麻岩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呈黑绿色-灰黑色，中粒花岗变晶结构，片麻状构造，暗色矿物主要为角闪石、辉石，浅色矿物主要为斜长石、石英，少量黑云母，柘榴子石呈星点状不均匀分布，局部呈团块状集聚。</w:t>
      </w:r>
    </w:p>
    <w:p>
      <w:pPr>
        <w:keepNext w:val="0"/>
        <w:keepLines w:val="0"/>
        <w:pageBreakBefore w:val="0"/>
        <w:widowControl w:val="0"/>
        <w:kinsoku/>
        <w:wordWrap/>
        <w:overflowPunct/>
        <w:topLinePunct w:val="0"/>
        <w:autoSpaceDE/>
        <w:autoSpaceDN/>
        <w:bidi w:val="0"/>
        <w:adjustRightInd/>
        <w:snapToGrid/>
        <w:spacing w:line="480" w:lineRule="exact"/>
        <w:ind w:firstLine="480"/>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斜长角闪岩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灰黑色，中粒变晶结构，芝麻点状构造，主要组成矿物为角闪石和斜长石，岩性坚硬致密。</w:t>
      </w:r>
    </w:p>
    <w:p>
      <w:pPr>
        <w:keepNext w:val="0"/>
        <w:keepLines w:val="0"/>
        <w:pageBreakBefore w:val="0"/>
        <w:widowControl w:val="0"/>
        <w:kinsoku/>
        <w:wordWrap/>
        <w:overflowPunct/>
        <w:topLinePunct w:val="0"/>
        <w:autoSpaceDE w:val="0"/>
        <w:autoSpaceDN w:val="0"/>
        <w:bidi w:val="0"/>
        <w:adjustRightInd/>
        <w:snapToGrid/>
        <w:spacing w:line="480" w:lineRule="exact"/>
        <w:textAlignment w:val="auto"/>
        <w:rPr>
          <w:rFonts w:hint="default" w:ascii="Times New Roman" w:hAnsi="Times New Roman" w:eastAsia="宋体" w:cs="Times New Roman"/>
          <w:color w:val="auto"/>
          <w:sz w:val="24"/>
          <w:szCs w:val="24"/>
          <w:highlight w:val="none"/>
          <w:lang w:eastAsia="zh-CN"/>
        </w:rPr>
      </w:pPr>
      <w:r>
        <w:rPr>
          <w:rFonts w:hint="eastAsia"/>
          <w:b/>
          <w:bCs/>
          <w:sz w:val="24"/>
          <w:highlight w:val="none"/>
        </w:rPr>
        <w:t>5</w:t>
      </w:r>
      <w:r>
        <w:rPr>
          <w:b/>
          <w:bCs/>
          <w:sz w:val="24"/>
          <w:highlight w:val="none"/>
        </w:rPr>
        <w:t>.</w:t>
      </w:r>
      <w:r>
        <w:rPr>
          <w:rFonts w:hint="eastAsia"/>
          <w:b/>
          <w:bCs/>
          <w:sz w:val="24"/>
          <w:highlight w:val="none"/>
          <w:lang w:val="en-US" w:eastAsia="zh-CN"/>
        </w:rPr>
        <w:t>5</w:t>
      </w:r>
      <w:r>
        <w:rPr>
          <w:b/>
          <w:bCs/>
          <w:sz w:val="24"/>
          <w:highlight w:val="none"/>
        </w:rPr>
        <w:t>.</w:t>
      </w:r>
      <w:r>
        <w:rPr>
          <w:rFonts w:hint="eastAsia"/>
          <w:b/>
          <w:bCs/>
          <w:sz w:val="24"/>
          <w:highlight w:val="none"/>
          <w:lang w:val="en-US" w:eastAsia="zh-CN"/>
        </w:rPr>
        <w:t>2</w:t>
      </w:r>
      <w:r>
        <w:rPr>
          <w:b/>
          <w:bCs/>
          <w:sz w:val="24"/>
          <w:highlight w:val="none"/>
        </w:rPr>
        <w:t xml:space="preserve"> </w:t>
      </w:r>
      <w:r>
        <w:rPr>
          <w:rFonts w:hint="default" w:ascii="Times New Roman" w:hAnsi="Times New Roman" w:eastAsia="宋体" w:cs="Times New Roman"/>
          <w:b/>
          <w:bCs/>
          <w:color w:val="auto"/>
          <w:kern w:val="0"/>
          <w:sz w:val="24"/>
          <w:szCs w:val="24"/>
          <w:highlight w:val="none"/>
          <w:lang w:eastAsia="zh-CN"/>
        </w:rPr>
        <w:t>评价区水文地质条件</w:t>
      </w:r>
    </w:p>
    <w:p>
      <w:pPr>
        <w:autoSpaceDE w:val="0"/>
        <w:autoSpaceDN w:val="0"/>
        <w:spacing w:line="480" w:lineRule="exact"/>
        <w:ind w:firstLine="480" w:firstLineChars="200"/>
        <w:rPr>
          <w:sz w:val="24"/>
          <w:highlight w:val="none"/>
        </w:rPr>
      </w:pPr>
      <w:r>
        <w:rPr>
          <w:rFonts w:hint="eastAsia"/>
          <w:sz w:val="24"/>
          <w:highlight w:val="none"/>
        </w:rPr>
        <w:t>（1）评价区地层地质</w:t>
      </w:r>
    </w:p>
    <w:p>
      <w:pPr>
        <w:autoSpaceDE w:val="0"/>
        <w:autoSpaceDN w:val="0"/>
        <w:spacing w:line="480" w:lineRule="exact"/>
        <w:ind w:firstLine="480" w:firstLineChars="200"/>
        <w:rPr>
          <w:sz w:val="24"/>
          <w:highlight w:val="none"/>
        </w:rPr>
      </w:pPr>
      <w:r>
        <w:rPr>
          <w:rFonts w:hint="eastAsia"/>
          <w:sz w:val="24"/>
          <w:highlight w:val="none"/>
        </w:rPr>
        <w:t>根据收集的区域地质资料，调查评价区地层岩性主要为第四系全新统冲洪积成因的(Q 4 al+pl )粉土及粉质粘土，上更新统冲洪积成因的(Q 3 al+pl )砂卵石，底部为太古界强风化花岗岩麻岩(Ar)。地层岩性特征分述如下：</w:t>
      </w:r>
    </w:p>
    <w:p>
      <w:pPr>
        <w:autoSpaceDE w:val="0"/>
        <w:autoSpaceDN w:val="0"/>
        <w:spacing w:line="480" w:lineRule="exact"/>
        <w:ind w:firstLine="480" w:firstLineChars="200"/>
        <w:rPr>
          <w:sz w:val="24"/>
          <w:highlight w:val="none"/>
        </w:rPr>
      </w:pPr>
      <w:r>
        <w:rPr>
          <w:rFonts w:hint="eastAsia"/>
          <w:sz w:val="24"/>
          <w:highlight w:val="none"/>
        </w:rPr>
        <w:t>粉土及粉质粘土(Q</w:t>
      </w:r>
      <w:r>
        <w:rPr>
          <w:rFonts w:hint="eastAsia"/>
          <w:sz w:val="24"/>
          <w:highlight w:val="none"/>
          <w:vertAlign w:val="subscript"/>
        </w:rPr>
        <w:t>4</w:t>
      </w:r>
      <w:r>
        <w:rPr>
          <w:rFonts w:hint="eastAsia"/>
          <w:sz w:val="24"/>
          <w:highlight w:val="none"/>
          <w:vertAlign w:val="superscript"/>
        </w:rPr>
        <w:t xml:space="preserve"> al+pl</w:t>
      </w:r>
      <w:r>
        <w:rPr>
          <w:rFonts w:hint="eastAsia"/>
          <w:sz w:val="24"/>
          <w:highlight w:val="none"/>
        </w:rPr>
        <w:t xml:space="preserve"> )：黄褐色，干强度及韧性高，含锰质斑点及风化岩碎屑，局部夹薄层粉土。</w:t>
      </w:r>
    </w:p>
    <w:p>
      <w:pPr>
        <w:autoSpaceDE w:val="0"/>
        <w:autoSpaceDN w:val="0"/>
        <w:spacing w:line="480" w:lineRule="exact"/>
        <w:ind w:firstLine="480" w:firstLineChars="200"/>
        <w:rPr>
          <w:sz w:val="24"/>
          <w:highlight w:val="none"/>
        </w:rPr>
      </w:pPr>
      <w:r>
        <w:rPr>
          <w:rFonts w:hint="eastAsia"/>
          <w:sz w:val="24"/>
          <w:highlight w:val="none"/>
        </w:rPr>
        <w:t>砂卵石(Q</w:t>
      </w:r>
      <w:r>
        <w:rPr>
          <w:rFonts w:hint="eastAsia"/>
          <w:sz w:val="24"/>
          <w:highlight w:val="none"/>
          <w:vertAlign w:val="subscript"/>
        </w:rPr>
        <w:t>3</w:t>
      </w:r>
      <w:r>
        <w:rPr>
          <w:rFonts w:hint="eastAsia"/>
          <w:sz w:val="24"/>
          <w:highlight w:val="none"/>
        </w:rPr>
        <w:t xml:space="preserve"> </w:t>
      </w:r>
      <w:r>
        <w:rPr>
          <w:rFonts w:hint="eastAsia"/>
          <w:sz w:val="24"/>
          <w:highlight w:val="none"/>
          <w:vertAlign w:val="superscript"/>
        </w:rPr>
        <w:t>al+pl</w:t>
      </w:r>
      <w:r>
        <w:rPr>
          <w:rFonts w:hint="eastAsia"/>
          <w:sz w:val="24"/>
          <w:highlight w:val="none"/>
        </w:rPr>
        <w:t xml:space="preserve"> )：中粗砂，黄褐色，石英长石质，均粒结构，次棱角状，混少量粘性土；圆砾，黄褐色，石英长石质，混粒结构，母岩主要为花岗片麻岩及石英岩，由粘性土充填，局部含卵石及漂石，最大粒径约 40cm，局部夹薄层粉质粘土。</w:t>
      </w:r>
    </w:p>
    <w:p>
      <w:pPr>
        <w:autoSpaceDE w:val="0"/>
        <w:autoSpaceDN w:val="0"/>
        <w:spacing w:line="480" w:lineRule="exact"/>
        <w:ind w:firstLine="480" w:firstLineChars="200"/>
        <w:rPr>
          <w:sz w:val="24"/>
          <w:highlight w:val="none"/>
        </w:rPr>
      </w:pPr>
      <w:r>
        <w:rPr>
          <w:rFonts w:hint="eastAsia"/>
          <w:sz w:val="24"/>
          <w:highlight w:val="none"/>
        </w:rPr>
        <w:t>太古界强风化花岗岩麻岩(Ar)：灰绿～棕褐色，主要由斜长石、角闪石、石英等矿物组成，原岩结构大部分破坏，粗粒结构，块状构造，岩芯手捏呈粗粒砂状，属极软岩。</w:t>
      </w:r>
    </w:p>
    <w:p>
      <w:pPr>
        <w:autoSpaceDE w:val="0"/>
        <w:autoSpaceDN w:val="0"/>
        <w:spacing w:line="480" w:lineRule="exact"/>
        <w:ind w:firstLine="480" w:firstLineChars="200"/>
        <w:rPr>
          <w:sz w:val="24"/>
          <w:highlight w:val="none"/>
        </w:rPr>
      </w:pPr>
      <w:r>
        <w:rPr>
          <w:rFonts w:hint="eastAsia"/>
          <w:sz w:val="24"/>
          <w:highlight w:val="none"/>
        </w:rPr>
        <w:t>（2）评价区地质构造</w:t>
      </w:r>
    </w:p>
    <w:p>
      <w:pPr>
        <w:autoSpaceDE w:val="0"/>
        <w:autoSpaceDN w:val="0"/>
        <w:spacing w:line="480" w:lineRule="exact"/>
        <w:ind w:firstLine="480" w:firstLineChars="200"/>
        <w:rPr>
          <w:sz w:val="24"/>
          <w:highlight w:val="none"/>
        </w:rPr>
      </w:pPr>
      <w:r>
        <w:rPr>
          <w:rFonts w:hint="eastAsia"/>
          <w:sz w:val="24"/>
          <w:highlight w:val="none"/>
        </w:rPr>
        <w:t>调查评价区所在大地构造属于华北台地（Ⅰ）燕山台褶带（Ⅱ）马兰峪复背斜（Ⅲ）南翼近轴部。其基底主要由太古界片麻岩与沉积岩组成，北部变质岩地区，岩层一般为单斜构造片麻岩，走向近南北或北东向，倾向西或北西，倾角一般为30°～70°不等，局部地区出现直立和倒转现象。该区断裂以北东、北西或近南北为主，断裂长度多在 2～8 km。</w:t>
      </w:r>
    </w:p>
    <w:p>
      <w:pPr>
        <w:autoSpaceDE w:val="0"/>
        <w:autoSpaceDN w:val="0"/>
        <w:spacing w:line="480" w:lineRule="exact"/>
        <w:ind w:firstLine="480" w:firstLineChars="200"/>
        <w:rPr>
          <w:sz w:val="24"/>
          <w:highlight w:val="none"/>
        </w:rPr>
      </w:pPr>
      <w:r>
        <w:rPr>
          <w:rFonts w:hint="eastAsia"/>
          <w:sz w:val="24"/>
          <w:highlight w:val="none"/>
        </w:rPr>
        <w:t>南部沉积岩地区，岩层走向总体近东西方向，斜向南，构造以褶皱为主，断裂也较北川发育，主要是北西方向和东西方向的断裂规模较大，而北西方向的断裂大部分被后期煌斑岩脉充填，断裂长度一般为 5～15km。</w:t>
      </w:r>
    </w:p>
    <w:p>
      <w:pPr>
        <w:autoSpaceDE w:val="0"/>
        <w:autoSpaceDN w:val="0"/>
        <w:spacing w:line="480" w:lineRule="exact"/>
        <w:ind w:firstLine="480" w:firstLineChars="200"/>
        <w:rPr>
          <w:sz w:val="24"/>
          <w:highlight w:val="none"/>
        </w:rPr>
      </w:pPr>
      <w:r>
        <w:rPr>
          <w:rFonts w:hint="eastAsia"/>
          <w:sz w:val="24"/>
          <w:highlight w:val="none"/>
        </w:rPr>
        <w:t>（3）评价区水文地质特征</w:t>
      </w:r>
    </w:p>
    <w:p>
      <w:pPr>
        <w:autoSpaceDE w:val="0"/>
        <w:autoSpaceDN w:val="0"/>
        <w:spacing w:line="480" w:lineRule="exact"/>
        <w:ind w:firstLine="480" w:firstLineChars="200"/>
        <w:rPr>
          <w:sz w:val="24"/>
          <w:highlight w:val="none"/>
        </w:rPr>
      </w:pPr>
      <w:r>
        <w:rPr>
          <w:rFonts w:hint="eastAsia"/>
          <w:sz w:val="24"/>
          <w:highlight w:val="none"/>
        </w:rPr>
        <w:t>遵化市水文地质分区属于唐山市北部低山丘陵水文地质区。遵化境内的地下水，根据其所在的区域及地层中的赋存特点，可以划分为三个含水组：松散岩层孔隙潜水含水岩组，碎屑岩类含水岩组，变质岩风化裂隙含水岩组。</w:t>
      </w:r>
    </w:p>
    <w:p>
      <w:pPr>
        <w:spacing w:line="480" w:lineRule="exact"/>
        <w:ind w:firstLine="480" w:firstLineChars="200"/>
        <w:rPr>
          <w:sz w:val="24"/>
          <w:highlight w:val="none"/>
        </w:rPr>
      </w:pPr>
      <w:r>
        <w:rPr>
          <w:rFonts w:hint="eastAsia"/>
          <w:sz w:val="24"/>
          <w:highlight w:val="none"/>
        </w:rPr>
        <w:t>（1）水文地质分区</w:t>
      </w:r>
    </w:p>
    <w:p>
      <w:pPr>
        <w:spacing w:line="480" w:lineRule="exact"/>
        <w:ind w:firstLine="480" w:firstLineChars="200"/>
        <w:rPr>
          <w:sz w:val="24"/>
          <w:highlight w:val="none"/>
        </w:rPr>
      </w:pPr>
      <w:r>
        <w:rPr>
          <w:rFonts w:hint="eastAsia"/>
          <w:sz w:val="24"/>
          <w:highlight w:val="none"/>
        </w:rPr>
        <w:t>结合区域水文地质资料，调查评价区水文地质分区属于冲洪积缓斜地小区水文地质区。评价区内的地下水，根据其所在的区域及地层中的赋存特点，主要为松散岩层孔隙水(I)，地下水溶解性总固体小于 1.0g/L，地下水为淡水。</w:t>
      </w:r>
    </w:p>
    <w:p>
      <w:pPr>
        <w:spacing w:line="480" w:lineRule="exact"/>
        <w:ind w:firstLine="480" w:firstLineChars="200"/>
        <w:rPr>
          <w:sz w:val="24"/>
          <w:highlight w:val="none"/>
        </w:rPr>
      </w:pPr>
      <w:r>
        <w:rPr>
          <w:rFonts w:hint="eastAsia"/>
          <w:sz w:val="24"/>
          <w:highlight w:val="none"/>
        </w:rPr>
        <w:t>（2）含水层分布特征</w:t>
      </w:r>
    </w:p>
    <w:p>
      <w:pPr>
        <w:spacing w:line="480" w:lineRule="exact"/>
        <w:ind w:firstLine="480" w:firstLineChars="200"/>
        <w:rPr>
          <w:sz w:val="24"/>
          <w:highlight w:val="none"/>
        </w:rPr>
      </w:pPr>
      <w:r>
        <w:rPr>
          <w:rFonts w:hint="eastAsia"/>
          <w:sz w:val="24"/>
          <w:highlight w:val="none"/>
        </w:rPr>
        <w:t>调查评价区地下水类型为松散岩类孔隙潜水含水岩组，分为极富水亚组(I</w:t>
      </w:r>
      <w:r>
        <w:rPr>
          <w:rFonts w:hint="eastAsia"/>
          <w:sz w:val="24"/>
          <w:highlight w:val="none"/>
          <w:vertAlign w:val="subscript"/>
        </w:rPr>
        <w:t>1</w:t>
      </w:r>
      <w:r>
        <w:rPr>
          <w:rFonts w:hint="eastAsia"/>
          <w:sz w:val="24"/>
          <w:highlight w:val="none"/>
        </w:rPr>
        <w:t xml:space="preserve"> )和贫水亚组(I</w:t>
      </w:r>
      <w:r>
        <w:rPr>
          <w:rFonts w:hint="eastAsia"/>
          <w:sz w:val="24"/>
          <w:highlight w:val="none"/>
          <w:vertAlign w:val="subscript"/>
        </w:rPr>
        <w:t>2</w:t>
      </w:r>
      <w:r>
        <w:rPr>
          <w:rFonts w:hint="eastAsia"/>
          <w:sz w:val="24"/>
          <w:highlight w:val="none"/>
        </w:rPr>
        <w:t xml:space="preserve"> )。</w:t>
      </w:r>
    </w:p>
    <w:p>
      <w:pPr>
        <w:spacing w:line="480" w:lineRule="exact"/>
        <w:ind w:firstLine="480" w:firstLineChars="200"/>
        <w:rPr>
          <w:sz w:val="24"/>
          <w:highlight w:val="none"/>
        </w:rPr>
      </w:pPr>
      <w:r>
        <w:rPr>
          <w:rFonts w:hint="eastAsia"/>
          <w:sz w:val="24"/>
          <w:highlight w:val="none"/>
        </w:rPr>
        <w:t>极富水亚组(I</w:t>
      </w:r>
      <w:r>
        <w:rPr>
          <w:rFonts w:hint="eastAsia"/>
          <w:sz w:val="24"/>
          <w:highlight w:val="none"/>
          <w:vertAlign w:val="subscript"/>
        </w:rPr>
        <w:t>1</w:t>
      </w:r>
      <w:r>
        <w:rPr>
          <w:rFonts w:hint="eastAsia"/>
          <w:sz w:val="24"/>
          <w:highlight w:val="none"/>
        </w:rPr>
        <w:t xml:space="preserve"> )：冲洪积砾卵石层及卵砾石层。砂砾卵石层占开采深度的 70～80%，单孔涌水量40～50m³/h。水位埋深一般2～5m，含水层厚度在5～10m，平均厚度约8m，底板埋深在 12m 左右。</w:t>
      </w:r>
    </w:p>
    <w:p>
      <w:pPr>
        <w:spacing w:line="480" w:lineRule="exact"/>
        <w:ind w:firstLine="480" w:firstLineChars="200"/>
        <w:rPr>
          <w:sz w:val="24"/>
          <w:highlight w:val="none"/>
        </w:rPr>
      </w:pPr>
      <w:r>
        <w:rPr>
          <w:rFonts w:hint="eastAsia"/>
          <w:sz w:val="24"/>
          <w:highlight w:val="none"/>
        </w:rPr>
        <w:t>贫水亚组(I</w:t>
      </w:r>
      <w:r>
        <w:rPr>
          <w:rFonts w:hint="eastAsia"/>
          <w:sz w:val="24"/>
          <w:highlight w:val="none"/>
          <w:vertAlign w:val="subscript"/>
        </w:rPr>
        <w:t xml:space="preserve">2 </w:t>
      </w:r>
      <w:r>
        <w:rPr>
          <w:rFonts w:hint="eastAsia"/>
          <w:sz w:val="24"/>
          <w:highlight w:val="none"/>
        </w:rPr>
        <w:t>)：冲洪积砂砾卵石层。单井涌水量小于 10～20m³/h，水位埋深 5～8m，分布于山间沟谷地带。含水层厚度在 5～8之间，平均厚度约 6m，底板埋深在 9～15m。</w:t>
      </w:r>
    </w:p>
    <w:p>
      <w:pPr>
        <w:spacing w:line="480" w:lineRule="exact"/>
        <w:ind w:firstLine="480" w:firstLineChars="200"/>
        <w:rPr>
          <w:sz w:val="24"/>
          <w:highlight w:val="none"/>
        </w:rPr>
      </w:pPr>
      <w:r>
        <w:rPr>
          <w:rFonts w:hint="eastAsia"/>
          <w:sz w:val="24"/>
          <w:highlight w:val="none"/>
        </w:rPr>
        <w:t>（3）补、径、排条件</w:t>
      </w:r>
    </w:p>
    <w:p>
      <w:pPr>
        <w:spacing w:line="480" w:lineRule="exact"/>
        <w:ind w:firstLine="480" w:firstLineChars="200"/>
        <w:rPr>
          <w:sz w:val="24"/>
          <w:highlight w:val="none"/>
        </w:rPr>
      </w:pPr>
      <w:r>
        <w:rPr>
          <w:rFonts w:hint="eastAsia"/>
          <w:sz w:val="24"/>
          <w:highlight w:val="none"/>
        </w:rPr>
        <w:t>调查评价区内主要含水层为第四系松散岩类孔隙水，主要赋存于第③层圆砾及粗砾砂中，地下水主要补给来源是大气降水及地下径流补给，地下水水位总体径流方向为 NE-图例 静水位线SW，水力坡度约 4.28‰，主要排泄方式为向下游径流排泄、补给黎河和人工开采，人工开采主要用于农灌和生活用水。</w:t>
      </w:r>
    </w:p>
    <w:p>
      <w:pPr>
        <w:spacing w:line="480" w:lineRule="exact"/>
        <w:ind w:firstLine="480" w:firstLineChars="200"/>
        <w:rPr>
          <w:sz w:val="24"/>
          <w:highlight w:val="none"/>
        </w:rPr>
      </w:pPr>
      <w:r>
        <w:rPr>
          <w:rFonts w:hint="eastAsia"/>
          <w:sz w:val="24"/>
          <w:highlight w:val="none"/>
        </w:rPr>
        <w:t>（4）黎河与地下水补给关系</w:t>
      </w:r>
    </w:p>
    <w:p>
      <w:pPr>
        <w:spacing w:line="480" w:lineRule="exact"/>
        <w:ind w:firstLine="480" w:firstLineChars="200"/>
        <w:rPr>
          <w:sz w:val="24"/>
          <w:highlight w:val="none"/>
        </w:rPr>
      </w:pPr>
      <w:r>
        <w:rPr>
          <w:rFonts w:hint="eastAsia"/>
          <w:sz w:val="24"/>
          <w:highlight w:val="none"/>
        </w:rPr>
        <w:t>根据收集的调查评价区水文地质资料，并结合调查评价区水文地质图，调查评价区范围根据已获得的观测资料，枯水期时黎河两岸地下水位水位与黎河水位差值较小，一般在 0.5～0.9m 之间，地下水向河道补给量较小；7～9 月进入雨季，</w:t>
      </w:r>
      <w:r>
        <w:rPr>
          <w:rFonts w:hint="eastAsia"/>
          <w:sz w:val="24"/>
          <w:highlight w:val="none"/>
          <w:lang w:eastAsia="zh-CN"/>
        </w:rPr>
        <w:t>河流补给地下水，输水期，河道水向地下水补给</w:t>
      </w:r>
      <w:r>
        <w:rPr>
          <w:rFonts w:hint="eastAsia"/>
          <w:sz w:val="24"/>
          <w:highlight w:val="none"/>
        </w:rPr>
        <w:t>。</w:t>
      </w:r>
    </w:p>
    <w:p>
      <w:pPr>
        <w:spacing w:line="480" w:lineRule="exact"/>
        <w:ind w:firstLine="480" w:firstLineChars="200"/>
        <w:rPr>
          <w:sz w:val="24"/>
          <w:highlight w:val="none"/>
        </w:rPr>
      </w:pPr>
      <w:r>
        <w:rPr>
          <w:rFonts w:hint="eastAsia"/>
          <w:sz w:val="24"/>
          <w:highlight w:val="none"/>
        </w:rPr>
        <w:t>（5）地下水动态变化特征</w:t>
      </w:r>
    </w:p>
    <w:p>
      <w:pPr>
        <w:autoSpaceDE w:val="0"/>
        <w:autoSpaceDN w:val="0"/>
        <w:spacing w:line="480" w:lineRule="exact"/>
        <w:ind w:firstLine="480" w:firstLineChars="200"/>
        <w:rPr>
          <w:sz w:val="24"/>
          <w:highlight w:val="none"/>
        </w:rPr>
      </w:pPr>
      <w:r>
        <w:rPr>
          <w:rFonts w:hint="eastAsia"/>
          <w:sz w:val="24"/>
          <w:highlight w:val="none"/>
        </w:rPr>
        <w:t>根据遵化市水利局提供的 2015 年西双城村地下水水位埋深动态变化趋势分析：从 7 月份开始进入雨季降雨量增多，人工开采量减少，地下水水位开始缓慢升高，一直持续到 11 月份。春季降雨量减少，农业灌溉用水量增大，地下水水位开始下降，到 6、7 月份出现最低水位区域水文地质见</w:t>
      </w:r>
      <w:r>
        <w:rPr>
          <w:rFonts w:hint="eastAsia"/>
          <w:sz w:val="24"/>
          <w:highlight w:val="none"/>
          <w:lang w:eastAsia="zh-CN"/>
        </w:rPr>
        <w:t>下</w:t>
      </w:r>
      <w:r>
        <w:rPr>
          <w:rFonts w:hint="eastAsia"/>
          <w:sz w:val="24"/>
          <w:highlight w:val="none"/>
        </w:rPr>
        <w:t>图。</w:t>
      </w:r>
    </w:p>
    <w:p>
      <w:pPr>
        <w:spacing w:line="480" w:lineRule="exact"/>
        <w:rPr>
          <w:rFonts w:hint="eastAsia"/>
          <w:b/>
          <w:bCs/>
          <w:sz w:val="24"/>
          <w:highlight w:val="none"/>
        </w:rPr>
      </w:pPr>
    </w:p>
    <w:p>
      <w:pPr>
        <w:autoSpaceDE/>
        <w:autoSpaceDN/>
        <w:spacing w:line="360" w:lineRule="auto"/>
        <w:ind w:firstLine="480" w:firstLineChars="200"/>
        <w:rPr>
          <w:rFonts w:ascii="Times New Roman" w:hAnsi="Times New Roman" w:cs="Times New Roman"/>
          <w:bCs/>
          <w:sz w:val="24"/>
          <w:highlight w:val="none"/>
        </w:rPr>
      </w:pPr>
    </w:p>
    <w:p>
      <w:pPr>
        <w:pStyle w:val="7"/>
        <w:rPr>
          <w:rFonts w:ascii="Times New Roman" w:hAnsi="Times New Roman" w:cs="Times New Roman"/>
          <w:bCs/>
          <w:sz w:val="24"/>
          <w:highlight w:val="none"/>
        </w:rPr>
      </w:pPr>
    </w:p>
    <w:p>
      <w:pPr>
        <w:pStyle w:val="137"/>
        <w:autoSpaceDE/>
        <w:autoSpaceDN/>
        <w:adjustRightInd/>
        <w:spacing w:line="360" w:lineRule="auto"/>
        <w:jc w:val="center"/>
        <w:rPr>
          <w:rFonts w:ascii="Times New Roman" w:hAnsi="Times New Roman"/>
          <w:b/>
          <w:color w:val="auto"/>
          <w:szCs w:val="24"/>
          <w:highlight w:val="none"/>
        </w:rPr>
      </w:pPr>
      <w:r>
        <w:rPr>
          <w:sz w:val="24"/>
          <w:highlight w:val="none"/>
        </w:rPr>
        <mc:AlternateContent>
          <mc:Choice Requires="wpg">
            <w:drawing>
              <wp:anchor distT="0" distB="0" distL="114300" distR="114300" simplePos="0" relativeHeight="251707392" behindDoc="0" locked="0" layoutInCell="1" allowOverlap="1">
                <wp:simplePos x="0" y="0"/>
                <wp:positionH relativeFrom="column">
                  <wp:posOffset>1492250</wp:posOffset>
                </wp:positionH>
                <wp:positionV relativeFrom="paragraph">
                  <wp:posOffset>1165225</wp:posOffset>
                </wp:positionV>
                <wp:extent cx="2059305" cy="511175"/>
                <wp:effectExtent l="4445" t="4445" r="12700" b="17780"/>
                <wp:wrapNone/>
                <wp:docPr id="39" name="组合 39"/>
                <wp:cNvGraphicFramePr/>
                <a:graphic xmlns:a="http://schemas.openxmlformats.org/drawingml/2006/main">
                  <a:graphicData uri="http://schemas.microsoft.com/office/word/2010/wordprocessingGroup">
                    <wpg:wgp>
                      <wpg:cNvGrpSpPr/>
                      <wpg:grpSpPr>
                        <a:xfrm>
                          <a:off x="0" y="0"/>
                          <a:ext cx="2059305" cy="511175"/>
                          <a:chOff x="12016" y="2522670"/>
                          <a:chExt cx="3243" cy="805"/>
                        </a:xfrm>
                      </wpg:grpSpPr>
                      <wps:wsp>
                        <wps:cNvPr id="25" name="文本框 25"/>
                        <wps:cNvSpPr txBox="1"/>
                        <wps:spPr>
                          <a:xfrm>
                            <a:off x="15041" y="2522670"/>
                            <a:ext cx="218" cy="193"/>
                          </a:xfrm>
                          <a:prstGeom prst="rect">
                            <a:avLst/>
                          </a:prstGeom>
                          <a:solidFill>
                            <a:srgbClr val="FF0000"/>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7" name="矩形标注 37"/>
                        <wps:cNvSpPr/>
                        <wps:spPr>
                          <a:xfrm>
                            <a:off x="12016" y="2522937"/>
                            <a:ext cx="1499" cy="539"/>
                          </a:xfrm>
                          <a:prstGeom prst="wedgeRectCallout">
                            <a:avLst>
                              <a:gd name="adj1" fmla="val 155203"/>
                              <a:gd name="adj2" fmla="val -73933"/>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eastAsia="宋体"/>
                                  <w:color w:val="auto"/>
                                  <w:sz w:val="24"/>
                                  <w:szCs w:val="24"/>
                                  <w:lang w:eastAsia="zh-CN"/>
                                  <w14:textOutline w14:w="9525">
                                    <w14:solidFill>
                                      <w14:srgbClr w14:val="000000"/>
                                    </w14:solidFill>
                                    <w14:round/>
                                  </w14:textOutline>
                                </w:rPr>
                              </w:pPr>
                              <w:r>
                                <w:rPr>
                                  <w:rFonts w:hint="eastAsia"/>
                                  <w:color w:val="auto"/>
                                  <w:sz w:val="24"/>
                                  <w:szCs w:val="24"/>
                                  <w:lang w:eastAsia="zh-CN"/>
                                  <w14:textOutline w14:w="9525">
                                    <w14:solidFill>
                                      <w14:srgbClr w14:val="000000"/>
                                    </w14:solidFill>
                                    <w14:round/>
                                  </w14:textOutline>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17.5pt;margin-top:91.75pt;height:40.25pt;width:162.15pt;z-index:251707392;mso-width-relative:page;mso-height-relative:page;" coordorigin="12016,2522670" coordsize="3243,805" o:gfxdata="UEsDBAoAAAAAAIdO4kAAAAAAAAAAAAAAAAAEAAAAZHJzL1BLAwQUAAAACACHTuJABavyldoAAAAL&#10;AQAADwAAAGRycy9kb3ducmV2LnhtbE2PQUvDQBCF74L/YRnBm91NY0qN2RQp6qkItoJ422anSWh2&#10;NmS3SfvvHU/2OHyPN98rVmfXiRGH0HrSkMwUCKTK25ZqDV+7t4cliBANWdN5Qg0XDLAqb28Kk1s/&#10;0SeO21gLLqGQGw1NjH0uZagadCbMfI/E7OAHZyKfQy3tYCYud52cK7WQzrTEHxrT47rB6rg9OQ3v&#10;k5le0uR13BwP68vPLvv43iSo9f1dop5BRDzH/zD86bM6lOy09yeyQXQa5mnGWyKDZZqB4ESWPaUg&#10;9owWjwpkWcjrDeUvUEsDBBQAAAAIAIdO4kA0koqCkgMAADwJAAAOAAAAZHJzL2Uyb0RvYy54bWzl&#10;Vk1vGzcQvQfofyB4j/dLa1mC14ZrV0YAIzbiBj1TXO5HwyVZkvLKOQdJjjnlFCBpTgnQW49Ffk6U&#10;v5EhdyVLlgsEadFLdViRw9kh5817w90/nDccXTFtaikyHO2EGDFBZV6LMsOPf57c38PIWCJywqVg&#10;Gb5mBh8e/HBvv1VjFstK8pxpBEGEGbcqw5W1ahwEhlasIWZHKiZgsZC6IRamugxyTVqI3vAgDsPd&#10;oJU6V1pSZgxYT7pF3EfU3xJQFkVN2Ymks4YJ20XVjBMLKZmqVgYf+NMWBaP2vCgMs4hnGDK1/gmb&#10;wHjqnsHBPhmXmqiqpv0RyLcc4VZODakFbLoKdUIsQTNdb4VqaqqlkYXdobIJukQ8IpBFFN7C5lTL&#10;mfK5lOO2VCvQoVC3UP/usPTh1YVGdZ7hZISRIA1U/Mtfzz6/eonAAOi0qhyD06lWl+pC94aym7mE&#10;54Vu3D+kguYe1+sVrmxuEQVjHKajJEwxorCWRlE0TDvgaQXVca9FkP0uRrAcp3G8O+wLQ6uf+hBJ&#10;PEi69/cgEBwjWG4duBOuDtQqYKW5gcr8M6guK6KYr4BxKPRQxZBKB9Xi9YvFmz8Wvz9HYPPgeD8H&#10;FbLzH6VLbWk3YLwDsSgNB9F26ivsItCjwy0aJRt5k7HSxp4y2SA3yLAGsnsOkqszYzuIli5uXyN5&#10;nU9qzv1El9NjrtEVAWFMJiH8+ugbblygNsO7SRr6yBtrLvYqxJQT+mQ7AlSJCyiWK0uXvxvZ+XTe&#10;gzWV+TVgpWWnTKPopIa4Z8TYC6JBiiBUaFb2HB4Fl3AY2Y8wqqR+epfd+UPZYRWjFqSdYfPbjGiG&#10;EX8ggBCjaDBwvcBPBukwholeX5mur4hZcywBJKgRnM4Pnb/ly2GhZfML9LQjtyssEUFh7wzb5fDY&#10;dg0HeiJlR0feCdSviD0Tl4q60K4kQh7NrCxqXzoHU4dNjx6Q2onxP2B3Mlyy+8vbj58/vV+8e7H4&#10;8wMC8ybB+9nf0XpD0aPubTJe0joajKDf+H7Q9ZmVnrd43bK8ZI+A3MeEczlb47hDrcx7KZL8VyhR&#10;0XAgDbAaRWkah14ym07xutP9YTJKlrryuvGdZV02QjrNQLKOyk4No9TpnzpeFXDnwLBROXBMlFBw&#10;XsKlSq3elotZV5zT292Kc1ufEFN1yvSC62X1vxWSg7NX1b8nJX9twKXq691/ALhbe33upXfz0XPw&#10;F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UG&#10;AABbQ29udGVudF9UeXBlc10ueG1sUEsBAhQACgAAAAAAh07iQAAAAAAAAAAAAAAAAAYAAAAAAAAA&#10;AAAQAAAA5wQAAF9yZWxzL1BLAQIUABQAAAAIAIdO4kCKFGY80QAAAJQBAAALAAAAAAAAAAEAIAAA&#10;AAsFAABfcmVscy8ucmVsc1BLAQIUAAoAAAAAAIdO4kAAAAAAAAAAAAAAAAAEAAAAAAAAAAAAEAAA&#10;AAAAAABkcnMvUEsBAhQAFAAAAAgAh07iQAWr8pXaAAAACwEAAA8AAAAAAAAAAQAgAAAAIgAAAGRy&#10;cy9kb3ducmV2LnhtbFBLAQIUABQAAAAIAIdO4kA0koqCkgMAADwJAAAOAAAAAAAAAAEAIAAAACkB&#10;AABkcnMvZTJvRG9jLnhtbFBLBQYAAAAABgAGAFkBAAAtBwAAAAA=&#10;">
                <o:lock v:ext="edit" aspectratio="f"/>
                <v:shape id="_x0000_s1026" o:spid="_x0000_s1026" o:spt="202" type="#_x0000_t202" style="position:absolute;left:15041;top:2522670;height:193;width:218;" fillcolor="#FF0000" filled="t" stroked="t" coordsize="21600,21600" o:gfxdata="UEsDBAoAAAAAAIdO4kAAAAAAAAAAAAAAAAAEAAAAZHJzL1BLAwQUAAAACACHTuJAKfu4k70AAADb&#10;AAAADwAAAGRycy9kb3ducmV2LnhtbEWPQWvCQBSE70L/w/IKveluhJY0unooFdRTtZZ6fGSfSTD7&#10;NmSfUf99t1DocZiZb5j58uZbNVAfm8AWsokBRVwG13Bl4fC5GuegoiA7bAOThTtFWC4eRnMsXLjy&#10;joa9VCpBOBZooRbpCq1jWZPHOAkdcfJOofcoSfaVdj1eE9y3emrMi/bYcFqosaO3msrz/uItvG+H&#10;08dwdIddJ3m++Xo18p2drX16zMwMlNBN/sN/7bWzMH2G3y/pB+jF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7iTvQAA&#10;ANsAAAAPAAAAAAAAAAEAIAAAACIAAABkcnMvZG93bnJldi54bWxQSwECFAAUAAAACACHTuJAMy8F&#10;njsAAAA5AAAAEAAAAAAAAAABACAAAAAMAQAAZHJzL3NoYXBleG1sLnhtbFBLBQYAAAAABgAGAFsB&#10;AAC2AwAAAAA=&#10;">
                  <v:fill on="t" focussize="0,0"/>
                  <v:stroke weight="0.5pt" color="#000000 [3204]" joinstyle="round"/>
                  <v:imagedata o:title=""/>
                  <o:lock v:ext="edit" aspectratio="f"/>
                  <v:textbox>
                    <w:txbxContent>
                      <w:p/>
                    </w:txbxContent>
                  </v:textbox>
                </v:shape>
                <v:shape id="_x0000_s1026" o:spid="_x0000_s1026" o:spt="61" type="#_x0000_t61" style="position:absolute;left:12016;top:2522937;height:539;width:1499;v-text-anchor:middle;" filled="f" stroked="t" coordsize="21600,21600" o:gfxdata="UEsDBAoAAAAAAIdO4kAAAAAAAAAAAAAAAAAEAAAAZHJzL1BLAwQUAAAACACHTuJAE1Ir/LwAAADb&#10;AAAADwAAAGRycy9kb3ducmV2LnhtbEWPQWuDQBSE74H+h+UVeglxtYEmWFcPIYWYnhLzAx7ui0rd&#10;t+Kumv77bqHQ4zAz3zBZ8TC9mGl0nWUFSRSDIK6t7rhRcKs+NnsQziNr7C2Tgm9yUORPqwxTbRe+&#10;0Hz1jQgQdikqaL0fUild3ZJBF9mBOHh3Oxr0QY6N1CMuAW56+RrHb9Jgx2GhxYEOLdVf18kouEy2&#10;XLPD46k7V2Uzl/SZyEmpl+ckfgfh6eH/w3/tk1aw3cHvl/ADZP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NSK/y8AAAA&#10;2wAAAA8AAAAAAAAAAQAgAAAAIgAAAGRycy9kb3ducmV2LnhtbFBLAQIUABQAAAAIAIdO4kAzLwWe&#10;OwAAADkAAAAQAAAAAAAAAAEAIAAAAAsBAABkcnMvc2hhcGV4bWwueG1sUEsFBgAAAAAGAAYAWwEA&#10;ALUDAAAAAA==&#10;" adj="44324,-5170">
                  <v:fill on="f" focussize="0,0"/>
                  <v:stroke color="#000000 [3213]"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eastAsia="宋体"/>
                            <w:color w:val="auto"/>
                            <w:sz w:val="24"/>
                            <w:szCs w:val="24"/>
                            <w:lang w:eastAsia="zh-CN"/>
                            <w14:textOutline w14:w="9525">
                              <w14:solidFill>
                                <w14:srgbClr w14:val="000000"/>
                              </w14:solidFill>
                              <w14:round/>
                            </w14:textOutline>
                          </w:rPr>
                        </w:pPr>
                        <w:r>
                          <w:rPr>
                            <w:rFonts w:hint="eastAsia"/>
                            <w:color w:val="auto"/>
                            <w:sz w:val="24"/>
                            <w:szCs w:val="24"/>
                            <w:lang w:eastAsia="zh-CN"/>
                            <w14:textOutline w14:w="9525">
                              <w14:solidFill>
                                <w14:srgbClr w14:val="000000"/>
                              </w14:solidFill>
                              <w14:round/>
                            </w14:textOutline>
                          </w:rPr>
                          <w:t>项目位置</w:t>
                        </w:r>
                      </w:p>
                    </w:txbxContent>
                  </v:textbox>
                </v:shape>
              </v:group>
            </w:pict>
          </mc:Fallback>
        </mc:AlternateContent>
      </w:r>
      <w:r>
        <w:rPr>
          <w:rFonts w:ascii="Times New Roman" w:hAnsi="Times New Roman"/>
          <w:b/>
          <w:color w:val="auto"/>
          <w:szCs w:val="24"/>
          <w:highlight w:val="none"/>
        </w:rPr>
        <w:drawing>
          <wp:anchor distT="0" distB="0" distL="114300" distR="114300" simplePos="0" relativeHeight="251706368" behindDoc="0" locked="0" layoutInCell="1" allowOverlap="1">
            <wp:simplePos x="0" y="0"/>
            <wp:positionH relativeFrom="column">
              <wp:posOffset>36830</wp:posOffset>
            </wp:positionH>
            <wp:positionV relativeFrom="paragraph">
              <wp:posOffset>148590</wp:posOffset>
            </wp:positionV>
            <wp:extent cx="5400040" cy="4413885"/>
            <wp:effectExtent l="0" t="0" r="10160" b="5715"/>
            <wp:wrapTopAndBottom/>
            <wp:docPr id="13"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9"/>
                    <pic:cNvPicPr>
                      <a:picLocks noChangeAspect="1"/>
                    </pic:cNvPicPr>
                  </pic:nvPicPr>
                  <pic:blipFill>
                    <a:blip r:embed="rId76"/>
                    <a:stretch>
                      <a:fillRect/>
                    </a:stretch>
                  </pic:blipFill>
                  <pic:spPr>
                    <a:xfrm>
                      <a:off x="0" y="0"/>
                      <a:ext cx="5400040" cy="4413885"/>
                    </a:xfrm>
                    <a:prstGeom prst="rect">
                      <a:avLst/>
                    </a:prstGeom>
                    <a:noFill/>
                    <a:ln w="12700">
                      <a:noFill/>
                    </a:ln>
                  </pic:spPr>
                </pic:pic>
              </a:graphicData>
            </a:graphic>
          </wp:anchor>
        </w:drawing>
      </w:r>
      <w:r>
        <w:rPr>
          <w:rFonts w:ascii="Times New Roman" w:hAnsi="Times New Roman"/>
          <w:b/>
          <w:color w:val="auto"/>
          <w:szCs w:val="24"/>
          <w:highlight w:val="none"/>
        </w:rPr>
        <w:t>图</w:t>
      </w:r>
      <w:r>
        <w:rPr>
          <w:rFonts w:hint="eastAsia" w:ascii="Times New Roman" w:hAnsi="Times New Roman"/>
          <w:b/>
          <w:color w:val="auto"/>
          <w:szCs w:val="24"/>
          <w:highlight w:val="none"/>
          <w:lang w:val="en-US" w:eastAsia="zh-CN"/>
        </w:rPr>
        <w:t>5.5-1</w:t>
      </w:r>
      <w:r>
        <w:rPr>
          <w:rFonts w:ascii="Times New Roman" w:hAnsi="Times New Roman"/>
          <w:b/>
          <w:color w:val="auto"/>
          <w:szCs w:val="24"/>
          <w:highlight w:val="none"/>
        </w:rPr>
        <w:t xml:space="preserve">  区域水文地质图</w:t>
      </w:r>
    </w:p>
    <w:p>
      <w:pPr>
        <w:autoSpaceDE/>
        <w:autoSpaceDN/>
        <w:spacing w:line="360" w:lineRule="auto"/>
        <w:jc w:val="both"/>
        <w:rPr>
          <w:rFonts w:ascii="Times New Roman" w:hAnsi="Times New Roman" w:cs="Times New Roman"/>
          <w:sz w:val="24"/>
          <w:highlight w:val="none"/>
        </w:rPr>
      </w:pPr>
      <w:r>
        <w:rPr>
          <w:rFonts w:ascii="Times New Roman" w:hAnsi="Times New Roman" w:cs="Times New Roman"/>
          <w:sz w:val="24"/>
          <w:highlight w:val="none"/>
        </w:rPr>
        <w:drawing>
          <wp:inline distT="0" distB="0" distL="114300" distR="114300">
            <wp:extent cx="5262245" cy="1334135"/>
            <wp:effectExtent l="0" t="0" r="14605" b="18415"/>
            <wp:docPr id="5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6"/>
                    <pic:cNvPicPr>
                      <a:picLocks noChangeAspect="1"/>
                    </pic:cNvPicPr>
                  </pic:nvPicPr>
                  <pic:blipFill>
                    <a:blip r:embed="rId77"/>
                    <a:stretch>
                      <a:fillRect/>
                    </a:stretch>
                  </pic:blipFill>
                  <pic:spPr>
                    <a:xfrm>
                      <a:off x="0" y="0"/>
                      <a:ext cx="5262245" cy="1334135"/>
                    </a:xfrm>
                    <a:prstGeom prst="rect">
                      <a:avLst/>
                    </a:prstGeom>
                    <a:noFill/>
                    <a:ln>
                      <a:noFill/>
                    </a:ln>
                  </pic:spPr>
                </pic:pic>
              </a:graphicData>
            </a:graphic>
          </wp:inline>
        </w:drawing>
      </w:r>
    </w:p>
    <w:p>
      <w:pPr>
        <w:pStyle w:val="137"/>
        <w:autoSpaceDE/>
        <w:autoSpaceDN/>
        <w:adjustRightInd/>
        <w:spacing w:line="360" w:lineRule="auto"/>
        <w:jc w:val="center"/>
        <w:rPr>
          <w:rFonts w:ascii="Times New Roman" w:hAnsi="Times New Roman"/>
          <w:b/>
          <w:color w:val="auto"/>
          <w:szCs w:val="24"/>
          <w:highlight w:val="none"/>
        </w:rPr>
      </w:pPr>
      <w:r>
        <w:rPr>
          <w:rFonts w:ascii="Times New Roman" w:hAnsi="Times New Roman"/>
          <w:b/>
          <w:color w:val="auto"/>
          <w:szCs w:val="24"/>
          <w:highlight w:val="none"/>
        </w:rPr>
        <w:t>图</w:t>
      </w:r>
      <w:r>
        <w:rPr>
          <w:rFonts w:hint="eastAsia" w:ascii="Times New Roman" w:hAnsi="Times New Roman"/>
          <w:b/>
          <w:color w:val="auto"/>
          <w:szCs w:val="24"/>
          <w:highlight w:val="none"/>
          <w:lang w:val="en-US" w:eastAsia="zh-CN"/>
        </w:rPr>
        <w:t>5.5-2</w:t>
      </w:r>
      <w:r>
        <w:rPr>
          <w:rFonts w:ascii="Times New Roman" w:hAnsi="Times New Roman"/>
          <w:b/>
          <w:color w:val="auto"/>
          <w:szCs w:val="24"/>
          <w:highlight w:val="none"/>
        </w:rPr>
        <w:t xml:space="preserve">  区域水文地质剖面图</w:t>
      </w:r>
    </w:p>
    <w:p>
      <w:pPr>
        <w:spacing w:line="480" w:lineRule="exact"/>
        <w:rPr>
          <w:sz w:val="24"/>
          <w:highlight w:val="none"/>
        </w:rPr>
      </w:pPr>
      <w:r>
        <w:rPr>
          <w:rFonts w:hint="eastAsia"/>
          <w:b/>
          <w:bCs/>
          <w:sz w:val="24"/>
          <w:highlight w:val="none"/>
        </w:rPr>
        <w:t>5</w:t>
      </w:r>
      <w:r>
        <w:rPr>
          <w:b/>
          <w:bCs/>
          <w:sz w:val="24"/>
          <w:highlight w:val="none"/>
        </w:rPr>
        <w:t>.</w:t>
      </w:r>
      <w:r>
        <w:rPr>
          <w:rFonts w:hint="eastAsia"/>
          <w:b/>
          <w:bCs/>
          <w:sz w:val="24"/>
          <w:highlight w:val="none"/>
          <w:lang w:val="en-US" w:eastAsia="zh-CN"/>
        </w:rPr>
        <w:t>5</w:t>
      </w:r>
      <w:r>
        <w:rPr>
          <w:b/>
          <w:bCs/>
          <w:sz w:val="24"/>
          <w:highlight w:val="none"/>
        </w:rPr>
        <w:t>.</w:t>
      </w:r>
      <w:r>
        <w:rPr>
          <w:rFonts w:hint="eastAsia"/>
          <w:b/>
          <w:bCs/>
          <w:sz w:val="24"/>
          <w:highlight w:val="none"/>
          <w:lang w:val="en-US" w:eastAsia="zh-CN"/>
        </w:rPr>
        <w:t>3</w:t>
      </w:r>
      <w:r>
        <w:rPr>
          <w:rFonts w:hint="eastAsia" w:ascii="Times New Roman" w:hAnsi="Times New Roman" w:eastAsia="宋体" w:cs="Times New Roman"/>
          <w:b/>
          <w:bCs/>
          <w:sz w:val="24"/>
          <w:highlight w:val="none"/>
          <w:lang w:val="en-US" w:eastAsia="zh-CN"/>
        </w:rPr>
        <w:t xml:space="preserve"> </w:t>
      </w:r>
      <w:bookmarkEnd w:id="228"/>
      <w:r>
        <w:rPr>
          <w:rFonts w:hint="default" w:ascii="Times New Roman" w:hAnsi="Times New Roman" w:eastAsia="宋体" w:cs="Times New Roman"/>
          <w:b/>
          <w:bCs/>
          <w:sz w:val="24"/>
          <w:highlight w:val="none"/>
          <w:lang w:val="en-US" w:eastAsia="zh-CN"/>
        </w:rPr>
        <w:t>地下水环境影响分析</w:t>
      </w:r>
    </w:p>
    <w:p>
      <w:pPr>
        <w:keepNext w:val="0"/>
        <w:keepLines w:val="0"/>
        <w:pageBreakBefore w:val="0"/>
        <w:widowControl w:val="0"/>
        <w:kinsoku/>
        <w:wordWrap/>
        <w:overflowPunct/>
        <w:topLinePunct w:val="0"/>
        <w:autoSpaceDE w:val="0"/>
        <w:autoSpaceDN w:val="0"/>
        <w:bidi w:val="0"/>
        <w:adjustRightInd/>
        <w:snapToGrid/>
        <w:spacing w:line="480" w:lineRule="exact"/>
        <w:ind w:firstLine="480" w:firstLineChars="200"/>
        <w:textAlignment w:val="auto"/>
        <w:rPr>
          <w:rFonts w:hint="eastAsia" w:eastAsia="宋体"/>
          <w:b w:val="0"/>
          <w:bCs w:val="0"/>
          <w:sz w:val="24"/>
          <w:highlight w:val="none"/>
          <w:lang w:eastAsia="zh-CN"/>
        </w:rPr>
      </w:pPr>
      <w:r>
        <w:rPr>
          <w:rFonts w:hint="eastAsia"/>
          <w:b w:val="0"/>
          <w:bCs w:val="0"/>
          <w:sz w:val="24"/>
          <w:highlight w:val="none"/>
          <w:lang w:eastAsia="zh-CN"/>
        </w:rPr>
        <w:t>本项目地下水评价等级为</w:t>
      </w:r>
      <w:r>
        <w:rPr>
          <w:rFonts w:hint="eastAsia"/>
          <w:b w:val="0"/>
          <w:bCs w:val="0"/>
          <w:sz w:val="24"/>
          <w:highlight w:val="none"/>
        </w:rPr>
        <w:t>三级评价</w:t>
      </w:r>
      <w:r>
        <w:rPr>
          <w:rFonts w:hint="eastAsia"/>
          <w:b w:val="0"/>
          <w:bCs w:val="0"/>
          <w:sz w:val="24"/>
          <w:highlight w:val="none"/>
          <w:lang w:eastAsia="zh-CN"/>
        </w:rPr>
        <w:t>，</w:t>
      </w:r>
      <w:r>
        <w:rPr>
          <w:rFonts w:hint="eastAsia"/>
          <w:b w:val="0"/>
          <w:bCs w:val="0"/>
          <w:sz w:val="24"/>
          <w:highlight w:val="none"/>
        </w:rPr>
        <w:t>要求</w:t>
      </w:r>
      <w:r>
        <w:rPr>
          <w:rFonts w:hint="eastAsia"/>
          <w:b w:val="0"/>
          <w:bCs w:val="0"/>
          <w:sz w:val="24"/>
          <w:highlight w:val="none"/>
          <w:lang w:eastAsia="zh-CN"/>
        </w:rPr>
        <w:t>如下：</w:t>
      </w:r>
    </w:p>
    <w:p>
      <w:pPr>
        <w:keepNext w:val="0"/>
        <w:keepLines w:val="0"/>
        <w:pageBreakBefore w:val="0"/>
        <w:widowControl w:val="0"/>
        <w:kinsoku/>
        <w:wordWrap/>
        <w:overflowPunct/>
        <w:topLinePunct w:val="0"/>
        <w:autoSpaceDE w:val="0"/>
        <w:autoSpaceDN w:val="0"/>
        <w:bidi w:val="0"/>
        <w:adjustRightInd/>
        <w:snapToGrid/>
        <w:spacing w:line="480" w:lineRule="exact"/>
        <w:textAlignment w:val="auto"/>
        <w:rPr>
          <w:rFonts w:hint="eastAsia"/>
          <w:b w:val="0"/>
          <w:bCs w:val="0"/>
          <w:sz w:val="24"/>
          <w:highlight w:val="none"/>
        </w:rPr>
      </w:pPr>
      <w:r>
        <w:rPr>
          <w:rFonts w:hint="eastAsia"/>
          <w:b w:val="0"/>
          <w:bCs w:val="0"/>
          <w:sz w:val="24"/>
          <w:highlight w:val="none"/>
          <w:lang w:val="en-US" w:eastAsia="zh-CN"/>
        </w:rPr>
        <w:t xml:space="preserve">    </w:t>
      </w:r>
      <w:r>
        <w:rPr>
          <w:rFonts w:hint="eastAsia"/>
          <w:b w:val="0"/>
          <w:bCs w:val="0"/>
          <w:sz w:val="24"/>
          <w:highlight w:val="none"/>
        </w:rPr>
        <w:t>了解调查评价区和场地环境水文地质条件。</w:t>
      </w:r>
    </w:p>
    <w:p>
      <w:pPr>
        <w:keepNext w:val="0"/>
        <w:keepLines w:val="0"/>
        <w:pageBreakBefore w:val="0"/>
        <w:widowControl w:val="0"/>
        <w:kinsoku/>
        <w:wordWrap/>
        <w:overflowPunct/>
        <w:topLinePunct w:val="0"/>
        <w:autoSpaceDE w:val="0"/>
        <w:autoSpaceDN w:val="0"/>
        <w:bidi w:val="0"/>
        <w:adjustRightInd/>
        <w:snapToGrid/>
        <w:spacing w:line="480" w:lineRule="exact"/>
        <w:textAlignment w:val="auto"/>
        <w:rPr>
          <w:rFonts w:hint="eastAsia"/>
          <w:b w:val="0"/>
          <w:bCs w:val="0"/>
          <w:sz w:val="24"/>
          <w:highlight w:val="none"/>
        </w:rPr>
      </w:pPr>
      <w:r>
        <w:rPr>
          <w:rFonts w:hint="eastAsia"/>
          <w:b w:val="0"/>
          <w:bCs w:val="0"/>
          <w:sz w:val="24"/>
          <w:highlight w:val="none"/>
          <w:lang w:val="en-US" w:eastAsia="zh-CN"/>
        </w:rPr>
        <w:t xml:space="preserve">    </w:t>
      </w:r>
      <w:r>
        <w:rPr>
          <w:rFonts w:hint="eastAsia"/>
          <w:b w:val="0"/>
          <w:bCs w:val="0"/>
          <w:sz w:val="24"/>
          <w:highlight w:val="none"/>
        </w:rPr>
        <w:t>基本掌握调查评价区的地下水补径排条件和地下水环境质量现状。</w:t>
      </w:r>
    </w:p>
    <w:p>
      <w:pPr>
        <w:keepNext w:val="0"/>
        <w:keepLines w:val="0"/>
        <w:pageBreakBefore w:val="0"/>
        <w:widowControl w:val="0"/>
        <w:kinsoku/>
        <w:wordWrap/>
        <w:overflowPunct/>
        <w:topLinePunct w:val="0"/>
        <w:autoSpaceDE w:val="0"/>
        <w:autoSpaceDN w:val="0"/>
        <w:bidi w:val="0"/>
        <w:adjustRightInd/>
        <w:snapToGrid/>
        <w:spacing w:line="480" w:lineRule="exact"/>
        <w:textAlignment w:val="auto"/>
        <w:rPr>
          <w:rFonts w:hint="eastAsia"/>
          <w:b w:val="0"/>
          <w:bCs w:val="0"/>
          <w:sz w:val="24"/>
          <w:highlight w:val="none"/>
        </w:rPr>
      </w:pPr>
      <w:r>
        <w:rPr>
          <w:rFonts w:hint="eastAsia"/>
          <w:b w:val="0"/>
          <w:bCs w:val="0"/>
          <w:sz w:val="24"/>
          <w:highlight w:val="none"/>
          <w:lang w:val="en-US" w:eastAsia="zh-CN"/>
        </w:rPr>
        <w:t xml:space="preserve">    </w:t>
      </w:r>
      <w:r>
        <w:rPr>
          <w:rFonts w:hint="eastAsia"/>
          <w:b w:val="0"/>
          <w:bCs w:val="0"/>
          <w:sz w:val="24"/>
          <w:highlight w:val="none"/>
        </w:rPr>
        <w:t>采用解析法或类比分析法进行地下水影响分析与评价。</w:t>
      </w:r>
    </w:p>
    <w:p>
      <w:pPr>
        <w:keepNext w:val="0"/>
        <w:keepLines w:val="0"/>
        <w:pageBreakBefore w:val="0"/>
        <w:widowControl w:val="0"/>
        <w:kinsoku/>
        <w:wordWrap/>
        <w:overflowPunct/>
        <w:topLinePunct w:val="0"/>
        <w:autoSpaceDE w:val="0"/>
        <w:autoSpaceDN w:val="0"/>
        <w:bidi w:val="0"/>
        <w:adjustRightInd/>
        <w:snapToGrid/>
        <w:spacing w:line="480" w:lineRule="exact"/>
        <w:textAlignment w:val="auto"/>
        <w:rPr>
          <w:rFonts w:hint="eastAsia"/>
          <w:b/>
          <w:bCs/>
          <w:sz w:val="24"/>
          <w:highlight w:val="none"/>
        </w:rPr>
      </w:pPr>
      <w:r>
        <w:rPr>
          <w:rFonts w:hint="eastAsia"/>
          <w:b w:val="0"/>
          <w:bCs w:val="0"/>
          <w:sz w:val="24"/>
          <w:highlight w:val="none"/>
          <w:lang w:val="en-US" w:eastAsia="zh-CN"/>
        </w:rPr>
        <w:t xml:space="preserve">    </w:t>
      </w:r>
      <w:r>
        <w:rPr>
          <w:rFonts w:hint="eastAsia"/>
          <w:b w:val="0"/>
          <w:bCs w:val="0"/>
          <w:sz w:val="24"/>
          <w:highlight w:val="none"/>
        </w:rPr>
        <w:t>提出切实可行的环境保护措施与地下水环境影响跟踪监测计划</w:t>
      </w:r>
      <w:r>
        <w:rPr>
          <w:rFonts w:hint="eastAsia"/>
          <w:b/>
          <w:bCs/>
          <w:sz w:val="24"/>
          <w:highlight w:val="none"/>
        </w:rPr>
        <w:t>。</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sz w:val="24"/>
          <w:highlight w:val="none"/>
          <w:lang w:eastAsia="zh-CN"/>
        </w:rPr>
        <w:t>本项目</w:t>
      </w:r>
      <w:r>
        <w:rPr>
          <w:rFonts w:hint="default" w:ascii="Times New Roman" w:hAnsi="Times New Roman" w:eastAsia="宋体" w:cs="Times New Roman"/>
          <w:color w:val="auto"/>
          <w:sz w:val="24"/>
          <w:highlight w:val="none"/>
          <w:lang w:eastAsia="zh-CN"/>
        </w:rPr>
        <w:t>采用解析法进行地下水影响分析与评价。</w:t>
      </w:r>
    </w:p>
    <w:p>
      <w:pPr>
        <w:keepNext w:val="0"/>
        <w:keepLines w:val="0"/>
        <w:pageBreakBefore w:val="0"/>
        <w:widowControl w:val="0"/>
        <w:tabs>
          <w:tab w:val="left" w:pos="1170"/>
        </w:tabs>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（1）预测情景设定</w:t>
      </w:r>
    </w:p>
    <w:p>
      <w:pPr>
        <w:pageBreakBefore w:val="0"/>
        <w:kinsoku/>
        <w:wordWrap/>
        <w:overflowPunct/>
        <w:topLinePunct w:val="0"/>
        <w:autoSpaceDE/>
        <w:autoSpaceDN/>
        <w:bidi w:val="0"/>
        <w:adjustRightInd/>
        <w:snapToGrid/>
        <w:spacing w:line="360" w:lineRule="auto"/>
        <w:ind w:firstLine="480" w:firstLineChars="200"/>
        <w:jc w:val="both"/>
        <w:rPr>
          <w:rFonts w:hint="default" w:ascii="Times New Roman" w:hAnsi="Times New Roman" w:cs="Times New Roman"/>
          <w:color w:val="auto"/>
          <w:spacing w:val="0"/>
          <w:w w:val="100"/>
          <w:kern w:val="0"/>
          <w:position w:val="0"/>
          <w:sz w:val="24"/>
          <w:szCs w:val="24"/>
          <w:highlight w:val="none"/>
          <w:lang w:val="en-US" w:eastAsia="zh-CN"/>
        </w:rPr>
      </w:pPr>
      <w:r>
        <w:rPr>
          <w:rFonts w:hint="default" w:ascii="Times New Roman" w:hAnsi="Times New Roman" w:cs="Times New Roman"/>
          <w:color w:val="auto"/>
          <w:spacing w:val="0"/>
          <w:w w:val="100"/>
          <w:kern w:val="0"/>
          <w:position w:val="0"/>
          <w:sz w:val="24"/>
          <w:szCs w:val="24"/>
          <w:highlight w:val="none"/>
          <w:lang w:val="en-US" w:eastAsia="zh-CN"/>
        </w:rPr>
        <w:t>项目为水力发电项目，其对地下水的影响主要来自两方面，一是建设项目本身产生的废水，二为</w:t>
      </w:r>
      <w:r>
        <w:rPr>
          <w:rFonts w:hint="eastAsia" w:ascii="Times New Roman" w:hAnsi="Times New Roman" w:cs="Times New Roman"/>
          <w:color w:val="auto"/>
          <w:spacing w:val="0"/>
          <w:w w:val="100"/>
          <w:kern w:val="0"/>
          <w:position w:val="0"/>
          <w:sz w:val="24"/>
          <w:szCs w:val="24"/>
          <w:highlight w:val="none"/>
          <w:lang w:val="en-US" w:eastAsia="zh-CN"/>
        </w:rPr>
        <w:t>橡胶坝</w:t>
      </w:r>
      <w:r>
        <w:rPr>
          <w:rFonts w:hint="default" w:ascii="Times New Roman" w:hAnsi="Times New Roman" w:cs="Times New Roman"/>
          <w:color w:val="auto"/>
          <w:spacing w:val="0"/>
          <w:w w:val="100"/>
          <w:kern w:val="0"/>
          <w:position w:val="0"/>
          <w:sz w:val="24"/>
          <w:szCs w:val="24"/>
          <w:highlight w:val="none"/>
          <w:lang w:val="en-US" w:eastAsia="zh-CN"/>
        </w:rPr>
        <w:t>坝前河段由天然河道变为</w:t>
      </w:r>
      <w:r>
        <w:rPr>
          <w:rFonts w:hint="eastAsia" w:ascii="Times New Roman" w:hAnsi="Times New Roman" w:cs="Times New Roman"/>
          <w:color w:val="auto"/>
          <w:spacing w:val="0"/>
          <w:w w:val="100"/>
          <w:kern w:val="0"/>
          <w:position w:val="0"/>
          <w:sz w:val="24"/>
          <w:szCs w:val="24"/>
          <w:highlight w:val="none"/>
          <w:lang w:val="en-US" w:eastAsia="zh-CN"/>
        </w:rPr>
        <w:t>壅水区</w:t>
      </w:r>
      <w:r>
        <w:rPr>
          <w:rFonts w:hint="default" w:ascii="Times New Roman" w:hAnsi="Times New Roman" w:cs="Times New Roman"/>
          <w:color w:val="auto"/>
          <w:spacing w:val="0"/>
          <w:w w:val="100"/>
          <w:kern w:val="0"/>
          <w:position w:val="0"/>
          <w:sz w:val="24"/>
          <w:szCs w:val="24"/>
          <w:highlight w:val="none"/>
          <w:lang w:val="en-US" w:eastAsia="zh-CN"/>
        </w:rPr>
        <w:t>，水位上涨造成的地下水水位及水质变化。</w:t>
      </w:r>
    </w:p>
    <w:p>
      <w:pPr>
        <w:pageBreakBefore w:val="0"/>
        <w:kinsoku/>
        <w:wordWrap/>
        <w:overflowPunct/>
        <w:topLinePunct w:val="0"/>
        <w:autoSpaceDE/>
        <w:autoSpaceDN/>
        <w:bidi w:val="0"/>
        <w:adjustRightInd/>
        <w:snapToGrid/>
        <w:spacing w:line="360" w:lineRule="auto"/>
        <w:ind w:firstLine="480" w:firstLineChars="200"/>
        <w:jc w:val="both"/>
        <w:rPr>
          <w:rFonts w:hint="default" w:ascii="Times New Roman" w:hAnsi="Times New Roman" w:cs="Times New Roman"/>
          <w:color w:val="auto"/>
          <w:spacing w:val="0"/>
          <w:w w:val="100"/>
          <w:kern w:val="0"/>
          <w:position w:val="0"/>
          <w:sz w:val="24"/>
          <w:szCs w:val="24"/>
          <w:highlight w:val="none"/>
        </w:rPr>
      </w:pPr>
      <w:r>
        <w:rPr>
          <w:rFonts w:hint="default" w:ascii="Times New Roman" w:hAnsi="Times New Roman" w:cs="Times New Roman"/>
          <w:color w:val="auto"/>
          <w:spacing w:val="0"/>
          <w:w w:val="100"/>
          <w:kern w:val="0"/>
          <w:position w:val="0"/>
          <w:sz w:val="24"/>
          <w:szCs w:val="24"/>
          <w:highlight w:val="none"/>
        </w:rPr>
        <w:t>项目坝后一定范围内地下水分布受到了影响，但由于边墩绕渗的缘故，</w:t>
      </w:r>
      <w:r>
        <w:rPr>
          <w:rFonts w:hint="eastAsia" w:ascii="Times New Roman" w:hAnsi="Times New Roman" w:cs="Times New Roman"/>
          <w:color w:val="auto"/>
          <w:spacing w:val="0"/>
          <w:w w:val="100"/>
          <w:kern w:val="0"/>
          <w:position w:val="0"/>
          <w:sz w:val="24"/>
          <w:szCs w:val="24"/>
          <w:highlight w:val="none"/>
          <w:lang w:eastAsia="zh-CN"/>
        </w:rPr>
        <w:t>黎河</w:t>
      </w:r>
      <w:r>
        <w:rPr>
          <w:rFonts w:hint="default" w:ascii="Times New Roman" w:hAnsi="Times New Roman" w:cs="Times New Roman"/>
          <w:color w:val="auto"/>
          <w:spacing w:val="0"/>
          <w:w w:val="100"/>
          <w:kern w:val="0"/>
          <w:position w:val="0"/>
          <w:sz w:val="24"/>
          <w:szCs w:val="24"/>
          <w:highlight w:val="none"/>
        </w:rPr>
        <w:t>地层中承压含水层地下水与河水之间的动态互补关系并没有明显改变，潜水含水层中潜水受到的影响更小。</w:t>
      </w:r>
    </w:p>
    <w:p>
      <w:pPr>
        <w:pageBreakBefore w:val="0"/>
        <w:kinsoku/>
        <w:wordWrap/>
        <w:overflowPunct/>
        <w:topLinePunct w:val="0"/>
        <w:autoSpaceDE/>
        <w:autoSpaceDN/>
        <w:bidi w:val="0"/>
        <w:adjustRightInd/>
        <w:snapToGrid/>
        <w:spacing w:line="360" w:lineRule="auto"/>
        <w:ind w:firstLine="480" w:firstLineChars="20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pacing w:val="0"/>
          <w:w w:val="100"/>
          <w:kern w:val="0"/>
          <w:position w:val="0"/>
          <w:sz w:val="24"/>
          <w:szCs w:val="24"/>
          <w:highlight w:val="none"/>
        </w:rPr>
        <w:t>另外项目仅产生少量生活污水，其污染物组分简单，</w:t>
      </w:r>
      <w:r>
        <w:rPr>
          <w:rFonts w:hint="default" w:ascii="Times New Roman" w:hAnsi="Times New Roman" w:cs="Times New Roman"/>
          <w:color w:val="auto"/>
          <w:sz w:val="24"/>
          <w:szCs w:val="24"/>
          <w:highlight w:val="none"/>
        </w:rPr>
        <w:t>项目生活污水产生量较少，经化粪池处理后</w:t>
      </w:r>
      <w:r>
        <w:rPr>
          <w:rFonts w:hint="eastAsia" w:ascii="Times New Roman" w:hAnsi="Times New Roman" w:cs="Times New Roman"/>
          <w:color w:val="auto"/>
          <w:sz w:val="24"/>
          <w:szCs w:val="24"/>
          <w:highlight w:val="none"/>
          <w:lang w:eastAsia="zh-CN"/>
        </w:rPr>
        <w:t>送污水处理厂集中处置</w:t>
      </w:r>
      <w:r>
        <w:rPr>
          <w:rFonts w:hint="default" w:ascii="Times New Roman" w:hAnsi="Times New Roman" w:cs="Times New Roman"/>
          <w:color w:val="auto"/>
          <w:sz w:val="24"/>
          <w:szCs w:val="24"/>
          <w:highlight w:val="none"/>
        </w:rPr>
        <w:t>，不外排。本项目</w:t>
      </w:r>
      <w:r>
        <w:rPr>
          <w:rFonts w:hint="default" w:ascii="Times New Roman" w:hAnsi="Times New Roman" w:cs="Times New Roman"/>
          <w:color w:val="auto"/>
          <w:sz w:val="24"/>
          <w:szCs w:val="24"/>
          <w:highlight w:val="none"/>
          <w:lang w:val="en-US" w:eastAsia="zh-CN"/>
        </w:rPr>
        <w:t>生活污水</w:t>
      </w:r>
      <w:r>
        <w:rPr>
          <w:rFonts w:hint="eastAsia" w:cs="Times New Roman"/>
          <w:color w:val="auto"/>
          <w:sz w:val="24"/>
          <w:szCs w:val="24"/>
          <w:highlight w:val="none"/>
          <w:lang w:val="en-US" w:eastAsia="zh-CN"/>
        </w:rPr>
        <w:t>对地下水不会</w:t>
      </w:r>
      <w:r>
        <w:rPr>
          <w:rFonts w:hint="default" w:ascii="Times New Roman" w:hAnsi="Times New Roman" w:cs="Times New Roman"/>
          <w:color w:val="auto"/>
          <w:sz w:val="24"/>
          <w:szCs w:val="24"/>
          <w:highlight w:val="none"/>
        </w:rPr>
        <w:t>产生影响。</w:t>
      </w:r>
    </w:p>
    <w:p>
      <w:pPr>
        <w:pageBreakBefore w:val="0"/>
        <w:kinsoku/>
        <w:wordWrap/>
        <w:overflowPunct/>
        <w:topLinePunct w:val="0"/>
        <w:autoSpaceDE/>
        <w:autoSpaceDN/>
        <w:bidi w:val="0"/>
        <w:adjustRightInd/>
        <w:snapToGrid/>
        <w:spacing w:line="360" w:lineRule="auto"/>
        <w:ind w:firstLine="480" w:firstLineChars="200"/>
        <w:jc w:val="both"/>
        <w:rPr>
          <w:rFonts w:hint="default" w:ascii="Times New Roman" w:hAnsi="Times New Roman" w:cs="Times New Roman"/>
          <w:color w:val="auto"/>
          <w:spacing w:val="0"/>
          <w:w w:val="100"/>
          <w:kern w:val="0"/>
          <w:position w:val="0"/>
          <w:sz w:val="24"/>
          <w:szCs w:val="24"/>
          <w:highlight w:val="none"/>
        </w:rPr>
      </w:pPr>
      <w:r>
        <w:rPr>
          <w:rFonts w:hint="default" w:ascii="Times New Roman" w:hAnsi="Times New Roman" w:cs="Times New Roman"/>
          <w:color w:val="auto"/>
          <w:spacing w:val="0"/>
          <w:w w:val="100"/>
          <w:kern w:val="0"/>
          <w:position w:val="0"/>
          <w:sz w:val="24"/>
          <w:szCs w:val="24"/>
          <w:highlight w:val="none"/>
        </w:rPr>
        <w:t>危险废物收集后存放于</w:t>
      </w:r>
      <w:r>
        <w:rPr>
          <w:rFonts w:hint="default" w:ascii="Times New Roman" w:hAnsi="Times New Roman" w:cs="Times New Roman"/>
          <w:color w:val="auto"/>
          <w:spacing w:val="0"/>
          <w:w w:val="100"/>
          <w:kern w:val="0"/>
          <w:position w:val="0"/>
          <w:sz w:val="24"/>
          <w:szCs w:val="24"/>
          <w:highlight w:val="none"/>
          <w:lang w:val="en-US" w:eastAsia="zh-CN"/>
        </w:rPr>
        <w:t>危险废物暂存间</w:t>
      </w:r>
      <w:r>
        <w:rPr>
          <w:rFonts w:hint="default" w:ascii="Times New Roman" w:hAnsi="Times New Roman" w:cs="Times New Roman"/>
          <w:color w:val="auto"/>
          <w:spacing w:val="0"/>
          <w:w w:val="100"/>
          <w:kern w:val="0"/>
          <w:position w:val="0"/>
          <w:sz w:val="24"/>
          <w:szCs w:val="24"/>
          <w:highlight w:val="none"/>
        </w:rPr>
        <w:t>。厂区内可能露天堆积的固体废物主要是生活垃圾以及打捞垃圾，如不及时合理处置，经降水的淋溶可导致地下水中的溶解性固形物、总硬度、氯化物和硝酸盐等含量的增加。同时，垃圾分解出来的各种酸、无机物和有机物长期与黄土状土发生作用，还会使土的性质发生变化，如强度降低、土的结构改变，渗透性增强等，这些都将会对深层地下水的污染。</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color w:val="auto"/>
          <w:spacing w:val="0"/>
          <w:w w:val="100"/>
          <w:kern w:val="0"/>
          <w:position w:val="0"/>
          <w:sz w:val="24"/>
          <w:szCs w:val="24"/>
          <w:highlight w:val="none"/>
        </w:rPr>
      </w:pPr>
      <w:r>
        <w:rPr>
          <w:rFonts w:hint="default" w:ascii="Times New Roman" w:hAnsi="Times New Roman" w:cs="Times New Roman"/>
          <w:color w:val="auto"/>
          <w:spacing w:val="0"/>
          <w:w w:val="100"/>
          <w:kern w:val="0"/>
          <w:position w:val="0"/>
          <w:sz w:val="24"/>
          <w:szCs w:val="24"/>
          <w:highlight w:val="none"/>
        </w:rPr>
        <w:t>因此对于本项目而言，固体废物是否对当地地下水构成影响，关键在于对危险废物、一般固废和生活垃圾的管理措施是否到位，项目危险废物由桶装后暂存于厂区危废</w:t>
      </w:r>
      <w:r>
        <w:rPr>
          <w:rFonts w:hint="eastAsia" w:ascii="Times New Roman" w:hAnsi="Times New Roman" w:cs="Times New Roman"/>
          <w:color w:val="auto"/>
          <w:spacing w:val="0"/>
          <w:w w:val="100"/>
          <w:kern w:val="0"/>
          <w:position w:val="0"/>
          <w:sz w:val="24"/>
          <w:szCs w:val="24"/>
          <w:highlight w:val="none"/>
          <w:lang w:eastAsia="zh-CN"/>
        </w:rPr>
        <w:t>间</w:t>
      </w:r>
      <w:r>
        <w:rPr>
          <w:rFonts w:hint="default" w:ascii="Times New Roman" w:hAnsi="Times New Roman" w:cs="Times New Roman"/>
          <w:color w:val="auto"/>
          <w:spacing w:val="0"/>
          <w:w w:val="100"/>
          <w:kern w:val="0"/>
          <w:position w:val="0"/>
          <w:sz w:val="24"/>
          <w:szCs w:val="24"/>
          <w:highlight w:val="none"/>
        </w:rPr>
        <w:t>，定期由有资质的危废处置</w:t>
      </w:r>
      <w:r>
        <w:rPr>
          <w:rFonts w:hint="default" w:ascii="Times New Roman" w:hAnsi="Times New Roman" w:cs="Times New Roman"/>
          <w:color w:val="auto"/>
          <w:spacing w:val="0"/>
          <w:w w:val="100"/>
          <w:kern w:val="0"/>
          <w:position w:val="0"/>
          <w:sz w:val="24"/>
          <w:szCs w:val="24"/>
          <w:highlight w:val="none"/>
          <w:lang w:val="en-US" w:eastAsia="zh-CN"/>
        </w:rPr>
        <w:t>单位外运</w:t>
      </w:r>
      <w:r>
        <w:rPr>
          <w:rFonts w:hint="default" w:ascii="Times New Roman" w:hAnsi="Times New Roman" w:cs="Times New Roman"/>
          <w:color w:val="auto"/>
          <w:spacing w:val="0"/>
          <w:w w:val="100"/>
          <w:kern w:val="0"/>
          <w:position w:val="0"/>
          <w:sz w:val="24"/>
          <w:szCs w:val="24"/>
          <w:highlight w:val="none"/>
        </w:rPr>
        <w:t>处置，生活垃圾、打捞垃圾交由本地环卫部门清运处理，所有固废均可以得到合理处置，厂区危废贮存间做好防雨、防渗处理，就基本可以解决固废污染地下水的问题。</w:t>
      </w:r>
    </w:p>
    <w:p>
      <w:pPr>
        <w:keepNext w:val="0"/>
        <w:keepLines w:val="0"/>
        <w:pageBreakBefore w:val="0"/>
        <w:widowControl w:val="0"/>
        <w:tabs>
          <w:tab w:val="left" w:pos="1170"/>
        </w:tabs>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依据《环境影响评价技术导则-总纲（HJ2.1-2016）》要求本项目对地下水环境的影响应从正常工况和非正常工况进行模拟预测。</w:t>
      </w:r>
    </w:p>
    <w:p>
      <w:pPr>
        <w:keepNext w:val="0"/>
        <w:keepLines w:val="0"/>
        <w:pageBreakBefore w:val="0"/>
        <w:widowControl w:val="0"/>
        <w:tabs>
          <w:tab w:val="left" w:pos="1170"/>
        </w:tabs>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①正常工况：</w:t>
      </w:r>
    </w:p>
    <w:p>
      <w:pPr>
        <w:keepNext w:val="0"/>
        <w:keepLines w:val="0"/>
        <w:pageBreakBefore w:val="0"/>
        <w:widowControl w:val="0"/>
        <w:tabs>
          <w:tab w:val="left" w:pos="1170"/>
        </w:tabs>
        <w:kinsoku/>
        <w:wordWrap/>
        <w:overflowPunct/>
        <w:topLinePunct w:val="0"/>
        <w:autoSpaceDE/>
        <w:autoSpaceDN/>
        <w:bidi w:val="0"/>
        <w:adjustRightInd/>
        <w:snapToGrid/>
        <w:spacing w:line="480" w:lineRule="exact"/>
        <w:ind w:firstLine="480" w:firstLineChars="200"/>
        <w:jc w:val="left"/>
        <w:textAlignment w:val="auto"/>
        <w:outlineLvl w:val="9"/>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在正常状况下，本项目产生的污染物从源头和末端均得到控制，池体和地面经防渗处理，没有污染地下水的通道，污染物污染地下水的可能性很小。</w:t>
      </w:r>
    </w:p>
    <w:p>
      <w:pPr>
        <w:keepNext w:val="0"/>
        <w:keepLines w:val="0"/>
        <w:pageBreakBefore w:val="0"/>
        <w:widowControl w:val="0"/>
        <w:tabs>
          <w:tab w:val="left" w:pos="1170"/>
        </w:tabs>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因此，本项目不进行正常状况下的情景预测。</w:t>
      </w:r>
    </w:p>
    <w:p>
      <w:pPr>
        <w:keepNext w:val="0"/>
        <w:keepLines w:val="0"/>
        <w:pageBreakBefore w:val="0"/>
        <w:widowControl w:val="0"/>
        <w:tabs>
          <w:tab w:val="left" w:pos="1170"/>
        </w:tabs>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②非正常工况</w:t>
      </w:r>
    </w:p>
    <w:p>
      <w:pPr>
        <w:keepNext w:val="0"/>
        <w:keepLines w:val="0"/>
        <w:pageBreakBefore w:val="0"/>
        <w:widowControl w:val="0"/>
        <w:tabs>
          <w:tab w:val="left" w:pos="1170"/>
        </w:tabs>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kern w:val="2"/>
          <w:sz w:val="24"/>
          <w:szCs w:val="24"/>
          <w:highlight w:val="none"/>
          <w:lang w:val="en-US" w:eastAsia="zh-CN" w:bidi="ar-SA"/>
        </w:rPr>
        <w:t>所谓非正常工况是指</w:t>
      </w:r>
      <w:r>
        <w:rPr>
          <w:rFonts w:hint="default" w:ascii="Times New Roman" w:hAnsi="Times New Roman" w:eastAsia="宋体" w:cs="Times New Roman"/>
          <w:color w:val="auto"/>
          <w:sz w:val="24"/>
          <w:highlight w:val="none"/>
        </w:rPr>
        <w:t>建设项目的工艺设备或地下水环境保护措施因系统老化、腐蚀等原因不能正常运行或保护效果达不到设计要求时的运行状况。针对本项目地下水环境来说主要是指项目在生产运行期间</w:t>
      </w:r>
      <w:r>
        <w:rPr>
          <w:rFonts w:hint="default" w:ascii="Times New Roman" w:hAnsi="Times New Roman" w:eastAsia="宋体" w:cs="Times New Roman"/>
          <w:color w:val="auto"/>
          <w:sz w:val="24"/>
          <w:highlight w:val="none"/>
          <w:lang w:eastAsia="zh-CN"/>
        </w:rPr>
        <w:t>浓密池泄露</w:t>
      </w:r>
      <w:r>
        <w:rPr>
          <w:rFonts w:hint="default" w:ascii="Times New Roman" w:hAnsi="Times New Roman" w:eastAsia="宋体" w:cs="Times New Roman"/>
          <w:color w:val="auto"/>
          <w:sz w:val="24"/>
          <w:highlight w:val="none"/>
        </w:rPr>
        <w:t>，从而对地下水环境造成影响的情况。</w:t>
      </w:r>
    </w:p>
    <w:p>
      <w:pPr>
        <w:keepNext w:val="0"/>
        <w:keepLines w:val="0"/>
        <w:pageBreakBefore w:val="0"/>
        <w:widowControl w:val="0"/>
        <w:tabs>
          <w:tab w:val="left" w:pos="1170"/>
        </w:tabs>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③预测因子筛选</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设定非正常状况情景设定为</w:t>
      </w:r>
      <w:r>
        <w:rPr>
          <w:rFonts w:hint="eastAsia" w:ascii="Times New Roman" w:hAnsi="Times New Roman" w:cs="Times New Roman"/>
          <w:color w:val="auto"/>
          <w:sz w:val="24"/>
          <w:highlight w:val="none"/>
          <w:lang w:eastAsia="zh-CN"/>
        </w:rPr>
        <w:t>危废间</w:t>
      </w:r>
      <w:r>
        <w:rPr>
          <w:rFonts w:hint="default" w:ascii="Times New Roman" w:hAnsi="Times New Roman" w:cs="Times New Roman"/>
          <w:color w:val="auto"/>
          <w:sz w:val="24"/>
          <w:highlight w:val="none"/>
        </w:rPr>
        <w:t>发生滴漏，污染物直接穿透包气带进入地下水运移的情景设定防渗过程中检测发现及修复时间为</w:t>
      </w:r>
      <w:r>
        <w:rPr>
          <w:rFonts w:hint="default" w:ascii="Times New Roman" w:hAnsi="Times New Roman" w:cs="Times New Roman"/>
          <w:color w:val="auto"/>
          <w:sz w:val="24"/>
          <w:highlight w:val="none"/>
          <w:lang w:val="en-US" w:eastAsia="zh-CN"/>
        </w:rPr>
        <w:t>1d</w:t>
      </w:r>
      <w:r>
        <w:rPr>
          <w:rFonts w:hint="default" w:ascii="Times New Roman" w:hAnsi="Times New Roman" w:cs="Times New Roman"/>
          <w:color w:val="auto"/>
          <w:sz w:val="24"/>
          <w:highlight w:val="none"/>
        </w:rPr>
        <w:t>；破裂泄漏</w:t>
      </w:r>
      <w:r>
        <w:rPr>
          <w:rFonts w:hint="eastAsia" w:ascii="Times New Roman" w:hAnsi="Times New Roman" w:cs="Times New Roman"/>
          <w:color w:val="auto"/>
          <w:sz w:val="24"/>
          <w:highlight w:val="none"/>
          <w:lang w:eastAsia="zh-CN"/>
        </w:rPr>
        <w:t>面积</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0.1mm×50mm</w:t>
      </w:r>
      <w:r>
        <w:rPr>
          <w:rFonts w:hint="default" w:ascii="Times New Roman" w:hAnsi="Times New Roman" w:cs="Times New Roman"/>
          <w:color w:val="auto"/>
          <w:sz w:val="24"/>
          <w:highlight w:val="none"/>
        </w:rPr>
        <w:t>），则泄漏量如下：</w:t>
      </w:r>
    </w:p>
    <w:p>
      <w:pPr>
        <w:keepNext w:val="0"/>
        <w:keepLines w:val="0"/>
        <w:pageBreakBefore w:val="0"/>
        <w:widowControl w:val="0"/>
        <w:kinsoku/>
        <w:wordWrap/>
        <w:overflowPunct/>
        <w:topLinePunct w:val="0"/>
        <w:autoSpaceDE/>
        <w:autoSpaceDN/>
        <w:bidi w:val="0"/>
        <w:adjustRightInd/>
        <w:snapToGrid/>
        <w:spacing w:line="480" w:lineRule="exact"/>
        <w:ind w:firstLine="960" w:firstLineChars="400"/>
        <w:jc w:val="left"/>
        <w:textAlignment w:val="auto"/>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V=0.00</w:t>
      </w:r>
      <w:r>
        <w:rPr>
          <w:rFonts w:hint="eastAsia" w:ascii="Times New Roman" w:hAnsi="Times New Roman" w:cs="Times New Roman"/>
          <w:color w:val="auto"/>
          <w:sz w:val="24"/>
          <w:szCs w:val="22"/>
          <w:highlight w:val="none"/>
          <w:lang w:val="en-US" w:eastAsia="zh-CN"/>
        </w:rPr>
        <w:t>01</w:t>
      </w:r>
      <w:r>
        <w:rPr>
          <w:rFonts w:hint="default" w:ascii="Times New Roman" w:hAnsi="Times New Roman" w:cs="Times New Roman"/>
          <w:color w:val="auto"/>
          <w:sz w:val="24"/>
          <w:szCs w:val="22"/>
          <w:highlight w:val="none"/>
        </w:rPr>
        <w:t>×</w:t>
      </w:r>
      <w:r>
        <w:rPr>
          <w:rFonts w:hint="eastAsia" w:ascii="Times New Roman" w:hAnsi="Times New Roman" w:cs="Times New Roman"/>
          <w:color w:val="auto"/>
          <w:sz w:val="24"/>
          <w:szCs w:val="22"/>
          <w:highlight w:val="none"/>
          <w:lang w:val="en-US" w:eastAsia="zh-CN"/>
        </w:rPr>
        <w:t>0.05</w:t>
      </w:r>
      <w:r>
        <w:rPr>
          <w:rFonts w:hint="default" w:ascii="Times New Roman" w:hAnsi="Times New Roman" w:cs="Times New Roman"/>
          <w:color w:val="auto"/>
          <w:sz w:val="24"/>
          <w:szCs w:val="22"/>
          <w:highlight w:val="none"/>
        </w:rPr>
        <w:t>×0.5m/</w:t>
      </w:r>
      <w:r>
        <w:rPr>
          <w:rFonts w:hint="eastAsia" w:ascii="Times New Roman" w:hAnsi="Times New Roman" w:cs="Times New Roman"/>
          <w:color w:val="auto"/>
          <w:sz w:val="24"/>
          <w:szCs w:val="22"/>
          <w:highlight w:val="none"/>
          <w:lang w:val="en-US" w:eastAsia="zh-CN"/>
        </w:rPr>
        <w:t>min</w:t>
      </w:r>
      <w:r>
        <w:rPr>
          <w:rFonts w:hint="default" w:ascii="Times New Roman" w:hAnsi="Times New Roman" w:cs="Times New Roman"/>
          <w:color w:val="auto"/>
          <w:sz w:val="24"/>
          <w:szCs w:val="22"/>
          <w:highlight w:val="none"/>
        </w:rPr>
        <w:t>×60</w:t>
      </w:r>
      <w:r>
        <w:rPr>
          <w:rFonts w:hint="eastAsia" w:ascii="Times New Roman" w:hAnsi="Times New Roman" w:cs="Times New Roman"/>
          <w:color w:val="auto"/>
          <w:sz w:val="24"/>
          <w:szCs w:val="22"/>
          <w:highlight w:val="none"/>
          <w:lang w:val="en-US" w:eastAsia="zh-CN"/>
        </w:rPr>
        <w:t>min</w:t>
      </w:r>
      <w:r>
        <w:rPr>
          <w:rFonts w:hint="default" w:ascii="Times New Roman" w:hAnsi="Times New Roman" w:cs="Times New Roman"/>
          <w:color w:val="auto"/>
          <w:sz w:val="24"/>
          <w:szCs w:val="22"/>
          <w:highlight w:val="none"/>
        </w:rPr>
        <w:t>×24h=</w:t>
      </w:r>
      <w:r>
        <w:rPr>
          <w:rFonts w:hint="eastAsia" w:ascii="Times New Roman" w:hAnsi="Times New Roman" w:cs="Times New Roman"/>
          <w:color w:val="auto"/>
          <w:sz w:val="24"/>
          <w:szCs w:val="22"/>
          <w:highlight w:val="none"/>
          <w:lang w:val="en-US" w:eastAsia="zh-CN"/>
        </w:rPr>
        <w:t>0.0036</w:t>
      </w:r>
      <w:r>
        <w:rPr>
          <w:rFonts w:hint="default" w:ascii="Times New Roman" w:hAnsi="Times New Roman" w:cs="Times New Roman"/>
          <w:color w:val="auto"/>
          <w:sz w:val="24"/>
          <w:szCs w:val="22"/>
          <w:highlight w:val="none"/>
        </w:rPr>
        <w:t>m</w:t>
      </w:r>
      <w:r>
        <w:rPr>
          <w:rFonts w:hint="default" w:ascii="Times New Roman" w:hAnsi="Times New Roman" w:cs="Times New Roman"/>
          <w:color w:val="auto"/>
          <w:sz w:val="24"/>
          <w:szCs w:val="22"/>
          <w:highlight w:val="none"/>
          <w:vertAlign w:val="superscript"/>
        </w:rPr>
        <w:t>3</w:t>
      </w:r>
      <w:r>
        <w:rPr>
          <w:rFonts w:hint="default" w:ascii="Times New Roman" w:hAnsi="Times New Roman" w:cs="Times New Roman"/>
          <w:color w:val="auto"/>
          <w:sz w:val="24"/>
          <w:szCs w:val="22"/>
          <w:highlight w:val="none"/>
        </w:rPr>
        <w:t>/d</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假设渗漏量的</w:t>
      </w:r>
      <w:r>
        <w:rPr>
          <w:rFonts w:hint="default" w:ascii="Times New Roman" w:hAnsi="Times New Roman" w:cs="Times New Roman"/>
          <w:color w:val="auto"/>
          <w:sz w:val="24"/>
          <w:szCs w:val="22"/>
          <w:highlight w:val="none"/>
          <w:lang w:val="en-US" w:eastAsia="zh-CN"/>
        </w:rPr>
        <w:t>10%</w:t>
      </w:r>
      <w:r>
        <w:rPr>
          <w:rFonts w:hint="default" w:ascii="Times New Roman" w:hAnsi="Times New Roman" w:cs="Times New Roman"/>
          <w:color w:val="auto"/>
          <w:sz w:val="24"/>
          <w:szCs w:val="22"/>
          <w:highlight w:val="none"/>
        </w:rPr>
        <w:t>通过包气带进入地下水，则其量为：</w:t>
      </w:r>
    </w:p>
    <w:p>
      <w:pPr>
        <w:keepNext w:val="0"/>
        <w:keepLines w:val="0"/>
        <w:pageBreakBefore w:val="0"/>
        <w:widowControl w:val="0"/>
        <w:kinsoku/>
        <w:wordWrap/>
        <w:overflowPunct/>
        <w:topLinePunct w:val="0"/>
        <w:autoSpaceDE/>
        <w:autoSpaceDN/>
        <w:bidi w:val="0"/>
        <w:adjustRightInd/>
        <w:snapToGrid/>
        <w:spacing w:line="480" w:lineRule="exact"/>
        <w:ind w:firstLine="960" w:firstLineChars="400"/>
        <w:jc w:val="left"/>
        <w:textAlignment w:val="auto"/>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lang w:val="en-US" w:eastAsia="zh-CN"/>
        </w:rPr>
        <w:t>0.</w:t>
      </w:r>
      <w:r>
        <w:rPr>
          <w:rFonts w:hint="eastAsia" w:ascii="Times New Roman" w:hAnsi="Times New Roman" w:cs="Times New Roman"/>
          <w:color w:val="auto"/>
          <w:sz w:val="24"/>
          <w:szCs w:val="22"/>
          <w:highlight w:val="none"/>
          <w:lang w:val="en-US" w:eastAsia="zh-CN"/>
        </w:rPr>
        <w:t>0036</w:t>
      </w:r>
      <w:r>
        <w:rPr>
          <w:rFonts w:hint="default" w:ascii="Times New Roman" w:hAnsi="Times New Roman" w:cs="Times New Roman"/>
          <w:color w:val="auto"/>
          <w:sz w:val="24"/>
          <w:szCs w:val="22"/>
          <w:highlight w:val="none"/>
        </w:rPr>
        <w:t>m</w:t>
      </w:r>
      <w:r>
        <w:rPr>
          <w:rFonts w:hint="default" w:ascii="Times New Roman" w:hAnsi="Times New Roman" w:cs="Times New Roman"/>
          <w:color w:val="auto"/>
          <w:sz w:val="24"/>
          <w:szCs w:val="22"/>
          <w:highlight w:val="none"/>
          <w:vertAlign w:val="superscript"/>
        </w:rPr>
        <w:t>3</w:t>
      </w:r>
      <w:r>
        <w:rPr>
          <w:rFonts w:hint="default" w:ascii="Times New Roman" w:hAnsi="Times New Roman" w:cs="Times New Roman"/>
          <w:color w:val="auto"/>
          <w:sz w:val="24"/>
          <w:szCs w:val="22"/>
          <w:highlight w:val="none"/>
        </w:rPr>
        <w:t>/d×</w:t>
      </w:r>
      <w:r>
        <w:rPr>
          <w:rFonts w:hint="default" w:ascii="Times New Roman" w:hAnsi="Times New Roman" w:cs="Times New Roman"/>
          <w:color w:val="auto"/>
          <w:sz w:val="24"/>
          <w:szCs w:val="22"/>
          <w:highlight w:val="none"/>
          <w:lang w:val="en-US" w:eastAsia="zh-CN"/>
        </w:rPr>
        <w:t>10</w:t>
      </w:r>
      <w:r>
        <w:rPr>
          <w:rFonts w:hint="default" w:ascii="Times New Roman" w:hAnsi="Times New Roman" w:cs="Times New Roman"/>
          <w:color w:val="auto"/>
          <w:sz w:val="24"/>
          <w:szCs w:val="22"/>
          <w:highlight w:val="none"/>
        </w:rPr>
        <w:t>%=</w:t>
      </w:r>
      <w:r>
        <w:rPr>
          <w:rFonts w:hint="eastAsia" w:ascii="Times New Roman" w:hAnsi="Times New Roman" w:cs="Times New Roman"/>
          <w:color w:val="auto"/>
          <w:sz w:val="24"/>
          <w:szCs w:val="22"/>
          <w:highlight w:val="none"/>
          <w:lang w:val="en-US" w:eastAsia="zh-CN"/>
        </w:rPr>
        <w:t>0.00036</w:t>
      </w:r>
      <w:r>
        <w:rPr>
          <w:rFonts w:hint="default" w:ascii="Times New Roman" w:hAnsi="Times New Roman" w:cs="Times New Roman"/>
          <w:color w:val="auto"/>
          <w:sz w:val="24"/>
          <w:szCs w:val="22"/>
          <w:highlight w:val="none"/>
        </w:rPr>
        <w:t>m</w:t>
      </w:r>
      <w:r>
        <w:rPr>
          <w:rFonts w:hint="default" w:ascii="Times New Roman" w:hAnsi="Times New Roman" w:cs="Times New Roman"/>
          <w:color w:val="auto"/>
          <w:sz w:val="24"/>
          <w:szCs w:val="22"/>
          <w:highlight w:val="none"/>
          <w:vertAlign w:val="superscript"/>
        </w:rPr>
        <w:t>3</w:t>
      </w:r>
      <w:r>
        <w:rPr>
          <w:rFonts w:hint="default" w:ascii="Times New Roman" w:hAnsi="Times New Roman" w:cs="Times New Roman"/>
          <w:color w:val="auto"/>
          <w:sz w:val="24"/>
          <w:szCs w:val="22"/>
          <w:highlight w:val="none"/>
        </w:rPr>
        <w:t>/d</w:t>
      </w:r>
    </w:p>
    <w:p>
      <w:pPr>
        <w:pStyle w:val="7"/>
        <w:keepNext w:val="0"/>
        <w:keepLines w:val="0"/>
        <w:pageBreakBefore w:val="0"/>
        <w:widowControl w:val="0"/>
        <w:kinsoku/>
        <w:wordWrap/>
        <w:overflowPunct/>
        <w:topLinePunct w:val="0"/>
        <w:autoSpaceDE/>
        <w:autoSpaceDN/>
        <w:bidi w:val="0"/>
        <w:adjustRightInd/>
        <w:snapToGrid/>
        <w:spacing w:line="480" w:lineRule="exact"/>
        <w:ind w:firstLine="960" w:firstLineChars="400"/>
        <w:textAlignment w:val="auto"/>
        <w:rPr>
          <w:rFonts w:hint="default" w:ascii="Times New Roman" w:hAnsi="Times New Roman" w:cs="Times New Roman"/>
          <w:color w:val="auto"/>
          <w:highlight w:val="none"/>
        </w:rPr>
      </w:pPr>
      <w:r>
        <w:rPr>
          <w:rFonts w:hint="default" w:ascii="Times New Roman" w:hAnsi="Times New Roman" w:cs="Times New Roman"/>
          <w:color w:val="auto"/>
          <w:sz w:val="24"/>
          <w:szCs w:val="22"/>
          <w:highlight w:val="none"/>
        </w:rPr>
        <w:t>0.</w:t>
      </w:r>
      <w:r>
        <w:rPr>
          <w:rFonts w:hint="default" w:ascii="Times New Roman" w:hAnsi="Times New Roman" w:cs="Times New Roman"/>
          <w:color w:val="auto"/>
          <w:sz w:val="24"/>
          <w:szCs w:val="22"/>
          <w:highlight w:val="none"/>
          <w:lang w:val="en-US" w:eastAsia="zh-CN"/>
        </w:rPr>
        <w:t>0</w:t>
      </w:r>
      <w:r>
        <w:rPr>
          <w:rFonts w:hint="eastAsia" w:ascii="Times New Roman" w:hAnsi="Times New Roman" w:cs="Times New Roman"/>
          <w:color w:val="auto"/>
          <w:sz w:val="24"/>
          <w:szCs w:val="22"/>
          <w:highlight w:val="none"/>
          <w:lang w:val="en-US" w:eastAsia="zh-CN"/>
        </w:rPr>
        <w:t>0036</w:t>
      </w:r>
      <w:r>
        <w:rPr>
          <w:rFonts w:hint="default" w:ascii="Times New Roman" w:hAnsi="Times New Roman" w:cs="Times New Roman"/>
          <w:color w:val="auto"/>
          <w:sz w:val="24"/>
          <w:szCs w:val="22"/>
          <w:highlight w:val="none"/>
        </w:rPr>
        <w:t>m</w:t>
      </w:r>
      <w:r>
        <w:rPr>
          <w:rFonts w:hint="default" w:ascii="Times New Roman" w:hAnsi="Times New Roman" w:cs="Times New Roman"/>
          <w:color w:val="auto"/>
          <w:sz w:val="24"/>
          <w:szCs w:val="22"/>
          <w:highlight w:val="none"/>
          <w:vertAlign w:val="superscript"/>
        </w:rPr>
        <w:t>3</w:t>
      </w:r>
      <w:r>
        <w:rPr>
          <w:rFonts w:hint="default" w:ascii="Times New Roman" w:hAnsi="Times New Roman" w:cs="Times New Roman"/>
          <w:color w:val="auto"/>
          <w:sz w:val="24"/>
          <w:szCs w:val="22"/>
          <w:highlight w:val="none"/>
        </w:rPr>
        <w:t>/d×</w:t>
      </w:r>
      <w:r>
        <w:rPr>
          <w:rFonts w:hint="default" w:ascii="Times New Roman" w:hAnsi="Times New Roman" w:eastAsia="宋体" w:cs="Times New Roman"/>
          <w:color w:val="auto"/>
          <w:sz w:val="24"/>
          <w:szCs w:val="22"/>
          <w:highlight w:val="none"/>
          <w:lang w:val="en-US" w:eastAsia="zh-CN"/>
        </w:rPr>
        <w:t>0.</w:t>
      </w:r>
      <w:r>
        <w:rPr>
          <w:rFonts w:hint="eastAsia" w:ascii="Times New Roman" w:hAnsi="Times New Roman" w:eastAsia="宋体" w:cs="Times New Roman"/>
          <w:color w:val="auto"/>
          <w:sz w:val="24"/>
          <w:szCs w:val="22"/>
          <w:highlight w:val="none"/>
          <w:lang w:val="en-US" w:eastAsia="zh-CN"/>
        </w:rPr>
        <w:t>91</w:t>
      </w:r>
      <w:r>
        <w:rPr>
          <w:rFonts w:hint="default" w:ascii="Times New Roman" w:hAnsi="Times New Roman" w:eastAsia="宋体" w:cs="Times New Roman"/>
          <w:color w:val="auto"/>
          <w:sz w:val="24"/>
          <w:szCs w:val="22"/>
          <w:highlight w:val="none"/>
          <w:lang w:val="en-US" w:eastAsia="zh-CN"/>
        </w:rPr>
        <w:t>g/cm</w:t>
      </w:r>
      <w:r>
        <w:rPr>
          <w:rFonts w:hint="default" w:ascii="Times New Roman" w:hAnsi="Times New Roman" w:eastAsia="宋体" w:cs="Times New Roman"/>
          <w:color w:val="auto"/>
          <w:sz w:val="24"/>
          <w:szCs w:val="22"/>
          <w:highlight w:val="none"/>
          <w:vertAlign w:val="superscript"/>
          <w:lang w:val="en-US" w:eastAsia="zh-CN"/>
        </w:rPr>
        <w:t>3</w:t>
      </w:r>
      <w:r>
        <w:rPr>
          <w:rFonts w:hint="default" w:ascii="Times New Roman" w:hAnsi="Times New Roman" w:cs="Times New Roman"/>
          <w:color w:val="auto"/>
          <w:sz w:val="24"/>
          <w:szCs w:val="22"/>
          <w:highlight w:val="none"/>
        </w:rPr>
        <w:t>=</w:t>
      </w:r>
      <w:r>
        <w:rPr>
          <w:rFonts w:hint="eastAsia" w:ascii="Times New Roman" w:hAnsi="Times New Roman" w:eastAsia="宋体" w:cs="Times New Roman"/>
          <w:color w:val="auto"/>
          <w:sz w:val="24"/>
          <w:szCs w:val="22"/>
          <w:highlight w:val="none"/>
          <w:lang w:val="en-US" w:eastAsia="zh-CN"/>
        </w:rPr>
        <w:t>0.32</w:t>
      </w:r>
      <w:r>
        <w:rPr>
          <w:rFonts w:hint="default" w:ascii="Times New Roman" w:hAnsi="Times New Roman" w:eastAsia="宋体" w:cs="Times New Roman"/>
          <w:color w:val="auto"/>
          <w:sz w:val="24"/>
          <w:szCs w:val="22"/>
          <w:highlight w:val="none"/>
          <w:lang w:val="en-US" w:eastAsia="zh-CN"/>
        </w:rPr>
        <w:t>kg/d</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源强核算结果见表</w:t>
      </w:r>
      <w:r>
        <w:rPr>
          <w:rFonts w:hint="eastAsia" w:ascii="Times New Roman" w:hAnsi="Times New Roman" w:cs="Times New Roman"/>
          <w:color w:val="auto"/>
          <w:sz w:val="24"/>
          <w:highlight w:val="none"/>
          <w:lang w:val="en-US" w:eastAsia="zh-CN"/>
        </w:rPr>
        <w:t>5.5-</w:t>
      </w:r>
      <w:r>
        <w:rPr>
          <w:rFonts w:hint="eastAsia" w:cs="Times New Roman"/>
          <w:color w:val="auto"/>
          <w:sz w:val="24"/>
          <w:highlight w:val="none"/>
          <w:lang w:val="en-US" w:eastAsia="zh-CN"/>
        </w:rPr>
        <w:t>1</w:t>
      </w:r>
      <w:r>
        <w:rPr>
          <w:rFonts w:hint="default" w:ascii="Times New Roman" w:hAnsi="Times New Roman" w:cs="Times New Roman"/>
          <w:color w:val="auto"/>
          <w:sz w:val="24"/>
          <w:highlight w:val="none"/>
          <w:lang w:val="en-US" w:eastAsia="zh-CN"/>
        </w:rPr>
        <w:t>。</w:t>
      </w:r>
    </w:p>
    <w:p>
      <w:pPr>
        <w:spacing w:line="440" w:lineRule="exact"/>
        <w:jc w:val="center"/>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表</w:t>
      </w:r>
      <w:r>
        <w:rPr>
          <w:rFonts w:hint="eastAsia" w:ascii="Times New Roman" w:hAnsi="Times New Roman" w:cs="Times New Roman"/>
          <w:b/>
          <w:color w:val="auto"/>
          <w:sz w:val="24"/>
          <w:highlight w:val="none"/>
          <w:lang w:val="en-US" w:eastAsia="zh-CN"/>
        </w:rPr>
        <w:t>5.5-</w:t>
      </w:r>
      <w:r>
        <w:rPr>
          <w:rFonts w:hint="eastAsia" w:cs="Times New Roman"/>
          <w:b/>
          <w:color w:val="auto"/>
          <w:sz w:val="24"/>
          <w:highlight w:val="none"/>
          <w:lang w:val="en-US" w:eastAsia="zh-CN"/>
        </w:rPr>
        <w:t>1</w:t>
      </w:r>
      <w:r>
        <w:rPr>
          <w:rFonts w:hint="default" w:ascii="Times New Roman" w:hAnsi="Times New Roman" w:cs="Times New Roman"/>
          <w:b/>
          <w:color w:val="auto"/>
          <w:sz w:val="24"/>
          <w:highlight w:val="none"/>
        </w:rPr>
        <w:t xml:space="preserve">  非正常</w:t>
      </w:r>
      <w:r>
        <w:rPr>
          <w:rFonts w:hint="default" w:ascii="Times New Roman" w:hAnsi="Times New Roman" w:cs="Times New Roman"/>
          <w:b/>
          <w:color w:val="auto"/>
          <w:sz w:val="24"/>
          <w:highlight w:val="none"/>
          <w:lang w:eastAsia="zh-CN"/>
        </w:rPr>
        <w:t>状</w:t>
      </w:r>
      <w:r>
        <w:rPr>
          <w:rFonts w:hint="default" w:ascii="Times New Roman" w:hAnsi="Times New Roman" w:cs="Times New Roman"/>
          <w:b/>
          <w:color w:val="auto"/>
          <w:sz w:val="24"/>
          <w:highlight w:val="none"/>
        </w:rPr>
        <w:t>况渗漏源强计算一览表</w:t>
      </w:r>
    </w:p>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99"/>
        <w:gridCol w:w="2510"/>
        <w:gridCol w:w="1601"/>
        <w:gridCol w:w="1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2299" w:type="dxa"/>
            <w:noWrap w:val="0"/>
            <w:vAlign w:val="center"/>
          </w:tcPr>
          <w:p>
            <w:pPr>
              <w:spacing w:line="36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预测情景</w:t>
            </w:r>
          </w:p>
        </w:tc>
        <w:tc>
          <w:tcPr>
            <w:tcW w:w="2510" w:type="dxa"/>
            <w:noWrap w:val="0"/>
            <w:vAlign w:val="center"/>
          </w:tcPr>
          <w:p>
            <w:pPr>
              <w:spacing w:line="36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渗漏量(kg/</w:t>
            </w:r>
            <w:r>
              <w:rPr>
                <w:rFonts w:hint="default" w:ascii="Times New Roman" w:hAnsi="Times New Roman" w:cs="Times New Roman"/>
                <w:color w:val="auto"/>
                <w:sz w:val="21"/>
                <w:szCs w:val="21"/>
                <w:highlight w:val="none"/>
                <w:lang w:val="en-US" w:eastAsia="zh-CN"/>
              </w:rPr>
              <w:t>d</w:t>
            </w:r>
            <w:r>
              <w:rPr>
                <w:rFonts w:hint="default" w:ascii="Times New Roman" w:hAnsi="Times New Roman" w:cs="Times New Roman"/>
                <w:color w:val="auto"/>
                <w:sz w:val="21"/>
                <w:szCs w:val="21"/>
                <w:highlight w:val="none"/>
              </w:rPr>
              <w:t>)</w:t>
            </w:r>
          </w:p>
        </w:tc>
        <w:tc>
          <w:tcPr>
            <w:tcW w:w="1601" w:type="dxa"/>
            <w:noWrap w:val="0"/>
            <w:vAlign w:val="center"/>
          </w:tcPr>
          <w:p>
            <w:pPr>
              <w:spacing w:line="36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时间(</w:t>
            </w:r>
            <w:r>
              <w:rPr>
                <w:rFonts w:hint="default" w:ascii="Times New Roman" w:hAnsi="Times New Roman" w:cs="Times New Roman"/>
                <w:color w:val="auto"/>
                <w:sz w:val="21"/>
                <w:szCs w:val="21"/>
                <w:highlight w:val="none"/>
                <w:lang w:val="en-US" w:eastAsia="zh-CN"/>
              </w:rPr>
              <w:t>d</w:t>
            </w:r>
            <w:r>
              <w:rPr>
                <w:rFonts w:hint="default" w:ascii="Times New Roman" w:hAnsi="Times New Roman" w:cs="Times New Roman"/>
                <w:color w:val="auto"/>
                <w:sz w:val="21"/>
                <w:szCs w:val="21"/>
                <w:highlight w:val="none"/>
              </w:rPr>
              <w:t>)</w:t>
            </w:r>
          </w:p>
        </w:tc>
        <w:tc>
          <w:tcPr>
            <w:tcW w:w="1790" w:type="dxa"/>
            <w:noWrap w:val="0"/>
            <w:vAlign w:val="center"/>
          </w:tcPr>
          <w:p>
            <w:pPr>
              <w:spacing w:line="36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源强(kg)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2299" w:type="dxa"/>
            <w:noWrap w:val="0"/>
            <w:vAlign w:val="center"/>
          </w:tcPr>
          <w:p>
            <w:pPr>
              <w:spacing w:line="360" w:lineRule="exact"/>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石油类</w:t>
            </w:r>
          </w:p>
        </w:tc>
        <w:tc>
          <w:tcPr>
            <w:tcW w:w="2510" w:type="dxa"/>
            <w:noWrap w:val="0"/>
            <w:vAlign w:val="center"/>
          </w:tcPr>
          <w:p>
            <w:pPr>
              <w:spacing w:line="36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0.32</w:t>
            </w:r>
          </w:p>
        </w:tc>
        <w:tc>
          <w:tcPr>
            <w:tcW w:w="1601" w:type="dxa"/>
            <w:noWrap w:val="0"/>
            <w:vAlign w:val="center"/>
          </w:tcPr>
          <w:p>
            <w:pPr>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1</w:t>
            </w:r>
          </w:p>
        </w:tc>
        <w:tc>
          <w:tcPr>
            <w:tcW w:w="1790" w:type="dxa"/>
            <w:noWrap w:val="0"/>
            <w:vAlign w:val="center"/>
          </w:tcPr>
          <w:p>
            <w:pPr>
              <w:spacing w:line="36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0.32</w:t>
            </w:r>
          </w:p>
        </w:tc>
      </w:tr>
    </w:tbl>
    <w:p>
      <w:pPr>
        <w:spacing w:line="480" w:lineRule="exact"/>
        <w:ind w:firstLine="470" w:firstLineChars="196"/>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④</w:t>
      </w:r>
      <w:r>
        <w:rPr>
          <w:rFonts w:hint="default" w:ascii="Times New Roman" w:hAnsi="Times New Roman" w:eastAsia="宋体" w:cs="Times New Roman"/>
          <w:color w:val="auto"/>
          <w:sz w:val="24"/>
          <w:highlight w:val="none"/>
        </w:rPr>
        <w:t>预测模式</w:t>
      </w:r>
    </w:p>
    <w:p>
      <w:pPr>
        <w:spacing w:line="480" w:lineRule="exact"/>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非正常工况预测模型采用一维半无线长多孔介质主体，一端定浓度边界。所以选用公式如下：</w:t>
      </w:r>
    </w:p>
    <w:p>
      <w:pPr>
        <w:spacing w:line="480" w:lineRule="exact"/>
        <w:ind w:firstLine="470" w:firstLineChars="196"/>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一维半无限长多孔介质柱体，一端为定浓度边界</w:t>
      </w:r>
    </w:p>
    <w:p>
      <w:pPr>
        <w:keepNext w:val="0"/>
        <w:keepLines w:val="0"/>
        <w:pageBreakBefore w:val="0"/>
        <w:widowControl w:val="0"/>
        <w:kinsoku/>
        <w:wordWrap/>
        <w:overflowPunct/>
        <w:topLinePunct w:val="0"/>
        <w:autoSpaceDE/>
        <w:autoSpaceDN/>
        <w:bidi w:val="0"/>
        <w:adjustRightInd/>
        <w:snapToGrid/>
        <w:spacing w:line="240" w:lineRule="auto"/>
        <w:ind w:firstLine="470" w:firstLineChars="196"/>
        <w:jc w:val="center"/>
        <w:textAlignment w:val="auto"/>
        <w:outlineLvl w:val="9"/>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object>
          <v:shape id="_x0000_i1030" o:spt="75" type="#_x0000_t75" style="height:41.55pt;width:206.8pt;" o:ole="t" fillcolor="#CCE8CF" filled="f" o:preferrelative="t" stroked="f" coordsize="21600,21600">
            <v:path/>
            <v:fill on="f" color2="#CCE8CF" alignshape="1" focussize="0,0"/>
            <v:stroke on="f"/>
            <v:imagedata r:id="rId79" o:title=""/>
            <o:lock v:ext="edit" aspectratio="t"/>
            <w10:wrap type="none"/>
            <w10:anchorlock/>
          </v:shape>
          <o:OLEObject Type="Embed" ProgID="Equation.3" ShapeID="_x0000_i1030" DrawAspect="Content" ObjectID="_1468075730" r:id="rId78">
            <o:LockedField>false</o:LockedField>
          </o:OLEObject>
        </w:object>
      </w:r>
    </w:p>
    <w:p>
      <w:pPr>
        <w:keepNext w:val="0"/>
        <w:keepLines w:val="0"/>
        <w:pageBreakBefore w:val="0"/>
        <w:widowControl w:val="0"/>
        <w:kinsoku/>
        <w:wordWrap/>
        <w:overflowPunct/>
        <w:topLinePunct w:val="0"/>
        <w:autoSpaceDE/>
        <w:autoSpaceDN/>
        <w:bidi w:val="0"/>
        <w:adjustRightInd/>
        <w:snapToGrid/>
        <w:spacing w:line="240" w:lineRule="auto"/>
        <w:ind w:firstLine="470" w:firstLineChars="196"/>
        <w:textAlignment w:val="auto"/>
        <w:outlineLvl w:val="9"/>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object>
          <v:shape id="_x0000_i1031" o:spt="75" type="#_x0000_t75" style="height:24.35pt;width:30.75pt;" o:ole="t" filled="f" o:preferrelative="t" stroked="f" coordsize="21600,21600">
            <v:path/>
            <v:fill on="f" alignshape="1" focussize="0,0"/>
            <v:stroke on="f"/>
            <v:imagedata r:id="rId81" o:title=""/>
            <o:lock v:ext="edit" aspectratio="t"/>
            <w10:wrap type="none"/>
            <w10:anchorlock/>
          </v:shape>
          <o:OLEObject Type="Embed" ProgID="Equation.3" ShapeID="_x0000_i1031" DrawAspect="Content" ObjectID="_1468075731" r:id="rId80">
            <o:LockedField>false</o:LockedField>
          </o:OLEObject>
        </w:object>
      </w:r>
    </w:p>
    <w:p>
      <w:pPr>
        <w:spacing w:line="480" w:lineRule="exact"/>
        <w:ind w:firstLine="470" w:firstLineChars="196"/>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式中：x—距注入点的距离，m；</w:t>
      </w:r>
    </w:p>
    <w:p>
      <w:pPr>
        <w:spacing w:line="480" w:lineRule="exact"/>
        <w:ind w:firstLine="470" w:firstLineChars="196"/>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t—时间，d；</w:t>
      </w:r>
    </w:p>
    <w:p>
      <w:pPr>
        <w:spacing w:line="480" w:lineRule="exact"/>
        <w:ind w:firstLine="470" w:firstLineChars="196"/>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C—t时刻点x处的示踪剂浓度，mg/L；</w:t>
      </w:r>
    </w:p>
    <w:p>
      <w:pPr>
        <w:spacing w:line="480" w:lineRule="exact"/>
        <w:ind w:firstLine="470" w:firstLineChars="196"/>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C</w:t>
      </w:r>
      <w:r>
        <w:rPr>
          <w:rFonts w:hint="default" w:ascii="Times New Roman" w:hAnsi="Times New Roman" w:eastAsia="宋体" w:cs="Times New Roman"/>
          <w:color w:val="auto"/>
          <w:sz w:val="24"/>
          <w:highlight w:val="none"/>
          <w:vertAlign w:val="subscript"/>
        </w:rPr>
        <w:t>0</w:t>
      </w:r>
      <w:r>
        <w:rPr>
          <w:rFonts w:hint="default" w:ascii="Times New Roman" w:hAnsi="Times New Roman" w:eastAsia="宋体" w:cs="Times New Roman"/>
          <w:color w:val="auto"/>
          <w:sz w:val="24"/>
          <w:highlight w:val="none"/>
        </w:rPr>
        <w:t>—注入的示踪剂浓度，mg/L；</w:t>
      </w:r>
      <w:r>
        <w:rPr>
          <w:rFonts w:hint="eastAsia" w:ascii="Times New Roman" w:hAnsi="Times New Roman" w:eastAsia="宋体" w:cs="Times New Roman"/>
          <w:color w:val="auto"/>
          <w:sz w:val="24"/>
          <w:highlight w:val="none"/>
          <w:lang w:val="en-US" w:eastAsia="zh-CN"/>
        </w:rPr>
        <w:t>0.98kg；</w:t>
      </w:r>
    </w:p>
    <w:p>
      <w:pPr>
        <w:spacing w:line="480" w:lineRule="exact"/>
        <w:ind w:firstLine="470" w:firstLineChars="196"/>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u—水渗流速度，m/d；</w:t>
      </w:r>
    </w:p>
    <w:p>
      <w:pPr>
        <w:spacing w:line="480" w:lineRule="exact"/>
        <w:ind w:firstLine="470" w:firstLineChars="196"/>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K—渗透系数，m/d；</w:t>
      </w:r>
    </w:p>
    <w:p>
      <w:pPr>
        <w:spacing w:line="480" w:lineRule="exact"/>
        <w:ind w:firstLine="470" w:firstLineChars="196"/>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highlight w:val="none"/>
        </w:rPr>
        <w:t>I—地下水</w:t>
      </w:r>
      <w:r>
        <w:rPr>
          <w:rFonts w:hint="default" w:ascii="Times New Roman" w:hAnsi="Times New Roman" w:eastAsia="宋体" w:cs="Times New Roman"/>
          <w:color w:val="auto"/>
          <w:sz w:val="24"/>
          <w:szCs w:val="24"/>
          <w:highlight w:val="none"/>
        </w:rPr>
        <w:t>水力坡度，‰；</w:t>
      </w:r>
    </w:p>
    <w:p>
      <w:pPr>
        <w:spacing w:line="480" w:lineRule="exact"/>
        <w:ind w:firstLine="470" w:firstLineChars="196"/>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n—有效孔隙度，无量纲；</w:t>
      </w:r>
    </w:p>
    <w:p>
      <w:pPr>
        <w:spacing w:line="480" w:lineRule="exact"/>
        <w:ind w:firstLine="470" w:firstLineChars="196"/>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DL—纵向x方向弥散系数，m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/d；</w:t>
      </w:r>
    </w:p>
    <w:p>
      <w:pPr>
        <w:spacing w:line="480" w:lineRule="exact"/>
        <w:ind w:firstLine="470" w:firstLineChars="196"/>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rPr>
        <w:t>erfc()—余误差函数。</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eastAsia" w:ascii="Times New Roman" w:hAnsi="Times New Roman" w:eastAsia="宋体" w:cs="Times New Roman"/>
          <w:sz w:val="24"/>
          <w:szCs w:val="24"/>
          <w:highlight w:val="none"/>
        </w:rPr>
      </w:pPr>
      <w:r>
        <w:rPr>
          <w:rFonts w:ascii="Times New Roman"/>
          <w:sz w:val="24"/>
          <w:szCs w:val="24"/>
          <w:highlight w:val="none"/>
        </w:rPr>
        <w:t>有效孔隙度，量纲为一，含水层岩性主要为</w:t>
      </w:r>
      <w:r>
        <w:rPr>
          <w:rFonts w:ascii="Times New Roman"/>
          <w:snapToGrid w:val="0"/>
          <w:sz w:val="24"/>
          <w:szCs w:val="24"/>
          <w:highlight w:val="none"/>
          <w:lang w:val="en-GB"/>
        </w:rPr>
        <w:t>圆砾</w:t>
      </w:r>
      <w:r>
        <w:rPr>
          <w:rFonts w:ascii="Times New Roman"/>
          <w:sz w:val="24"/>
          <w:szCs w:val="24"/>
          <w:highlight w:val="none"/>
        </w:rPr>
        <w:t>，</w:t>
      </w:r>
      <w:r>
        <w:rPr>
          <w:rFonts w:ascii="Times New Roman" w:hAnsi="Times New Roman"/>
          <w:sz w:val="24"/>
          <w:szCs w:val="24"/>
          <w:highlight w:val="none"/>
        </w:rPr>
        <w:t>n=0.4</w:t>
      </w:r>
      <w:r>
        <w:rPr>
          <w:rFonts w:ascii="Times New Roman"/>
          <w:sz w:val="24"/>
          <w:szCs w:val="24"/>
          <w:highlight w:val="none"/>
        </w:rPr>
        <w:t>；</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eastAsia" w:ascii="Times New Roman" w:hAnsi="Times New Roman" w:eastAsia="宋体" w:cs="Times New Roman"/>
          <w:sz w:val="24"/>
          <w:szCs w:val="24"/>
          <w:highlight w:val="none"/>
        </w:rPr>
      </w:pPr>
      <w:r>
        <w:rPr>
          <w:rFonts w:hint="eastAsia" w:ascii="Times New Roman" w:hAnsi="Times New Roman" w:eastAsia="宋体" w:cs="Times New Roman"/>
          <w:sz w:val="24"/>
          <w:szCs w:val="24"/>
          <w:highlight w:val="none"/>
        </w:rPr>
        <w:t>项目区含水层渗透系数 K 取 0.2m/d，水力坡度 I 为 0.03，有效孔隙度 n 取0.05，地下水流速为 0.12m/d，含水层的纵向弥散系数为 0.2m</w:t>
      </w:r>
      <w:r>
        <w:rPr>
          <w:rFonts w:hint="eastAsia" w:ascii="Times New Roman" w:hAnsi="Times New Roman" w:eastAsia="宋体" w:cs="Times New Roman"/>
          <w:sz w:val="24"/>
          <w:szCs w:val="24"/>
          <w:highlight w:val="none"/>
          <w:vertAlign w:val="superscript"/>
        </w:rPr>
        <w:t>2</w:t>
      </w:r>
      <w:r>
        <w:rPr>
          <w:rFonts w:hint="eastAsia" w:ascii="Times New Roman" w:hAnsi="Times New Roman" w:eastAsia="宋体" w:cs="Times New Roman"/>
          <w:sz w:val="24"/>
          <w:szCs w:val="24"/>
          <w:highlight w:val="none"/>
        </w:rPr>
        <w:t>/d。</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ascii="Times New Roman" w:hAnsi="Times New Roman"/>
          <w:sz w:val="24"/>
          <w:szCs w:val="24"/>
          <w:highlight w:val="none"/>
          <w:lang w:val="nl-BE"/>
        </w:rPr>
      </w:pPr>
      <w:r>
        <w:rPr>
          <w:rFonts w:ascii="Times New Roman"/>
          <w:sz w:val="24"/>
          <w:szCs w:val="24"/>
          <w:highlight w:val="none"/>
        </w:rPr>
        <w:t>地下水流速度</w:t>
      </w:r>
      <w:r>
        <w:rPr>
          <w:rFonts w:ascii="Times New Roman"/>
          <w:sz w:val="24"/>
          <w:szCs w:val="24"/>
          <w:highlight w:val="none"/>
          <w:lang w:val="nl-BE"/>
        </w:rPr>
        <w:t>，</w:t>
      </w:r>
      <w:r>
        <w:rPr>
          <w:rFonts w:ascii="Times New Roman" w:hAnsi="Times New Roman"/>
          <w:sz w:val="24"/>
          <w:szCs w:val="24"/>
          <w:highlight w:val="none"/>
          <w:lang w:val="nl-BE"/>
        </w:rPr>
        <w:t>m/d</w:t>
      </w:r>
      <w:r>
        <w:rPr>
          <w:rFonts w:ascii="Times New Roman"/>
          <w:sz w:val="24"/>
          <w:szCs w:val="24"/>
          <w:highlight w:val="none"/>
          <w:lang w:val="nl-BE"/>
        </w:rPr>
        <w:t>；根据项目场地地层岩性，参照</w:t>
      </w:r>
      <w:r>
        <w:rPr>
          <w:rFonts w:ascii="Times New Roman"/>
          <w:sz w:val="24"/>
          <w:szCs w:val="24"/>
          <w:highlight w:val="none"/>
        </w:rPr>
        <w:t>地下水导则附录</w:t>
      </w:r>
      <w:r>
        <w:rPr>
          <w:rFonts w:ascii="Times New Roman" w:hAnsi="Times New Roman"/>
          <w:sz w:val="24"/>
          <w:szCs w:val="24"/>
          <w:highlight w:val="none"/>
        </w:rPr>
        <w:t>B</w:t>
      </w:r>
      <w:r>
        <w:rPr>
          <w:rFonts w:ascii="Times New Roman"/>
          <w:sz w:val="24"/>
          <w:szCs w:val="24"/>
          <w:highlight w:val="none"/>
        </w:rPr>
        <w:t>，</w:t>
      </w:r>
      <w:r>
        <w:rPr>
          <w:rFonts w:ascii="Times New Roman"/>
          <w:sz w:val="24"/>
          <w:szCs w:val="24"/>
          <w:highlight w:val="none"/>
          <w:lang w:val="nl-BE"/>
        </w:rPr>
        <w:t>潜水含水层平均渗透系数</w:t>
      </w:r>
      <w:r>
        <w:rPr>
          <w:rFonts w:ascii="Times New Roman" w:hAnsi="Times New Roman"/>
          <w:sz w:val="24"/>
          <w:szCs w:val="24"/>
          <w:highlight w:val="none"/>
          <w:lang w:val="nl-BE"/>
        </w:rPr>
        <w:t>K</w:t>
      </w:r>
      <w:r>
        <w:rPr>
          <w:rFonts w:ascii="Times New Roman"/>
          <w:sz w:val="24"/>
          <w:szCs w:val="24"/>
          <w:highlight w:val="none"/>
          <w:lang w:val="nl-BE"/>
        </w:rPr>
        <w:t>取值为</w:t>
      </w:r>
      <w:r>
        <w:rPr>
          <w:rFonts w:hint="eastAsia" w:ascii="Times New Roman" w:hAnsi="Times New Roman"/>
          <w:sz w:val="24"/>
          <w:szCs w:val="24"/>
          <w:highlight w:val="none"/>
          <w:lang w:val="en-US" w:eastAsia="zh-CN"/>
        </w:rPr>
        <w:t>1.5</w:t>
      </w:r>
      <w:r>
        <w:rPr>
          <w:rFonts w:ascii="Times New Roman" w:hAnsi="Times New Roman"/>
          <w:sz w:val="24"/>
          <w:szCs w:val="24"/>
          <w:highlight w:val="none"/>
        </w:rPr>
        <w:t>m/d</w:t>
      </w:r>
      <w:r>
        <w:rPr>
          <w:rFonts w:ascii="Times New Roman"/>
          <w:sz w:val="24"/>
          <w:szCs w:val="24"/>
          <w:highlight w:val="none"/>
        </w:rPr>
        <w:t>，水力坡度</w:t>
      </w:r>
      <w:r>
        <w:rPr>
          <w:rFonts w:ascii="Times New Roman" w:hAnsi="Times New Roman"/>
          <w:sz w:val="24"/>
          <w:szCs w:val="24"/>
          <w:highlight w:val="none"/>
        </w:rPr>
        <w:t>I</w:t>
      </w:r>
      <w:r>
        <w:rPr>
          <w:rFonts w:ascii="Times New Roman"/>
          <w:sz w:val="24"/>
          <w:szCs w:val="24"/>
          <w:highlight w:val="none"/>
        </w:rPr>
        <w:t>为</w:t>
      </w:r>
      <w:r>
        <w:rPr>
          <w:rFonts w:ascii="Times New Roman" w:hAnsi="Times New Roman"/>
          <w:sz w:val="24"/>
          <w:szCs w:val="24"/>
          <w:highlight w:val="none"/>
        </w:rPr>
        <w:t>2.5‰</w:t>
      </w:r>
      <w:r>
        <w:rPr>
          <w:rFonts w:ascii="Times New Roman"/>
          <w:sz w:val="24"/>
          <w:szCs w:val="24"/>
          <w:highlight w:val="none"/>
        </w:rPr>
        <w:t>，因此地下水的渗透流速</w:t>
      </w:r>
      <w:r>
        <w:rPr>
          <w:rFonts w:ascii="Times New Roman" w:hAnsi="Times New Roman"/>
          <w:sz w:val="24"/>
          <w:szCs w:val="24"/>
          <w:highlight w:val="none"/>
        </w:rPr>
        <w:t>u=K×I/n=0.0</w:t>
      </w:r>
      <w:r>
        <w:rPr>
          <w:rFonts w:hint="eastAsia" w:ascii="Times New Roman" w:hAnsi="Times New Roman"/>
          <w:sz w:val="24"/>
          <w:szCs w:val="24"/>
          <w:highlight w:val="none"/>
          <w:lang w:val="en-US" w:eastAsia="zh-CN"/>
        </w:rPr>
        <w:t>0938</w:t>
      </w:r>
      <w:r>
        <w:rPr>
          <w:rFonts w:ascii="Times New Roman" w:hAnsi="Times New Roman"/>
          <w:sz w:val="24"/>
          <w:szCs w:val="24"/>
          <w:highlight w:val="none"/>
        </w:rPr>
        <w:t>m/d</w:t>
      </w:r>
      <w:r>
        <w:rPr>
          <w:rFonts w:ascii="Times New Roman"/>
          <w:sz w:val="24"/>
          <w:szCs w:val="24"/>
          <w:highlight w:val="none"/>
        </w:rPr>
        <w:t>；</w:t>
      </w:r>
    </w:p>
    <w:p>
      <w:pPr>
        <w:spacing w:line="480" w:lineRule="exact"/>
        <w:ind w:firstLine="480"/>
        <w:jc w:val="left"/>
        <w:rPr>
          <w:rFonts w:hint="eastAsia"/>
          <w:sz w:val="24"/>
          <w:szCs w:val="22"/>
          <w:highlight w:val="none"/>
        </w:rPr>
      </w:pPr>
      <w:r>
        <w:rPr>
          <w:rFonts w:hint="eastAsia"/>
          <w:sz w:val="24"/>
          <w:szCs w:val="22"/>
          <w:highlight w:val="none"/>
        </w:rPr>
        <w:t>由于水动力弥散尺度效应的存在，难以通过野外或室内弥散试验获得真实的弥散度。由以往经验值得出，此次计算区范围选择为 0～1000 米，对应的纵向弥散度应介于 1～10 之间，从保守角度考虑，</w:t>
      </w:r>
      <w:r>
        <w:rPr>
          <w:rFonts w:hint="eastAsia"/>
          <w:color w:val="auto"/>
          <w:sz w:val="24"/>
          <w:szCs w:val="22"/>
          <w:highlight w:val="none"/>
        </w:rPr>
        <w:t>本次模拟取弥散度参数值取10</w:t>
      </w:r>
      <w:r>
        <w:rPr>
          <w:rFonts w:hint="eastAsia"/>
          <w:sz w:val="24"/>
          <w:szCs w:val="22"/>
          <w:highlight w:val="none"/>
        </w:rPr>
        <w:t>。</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ascii="Times New Roman" w:hAnsi="Times New Roman"/>
          <w:sz w:val="24"/>
          <w:szCs w:val="24"/>
          <w:highlight w:val="none"/>
        </w:rPr>
      </w:pPr>
      <w:r>
        <w:rPr>
          <w:rFonts w:ascii="Times New Roman"/>
          <w:sz w:val="24"/>
          <w:szCs w:val="24"/>
          <w:highlight w:val="none"/>
        </w:rPr>
        <w:t>纵向</w:t>
      </w:r>
      <w:r>
        <w:rPr>
          <w:rFonts w:ascii="Times New Roman" w:hAnsi="Times New Roman"/>
          <w:sz w:val="24"/>
          <w:szCs w:val="24"/>
          <w:highlight w:val="none"/>
        </w:rPr>
        <w:t>x</w:t>
      </w:r>
      <w:r>
        <w:rPr>
          <w:rFonts w:ascii="Times New Roman"/>
          <w:sz w:val="24"/>
          <w:szCs w:val="24"/>
          <w:highlight w:val="none"/>
        </w:rPr>
        <w:t>方向的弥散系数</w:t>
      </w:r>
      <w:r>
        <w:rPr>
          <w:rFonts w:hint="eastAsia" w:ascii="Times New Roman"/>
          <w:sz w:val="24"/>
          <w:szCs w:val="24"/>
          <w:highlight w:val="none"/>
          <w:lang w:eastAsia="zh-CN"/>
        </w:rPr>
        <w:t>（</w:t>
      </w:r>
      <w:r>
        <w:rPr>
          <w:rFonts w:ascii="Times New Roman" w:hAnsi="Times New Roman"/>
          <w:sz w:val="24"/>
          <w:szCs w:val="24"/>
          <w:highlight w:val="none"/>
        </w:rPr>
        <w:t>m</w:t>
      </w:r>
      <w:r>
        <w:rPr>
          <w:rFonts w:ascii="Times New Roman" w:hAnsi="Times New Roman"/>
          <w:sz w:val="24"/>
          <w:szCs w:val="24"/>
          <w:highlight w:val="none"/>
          <w:vertAlign w:val="superscript"/>
        </w:rPr>
        <w:t>2</w:t>
      </w:r>
      <w:r>
        <w:rPr>
          <w:rFonts w:ascii="Times New Roman" w:hAnsi="Times New Roman"/>
          <w:sz w:val="24"/>
          <w:szCs w:val="24"/>
          <w:highlight w:val="none"/>
        </w:rPr>
        <w:t>/d</w:t>
      </w:r>
      <w:r>
        <w:rPr>
          <w:rFonts w:hint="eastAsia" w:ascii="Times New Roman"/>
          <w:sz w:val="24"/>
          <w:szCs w:val="24"/>
          <w:highlight w:val="none"/>
          <w:lang w:eastAsia="zh-CN"/>
        </w:rPr>
        <w:t>）：</w:t>
      </w:r>
      <w:r>
        <w:rPr>
          <w:rFonts w:ascii="Times New Roman"/>
          <w:sz w:val="24"/>
          <w:szCs w:val="24"/>
          <w:highlight w:val="none"/>
        </w:rPr>
        <w:t>根据资料，纵向弥散度</w:t>
      </w:r>
      <w:r>
        <w:rPr>
          <w:rFonts w:ascii="Times New Roman" w:hAnsi="Times New Roman"/>
          <w:sz w:val="24"/>
          <w:szCs w:val="24"/>
          <w:highlight w:val="none"/>
        </w:rPr>
        <w:t>α</w:t>
      </w:r>
      <w:r>
        <w:rPr>
          <w:rFonts w:ascii="Times New Roman" w:hAnsi="Times New Roman"/>
          <w:sz w:val="24"/>
          <w:szCs w:val="24"/>
          <w:highlight w:val="none"/>
          <w:vertAlign w:val="subscript"/>
        </w:rPr>
        <w:t>L</w:t>
      </w:r>
      <w:r>
        <w:rPr>
          <w:rFonts w:ascii="Times New Roman" w:hAnsi="Times New Roman"/>
          <w:sz w:val="24"/>
          <w:szCs w:val="24"/>
          <w:highlight w:val="none"/>
        </w:rPr>
        <w:t>=10m</w:t>
      </w:r>
      <w:r>
        <w:rPr>
          <w:rFonts w:hint="eastAsia" w:ascii="Times New Roman" w:hAnsi="Times New Roman"/>
          <w:sz w:val="24"/>
          <w:szCs w:val="24"/>
          <w:highlight w:val="none"/>
          <w:lang w:eastAsia="zh-CN"/>
        </w:rPr>
        <w:t>，</w:t>
      </w:r>
      <w:r>
        <w:rPr>
          <w:rFonts w:ascii="Times New Roman" w:hAnsi="Times New Roman"/>
          <w:sz w:val="24"/>
          <w:szCs w:val="24"/>
          <w:highlight w:val="none"/>
        </w:rPr>
        <w:t>,</w:t>
      </w:r>
      <w:r>
        <w:rPr>
          <w:rFonts w:ascii="Times New Roman"/>
          <w:sz w:val="24"/>
          <w:szCs w:val="24"/>
          <w:highlight w:val="none"/>
        </w:rPr>
        <w:t>纵向弥散系数</w:t>
      </w:r>
      <w:r>
        <w:rPr>
          <w:rFonts w:ascii="Times New Roman" w:hAnsi="Times New Roman"/>
          <w:sz w:val="24"/>
          <w:szCs w:val="24"/>
          <w:highlight w:val="none"/>
        </w:rPr>
        <w:t>D</w:t>
      </w:r>
      <w:r>
        <w:rPr>
          <w:rFonts w:ascii="Times New Roman" w:hAnsi="Times New Roman"/>
          <w:sz w:val="24"/>
          <w:szCs w:val="24"/>
          <w:highlight w:val="none"/>
          <w:vertAlign w:val="subscript"/>
        </w:rPr>
        <w:t>L</w:t>
      </w:r>
      <w:r>
        <w:rPr>
          <w:rFonts w:ascii="Times New Roman" w:hAnsi="Times New Roman"/>
          <w:sz w:val="24"/>
          <w:szCs w:val="24"/>
          <w:highlight w:val="none"/>
        </w:rPr>
        <w:t>=α</w:t>
      </w:r>
      <w:r>
        <w:rPr>
          <w:rFonts w:ascii="Times New Roman" w:hAnsi="Times New Roman"/>
          <w:sz w:val="24"/>
          <w:szCs w:val="24"/>
          <w:highlight w:val="none"/>
          <w:vertAlign w:val="subscript"/>
        </w:rPr>
        <w:t>L</w:t>
      </w:r>
      <w:r>
        <w:rPr>
          <w:rFonts w:ascii="Times New Roman" w:hAnsi="Times New Roman"/>
          <w:sz w:val="24"/>
          <w:szCs w:val="24"/>
          <w:highlight w:val="none"/>
        </w:rPr>
        <w:t>×u=0.</w:t>
      </w:r>
      <w:r>
        <w:rPr>
          <w:rFonts w:hint="eastAsia" w:ascii="Times New Roman" w:hAnsi="Times New Roman"/>
          <w:sz w:val="24"/>
          <w:szCs w:val="24"/>
          <w:highlight w:val="none"/>
          <w:lang w:val="en-US" w:eastAsia="zh-CN"/>
        </w:rPr>
        <w:t>0938</w:t>
      </w:r>
      <w:r>
        <w:rPr>
          <w:rFonts w:ascii="Times New Roman" w:hAnsi="Times New Roman"/>
          <w:sz w:val="24"/>
          <w:szCs w:val="24"/>
          <w:highlight w:val="none"/>
        </w:rPr>
        <w:t>m</w:t>
      </w:r>
      <w:r>
        <w:rPr>
          <w:rFonts w:ascii="Times New Roman" w:hAnsi="Times New Roman"/>
          <w:sz w:val="24"/>
          <w:szCs w:val="24"/>
          <w:highlight w:val="none"/>
          <w:vertAlign w:val="superscript"/>
        </w:rPr>
        <w:t>2</w:t>
      </w:r>
      <w:r>
        <w:rPr>
          <w:rFonts w:ascii="Times New Roman" w:hAnsi="Times New Roman"/>
          <w:sz w:val="24"/>
          <w:szCs w:val="24"/>
          <w:highlight w:val="none"/>
        </w:rPr>
        <w:t>/d</w:t>
      </w:r>
      <w:r>
        <w:rPr>
          <w:rFonts w:ascii="Times New Roman"/>
          <w:sz w:val="24"/>
          <w:szCs w:val="24"/>
          <w:highlight w:val="none"/>
        </w:rPr>
        <w:t>；</w:t>
      </w:r>
    </w:p>
    <w:p>
      <w:pPr>
        <w:spacing w:line="480" w:lineRule="exact"/>
        <w:ind w:firstLine="480" w:firstLineChars="200"/>
        <w:rPr>
          <w:rFonts w:hint="eastAsia" w:ascii="Times New Roman" w:hAnsi="Times New Roman" w:eastAsia="宋体" w:cs="Times New Roman"/>
          <w:color w:val="auto"/>
          <w:sz w:val="24"/>
          <w:szCs w:val="22"/>
          <w:highlight w:val="none"/>
          <w:lang w:val="en-US" w:eastAsia="zh-CN"/>
        </w:rPr>
      </w:pPr>
      <w:r>
        <w:rPr>
          <w:kern w:val="2"/>
          <w:sz w:val="24"/>
          <w:szCs w:val="24"/>
          <w:highlight w:val="none"/>
        </w:rPr>
        <w:t>注入示踪剂的质量</w:t>
      </w:r>
      <w:r>
        <w:rPr>
          <w:rFonts w:hint="eastAsia"/>
          <w:kern w:val="2"/>
          <w:sz w:val="24"/>
          <w:szCs w:val="24"/>
          <w:highlight w:val="none"/>
          <w:lang w:eastAsia="zh-CN"/>
        </w:rPr>
        <w:t>：</w:t>
      </w:r>
      <w:r>
        <w:rPr>
          <w:rFonts w:hint="eastAsia"/>
          <w:kern w:val="2"/>
          <w:sz w:val="24"/>
          <w:szCs w:val="24"/>
          <w:highlight w:val="none"/>
          <w:lang w:val="en-US" w:eastAsia="zh-CN"/>
        </w:rPr>
        <w:t>0.32</w:t>
      </w:r>
      <w:r>
        <w:rPr>
          <w:kern w:val="2"/>
          <w:sz w:val="24"/>
          <w:szCs w:val="24"/>
          <w:highlight w:val="none"/>
        </w:rPr>
        <w:t>kg</w:t>
      </w:r>
      <w:r>
        <w:rPr>
          <w:rFonts w:hint="eastAsia"/>
          <w:kern w:val="2"/>
          <w:sz w:val="24"/>
          <w:szCs w:val="24"/>
          <w:highlight w:val="none"/>
          <w:lang w:val="en-US" w:eastAsia="zh-CN"/>
        </w:rPr>
        <w:t>。</w:t>
      </w:r>
    </w:p>
    <w:p>
      <w:pPr>
        <w:spacing w:line="480" w:lineRule="exact"/>
        <w:ind w:firstLine="480" w:firstLineChars="200"/>
        <w:rPr>
          <w:rFonts w:hint="default" w:ascii="Times New Roman" w:hAnsi="Times New Roman" w:cs="Times New Roman"/>
          <w:color w:val="auto"/>
          <w:sz w:val="24"/>
          <w:szCs w:val="22"/>
          <w:highlight w:val="none"/>
          <w:lang w:val="en-US" w:eastAsia="zh-CN"/>
        </w:rPr>
      </w:pPr>
      <w:r>
        <w:rPr>
          <w:rFonts w:hint="eastAsia" w:ascii="Times New Roman" w:hAnsi="Times New Roman" w:cs="Times New Roman"/>
          <w:color w:val="auto"/>
          <w:sz w:val="24"/>
          <w:szCs w:val="22"/>
          <w:highlight w:val="none"/>
          <w:lang w:val="en-US" w:eastAsia="zh-CN"/>
        </w:rPr>
        <w:fldChar w:fldCharType="begin"/>
      </w:r>
      <w:r>
        <w:rPr>
          <w:rFonts w:hint="eastAsia" w:ascii="Times New Roman" w:hAnsi="Times New Roman" w:cs="Times New Roman"/>
          <w:color w:val="auto"/>
          <w:sz w:val="24"/>
          <w:szCs w:val="22"/>
          <w:highlight w:val="none"/>
          <w:lang w:val="en-US" w:eastAsia="zh-CN"/>
        </w:rPr>
        <w:instrText xml:space="preserve"> = 5 \* GB3 \* MERGEFORMAT </w:instrText>
      </w:r>
      <w:r>
        <w:rPr>
          <w:rFonts w:hint="eastAsia" w:ascii="Times New Roman" w:hAnsi="Times New Roman" w:cs="Times New Roman"/>
          <w:color w:val="auto"/>
          <w:sz w:val="24"/>
          <w:szCs w:val="22"/>
          <w:highlight w:val="none"/>
          <w:lang w:val="en-US" w:eastAsia="zh-CN"/>
        </w:rPr>
        <w:fldChar w:fldCharType="separate"/>
      </w:r>
      <w:r>
        <w:rPr>
          <w:highlight w:val="none"/>
        </w:rPr>
        <w:t>⑤</w:t>
      </w:r>
      <w:r>
        <w:rPr>
          <w:rFonts w:hint="eastAsia" w:ascii="Times New Roman" w:hAnsi="Times New Roman" w:cs="Times New Roman"/>
          <w:color w:val="auto"/>
          <w:sz w:val="24"/>
          <w:szCs w:val="22"/>
          <w:highlight w:val="none"/>
          <w:lang w:val="en-US" w:eastAsia="zh-CN"/>
        </w:rPr>
        <w:fldChar w:fldCharType="end"/>
      </w:r>
      <w:r>
        <w:rPr>
          <w:rFonts w:hint="eastAsia" w:ascii="Times New Roman" w:hAnsi="Times New Roman" w:cs="Times New Roman"/>
          <w:color w:val="auto"/>
          <w:sz w:val="24"/>
          <w:szCs w:val="22"/>
          <w:highlight w:val="none"/>
          <w:lang w:val="en-US" w:eastAsia="zh-CN"/>
        </w:rPr>
        <w:t>参照标准</w:t>
      </w:r>
    </w:p>
    <w:p>
      <w:pPr>
        <w:snapToGrid w:val="0"/>
        <w:spacing w:line="480" w:lineRule="exact"/>
        <w:jc w:val="center"/>
        <w:rPr>
          <w:rFonts w:hint="default" w:ascii="Times New Roman" w:hAnsi="Times New Roman" w:cs="Times New Roman"/>
          <w:b/>
          <w:bCs/>
          <w:color w:val="auto"/>
          <w:sz w:val="24"/>
          <w:szCs w:val="24"/>
          <w:highlight w:val="none"/>
        </w:rPr>
      </w:pPr>
      <w:r>
        <w:rPr>
          <w:rFonts w:hint="default" w:ascii="Times New Roman" w:hAnsi="Times New Roman" w:cs="Times New Roman"/>
          <w:b/>
          <w:color w:val="auto"/>
          <w:sz w:val="24"/>
          <w:szCs w:val="24"/>
          <w:highlight w:val="none"/>
        </w:rPr>
        <w:t>表</w:t>
      </w:r>
      <w:r>
        <w:rPr>
          <w:rFonts w:hint="eastAsia" w:ascii="Times New Roman" w:hAnsi="Times New Roman" w:cs="Times New Roman"/>
          <w:b/>
          <w:color w:val="auto"/>
          <w:sz w:val="24"/>
          <w:szCs w:val="24"/>
          <w:highlight w:val="none"/>
          <w:lang w:val="en-US" w:eastAsia="zh-CN"/>
        </w:rPr>
        <w:t>5.5-2</w:t>
      </w:r>
      <w:r>
        <w:rPr>
          <w:rFonts w:hint="default" w:ascii="Times New Roman" w:hAnsi="Times New Roman" w:cs="Times New Roman"/>
          <w:b/>
          <w:color w:val="auto"/>
          <w:sz w:val="24"/>
          <w:szCs w:val="24"/>
          <w:highlight w:val="none"/>
        </w:rPr>
        <w:t xml:space="preserve">  地表水环境质量标准  </w:t>
      </w:r>
      <w:r>
        <w:rPr>
          <w:rFonts w:hint="default" w:ascii="Times New Roman" w:hAnsi="Times New Roman" w:cs="Times New Roman"/>
          <w:b/>
          <w:bCs/>
          <w:color w:val="auto"/>
          <w:sz w:val="24"/>
          <w:szCs w:val="24"/>
          <w:highlight w:val="none"/>
        </w:rPr>
        <w:t>单位：mg/L、pH无量纲</w:t>
      </w:r>
    </w:p>
    <w:tbl>
      <w:tblPr>
        <w:tblStyle w:val="51"/>
        <w:tblW w:w="0" w:type="auto"/>
        <w:jc w:val="center"/>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fixed"/>
        <w:tblCellMar>
          <w:top w:w="0" w:type="dxa"/>
          <w:left w:w="28" w:type="dxa"/>
          <w:bottom w:w="0" w:type="dxa"/>
          <w:right w:w="28" w:type="dxa"/>
        </w:tblCellMar>
      </w:tblPr>
      <w:tblGrid>
        <w:gridCol w:w="484"/>
        <w:gridCol w:w="2714"/>
        <w:gridCol w:w="2168"/>
        <w:gridCol w:w="2294"/>
      </w:tblGrid>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51" w:hRule="atLeast"/>
          <w:tblHeader/>
          <w:jc w:val="center"/>
        </w:trPr>
        <w:tc>
          <w:tcPr>
            <w:tcW w:w="3198" w:type="dxa"/>
            <w:gridSpan w:val="2"/>
            <w:tcBorders>
              <w:top w:val="single" w:color="auto" w:sz="2" w:space="0"/>
            </w:tcBorders>
            <w:noWrap w:val="0"/>
            <w:vAlign w:val="center"/>
          </w:tcPr>
          <w:p>
            <w:pPr>
              <w:spacing w:line="30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污染物名称</w:t>
            </w:r>
          </w:p>
        </w:tc>
        <w:tc>
          <w:tcPr>
            <w:tcW w:w="2168" w:type="dxa"/>
            <w:tcBorders>
              <w:top w:val="single" w:color="auto" w:sz="2" w:space="0"/>
              <w:right w:val="single" w:color="auto" w:sz="8" w:space="0"/>
            </w:tcBorders>
            <w:noWrap w:val="0"/>
            <w:vAlign w:val="center"/>
          </w:tcPr>
          <w:p>
            <w:pPr>
              <w:spacing w:line="30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标准值</w:t>
            </w:r>
          </w:p>
        </w:tc>
        <w:tc>
          <w:tcPr>
            <w:tcW w:w="2294" w:type="dxa"/>
            <w:tcBorders>
              <w:top w:val="single" w:color="auto" w:sz="2" w:space="0"/>
              <w:left w:val="single" w:color="auto" w:sz="8" w:space="0"/>
            </w:tcBorders>
            <w:noWrap w:val="0"/>
            <w:vAlign w:val="center"/>
          </w:tcPr>
          <w:p>
            <w:pPr>
              <w:spacing w:line="30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备注</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75" w:hRule="atLeast"/>
          <w:tblHeader/>
          <w:jc w:val="center"/>
        </w:trPr>
        <w:tc>
          <w:tcPr>
            <w:tcW w:w="484" w:type="dxa"/>
            <w:tcBorders>
              <w:right w:val="single" w:color="auto" w:sz="4" w:space="0"/>
            </w:tcBorders>
            <w:noWrap w:val="0"/>
            <w:vAlign w:val="center"/>
          </w:tcPr>
          <w:p>
            <w:pPr>
              <w:widowControl/>
              <w:spacing w:line="30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2714" w:type="dxa"/>
            <w:tcBorders>
              <w:left w:val="single" w:color="auto" w:sz="4" w:space="0"/>
            </w:tcBorders>
            <w:noWrap w:val="0"/>
            <w:vAlign w:val="center"/>
          </w:tcPr>
          <w:p>
            <w:pPr>
              <w:spacing w:line="240" w:lineRule="atLeas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石油类</w:t>
            </w:r>
          </w:p>
        </w:tc>
        <w:tc>
          <w:tcPr>
            <w:tcW w:w="2168" w:type="dxa"/>
            <w:tcBorders>
              <w:bottom w:val="single" w:color="auto" w:sz="8" w:space="0"/>
              <w:right w:val="single" w:color="auto" w:sz="8" w:space="0"/>
            </w:tcBorders>
            <w:noWrap w:val="0"/>
            <w:vAlign w:val="center"/>
          </w:tcPr>
          <w:p>
            <w:pPr>
              <w:spacing w:line="240" w:lineRule="atLeas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≤0.05</w:t>
            </w:r>
          </w:p>
        </w:tc>
        <w:tc>
          <w:tcPr>
            <w:tcW w:w="2294" w:type="dxa"/>
            <w:tcBorders>
              <w:left w:val="single" w:color="auto" w:sz="8" w:space="0"/>
              <w:bottom w:val="single" w:color="auto" w:sz="8" w:space="0"/>
            </w:tcBorders>
            <w:noWrap w:val="0"/>
            <w:vAlign w:val="center"/>
          </w:tcPr>
          <w:p>
            <w:pPr>
              <w:widowControl/>
              <w:spacing w:line="30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参照执行</w:t>
            </w:r>
          </w:p>
        </w:tc>
      </w:tr>
    </w:tbl>
    <w:p>
      <w:pPr>
        <w:spacing w:line="480" w:lineRule="exact"/>
        <w:ind w:firstLine="480" w:firstLineChars="200"/>
        <w:rPr>
          <w:rFonts w:hint="default" w:ascii="Times New Roman" w:hAnsi="Times New Roman" w:cs="Times New Roman"/>
          <w:color w:val="auto"/>
          <w:sz w:val="24"/>
          <w:szCs w:val="22"/>
          <w:highlight w:val="none"/>
          <w:lang w:val="en-GB"/>
        </w:rPr>
      </w:pPr>
      <w:r>
        <w:rPr>
          <w:rFonts w:hint="default" w:ascii="Times New Roman" w:hAnsi="Times New Roman" w:cs="Times New Roman"/>
          <w:color w:val="auto"/>
          <w:sz w:val="24"/>
          <w:szCs w:val="22"/>
          <w:highlight w:val="none"/>
          <w:lang w:val="en-US" w:eastAsia="zh-CN"/>
        </w:rPr>
        <w:t>（</w:t>
      </w:r>
      <w:r>
        <w:rPr>
          <w:rFonts w:hint="eastAsia" w:ascii="Times New Roman" w:hAnsi="Times New Roman" w:cs="Times New Roman"/>
          <w:color w:val="auto"/>
          <w:sz w:val="24"/>
          <w:szCs w:val="22"/>
          <w:highlight w:val="none"/>
          <w:lang w:val="en-US" w:eastAsia="zh-CN"/>
        </w:rPr>
        <w:t>2</w:t>
      </w:r>
      <w:r>
        <w:rPr>
          <w:rFonts w:hint="default" w:ascii="Times New Roman" w:hAnsi="Times New Roman" w:cs="Times New Roman"/>
          <w:color w:val="auto"/>
          <w:sz w:val="24"/>
          <w:szCs w:val="22"/>
          <w:highlight w:val="none"/>
          <w:lang w:val="en-US" w:eastAsia="zh-CN"/>
        </w:rPr>
        <w:t>）</w:t>
      </w:r>
      <w:r>
        <w:rPr>
          <w:rFonts w:hint="default" w:ascii="Times New Roman" w:hAnsi="Times New Roman" w:cs="Times New Roman"/>
          <w:color w:val="auto"/>
          <w:sz w:val="24"/>
          <w:szCs w:val="22"/>
          <w:highlight w:val="none"/>
          <w:lang w:val="en-GB"/>
        </w:rPr>
        <w:t>预测结果分析</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u w:val="none"/>
          <w:lang w:val="en-US"/>
        </w:rPr>
      </w:pPr>
      <w:r>
        <w:rPr>
          <w:rFonts w:hint="eastAsia"/>
          <w:sz w:val="24"/>
          <w:szCs w:val="22"/>
          <w:highlight w:val="none"/>
        </w:rPr>
        <w:t>通过将</w:t>
      </w:r>
      <w:r>
        <w:rPr>
          <w:rFonts w:hint="eastAsia"/>
          <w:sz w:val="24"/>
          <w:szCs w:val="22"/>
          <w:highlight w:val="none"/>
          <w:lang w:eastAsia="zh-CN"/>
        </w:rPr>
        <w:t>危废间</w:t>
      </w:r>
      <w:r>
        <w:rPr>
          <w:rFonts w:hint="eastAsia"/>
          <w:sz w:val="24"/>
          <w:szCs w:val="22"/>
          <w:highlight w:val="none"/>
        </w:rPr>
        <w:t>概化为污染源，分别预测第100</w:t>
      </w:r>
      <w:r>
        <w:rPr>
          <w:rFonts w:hint="eastAsia"/>
          <w:sz w:val="24"/>
          <w:szCs w:val="22"/>
          <w:highlight w:val="none"/>
          <w:lang w:eastAsia="zh-CN"/>
        </w:rPr>
        <w:t>天</w:t>
      </w:r>
      <w:r>
        <w:rPr>
          <w:rFonts w:hint="eastAsia"/>
          <w:sz w:val="24"/>
          <w:szCs w:val="22"/>
          <w:highlight w:val="none"/>
        </w:rPr>
        <w:t>、第</w:t>
      </w:r>
      <w:r>
        <w:rPr>
          <w:rFonts w:hint="eastAsia"/>
          <w:sz w:val="24"/>
          <w:szCs w:val="22"/>
          <w:highlight w:val="none"/>
          <w:lang w:val="en-US" w:eastAsia="zh-CN"/>
        </w:rPr>
        <w:t>365</w:t>
      </w:r>
      <w:r>
        <w:rPr>
          <w:rFonts w:hint="eastAsia"/>
          <w:sz w:val="24"/>
          <w:szCs w:val="22"/>
          <w:highlight w:val="none"/>
          <w:lang w:eastAsia="zh-CN"/>
        </w:rPr>
        <w:t>天</w:t>
      </w:r>
      <w:r>
        <w:rPr>
          <w:rFonts w:hint="eastAsia"/>
          <w:sz w:val="24"/>
          <w:szCs w:val="22"/>
          <w:highlight w:val="none"/>
          <w:lang w:val="en-US" w:eastAsia="zh-CN"/>
        </w:rPr>
        <w:t>和</w:t>
      </w:r>
      <w:r>
        <w:rPr>
          <w:rFonts w:hint="eastAsia"/>
          <w:sz w:val="24"/>
          <w:szCs w:val="22"/>
          <w:highlight w:val="none"/>
        </w:rPr>
        <w:t>第1000</w:t>
      </w:r>
      <w:r>
        <w:rPr>
          <w:rFonts w:hint="eastAsia"/>
          <w:sz w:val="24"/>
          <w:szCs w:val="22"/>
          <w:highlight w:val="none"/>
          <w:lang w:eastAsia="zh-CN"/>
        </w:rPr>
        <w:t>天</w:t>
      </w:r>
      <w:r>
        <w:rPr>
          <w:rFonts w:hint="eastAsia"/>
          <w:sz w:val="24"/>
          <w:szCs w:val="22"/>
          <w:highlight w:val="none"/>
        </w:rPr>
        <w:t>含水层中污染物浓度的变化情况，</w:t>
      </w:r>
      <w:r>
        <w:rPr>
          <w:rFonts w:hint="default" w:ascii="Times New Roman" w:hAnsi="Times New Roman" w:eastAsia="宋体" w:cs="Times New Roman"/>
          <w:color w:val="auto"/>
          <w:sz w:val="24"/>
          <w:highlight w:val="none"/>
        </w:rPr>
        <w:t>非正常工况下</w:t>
      </w:r>
      <w:r>
        <w:rPr>
          <w:rFonts w:hint="eastAsia" w:ascii="Times New Roman" w:hAnsi="Times New Roman" w:eastAsia="宋体" w:cs="Times New Roman"/>
          <w:color w:val="auto"/>
          <w:sz w:val="24"/>
          <w:highlight w:val="none"/>
          <w:lang w:eastAsia="zh-CN"/>
        </w:rPr>
        <w:t>石油类</w:t>
      </w:r>
      <w:r>
        <w:rPr>
          <w:rFonts w:hint="default" w:ascii="Times New Roman" w:hAnsi="Times New Roman" w:eastAsia="宋体" w:cs="Times New Roman"/>
          <w:color w:val="auto"/>
          <w:sz w:val="24"/>
          <w:highlight w:val="none"/>
        </w:rPr>
        <w:t>在含水层中运移预测结果见表5.</w:t>
      </w:r>
      <w:r>
        <w:rPr>
          <w:rFonts w:hint="eastAsia" w:ascii="Times New Roman" w:hAnsi="Times New Roman" w:eastAsia="宋体" w:cs="Times New Roman"/>
          <w:color w:val="auto"/>
          <w:sz w:val="24"/>
          <w:highlight w:val="none"/>
          <w:lang w:val="en-US" w:eastAsia="zh-CN"/>
        </w:rPr>
        <w:t>5-3</w:t>
      </w:r>
      <w:r>
        <w:rPr>
          <w:rFonts w:hint="default" w:ascii="Times New Roman" w:hAnsi="Times New Roman" w:eastAsia="宋体" w:cs="Times New Roman"/>
          <w:color w:val="auto"/>
          <w:sz w:val="24"/>
          <w:highlight w:val="none"/>
          <w:lang w:val="en-US" w:eastAsia="zh-CN"/>
        </w:rPr>
        <w:t>、图5.</w:t>
      </w:r>
      <w:r>
        <w:rPr>
          <w:rFonts w:hint="eastAsia" w:ascii="Times New Roman" w:hAnsi="Times New Roman" w:eastAsia="宋体" w:cs="Times New Roman"/>
          <w:color w:val="auto"/>
          <w:sz w:val="24"/>
          <w:highlight w:val="none"/>
          <w:lang w:val="en-US" w:eastAsia="zh-CN"/>
        </w:rPr>
        <w:t>5-</w:t>
      </w:r>
      <w:r>
        <w:rPr>
          <w:rFonts w:hint="eastAsia" w:cs="Times New Roman"/>
          <w:color w:val="auto"/>
          <w:sz w:val="24"/>
          <w:highlight w:val="none"/>
          <w:lang w:val="en-US" w:eastAsia="zh-CN"/>
        </w:rPr>
        <w:t>3</w:t>
      </w:r>
    </w:p>
    <w:p>
      <w:pPr>
        <w:keepNext w:val="0"/>
        <w:keepLines w:val="0"/>
        <w:pageBreakBefore w:val="0"/>
        <w:widowControl w:val="0"/>
        <w:tabs>
          <w:tab w:val="left" w:pos="1170"/>
        </w:tabs>
        <w:kinsoku/>
        <w:wordWrap/>
        <w:overflowPunct/>
        <w:topLinePunct w:val="0"/>
        <w:autoSpaceDE/>
        <w:autoSpaceDN/>
        <w:bidi w:val="0"/>
        <w:adjustRightInd/>
        <w:snapToGrid/>
        <w:spacing w:line="480" w:lineRule="exact"/>
        <w:ind w:firstLine="482" w:firstLineChars="200"/>
        <w:textAlignment w:val="auto"/>
        <w:outlineLvl w:val="9"/>
        <w:rPr>
          <w:rFonts w:hint="default" w:ascii="Times New Roman" w:hAnsi="Times New Roman" w:eastAsia="宋体" w:cs="Times New Roman"/>
          <w:b/>
          <w:color w:val="auto"/>
          <w:kern w:val="24"/>
          <w:sz w:val="24"/>
          <w:szCs w:val="24"/>
          <w:highlight w:val="none"/>
        </w:rPr>
      </w:pPr>
    </w:p>
    <w:p>
      <w:pPr>
        <w:keepNext w:val="0"/>
        <w:keepLines w:val="0"/>
        <w:pageBreakBefore w:val="0"/>
        <w:widowControl w:val="0"/>
        <w:tabs>
          <w:tab w:val="left" w:pos="1170"/>
        </w:tabs>
        <w:kinsoku/>
        <w:wordWrap/>
        <w:overflowPunct/>
        <w:topLinePunct w:val="0"/>
        <w:autoSpaceDE/>
        <w:autoSpaceDN/>
        <w:bidi w:val="0"/>
        <w:adjustRightInd/>
        <w:snapToGrid/>
        <w:spacing w:line="480" w:lineRule="exact"/>
        <w:ind w:firstLine="482" w:firstLineChars="200"/>
        <w:textAlignment w:val="auto"/>
        <w:outlineLvl w:val="9"/>
        <w:rPr>
          <w:rFonts w:hint="default" w:ascii="Times New Roman" w:hAnsi="Times New Roman" w:eastAsia="宋体" w:cs="Times New Roman"/>
          <w:b/>
          <w:color w:val="auto"/>
          <w:kern w:val="24"/>
          <w:sz w:val="24"/>
          <w:szCs w:val="24"/>
          <w:highlight w:val="none"/>
        </w:rPr>
      </w:pPr>
    </w:p>
    <w:p>
      <w:pPr>
        <w:keepNext w:val="0"/>
        <w:keepLines w:val="0"/>
        <w:pageBreakBefore w:val="0"/>
        <w:widowControl w:val="0"/>
        <w:tabs>
          <w:tab w:val="left" w:pos="1170"/>
        </w:tabs>
        <w:kinsoku/>
        <w:wordWrap/>
        <w:overflowPunct/>
        <w:topLinePunct w:val="0"/>
        <w:autoSpaceDE/>
        <w:autoSpaceDN/>
        <w:bidi w:val="0"/>
        <w:adjustRightInd/>
        <w:snapToGrid/>
        <w:spacing w:line="480" w:lineRule="exact"/>
        <w:ind w:firstLine="482" w:firstLineChars="200"/>
        <w:textAlignment w:val="auto"/>
        <w:outlineLvl w:val="9"/>
        <w:rPr>
          <w:rFonts w:hint="default" w:ascii="Times New Roman" w:hAnsi="Times New Roman" w:eastAsia="宋体" w:cs="Times New Roman"/>
          <w:b/>
          <w:color w:val="auto"/>
          <w:kern w:val="24"/>
          <w:sz w:val="24"/>
          <w:szCs w:val="24"/>
          <w:highlight w:val="none"/>
        </w:rPr>
      </w:pPr>
    </w:p>
    <w:p>
      <w:pPr>
        <w:keepNext w:val="0"/>
        <w:keepLines w:val="0"/>
        <w:pageBreakBefore w:val="0"/>
        <w:widowControl w:val="0"/>
        <w:tabs>
          <w:tab w:val="left" w:pos="1170"/>
        </w:tabs>
        <w:kinsoku/>
        <w:wordWrap/>
        <w:overflowPunct/>
        <w:topLinePunct w:val="0"/>
        <w:autoSpaceDE/>
        <w:autoSpaceDN/>
        <w:bidi w:val="0"/>
        <w:adjustRightInd/>
        <w:snapToGrid/>
        <w:spacing w:line="480" w:lineRule="exact"/>
        <w:ind w:firstLine="482" w:firstLineChars="200"/>
        <w:textAlignment w:val="auto"/>
        <w:outlineLvl w:val="9"/>
        <w:rPr>
          <w:rFonts w:hint="default" w:ascii="Times New Roman" w:hAnsi="Times New Roman" w:eastAsia="宋体" w:cs="Times New Roman"/>
          <w:b/>
          <w:color w:val="auto"/>
          <w:kern w:val="24"/>
          <w:sz w:val="24"/>
          <w:szCs w:val="24"/>
          <w:highlight w:val="none"/>
        </w:rPr>
      </w:pPr>
    </w:p>
    <w:p>
      <w:pPr>
        <w:keepNext w:val="0"/>
        <w:keepLines w:val="0"/>
        <w:pageBreakBefore w:val="0"/>
        <w:widowControl w:val="0"/>
        <w:tabs>
          <w:tab w:val="left" w:pos="1170"/>
        </w:tabs>
        <w:kinsoku/>
        <w:wordWrap/>
        <w:overflowPunct/>
        <w:topLinePunct w:val="0"/>
        <w:autoSpaceDE/>
        <w:autoSpaceDN/>
        <w:bidi w:val="0"/>
        <w:adjustRightInd/>
        <w:snapToGrid/>
        <w:spacing w:line="480" w:lineRule="exact"/>
        <w:ind w:firstLine="482" w:firstLineChars="200"/>
        <w:textAlignment w:val="auto"/>
        <w:outlineLvl w:val="9"/>
        <w:rPr>
          <w:rFonts w:hint="default" w:ascii="Times New Roman" w:hAnsi="Times New Roman" w:eastAsia="宋体" w:cs="Times New Roman"/>
          <w:b/>
          <w:color w:val="auto"/>
          <w:kern w:val="24"/>
          <w:sz w:val="24"/>
          <w:szCs w:val="24"/>
          <w:highlight w:val="none"/>
        </w:rPr>
      </w:pPr>
    </w:p>
    <w:p>
      <w:pPr>
        <w:keepNext w:val="0"/>
        <w:keepLines w:val="0"/>
        <w:pageBreakBefore w:val="0"/>
        <w:widowControl w:val="0"/>
        <w:tabs>
          <w:tab w:val="left" w:pos="1170"/>
        </w:tabs>
        <w:kinsoku/>
        <w:wordWrap/>
        <w:overflowPunct/>
        <w:topLinePunct w:val="0"/>
        <w:autoSpaceDE/>
        <w:autoSpaceDN/>
        <w:bidi w:val="0"/>
        <w:adjustRightInd/>
        <w:snapToGrid/>
        <w:spacing w:line="480" w:lineRule="exact"/>
        <w:ind w:firstLine="482" w:firstLineChars="200"/>
        <w:textAlignment w:val="auto"/>
        <w:outlineLvl w:val="9"/>
        <w:rPr>
          <w:rFonts w:hint="default" w:ascii="Times New Roman" w:hAnsi="Times New Roman" w:eastAsia="宋体" w:cs="Times New Roman"/>
          <w:b/>
          <w:color w:val="auto"/>
          <w:kern w:val="24"/>
          <w:sz w:val="24"/>
          <w:szCs w:val="24"/>
          <w:highlight w:val="none"/>
        </w:rPr>
      </w:pPr>
    </w:p>
    <w:p>
      <w:pPr>
        <w:keepNext w:val="0"/>
        <w:keepLines w:val="0"/>
        <w:pageBreakBefore w:val="0"/>
        <w:widowControl w:val="0"/>
        <w:tabs>
          <w:tab w:val="left" w:pos="1170"/>
        </w:tabs>
        <w:kinsoku/>
        <w:wordWrap/>
        <w:overflowPunct/>
        <w:topLinePunct w:val="0"/>
        <w:autoSpaceDE/>
        <w:autoSpaceDN/>
        <w:bidi w:val="0"/>
        <w:adjustRightInd/>
        <w:snapToGrid/>
        <w:spacing w:line="480" w:lineRule="exact"/>
        <w:ind w:firstLine="482" w:firstLineChars="200"/>
        <w:textAlignment w:val="auto"/>
        <w:outlineLvl w:val="9"/>
        <w:rPr>
          <w:rFonts w:hint="default" w:ascii="Times New Roman" w:hAnsi="Times New Roman" w:cs="Times New Roman"/>
          <w:color w:val="auto"/>
          <w:sz w:val="24"/>
          <w:highlight w:val="none"/>
        </w:rPr>
      </w:pPr>
      <w:r>
        <w:rPr>
          <w:rFonts w:hint="default" w:ascii="Times New Roman" w:hAnsi="Times New Roman" w:eastAsia="宋体" w:cs="Times New Roman"/>
          <w:b/>
          <w:color w:val="auto"/>
          <w:kern w:val="24"/>
          <w:sz w:val="24"/>
          <w:szCs w:val="24"/>
          <w:highlight w:val="none"/>
        </w:rPr>
        <w:t>表5.</w:t>
      </w:r>
      <w:r>
        <w:rPr>
          <w:rFonts w:hint="eastAsia" w:cs="Times New Roman"/>
          <w:b/>
          <w:color w:val="auto"/>
          <w:kern w:val="24"/>
          <w:sz w:val="24"/>
          <w:szCs w:val="24"/>
          <w:highlight w:val="none"/>
          <w:lang w:val="en-US" w:eastAsia="zh-CN"/>
        </w:rPr>
        <w:t>5</w:t>
      </w:r>
      <w:r>
        <w:rPr>
          <w:rFonts w:hint="default" w:ascii="Times New Roman" w:hAnsi="Times New Roman" w:eastAsia="宋体" w:cs="Times New Roman"/>
          <w:b/>
          <w:color w:val="auto"/>
          <w:kern w:val="24"/>
          <w:sz w:val="24"/>
          <w:szCs w:val="24"/>
          <w:highlight w:val="none"/>
          <w:lang w:val="en-US" w:eastAsia="zh-CN"/>
        </w:rPr>
        <w:t>-</w:t>
      </w:r>
      <w:r>
        <w:rPr>
          <w:rFonts w:hint="eastAsia" w:ascii="Times New Roman" w:hAnsi="Times New Roman" w:eastAsia="宋体" w:cs="Times New Roman"/>
          <w:b/>
          <w:color w:val="auto"/>
          <w:kern w:val="24"/>
          <w:sz w:val="24"/>
          <w:szCs w:val="24"/>
          <w:highlight w:val="none"/>
          <w:lang w:val="en-US" w:eastAsia="zh-CN"/>
        </w:rPr>
        <w:t>3</w:t>
      </w:r>
      <w:r>
        <w:rPr>
          <w:rFonts w:hint="default" w:ascii="Times New Roman" w:hAnsi="Times New Roman" w:eastAsia="宋体" w:cs="Times New Roman"/>
          <w:b/>
          <w:color w:val="auto"/>
          <w:kern w:val="24"/>
          <w:sz w:val="24"/>
          <w:szCs w:val="24"/>
          <w:highlight w:val="none"/>
        </w:rPr>
        <w:t xml:space="preserve">  非正常工况下</w:t>
      </w:r>
      <w:r>
        <w:rPr>
          <w:rFonts w:hint="eastAsia" w:ascii="Times New Roman" w:hAnsi="Times New Roman" w:eastAsia="宋体" w:cs="Times New Roman"/>
          <w:b/>
          <w:color w:val="auto"/>
          <w:kern w:val="24"/>
          <w:sz w:val="24"/>
          <w:szCs w:val="24"/>
          <w:highlight w:val="none"/>
          <w:lang w:eastAsia="zh-CN"/>
        </w:rPr>
        <w:t>石油烃</w:t>
      </w:r>
      <w:r>
        <w:rPr>
          <w:rFonts w:hint="default" w:ascii="Times New Roman" w:hAnsi="Times New Roman" w:eastAsia="宋体" w:cs="Times New Roman"/>
          <w:b/>
          <w:color w:val="auto"/>
          <w:kern w:val="24"/>
          <w:sz w:val="24"/>
          <w:szCs w:val="24"/>
          <w:highlight w:val="none"/>
        </w:rPr>
        <w:t>在运移模型计算统计表（mg/L）</w:t>
      </w:r>
    </w:p>
    <w:tbl>
      <w:tblPr>
        <w:tblStyle w:val="52"/>
        <w:tblW w:w="82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0"/>
        <w:gridCol w:w="2132"/>
        <w:gridCol w:w="2132"/>
        <w:gridCol w:w="19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X（m）</w:t>
            </w:r>
          </w:p>
        </w:tc>
        <w:tc>
          <w:tcPr>
            <w:tcW w:w="6217"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sz w:val="21"/>
                <w:szCs w:val="21"/>
                <w:highlight w:val="none"/>
                <w:vertAlign w:val="baseline"/>
              </w:rPr>
            </w:pPr>
            <w:r>
              <w:rPr>
                <w:rFonts w:hint="eastAsia"/>
                <w:sz w:val="21"/>
                <w:szCs w:val="21"/>
                <w:highlight w:val="none"/>
                <w:vertAlign w:val="baseline"/>
              </w:rPr>
              <w:t>事故泄漏 N 天后的污染状况，mg/L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203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color w:val="auto"/>
                <w:sz w:val="21"/>
                <w:szCs w:val="21"/>
                <w:highlight w:val="none"/>
                <w:vertAlign w:val="baseline"/>
                <w:lang w:val="en-US" w:eastAsia="zh-CN"/>
              </w:rPr>
            </w:pPr>
            <w:r>
              <w:rPr>
                <w:rFonts w:hint="eastAsia" w:eastAsia="宋体"/>
                <w:color w:val="auto"/>
                <w:sz w:val="21"/>
                <w:szCs w:val="21"/>
                <w:highlight w:val="none"/>
                <w:vertAlign w:val="baseline"/>
                <w:lang w:val="en-US" w:eastAsia="zh-CN"/>
              </w:rPr>
              <w:t>100d</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color w:val="auto"/>
                <w:sz w:val="21"/>
                <w:szCs w:val="21"/>
                <w:highlight w:val="none"/>
                <w:vertAlign w:val="baseline"/>
                <w:lang w:val="en-US" w:eastAsia="zh-CN"/>
              </w:rPr>
            </w:pPr>
            <w:r>
              <w:rPr>
                <w:rFonts w:hint="eastAsia" w:eastAsia="宋体"/>
                <w:color w:val="auto"/>
                <w:sz w:val="21"/>
                <w:szCs w:val="21"/>
                <w:highlight w:val="none"/>
                <w:vertAlign w:val="baseline"/>
                <w:lang w:val="en-US" w:eastAsia="zh-CN"/>
              </w:rPr>
              <w:t>365d</w:t>
            </w:r>
          </w:p>
        </w:tc>
        <w:tc>
          <w:tcPr>
            <w:tcW w:w="19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color w:val="auto"/>
                <w:sz w:val="21"/>
                <w:szCs w:val="21"/>
                <w:highlight w:val="none"/>
                <w:vertAlign w:val="baseline"/>
                <w:lang w:val="en-US" w:eastAsia="zh-CN"/>
              </w:rPr>
            </w:pPr>
            <w:r>
              <w:rPr>
                <w:rFonts w:hint="eastAsia" w:eastAsia="宋体"/>
                <w:color w:val="auto"/>
                <w:sz w:val="21"/>
                <w:szCs w:val="21"/>
                <w:highlight w:val="none"/>
                <w:vertAlign w:val="baseline"/>
                <w:lang w:val="en-US" w:eastAsia="zh-CN"/>
              </w:rPr>
              <w:t>1000d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color w:val="auto"/>
                <w:sz w:val="21"/>
                <w:szCs w:val="21"/>
                <w:highlight w:val="none"/>
                <w:vertAlign w:val="baseline"/>
                <w:lang w:val="en-US" w:eastAsia="zh-CN"/>
              </w:rPr>
            </w:pPr>
            <w:r>
              <w:rPr>
                <w:rFonts w:hint="eastAsia" w:eastAsia="宋体"/>
                <w:color w:val="auto"/>
                <w:sz w:val="21"/>
                <w:szCs w:val="21"/>
                <w:highlight w:val="none"/>
                <w:vertAlign w:val="baseline"/>
                <w:lang w:val="en-US" w:eastAsia="zh-CN"/>
              </w:rPr>
              <w:t>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0.353</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w:t>
            </w:r>
          </w:p>
        </w:tc>
        <w:tc>
          <w:tcPr>
            <w:tcW w:w="19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color w:val="auto"/>
                <w:sz w:val="21"/>
                <w:szCs w:val="21"/>
                <w:highlight w:val="none"/>
                <w:vertAlign w:val="baseline"/>
                <w:lang w:val="en-US" w:eastAsia="zh-CN"/>
              </w:rPr>
            </w:pPr>
            <w:r>
              <w:rPr>
                <w:rFonts w:hint="eastAsia" w:eastAsia="宋体"/>
                <w:color w:val="auto"/>
                <w:sz w:val="21"/>
                <w:szCs w:val="21"/>
                <w:highlight w:val="none"/>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color w:val="auto"/>
                <w:kern w:val="2"/>
                <w:sz w:val="21"/>
                <w:szCs w:val="21"/>
                <w:highlight w:val="none"/>
                <w:vertAlign w:val="baseline"/>
                <w:lang w:val="en-US" w:eastAsia="zh-CN" w:bidi="ar-SA"/>
              </w:rPr>
            </w:pPr>
            <w:r>
              <w:rPr>
                <w:rFonts w:hint="eastAsia" w:eastAsia="宋体"/>
                <w:color w:val="auto"/>
                <w:sz w:val="21"/>
                <w:szCs w:val="21"/>
                <w:highlight w:val="none"/>
                <w:vertAlign w:val="baseline"/>
                <w:lang w:val="en-US" w:eastAsia="zh-CN"/>
              </w:rPr>
              <w:t>10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0.147</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0.00204</w:t>
            </w:r>
          </w:p>
        </w:tc>
        <w:tc>
          <w:tcPr>
            <w:tcW w:w="19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kern w:val="2"/>
                <w:sz w:val="21"/>
                <w:szCs w:val="21"/>
                <w:highlight w:val="none"/>
                <w:vertAlign w:val="baseline"/>
                <w:lang w:val="en-US" w:eastAsia="zh-CN" w:bidi="ar-SA"/>
              </w:rPr>
            </w:pPr>
            <w:r>
              <w:rPr>
                <w:rFonts w:hint="eastAsia" w:eastAsia="宋体"/>
                <w:sz w:val="21"/>
                <w:szCs w:val="21"/>
                <w:highlight w:val="none"/>
                <w:vertAlign w:val="baseline"/>
                <w:lang w:val="en-US" w:eastAsia="zh-CN"/>
              </w:rPr>
              <w:t>20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2.97</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0.137</w:t>
            </w:r>
          </w:p>
        </w:tc>
        <w:tc>
          <w:tcPr>
            <w:tcW w:w="19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30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color w:val="auto"/>
                <w:sz w:val="21"/>
                <w:szCs w:val="21"/>
                <w:highlight w:val="none"/>
                <w:vertAlign w:val="baseline"/>
                <w:lang w:val="en-US" w:eastAsia="zh-CN"/>
              </w:rPr>
            </w:pPr>
            <w:r>
              <w:rPr>
                <w:rFonts w:hint="eastAsia" w:eastAsia="宋体"/>
                <w:color w:val="auto"/>
                <w:sz w:val="21"/>
                <w:szCs w:val="21"/>
                <w:highlight w:val="none"/>
                <w:vertAlign w:val="baseline"/>
                <w:lang w:val="en-US" w:eastAsia="zh-CN"/>
              </w:rPr>
              <w:t>0.00297</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color w:val="auto"/>
                <w:sz w:val="21"/>
                <w:szCs w:val="21"/>
                <w:highlight w:val="none"/>
                <w:vertAlign w:val="baseline"/>
                <w:lang w:val="en-US" w:eastAsia="zh-CN"/>
              </w:rPr>
            </w:pPr>
            <w:r>
              <w:rPr>
                <w:rFonts w:hint="eastAsia" w:eastAsia="宋体"/>
                <w:color w:val="auto"/>
                <w:sz w:val="21"/>
                <w:szCs w:val="21"/>
                <w:highlight w:val="none"/>
                <w:vertAlign w:val="baseline"/>
                <w:lang w:val="en-US" w:eastAsia="zh-CN"/>
              </w:rPr>
              <w:t>2.13</w:t>
            </w:r>
          </w:p>
        </w:tc>
        <w:tc>
          <w:tcPr>
            <w:tcW w:w="19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color w:val="auto"/>
                <w:sz w:val="21"/>
                <w:szCs w:val="21"/>
                <w:highlight w:val="none"/>
                <w:vertAlign w:val="baseline"/>
                <w:lang w:val="en-US" w:eastAsia="zh-CN"/>
              </w:rPr>
            </w:pPr>
            <w:r>
              <w:rPr>
                <w:rFonts w:hint="eastAsia" w:eastAsia="宋体"/>
                <w:color w:val="auto"/>
                <w:sz w:val="21"/>
                <w:szCs w:val="21"/>
                <w:highlight w:val="none"/>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40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color w:val="auto"/>
                <w:sz w:val="21"/>
                <w:szCs w:val="21"/>
                <w:highlight w:val="none"/>
                <w:vertAlign w:val="baseline"/>
                <w:lang w:val="en-US" w:eastAsia="zh-CN"/>
              </w:rPr>
            </w:pPr>
            <w:r>
              <w:rPr>
                <w:rFonts w:hint="eastAsia" w:eastAsia="宋体"/>
                <w:color w:val="auto"/>
                <w:sz w:val="21"/>
                <w:szCs w:val="21"/>
                <w:highlight w:val="none"/>
                <w:vertAlign w:val="baseline"/>
                <w:lang w:val="en-US" w:eastAsia="zh-CN"/>
              </w:rPr>
              <w:t>0.00291</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color w:val="auto"/>
                <w:sz w:val="21"/>
                <w:szCs w:val="21"/>
                <w:highlight w:val="none"/>
                <w:vertAlign w:val="baseline"/>
                <w:lang w:val="en-US" w:eastAsia="zh-CN"/>
              </w:rPr>
            </w:pPr>
            <w:r>
              <w:rPr>
                <w:rFonts w:hint="eastAsia" w:eastAsia="宋体"/>
                <w:color w:val="auto"/>
                <w:sz w:val="21"/>
                <w:szCs w:val="21"/>
                <w:highlight w:val="none"/>
                <w:vertAlign w:val="baseline"/>
                <w:lang w:val="en-US" w:eastAsia="zh-CN"/>
              </w:rPr>
              <w:t>7.71</w:t>
            </w:r>
          </w:p>
        </w:tc>
        <w:tc>
          <w:tcPr>
            <w:tcW w:w="19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color w:val="auto"/>
                <w:sz w:val="21"/>
                <w:szCs w:val="21"/>
                <w:highlight w:val="none"/>
                <w:vertAlign w:val="baseline"/>
                <w:lang w:val="en-US" w:eastAsia="zh-CN"/>
              </w:rPr>
            </w:pPr>
            <w:r>
              <w:rPr>
                <w:rFonts w:hint="eastAsia" w:eastAsia="宋体"/>
                <w:color w:val="auto"/>
                <w:sz w:val="21"/>
                <w:szCs w:val="21"/>
                <w:highlight w:val="none"/>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20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50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eastAsia="宋体"/>
                <w:sz w:val="21"/>
                <w:szCs w:val="21"/>
                <w:highlight w:val="none"/>
                <w:vertAlign w:val="baseline"/>
                <w:lang w:val="en-US" w:eastAsia="zh-CN"/>
              </w:rPr>
              <w:t>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color w:val="auto"/>
                <w:sz w:val="21"/>
                <w:szCs w:val="21"/>
                <w:highlight w:val="none"/>
                <w:vertAlign w:val="baseline"/>
                <w:lang w:val="en-US" w:eastAsia="zh-CN"/>
              </w:rPr>
            </w:pPr>
            <w:r>
              <w:rPr>
                <w:rFonts w:hint="eastAsia" w:eastAsia="宋体"/>
                <w:color w:val="auto"/>
                <w:sz w:val="21"/>
                <w:szCs w:val="21"/>
                <w:highlight w:val="none"/>
                <w:vertAlign w:val="baseline"/>
                <w:lang w:val="en-US" w:eastAsia="zh-CN"/>
              </w:rPr>
              <w:t>6.47</w:t>
            </w:r>
          </w:p>
        </w:tc>
        <w:tc>
          <w:tcPr>
            <w:tcW w:w="19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color w:val="auto"/>
                <w:sz w:val="21"/>
                <w:szCs w:val="21"/>
                <w:highlight w:val="none"/>
                <w:vertAlign w:val="baseline"/>
                <w:lang w:val="en-US" w:eastAsia="zh-CN"/>
              </w:rPr>
            </w:pPr>
            <w:r>
              <w:rPr>
                <w:rFonts w:hint="eastAsia" w:eastAsia="宋体"/>
                <w:color w:val="auto"/>
                <w:sz w:val="21"/>
                <w:szCs w:val="21"/>
                <w:highlight w:val="none"/>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60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eastAsia="宋体"/>
                <w:sz w:val="21"/>
                <w:szCs w:val="21"/>
                <w:highlight w:val="none"/>
                <w:vertAlign w:val="baseline"/>
                <w:lang w:val="en-US" w:eastAsia="zh-CN"/>
              </w:rPr>
              <w:t>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color w:val="auto"/>
                <w:sz w:val="21"/>
                <w:szCs w:val="21"/>
                <w:highlight w:val="none"/>
                <w:vertAlign w:val="baseline"/>
                <w:lang w:val="en-US" w:eastAsia="zh-CN"/>
              </w:rPr>
            </w:pPr>
            <w:r>
              <w:rPr>
                <w:rFonts w:hint="eastAsia" w:eastAsia="宋体"/>
                <w:color w:val="auto"/>
                <w:sz w:val="21"/>
                <w:szCs w:val="21"/>
                <w:highlight w:val="none"/>
                <w:vertAlign w:val="baseline"/>
                <w:lang w:val="en-US" w:eastAsia="zh-CN"/>
              </w:rPr>
              <w:t>1.26</w:t>
            </w:r>
          </w:p>
        </w:tc>
        <w:tc>
          <w:tcPr>
            <w:tcW w:w="19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color w:val="auto"/>
                <w:sz w:val="21"/>
                <w:szCs w:val="21"/>
                <w:highlight w:val="none"/>
                <w:vertAlign w:val="baseline"/>
                <w:lang w:val="en-US" w:eastAsia="zh-CN"/>
              </w:rPr>
            </w:pPr>
            <w:r>
              <w:rPr>
                <w:rFonts w:hint="eastAsia" w:eastAsia="宋体"/>
                <w:color w:val="auto"/>
                <w:sz w:val="21"/>
                <w:szCs w:val="21"/>
                <w:highlight w:val="none"/>
                <w:vertAlign w:val="baseline"/>
                <w:lang w:val="en-US" w:eastAsia="zh-CN"/>
              </w:rPr>
              <w:t>0.000011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70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eastAsia="宋体"/>
                <w:sz w:val="21"/>
                <w:szCs w:val="21"/>
                <w:highlight w:val="none"/>
                <w:vertAlign w:val="baseline"/>
                <w:lang w:val="en-US" w:eastAsia="zh-CN"/>
              </w:rPr>
              <w:t>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color w:val="auto"/>
                <w:sz w:val="21"/>
                <w:szCs w:val="21"/>
                <w:highlight w:val="none"/>
                <w:vertAlign w:val="baseline"/>
                <w:lang w:val="en-US" w:eastAsia="zh-CN"/>
              </w:rPr>
            </w:pPr>
            <w:r>
              <w:rPr>
                <w:rFonts w:hint="eastAsia" w:eastAsia="宋体"/>
                <w:color w:val="auto"/>
                <w:sz w:val="21"/>
                <w:szCs w:val="21"/>
                <w:highlight w:val="none"/>
                <w:vertAlign w:val="baseline"/>
                <w:lang w:val="en-US" w:eastAsia="zh-CN"/>
              </w:rPr>
              <w:t>0.057</w:t>
            </w:r>
          </w:p>
        </w:tc>
        <w:tc>
          <w:tcPr>
            <w:tcW w:w="19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color w:val="auto"/>
                <w:sz w:val="21"/>
                <w:szCs w:val="21"/>
                <w:highlight w:val="none"/>
                <w:vertAlign w:val="baseline"/>
                <w:lang w:val="en-US" w:eastAsia="zh-CN"/>
              </w:rPr>
            </w:pPr>
            <w:r>
              <w:rPr>
                <w:rFonts w:hint="eastAsia" w:eastAsia="宋体"/>
                <w:color w:val="auto"/>
                <w:sz w:val="21"/>
                <w:szCs w:val="21"/>
                <w:highlight w:val="none"/>
                <w:vertAlign w:val="baseline"/>
                <w:lang w:val="en-US" w:eastAsia="zh-CN"/>
              </w:rPr>
              <w:t>0.00861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80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eastAsia="宋体"/>
                <w:sz w:val="21"/>
                <w:szCs w:val="21"/>
                <w:highlight w:val="none"/>
                <w:vertAlign w:val="baseline"/>
                <w:lang w:val="en-US" w:eastAsia="zh-CN"/>
              </w:rPr>
              <w:t>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0.000599</w:t>
            </w:r>
          </w:p>
        </w:tc>
        <w:tc>
          <w:tcPr>
            <w:tcW w:w="19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0.0728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90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eastAsia="宋体"/>
                <w:sz w:val="21"/>
                <w:szCs w:val="21"/>
                <w:highlight w:val="none"/>
                <w:vertAlign w:val="baseline"/>
                <w:lang w:val="en-US" w:eastAsia="zh-CN"/>
              </w:rPr>
              <w:t>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w:t>
            </w:r>
          </w:p>
        </w:tc>
        <w:tc>
          <w:tcPr>
            <w:tcW w:w="19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0.470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100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eastAsia="宋体"/>
                <w:sz w:val="21"/>
                <w:szCs w:val="21"/>
                <w:highlight w:val="none"/>
                <w:vertAlign w:val="baseline"/>
                <w:lang w:val="en-US" w:eastAsia="zh-CN"/>
              </w:rPr>
              <w:t>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w:t>
            </w:r>
          </w:p>
        </w:tc>
        <w:tc>
          <w:tcPr>
            <w:tcW w:w="19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1.78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110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eastAsia="宋体"/>
                <w:sz w:val="21"/>
                <w:szCs w:val="21"/>
                <w:highlight w:val="none"/>
                <w:vertAlign w:val="baseline"/>
                <w:lang w:val="en-US" w:eastAsia="zh-CN"/>
              </w:rPr>
              <w:t>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w:t>
            </w:r>
          </w:p>
        </w:tc>
        <w:tc>
          <w:tcPr>
            <w:tcW w:w="19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3.97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120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eastAsia="宋体"/>
                <w:sz w:val="21"/>
                <w:szCs w:val="21"/>
                <w:highlight w:val="none"/>
                <w:vertAlign w:val="baseline"/>
                <w:lang w:val="en-US" w:eastAsia="zh-CN"/>
              </w:rPr>
              <w:t>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w:t>
            </w:r>
          </w:p>
        </w:tc>
        <w:tc>
          <w:tcPr>
            <w:tcW w:w="19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5.18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130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eastAsia="宋体"/>
                <w:sz w:val="21"/>
                <w:szCs w:val="21"/>
                <w:highlight w:val="none"/>
                <w:vertAlign w:val="baseline"/>
                <w:lang w:val="en-US" w:eastAsia="zh-CN"/>
              </w:rPr>
              <w:t>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w:t>
            </w:r>
          </w:p>
        </w:tc>
        <w:tc>
          <w:tcPr>
            <w:tcW w:w="19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3.97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140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eastAsia="宋体"/>
                <w:sz w:val="21"/>
                <w:szCs w:val="21"/>
                <w:highlight w:val="none"/>
                <w:vertAlign w:val="baseline"/>
                <w:lang w:val="en-US" w:eastAsia="zh-CN"/>
              </w:rPr>
              <w:t>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w:t>
            </w:r>
          </w:p>
        </w:tc>
        <w:tc>
          <w:tcPr>
            <w:tcW w:w="19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1.78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150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w:t>
            </w:r>
          </w:p>
        </w:tc>
        <w:tc>
          <w:tcPr>
            <w:tcW w:w="19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160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w:t>
            </w:r>
          </w:p>
        </w:tc>
        <w:tc>
          <w:tcPr>
            <w:tcW w:w="19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0.0728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170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w:t>
            </w:r>
          </w:p>
        </w:tc>
        <w:tc>
          <w:tcPr>
            <w:tcW w:w="19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0.00661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180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w:t>
            </w:r>
          </w:p>
        </w:tc>
        <w:tc>
          <w:tcPr>
            <w:tcW w:w="19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0.000353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190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w:t>
            </w:r>
          </w:p>
        </w:tc>
        <w:tc>
          <w:tcPr>
            <w:tcW w:w="19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200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宋体"/>
                <w:kern w:val="2"/>
                <w:sz w:val="21"/>
                <w:szCs w:val="21"/>
                <w:highlight w:val="none"/>
                <w:vertAlign w:val="baseline"/>
                <w:lang w:val="en-US" w:eastAsia="zh-CN" w:bidi="ar-SA"/>
              </w:rPr>
            </w:pPr>
            <w:r>
              <w:rPr>
                <w:rFonts w:hint="eastAsia" w:eastAsia="宋体"/>
                <w:sz w:val="21"/>
                <w:szCs w:val="21"/>
                <w:highlight w:val="none"/>
                <w:vertAlign w:val="baseline"/>
                <w:lang w:val="en-US" w:eastAsia="zh-CN"/>
              </w:rPr>
              <w:t>0</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宋体"/>
                <w:kern w:val="2"/>
                <w:sz w:val="21"/>
                <w:szCs w:val="21"/>
                <w:highlight w:val="none"/>
                <w:vertAlign w:val="baseline"/>
                <w:lang w:val="en-US" w:eastAsia="zh-CN" w:bidi="ar-SA"/>
              </w:rPr>
            </w:pPr>
            <w:r>
              <w:rPr>
                <w:rFonts w:hint="eastAsia" w:eastAsia="宋体"/>
                <w:sz w:val="21"/>
                <w:szCs w:val="21"/>
                <w:highlight w:val="none"/>
                <w:vertAlign w:val="baseline"/>
                <w:lang w:val="en-US" w:eastAsia="zh-CN"/>
              </w:rPr>
              <w:t>0</w:t>
            </w:r>
          </w:p>
        </w:tc>
        <w:tc>
          <w:tcPr>
            <w:tcW w:w="19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宋体"/>
                <w:kern w:val="2"/>
                <w:sz w:val="21"/>
                <w:szCs w:val="21"/>
                <w:highlight w:val="none"/>
                <w:vertAlign w:val="baseline"/>
                <w:lang w:val="en-US" w:eastAsia="zh-CN" w:bidi="ar-SA"/>
              </w:rPr>
            </w:pPr>
            <w:r>
              <w:rPr>
                <w:rFonts w:hint="eastAsia" w:eastAsia="宋体"/>
                <w:sz w:val="21"/>
                <w:szCs w:val="21"/>
                <w:highlight w:val="none"/>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最大值距离</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17m</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宋体"/>
                <w:sz w:val="21"/>
                <w:szCs w:val="21"/>
                <w:highlight w:val="none"/>
                <w:vertAlign w:val="baseline"/>
                <w:lang w:val="en-US" w:eastAsia="zh-CN"/>
              </w:rPr>
            </w:pPr>
            <w:r>
              <w:rPr>
                <w:rFonts w:hint="eastAsia" w:eastAsia="宋体"/>
                <w:sz w:val="21"/>
                <w:szCs w:val="21"/>
                <w:highlight w:val="none"/>
                <w:vertAlign w:val="baseline"/>
                <w:lang w:val="en-US" w:eastAsia="zh-CN"/>
              </w:rPr>
              <w:t>44m</w:t>
            </w:r>
          </w:p>
        </w:tc>
        <w:tc>
          <w:tcPr>
            <w:tcW w:w="19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宋体"/>
                <w:sz w:val="21"/>
                <w:szCs w:val="21"/>
                <w:highlight w:val="none"/>
                <w:vertAlign w:val="baseline"/>
                <w:lang w:val="en-US" w:eastAsia="zh-CN"/>
              </w:rPr>
            </w:pPr>
            <w:r>
              <w:rPr>
                <w:rFonts w:hint="eastAsia" w:eastAsia="宋体"/>
                <w:sz w:val="21"/>
                <w:szCs w:val="21"/>
                <w:highlight w:val="none"/>
                <w:vertAlign w:val="baseline"/>
                <w:lang w:val="en-US" w:eastAsia="zh-CN"/>
              </w:rPr>
              <w:t>120m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宋体"/>
                <w:sz w:val="21"/>
                <w:szCs w:val="21"/>
                <w:highlight w:val="none"/>
                <w:vertAlign w:val="baseline"/>
                <w:lang w:val="en-US" w:eastAsia="zh-CN"/>
              </w:rPr>
            </w:pPr>
            <w:r>
              <w:rPr>
                <w:rFonts w:hint="eastAsia" w:eastAsia="宋体"/>
                <w:sz w:val="21"/>
                <w:szCs w:val="21"/>
                <w:highlight w:val="none"/>
                <w:vertAlign w:val="baseline"/>
                <w:lang w:val="en-US" w:eastAsia="zh-CN"/>
              </w:rPr>
              <w:t>最大值浓度</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8.41</w:t>
            </w:r>
          </w:p>
        </w:tc>
        <w:tc>
          <w:tcPr>
            <w:tcW w:w="21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8.57</w:t>
            </w:r>
          </w:p>
        </w:tc>
        <w:tc>
          <w:tcPr>
            <w:tcW w:w="19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default" w:eastAsia="宋体"/>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5.18</w:t>
            </w:r>
          </w:p>
        </w:tc>
      </w:tr>
    </w:tbl>
    <w:p>
      <w:pPr>
        <w:keepNext w:val="0"/>
        <w:keepLines w:val="0"/>
        <w:pageBreakBefore w:val="0"/>
        <w:widowControl w:val="0"/>
        <w:tabs>
          <w:tab w:val="left" w:pos="1170"/>
        </w:tabs>
        <w:kinsoku/>
        <w:wordWrap/>
        <w:overflowPunct/>
        <w:topLinePunct w:val="0"/>
        <w:autoSpaceDE/>
        <w:autoSpaceDN/>
        <w:bidi w:val="0"/>
        <w:adjustRightInd/>
        <w:snapToGrid/>
        <w:spacing w:line="240" w:lineRule="auto"/>
        <w:ind w:left="0" w:leftChars="-95" w:hanging="199" w:hangingChars="83"/>
        <w:jc w:val="center"/>
        <w:textAlignment w:val="auto"/>
        <w:outlineLvl w:val="9"/>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drawing>
          <wp:inline distT="0" distB="0" distL="114300" distR="114300">
            <wp:extent cx="5250815" cy="2921000"/>
            <wp:effectExtent l="0" t="0" r="6985" b="12700"/>
            <wp:docPr id="237" name="图片 237" descr="曲线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曲线22"/>
                    <pic:cNvPicPr>
                      <a:picLocks noChangeAspect="1"/>
                    </pic:cNvPicPr>
                  </pic:nvPicPr>
                  <pic:blipFill>
                    <a:blip r:embed="rId82"/>
                    <a:stretch>
                      <a:fillRect/>
                    </a:stretch>
                  </pic:blipFill>
                  <pic:spPr>
                    <a:xfrm>
                      <a:off x="0" y="0"/>
                      <a:ext cx="5250815" cy="292100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u w:val="none"/>
          <w:lang w:eastAsia="zh-CN"/>
        </w:rPr>
      </w:pPr>
      <w:r>
        <w:rPr>
          <w:rFonts w:hint="default" w:ascii="Times New Roman" w:hAnsi="Times New Roman" w:eastAsia="宋体" w:cs="Times New Roman"/>
          <w:b/>
          <w:bCs/>
          <w:color w:val="auto"/>
          <w:sz w:val="24"/>
          <w:szCs w:val="24"/>
          <w:highlight w:val="none"/>
        </w:rPr>
        <w:t>图5.</w:t>
      </w:r>
      <w:r>
        <w:rPr>
          <w:rFonts w:hint="eastAsia" w:ascii="Times New Roman" w:hAnsi="Times New Roman" w:eastAsia="宋体"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rPr>
        <w:t>-</w:t>
      </w:r>
      <w:r>
        <w:rPr>
          <w:rFonts w:hint="eastAsia"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 xml:space="preserve">   非正常工况下</w:t>
      </w:r>
      <w:r>
        <w:rPr>
          <w:rFonts w:hint="eastAsia" w:ascii="Times New Roman" w:hAnsi="Times New Roman" w:eastAsia="宋体" w:cs="Times New Roman"/>
          <w:b/>
          <w:bCs/>
          <w:color w:val="auto"/>
          <w:sz w:val="24"/>
          <w:szCs w:val="24"/>
          <w:highlight w:val="none"/>
          <w:lang w:eastAsia="zh-CN"/>
        </w:rPr>
        <w:t>石油类</w:t>
      </w:r>
      <w:r>
        <w:rPr>
          <w:rFonts w:hint="default" w:ascii="Times New Roman" w:hAnsi="Times New Roman" w:eastAsia="宋体" w:cs="Times New Roman"/>
          <w:b/>
          <w:bCs/>
          <w:color w:val="auto"/>
          <w:sz w:val="24"/>
          <w:szCs w:val="24"/>
          <w:highlight w:val="none"/>
        </w:rPr>
        <w:t>泄露运移图</w:t>
      </w:r>
    </w:p>
    <w:p>
      <w:pPr>
        <w:keepNext w:val="0"/>
        <w:keepLines w:val="0"/>
        <w:pageBreakBefore w:val="0"/>
        <w:widowControl w:val="0"/>
        <w:tabs>
          <w:tab w:val="left" w:pos="1170"/>
        </w:tabs>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非正常状况下污染物在含水层中运移，在水动力弥散作用下，瞬时注入的污染物示踪剂将产生呈椭圆形的污染晕，污染晕中污染物的浓度由中心向四周逐渐降低。随着水动力弥散作用的进行，污染晕将不断沿水流方向运移，污染晕的范围也会发生变化。参考《地下水质量标准》(GB/T14848-93)和</w:t>
      </w:r>
      <w:r>
        <w:rPr>
          <w:rFonts w:hint="default" w:ascii="Times New Roman" w:hAnsi="Times New Roman" w:cs="Times New Roman"/>
          <w:color w:val="auto"/>
          <w:sz w:val="24"/>
          <w:szCs w:val="25"/>
          <w:highlight w:val="none"/>
          <w:lang w:eastAsia="zh-CN"/>
        </w:rPr>
        <w:t>《地表水环境质量标准》（GB 3838-2002）</w:t>
      </w:r>
      <w:r>
        <w:rPr>
          <w:rFonts w:hint="default" w:ascii="Times New Roman" w:hAnsi="Times New Roman" w:cs="Times New Roman"/>
          <w:color w:val="auto"/>
          <w:sz w:val="24"/>
          <w:highlight w:val="none"/>
        </w:rPr>
        <w:t>，水质各项指标不得低于III类水的标准，因此本次预测在研究污染晕运移时，选取</w:t>
      </w:r>
      <w:r>
        <w:rPr>
          <w:rFonts w:hint="default" w:ascii="Times New Roman" w:hAnsi="Times New Roman" w:cs="Times New Roman"/>
          <w:color w:val="auto"/>
          <w:sz w:val="24"/>
          <w:highlight w:val="none"/>
          <w:lang w:eastAsia="zh-CN"/>
        </w:rPr>
        <w:t>石油类</w:t>
      </w:r>
      <w:r>
        <w:rPr>
          <w:rFonts w:hint="default" w:ascii="Times New Roman" w:hAnsi="Times New Roman" w:cs="Times New Roman"/>
          <w:color w:val="auto"/>
          <w:sz w:val="24"/>
          <w:highlight w:val="none"/>
        </w:rPr>
        <w:t>的III类水标准等值线作为污染晕的前锋，来判断污染晕的运移距离及影响范围。</w:t>
      </w:r>
      <w:r>
        <w:rPr>
          <w:rFonts w:hint="default" w:ascii="Times New Roman" w:hAnsi="Times New Roman" w:cs="Times New Roman"/>
          <w:color w:val="auto"/>
          <w:sz w:val="24"/>
          <w:szCs w:val="22"/>
          <w:highlight w:val="none"/>
        </w:rPr>
        <w:t>本次评价分别对100d、</w:t>
      </w:r>
      <w:r>
        <w:rPr>
          <w:rFonts w:hint="eastAsia" w:ascii="Times New Roman" w:hAnsi="Times New Roman" w:cs="Times New Roman"/>
          <w:color w:val="auto"/>
          <w:sz w:val="24"/>
          <w:szCs w:val="22"/>
          <w:highlight w:val="none"/>
          <w:lang w:val="en-US" w:eastAsia="zh-CN"/>
        </w:rPr>
        <w:t>365</w:t>
      </w:r>
      <w:r>
        <w:rPr>
          <w:rFonts w:hint="default" w:ascii="Times New Roman" w:hAnsi="Times New Roman" w:cs="Times New Roman"/>
          <w:color w:val="auto"/>
          <w:sz w:val="24"/>
          <w:szCs w:val="22"/>
          <w:highlight w:val="none"/>
        </w:rPr>
        <w:t>d、</w:t>
      </w:r>
      <w:r>
        <w:rPr>
          <w:rFonts w:hint="eastAsia" w:ascii="Times New Roman" w:hAnsi="Times New Roman" w:cs="Times New Roman"/>
          <w:color w:val="auto"/>
          <w:sz w:val="24"/>
          <w:szCs w:val="22"/>
          <w:highlight w:val="none"/>
          <w:lang w:val="en-US" w:eastAsia="zh-CN"/>
        </w:rPr>
        <w:t>10</w:t>
      </w:r>
      <w:r>
        <w:rPr>
          <w:rFonts w:hint="default" w:ascii="Times New Roman" w:hAnsi="Times New Roman" w:cs="Times New Roman"/>
          <w:color w:val="auto"/>
          <w:sz w:val="24"/>
          <w:szCs w:val="22"/>
          <w:highlight w:val="none"/>
        </w:rPr>
        <w:t>00d进行计算。</w:t>
      </w:r>
    </w:p>
    <w:p>
      <w:pPr>
        <w:keepNext w:val="0"/>
        <w:keepLines w:val="0"/>
        <w:pageBreakBefore w:val="0"/>
        <w:widowControl w:val="0"/>
        <w:tabs>
          <w:tab w:val="left" w:pos="1170"/>
        </w:tabs>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预测结果：</w:t>
      </w:r>
    </w:p>
    <w:p>
      <w:pPr>
        <w:keepNext w:val="0"/>
        <w:keepLines w:val="0"/>
        <w:pageBreakBefore w:val="0"/>
        <w:widowControl w:val="0"/>
        <w:tabs>
          <w:tab w:val="left" w:pos="1170"/>
        </w:tabs>
        <w:kinsoku/>
        <w:wordWrap/>
        <w:overflowPunct/>
        <w:topLinePunct w:val="0"/>
        <w:autoSpaceDE/>
        <w:autoSpaceDN/>
        <w:bidi w:val="0"/>
        <w:adjustRightInd/>
        <w:snapToGrid/>
        <w:spacing w:line="480" w:lineRule="exact"/>
        <w:ind w:firstLine="480" w:firstLineChars="200"/>
        <w:textAlignment w:val="auto"/>
        <w:outlineLvl w:val="9"/>
        <w:rPr>
          <w:rFonts w:hint="eastAsia"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100天时，预测的最大值为</w:t>
      </w:r>
      <w:r>
        <w:rPr>
          <w:rFonts w:hint="eastAsia" w:ascii="Times New Roman" w:hAnsi="Times New Roman" w:cs="Times New Roman"/>
          <w:color w:val="auto"/>
          <w:sz w:val="24"/>
          <w:highlight w:val="none"/>
          <w:lang w:val="en-US" w:eastAsia="zh-CN"/>
        </w:rPr>
        <w:t>8.41</w:t>
      </w:r>
      <w:r>
        <w:rPr>
          <w:rFonts w:hint="default" w:ascii="Times New Roman" w:hAnsi="Times New Roman" w:cs="Times New Roman"/>
          <w:color w:val="auto"/>
          <w:sz w:val="24"/>
          <w:highlight w:val="none"/>
        </w:rPr>
        <w:t>mg/l，预测超标距离最远为</w:t>
      </w:r>
      <w:r>
        <w:rPr>
          <w:rFonts w:hint="eastAsia" w:ascii="Times New Roman" w:hAnsi="Times New Roman" w:cs="Times New Roman"/>
          <w:color w:val="auto"/>
          <w:sz w:val="24"/>
          <w:highlight w:val="none"/>
          <w:lang w:val="en-US" w:eastAsia="zh-CN"/>
        </w:rPr>
        <w:t>17</w:t>
      </w:r>
      <w:r>
        <w:rPr>
          <w:rFonts w:hint="default" w:ascii="Times New Roman" w:hAnsi="Times New Roman" w:cs="Times New Roman"/>
          <w:color w:val="auto"/>
          <w:sz w:val="24"/>
          <w:highlight w:val="none"/>
        </w:rPr>
        <w:t>m；影响距离最远为</w:t>
      </w:r>
      <w:r>
        <w:rPr>
          <w:rFonts w:hint="eastAsia" w:ascii="Times New Roman" w:hAnsi="Times New Roman" w:cs="Times New Roman"/>
          <w:color w:val="auto"/>
          <w:sz w:val="24"/>
          <w:highlight w:val="none"/>
          <w:lang w:val="en-US" w:eastAsia="zh-CN"/>
        </w:rPr>
        <w:t>27</w:t>
      </w:r>
      <w:r>
        <w:rPr>
          <w:rFonts w:hint="default" w:ascii="Times New Roman" w:hAnsi="Times New Roman" w:cs="Times New Roman"/>
          <w:color w:val="auto"/>
          <w:sz w:val="24"/>
          <w:highlight w:val="none"/>
        </w:rPr>
        <w:t>m</w:t>
      </w:r>
      <w:r>
        <w:rPr>
          <w:rFonts w:hint="eastAsia" w:ascii="Times New Roman" w:hAnsi="Times New Roman" w:cs="Times New Roman"/>
          <w:color w:val="auto"/>
          <w:sz w:val="24"/>
          <w:highlight w:val="none"/>
          <w:lang w:eastAsia="zh-CN"/>
        </w:rPr>
        <w:t>；</w:t>
      </w:r>
    </w:p>
    <w:p>
      <w:pPr>
        <w:keepNext w:val="0"/>
        <w:keepLines w:val="0"/>
        <w:pageBreakBefore w:val="0"/>
        <w:widowControl w:val="0"/>
        <w:tabs>
          <w:tab w:val="left" w:pos="1170"/>
        </w:tabs>
        <w:kinsoku/>
        <w:wordWrap/>
        <w:overflowPunct/>
        <w:topLinePunct w:val="0"/>
        <w:autoSpaceDE/>
        <w:autoSpaceDN/>
        <w:bidi w:val="0"/>
        <w:adjustRightInd/>
        <w:snapToGrid/>
        <w:spacing w:line="480" w:lineRule="exact"/>
        <w:ind w:firstLine="480" w:firstLineChars="200"/>
        <w:textAlignment w:val="auto"/>
        <w:outlineLvl w:val="9"/>
        <w:rPr>
          <w:rFonts w:hint="eastAsia"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365天时，预测的最大值为8.57</w:t>
      </w:r>
      <w:r>
        <w:rPr>
          <w:rFonts w:hint="eastAsia"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rPr>
        <w:t>mg/l，预测超标距离最远为</w:t>
      </w:r>
      <w:r>
        <w:rPr>
          <w:rFonts w:hint="eastAsia" w:ascii="Times New Roman" w:hAnsi="Times New Roman" w:cs="Times New Roman"/>
          <w:color w:val="auto"/>
          <w:sz w:val="24"/>
          <w:highlight w:val="none"/>
          <w:lang w:val="en-US" w:eastAsia="zh-CN"/>
        </w:rPr>
        <w:t>44</w:t>
      </w:r>
      <w:r>
        <w:rPr>
          <w:rFonts w:hint="default" w:ascii="Times New Roman" w:hAnsi="Times New Roman" w:cs="Times New Roman"/>
          <w:color w:val="auto"/>
          <w:sz w:val="24"/>
          <w:highlight w:val="none"/>
        </w:rPr>
        <w:t>m；影响距离最远为</w:t>
      </w:r>
      <w:r>
        <w:rPr>
          <w:rFonts w:hint="eastAsia" w:ascii="Times New Roman" w:hAnsi="Times New Roman" w:cs="Times New Roman"/>
          <w:color w:val="auto"/>
          <w:sz w:val="24"/>
          <w:highlight w:val="none"/>
          <w:lang w:val="en-US" w:eastAsia="zh-CN"/>
        </w:rPr>
        <w:t>71</w:t>
      </w:r>
      <w:r>
        <w:rPr>
          <w:rFonts w:hint="default" w:ascii="Times New Roman" w:hAnsi="Times New Roman" w:cs="Times New Roman"/>
          <w:color w:val="auto"/>
          <w:sz w:val="24"/>
          <w:highlight w:val="none"/>
        </w:rPr>
        <w:t>m</w:t>
      </w:r>
      <w:r>
        <w:rPr>
          <w:rFonts w:hint="eastAsia" w:ascii="Times New Roman" w:hAnsi="Times New Roman" w:cs="Times New Roman"/>
          <w:color w:val="auto"/>
          <w:sz w:val="24"/>
          <w:highlight w:val="none"/>
          <w:lang w:eastAsia="zh-CN"/>
        </w:rPr>
        <w:t>，浓度</w:t>
      </w:r>
      <w:r>
        <w:rPr>
          <w:rFonts w:hint="eastAsia" w:ascii="Times New Roman" w:hAnsi="Times New Roman" w:cs="Times New Roman"/>
          <w:color w:val="auto"/>
          <w:sz w:val="24"/>
          <w:highlight w:val="none"/>
          <w:lang w:val="en-US" w:eastAsia="zh-CN"/>
        </w:rPr>
        <w:t>0.04</w:t>
      </w:r>
      <w:r>
        <w:rPr>
          <w:rFonts w:hint="default" w:ascii="Times New Roman" w:hAnsi="Times New Roman" w:cs="Times New Roman"/>
          <w:color w:val="auto"/>
          <w:sz w:val="24"/>
          <w:highlight w:val="none"/>
        </w:rPr>
        <w:t>mg/l</w:t>
      </w:r>
      <w:r>
        <w:rPr>
          <w:rFonts w:hint="eastAsia" w:ascii="Times New Roman" w:hAnsi="Times New Roman" w:cs="Times New Roman"/>
          <w:color w:val="auto"/>
          <w:sz w:val="24"/>
          <w:highlight w:val="none"/>
          <w:lang w:eastAsia="zh-CN"/>
        </w:rPr>
        <w:t>；</w:t>
      </w:r>
    </w:p>
    <w:p>
      <w:pPr>
        <w:keepNext w:val="0"/>
        <w:keepLines w:val="0"/>
        <w:pageBreakBefore w:val="0"/>
        <w:widowControl w:val="0"/>
        <w:tabs>
          <w:tab w:val="left" w:pos="1170"/>
        </w:tabs>
        <w:kinsoku/>
        <w:wordWrap/>
        <w:overflowPunct/>
        <w:topLinePunct w:val="0"/>
        <w:autoSpaceDE/>
        <w:autoSpaceDN/>
        <w:bidi w:val="0"/>
        <w:adjustRightInd/>
        <w:snapToGrid/>
        <w:spacing w:line="480" w:lineRule="exact"/>
        <w:ind w:firstLine="480" w:firstLineChars="200"/>
        <w:textAlignment w:val="auto"/>
        <w:outlineLvl w:val="9"/>
        <w:rPr>
          <w:rFonts w:hint="eastAsia"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1000天时，预测的最大值为5.178mg/l，预测超标距离最远为</w:t>
      </w:r>
      <w:r>
        <w:rPr>
          <w:rFonts w:hint="eastAsia" w:ascii="Times New Roman" w:hAnsi="Times New Roman" w:cs="Times New Roman"/>
          <w:color w:val="auto"/>
          <w:sz w:val="24"/>
          <w:highlight w:val="none"/>
          <w:lang w:val="en-US" w:eastAsia="zh-CN"/>
        </w:rPr>
        <w:t>120</w:t>
      </w:r>
      <w:r>
        <w:rPr>
          <w:rFonts w:hint="default" w:ascii="Times New Roman" w:hAnsi="Times New Roman" w:cs="Times New Roman"/>
          <w:color w:val="auto"/>
          <w:sz w:val="24"/>
          <w:highlight w:val="none"/>
        </w:rPr>
        <w:t>m；影响距离最远为1</w:t>
      </w:r>
      <w:r>
        <w:rPr>
          <w:rFonts w:hint="eastAsia" w:ascii="Times New Roman" w:hAnsi="Times New Roman" w:cs="Times New Roman"/>
          <w:color w:val="auto"/>
          <w:sz w:val="24"/>
          <w:highlight w:val="none"/>
          <w:lang w:val="en-US" w:eastAsia="zh-CN"/>
        </w:rPr>
        <w:t>62</w:t>
      </w:r>
      <w:r>
        <w:rPr>
          <w:rFonts w:hint="default" w:ascii="Times New Roman" w:hAnsi="Times New Roman" w:cs="Times New Roman"/>
          <w:color w:val="auto"/>
          <w:sz w:val="24"/>
          <w:highlight w:val="none"/>
        </w:rPr>
        <w:t>m</w:t>
      </w:r>
      <w:r>
        <w:rPr>
          <w:rFonts w:hint="eastAsia" w:ascii="Times New Roman" w:hAnsi="Times New Roman" w:cs="Times New Roman"/>
          <w:color w:val="auto"/>
          <w:sz w:val="24"/>
          <w:highlight w:val="none"/>
          <w:lang w:eastAsia="zh-CN"/>
        </w:rPr>
        <w:t>，浓度</w:t>
      </w:r>
      <w:r>
        <w:rPr>
          <w:rFonts w:hint="eastAsia" w:ascii="Times New Roman" w:hAnsi="Times New Roman" w:cs="Times New Roman"/>
          <w:color w:val="auto"/>
          <w:sz w:val="24"/>
          <w:highlight w:val="none"/>
          <w:lang w:val="en-US" w:eastAsia="zh-CN"/>
        </w:rPr>
        <w:t>0.04</w:t>
      </w:r>
      <w:r>
        <w:rPr>
          <w:rFonts w:hint="default" w:ascii="Times New Roman" w:hAnsi="Times New Roman" w:cs="Times New Roman"/>
          <w:color w:val="auto"/>
          <w:sz w:val="24"/>
          <w:highlight w:val="none"/>
        </w:rPr>
        <w:t>mg/l</w:t>
      </w:r>
      <w:r>
        <w:rPr>
          <w:rFonts w:hint="eastAsia" w:ascii="Times New Roman" w:hAnsi="Times New Roman" w:cs="Times New Roman"/>
          <w:color w:val="auto"/>
          <w:sz w:val="24"/>
          <w:highlight w:val="none"/>
          <w:lang w:eastAsia="zh-CN"/>
        </w:rPr>
        <w:t>。</w:t>
      </w:r>
    </w:p>
    <w:p>
      <w:pPr>
        <w:autoSpaceDE w:val="0"/>
        <w:autoSpaceDN w:val="0"/>
        <w:spacing w:line="480" w:lineRule="exact"/>
        <w:rPr>
          <w:sz w:val="24"/>
          <w:highlight w:val="none"/>
        </w:rPr>
      </w:pPr>
      <w:r>
        <w:rPr>
          <w:rFonts w:hint="eastAsia"/>
          <w:b/>
          <w:bCs/>
          <w:sz w:val="24"/>
          <w:highlight w:val="none"/>
        </w:rPr>
        <w:t>5</w:t>
      </w:r>
      <w:r>
        <w:rPr>
          <w:b/>
          <w:bCs/>
          <w:sz w:val="24"/>
          <w:highlight w:val="none"/>
        </w:rPr>
        <w:t>.</w:t>
      </w:r>
      <w:r>
        <w:rPr>
          <w:rFonts w:hint="eastAsia"/>
          <w:b/>
          <w:bCs/>
          <w:sz w:val="24"/>
          <w:highlight w:val="none"/>
          <w:lang w:val="en-US" w:eastAsia="zh-CN"/>
        </w:rPr>
        <w:t>5</w:t>
      </w:r>
      <w:r>
        <w:rPr>
          <w:b/>
          <w:bCs/>
          <w:sz w:val="24"/>
          <w:highlight w:val="none"/>
        </w:rPr>
        <w:t>.</w:t>
      </w:r>
      <w:r>
        <w:rPr>
          <w:rFonts w:hint="eastAsia"/>
          <w:b/>
          <w:bCs/>
          <w:sz w:val="24"/>
          <w:highlight w:val="none"/>
          <w:lang w:val="en-US" w:eastAsia="zh-CN"/>
        </w:rPr>
        <w:t>4</w:t>
      </w:r>
      <w:r>
        <w:rPr>
          <w:b/>
          <w:bCs/>
          <w:sz w:val="24"/>
          <w:highlight w:val="none"/>
        </w:rPr>
        <w:t xml:space="preserve"> </w:t>
      </w:r>
      <w:r>
        <w:rPr>
          <w:rFonts w:hint="eastAsia"/>
          <w:b/>
          <w:bCs/>
          <w:sz w:val="24"/>
          <w:highlight w:val="none"/>
        </w:rPr>
        <w:t>地下水污染预防措施</w:t>
      </w:r>
    </w:p>
    <w:p>
      <w:pPr>
        <w:spacing w:line="480" w:lineRule="exact"/>
        <w:ind w:firstLine="480" w:firstLineChars="200"/>
        <w:rPr>
          <w:sz w:val="24"/>
          <w:highlight w:val="none"/>
        </w:rPr>
      </w:pPr>
      <w:r>
        <w:rPr>
          <w:rFonts w:hint="eastAsia"/>
          <w:sz w:val="24"/>
          <w:highlight w:val="none"/>
        </w:rPr>
        <w:t>根据《环境影响技术评价导则·地下水环境》（HJ610-2016）的要求，地下水保护措施与对策应符合《中华人民共和国水污染防治法》和《中华人民共和国环境影响评价法》的相关规定，按照“源头控制，分区防治，污染监控，应急响应”，突出饮用水安全的原则确定。</w:t>
      </w:r>
    </w:p>
    <w:p>
      <w:pPr>
        <w:spacing w:line="480" w:lineRule="exact"/>
        <w:ind w:firstLine="480" w:firstLineChars="200"/>
        <w:rPr>
          <w:sz w:val="24"/>
          <w:highlight w:val="none"/>
        </w:rPr>
      </w:pPr>
      <w:r>
        <w:rPr>
          <w:rFonts w:hint="eastAsia"/>
          <w:sz w:val="24"/>
          <w:highlight w:val="none"/>
        </w:rPr>
        <w:t>（1）地下水污染防控措施</w:t>
      </w:r>
    </w:p>
    <w:p>
      <w:pPr>
        <w:spacing w:line="480" w:lineRule="exact"/>
        <w:ind w:firstLine="480" w:firstLineChars="200"/>
        <w:rPr>
          <w:sz w:val="24"/>
          <w:highlight w:val="none"/>
        </w:rPr>
      </w:pPr>
      <w:r>
        <w:rPr>
          <w:rFonts w:hint="eastAsia"/>
          <w:sz w:val="24"/>
          <w:highlight w:val="none"/>
        </w:rPr>
        <w:fldChar w:fldCharType="begin"/>
      </w:r>
      <w:r>
        <w:rPr>
          <w:rFonts w:hint="eastAsia"/>
          <w:sz w:val="24"/>
          <w:highlight w:val="none"/>
        </w:rPr>
        <w:instrText xml:space="preserve"> = 1 \* GB3 \* MERGEFORMAT </w:instrText>
      </w:r>
      <w:r>
        <w:rPr>
          <w:rFonts w:hint="eastAsia"/>
          <w:sz w:val="24"/>
          <w:highlight w:val="none"/>
        </w:rPr>
        <w:fldChar w:fldCharType="separate"/>
      </w:r>
      <w:r>
        <w:rPr>
          <w:highlight w:val="none"/>
        </w:rPr>
        <w:t>①</w:t>
      </w:r>
      <w:r>
        <w:rPr>
          <w:rFonts w:hint="eastAsia"/>
          <w:sz w:val="24"/>
          <w:highlight w:val="none"/>
        </w:rPr>
        <w:fldChar w:fldCharType="end"/>
      </w:r>
      <w:r>
        <w:rPr>
          <w:rFonts w:hint="eastAsia"/>
          <w:sz w:val="24"/>
          <w:highlight w:val="none"/>
        </w:rPr>
        <w:t>源头控制措施</w:t>
      </w:r>
    </w:p>
    <w:p>
      <w:pPr>
        <w:spacing w:line="480" w:lineRule="exact"/>
        <w:ind w:firstLine="480" w:firstLineChars="200"/>
        <w:rPr>
          <w:sz w:val="24"/>
          <w:highlight w:val="none"/>
        </w:rPr>
      </w:pPr>
      <w:r>
        <w:rPr>
          <w:rFonts w:hint="eastAsia"/>
          <w:sz w:val="24"/>
          <w:highlight w:val="none"/>
        </w:rPr>
        <w:t>本项目建设可能对地下水水质产生影响的情况有：化粪池及污水管道、危废暂存间防渗出现问题，一旦污染物长期渗漏进入地下水，将对地下水造成严重污染。项目废水水质简单。污染对象主要为浅层地下水，污染程度除受到污染物化学成分、浓度和当地的降水、径流和入渗等条件影响外，还受地质结构、岩土结构、厚度、饱和和非饱和渗透性能以及污染物的吸附滞留能力的影响。污染物主要通过包气带入渗进入地下水。污染物渗入地下水的快慢和入渗量，与包气带介质岩性、厚度和物质成分密切相关。</w:t>
      </w:r>
    </w:p>
    <w:p>
      <w:pPr>
        <w:spacing w:line="480" w:lineRule="exact"/>
        <w:ind w:firstLine="480" w:firstLineChars="200"/>
        <w:rPr>
          <w:sz w:val="24"/>
          <w:highlight w:val="none"/>
        </w:rPr>
      </w:pPr>
      <w:r>
        <w:rPr>
          <w:rFonts w:hint="eastAsia"/>
          <w:sz w:val="24"/>
          <w:highlight w:val="none"/>
        </w:rPr>
        <w:t>本项目主要危废间内危险废物可能因泄漏可能导致垂直入渗污染地下水，本项目按照“源头控制、分区防治、污染监控、应急响应”相结合的原则，采用源头控制措施、分区防治措施。尽可能从源头上减少污染物的产生，防止环境污染，严格按照国家相关规范要求，对工艺、管道、设备、污水储存及处理构建物采取相应措施，以防止和降低污染物的跑、冒、滴、漏，做好防渗措施，避免由于泄漏造成物料下渗污染地下水。</w:t>
      </w:r>
    </w:p>
    <w:p>
      <w:pPr>
        <w:spacing w:line="480" w:lineRule="exact"/>
        <w:ind w:firstLine="480" w:firstLineChars="200"/>
        <w:rPr>
          <w:sz w:val="24"/>
          <w:highlight w:val="none"/>
        </w:rPr>
      </w:pPr>
      <w:r>
        <w:rPr>
          <w:rFonts w:hint="eastAsia"/>
          <w:sz w:val="24"/>
          <w:highlight w:val="none"/>
        </w:rPr>
        <w:fldChar w:fldCharType="begin"/>
      </w:r>
      <w:r>
        <w:rPr>
          <w:rFonts w:hint="eastAsia"/>
          <w:sz w:val="24"/>
          <w:highlight w:val="none"/>
        </w:rPr>
        <w:instrText xml:space="preserve"> = 2 \* GB3 \* MERGEFORMAT </w:instrText>
      </w:r>
      <w:r>
        <w:rPr>
          <w:rFonts w:hint="eastAsia"/>
          <w:sz w:val="24"/>
          <w:highlight w:val="none"/>
        </w:rPr>
        <w:fldChar w:fldCharType="separate"/>
      </w:r>
      <w:r>
        <w:rPr>
          <w:highlight w:val="none"/>
        </w:rPr>
        <w:t>②</w:t>
      </w:r>
      <w:r>
        <w:rPr>
          <w:rFonts w:hint="eastAsia"/>
          <w:sz w:val="24"/>
          <w:highlight w:val="none"/>
        </w:rPr>
        <w:fldChar w:fldCharType="end"/>
      </w:r>
      <w:r>
        <w:rPr>
          <w:rFonts w:hint="eastAsia"/>
          <w:sz w:val="24"/>
          <w:highlight w:val="none"/>
        </w:rPr>
        <w:t>分区防渗措施</w:t>
      </w:r>
    </w:p>
    <w:p>
      <w:pPr>
        <w:spacing w:line="480" w:lineRule="exact"/>
        <w:ind w:firstLine="480" w:firstLineChars="200"/>
        <w:rPr>
          <w:sz w:val="24"/>
          <w:highlight w:val="none"/>
        </w:rPr>
      </w:pPr>
      <w:r>
        <w:rPr>
          <w:rFonts w:hint="eastAsia"/>
          <w:sz w:val="24"/>
          <w:highlight w:val="none"/>
        </w:rPr>
        <w:t>根据《环境影响技术评价导则·地下水环境》(HJ610-2016)的要求及项目实际情况，拟建工程占地区域划分为重点防渗区、一般防渗区和简单防渗区。各防渗分区应按《环境影响技术评价导则·地下水环境》(HJ610-2016)中的相关要求进行施工，防渗设计年限不得低于主体工程使用年限。</w:t>
      </w:r>
    </w:p>
    <w:p>
      <w:pPr>
        <w:spacing w:line="480" w:lineRule="exact"/>
        <w:ind w:firstLine="480" w:firstLineChars="200"/>
        <w:rPr>
          <w:sz w:val="24"/>
          <w:highlight w:val="none"/>
        </w:rPr>
      </w:pPr>
      <w:r>
        <w:rPr>
          <w:rFonts w:hint="eastAsia"/>
          <w:sz w:val="24"/>
          <w:highlight w:val="none"/>
        </w:rPr>
        <w:t>根据电站各生产装置、辅助设施及公用工程设施的布置，将项目厂区严格区分为污染区和非污染区。对于办公区、绿化区域等非污染区可采取非铺砌地坪或普通混凝土地坪，不设置专门的防渗层。根据生产装置、辅助设施及公用工程可能泄漏特殊的性质将污染区分为重点防渗区、一般防渗区，对污染防治区应分别采取不同等级的防渗方案。</w:t>
      </w:r>
    </w:p>
    <w:p>
      <w:pPr>
        <w:spacing w:line="480" w:lineRule="exact"/>
        <w:jc w:val="center"/>
        <w:rPr>
          <w:b/>
          <w:bCs/>
          <w:sz w:val="24"/>
          <w:highlight w:val="none"/>
        </w:rPr>
      </w:pPr>
      <w:r>
        <w:rPr>
          <w:rFonts w:hint="eastAsia"/>
          <w:b/>
          <w:bCs/>
          <w:sz w:val="24"/>
          <w:highlight w:val="none"/>
        </w:rPr>
        <w:t>表5.</w:t>
      </w:r>
      <w:r>
        <w:rPr>
          <w:rFonts w:hint="eastAsia"/>
          <w:b/>
          <w:bCs/>
          <w:sz w:val="24"/>
          <w:highlight w:val="none"/>
          <w:lang w:val="en-US" w:eastAsia="zh-CN"/>
        </w:rPr>
        <w:t>5</w:t>
      </w:r>
      <w:r>
        <w:rPr>
          <w:rFonts w:hint="eastAsia"/>
          <w:b/>
          <w:bCs/>
          <w:sz w:val="24"/>
          <w:highlight w:val="none"/>
        </w:rPr>
        <w:t>-</w:t>
      </w:r>
      <w:r>
        <w:rPr>
          <w:rFonts w:hint="eastAsia"/>
          <w:b/>
          <w:bCs/>
          <w:sz w:val="24"/>
          <w:highlight w:val="none"/>
          <w:lang w:val="en-US" w:eastAsia="zh-CN"/>
        </w:rPr>
        <w:t>4</w:t>
      </w:r>
      <w:r>
        <w:rPr>
          <w:rFonts w:hint="eastAsia"/>
          <w:b/>
          <w:bCs/>
          <w:sz w:val="24"/>
          <w:highlight w:val="none"/>
        </w:rPr>
        <w:t xml:space="preserve"> </w:t>
      </w:r>
      <w:r>
        <w:rPr>
          <w:rFonts w:hint="eastAsia"/>
          <w:b/>
          <w:bCs/>
          <w:sz w:val="24"/>
          <w:highlight w:val="none"/>
          <w:lang w:eastAsia="zh-CN"/>
        </w:rPr>
        <w:t>电站</w:t>
      </w:r>
      <w:r>
        <w:rPr>
          <w:rFonts w:hint="eastAsia"/>
          <w:b/>
          <w:bCs/>
          <w:sz w:val="24"/>
          <w:highlight w:val="none"/>
        </w:rPr>
        <w:t>厂区分区防渗等级一览表</w:t>
      </w:r>
    </w:p>
    <w:tbl>
      <w:tblPr>
        <w:tblStyle w:val="52"/>
        <w:tblW w:w="8218"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871"/>
        <w:gridCol w:w="1273"/>
        <w:gridCol w:w="2217"/>
        <w:gridCol w:w="3857"/>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871" w:type="dxa"/>
            <w:tcBorders>
              <w:tl2br w:val="nil"/>
              <w:tr2bl w:val="nil"/>
            </w:tcBorders>
            <w:vAlign w:val="center"/>
          </w:tcPr>
          <w:p>
            <w:pPr>
              <w:adjustRightInd w:val="0"/>
              <w:snapToGrid w:val="0"/>
              <w:spacing w:line="300" w:lineRule="atLeast"/>
              <w:jc w:val="center"/>
              <w:rPr>
                <w:szCs w:val="21"/>
                <w:highlight w:val="none"/>
              </w:rPr>
            </w:pPr>
            <w:r>
              <w:rPr>
                <w:szCs w:val="21"/>
                <w:highlight w:val="none"/>
              </w:rPr>
              <w:t>序号</w:t>
            </w:r>
          </w:p>
        </w:tc>
        <w:tc>
          <w:tcPr>
            <w:tcW w:w="3490" w:type="dxa"/>
            <w:gridSpan w:val="2"/>
            <w:tcBorders>
              <w:tl2br w:val="nil"/>
              <w:tr2bl w:val="nil"/>
            </w:tcBorders>
            <w:vAlign w:val="center"/>
          </w:tcPr>
          <w:p>
            <w:pPr>
              <w:adjustRightInd w:val="0"/>
              <w:snapToGrid w:val="0"/>
              <w:spacing w:line="300" w:lineRule="atLeast"/>
              <w:jc w:val="center"/>
              <w:rPr>
                <w:szCs w:val="21"/>
                <w:highlight w:val="none"/>
              </w:rPr>
            </w:pPr>
            <w:r>
              <w:rPr>
                <w:szCs w:val="21"/>
                <w:highlight w:val="none"/>
              </w:rPr>
              <w:t>防渗等级</w:t>
            </w:r>
          </w:p>
        </w:tc>
        <w:tc>
          <w:tcPr>
            <w:tcW w:w="3857" w:type="dxa"/>
            <w:tcBorders>
              <w:tl2br w:val="nil"/>
              <w:tr2bl w:val="nil"/>
            </w:tcBorders>
            <w:vAlign w:val="center"/>
          </w:tcPr>
          <w:p>
            <w:pPr>
              <w:adjustRightInd w:val="0"/>
              <w:snapToGrid w:val="0"/>
              <w:spacing w:line="300" w:lineRule="atLeast"/>
              <w:jc w:val="center"/>
              <w:rPr>
                <w:szCs w:val="21"/>
                <w:highlight w:val="none"/>
              </w:rPr>
            </w:pPr>
            <w:r>
              <w:rPr>
                <w:szCs w:val="21"/>
                <w:highlight w:val="none"/>
              </w:rPr>
              <w:t>厂内分区</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871" w:type="dxa"/>
            <w:tcBorders>
              <w:tl2br w:val="nil"/>
              <w:tr2bl w:val="nil"/>
            </w:tcBorders>
            <w:vAlign w:val="center"/>
          </w:tcPr>
          <w:p>
            <w:pPr>
              <w:adjustRightInd w:val="0"/>
              <w:snapToGrid w:val="0"/>
              <w:spacing w:line="300" w:lineRule="atLeast"/>
              <w:jc w:val="center"/>
              <w:rPr>
                <w:szCs w:val="21"/>
                <w:highlight w:val="none"/>
              </w:rPr>
            </w:pPr>
            <w:r>
              <w:rPr>
                <w:szCs w:val="21"/>
                <w:highlight w:val="none"/>
              </w:rPr>
              <w:t>1</w:t>
            </w:r>
          </w:p>
        </w:tc>
        <w:tc>
          <w:tcPr>
            <w:tcW w:w="3490" w:type="dxa"/>
            <w:gridSpan w:val="2"/>
            <w:tcBorders>
              <w:tl2br w:val="nil"/>
              <w:tr2bl w:val="nil"/>
            </w:tcBorders>
            <w:vAlign w:val="center"/>
          </w:tcPr>
          <w:p>
            <w:pPr>
              <w:adjustRightInd w:val="0"/>
              <w:snapToGrid w:val="0"/>
              <w:spacing w:line="300" w:lineRule="atLeast"/>
              <w:jc w:val="center"/>
              <w:rPr>
                <w:szCs w:val="21"/>
                <w:highlight w:val="none"/>
              </w:rPr>
            </w:pPr>
            <w:r>
              <w:rPr>
                <w:szCs w:val="21"/>
                <w:highlight w:val="none"/>
              </w:rPr>
              <w:t>非污染区</w:t>
            </w:r>
          </w:p>
        </w:tc>
        <w:tc>
          <w:tcPr>
            <w:tcW w:w="3857" w:type="dxa"/>
            <w:tcBorders>
              <w:tl2br w:val="nil"/>
              <w:tr2bl w:val="nil"/>
            </w:tcBorders>
            <w:vAlign w:val="center"/>
          </w:tcPr>
          <w:p>
            <w:pPr>
              <w:adjustRightInd w:val="0"/>
              <w:snapToGrid w:val="0"/>
              <w:spacing w:line="300" w:lineRule="atLeast"/>
              <w:jc w:val="center"/>
              <w:rPr>
                <w:szCs w:val="21"/>
                <w:highlight w:val="none"/>
              </w:rPr>
            </w:pPr>
            <w:r>
              <w:rPr>
                <w:szCs w:val="21"/>
                <w:highlight w:val="none"/>
              </w:rPr>
              <w:t>办公</w:t>
            </w:r>
            <w:r>
              <w:rPr>
                <w:rFonts w:hint="eastAsia"/>
                <w:szCs w:val="21"/>
                <w:highlight w:val="none"/>
              </w:rPr>
              <w:t>用房</w:t>
            </w:r>
            <w:r>
              <w:rPr>
                <w:szCs w:val="21"/>
                <w:highlight w:val="none"/>
              </w:rPr>
              <w:t>、厂区道路</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871" w:type="dxa"/>
            <w:tcBorders>
              <w:tl2br w:val="nil"/>
              <w:tr2bl w:val="nil"/>
            </w:tcBorders>
            <w:vAlign w:val="center"/>
          </w:tcPr>
          <w:p>
            <w:pPr>
              <w:adjustRightInd w:val="0"/>
              <w:snapToGrid w:val="0"/>
              <w:spacing w:line="300" w:lineRule="atLeast"/>
              <w:jc w:val="center"/>
              <w:rPr>
                <w:szCs w:val="21"/>
                <w:highlight w:val="none"/>
              </w:rPr>
            </w:pPr>
            <w:r>
              <w:rPr>
                <w:szCs w:val="21"/>
                <w:highlight w:val="none"/>
              </w:rPr>
              <w:t>2</w:t>
            </w:r>
          </w:p>
        </w:tc>
        <w:tc>
          <w:tcPr>
            <w:tcW w:w="1273" w:type="dxa"/>
            <w:tcBorders>
              <w:tl2br w:val="nil"/>
              <w:tr2bl w:val="nil"/>
            </w:tcBorders>
            <w:vAlign w:val="center"/>
          </w:tcPr>
          <w:p>
            <w:pPr>
              <w:adjustRightInd w:val="0"/>
              <w:snapToGrid w:val="0"/>
              <w:spacing w:line="300" w:lineRule="atLeast"/>
              <w:jc w:val="center"/>
              <w:rPr>
                <w:szCs w:val="21"/>
                <w:highlight w:val="none"/>
              </w:rPr>
            </w:pPr>
            <w:r>
              <w:rPr>
                <w:szCs w:val="21"/>
                <w:highlight w:val="none"/>
              </w:rPr>
              <w:t>污染区</w:t>
            </w:r>
          </w:p>
        </w:tc>
        <w:tc>
          <w:tcPr>
            <w:tcW w:w="2217" w:type="dxa"/>
            <w:tcBorders>
              <w:tl2br w:val="nil"/>
              <w:tr2bl w:val="nil"/>
            </w:tcBorders>
            <w:vAlign w:val="center"/>
          </w:tcPr>
          <w:p>
            <w:pPr>
              <w:adjustRightInd w:val="0"/>
              <w:snapToGrid w:val="0"/>
              <w:spacing w:line="300" w:lineRule="atLeast"/>
              <w:jc w:val="center"/>
              <w:rPr>
                <w:szCs w:val="21"/>
                <w:highlight w:val="none"/>
              </w:rPr>
            </w:pPr>
            <w:r>
              <w:rPr>
                <w:szCs w:val="21"/>
                <w:highlight w:val="none"/>
              </w:rPr>
              <w:t>重点防渗区</w:t>
            </w:r>
          </w:p>
        </w:tc>
        <w:tc>
          <w:tcPr>
            <w:tcW w:w="3857" w:type="dxa"/>
            <w:tcBorders>
              <w:tl2br w:val="nil"/>
              <w:tr2bl w:val="nil"/>
            </w:tcBorders>
            <w:vAlign w:val="center"/>
          </w:tcPr>
          <w:p>
            <w:pPr>
              <w:adjustRightInd w:val="0"/>
              <w:snapToGrid w:val="0"/>
              <w:spacing w:line="300" w:lineRule="atLeast"/>
              <w:jc w:val="center"/>
              <w:rPr>
                <w:szCs w:val="21"/>
                <w:highlight w:val="none"/>
              </w:rPr>
            </w:pPr>
            <w:r>
              <w:rPr>
                <w:szCs w:val="21"/>
                <w:highlight w:val="none"/>
              </w:rPr>
              <w:t>危废间</w:t>
            </w:r>
            <w:r>
              <w:rPr>
                <w:rFonts w:hint="eastAsia"/>
                <w:szCs w:val="21"/>
                <w:highlight w:val="none"/>
              </w:rPr>
              <w:t>、化粪池</w:t>
            </w:r>
          </w:p>
        </w:tc>
      </w:tr>
    </w:tbl>
    <w:p>
      <w:pPr>
        <w:spacing w:line="480" w:lineRule="exact"/>
        <w:ind w:firstLine="480" w:firstLineChars="200"/>
        <w:rPr>
          <w:sz w:val="24"/>
          <w:highlight w:val="none"/>
        </w:rPr>
      </w:pPr>
      <w:r>
        <w:rPr>
          <w:sz w:val="24"/>
          <w:highlight w:val="none"/>
        </w:rPr>
        <w:t>重点防渗区</w:t>
      </w:r>
      <w:r>
        <w:rPr>
          <w:rFonts w:hint="eastAsia"/>
          <w:sz w:val="24"/>
          <w:highlight w:val="none"/>
        </w:rPr>
        <w:t>：危废间、</w:t>
      </w:r>
      <w:r>
        <w:rPr>
          <w:rFonts w:hint="eastAsia"/>
          <w:sz w:val="24"/>
          <w:highlight w:val="none"/>
          <w:lang w:eastAsia="zh-CN"/>
        </w:rPr>
        <w:t>变压器事故油池</w:t>
      </w:r>
      <w:r>
        <w:rPr>
          <w:rFonts w:hint="eastAsia"/>
          <w:sz w:val="24"/>
          <w:highlight w:val="none"/>
        </w:rPr>
        <w:t>：最底层采用夯实黏土，地面底层为水泥砂浆，防渗层为2mm厚高密度聚乙烯防渗布，最后以防渗混凝土做地，上方涂环氧乙烯基酯树脂进行处理，表面无裂隙，裙角涂环氧乙烯基酯树脂高度50cm，并设置30cm的防渗围堰，渗透系数≤1×10</w:t>
      </w:r>
      <w:r>
        <w:rPr>
          <w:rFonts w:hint="eastAsia"/>
          <w:sz w:val="24"/>
          <w:highlight w:val="none"/>
          <w:vertAlign w:val="superscript"/>
        </w:rPr>
        <w:t>-10</w:t>
      </w:r>
      <w:r>
        <w:rPr>
          <w:rFonts w:hint="eastAsia"/>
          <w:sz w:val="24"/>
          <w:highlight w:val="none"/>
        </w:rPr>
        <w:t xml:space="preserve"> cm/s。</w:t>
      </w:r>
    </w:p>
    <w:p>
      <w:pPr>
        <w:spacing w:line="480" w:lineRule="exact"/>
        <w:ind w:firstLine="480" w:firstLineChars="200"/>
        <w:rPr>
          <w:sz w:val="24"/>
          <w:highlight w:val="none"/>
        </w:rPr>
      </w:pPr>
      <w:r>
        <w:rPr>
          <w:rFonts w:hint="eastAsia"/>
          <w:sz w:val="24"/>
          <w:highlight w:val="none"/>
        </w:rPr>
        <w:t>化粪池：化粪池尺寸2m×1.5m×1m，防渗使用三七灰土夯实后，铺设200mm厚抗渗混凝土，上面玻璃纤维防水材料。防渗层渗透系数小于1×10</w:t>
      </w:r>
      <w:r>
        <w:rPr>
          <w:rFonts w:hint="eastAsia"/>
          <w:sz w:val="24"/>
          <w:highlight w:val="none"/>
          <w:vertAlign w:val="superscript"/>
        </w:rPr>
        <w:t>-10</w:t>
      </w:r>
      <w:r>
        <w:rPr>
          <w:rFonts w:hint="eastAsia"/>
          <w:sz w:val="24"/>
          <w:highlight w:val="none"/>
        </w:rPr>
        <w:t>cm/s。</w:t>
      </w:r>
    </w:p>
    <w:p>
      <w:pPr>
        <w:spacing w:line="480" w:lineRule="exact"/>
        <w:ind w:firstLine="480" w:firstLineChars="200"/>
        <w:rPr>
          <w:sz w:val="24"/>
          <w:highlight w:val="none"/>
          <w:lang w:val="zh-CN"/>
        </w:rPr>
      </w:pPr>
      <w:r>
        <w:rPr>
          <w:sz w:val="24"/>
          <w:highlight w:val="none"/>
        </w:rPr>
        <w:t>一般防渗区</w:t>
      </w:r>
      <w:r>
        <w:rPr>
          <w:rFonts w:hint="eastAsia"/>
          <w:sz w:val="24"/>
          <w:highlight w:val="none"/>
        </w:rPr>
        <w:t>：</w:t>
      </w:r>
      <w:r>
        <w:rPr>
          <w:sz w:val="24"/>
          <w:highlight w:val="none"/>
          <w:lang w:val="zh-CN"/>
        </w:rPr>
        <w:t>厂房、控制室，地面采用铺设200mm厚抗渗混凝土</w:t>
      </w:r>
      <w:r>
        <w:rPr>
          <w:rFonts w:hint="eastAsia"/>
          <w:sz w:val="24"/>
          <w:highlight w:val="none"/>
          <w:lang w:val="zh-CN"/>
        </w:rPr>
        <w:t>，</w:t>
      </w:r>
      <w:r>
        <w:rPr>
          <w:sz w:val="24"/>
          <w:highlight w:val="none"/>
        </w:rPr>
        <w:t>渗透系数小于10</w:t>
      </w:r>
      <w:r>
        <w:rPr>
          <w:sz w:val="24"/>
          <w:highlight w:val="none"/>
          <w:vertAlign w:val="superscript"/>
        </w:rPr>
        <w:t>-7</w:t>
      </w:r>
      <w:r>
        <w:rPr>
          <w:sz w:val="24"/>
          <w:highlight w:val="none"/>
        </w:rPr>
        <w:t>cm/s</w:t>
      </w:r>
      <w:r>
        <w:rPr>
          <w:sz w:val="24"/>
          <w:highlight w:val="none"/>
          <w:lang w:val="zh-CN"/>
        </w:rPr>
        <w:t>。</w:t>
      </w:r>
    </w:p>
    <w:p>
      <w:pPr>
        <w:spacing w:line="480" w:lineRule="exact"/>
        <w:ind w:firstLine="480" w:firstLineChars="200"/>
        <w:rPr>
          <w:sz w:val="24"/>
          <w:highlight w:val="none"/>
        </w:rPr>
      </w:pPr>
      <w:r>
        <w:rPr>
          <w:sz w:val="24"/>
          <w:highlight w:val="none"/>
        </w:rPr>
        <w:t>简单防渗区</w:t>
      </w:r>
      <w:r>
        <w:rPr>
          <w:rFonts w:hint="eastAsia"/>
          <w:sz w:val="24"/>
          <w:highlight w:val="none"/>
        </w:rPr>
        <w:t>：</w:t>
      </w:r>
      <w:r>
        <w:rPr>
          <w:sz w:val="24"/>
          <w:highlight w:val="none"/>
        </w:rPr>
        <w:t>除重点防渗区和一般防渗区以外的</w:t>
      </w:r>
      <w:r>
        <w:rPr>
          <w:sz w:val="24"/>
          <w:highlight w:val="none"/>
          <w:lang w:val="zh-CN"/>
        </w:rPr>
        <w:t>公用电站区、办公区等，</w:t>
      </w:r>
      <w:r>
        <w:rPr>
          <w:sz w:val="24"/>
          <w:highlight w:val="none"/>
        </w:rPr>
        <w:t>采用水泥硬化。</w:t>
      </w:r>
    </w:p>
    <w:p>
      <w:pPr>
        <w:spacing w:line="480" w:lineRule="exact"/>
        <w:rPr>
          <w:b/>
          <w:bCs/>
          <w:sz w:val="24"/>
          <w:highlight w:val="none"/>
        </w:rPr>
      </w:pPr>
      <w:bookmarkStart w:id="243" w:name="_Toc468693011"/>
      <w:bookmarkStart w:id="244" w:name="_Toc31757"/>
      <w:bookmarkStart w:id="245" w:name="_Toc360172842"/>
      <w:bookmarkStart w:id="246" w:name="_Toc357332414"/>
      <w:r>
        <w:rPr>
          <w:rFonts w:hint="eastAsia"/>
          <w:b/>
          <w:bCs/>
          <w:sz w:val="24"/>
          <w:highlight w:val="none"/>
        </w:rPr>
        <w:t>5.</w:t>
      </w:r>
      <w:r>
        <w:rPr>
          <w:rFonts w:hint="eastAsia"/>
          <w:b/>
          <w:bCs/>
          <w:sz w:val="24"/>
          <w:highlight w:val="none"/>
          <w:lang w:val="en-US" w:eastAsia="zh-CN"/>
        </w:rPr>
        <w:t>5</w:t>
      </w:r>
      <w:r>
        <w:rPr>
          <w:rFonts w:hint="eastAsia"/>
          <w:b/>
          <w:bCs/>
          <w:sz w:val="24"/>
          <w:highlight w:val="none"/>
        </w:rPr>
        <w:t>.4</w:t>
      </w:r>
      <w:r>
        <w:rPr>
          <w:b/>
          <w:bCs/>
          <w:sz w:val="24"/>
          <w:highlight w:val="none"/>
        </w:rPr>
        <w:t>地下水环境质量监测</w:t>
      </w:r>
      <w:r>
        <w:rPr>
          <w:rFonts w:hint="eastAsia"/>
          <w:b/>
          <w:bCs/>
          <w:sz w:val="24"/>
          <w:highlight w:val="none"/>
        </w:rPr>
        <w:t>与</w:t>
      </w:r>
      <w:r>
        <w:rPr>
          <w:b/>
          <w:bCs/>
          <w:sz w:val="24"/>
          <w:highlight w:val="none"/>
        </w:rPr>
        <w:t>管理</w:t>
      </w:r>
      <w:bookmarkEnd w:id="243"/>
      <w:bookmarkEnd w:id="244"/>
      <w:bookmarkEnd w:id="245"/>
      <w:bookmarkEnd w:id="246"/>
    </w:p>
    <w:p>
      <w:pPr>
        <w:autoSpaceDN w:val="0"/>
        <w:spacing w:line="480" w:lineRule="exact"/>
        <w:ind w:firstLine="480" w:firstLineChars="200"/>
        <w:rPr>
          <w:sz w:val="24"/>
          <w:highlight w:val="none"/>
        </w:rPr>
      </w:pPr>
      <w:r>
        <w:rPr>
          <w:sz w:val="24"/>
          <w:highlight w:val="none"/>
        </w:rPr>
        <w:t>为了掌握本工程周围地下水环境质量状况和地下水体中污染物的动态变化，应对项目所在地周围的地下水水质进行监测，以便及时准确地反馈地下水水质状况，为防止对地下水的污染采取相应的措施提供重要依据。</w:t>
      </w:r>
    </w:p>
    <w:p>
      <w:pPr>
        <w:autoSpaceDN w:val="0"/>
        <w:spacing w:line="480" w:lineRule="exact"/>
        <w:ind w:firstLine="480" w:firstLineChars="200"/>
        <w:rPr>
          <w:sz w:val="24"/>
          <w:highlight w:val="none"/>
        </w:rPr>
      </w:pPr>
      <w:r>
        <w:rPr>
          <w:sz w:val="24"/>
          <w:highlight w:val="none"/>
        </w:rPr>
        <w:t>因为厂区附近相对较易污染的是浅层地下水，因此，此次以浅层地下水为监测对象，根据《地下水环境监测技术规范》HJ164-20</w:t>
      </w:r>
      <w:r>
        <w:rPr>
          <w:rFonts w:hint="eastAsia"/>
          <w:sz w:val="24"/>
          <w:highlight w:val="none"/>
          <w:lang w:val="en-US" w:eastAsia="zh-CN"/>
        </w:rPr>
        <w:t>20</w:t>
      </w:r>
      <w:r>
        <w:rPr>
          <w:sz w:val="24"/>
          <w:highlight w:val="none"/>
        </w:rPr>
        <w:t>的要求，共布设地下水水质监测井</w:t>
      </w:r>
      <w:r>
        <w:rPr>
          <w:rFonts w:hint="eastAsia"/>
          <w:sz w:val="24"/>
          <w:highlight w:val="none"/>
        </w:rPr>
        <w:t>3</w:t>
      </w:r>
      <w:r>
        <w:rPr>
          <w:sz w:val="24"/>
          <w:highlight w:val="none"/>
        </w:rPr>
        <w:t>眼，随时掌握地下水水质变化趋势。</w:t>
      </w:r>
      <w:r>
        <w:rPr>
          <w:rFonts w:hint="eastAsia"/>
          <w:sz w:val="24"/>
          <w:highlight w:val="none"/>
        </w:rPr>
        <w:t>水质监测点见下表：</w:t>
      </w:r>
    </w:p>
    <w:p>
      <w:pPr>
        <w:spacing w:line="480" w:lineRule="exact"/>
        <w:ind w:firstLine="482" w:firstLineChars="200"/>
        <w:jc w:val="center"/>
        <w:rPr>
          <w:b/>
          <w:sz w:val="24"/>
          <w:highlight w:val="none"/>
          <w:lang w:val="zh-CN"/>
        </w:rPr>
      </w:pPr>
      <w:r>
        <w:rPr>
          <w:b/>
          <w:sz w:val="24"/>
          <w:highlight w:val="none"/>
          <w:lang w:val="zh-CN"/>
        </w:rPr>
        <w:t>表</w:t>
      </w:r>
      <w:r>
        <w:rPr>
          <w:b/>
          <w:sz w:val="24"/>
          <w:highlight w:val="none"/>
        </w:rPr>
        <w:t>5.</w:t>
      </w:r>
      <w:r>
        <w:rPr>
          <w:rFonts w:hint="eastAsia"/>
          <w:b/>
          <w:sz w:val="24"/>
          <w:highlight w:val="none"/>
          <w:lang w:val="en-US" w:eastAsia="zh-CN"/>
        </w:rPr>
        <w:t>5</w:t>
      </w:r>
      <w:r>
        <w:rPr>
          <w:rFonts w:hint="eastAsia"/>
          <w:b/>
          <w:sz w:val="24"/>
          <w:highlight w:val="none"/>
        </w:rPr>
        <w:t>.</w:t>
      </w:r>
      <w:r>
        <w:rPr>
          <w:rFonts w:hint="eastAsia"/>
          <w:b/>
          <w:sz w:val="24"/>
          <w:highlight w:val="none"/>
          <w:lang w:val="en-US" w:eastAsia="zh-CN"/>
        </w:rPr>
        <w:t>5</w:t>
      </w:r>
      <w:r>
        <w:rPr>
          <w:b/>
          <w:sz w:val="24"/>
          <w:highlight w:val="none"/>
          <w:lang w:val="zh-CN"/>
        </w:rPr>
        <w:t xml:space="preserve">  水质监测点一览表</w:t>
      </w:r>
    </w:p>
    <w:tbl>
      <w:tblPr>
        <w:tblStyle w:val="51"/>
        <w:tblW w:w="83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0"/>
        <w:gridCol w:w="1171"/>
        <w:gridCol w:w="1763"/>
        <w:gridCol w:w="1213"/>
        <w:gridCol w:w="908"/>
        <w:gridCol w:w="720"/>
        <w:gridCol w:w="905"/>
        <w:gridCol w:w="12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490" w:type="dxa"/>
            <w:vAlign w:val="center"/>
          </w:tcPr>
          <w:p>
            <w:pPr>
              <w:spacing w:line="320" w:lineRule="exact"/>
              <w:jc w:val="center"/>
              <w:rPr>
                <w:szCs w:val="21"/>
                <w:highlight w:val="none"/>
              </w:rPr>
            </w:pPr>
            <w:r>
              <w:rPr>
                <w:szCs w:val="21"/>
                <w:highlight w:val="none"/>
              </w:rPr>
              <w:t>编号</w:t>
            </w:r>
          </w:p>
        </w:tc>
        <w:tc>
          <w:tcPr>
            <w:tcW w:w="1171" w:type="dxa"/>
            <w:vAlign w:val="center"/>
          </w:tcPr>
          <w:p>
            <w:pPr>
              <w:spacing w:line="320" w:lineRule="exact"/>
              <w:jc w:val="center"/>
              <w:rPr>
                <w:szCs w:val="21"/>
                <w:highlight w:val="none"/>
              </w:rPr>
            </w:pPr>
            <w:r>
              <w:rPr>
                <w:rFonts w:hint="eastAsia"/>
                <w:szCs w:val="21"/>
                <w:highlight w:val="none"/>
              </w:rPr>
              <w:t>位置</w:t>
            </w:r>
          </w:p>
        </w:tc>
        <w:tc>
          <w:tcPr>
            <w:tcW w:w="1763" w:type="dxa"/>
            <w:vAlign w:val="center"/>
          </w:tcPr>
          <w:p>
            <w:pPr>
              <w:spacing w:line="320" w:lineRule="exact"/>
              <w:jc w:val="center"/>
              <w:rPr>
                <w:color w:val="auto"/>
                <w:szCs w:val="21"/>
                <w:highlight w:val="none"/>
              </w:rPr>
            </w:pPr>
            <w:r>
              <w:rPr>
                <w:rFonts w:hint="eastAsia"/>
                <w:color w:val="auto"/>
                <w:szCs w:val="21"/>
                <w:highlight w:val="none"/>
              </w:rPr>
              <w:t>标准</w:t>
            </w:r>
          </w:p>
        </w:tc>
        <w:tc>
          <w:tcPr>
            <w:tcW w:w="1213" w:type="dxa"/>
            <w:vAlign w:val="center"/>
          </w:tcPr>
          <w:p>
            <w:pPr>
              <w:pStyle w:val="21"/>
              <w:spacing w:after="0" w:line="320" w:lineRule="exact"/>
              <w:jc w:val="center"/>
              <w:rPr>
                <w:rFonts w:hint="default" w:ascii="Times New Roman" w:hAnsi="Times New Roman"/>
                <w:sz w:val="21"/>
                <w:szCs w:val="21"/>
                <w:highlight w:val="none"/>
              </w:rPr>
            </w:pPr>
            <w:r>
              <w:rPr>
                <w:rFonts w:hint="default" w:ascii="Times New Roman" w:hAnsi="Times New Roman"/>
                <w:sz w:val="21"/>
                <w:szCs w:val="21"/>
                <w:highlight w:val="none"/>
              </w:rPr>
              <w:t>距离厂界</w:t>
            </w:r>
          </w:p>
          <w:p>
            <w:pPr>
              <w:pStyle w:val="21"/>
              <w:spacing w:after="0" w:line="320" w:lineRule="exact"/>
              <w:jc w:val="center"/>
              <w:rPr>
                <w:rFonts w:hint="default" w:ascii="Times New Roman" w:hAnsi="Times New Roman"/>
                <w:sz w:val="21"/>
                <w:szCs w:val="21"/>
                <w:highlight w:val="none"/>
              </w:rPr>
            </w:pPr>
            <w:r>
              <w:rPr>
                <w:rFonts w:hint="default" w:ascii="Times New Roman" w:hAnsi="Times New Roman"/>
                <w:sz w:val="21"/>
                <w:szCs w:val="21"/>
                <w:highlight w:val="none"/>
              </w:rPr>
              <w:t>距离（m）</w:t>
            </w:r>
          </w:p>
        </w:tc>
        <w:tc>
          <w:tcPr>
            <w:tcW w:w="908" w:type="dxa"/>
            <w:vAlign w:val="center"/>
          </w:tcPr>
          <w:p>
            <w:pPr>
              <w:spacing w:line="320" w:lineRule="exact"/>
              <w:jc w:val="center"/>
              <w:rPr>
                <w:szCs w:val="21"/>
                <w:highlight w:val="none"/>
              </w:rPr>
            </w:pPr>
            <w:r>
              <w:rPr>
                <w:rFonts w:hint="eastAsia"/>
                <w:szCs w:val="21"/>
                <w:highlight w:val="none"/>
              </w:rPr>
              <w:t>监测</w:t>
            </w:r>
          </w:p>
          <w:p>
            <w:pPr>
              <w:spacing w:line="320" w:lineRule="exact"/>
              <w:jc w:val="center"/>
              <w:rPr>
                <w:szCs w:val="21"/>
                <w:highlight w:val="none"/>
              </w:rPr>
            </w:pPr>
            <w:r>
              <w:rPr>
                <w:rFonts w:hint="eastAsia"/>
                <w:szCs w:val="21"/>
                <w:highlight w:val="none"/>
              </w:rPr>
              <w:t>项目</w:t>
            </w:r>
          </w:p>
        </w:tc>
        <w:tc>
          <w:tcPr>
            <w:tcW w:w="720" w:type="dxa"/>
            <w:vAlign w:val="center"/>
          </w:tcPr>
          <w:p>
            <w:pPr>
              <w:spacing w:line="320" w:lineRule="exact"/>
              <w:jc w:val="center"/>
              <w:rPr>
                <w:szCs w:val="21"/>
                <w:highlight w:val="none"/>
              </w:rPr>
            </w:pPr>
            <w:r>
              <w:rPr>
                <w:rFonts w:hint="eastAsia"/>
                <w:szCs w:val="21"/>
                <w:highlight w:val="none"/>
              </w:rPr>
              <w:t>检测</w:t>
            </w:r>
          </w:p>
          <w:p>
            <w:pPr>
              <w:spacing w:line="320" w:lineRule="exact"/>
              <w:jc w:val="center"/>
              <w:rPr>
                <w:szCs w:val="21"/>
                <w:highlight w:val="none"/>
              </w:rPr>
            </w:pPr>
            <w:r>
              <w:rPr>
                <w:rFonts w:hint="eastAsia"/>
                <w:szCs w:val="21"/>
                <w:highlight w:val="none"/>
              </w:rPr>
              <w:t>频次</w:t>
            </w:r>
          </w:p>
        </w:tc>
        <w:tc>
          <w:tcPr>
            <w:tcW w:w="905" w:type="dxa"/>
            <w:vAlign w:val="center"/>
          </w:tcPr>
          <w:p>
            <w:pPr>
              <w:spacing w:line="320" w:lineRule="exact"/>
              <w:jc w:val="center"/>
              <w:rPr>
                <w:szCs w:val="21"/>
                <w:highlight w:val="none"/>
              </w:rPr>
            </w:pPr>
            <w:r>
              <w:rPr>
                <w:szCs w:val="21"/>
                <w:highlight w:val="none"/>
              </w:rPr>
              <w:t>功能</w:t>
            </w:r>
          </w:p>
        </w:tc>
        <w:tc>
          <w:tcPr>
            <w:tcW w:w="1212" w:type="dxa"/>
            <w:vAlign w:val="center"/>
          </w:tcPr>
          <w:p>
            <w:pPr>
              <w:spacing w:line="320" w:lineRule="exact"/>
              <w:jc w:val="center"/>
              <w:rPr>
                <w:szCs w:val="21"/>
                <w:highlight w:val="none"/>
              </w:rPr>
            </w:pPr>
            <w:r>
              <w:rPr>
                <w:szCs w:val="21"/>
                <w:highlight w:val="none"/>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490" w:type="dxa"/>
            <w:vAlign w:val="center"/>
          </w:tcPr>
          <w:p>
            <w:pPr>
              <w:spacing w:line="320" w:lineRule="exact"/>
              <w:jc w:val="center"/>
              <w:rPr>
                <w:rFonts w:hint="default" w:eastAsia="宋体"/>
                <w:szCs w:val="21"/>
                <w:highlight w:val="none"/>
                <w:lang w:val="en-US" w:eastAsia="zh-CN"/>
              </w:rPr>
            </w:pPr>
            <w:r>
              <w:rPr>
                <w:rFonts w:hint="eastAsia"/>
                <w:szCs w:val="21"/>
                <w:highlight w:val="none"/>
                <w:lang w:val="en-US" w:eastAsia="zh-CN"/>
              </w:rPr>
              <w:t>1#</w:t>
            </w:r>
          </w:p>
        </w:tc>
        <w:tc>
          <w:tcPr>
            <w:tcW w:w="1171" w:type="dxa"/>
            <w:vAlign w:val="center"/>
          </w:tcPr>
          <w:p>
            <w:pPr>
              <w:spacing w:line="320" w:lineRule="exact"/>
              <w:jc w:val="center"/>
              <w:rPr>
                <w:szCs w:val="21"/>
                <w:highlight w:val="none"/>
              </w:rPr>
            </w:pPr>
            <w:r>
              <w:rPr>
                <w:rFonts w:hint="eastAsia"/>
                <w:szCs w:val="21"/>
                <w:highlight w:val="none"/>
              </w:rPr>
              <w:t>电站</w:t>
            </w:r>
            <w:r>
              <w:rPr>
                <w:szCs w:val="21"/>
                <w:highlight w:val="none"/>
              </w:rPr>
              <w:t>上游</w:t>
            </w:r>
          </w:p>
        </w:tc>
        <w:tc>
          <w:tcPr>
            <w:tcW w:w="1763" w:type="dxa"/>
            <w:vMerge w:val="restart"/>
            <w:vAlign w:val="center"/>
          </w:tcPr>
          <w:p>
            <w:pPr>
              <w:spacing w:line="320" w:lineRule="exact"/>
              <w:jc w:val="center"/>
              <w:rPr>
                <w:color w:val="auto"/>
                <w:szCs w:val="21"/>
                <w:highlight w:val="none"/>
              </w:rPr>
            </w:pPr>
            <w:r>
              <w:rPr>
                <w:color w:val="auto"/>
                <w:kern w:val="24"/>
                <w:szCs w:val="21"/>
                <w:highlight w:val="none"/>
              </w:rPr>
              <w:t>《地下水质量标准》（GB/T 14848-2017）</w:t>
            </w:r>
            <w:r>
              <w:rPr>
                <w:rFonts w:hint="eastAsia" w:ascii="宋体" w:hAnsi="宋体" w:cs="宋体"/>
                <w:color w:val="auto"/>
                <w:kern w:val="24"/>
                <w:szCs w:val="21"/>
                <w:highlight w:val="none"/>
              </w:rPr>
              <w:t>Ⅲ</w:t>
            </w:r>
            <w:r>
              <w:rPr>
                <w:color w:val="auto"/>
                <w:kern w:val="24"/>
                <w:szCs w:val="21"/>
                <w:highlight w:val="none"/>
              </w:rPr>
              <w:t>类标准</w:t>
            </w:r>
          </w:p>
        </w:tc>
        <w:tc>
          <w:tcPr>
            <w:tcW w:w="1213" w:type="dxa"/>
            <w:vAlign w:val="center"/>
          </w:tcPr>
          <w:p>
            <w:pPr>
              <w:spacing w:line="320" w:lineRule="exact"/>
              <w:jc w:val="center"/>
              <w:rPr>
                <w:rFonts w:hint="default" w:eastAsia="宋体"/>
                <w:szCs w:val="21"/>
                <w:highlight w:val="none"/>
                <w:lang w:val="en-US" w:eastAsia="zh-CN"/>
              </w:rPr>
            </w:pPr>
            <w:r>
              <w:rPr>
                <w:rFonts w:hint="eastAsia"/>
                <w:szCs w:val="21"/>
                <w:highlight w:val="none"/>
                <w:lang w:val="en-US" w:eastAsia="zh-CN"/>
              </w:rPr>
              <w:t>1500</w:t>
            </w:r>
          </w:p>
        </w:tc>
        <w:tc>
          <w:tcPr>
            <w:tcW w:w="908" w:type="dxa"/>
            <w:vMerge w:val="restart"/>
            <w:vAlign w:val="center"/>
          </w:tcPr>
          <w:p>
            <w:pPr>
              <w:spacing w:line="320" w:lineRule="exact"/>
              <w:jc w:val="center"/>
              <w:rPr>
                <w:szCs w:val="21"/>
                <w:highlight w:val="none"/>
              </w:rPr>
            </w:pPr>
            <w:r>
              <w:rPr>
                <w:rFonts w:hint="eastAsia"/>
                <w:szCs w:val="21"/>
                <w:highlight w:val="none"/>
              </w:rPr>
              <w:t>pH、耗氧量、氨氮、石油类</w:t>
            </w:r>
          </w:p>
        </w:tc>
        <w:tc>
          <w:tcPr>
            <w:tcW w:w="720" w:type="dxa"/>
            <w:vMerge w:val="restart"/>
            <w:vAlign w:val="center"/>
          </w:tcPr>
          <w:p>
            <w:pPr>
              <w:spacing w:line="320" w:lineRule="exact"/>
              <w:jc w:val="center"/>
              <w:rPr>
                <w:sz w:val="24"/>
                <w:highlight w:val="none"/>
              </w:rPr>
            </w:pPr>
            <w:r>
              <w:rPr>
                <w:rFonts w:hint="eastAsia"/>
                <w:sz w:val="24"/>
                <w:highlight w:val="none"/>
              </w:rPr>
              <w:t>1次/1年</w:t>
            </w:r>
          </w:p>
        </w:tc>
        <w:tc>
          <w:tcPr>
            <w:tcW w:w="905" w:type="dxa"/>
            <w:vAlign w:val="center"/>
          </w:tcPr>
          <w:p>
            <w:pPr>
              <w:spacing w:line="320" w:lineRule="exact"/>
              <w:jc w:val="center"/>
              <w:rPr>
                <w:szCs w:val="21"/>
                <w:highlight w:val="none"/>
              </w:rPr>
            </w:pPr>
            <w:r>
              <w:rPr>
                <w:szCs w:val="21"/>
                <w:highlight w:val="none"/>
              </w:rPr>
              <w:t>背景值</w:t>
            </w:r>
          </w:p>
        </w:tc>
        <w:tc>
          <w:tcPr>
            <w:tcW w:w="1212" w:type="dxa"/>
            <w:vAlign w:val="center"/>
          </w:tcPr>
          <w:p>
            <w:pPr>
              <w:widowControl/>
              <w:spacing w:line="320" w:lineRule="exact"/>
              <w:jc w:val="center"/>
              <w:textAlignment w:val="center"/>
              <w:rPr>
                <w:szCs w:val="21"/>
                <w:highlight w:val="none"/>
              </w:rPr>
            </w:pPr>
            <w:r>
              <w:rPr>
                <w:rFonts w:hint="eastAsia"/>
                <w:szCs w:val="21"/>
                <w:highlight w:val="none"/>
                <w:lang w:eastAsia="zh-CN"/>
              </w:rPr>
              <w:t>东埔</w:t>
            </w:r>
            <w:r>
              <w:rPr>
                <w:rFonts w:hint="eastAsia"/>
                <w:szCs w:val="21"/>
                <w:highlight w:val="none"/>
              </w:rPr>
              <w:t>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490" w:type="dxa"/>
            <w:vAlign w:val="center"/>
          </w:tcPr>
          <w:p>
            <w:pPr>
              <w:spacing w:line="320" w:lineRule="exact"/>
              <w:jc w:val="center"/>
              <w:rPr>
                <w:rFonts w:hint="default" w:eastAsia="宋体"/>
                <w:szCs w:val="21"/>
                <w:highlight w:val="none"/>
                <w:lang w:val="en-US" w:eastAsia="zh-CN"/>
              </w:rPr>
            </w:pPr>
            <w:r>
              <w:rPr>
                <w:rFonts w:hint="eastAsia"/>
                <w:szCs w:val="21"/>
                <w:highlight w:val="none"/>
                <w:lang w:val="en-US" w:eastAsia="zh-CN"/>
              </w:rPr>
              <w:t>2#</w:t>
            </w:r>
          </w:p>
        </w:tc>
        <w:tc>
          <w:tcPr>
            <w:tcW w:w="1171" w:type="dxa"/>
            <w:vAlign w:val="center"/>
          </w:tcPr>
          <w:p>
            <w:pPr>
              <w:widowControl/>
              <w:autoSpaceDN w:val="0"/>
              <w:spacing w:line="320" w:lineRule="exact"/>
              <w:jc w:val="center"/>
              <w:rPr>
                <w:kern w:val="0"/>
                <w:szCs w:val="21"/>
                <w:highlight w:val="none"/>
              </w:rPr>
            </w:pPr>
            <w:r>
              <w:rPr>
                <w:rFonts w:hint="eastAsia"/>
                <w:szCs w:val="21"/>
                <w:highlight w:val="none"/>
              </w:rPr>
              <w:t>电站</w:t>
            </w:r>
            <w:r>
              <w:rPr>
                <w:szCs w:val="21"/>
                <w:highlight w:val="none"/>
              </w:rPr>
              <w:t>上游</w:t>
            </w:r>
          </w:p>
        </w:tc>
        <w:tc>
          <w:tcPr>
            <w:tcW w:w="1763" w:type="dxa"/>
            <w:vMerge w:val="continue"/>
            <w:vAlign w:val="center"/>
          </w:tcPr>
          <w:p>
            <w:pPr>
              <w:widowControl/>
              <w:autoSpaceDN w:val="0"/>
              <w:spacing w:line="320" w:lineRule="exact"/>
              <w:jc w:val="center"/>
              <w:rPr>
                <w:szCs w:val="21"/>
                <w:highlight w:val="none"/>
              </w:rPr>
            </w:pPr>
          </w:p>
        </w:tc>
        <w:tc>
          <w:tcPr>
            <w:tcW w:w="1213" w:type="dxa"/>
            <w:vAlign w:val="center"/>
          </w:tcPr>
          <w:p>
            <w:pPr>
              <w:spacing w:line="320" w:lineRule="exact"/>
              <w:jc w:val="center"/>
              <w:rPr>
                <w:rFonts w:hint="default" w:eastAsia="宋体"/>
                <w:szCs w:val="21"/>
                <w:highlight w:val="none"/>
                <w:lang w:val="en-US" w:eastAsia="zh-CN"/>
              </w:rPr>
            </w:pPr>
            <w:r>
              <w:rPr>
                <w:rFonts w:hint="eastAsia"/>
                <w:szCs w:val="21"/>
                <w:highlight w:val="none"/>
                <w:lang w:val="en-US" w:eastAsia="zh-CN"/>
              </w:rPr>
              <w:t>940</w:t>
            </w:r>
          </w:p>
        </w:tc>
        <w:tc>
          <w:tcPr>
            <w:tcW w:w="908" w:type="dxa"/>
            <w:vMerge w:val="continue"/>
            <w:vAlign w:val="center"/>
          </w:tcPr>
          <w:p>
            <w:pPr>
              <w:spacing w:line="320" w:lineRule="exact"/>
              <w:jc w:val="center"/>
              <w:rPr>
                <w:szCs w:val="21"/>
                <w:highlight w:val="none"/>
              </w:rPr>
            </w:pPr>
          </w:p>
        </w:tc>
        <w:tc>
          <w:tcPr>
            <w:tcW w:w="720" w:type="dxa"/>
            <w:vMerge w:val="continue"/>
            <w:vAlign w:val="center"/>
          </w:tcPr>
          <w:p>
            <w:pPr>
              <w:spacing w:line="320" w:lineRule="exact"/>
              <w:jc w:val="center"/>
              <w:rPr>
                <w:szCs w:val="21"/>
                <w:highlight w:val="none"/>
              </w:rPr>
            </w:pPr>
          </w:p>
        </w:tc>
        <w:tc>
          <w:tcPr>
            <w:tcW w:w="905" w:type="dxa"/>
            <w:vMerge w:val="restart"/>
            <w:vAlign w:val="center"/>
          </w:tcPr>
          <w:p>
            <w:pPr>
              <w:spacing w:line="320" w:lineRule="exact"/>
              <w:jc w:val="center"/>
              <w:rPr>
                <w:szCs w:val="21"/>
                <w:highlight w:val="none"/>
              </w:rPr>
            </w:pPr>
            <w:r>
              <w:rPr>
                <w:rFonts w:hint="eastAsia"/>
                <w:szCs w:val="21"/>
                <w:highlight w:val="none"/>
              </w:rPr>
              <w:t>跟踪</w:t>
            </w:r>
            <w:r>
              <w:rPr>
                <w:szCs w:val="21"/>
                <w:highlight w:val="none"/>
              </w:rPr>
              <w:t>监测点</w:t>
            </w:r>
          </w:p>
        </w:tc>
        <w:tc>
          <w:tcPr>
            <w:tcW w:w="1212" w:type="dxa"/>
            <w:vAlign w:val="center"/>
          </w:tcPr>
          <w:p>
            <w:pPr>
              <w:widowControl/>
              <w:spacing w:line="320" w:lineRule="exact"/>
              <w:jc w:val="center"/>
              <w:textAlignment w:val="center"/>
              <w:rPr>
                <w:rFonts w:hint="eastAsia" w:eastAsia="宋体"/>
                <w:szCs w:val="21"/>
                <w:highlight w:val="none"/>
                <w:lang w:eastAsia="zh-CN"/>
              </w:rPr>
            </w:pPr>
            <w:r>
              <w:rPr>
                <w:rFonts w:hint="eastAsia"/>
                <w:szCs w:val="21"/>
                <w:highlight w:val="none"/>
                <w:lang w:eastAsia="zh-CN"/>
              </w:rPr>
              <w:t>西埔村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490" w:type="dxa"/>
            <w:vAlign w:val="center"/>
          </w:tcPr>
          <w:p>
            <w:pPr>
              <w:widowControl/>
              <w:autoSpaceDN w:val="0"/>
              <w:spacing w:line="320" w:lineRule="exact"/>
              <w:jc w:val="center"/>
              <w:rPr>
                <w:rFonts w:hint="default" w:eastAsia="宋体"/>
                <w:kern w:val="0"/>
                <w:szCs w:val="21"/>
                <w:highlight w:val="none"/>
                <w:lang w:val="en-US" w:eastAsia="zh-CN"/>
              </w:rPr>
            </w:pPr>
            <w:r>
              <w:rPr>
                <w:rFonts w:hint="eastAsia"/>
                <w:szCs w:val="21"/>
                <w:highlight w:val="none"/>
                <w:lang w:val="en-US" w:eastAsia="zh-CN"/>
              </w:rPr>
              <w:t>3#</w:t>
            </w:r>
          </w:p>
        </w:tc>
        <w:tc>
          <w:tcPr>
            <w:tcW w:w="1171" w:type="dxa"/>
            <w:vAlign w:val="center"/>
          </w:tcPr>
          <w:p>
            <w:pPr>
              <w:widowControl/>
              <w:autoSpaceDN w:val="0"/>
              <w:spacing w:line="320" w:lineRule="exact"/>
              <w:jc w:val="center"/>
              <w:rPr>
                <w:kern w:val="0"/>
                <w:szCs w:val="21"/>
                <w:highlight w:val="none"/>
              </w:rPr>
            </w:pPr>
            <w:r>
              <w:rPr>
                <w:rFonts w:hint="eastAsia"/>
                <w:szCs w:val="21"/>
                <w:highlight w:val="none"/>
              </w:rPr>
              <w:t>电站</w:t>
            </w:r>
            <w:r>
              <w:rPr>
                <w:szCs w:val="21"/>
                <w:highlight w:val="none"/>
              </w:rPr>
              <w:t>下游</w:t>
            </w:r>
          </w:p>
        </w:tc>
        <w:tc>
          <w:tcPr>
            <w:tcW w:w="1763" w:type="dxa"/>
            <w:vMerge w:val="continue"/>
            <w:vAlign w:val="center"/>
          </w:tcPr>
          <w:p>
            <w:pPr>
              <w:widowControl/>
              <w:autoSpaceDN w:val="0"/>
              <w:spacing w:line="320" w:lineRule="exact"/>
              <w:jc w:val="center"/>
              <w:rPr>
                <w:szCs w:val="21"/>
                <w:highlight w:val="none"/>
              </w:rPr>
            </w:pPr>
          </w:p>
        </w:tc>
        <w:tc>
          <w:tcPr>
            <w:tcW w:w="1213" w:type="dxa"/>
            <w:vAlign w:val="center"/>
          </w:tcPr>
          <w:p>
            <w:pPr>
              <w:widowControl/>
              <w:autoSpaceDN w:val="0"/>
              <w:spacing w:line="320" w:lineRule="exact"/>
              <w:jc w:val="center"/>
              <w:rPr>
                <w:rFonts w:hint="default" w:eastAsia="宋体"/>
                <w:kern w:val="0"/>
                <w:szCs w:val="21"/>
                <w:highlight w:val="none"/>
                <w:lang w:val="en-US" w:eastAsia="zh-CN"/>
              </w:rPr>
            </w:pPr>
            <w:r>
              <w:rPr>
                <w:rFonts w:hint="eastAsia"/>
                <w:kern w:val="0"/>
                <w:szCs w:val="21"/>
                <w:highlight w:val="none"/>
                <w:lang w:val="en-US" w:eastAsia="zh-CN"/>
              </w:rPr>
              <w:t>1210</w:t>
            </w:r>
          </w:p>
        </w:tc>
        <w:tc>
          <w:tcPr>
            <w:tcW w:w="908" w:type="dxa"/>
            <w:vMerge w:val="continue"/>
            <w:vAlign w:val="center"/>
          </w:tcPr>
          <w:p>
            <w:pPr>
              <w:widowControl/>
              <w:autoSpaceDN w:val="0"/>
              <w:spacing w:line="320" w:lineRule="exact"/>
              <w:jc w:val="center"/>
              <w:rPr>
                <w:kern w:val="0"/>
                <w:szCs w:val="21"/>
                <w:highlight w:val="none"/>
              </w:rPr>
            </w:pPr>
          </w:p>
        </w:tc>
        <w:tc>
          <w:tcPr>
            <w:tcW w:w="720" w:type="dxa"/>
            <w:vMerge w:val="continue"/>
            <w:vAlign w:val="center"/>
          </w:tcPr>
          <w:p>
            <w:pPr>
              <w:widowControl/>
              <w:autoSpaceDN w:val="0"/>
              <w:spacing w:line="320" w:lineRule="exact"/>
              <w:jc w:val="center"/>
              <w:rPr>
                <w:kern w:val="0"/>
                <w:szCs w:val="21"/>
                <w:highlight w:val="none"/>
              </w:rPr>
            </w:pPr>
          </w:p>
        </w:tc>
        <w:tc>
          <w:tcPr>
            <w:tcW w:w="905" w:type="dxa"/>
            <w:vMerge w:val="continue"/>
            <w:vAlign w:val="center"/>
          </w:tcPr>
          <w:p>
            <w:pPr>
              <w:widowControl/>
              <w:autoSpaceDN w:val="0"/>
              <w:spacing w:line="320" w:lineRule="exact"/>
              <w:jc w:val="center"/>
              <w:rPr>
                <w:kern w:val="0"/>
                <w:szCs w:val="21"/>
                <w:highlight w:val="none"/>
              </w:rPr>
            </w:pPr>
          </w:p>
        </w:tc>
        <w:tc>
          <w:tcPr>
            <w:tcW w:w="1212" w:type="dxa"/>
            <w:vAlign w:val="center"/>
          </w:tcPr>
          <w:p>
            <w:pPr>
              <w:widowControl/>
              <w:spacing w:line="320" w:lineRule="exact"/>
              <w:jc w:val="center"/>
              <w:textAlignment w:val="center"/>
              <w:rPr>
                <w:rFonts w:hint="eastAsia" w:eastAsia="宋体"/>
                <w:kern w:val="0"/>
                <w:szCs w:val="21"/>
                <w:highlight w:val="none"/>
                <w:lang w:eastAsia="zh-CN"/>
              </w:rPr>
            </w:pPr>
            <w:r>
              <w:rPr>
                <w:rFonts w:hint="eastAsia"/>
                <w:kern w:val="0"/>
                <w:szCs w:val="21"/>
                <w:highlight w:val="none"/>
                <w:lang w:eastAsia="zh-CN"/>
              </w:rPr>
              <w:t>大安乐庄村</w:t>
            </w:r>
          </w:p>
        </w:tc>
      </w:tr>
    </w:tbl>
    <w:p>
      <w:pPr>
        <w:spacing w:line="480" w:lineRule="exact"/>
        <w:ind w:firstLine="480" w:firstLineChars="200"/>
        <w:rPr>
          <w:sz w:val="24"/>
          <w:highlight w:val="none"/>
        </w:rPr>
      </w:pPr>
      <w:r>
        <w:rPr>
          <w:sz w:val="24"/>
          <w:highlight w:val="none"/>
        </w:rPr>
        <w:t>根据《地下水环境监测技术规范》HJ164-20</w:t>
      </w:r>
      <w:r>
        <w:rPr>
          <w:rFonts w:hint="eastAsia"/>
          <w:sz w:val="24"/>
          <w:highlight w:val="none"/>
          <w:lang w:val="en-US" w:eastAsia="zh-CN"/>
        </w:rPr>
        <w:t>20</w:t>
      </w:r>
      <w:r>
        <w:rPr>
          <w:sz w:val="24"/>
          <w:highlight w:val="none"/>
        </w:rPr>
        <w:t>的要求及地下水监测点布设原则，厂区上下游共布设地下水水质浅层监测井3眼，见图5.</w:t>
      </w:r>
      <w:r>
        <w:rPr>
          <w:rFonts w:hint="eastAsia"/>
          <w:sz w:val="24"/>
          <w:highlight w:val="none"/>
        </w:rPr>
        <w:t>3-5</w:t>
      </w:r>
      <w:r>
        <w:rPr>
          <w:sz w:val="24"/>
          <w:highlight w:val="none"/>
        </w:rPr>
        <w:t>。</w:t>
      </w:r>
      <w:bookmarkStart w:id="247" w:name="_Toc323107314"/>
      <w:bookmarkStart w:id="248" w:name="_Toc327946309"/>
      <w:bookmarkStart w:id="249" w:name="_Toc321468338"/>
    </w:p>
    <w:p>
      <w:pPr>
        <w:pStyle w:val="26"/>
        <w:rPr>
          <w:highlight w:val="none"/>
        </w:rPr>
      </w:pPr>
    </w:p>
    <w:p>
      <w:pPr>
        <w:widowControl/>
        <w:spacing w:line="240" w:lineRule="auto"/>
        <w:ind w:left="0" w:leftChars="0" w:firstLine="0" w:firstLineChars="0"/>
        <w:jc w:val="center"/>
        <w:rPr>
          <w:rFonts w:hint="eastAsia" w:eastAsia="宋体"/>
          <w:b/>
          <w:bCs/>
          <w:snapToGrid w:val="0"/>
          <w:spacing w:val="-4"/>
          <w:sz w:val="24"/>
          <w:highlight w:val="none"/>
          <w:lang w:eastAsia="zh-CN"/>
        </w:rPr>
      </w:pPr>
      <w:r>
        <w:rPr>
          <w:rFonts w:hint="eastAsia" w:eastAsia="宋体"/>
          <w:b/>
          <w:bCs/>
          <w:snapToGrid w:val="0"/>
          <w:spacing w:val="-4"/>
          <w:sz w:val="24"/>
          <w:highlight w:val="none"/>
          <w:lang w:eastAsia="zh-CN"/>
        </w:rPr>
        <w:drawing>
          <wp:inline distT="0" distB="0" distL="114300" distR="114300">
            <wp:extent cx="5255260" cy="3443605"/>
            <wp:effectExtent l="0" t="0" r="2540" b="4445"/>
            <wp:docPr id="235" name="图片 235" descr="微信截图_20230726163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微信截图_20230726163313"/>
                    <pic:cNvPicPr>
                      <a:picLocks noChangeAspect="1"/>
                    </pic:cNvPicPr>
                  </pic:nvPicPr>
                  <pic:blipFill>
                    <a:blip r:embed="rId83"/>
                    <a:stretch>
                      <a:fillRect/>
                    </a:stretch>
                  </pic:blipFill>
                  <pic:spPr>
                    <a:xfrm>
                      <a:off x="0" y="0"/>
                      <a:ext cx="5255260" cy="3443605"/>
                    </a:xfrm>
                    <a:prstGeom prst="rect">
                      <a:avLst/>
                    </a:prstGeom>
                  </pic:spPr>
                </pic:pic>
              </a:graphicData>
            </a:graphic>
          </wp:inline>
        </w:drawing>
      </w:r>
    </w:p>
    <w:p>
      <w:pPr>
        <w:widowControl/>
        <w:spacing w:line="240" w:lineRule="auto"/>
        <w:ind w:firstLine="466" w:firstLineChars="200"/>
        <w:jc w:val="center"/>
        <w:rPr>
          <w:b/>
          <w:bCs/>
          <w:snapToGrid w:val="0"/>
          <w:spacing w:val="-4"/>
          <w:sz w:val="24"/>
          <w:highlight w:val="none"/>
        </w:rPr>
      </w:pPr>
      <w:r>
        <w:rPr>
          <w:rFonts w:hint="eastAsia"/>
          <w:b/>
          <w:bCs/>
          <w:snapToGrid w:val="0"/>
          <w:spacing w:val="-4"/>
          <w:sz w:val="24"/>
          <w:highlight w:val="none"/>
          <w:lang w:eastAsia="zh-CN"/>
        </w:rPr>
        <w:t>图</w:t>
      </w:r>
      <w:r>
        <w:rPr>
          <w:b/>
          <w:bCs/>
          <w:snapToGrid w:val="0"/>
          <w:spacing w:val="-4"/>
          <w:sz w:val="24"/>
          <w:highlight w:val="none"/>
        </w:rPr>
        <w:t>5.</w:t>
      </w:r>
      <w:r>
        <w:rPr>
          <w:rFonts w:hint="eastAsia"/>
          <w:b/>
          <w:bCs/>
          <w:snapToGrid w:val="0"/>
          <w:spacing w:val="-4"/>
          <w:sz w:val="24"/>
          <w:highlight w:val="none"/>
          <w:lang w:val="en-US" w:eastAsia="zh-CN"/>
        </w:rPr>
        <w:t>5</w:t>
      </w:r>
      <w:r>
        <w:rPr>
          <w:rFonts w:hint="eastAsia"/>
          <w:b/>
          <w:bCs/>
          <w:snapToGrid w:val="0"/>
          <w:spacing w:val="-4"/>
          <w:sz w:val="24"/>
          <w:highlight w:val="none"/>
        </w:rPr>
        <w:t>-</w:t>
      </w:r>
      <w:r>
        <w:rPr>
          <w:rFonts w:hint="eastAsia"/>
          <w:b/>
          <w:bCs/>
          <w:snapToGrid w:val="0"/>
          <w:spacing w:val="-4"/>
          <w:sz w:val="24"/>
          <w:highlight w:val="none"/>
          <w:lang w:val="en-US" w:eastAsia="zh-CN"/>
        </w:rPr>
        <w:t>4</w:t>
      </w:r>
      <w:r>
        <w:rPr>
          <w:b/>
          <w:bCs/>
          <w:snapToGrid w:val="0"/>
          <w:spacing w:val="-4"/>
          <w:sz w:val="24"/>
          <w:highlight w:val="none"/>
        </w:rPr>
        <w:t xml:space="preserve">  地下水监测点布置图</w:t>
      </w:r>
    </w:p>
    <w:bookmarkEnd w:id="247"/>
    <w:bookmarkEnd w:id="248"/>
    <w:bookmarkEnd w:id="249"/>
    <w:p>
      <w:pPr>
        <w:pStyle w:val="7"/>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sz w:val="24"/>
          <w:highlight w:val="none"/>
        </w:rPr>
      </w:pPr>
      <w:r>
        <w:rPr>
          <w:rFonts w:hint="eastAsia"/>
          <w:sz w:val="24"/>
          <w:highlight w:val="none"/>
        </w:rPr>
        <w:t>监测结果应按项目有关规定及时建立档案，同时还应定期向主管环境保护部门汇报，对于常规监测数据应该进行公开。如发现异常或发生事故，加密监测频次，改为每天监测一次，并分析污染原因，确定泄漏污染源，及时采取对应应急措施进行处理，开展系统调查，并上报有关部门。</w:t>
      </w:r>
    </w:p>
    <w:p>
      <w:pPr>
        <w:pStyle w:val="7"/>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sz w:val="24"/>
          <w:highlight w:val="none"/>
        </w:rPr>
      </w:pPr>
      <w:r>
        <w:rPr>
          <w:rFonts w:hint="eastAsia"/>
          <w:sz w:val="24"/>
          <w:highlight w:val="none"/>
        </w:rPr>
        <w:t>制定地下水环境跟踪监测的信息公开计划，定期公开地下水环境质量现状。</w:t>
      </w:r>
    </w:p>
    <w:p>
      <w:pPr>
        <w:pStyle w:val="7"/>
        <w:keepNext w:val="0"/>
        <w:keepLines w:val="0"/>
        <w:pageBreakBefore w:val="0"/>
        <w:widowControl w:val="0"/>
        <w:kinsoku/>
        <w:wordWrap/>
        <w:overflowPunct/>
        <w:topLinePunct w:val="0"/>
        <w:autoSpaceDE/>
        <w:autoSpaceDN/>
        <w:bidi w:val="0"/>
        <w:adjustRightInd/>
        <w:snapToGrid/>
        <w:spacing w:line="460" w:lineRule="exact"/>
        <w:ind w:firstLine="0"/>
        <w:textAlignment w:val="auto"/>
        <w:rPr>
          <w:b/>
          <w:bCs/>
          <w:sz w:val="24"/>
          <w:highlight w:val="none"/>
        </w:rPr>
      </w:pPr>
      <w:r>
        <w:rPr>
          <w:rFonts w:hint="eastAsia"/>
          <w:b/>
          <w:bCs/>
          <w:sz w:val="24"/>
          <w:highlight w:val="none"/>
        </w:rPr>
        <w:t>5.</w:t>
      </w:r>
      <w:r>
        <w:rPr>
          <w:rFonts w:hint="eastAsia"/>
          <w:b/>
          <w:bCs/>
          <w:sz w:val="24"/>
          <w:highlight w:val="none"/>
          <w:lang w:val="en-US" w:eastAsia="zh-CN"/>
        </w:rPr>
        <w:t>5</w:t>
      </w:r>
      <w:r>
        <w:rPr>
          <w:rFonts w:hint="eastAsia"/>
          <w:b/>
          <w:bCs/>
          <w:sz w:val="24"/>
          <w:highlight w:val="none"/>
        </w:rPr>
        <w:t>.5 应急响应</w:t>
      </w:r>
    </w:p>
    <w:p>
      <w:pPr>
        <w:pStyle w:val="7"/>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sz w:val="24"/>
          <w:highlight w:val="none"/>
        </w:rPr>
      </w:pPr>
      <w:r>
        <w:rPr>
          <w:rFonts w:hint="eastAsia"/>
          <w:sz w:val="24"/>
          <w:highlight w:val="none"/>
        </w:rPr>
        <w:t>为了做好地下水环境保护与污染防治应急措施，最大限度避免和减轻地下水污染造成的损失，制定地下水风险事故应急响应预案，成立应急指挥部，事故发生后及时采取措施。</w:t>
      </w:r>
    </w:p>
    <w:p>
      <w:pPr>
        <w:pStyle w:val="7"/>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sz w:val="24"/>
          <w:highlight w:val="none"/>
        </w:rPr>
      </w:pPr>
      <w:r>
        <w:rPr>
          <w:rFonts w:hint="eastAsia"/>
          <w:sz w:val="24"/>
          <w:highlight w:val="none"/>
        </w:rPr>
        <w:t>(1)当发生泄漏事故，或确定发生地下水异常情况时，按照制订的地下水应急预案，在第一时间内尽快上报主管领导，通知当地环保局，密切关注地下水水质变化情况；</w:t>
      </w:r>
    </w:p>
    <w:p>
      <w:pPr>
        <w:pStyle w:val="7"/>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sz w:val="24"/>
          <w:highlight w:val="none"/>
        </w:rPr>
      </w:pPr>
      <w:r>
        <w:rPr>
          <w:rFonts w:hint="eastAsia"/>
          <w:sz w:val="24"/>
          <w:highlight w:val="none"/>
        </w:rPr>
        <w:t>(2)对设备全面排查，对损坏泄漏的设备或设施立即停用；</w:t>
      </w:r>
    </w:p>
    <w:p>
      <w:pPr>
        <w:pStyle w:val="7"/>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sz w:val="24"/>
          <w:highlight w:val="none"/>
        </w:rPr>
      </w:pPr>
      <w:r>
        <w:rPr>
          <w:rFonts w:hint="eastAsia"/>
          <w:sz w:val="24"/>
          <w:highlight w:val="none"/>
        </w:rPr>
        <w:t>(3)组织专业队伍对事故现场进行调查、监测，结合监测结果查找环境事故发生地点、确定影响范围、分析事故原因，尽量将紧急事件局部化，如可能应予以消除，采取有效措施，防止事故的扩散、蔓延及连锁反应，尽量缩小地下水污染事故对人和财产的影响；</w:t>
      </w:r>
    </w:p>
    <w:p>
      <w:pPr>
        <w:pStyle w:val="7"/>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sz w:val="24"/>
          <w:highlight w:val="none"/>
        </w:rPr>
      </w:pPr>
      <w:r>
        <w:rPr>
          <w:rFonts w:hint="eastAsia"/>
          <w:sz w:val="24"/>
          <w:highlight w:val="none"/>
        </w:rPr>
        <w:t>(4)当通过监测发现对周围地下水造成污染时，根据观测井的反馈信息，控制污染区地下水流场，防止污染物扩散，若周边村庄取水井出现污染现象，采取措施对水井内地下水净化，并对受影响的村庄供水，保障居民生活用水；</w:t>
      </w:r>
    </w:p>
    <w:p>
      <w:pPr>
        <w:pStyle w:val="7"/>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sz w:val="24"/>
          <w:highlight w:val="none"/>
        </w:rPr>
      </w:pPr>
      <w:r>
        <w:rPr>
          <w:rFonts w:hint="eastAsia"/>
          <w:sz w:val="24"/>
          <w:highlight w:val="none"/>
        </w:rPr>
        <w:t>(5)对事故后果进行评估，并制定防止类似事件发生的措施</w:t>
      </w:r>
    </w:p>
    <w:p>
      <w:pPr>
        <w:pStyle w:val="7"/>
        <w:keepNext w:val="0"/>
        <w:keepLines w:val="0"/>
        <w:pageBreakBefore w:val="0"/>
        <w:widowControl w:val="0"/>
        <w:kinsoku/>
        <w:wordWrap/>
        <w:overflowPunct/>
        <w:topLinePunct w:val="0"/>
        <w:autoSpaceDE/>
        <w:autoSpaceDN/>
        <w:bidi w:val="0"/>
        <w:adjustRightInd/>
        <w:snapToGrid/>
        <w:spacing w:line="460" w:lineRule="exact"/>
        <w:ind w:firstLine="0"/>
        <w:textAlignment w:val="auto"/>
        <w:rPr>
          <w:sz w:val="24"/>
          <w:szCs w:val="24"/>
          <w:highlight w:val="none"/>
        </w:rPr>
      </w:pPr>
      <w:r>
        <w:rPr>
          <w:rFonts w:hint="eastAsia"/>
          <w:b/>
          <w:bCs/>
          <w:sz w:val="24"/>
          <w:highlight w:val="none"/>
        </w:rPr>
        <w:t>5</w:t>
      </w:r>
      <w:r>
        <w:rPr>
          <w:b/>
          <w:bCs/>
          <w:sz w:val="24"/>
          <w:highlight w:val="none"/>
        </w:rPr>
        <w:t>.</w:t>
      </w:r>
      <w:r>
        <w:rPr>
          <w:rFonts w:hint="eastAsia"/>
          <w:b/>
          <w:bCs/>
          <w:sz w:val="24"/>
          <w:highlight w:val="none"/>
          <w:lang w:val="en-US" w:eastAsia="zh-CN"/>
        </w:rPr>
        <w:t>5</w:t>
      </w:r>
      <w:r>
        <w:rPr>
          <w:b/>
          <w:bCs/>
          <w:sz w:val="24"/>
          <w:highlight w:val="none"/>
        </w:rPr>
        <w:t>.</w:t>
      </w:r>
      <w:r>
        <w:rPr>
          <w:rFonts w:hint="eastAsia"/>
          <w:b/>
          <w:bCs/>
          <w:sz w:val="24"/>
          <w:highlight w:val="none"/>
        </w:rPr>
        <w:t xml:space="preserve">6 </w:t>
      </w:r>
      <w:r>
        <w:rPr>
          <w:rFonts w:hint="eastAsia"/>
          <w:b/>
          <w:bCs/>
          <w:sz w:val="24"/>
          <w:szCs w:val="24"/>
          <w:highlight w:val="none"/>
        </w:rPr>
        <w:t>地下水环境影响回顾性评价结论</w:t>
      </w:r>
    </w:p>
    <w:p>
      <w:pPr>
        <w:pStyle w:val="7"/>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sz w:val="24"/>
          <w:szCs w:val="24"/>
          <w:highlight w:val="none"/>
        </w:rPr>
      </w:pPr>
      <w:r>
        <w:rPr>
          <w:rFonts w:hint="eastAsia"/>
          <w:sz w:val="24"/>
          <w:szCs w:val="24"/>
          <w:highlight w:val="none"/>
        </w:rPr>
        <w:t>由污染途径及对应措施分析可知，本项目对可能产生地下水影响的污染途径进行了有效预防，并加强维护和厂区环境管理的前提下，可有效控制厂区内的废水污染物及危废下渗现象，避免污染地下水，因此项目对区域地下水环境影响较小。</w:t>
      </w:r>
    </w:p>
    <w:p>
      <w:pPr>
        <w:pStyle w:val="7"/>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sz w:val="24"/>
          <w:szCs w:val="24"/>
          <w:highlight w:val="none"/>
        </w:rPr>
      </w:pPr>
      <w:r>
        <w:rPr>
          <w:rFonts w:hint="eastAsia"/>
          <w:sz w:val="24"/>
          <w:szCs w:val="24"/>
          <w:highlight w:val="none"/>
        </w:rPr>
        <w:t>根据地下水环境现状监测结果可知，在水电站已建成的情况下，周边地下水质量符合《地下水质量标准》(GB/T14848-2017)Ⅲ类标准，没有岀现污染物累积现象。综合分析来看，该地区不存在与地下水相关的环境问题，本项目的建设也不会带来新的地下水环境问题，在做好污水处理设施以及危废暂存间的防渗措施后，不会对地下水环境带来明显影响。</w:t>
      </w:r>
    </w:p>
    <w:p>
      <w:pPr>
        <w:pStyle w:val="7"/>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color w:val="auto"/>
          <w:sz w:val="24"/>
          <w:szCs w:val="24"/>
          <w:highlight w:val="none"/>
        </w:rPr>
      </w:pPr>
      <w:r>
        <w:rPr>
          <w:rFonts w:hint="eastAsia"/>
          <w:sz w:val="24"/>
          <w:szCs w:val="24"/>
          <w:highlight w:val="none"/>
        </w:rPr>
        <w:t>综合</w:t>
      </w:r>
      <w:r>
        <w:rPr>
          <w:rFonts w:hint="eastAsia"/>
          <w:color w:val="auto"/>
          <w:sz w:val="24"/>
          <w:szCs w:val="24"/>
          <w:highlight w:val="none"/>
        </w:rPr>
        <w:t>以上分析，本项目的建设对地下水环境的影响是可接受的</w:t>
      </w:r>
      <w:r>
        <w:rPr>
          <w:color w:val="auto"/>
          <w:sz w:val="24"/>
          <w:szCs w:val="24"/>
          <w:highlight w:val="none"/>
        </w:rPr>
        <w:t>。</w:t>
      </w:r>
    </w:p>
    <w:p>
      <w:pPr>
        <w:spacing w:line="480" w:lineRule="exact"/>
        <w:outlineLvl w:val="1"/>
        <w:rPr>
          <w:b/>
          <w:snapToGrid w:val="0"/>
          <w:color w:val="auto"/>
          <w:kern w:val="0"/>
          <w:sz w:val="24"/>
          <w:highlight w:val="none"/>
        </w:rPr>
      </w:pPr>
      <w:bookmarkStart w:id="250" w:name="_Toc25241"/>
      <w:r>
        <w:rPr>
          <w:rFonts w:hint="eastAsia"/>
          <w:b/>
          <w:snapToGrid w:val="0"/>
          <w:color w:val="auto"/>
          <w:kern w:val="0"/>
          <w:sz w:val="24"/>
          <w:highlight w:val="none"/>
        </w:rPr>
        <w:t>5.</w:t>
      </w:r>
      <w:r>
        <w:rPr>
          <w:rFonts w:hint="eastAsia"/>
          <w:b/>
          <w:snapToGrid w:val="0"/>
          <w:color w:val="auto"/>
          <w:kern w:val="0"/>
          <w:sz w:val="24"/>
          <w:highlight w:val="none"/>
          <w:lang w:val="en-US" w:eastAsia="zh-CN"/>
        </w:rPr>
        <w:t>6</w:t>
      </w:r>
      <w:r>
        <w:rPr>
          <w:rFonts w:hint="eastAsia"/>
          <w:b/>
          <w:snapToGrid w:val="0"/>
          <w:color w:val="auto"/>
          <w:kern w:val="0"/>
          <w:sz w:val="24"/>
          <w:highlight w:val="none"/>
        </w:rPr>
        <w:t>大气环境影响评价</w:t>
      </w:r>
      <w:bookmarkEnd w:id="250"/>
    </w:p>
    <w:p>
      <w:pPr>
        <w:spacing w:line="480" w:lineRule="exact"/>
        <w:ind w:firstLine="480" w:firstLineChars="200"/>
        <w:rPr>
          <w:color w:val="auto"/>
          <w:sz w:val="24"/>
          <w:highlight w:val="none"/>
        </w:rPr>
      </w:pPr>
      <w:r>
        <w:rPr>
          <w:rFonts w:hint="eastAsia"/>
          <w:color w:val="auto"/>
          <w:sz w:val="24"/>
          <w:highlight w:val="none"/>
        </w:rPr>
        <w:t>水电站营运期发电过程不产生废气。因此，项目对周围大气影响较小。</w:t>
      </w:r>
    </w:p>
    <w:p>
      <w:pPr>
        <w:spacing w:line="480" w:lineRule="exact"/>
        <w:outlineLvl w:val="1"/>
        <w:rPr>
          <w:b/>
          <w:snapToGrid w:val="0"/>
          <w:color w:val="auto"/>
          <w:kern w:val="0"/>
          <w:sz w:val="24"/>
          <w:highlight w:val="none"/>
        </w:rPr>
      </w:pPr>
      <w:bookmarkStart w:id="251" w:name="_Toc18808"/>
      <w:r>
        <w:rPr>
          <w:rFonts w:hint="eastAsia"/>
          <w:b/>
          <w:snapToGrid w:val="0"/>
          <w:color w:val="auto"/>
          <w:kern w:val="0"/>
          <w:sz w:val="24"/>
          <w:highlight w:val="none"/>
        </w:rPr>
        <w:t>5.</w:t>
      </w:r>
      <w:bookmarkStart w:id="252" w:name="_Toc15840"/>
      <w:bookmarkStart w:id="253" w:name="_Toc13084"/>
      <w:bookmarkStart w:id="254" w:name="_Toc30131"/>
      <w:bookmarkStart w:id="255" w:name="_Toc246763546"/>
      <w:r>
        <w:rPr>
          <w:rFonts w:hint="eastAsia"/>
          <w:b/>
          <w:snapToGrid w:val="0"/>
          <w:color w:val="auto"/>
          <w:kern w:val="0"/>
          <w:sz w:val="24"/>
          <w:highlight w:val="none"/>
          <w:lang w:val="en-US" w:eastAsia="zh-CN"/>
        </w:rPr>
        <w:t>7</w:t>
      </w:r>
      <w:r>
        <w:rPr>
          <w:b/>
          <w:snapToGrid w:val="0"/>
          <w:color w:val="auto"/>
          <w:kern w:val="0"/>
          <w:sz w:val="24"/>
          <w:highlight w:val="none"/>
        </w:rPr>
        <w:t>声环境影响评价</w:t>
      </w:r>
      <w:bookmarkEnd w:id="251"/>
      <w:bookmarkEnd w:id="252"/>
      <w:bookmarkEnd w:id="253"/>
      <w:bookmarkEnd w:id="254"/>
      <w:bookmarkEnd w:id="255"/>
    </w:p>
    <w:p>
      <w:pPr>
        <w:pStyle w:val="309"/>
        <w:rPr>
          <w:bCs/>
          <w:highlight w:val="none"/>
        </w:rPr>
      </w:pPr>
      <w:r>
        <w:rPr>
          <w:rFonts w:hint="eastAsia"/>
          <w:bCs/>
          <w:highlight w:val="none"/>
        </w:rPr>
        <w:t>运营期噪声主要来自电站</w:t>
      </w:r>
      <w:r>
        <w:rPr>
          <w:highlight w:val="none"/>
        </w:rPr>
        <w:t>发电机组、水轮机等产生的噪声，</w:t>
      </w:r>
      <w:r>
        <w:rPr>
          <w:kern w:val="0"/>
          <w:highlight w:val="none"/>
        </w:rPr>
        <w:t>运行规律为不间断、连续运转。</w:t>
      </w:r>
      <w:r>
        <w:rPr>
          <w:spacing w:val="-4"/>
          <w:highlight w:val="none"/>
        </w:rPr>
        <w:t>通过采取厂房封闭隔声、地下安装、基础减震等隔声措施，可</w:t>
      </w:r>
      <w:r>
        <w:rPr>
          <w:highlight w:val="none"/>
        </w:rPr>
        <w:t>综合降噪25</w:t>
      </w:r>
      <w:r>
        <w:rPr>
          <w:kern w:val="0"/>
          <w:highlight w:val="none"/>
        </w:rPr>
        <w:t>dB(A)。</w:t>
      </w:r>
    </w:p>
    <w:p>
      <w:pPr>
        <w:spacing w:line="480" w:lineRule="exact"/>
        <w:outlineLvl w:val="2"/>
        <w:rPr>
          <w:b/>
          <w:sz w:val="24"/>
          <w:highlight w:val="none"/>
        </w:rPr>
      </w:pPr>
      <w:r>
        <w:rPr>
          <w:rFonts w:hint="eastAsia"/>
          <w:b/>
          <w:sz w:val="24"/>
          <w:highlight w:val="none"/>
        </w:rPr>
        <w:t>5.</w:t>
      </w:r>
      <w:r>
        <w:rPr>
          <w:rFonts w:hint="eastAsia"/>
          <w:b/>
          <w:sz w:val="24"/>
          <w:highlight w:val="none"/>
          <w:lang w:val="en-US" w:eastAsia="zh-CN"/>
        </w:rPr>
        <w:t>7</w:t>
      </w:r>
      <w:r>
        <w:rPr>
          <w:rFonts w:hint="eastAsia"/>
          <w:b/>
          <w:sz w:val="24"/>
          <w:highlight w:val="none"/>
        </w:rPr>
        <w:t>.1</w:t>
      </w:r>
      <w:r>
        <w:rPr>
          <w:b/>
          <w:sz w:val="24"/>
          <w:highlight w:val="none"/>
        </w:rPr>
        <w:t>源</w:t>
      </w:r>
      <w:r>
        <w:rPr>
          <w:rFonts w:hint="eastAsia"/>
          <w:b/>
          <w:sz w:val="24"/>
          <w:highlight w:val="none"/>
        </w:rPr>
        <w:t>强</w:t>
      </w:r>
    </w:p>
    <w:p>
      <w:pPr>
        <w:spacing w:line="480" w:lineRule="exact"/>
        <w:ind w:firstLine="480" w:firstLineChars="200"/>
        <w:rPr>
          <w:rFonts w:hint="eastAsia"/>
          <w:sz w:val="24"/>
          <w:highlight w:val="none"/>
          <w:lang w:eastAsia="zh-CN"/>
        </w:rPr>
      </w:pPr>
      <w:r>
        <w:rPr>
          <w:sz w:val="24"/>
          <w:highlight w:val="none"/>
        </w:rPr>
        <w:t>主要噪声源强及治理措施见表</w:t>
      </w:r>
      <w:r>
        <w:rPr>
          <w:rFonts w:hint="eastAsia"/>
          <w:sz w:val="24"/>
          <w:highlight w:val="none"/>
        </w:rPr>
        <w:t>5.</w:t>
      </w:r>
      <w:r>
        <w:rPr>
          <w:rFonts w:hint="eastAsia"/>
          <w:sz w:val="24"/>
          <w:highlight w:val="none"/>
          <w:lang w:val="en-US" w:eastAsia="zh-CN"/>
        </w:rPr>
        <w:t>7</w:t>
      </w:r>
      <w:r>
        <w:rPr>
          <w:rFonts w:hint="eastAsia"/>
          <w:sz w:val="24"/>
          <w:highlight w:val="none"/>
        </w:rPr>
        <w:t>-1</w:t>
      </w:r>
      <w:r>
        <w:rPr>
          <w:rFonts w:hint="eastAsia"/>
          <w:sz w:val="24"/>
          <w:highlight w:val="none"/>
          <w:lang w:eastAsia="zh-CN"/>
        </w:rPr>
        <w:t>。</w:t>
      </w:r>
    </w:p>
    <w:p>
      <w:pPr>
        <w:spacing w:line="480" w:lineRule="exact"/>
        <w:outlineLvl w:val="2"/>
        <w:rPr>
          <w:b/>
          <w:sz w:val="24"/>
          <w:highlight w:val="none"/>
        </w:rPr>
      </w:pPr>
      <w:r>
        <w:rPr>
          <w:rFonts w:hint="eastAsia"/>
          <w:b/>
          <w:sz w:val="24"/>
          <w:highlight w:val="none"/>
        </w:rPr>
        <w:t>5.</w:t>
      </w:r>
      <w:r>
        <w:rPr>
          <w:rFonts w:hint="eastAsia"/>
          <w:b/>
          <w:sz w:val="24"/>
          <w:highlight w:val="none"/>
          <w:lang w:val="en-US" w:eastAsia="zh-CN"/>
        </w:rPr>
        <w:t>7</w:t>
      </w:r>
      <w:r>
        <w:rPr>
          <w:rFonts w:hint="eastAsia"/>
          <w:b/>
          <w:sz w:val="24"/>
          <w:highlight w:val="none"/>
        </w:rPr>
        <w:t>.2噪声防治措施</w:t>
      </w:r>
    </w:p>
    <w:p>
      <w:pPr>
        <w:pStyle w:val="309"/>
        <w:rPr>
          <w:highlight w:val="none"/>
        </w:rPr>
      </w:pPr>
      <w:r>
        <w:rPr>
          <w:rFonts w:hint="eastAsia"/>
          <w:highlight w:val="none"/>
        </w:rPr>
        <w:t>经现场勘查，水电站采取了以下噪声防治措施，具体包括：</w:t>
      </w:r>
    </w:p>
    <w:p>
      <w:pPr>
        <w:pStyle w:val="309"/>
        <w:rPr>
          <w:highlight w:val="none"/>
        </w:rPr>
      </w:pPr>
      <w:r>
        <w:rPr>
          <w:rFonts w:hint="eastAsia"/>
          <w:highlight w:val="none"/>
        </w:rPr>
        <w:t>（1）电站厂房</w:t>
      </w:r>
    </w:p>
    <w:p>
      <w:pPr>
        <w:pStyle w:val="309"/>
        <w:rPr>
          <w:highlight w:val="none"/>
        </w:rPr>
      </w:pPr>
      <w:r>
        <w:rPr>
          <w:rFonts w:hint="eastAsia"/>
          <w:highlight w:val="none"/>
        </w:rPr>
        <w:t>电站设备全部布置在电站厂房内，利用构筑物降低噪声的传播和干扰；建筑物墙体为砖+混凝土结综合以上分析，拟建工程的建设对地下水环境的影响是可接受的构，采用密闭形式，少开门窗，防止噪声对外传播。</w:t>
      </w:r>
    </w:p>
    <w:p>
      <w:pPr>
        <w:pStyle w:val="309"/>
        <w:rPr>
          <w:highlight w:val="none"/>
        </w:rPr>
      </w:pPr>
      <w:r>
        <w:rPr>
          <w:rFonts w:hint="eastAsia"/>
          <w:highlight w:val="none"/>
        </w:rPr>
        <w:t>（2）设备选型</w:t>
      </w:r>
    </w:p>
    <w:p>
      <w:pPr>
        <w:pStyle w:val="309"/>
        <w:rPr>
          <w:highlight w:val="none"/>
        </w:rPr>
      </w:pPr>
      <w:r>
        <w:rPr>
          <w:rFonts w:hint="eastAsia"/>
          <w:highlight w:val="none"/>
        </w:rPr>
        <w:t>选用精度高、装配质量好、噪声低的设备。本项目还对发电厂房设备进行基础减振、降噪等处理措施，以降低噪声的影响。</w:t>
      </w:r>
    </w:p>
    <w:p>
      <w:pPr>
        <w:pStyle w:val="309"/>
        <w:rPr>
          <w:highlight w:val="none"/>
        </w:rPr>
      </w:pPr>
      <w:r>
        <w:rPr>
          <w:rFonts w:hint="eastAsia"/>
          <w:highlight w:val="none"/>
        </w:rPr>
        <w:t>（3）加强环保管理</w:t>
      </w:r>
    </w:p>
    <w:p>
      <w:pPr>
        <w:spacing w:line="480" w:lineRule="exact"/>
        <w:ind w:firstLine="480" w:firstLineChars="200"/>
        <w:rPr>
          <w:rFonts w:hint="eastAsia"/>
          <w:sz w:val="24"/>
          <w:szCs w:val="24"/>
          <w:highlight w:val="none"/>
          <w:lang w:eastAsia="zh-CN"/>
        </w:rPr>
      </w:pPr>
      <w:r>
        <w:rPr>
          <w:rFonts w:hint="eastAsia"/>
          <w:sz w:val="24"/>
          <w:szCs w:val="24"/>
          <w:highlight w:val="none"/>
        </w:rPr>
        <w:t>建立设备定期维护、保养的管理制度，以防止设备故障形成的非正常噪声，同时确保环保措施发挥最有效的功能；加强职工环保意识教育，提倡文明生产，防止人为噪声。</w:t>
      </w:r>
    </w:p>
    <w:p>
      <w:pPr>
        <w:spacing w:line="480" w:lineRule="exact"/>
        <w:ind w:firstLine="480" w:firstLineChars="200"/>
        <w:rPr>
          <w:rFonts w:hint="eastAsia"/>
          <w:sz w:val="24"/>
          <w:highlight w:val="none"/>
          <w:lang w:eastAsia="zh-CN"/>
        </w:rPr>
      </w:pPr>
    </w:p>
    <w:p>
      <w:pPr>
        <w:spacing w:line="480" w:lineRule="exact"/>
        <w:ind w:firstLine="480" w:firstLineChars="200"/>
        <w:rPr>
          <w:rFonts w:hint="eastAsia"/>
          <w:sz w:val="24"/>
          <w:highlight w:val="none"/>
          <w:lang w:eastAsia="zh-CN"/>
        </w:rPr>
      </w:pPr>
    </w:p>
    <w:p>
      <w:pPr>
        <w:spacing w:line="480" w:lineRule="exact"/>
        <w:ind w:firstLine="480" w:firstLineChars="200"/>
        <w:rPr>
          <w:rFonts w:hint="eastAsia"/>
          <w:sz w:val="24"/>
          <w:highlight w:val="none"/>
          <w:lang w:eastAsia="zh-CN"/>
        </w:rPr>
      </w:pPr>
    </w:p>
    <w:p>
      <w:pPr>
        <w:spacing w:line="480" w:lineRule="exact"/>
        <w:ind w:firstLine="480" w:firstLineChars="200"/>
        <w:rPr>
          <w:sz w:val="24"/>
          <w:highlight w:val="none"/>
        </w:rPr>
      </w:pPr>
    </w:p>
    <w:p>
      <w:pPr>
        <w:adjustRightInd w:val="0"/>
        <w:snapToGrid w:val="0"/>
        <w:spacing w:line="480" w:lineRule="exact"/>
        <w:jc w:val="center"/>
        <w:rPr>
          <w:b/>
          <w:bCs/>
          <w:sz w:val="24"/>
          <w:highlight w:val="none"/>
        </w:rPr>
        <w:sectPr>
          <w:headerReference r:id="rId18" w:type="default"/>
          <w:footerReference r:id="rId20" w:type="default"/>
          <w:headerReference r:id="rId19" w:type="even"/>
          <w:footerReference r:id="rId21" w:type="even"/>
          <w:pgSz w:w="11906" w:h="16838"/>
          <w:pgMar w:top="1440" w:right="1826" w:bottom="1440" w:left="1803" w:header="851" w:footer="992" w:gutter="0"/>
          <w:pgBorders>
            <w:top w:val="none" w:sz="0" w:space="0"/>
            <w:left w:val="none" w:sz="0" w:space="0"/>
            <w:bottom w:val="none" w:sz="0" w:space="0"/>
            <w:right w:val="none" w:sz="0" w:space="0"/>
          </w:pgBorders>
          <w:pgNumType w:fmt="decimal"/>
          <w:cols w:space="720" w:num="1"/>
          <w:docGrid w:type="lines" w:linePitch="318" w:charSpace="0"/>
        </w:sectPr>
      </w:pPr>
    </w:p>
    <w:p>
      <w:pPr>
        <w:jc w:val="center"/>
        <w:rPr>
          <w:b/>
          <w:color w:val="auto"/>
          <w:sz w:val="24"/>
          <w:highlight w:val="none"/>
        </w:rPr>
      </w:pPr>
      <w:r>
        <w:rPr>
          <w:b/>
          <w:bCs/>
          <w:color w:val="auto"/>
          <w:sz w:val="24"/>
          <w:highlight w:val="none"/>
        </w:rPr>
        <w:t>表</w:t>
      </w:r>
      <w:r>
        <w:rPr>
          <w:rFonts w:hint="eastAsia"/>
          <w:b/>
          <w:bCs/>
          <w:color w:val="auto"/>
          <w:sz w:val="24"/>
          <w:highlight w:val="none"/>
        </w:rPr>
        <w:t>5.</w:t>
      </w:r>
      <w:r>
        <w:rPr>
          <w:rFonts w:hint="eastAsia"/>
          <w:b/>
          <w:bCs/>
          <w:color w:val="auto"/>
          <w:sz w:val="24"/>
          <w:highlight w:val="none"/>
          <w:lang w:val="en-US" w:eastAsia="zh-CN"/>
        </w:rPr>
        <w:t>7</w:t>
      </w:r>
      <w:r>
        <w:rPr>
          <w:rFonts w:hint="eastAsia"/>
          <w:b/>
          <w:bCs/>
          <w:color w:val="auto"/>
          <w:sz w:val="24"/>
          <w:highlight w:val="none"/>
        </w:rPr>
        <w:t>-1</w:t>
      </w:r>
      <w:r>
        <w:rPr>
          <w:rFonts w:hint="eastAsia"/>
          <w:b/>
          <w:color w:val="auto"/>
          <w:sz w:val="24"/>
          <w:highlight w:val="none"/>
        </w:rPr>
        <w:t xml:space="preserve">  </w:t>
      </w:r>
      <w:r>
        <w:rPr>
          <w:rFonts w:hint="eastAsia" w:hAnsi="宋体"/>
          <w:b/>
          <w:color w:val="auto"/>
          <w:sz w:val="24"/>
          <w:highlight w:val="none"/>
        </w:rPr>
        <w:t>工业企业噪声源调查清单（</w:t>
      </w:r>
      <w:r>
        <w:rPr>
          <w:rFonts w:hAnsi="宋体"/>
          <w:b/>
          <w:color w:val="auto"/>
          <w:sz w:val="24"/>
          <w:highlight w:val="none"/>
        </w:rPr>
        <w:t>室内</w:t>
      </w:r>
      <w:r>
        <w:rPr>
          <w:rFonts w:hint="eastAsia" w:hAnsi="宋体"/>
          <w:b/>
          <w:color w:val="auto"/>
          <w:sz w:val="24"/>
          <w:highlight w:val="none"/>
        </w:rPr>
        <w:t>声源）</w:t>
      </w:r>
    </w:p>
    <w:tbl>
      <w:tblPr>
        <w:tblStyle w:val="5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1"/>
        <w:gridCol w:w="815"/>
        <w:gridCol w:w="1135"/>
        <w:gridCol w:w="815"/>
        <w:gridCol w:w="1144"/>
        <w:gridCol w:w="1584"/>
        <w:gridCol w:w="658"/>
        <w:gridCol w:w="658"/>
        <w:gridCol w:w="616"/>
        <w:gridCol w:w="917"/>
        <w:gridCol w:w="1189"/>
        <w:gridCol w:w="937"/>
        <w:gridCol w:w="1158"/>
        <w:gridCol w:w="968"/>
        <w:gridCol w:w="10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 w:type="pct"/>
            <w:vMerge w:val="restart"/>
            <w:vAlign w:val="center"/>
          </w:tcPr>
          <w:p>
            <w:pPr>
              <w:jc w:val="center"/>
              <w:rPr>
                <w:rFonts w:hAnsi="宋体"/>
                <w:color w:val="auto"/>
                <w:szCs w:val="21"/>
                <w:highlight w:val="none"/>
              </w:rPr>
            </w:pPr>
            <w:r>
              <w:rPr>
                <w:rFonts w:hAnsi="宋体"/>
                <w:color w:val="auto"/>
                <w:szCs w:val="21"/>
                <w:highlight w:val="none"/>
              </w:rPr>
              <w:t>序号</w:t>
            </w:r>
          </w:p>
        </w:tc>
        <w:tc>
          <w:tcPr>
            <w:tcW w:w="287" w:type="pct"/>
            <w:vMerge w:val="restart"/>
            <w:vAlign w:val="center"/>
          </w:tcPr>
          <w:p>
            <w:pPr>
              <w:jc w:val="center"/>
              <w:rPr>
                <w:rFonts w:hAnsi="宋体"/>
                <w:color w:val="auto"/>
                <w:szCs w:val="21"/>
                <w:highlight w:val="none"/>
              </w:rPr>
            </w:pPr>
            <w:r>
              <w:rPr>
                <w:rFonts w:hAnsi="宋体"/>
                <w:color w:val="auto"/>
                <w:szCs w:val="21"/>
                <w:highlight w:val="none"/>
              </w:rPr>
              <w:t>建筑物名称</w:t>
            </w:r>
          </w:p>
        </w:tc>
        <w:tc>
          <w:tcPr>
            <w:tcW w:w="400" w:type="pct"/>
            <w:vMerge w:val="restart"/>
            <w:vAlign w:val="center"/>
          </w:tcPr>
          <w:p>
            <w:pPr>
              <w:jc w:val="center"/>
              <w:rPr>
                <w:rFonts w:hAnsi="宋体"/>
                <w:color w:val="auto"/>
                <w:szCs w:val="21"/>
                <w:highlight w:val="none"/>
              </w:rPr>
            </w:pPr>
            <w:r>
              <w:rPr>
                <w:rFonts w:hAnsi="宋体"/>
                <w:color w:val="auto"/>
                <w:szCs w:val="21"/>
                <w:highlight w:val="none"/>
              </w:rPr>
              <w:t>声源名称</w:t>
            </w:r>
          </w:p>
        </w:tc>
        <w:tc>
          <w:tcPr>
            <w:tcW w:w="287" w:type="pct"/>
            <w:vMerge w:val="restart"/>
            <w:vAlign w:val="center"/>
          </w:tcPr>
          <w:p>
            <w:pPr>
              <w:jc w:val="center"/>
              <w:rPr>
                <w:rFonts w:hAnsi="宋体"/>
                <w:color w:val="auto"/>
                <w:szCs w:val="21"/>
                <w:highlight w:val="none"/>
              </w:rPr>
            </w:pPr>
            <w:r>
              <w:rPr>
                <w:rFonts w:hAnsi="宋体"/>
                <w:color w:val="auto"/>
                <w:szCs w:val="21"/>
                <w:highlight w:val="none"/>
              </w:rPr>
              <w:t>型号</w:t>
            </w:r>
          </w:p>
        </w:tc>
        <w:tc>
          <w:tcPr>
            <w:tcW w:w="403" w:type="pct"/>
            <w:vAlign w:val="center"/>
          </w:tcPr>
          <w:p>
            <w:pPr>
              <w:jc w:val="center"/>
              <w:rPr>
                <w:rFonts w:hAnsi="宋体"/>
                <w:color w:val="auto"/>
                <w:szCs w:val="21"/>
                <w:highlight w:val="none"/>
              </w:rPr>
            </w:pPr>
            <w:r>
              <w:rPr>
                <w:rFonts w:hAnsi="宋体"/>
                <w:color w:val="auto"/>
                <w:szCs w:val="21"/>
                <w:highlight w:val="none"/>
              </w:rPr>
              <w:t>源强</w:t>
            </w:r>
          </w:p>
        </w:tc>
        <w:tc>
          <w:tcPr>
            <w:tcW w:w="558" w:type="pct"/>
            <w:vMerge w:val="restart"/>
            <w:vAlign w:val="center"/>
          </w:tcPr>
          <w:p>
            <w:pPr>
              <w:jc w:val="center"/>
              <w:rPr>
                <w:rFonts w:hAnsi="宋体"/>
                <w:color w:val="auto"/>
                <w:szCs w:val="21"/>
                <w:highlight w:val="none"/>
              </w:rPr>
            </w:pPr>
            <w:r>
              <w:rPr>
                <w:rFonts w:hAnsi="宋体"/>
                <w:color w:val="auto"/>
                <w:szCs w:val="21"/>
                <w:highlight w:val="none"/>
              </w:rPr>
              <w:t>声源控制措施</w:t>
            </w:r>
          </w:p>
        </w:tc>
        <w:tc>
          <w:tcPr>
            <w:tcW w:w="681" w:type="pct"/>
            <w:gridSpan w:val="3"/>
            <w:vAlign w:val="center"/>
          </w:tcPr>
          <w:p>
            <w:pPr>
              <w:jc w:val="center"/>
              <w:rPr>
                <w:rFonts w:hAnsi="宋体"/>
                <w:color w:val="auto"/>
                <w:szCs w:val="21"/>
                <w:highlight w:val="none"/>
              </w:rPr>
            </w:pPr>
            <w:r>
              <w:rPr>
                <w:rFonts w:hAnsi="宋体"/>
                <w:color w:val="auto"/>
                <w:szCs w:val="21"/>
                <w:highlight w:val="none"/>
              </w:rPr>
              <w:t>空间相对位置</w:t>
            </w:r>
          </w:p>
        </w:tc>
        <w:tc>
          <w:tcPr>
            <w:tcW w:w="323" w:type="pct"/>
            <w:vMerge w:val="restart"/>
            <w:vAlign w:val="center"/>
          </w:tcPr>
          <w:p>
            <w:pPr>
              <w:jc w:val="center"/>
              <w:rPr>
                <w:rFonts w:hAnsi="宋体"/>
                <w:color w:val="auto"/>
                <w:szCs w:val="21"/>
                <w:highlight w:val="none"/>
              </w:rPr>
            </w:pPr>
            <w:r>
              <w:rPr>
                <w:rFonts w:hAnsi="宋体"/>
                <w:color w:val="auto"/>
                <w:szCs w:val="21"/>
                <w:highlight w:val="none"/>
              </w:rPr>
              <w:t>距室内边界距离m</w:t>
            </w:r>
          </w:p>
        </w:tc>
        <w:tc>
          <w:tcPr>
            <w:tcW w:w="419" w:type="pct"/>
            <w:vMerge w:val="restart"/>
            <w:vAlign w:val="center"/>
          </w:tcPr>
          <w:p>
            <w:pPr>
              <w:jc w:val="center"/>
              <w:rPr>
                <w:rFonts w:hAnsi="宋体"/>
                <w:color w:val="auto"/>
                <w:szCs w:val="21"/>
                <w:highlight w:val="none"/>
              </w:rPr>
            </w:pPr>
            <w:r>
              <w:rPr>
                <w:rFonts w:hAnsi="宋体"/>
                <w:color w:val="auto"/>
                <w:szCs w:val="21"/>
                <w:highlight w:val="none"/>
              </w:rPr>
              <w:t>室内边界声级</w:t>
            </w:r>
            <w:r>
              <w:rPr>
                <w:rFonts w:hint="eastAsia" w:hAnsi="宋体"/>
                <w:color w:val="auto"/>
                <w:szCs w:val="21"/>
                <w:highlight w:val="none"/>
              </w:rPr>
              <w:t>/</w:t>
            </w:r>
            <w:r>
              <w:rPr>
                <w:rFonts w:hAnsi="宋体"/>
                <w:color w:val="auto"/>
                <w:szCs w:val="21"/>
                <w:highlight w:val="none"/>
              </w:rPr>
              <w:t xml:space="preserve"> </w:t>
            </w:r>
            <w:r>
              <w:rPr>
                <w:rFonts w:hint="eastAsia" w:hAnsi="宋体"/>
                <w:color w:val="auto"/>
                <w:szCs w:val="21"/>
                <w:highlight w:val="none"/>
              </w:rPr>
              <w:t>dB（A）</w:t>
            </w:r>
          </w:p>
        </w:tc>
        <w:tc>
          <w:tcPr>
            <w:tcW w:w="330" w:type="pct"/>
            <w:vMerge w:val="restart"/>
            <w:vAlign w:val="center"/>
          </w:tcPr>
          <w:p>
            <w:pPr>
              <w:jc w:val="center"/>
              <w:rPr>
                <w:rFonts w:hAnsi="宋体"/>
                <w:color w:val="auto"/>
                <w:szCs w:val="21"/>
                <w:highlight w:val="none"/>
              </w:rPr>
            </w:pPr>
            <w:r>
              <w:rPr>
                <w:rFonts w:hAnsi="宋体"/>
                <w:color w:val="auto"/>
                <w:szCs w:val="21"/>
                <w:highlight w:val="none"/>
              </w:rPr>
              <w:t>运行时段</w:t>
            </w:r>
          </w:p>
        </w:tc>
        <w:tc>
          <w:tcPr>
            <w:tcW w:w="408" w:type="pct"/>
            <w:vMerge w:val="restart"/>
            <w:vAlign w:val="center"/>
          </w:tcPr>
          <w:p>
            <w:pPr>
              <w:jc w:val="center"/>
              <w:rPr>
                <w:rFonts w:hAnsi="宋体"/>
                <w:color w:val="auto"/>
                <w:szCs w:val="21"/>
                <w:highlight w:val="none"/>
              </w:rPr>
            </w:pPr>
            <w:r>
              <w:rPr>
                <w:rFonts w:hAnsi="宋体"/>
                <w:color w:val="auto"/>
                <w:szCs w:val="21"/>
                <w:highlight w:val="none"/>
              </w:rPr>
              <w:t>建筑物插入损失</w:t>
            </w:r>
            <w:r>
              <w:rPr>
                <w:rFonts w:hint="eastAsia" w:hAnsi="宋体"/>
                <w:color w:val="auto"/>
                <w:szCs w:val="21"/>
                <w:highlight w:val="none"/>
              </w:rPr>
              <w:t>/</w:t>
            </w:r>
            <w:r>
              <w:rPr>
                <w:rFonts w:hAnsi="宋体"/>
                <w:color w:val="auto"/>
                <w:szCs w:val="21"/>
                <w:highlight w:val="none"/>
              </w:rPr>
              <w:t xml:space="preserve"> </w:t>
            </w:r>
            <w:r>
              <w:rPr>
                <w:rFonts w:hint="eastAsia" w:hAnsi="宋体"/>
                <w:color w:val="auto"/>
                <w:szCs w:val="21"/>
                <w:highlight w:val="none"/>
              </w:rPr>
              <w:t>dB（A</w:t>
            </w:r>
            <w:r>
              <w:rPr>
                <w:rFonts w:hAnsi="宋体"/>
                <w:color w:val="auto"/>
                <w:szCs w:val="21"/>
                <w:highlight w:val="none"/>
              </w:rPr>
              <w:t>）</w:t>
            </w:r>
          </w:p>
        </w:tc>
        <w:tc>
          <w:tcPr>
            <w:tcW w:w="714" w:type="pct"/>
            <w:gridSpan w:val="2"/>
            <w:vAlign w:val="center"/>
          </w:tcPr>
          <w:p>
            <w:pPr>
              <w:jc w:val="center"/>
              <w:rPr>
                <w:rFonts w:hAnsi="宋体"/>
                <w:color w:val="auto"/>
                <w:szCs w:val="21"/>
                <w:highlight w:val="none"/>
              </w:rPr>
            </w:pPr>
            <w:r>
              <w:rPr>
                <w:rFonts w:hAnsi="宋体"/>
                <w:color w:val="auto"/>
                <w:szCs w:val="21"/>
                <w:highlight w:val="none"/>
              </w:rPr>
              <w:t>建筑物外噪声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 w:type="pct"/>
            <w:vMerge w:val="continue"/>
            <w:vAlign w:val="center"/>
          </w:tcPr>
          <w:p>
            <w:pPr>
              <w:jc w:val="center"/>
              <w:rPr>
                <w:rFonts w:hAnsi="宋体"/>
                <w:color w:val="auto"/>
                <w:szCs w:val="21"/>
                <w:highlight w:val="none"/>
              </w:rPr>
            </w:pPr>
          </w:p>
        </w:tc>
        <w:tc>
          <w:tcPr>
            <w:tcW w:w="287" w:type="pct"/>
            <w:vMerge w:val="continue"/>
            <w:vAlign w:val="center"/>
          </w:tcPr>
          <w:p>
            <w:pPr>
              <w:jc w:val="center"/>
              <w:rPr>
                <w:rFonts w:hAnsi="宋体"/>
                <w:color w:val="auto"/>
                <w:szCs w:val="21"/>
                <w:highlight w:val="none"/>
              </w:rPr>
            </w:pPr>
          </w:p>
        </w:tc>
        <w:tc>
          <w:tcPr>
            <w:tcW w:w="400" w:type="pct"/>
            <w:vMerge w:val="continue"/>
            <w:vAlign w:val="center"/>
          </w:tcPr>
          <w:p>
            <w:pPr>
              <w:jc w:val="center"/>
              <w:rPr>
                <w:rFonts w:hAnsi="宋体"/>
                <w:color w:val="auto"/>
                <w:szCs w:val="21"/>
                <w:highlight w:val="none"/>
              </w:rPr>
            </w:pPr>
          </w:p>
        </w:tc>
        <w:tc>
          <w:tcPr>
            <w:tcW w:w="287" w:type="pct"/>
            <w:vMerge w:val="continue"/>
            <w:vAlign w:val="center"/>
          </w:tcPr>
          <w:p>
            <w:pPr>
              <w:jc w:val="center"/>
              <w:rPr>
                <w:rFonts w:hAnsi="宋体"/>
                <w:color w:val="auto"/>
                <w:szCs w:val="21"/>
                <w:highlight w:val="none"/>
              </w:rPr>
            </w:pPr>
          </w:p>
        </w:tc>
        <w:tc>
          <w:tcPr>
            <w:tcW w:w="403" w:type="pct"/>
            <w:vAlign w:val="center"/>
          </w:tcPr>
          <w:p>
            <w:pPr>
              <w:jc w:val="center"/>
              <w:rPr>
                <w:rFonts w:hAnsi="宋体"/>
                <w:color w:val="auto"/>
                <w:szCs w:val="21"/>
                <w:highlight w:val="none"/>
              </w:rPr>
            </w:pPr>
            <w:r>
              <w:rPr>
                <w:rFonts w:hint="eastAsia" w:hAnsi="宋体"/>
                <w:color w:val="auto"/>
                <w:szCs w:val="21"/>
                <w:highlight w:val="none"/>
              </w:rPr>
              <w:t>dB（A）</w:t>
            </w:r>
          </w:p>
        </w:tc>
        <w:tc>
          <w:tcPr>
            <w:tcW w:w="558" w:type="pct"/>
            <w:vMerge w:val="continue"/>
            <w:vAlign w:val="center"/>
          </w:tcPr>
          <w:p>
            <w:pPr>
              <w:jc w:val="center"/>
              <w:rPr>
                <w:rFonts w:hAnsi="宋体"/>
                <w:color w:val="auto"/>
                <w:szCs w:val="21"/>
                <w:highlight w:val="none"/>
              </w:rPr>
            </w:pPr>
          </w:p>
        </w:tc>
        <w:tc>
          <w:tcPr>
            <w:tcW w:w="232" w:type="pct"/>
            <w:vAlign w:val="center"/>
          </w:tcPr>
          <w:p>
            <w:pPr>
              <w:jc w:val="center"/>
              <w:rPr>
                <w:rFonts w:hAnsi="宋体"/>
                <w:color w:val="auto"/>
                <w:szCs w:val="21"/>
                <w:highlight w:val="none"/>
              </w:rPr>
            </w:pPr>
            <w:r>
              <w:rPr>
                <w:rFonts w:hAnsi="宋体"/>
                <w:color w:val="auto"/>
                <w:szCs w:val="21"/>
                <w:highlight w:val="none"/>
              </w:rPr>
              <w:t>X</w:t>
            </w:r>
          </w:p>
        </w:tc>
        <w:tc>
          <w:tcPr>
            <w:tcW w:w="232" w:type="pct"/>
            <w:vAlign w:val="center"/>
          </w:tcPr>
          <w:p>
            <w:pPr>
              <w:jc w:val="center"/>
              <w:rPr>
                <w:rFonts w:hAnsi="宋体"/>
                <w:color w:val="auto"/>
                <w:szCs w:val="21"/>
                <w:highlight w:val="none"/>
              </w:rPr>
            </w:pPr>
            <w:r>
              <w:rPr>
                <w:rFonts w:hAnsi="宋体"/>
                <w:color w:val="auto"/>
                <w:szCs w:val="21"/>
                <w:highlight w:val="none"/>
              </w:rPr>
              <w:t>Y</w:t>
            </w:r>
          </w:p>
        </w:tc>
        <w:tc>
          <w:tcPr>
            <w:tcW w:w="216" w:type="pct"/>
            <w:vAlign w:val="center"/>
          </w:tcPr>
          <w:p>
            <w:pPr>
              <w:jc w:val="center"/>
              <w:rPr>
                <w:rFonts w:hAnsi="宋体"/>
                <w:color w:val="auto"/>
                <w:szCs w:val="21"/>
                <w:highlight w:val="none"/>
              </w:rPr>
            </w:pPr>
            <w:r>
              <w:rPr>
                <w:rFonts w:hAnsi="宋体"/>
                <w:color w:val="auto"/>
                <w:szCs w:val="21"/>
                <w:highlight w:val="none"/>
              </w:rPr>
              <w:t>Z</w:t>
            </w:r>
          </w:p>
        </w:tc>
        <w:tc>
          <w:tcPr>
            <w:tcW w:w="323" w:type="pct"/>
            <w:vMerge w:val="continue"/>
            <w:vAlign w:val="center"/>
          </w:tcPr>
          <w:p>
            <w:pPr>
              <w:jc w:val="center"/>
              <w:rPr>
                <w:rFonts w:hAnsi="宋体"/>
                <w:color w:val="auto"/>
                <w:szCs w:val="21"/>
                <w:highlight w:val="none"/>
              </w:rPr>
            </w:pPr>
          </w:p>
        </w:tc>
        <w:tc>
          <w:tcPr>
            <w:tcW w:w="419" w:type="pct"/>
            <w:vMerge w:val="continue"/>
            <w:vAlign w:val="center"/>
          </w:tcPr>
          <w:p>
            <w:pPr>
              <w:jc w:val="center"/>
              <w:rPr>
                <w:rFonts w:hAnsi="宋体"/>
                <w:color w:val="auto"/>
                <w:szCs w:val="21"/>
                <w:highlight w:val="none"/>
              </w:rPr>
            </w:pPr>
          </w:p>
        </w:tc>
        <w:tc>
          <w:tcPr>
            <w:tcW w:w="330" w:type="pct"/>
            <w:vMerge w:val="continue"/>
            <w:vAlign w:val="center"/>
          </w:tcPr>
          <w:p>
            <w:pPr>
              <w:jc w:val="center"/>
              <w:rPr>
                <w:rFonts w:hAnsi="宋体"/>
                <w:color w:val="auto"/>
                <w:szCs w:val="21"/>
                <w:highlight w:val="none"/>
              </w:rPr>
            </w:pPr>
          </w:p>
        </w:tc>
        <w:tc>
          <w:tcPr>
            <w:tcW w:w="408" w:type="pct"/>
            <w:vMerge w:val="continue"/>
            <w:vAlign w:val="center"/>
          </w:tcPr>
          <w:p>
            <w:pPr>
              <w:jc w:val="center"/>
              <w:rPr>
                <w:rFonts w:hAnsi="宋体"/>
                <w:color w:val="auto"/>
                <w:szCs w:val="21"/>
                <w:highlight w:val="none"/>
              </w:rPr>
            </w:pPr>
          </w:p>
        </w:tc>
        <w:tc>
          <w:tcPr>
            <w:tcW w:w="341" w:type="pct"/>
            <w:vAlign w:val="center"/>
          </w:tcPr>
          <w:p>
            <w:pPr>
              <w:jc w:val="center"/>
              <w:rPr>
                <w:rFonts w:hAnsi="宋体"/>
                <w:color w:val="auto"/>
                <w:szCs w:val="21"/>
                <w:highlight w:val="none"/>
              </w:rPr>
            </w:pPr>
            <w:r>
              <w:rPr>
                <w:rFonts w:hAnsi="宋体"/>
                <w:color w:val="auto"/>
                <w:szCs w:val="21"/>
                <w:highlight w:val="none"/>
              </w:rPr>
              <w:t>声压级</w:t>
            </w:r>
            <w:r>
              <w:rPr>
                <w:rFonts w:hint="eastAsia" w:hAnsi="宋体"/>
                <w:color w:val="auto"/>
                <w:szCs w:val="21"/>
                <w:highlight w:val="none"/>
              </w:rPr>
              <w:t>/</w:t>
            </w:r>
            <w:r>
              <w:rPr>
                <w:rFonts w:hAnsi="宋体"/>
                <w:color w:val="auto"/>
                <w:szCs w:val="21"/>
                <w:highlight w:val="none"/>
              </w:rPr>
              <w:t xml:space="preserve"> </w:t>
            </w:r>
            <w:r>
              <w:rPr>
                <w:rFonts w:hint="eastAsia" w:hAnsi="宋体"/>
                <w:color w:val="auto"/>
                <w:szCs w:val="21"/>
                <w:highlight w:val="none"/>
              </w:rPr>
              <w:t>dB（A</w:t>
            </w:r>
            <w:r>
              <w:rPr>
                <w:rFonts w:hAnsi="宋体"/>
                <w:color w:val="auto"/>
                <w:szCs w:val="21"/>
                <w:highlight w:val="none"/>
              </w:rPr>
              <w:t>）</w:t>
            </w:r>
          </w:p>
        </w:tc>
        <w:tc>
          <w:tcPr>
            <w:tcW w:w="373" w:type="pct"/>
            <w:vAlign w:val="center"/>
          </w:tcPr>
          <w:p>
            <w:pPr>
              <w:jc w:val="center"/>
              <w:rPr>
                <w:rFonts w:hAnsi="宋体"/>
                <w:color w:val="auto"/>
                <w:szCs w:val="21"/>
                <w:highlight w:val="none"/>
              </w:rPr>
            </w:pPr>
            <w:r>
              <w:rPr>
                <w:rFonts w:hAnsi="宋体"/>
                <w:color w:val="auto"/>
                <w:szCs w:val="21"/>
                <w:highlight w:val="none"/>
              </w:rPr>
              <w:t>建筑物外距离m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 w:type="pct"/>
            <w:vAlign w:val="center"/>
          </w:tcPr>
          <w:p>
            <w:pPr>
              <w:jc w:val="center"/>
              <w:rPr>
                <w:rFonts w:hAnsi="宋体"/>
                <w:color w:val="auto"/>
                <w:szCs w:val="21"/>
                <w:highlight w:val="none"/>
              </w:rPr>
            </w:pPr>
            <w:r>
              <w:rPr>
                <w:rFonts w:hint="eastAsia" w:hAnsi="宋体"/>
                <w:color w:val="auto"/>
                <w:szCs w:val="21"/>
                <w:highlight w:val="none"/>
              </w:rPr>
              <w:t>1</w:t>
            </w:r>
          </w:p>
        </w:tc>
        <w:tc>
          <w:tcPr>
            <w:tcW w:w="287" w:type="pct"/>
            <w:vMerge w:val="restart"/>
            <w:vAlign w:val="center"/>
          </w:tcPr>
          <w:p>
            <w:pPr>
              <w:jc w:val="center"/>
              <w:rPr>
                <w:rFonts w:hAnsi="宋体"/>
                <w:color w:val="auto"/>
                <w:szCs w:val="21"/>
                <w:highlight w:val="none"/>
              </w:rPr>
            </w:pPr>
            <w:r>
              <w:rPr>
                <w:rFonts w:hint="eastAsia" w:hAnsi="宋体"/>
                <w:color w:val="auto"/>
                <w:szCs w:val="21"/>
                <w:highlight w:val="none"/>
              </w:rPr>
              <w:t>发电机房</w:t>
            </w:r>
          </w:p>
        </w:tc>
        <w:tc>
          <w:tcPr>
            <w:tcW w:w="400" w:type="pct"/>
            <w:vAlign w:val="center"/>
          </w:tcPr>
          <w:p>
            <w:pPr>
              <w:jc w:val="center"/>
              <w:rPr>
                <w:rFonts w:hAnsi="宋体"/>
                <w:color w:val="auto"/>
                <w:szCs w:val="21"/>
                <w:highlight w:val="none"/>
              </w:rPr>
            </w:pPr>
            <w:r>
              <w:rPr>
                <w:color w:val="auto"/>
                <w:highlight w:val="none"/>
              </w:rPr>
              <w:t>水轮机</w:t>
            </w:r>
          </w:p>
        </w:tc>
        <w:tc>
          <w:tcPr>
            <w:tcW w:w="287" w:type="pct"/>
            <w:vAlign w:val="center"/>
          </w:tcPr>
          <w:p>
            <w:pPr>
              <w:jc w:val="center"/>
              <w:rPr>
                <w:rFonts w:hAnsi="宋体"/>
                <w:color w:val="auto"/>
                <w:szCs w:val="21"/>
                <w:highlight w:val="none"/>
              </w:rPr>
            </w:pPr>
            <w:r>
              <w:rPr>
                <w:rFonts w:hint="eastAsia" w:hAnsi="宋体"/>
                <w:color w:val="auto"/>
                <w:szCs w:val="21"/>
                <w:highlight w:val="none"/>
              </w:rPr>
              <w:t>/</w:t>
            </w:r>
          </w:p>
        </w:tc>
        <w:tc>
          <w:tcPr>
            <w:tcW w:w="403" w:type="pct"/>
            <w:vAlign w:val="center"/>
          </w:tcPr>
          <w:p>
            <w:pPr>
              <w:jc w:val="center"/>
              <w:rPr>
                <w:rFonts w:hAnsi="宋体"/>
                <w:color w:val="auto"/>
                <w:szCs w:val="21"/>
                <w:highlight w:val="none"/>
              </w:rPr>
            </w:pPr>
            <w:r>
              <w:rPr>
                <w:rFonts w:hAnsi="宋体"/>
                <w:color w:val="auto"/>
                <w:szCs w:val="21"/>
                <w:highlight w:val="none"/>
              </w:rPr>
              <w:t>95</w:t>
            </w:r>
          </w:p>
        </w:tc>
        <w:tc>
          <w:tcPr>
            <w:tcW w:w="558" w:type="pct"/>
            <w:vMerge w:val="restart"/>
            <w:vAlign w:val="center"/>
          </w:tcPr>
          <w:p>
            <w:pPr>
              <w:spacing w:line="240" w:lineRule="atLeast"/>
              <w:jc w:val="left"/>
              <w:rPr>
                <w:rFonts w:hAnsi="宋体"/>
                <w:color w:val="auto"/>
                <w:szCs w:val="21"/>
                <w:highlight w:val="none"/>
              </w:rPr>
            </w:pPr>
            <w:r>
              <w:rPr>
                <w:rFonts w:hint="eastAsia"/>
                <w:color w:val="auto"/>
                <w:szCs w:val="21"/>
                <w:highlight w:val="none"/>
              </w:rPr>
              <w:t>封闭电站厂房内，</w:t>
            </w:r>
            <w:r>
              <w:rPr>
                <w:color w:val="auto"/>
                <w:highlight w:val="none"/>
              </w:rPr>
              <w:t>水轮机位于水下；</w:t>
            </w:r>
            <w:r>
              <w:rPr>
                <w:rFonts w:hint="eastAsia"/>
                <w:color w:val="auto"/>
                <w:szCs w:val="21"/>
                <w:highlight w:val="none"/>
              </w:rPr>
              <w:t>基础减震</w:t>
            </w:r>
          </w:p>
        </w:tc>
        <w:tc>
          <w:tcPr>
            <w:tcW w:w="232" w:type="pct"/>
            <w:vAlign w:val="center"/>
          </w:tcPr>
          <w:p>
            <w:pPr>
              <w:jc w:val="center"/>
              <w:rPr>
                <w:rFonts w:hint="default" w:hAnsi="宋体" w:eastAsia="宋体"/>
                <w:color w:val="auto"/>
                <w:szCs w:val="21"/>
                <w:highlight w:val="none"/>
                <w:lang w:val="en-US" w:eastAsia="zh-CN"/>
              </w:rPr>
            </w:pPr>
            <w:r>
              <w:rPr>
                <w:rFonts w:hint="eastAsia" w:hAnsi="宋体"/>
                <w:color w:val="auto"/>
                <w:szCs w:val="21"/>
                <w:highlight w:val="none"/>
                <w:lang w:val="en-US" w:eastAsia="zh-CN"/>
              </w:rPr>
              <w:t>30</w:t>
            </w:r>
          </w:p>
        </w:tc>
        <w:tc>
          <w:tcPr>
            <w:tcW w:w="232" w:type="pct"/>
            <w:vAlign w:val="center"/>
          </w:tcPr>
          <w:p>
            <w:pPr>
              <w:jc w:val="center"/>
              <w:rPr>
                <w:rFonts w:hAnsi="宋体"/>
                <w:color w:val="auto"/>
                <w:szCs w:val="21"/>
                <w:highlight w:val="none"/>
              </w:rPr>
            </w:pPr>
            <w:r>
              <w:rPr>
                <w:rFonts w:hint="eastAsia" w:hAnsi="宋体"/>
                <w:color w:val="auto"/>
                <w:szCs w:val="21"/>
                <w:highlight w:val="none"/>
              </w:rPr>
              <w:t>0</w:t>
            </w:r>
          </w:p>
        </w:tc>
        <w:tc>
          <w:tcPr>
            <w:tcW w:w="216" w:type="pct"/>
            <w:vAlign w:val="center"/>
          </w:tcPr>
          <w:p>
            <w:pPr>
              <w:jc w:val="center"/>
              <w:rPr>
                <w:rFonts w:hAnsi="宋体"/>
                <w:color w:val="auto"/>
                <w:szCs w:val="21"/>
                <w:highlight w:val="none"/>
              </w:rPr>
            </w:pPr>
            <w:r>
              <w:rPr>
                <w:rFonts w:hint="eastAsia" w:hAnsi="宋体"/>
                <w:color w:val="auto"/>
                <w:szCs w:val="21"/>
                <w:highlight w:val="none"/>
              </w:rPr>
              <w:t>-</w:t>
            </w:r>
            <w:r>
              <w:rPr>
                <w:rFonts w:hAnsi="宋体"/>
                <w:color w:val="auto"/>
                <w:szCs w:val="21"/>
                <w:highlight w:val="none"/>
              </w:rPr>
              <w:t>4</w:t>
            </w:r>
          </w:p>
        </w:tc>
        <w:tc>
          <w:tcPr>
            <w:tcW w:w="323" w:type="pct"/>
            <w:vAlign w:val="center"/>
          </w:tcPr>
          <w:p>
            <w:pPr>
              <w:jc w:val="center"/>
              <w:rPr>
                <w:rFonts w:hAnsi="宋体"/>
                <w:color w:val="auto"/>
                <w:szCs w:val="21"/>
                <w:highlight w:val="none"/>
              </w:rPr>
            </w:pPr>
            <w:r>
              <w:rPr>
                <w:rFonts w:hAnsi="宋体"/>
                <w:color w:val="auto"/>
                <w:szCs w:val="21"/>
                <w:highlight w:val="none"/>
              </w:rPr>
              <w:t>6</w:t>
            </w:r>
          </w:p>
        </w:tc>
        <w:tc>
          <w:tcPr>
            <w:tcW w:w="419" w:type="pct"/>
            <w:vAlign w:val="center"/>
          </w:tcPr>
          <w:p>
            <w:pPr>
              <w:jc w:val="center"/>
              <w:rPr>
                <w:rFonts w:hAnsi="宋体"/>
                <w:color w:val="auto"/>
                <w:szCs w:val="21"/>
                <w:highlight w:val="none"/>
              </w:rPr>
            </w:pPr>
            <w:r>
              <w:rPr>
                <w:rFonts w:hAnsi="宋体"/>
                <w:color w:val="auto"/>
                <w:szCs w:val="21"/>
                <w:highlight w:val="none"/>
              </w:rPr>
              <w:t>79</w:t>
            </w:r>
          </w:p>
        </w:tc>
        <w:tc>
          <w:tcPr>
            <w:tcW w:w="330" w:type="pct"/>
            <w:vAlign w:val="center"/>
          </w:tcPr>
          <w:p>
            <w:pPr>
              <w:jc w:val="center"/>
              <w:rPr>
                <w:rFonts w:hAnsi="宋体"/>
                <w:color w:val="auto"/>
                <w:szCs w:val="21"/>
                <w:highlight w:val="none"/>
              </w:rPr>
            </w:pPr>
            <w:r>
              <w:rPr>
                <w:rFonts w:hint="eastAsia" w:hAnsi="宋体"/>
                <w:color w:val="auto"/>
                <w:szCs w:val="21"/>
                <w:highlight w:val="none"/>
              </w:rPr>
              <w:t>16h</w:t>
            </w:r>
          </w:p>
        </w:tc>
        <w:tc>
          <w:tcPr>
            <w:tcW w:w="408" w:type="pct"/>
            <w:vAlign w:val="center"/>
          </w:tcPr>
          <w:p>
            <w:pPr>
              <w:jc w:val="center"/>
              <w:rPr>
                <w:rFonts w:hAnsi="宋体"/>
                <w:color w:val="auto"/>
                <w:szCs w:val="21"/>
                <w:highlight w:val="none"/>
              </w:rPr>
            </w:pPr>
            <w:r>
              <w:rPr>
                <w:rFonts w:hint="eastAsia" w:hAnsi="宋体"/>
                <w:color w:val="auto"/>
                <w:szCs w:val="21"/>
                <w:highlight w:val="none"/>
              </w:rPr>
              <w:t>2</w:t>
            </w:r>
            <w:r>
              <w:rPr>
                <w:rFonts w:hAnsi="宋体"/>
                <w:color w:val="auto"/>
                <w:szCs w:val="21"/>
                <w:highlight w:val="none"/>
              </w:rPr>
              <w:t>5</w:t>
            </w:r>
          </w:p>
        </w:tc>
        <w:tc>
          <w:tcPr>
            <w:tcW w:w="341" w:type="pct"/>
            <w:vAlign w:val="center"/>
          </w:tcPr>
          <w:p>
            <w:pPr>
              <w:jc w:val="center"/>
              <w:rPr>
                <w:rFonts w:hAnsi="宋体"/>
                <w:color w:val="auto"/>
                <w:szCs w:val="21"/>
                <w:highlight w:val="none"/>
              </w:rPr>
            </w:pPr>
            <w:r>
              <w:rPr>
                <w:rFonts w:hAnsi="宋体"/>
                <w:color w:val="auto"/>
                <w:szCs w:val="21"/>
                <w:highlight w:val="none"/>
              </w:rPr>
              <w:t>54</w:t>
            </w:r>
          </w:p>
        </w:tc>
        <w:tc>
          <w:tcPr>
            <w:tcW w:w="373" w:type="pct"/>
            <w:vAlign w:val="center"/>
          </w:tcPr>
          <w:p>
            <w:pPr>
              <w:jc w:val="center"/>
              <w:rPr>
                <w:rFonts w:hAnsi="宋体"/>
                <w:color w:val="auto"/>
                <w:szCs w:val="21"/>
                <w:highlight w:val="none"/>
              </w:rPr>
            </w:pPr>
            <w:r>
              <w:rPr>
                <w:rFonts w:hAnsi="宋体"/>
                <w:color w:val="auto"/>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 w:type="pct"/>
            <w:vAlign w:val="center"/>
          </w:tcPr>
          <w:p>
            <w:pPr>
              <w:jc w:val="center"/>
              <w:rPr>
                <w:rFonts w:hAnsi="宋体"/>
                <w:color w:val="auto"/>
                <w:szCs w:val="21"/>
                <w:highlight w:val="none"/>
              </w:rPr>
            </w:pPr>
            <w:r>
              <w:rPr>
                <w:rFonts w:hint="eastAsia" w:hAnsi="宋体"/>
                <w:color w:val="auto"/>
                <w:szCs w:val="21"/>
                <w:highlight w:val="none"/>
              </w:rPr>
              <w:t>2</w:t>
            </w:r>
          </w:p>
        </w:tc>
        <w:tc>
          <w:tcPr>
            <w:tcW w:w="287" w:type="pct"/>
            <w:vMerge w:val="continue"/>
            <w:vAlign w:val="center"/>
          </w:tcPr>
          <w:p>
            <w:pPr>
              <w:jc w:val="center"/>
              <w:rPr>
                <w:rFonts w:hAnsi="宋体"/>
                <w:color w:val="auto"/>
                <w:szCs w:val="21"/>
                <w:highlight w:val="none"/>
              </w:rPr>
            </w:pPr>
          </w:p>
        </w:tc>
        <w:tc>
          <w:tcPr>
            <w:tcW w:w="400" w:type="pct"/>
            <w:vAlign w:val="center"/>
          </w:tcPr>
          <w:p>
            <w:pPr>
              <w:jc w:val="center"/>
              <w:rPr>
                <w:rFonts w:hAnsi="宋体"/>
                <w:color w:val="auto"/>
                <w:szCs w:val="21"/>
                <w:highlight w:val="none"/>
              </w:rPr>
            </w:pPr>
            <w:r>
              <w:rPr>
                <w:color w:val="auto"/>
                <w:highlight w:val="none"/>
              </w:rPr>
              <w:t>发电机</w:t>
            </w:r>
          </w:p>
        </w:tc>
        <w:tc>
          <w:tcPr>
            <w:tcW w:w="287" w:type="pct"/>
            <w:vAlign w:val="center"/>
          </w:tcPr>
          <w:p>
            <w:pPr>
              <w:jc w:val="center"/>
              <w:rPr>
                <w:rFonts w:hAnsi="宋体"/>
                <w:color w:val="auto"/>
                <w:szCs w:val="21"/>
                <w:highlight w:val="none"/>
              </w:rPr>
            </w:pPr>
            <w:r>
              <w:rPr>
                <w:rFonts w:hint="eastAsia" w:hAnsi="宋体"/>
                <w:color w:val="auto"/>
                <w:szCs w:val="21"/>
                <w:highlight w:val="none"/>
              </w:rPr>
              <w:t>5t</w:t>
            </w:r>
          </w:p>
        </w:tc>
        <w:tc>
          <w:tcPr>
            <w:tcW w:w="403" w:type="pct"/>
            <w:vAlign w:val="center"/>
          </w:tcPr>
          <w:p>
            <w:pPr>
              <w:jc w:val="center"/>
              <w:rPr>
                <w:rFonts w:hAnsi="宋体"/>
                <w:color w:val="auto"/>
                <w:szCs w:val="21"/>
                <w:highlight w:val="none"/>
              </w:rPr>
            </w:pPr>
            <w:r>
              <w:rPr>
                <w:rFonts w:hint="eastAsia" w:hAnsi="宋体"/>
                <w:color w:val="auto"/>
                <w:szCs w:val="21"/>
                <w:highlight w:val="none"/>
              </w:rPr>
              <w:t>80</w:t>
            </w:r>
          </w:p>
        </w:tc>
        <w:tc>
          <w:tcPr>
            <w:tcW w:w="558" w:type="pct"/>
            <w:vMerge w:val="continue"/>
            <w:vAlign w:val="center"/>
          </w:tcPr>
          <w:p>
            <w:pPr>
              <w:jc w:val="center"/>
              <w:rPr>
                <w:rFonts w:hAnsi="宋体"/>
                <w:color w:val="auto"/>
                <w:szCs w:val="21"/>
                <w:highlight w:val="none"/>
              </w:rPr>
            </w:pPr>
          </w:p>
        </w:tc>
        <w:tc>
          <w:tcPr>
            <w:tcW w:w="232" w:type="pct"/>
            <w:vAlign w:val="center"/>
          </w:tcPr>
          <w:p>
            <w:pPr>
              <w:jc w:val="center"/>
              <w:rPr>
                <w:rFonts w:hint="default" w:hAnsi="宋体" w:eastAsia="宋体"/>
                <w:color w:val="auto"/>
                <w:szCs w:val="21"/>
                <w:highlight w:val="none"/>
                <w:lang w:val="en-US" w:eastAsia="zh-CN"/>
              </w:rPr>
            </w:pPr>
            <w:r>
              <w:rPr>
                <w:rFonts w:hint="eastAsia" w:hAnsi="宋体"/>
                <w:color w:val="auto"/>
                <w:szCs w:val="21"/>
                <w:highlight w:val="none"/>
                <w:lang w:val="en-US" w:eastAsia="zh-CN"/>
              </w:rPr>
              <w:t>-1</w:t>
            </w:r>
          </w:p>
        </w:tc>
        <w:tc>
          <w:tcPr>
            <w:tcW w:w="232" w:type="pct"/>
            <w:vAlign w:val="center"/>
          </w:tcPr>
          <w:p>
            <w:pPr>
              <w:jc w:val="center"/>
              <w:rPr>
                <w:rFonts w:hint="eastAsia" w:hAnsi="宋体" w:eastAsia="宋体"/>
                <w:color w:val="auto"/>
                <w:szCs w:val="21"/>
                <w:highlight w:val="none"/>
                <w:lang w:val="en-US" w:eastAsia="zh-CN"/>
              </w:rPr>
            </w:pPr>
            <w:r>
              <w:rPr>
                <w:rFonts w:hint="eastAsia" w:hAnsi="宋体"/>
                <w:color w:val="auto"/>
                <w:szCs w:val="21"/>
                <w:highlight w:val="none"/>
              </w:rPr>
              <w:t>-</w:t>
            </w:r>
            <w:r>
              <w:rPr>
                <w:rFonts w:hint="eastAsia" w:hAnsi="宋体"/>
                <w:color w:val="auto"/>
                <w:szCs w:val="21"/>
                <w:highlight w:val="none"/>
                <w:lang w:val="en-US" w:eastAsia="zh-CN"/>
              </w:rPr>
              <w:t>5</w:t>
            </w:r>
          </w:p>
        </w:tc>
        <w:tc>
          <w:tcPr>
            <w:tcW w:w="216" w:type="pct"/>
            <w:vAlign w:val="center"/>
          </w:tcPr>
          <w:p>
            <w:pPr>
              <w:jc w:val="center"/>
              <w:rPr>
                <w:rFonts w:hint="default" w:hAnsi="宋体" w:eastAsia="宋体"/>
                <w:color w:val="auto"/>
                <w:szCs w:val="21"/>
                <w:highlight w:val="none"/>
                <w:lang w:val="en-US" w:eastAsia="zh-CN"/>
              </w:rPr>
            </w:pPr>
            <w:r>
              <w:rPr>
                <w:rFonts w:hint="eastAsia" w:hAnsi="宋体"/>
                <w:color w:val="auto"/>
                <w:szCs w:val="21"/>
                <w:highlight w:val="none"/>
                <w:lang w:val="en-US" w:eastAsia="zh-CN"/>
              </w:rPr>
              <w:t>-3</w:t>
            </w:r>
          </w:p>
        </w:tc>
        <w:tc>
          <w:tcPr>
            <w:tcW w:w="323" w:type="pct"/>
            <w:vAlign w:val="center"/>
          </w:tcPr>
          <w:p>
            <w:pPr>
              <w:jc w:val="center"/>
              <w:rPr>
                <w:rFonts w:hAnsi="宋体"/>
                <w:color w:val="auto"/>
                <w:szCs w:val="21"/>
                <w:highlight w:val="none"/>
              </w:rPr>
            </w:pPr>
            <w:r>
              <w:rPr>
                <w:rFonts w:hint="eastAsia" w:hAnsi="宋体"/>
                <w:color w:val="auto"/>
                <w:szCs w:val="21"/>
                <w:highlight w:val="none"/>
              </w:rPr>
              <w:t>1</w:t>
            </w:r>
            <w:r>
              <w:rPr>
                <w:rFonts w:hAnsi="宋体"/>
                <w:color w:val="auto"/>
                <w:szCs w:val="21"/>
                <w:highlight w:val="none"/>
              </w:rPr>
              <w:t>0</w:t>
            </w:r>
          </w:p>
        </w:tc>
        <w:tc>
          <w:tcPr>
            <w:tcW w:w="419" w:type="pct"/>
            <w:vAlign w:val="center"/>
          </w:tcPr>
          <w:p>
            <w:pPr>
              <w:jc w:val="center"/>
              <w:rPr>
                <w:rFonts w:hAnsi="宋体"/>
                <w:color w:val="auto"/>
                <w:szCs w:val="21"/>
                <w:highlight w:val="none"/>
              </w:rPr>
            </w:pPr>
            <w:r>
              <w:rPr>
                <w:rFonts w:hint="eastAsia" w:hAnsi="宋体"/>
                <w:color w:val="auto"/>
                <w:szCs w:val="21"/>
                <w:highlight w:val="none"/>
              </w:rPr>
              <w:t>6</w:t>
            </w:r>
            <w:r>
              <w:rPr>
                <w:rFonts w:hAnsi="宋体"/>
                <w:color w:val="auto"/>
                <w:szCs w:val="21"/>
                <w:highlight w:val="none"/>
              </w:rPr>
              <w:t>0</w:t>
            </w:r>
          </w:p>
        </w:tc>
        <w:tc>
          <w:tcPr>
            <w:tcW w:w="330" w:type="pct"/>
            <w:vAlign w:val="center"/>
          </w:tcPr>
          <w:p>
            <w:pPr>
              <w:jc w:val="center"/>
              <w:rPr>
                <w:color w:val="auto"/>
                <w:highlight w:val="none"/>
              </w:rPr>
            </w:pPr>
            <w:r>
              <w:rPr>
                <w:rFonts w:hint="eastAsia" w:hAnsi="宋体"/>
                <w:color w:val="auto"/>
                <w:szCs w:val="21"/>
                <w:highlight w:val="none"/>
              </w:rPr>
              <w:t>16h</w:t>
            </w:r>
          </w:p>
        </w:tc>
        <w:tc>
          <w:tcPr>
            <w:tcW w:w="408" w:type="pct"/>
            <w:vAlign w:val="center"/>
          </w:tcPr>
          <w:p>
            <w:pPr>
              <w:jc w:val="center"/>
              <w:rPr>
                <w:rFonts w:hAnsi="宋体"/>
                <w:color w:val="auto"/>
                <w:szCs w:val="21"/>
                <w:highlight w:val="none"/>
              </w:rPr>
            </w:pPr>
            <w:r>
              <w:rPr>
                <w:rFonts w:hint="eastAsia" w:hAnsi="宋体"/>
                <w:color w:val="auto"/>
                <w:szCs w:val="21"/>
                <w:highlight w:val="none"/>
              </w:rPr>
              <w:t>2</w:t>
            </w:r>
            <w:r>
              <w:rPr>
                <w:rFonts w:hAnsi="宋体"/>
                <w:color w:val="auto"/>
                <w:szCs w:val="21"/>
                <w:highlight w:val="none"/>
              </w:rPr>
              <w:t>0</w:t>
            </w:r>
          </w:p>
        </w:tc>
        <w:tc>
          <w:tcPr>
            <w:tcW w:w="341" w:type="pct"/>
            <w:vAlign w:val="center"/>
          </w:tcPr>
          <w:p>
            <w:pPr>
              <w:jc w:val="center"/>
              <w:rPr>
                <w:rFonts w:hAnsi="宋体"/>
                <w:color w:val="auto"/>
                <w:szCs w:val="21"/>
                <w:highlight w:val="none"/>
              </w:rPr>
            </w:pPr>
            <w:r>
              <w:rPr>
                <w:rFonts w:hAnsi="宋体"/>
                <w:color w:val="auto"/>
                <w:szCs w:val="21"/>
                <w:highlight w:val="none"/>
              </w:rPr>
              <w:t>40</w:t>
            </w:r>
          </w:p>
        </w:tc>
        <w:tc>
          <w:tcPr>
            <w:tcW w:w="373" w:type="pct"/>
            <w:vAlign w:val="center"/>
          </w:tcPr>
          <w:p>
            <w:pPr>
              <w:jc w:val="center"/>
              <w:rPr>
                <w:rFonts w:hAnsi="宋体"/>
                <w:color w:val="auto"/>
                <w:szCs w:val="21"/>
                <w:highlight w:val="none"/>
              </w:rPr>
            </w:pPr>
            <w:r>
              <w:rPr>
                <w:rFonts w:hAnsi="宋体"/>
                <w:color w:val="auto"/>
                <w:szCs w:val="21"/>
                <w:highlight w:val="none"/>
              </w:rPr>
              <w:t>0</w:t>
            </w:r>
          </w:p>
        </w:tc>
      </w:tr>
    </w:tbl>
    <w:p>
      <w:pPr>
        <w:spacing w:line="480" w:lineRule="exact"/>
        <w:outlineLvl w:val="2"/>
        <w:rPr>
          <w:b/>
          <w:color w:val="auto"/>
          <w:sz w:val="24"/>
          <w:highlight w:val="none"/>
        </w:rPr>
        <w:sectPr>
          <w:headerReference r:id="rId22" w:type="default"/>
          <w:pgSz w:w="16838" w:h="11906" w:orient="landscape"/>
          <w:pgMar w:top="1803" w:right="1440" w:bottom="1826" w:left="1440" w:header="851" w:footer="992" w:gutter="0"/>
          <w:pgBorders>
            <w:top w:val="none" w:sz="0" w:space="0"/>
            <w:left w:val="none" w:sz="0" w:space="0"/>
            <w:bottom w:val="none" w:sz="0" w:space="0"/>
            <w:right w:val="none" w:sz="0" w:space="0"/>
          </w:pgBorders>
          <w:pgNumType w:fmt="decimal"/>
          <w:cols w:space="720" w:num="1"/>
          <w:docGrid w:type="linesAndChars" w:linePitch="318" w:charSpace="0"/>
        </w:sectPr>
      </w:pPr>
    </w:p>
    <w:p>
      <w:pPr>
        <w:spacing w:line="480" w:lineRule="exact"/>
        <w:rPr>
          <w:b/>
          <w:sz w:val="24"/>
          <w:highlight w:val="none"/>
        </w:rPr>
      </w:pPr>
      <w:r>
        <w:rPr>
          <w:rFonts w:hint="eastAsia"/>
          <w:b/>
          <w:sz w:val="24"/>
          <w:highlight w:val="none"/>
        </w:rPr>
        <w:t>5.</w:t>
      </w:r>
      <w:r>
        <w:rPr>
          <w:rFonts w:hint="eastAsia"/>
          <w:b/>
          <w:sz w:val="24"/>
          <w:highlight w:val="none"/>
          <w:lang w:val="en-US" w:eastAsia="zh-CN"/>
        </w:rPr>
        <w:t>7</w:t>
      </w:r>
      <w:r>
        <w:rPr>
          <w:b/>
          <w:sz w:val="24"/>
          <w:highlight w:val="none"/>
        </w:rPr>
        <w:t>.</w:t>
      </w:r>
      <w:r>
        <w:rPr>
          <w:rFonts w:hint="eastAsia"/>
          <w:b/>
          <w:sz w:val="24"/>
          <w:highlight w:val="none"/>
        </w:rPr>
        <w:t>4</w:t>
      </w:r>
      <w:r>
        <w:rPr>
          <w:b/>
          <w:sz w:val="24"/>
          <w:highlight w:val="none"/>
        </w:rPr>
        <w:t xml:space="preserve"> </w:t>
      </w:r>
      <w:r>
        <w:rPr>
          <w:rFonts w:hint="eastAsia"/>
          <w:b/>
          <w:sz w:val="24"/>
          <w:highlight w:val="none"/>
        </w:rPr>
        <w:t>防治</w:t>
      </w:r>
      <w:r>
        <w:rPr>
          <w:b/>
          <w:sz w:val="24"/>
          <w:highlight w:val="none"/>
        </w:rPr>
        <w:t>结果与评价</w:t>
      </w:r>
    </w:p>
    <w:p>
      <w:pPr>
        <w:spacing w:line="480" w:lineRule="exact"/>
        <w:ind w:firstLine="480"/>
        <w:rPr>
          <w:color w:val="auto"/>
          <w:kern w:val="0"/>
          <w:sz w:val="24"/>
          <w:highlight w:val="none"/>
        </w:rPr>
      </w:pPr>
      <w:r>
        <w:rPr>
          <w:color w:val="auto"/>
          <w:kern w:val="0"/>
          <w:sz w:val="24"/>
          <w:highlight w:val="none"/>
        </w:rPr>
        <w:t>发电机和水轮机组布置在电站厂房内，经采取</w:t>
      </w:r>
      <w:r>
        <w:rPr>
          <w:rFonts w:hint="eastAsia"/>
          <w:color w:val="auto"/>
          <w:kern w:val="0"/>
          <w:sz w:val="24"/>
          <w:highlight w:val="none"/>
        </w:rPr>
        <w:t>封闭电站厂房，选取低噪声设备、基础减震等措施后，近距离衰减后，厂界现状噪声值如下。</w:t>
      </w:r>
    </w:p>
    <w:p>
      <w:pPr>
        <w:spacing w:line="480" w:lineRule="exact"/>
        <w:jc w:val="center"/>
        <w:rPr>
          <w:color w:val="auto"/>
          <w:kern w:val="0"/>
          <w:sz w:val="24"/>
          <w:highlight w:val="none"/>
        </w:rPr>
      </w:pPr>
      <w:r>
        <w:rPr>
          <w:b/>
          <w:color w:val="auto"/>
          <w:kern w:val="0"/>
          <w:sz w:val="24"/>
          <w:highlight w:val="none"/>
        </w:rPr>
        <w:t>表</w:t>
      </w:r>
      <w:r>
        <w:rPr>
          <w:rFonts w:hint="eastAsia"/>
          <w:b/>
          <w:color w:val="auto"/>
          <w:kern w:val="0"/>
          <w:sz w:val="24"/>
          <w:highlight w:val="none"/>
        </w:rPr>
        <w:t>5.</w:t>
      </w:r>
      <w:r>
        <w:rPr>
          <w:rFonts w:hint="eastAsia"/>
          <w:b/>
          <w:color w:val="auto"/>
          <w:kern w:val="0"/>
          <w:sz w:val="24"/>
          <w:highlight w:val="none"/>
          <w:lang w:val="en-US" w:eastAsia="zh-CN"/>
        </w:rPr>
        <w:t>7</w:t>
      </w:r>
      <w:r>
        <w:rPr>
          <w:b/>
          <w:color w:val="auto"/>
          <w:kern w:val="0"/>
          <w:sz w:val="24"/>
          <w:highlight w:val="none"/>
        </w:rPr>
        <w:t>-</w:t>
      </w:r>
      <w:r>
        <w:rPr>
          <w:rFonts w:hint="eastAsia"/>
          <w:b/>
          <w:color w:val="auto"/>
          <w:kern w:val="0"/>
          <w:sz w:val="24"/>
          <w:highlight w:val="none"/>
        </w:rPr>
        <w:t>2</w:t>
      </w:r>
      <w:r>
        <w:rPr>
          <w:b/>
          <w:color w:val="auto"/>
          <w:kern w:val="0"/>
          <w:sz w:val="24"/>
          <w:highlight w:val="none"/>
        </w:rPr>
        <w:t xml:space="preserve">  项目噪声源距各厂界距离        单位：</w:t>
      </w:r>
      <w:r>
        <w:rPr>
          <w:b/>
          <w:color w:val="auto"/>
          <w:sz w:val="24"/>
          <w:highlight w:val="none"/>
        </w:rPr>
        <w:t>m</w:t>
      </w:r>
    </w:p>
    <w:tbl>
      <w:tblPr>
        <w:tblStyle w:val="51"/>
        <w:tblW w:w="8110"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855"/>
        <w:gridCol w:w="1230"/>
        <w:gridCol w:w="1200"/>
        <w:gridCol w:w="1320"/>
        <w:gridCol w:w="1505"/>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jc w:val="center"/>
        </w:trPr>
        <w:tc>
          <w:tcPr>
            <w:tcW w:w="2855" w:type="dxa"/>
            <w:vAlign w:val="center"/>
          </w:tcPr>
          <w:p>
            <w:pPr>
              <w:spacing w:line="300" w:lineRule="exact"/>
              <w:jc w:val="center"/>
              <w:rPr>
                <w:caps/>
                <w:color w:val="auto"/>
                <w:kern w:val="0"/>
                <w:szCs w:val="21"/>
                <w:highlight w:val="none"/>
              </w:rPr>
            </w:pPr>
            <w:r>
              <w:rPr>
                <w:caps/>
                <w:color w:val="auto"/>
                <w:kern w:val="0"/>
                <w:szCs w:val="21"/>
                <w:highlight w:val="none"/>
              </w:rPr>
              <w:t>主要产噪车间</w:t>
            </w:r>
          </w:p>
        </w:tc>
        <w:tc>
          <w:tcPr>
            <w:tcW w:w="1230" w:type="dxa"/>
            <w:vAlign w:val="center"/>
          </w:tcPr>
          <w:p>
            <w:pPr>
              <w:spacing w:line="300" w:lineRule="exact"/>
              <w:jc w:val="center"/>
              <w:rPr>
                <w:caps/>
                <w:color w:val="auto"/>
                <w:kern w:val="0"/>
                <w:szCs w:val="21"/>
                <w:highlight w:val="none"/>
              </w:rPr>
            </w:pPr>
            <w:r>
              <w:rPr>
                <w:caps/>
                <w:color w:val="auto"/>
                <w:kern w:val="0"/>
                <w:szCs w:val="21"/>
                <w:highlight w:val="none"/>
              </w:rPr>
              <w:t>东厂界</w:t>
            </w:r>
          </w:p>
        </w:tc>
        <w:tc>
          <w:tcPr>
            <w:tcW w:w="1200" w:type="dxa"/>
            <w:vAlign w:val="center"/>
          </w:tcPr>
          <w:p>
            <w:pPr>
              <w:spacing w:line="300" w:lineRule="exact"/>
              <w:jc w:val="center"/>
              <w:rPr>
                <w:caps/>
                <w:color w:val="auto"/>
                <w:kern w:val="0"/>
                <w:szCs w:val="21"/>
                <w:highlight w:val="none"/>
              </w:rPr>
            </w:pPr>
            <w:r>
              <w:rPr>
                <w:caps/>
                <w:color w:val="auto"/>
                <w:kern w:val="0"/>
                <w:szCs w:val="21"/>
                <w:highlight w:val="none"/>
              </w:rPr>
              <w:t>南厂界</w:t>
            </w:r>
          </w:p>
        </w:tc>
        <w:tc>
          <w:tcPr>
            <w:tcW w:w="1320" w:type="dxa"/>
            <w:vAlign w:val="center"/>
          </w:tcPr>
          <w:p>
            <w:pPr>
              <w:spacing w:line="300" w:lineRule="exact"/>
              <w:jc w:val="center"/>
              <w:rPr>
                <w:caps/>
                <w:color w:val="auto"/>
                <w:kern w:val="0"/>
                <w:szCs w:val="21"/>
                <w:highlight w:val="none"/>
              </w:rPr>
            </w:pPr>
            <w:r>
              <w:rPr>
                <w:caps/>
                <w:color w:val="auto"/>
                <w:kern w:val="0"/>
                <w:szCs w:val="21"/>
                <w:highlight w:val="none"/>
              </w:rPr>
              <w:t>西厂界</w:t>
            </w:r>
          </w:p>
        </w:tc>
        <w:tc>
          <w:tcPr>
            <w:tcW w:w="1505" w:type="dxa"/>
            <w:vAlign w:val="center"/>
          </w:tcPr>
          <w:p>
            <w:pPr>
              <w:spacing w:line="300" w:lineRule="exact"/>
              <w:jc w:val="center"/>
              <w:rPr>
                <w:caps/>
                <w:color w:val="auto"/>
                <w:kern w:val="0"/>
                <w:szCs w:val="21"/>
                <w:highlight w:val="none"/>
              </w:rPr>
            </w:pPr>
            <w:r>
              <w:rPr>
                <w:caps/>
                <w:color w:val="auto"/>
                <w:kern w:val="0"/>
                <w:szCs w:val="21"/>
                <w:highlight w:val="none"/>
              </w:rPr>
              <w:t>北厂界</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0" w:hRule="atLeast"/>
          <w:jc w:val="center"/>
        </w:trPr>
        <w:tc>
          <w:tcPr>
            <w:tcW w:w="2855" w:type="dxa"/>
            <w:vAlign w:val="center"/>
          </w:tcPr>
          <w:p>
            <w:pPr>
              <w:spacing w:line="300" w:lineRule="exact"/>
              <w:jc w:val="center"/>
              <w:rPr>
                <w:color w:val="auto"/>
                <w:szCs w:val="21"/>
                <w:highlight w:val="none"/>
              </w:rPr>
            </w:pPr>
            <w:r>
              <w:rPr>
                <w:color w:val="auto"/>
                <w:szCs w:val="21"/>
                <w:highlight w:val="none"/>
              </w:rPr>
              <w:t>电站厂房</w:t>
            </w:r>
          </w:p>
        </w:tc>
        <w:tc>
          <w:tcPr>
            <w:tcW w:w="1230" w:type="dxa"/>
            <w:vAlign w:val="center"/>
          </w:tcPr>
          <w:p>
            <w:pPr>
              <w:spacing w:line="30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18</w:t>
            </w:r>
          </w:p>
        </w:tc>
        <w:tc>
          <w:tcPr>
            <w:tcW w:w="1200" w:type="dxa"/>
            <w:vAlign w:val="center"/>
          </w:tcPr>
          <w:p>
            <w:pPr>
              <w:spacing w:line="300" w:lineRule="exact"/>
              <w:jc w:val="center"/>
              <w:rPr>
                <w:rFonts w:hint="eastAsia" w:eastAsia="宋体"/>
                <w:color w:val="auto"/>
                <w:kern w:val="0"/>
                <w:szCs w:val="21"/>
                <w:highlight w:val="none"/>
                <w:lang w:eastAsia="zh-CN"/>
              </w:rPr>
            </w:pPr>
            <w:r>
              <w:rPr>
                <w:rFonts w:hint="eastAsia"/>
                <w:color w:val="auto"/>
                <w:kern w:val="0"/>
                <w:szCs w:val="21"/>
                <w:highlight w:val="none"/>
                <w:lang w:val="en-US" w:eastAsia="zh-CN"/>
              </w:rPr>
              <w:t>5</w:t>
            </w:r>
          </w:p>
        </w:tc>
        <w:tc>
          <w:tcPr>
            <w:tcW w:w="1320" w:type="dxa"/>
            <w:vAlign w:val="center"/>
          </w:tcPr>
          <w:p>
            <w:pPr>
              <w:spacing w:line="30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25</w:t>
            </w:r>
          </w:p>
        </w:tc>
        <w:tc>
          <w:tcPr>
            <w:tcW w:w="1505" w:type="dxa"/>
            <w:vAlign w:val="center"/>
          </w:tcPr>
          <w:p>
            <w:pPr>
              <w:spacing w:line="30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30</w:t>
            </w:r>
          </w:p>
        </w:tc>
      </w:tr>
    </w:tbl>
    <w:p>
      <w:pPr>
        <w:spacing w:line="480" w:lineRule="exact"/>
        <w:jc w:val="center"/>
        <w:rPr>
          <w:b/>
          <w:color w:val="auto"/>
          <w:sz w:val="24"/>
          <w:highlight w:val="none"/>
        </w:rPr>
      </w:pPr>
    </w:p>
    <w:p>
      <w:pPr>
        <w:spacing w:line="480" w:lineRule="exact"/>
        <w:jc w:val="center"/>
        <w:rPr>
          <w:b/>
          <w:color w:val="auto"/>
          <w:sz w:val="24"/>
          <w:highlight w:val="none"/>
        </w:rPr>
      </w:pPr>
      <w:r>
        <w:rPr>
          <w:b/>
          <w:color w:val="auto"/>
          <w:sz w:val="24"/>
          <w:highlight w:val="none"/>
        </w:rPr>
        <w:t>表</w:t>
      </w:r>
      <w:r>
        <w:rPr>
          <w:rFonts w:hint="eastAsia"/>
          <w:b/>
          <w:color w:val="auto"/>
          <w:sz w:val="24"/>
          <w:highlight w:val="none"/>
        </w:rPr>
        <w:t>5.</w:t>
      </w:r>
      <w:r>
        <w:rPr>
          <w:rFonts w:hint="eastAsia"/>
          <w:b/>
          <w:color w:val="auto"/>
          <w:sz w:val="24"/>
          <w:highlight w:val="none"/>
          <w:lang w:val="en-US" w:eastAsia="zh-CN"/>
        </w:rPr>
        <w:t>7</w:t>
      </w:r>
      <w:r>
        <w:rPr>
          <w:rFonts w:hint="eastAsia"/>
          <w:b/>
          <w:color w:val="auto"/>
          <w:sz w:val="24"/>
          <w:highlight w:val="none"/>
        </w:rPr>
        <w:t>-3</w:t>
      </w:r>
      <w:r>
        <w:rPr>
          <w:b/>
          <w:color w:val="auto"/>
          <w:sz w:val="24"/>
          <w:highlight w:val="none"/>
        </w:rPr>
        <w:t xml:space="preserve">  本项现状预测值及达标分析情况   单位：dB(A)</w:t>
      </w:r>
    </w:p>
    <w:tbl>
      <w:tblPr>
        <w:tblStyle w:val="51"/>
        <w:tblW w:w="4722" w:type="pct"/>
        <w:jc w:val="center"/>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Layout w:type="autofit"/>
        <w:tblCellMar>
          <w:top w:w="0" w:type="dxa"/>
          <w:left w:w="108" w:type="dxa"/>
          <w:bottom w:w="0" w:type="dxa"/>
          <w:right w:w="108" w:type="dxa"/>
        </w:tblCellMar>
      </w:tblPr>
      <w:tblGrid>
        <w:gridCol w:w="1525"/>
        <w:gridCol w:w="1401"/>
        <w:gridCol w:w="1700"/>
        <w:gridCol w:w="1698"/>
        <w:gridCol w:w="1697"/>
      </w:tblGrid>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jc w:val="center"/>
        </w:trPr>
        <w:tc>
          <w:tcPr>
            <w:tcW w:w="950" w:type="pct"/>
            <w:vAlign w:val="center"/>
          </w:tcPr>
          <w:p>
            <w:pPr>
              <w:spacing w:line="300" w:lineRule="exact"/>
              <w:jc w:val="center"/>
              <w:rPr>
                <w:caps/>
                <w:color w:val="auto"/>
                <w:szCs w:val="21"/>
                <w:highlight w:val="none"/>
              </w:rPr>
            </w:pPr>
            <w:r>
              <w:rPr>
                <w:caps/>
                <w:color w:val="auto"/>
                <w:szCs w:val="21"/>
                <w:highlight w:val="none"/>
              </w:rPr>
              <w:t>评价点</w:t>
            </w:r>
          </w:p>
        </w:tc>
        <w:tc>
          <w:tcPr>
            <w:tcW w:w="873" w:type="pct"/>
            <w:vAlign w:val="center"/>
          </w:tcPr>
          <w:p>
            <w:pPr>
              <w:spacing w:line="300" w:lineRule="exact"/>
              <w:jc w:val="center"/>
              <w:rPr>
                <w:caps/>
                <w:color w:val="auto"/>
                <w:szCs w:val="21"/>
                <w:highlight w:val="none"/>
              </w:rPr>
            </w:pPr>
            <w:r>
              <w:rPr>
                <w:caps/>
                <w:color w:val="auto"/>
                <w:szCs w:val="21"/>
                <w:highlight w:val="none"/>
              </w:rPr>
              <w:t>时段</w:t>
            </w:r>
          </w:p>
        </w:tc>
        <w:tc>
          <w:tcPr>
            <w:tcW w:w="1059" w:type="pct"/>
            <w:vAlign w:val="center"/>
          </w:tcPr>
          <w:p>
            <w:pPr>
              <w:spacing w:line="300" w:lineRule="exact"/>
              <w:jc w:val="center"/>
              <w:rPr>
                <w:caps/>
                <w:color w:val="auto"/>
                <w:szCs w:val="21"/>
                <w:highlight w:val="none"/>
              </w:rPr>
            </w:pPr>
            <w:r>
              <w:rPr>
                <w:caps/>
                <w:color w:val="auto"/>
                <w:szCs w:val="21"/>
                <w:highlight w:val="none"/>
              </w:rPr>
              <w:t>现状值</w:t>
            </w:r>
          </w:p>
        </w:tc>
        <w:tc>
          <w:tcPr>
            <w:tcW w:w="1058" w:type="pct"/>
            <w:vAlign w:val="center"/>
          </w:tcPr>
          <w:p>
            <w:pPr>
              <w:spacing w:line="300" w:lineRule="exact"/>
              <w:jc w:val="center"/>
              <w:rPr>
                <w:caps/>
                <w:color w:val="auto"/>
                <w:szCs w:val="21"/>
                <w:highlight w:val="none"/>
              </w:rPr>
            </w:pPr>
            <w:r>
              <w:rPr>
                <w:caps/>
                <w:color w:val="auto"/>
                <w:szCs w:val="21"/>
                <w:highlight w:val="none"/>
              </w:rPr>
              <w:t>标准值</w:t>
            </w:r>
          </w:p>
        </w:tc>
        <w:tc>
          <w:tcPr>
            <w:tcW w:w="1057" w:type="pct"/>
            <w:vAlign w:val="center"/>
          </w:tcPr>
          <w:p>
            <w:pPr>
              <w:spacing w:line="300" w:lineRule="exact"/>
              <w:jc w:val="center"/>
              <w:rPr>
                <w:caps/>
                <w:color w:val="auto"/>
                <w:szCs w:val="21"/>
                <w:highlight w:val="none"/>
              </w:rPr>
            </w:pPr>
            <w:r>
              <w:rPr>
                <w:caps/>
                <w:color w:val="auto"/>
                <w:szCs w:val="21"/>
                <w:highlight w:val="none"/>
              </w:rPr>
              <w:t>达标分析</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jc w:val="center"/>
        </w:trPr>
        <w:tc>
          <w:tcPr>
            <w:tcW w:w="950" w:type="pct"/>
            <w:vMerge w:val="restart"/>
            <w:vAlign w:val="center"/>
          </w:tcPr>
          <w:p>
            <w:pPr>
              <w:spacing w:line="300" w:lineRule="exact"/>
              <w:jc w:val="center"/>
              <w:rPr>
                <w:caps/>
                <w:color w:val="auto"/>
                <w:szCs w:val="21"/>
                <w:highlight w:val="none"/>
              </w:rPr>
            </w:pPr>
            <w:r>
              <w:rPr>
                <w:color w:val="auto"/>
                <w:szCs w:val="21"/>
                <w:highlight w:val="none"/>
              </w:rPr>
              <w:t>东厂界</w:t>
            </w:r>
          </w:p>
        </w:tc>
        <w:tc>
          <w:tcPr>
            <w:tcW w:w="873" w:type="pct"/>
            <w:vAlign w:val="center"/>
          </w:tcPr>
          <w:p>
            <w:pPr>
              <w:spacing w:line="300" w:lineRule="exact"/>
              <w:jc w:val="center"/>
              <w:rPr>
                <w:color w:val="auto"/>
                <w:szCs w:val="21"/>
                <w:highlight w:val="none"/>
              </w:rPr>
            </w:pPr>
            <w:r>
              <w:rPr>
                <w:color w:val="auto"/>
                <w:szCs w:val="21"/>
                <w:highlight w:val="none"/>
              </w:rPr>
              <w:t>昼间</w:t>
            </w:r>
          </w:p>
        </w:tc>
        <w:tc>
          <w:tcPr>
            <w:tcW w:w="1059" w:type="pct"/>
            <w:vAlign w:val="center"/>
          </w:tcPr>
          <w:p>
            <w:pPr>
              <w:spacing w:line="300" w:lineRule="exact"/>
              <w:jc w:val="center"/>
              <w:rPr>
                <w:caps/>
                <w:color w:val="auto"/>
                <w:szCs w:val="21"/>
                <w:highlight w:val="none"/>
              </w:rPr>
            </w:pPr>
            <w:r>
              <w:rPr>
                <w:rFonts w:hint="eastAsia"/>
                <w:caps/>
                <w:color w:val="auto"/>
                <w:szCs w:val="21"/>
                <w:highlight w:val="none"/>
              </w:rPr>
              <w:t>54</w:t>
            </w:r>
          </w:p>
        </w:tc>
        <w:tc>
          <w:tcPr>
            <w:tcW w:w="1058" w:type="pct"/>
            <w:vAlign w:val="center"/>
          </w:tcPr>
          <w:p>
            <w:pPr>
              <w:spacing w:line="300" w:lineRule="exact"/>
              <w:jc w:val="center"/>
              <w:rPr>
                <w:color w:val="auto"/>
                <w:szCs w:val="21"/>
                <w:highlight w:val="none"/>
              </w:rPr>
            </w:pPr>
            <w:r>
              <w:rPr>
                <w:color w:val="auto"/>
                <w:szCs w:val="21"/>
                <w:highlight w:val="none"/>
              </w:rPr>
              <w:t>60</w:t>
            </w:r>
          </w:p>
        </w:tc>
        <w:tc>
          <w:tcPr>
            <w:tcW w:w="1057" w:type="pct"/>
          </w:tcPr>
          <w:p>
            <w:pPr>
              <w:spacing w:line="300" w:lineRule="exact"/>
              <w:jc w:val="center"/>
              <w:rPr>
                <w:color w:val="auto"/>
                <w:szCs w:val="21"/>
                <w:highlight w:val="none"/>
              </w:rPr>
            </w:pPr>
            <w:r>
              <w:rPr>
                <w:color w:val="auto"/>
                <w:szCs w:val="21"/>
                <w:highlight w:val="none"/>
              </w:rPr>
              <w:t>达标</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jc w:val="center"/>
        </w:trPr>
        <w:tc>
          <w:tcPr>
            <w:tcW w:w="950" w:type="pct"/>
            <w:vMerge w:val="continue"/>
            <w:vAlign w:val="center"/>
          </w:tcPr>
          <w:p>
            <w:pPr>
              <w:spacing w:line="300" w:lineRule="exact"/>
              <w:jc w:val="center"/>
              <w:rPr>
                <w:caps/>
                <w:color w:val="auto"/>
                <w:szCs w:val="21"/>
                <w:highlight w:val="none"/>
              </w:rPr>
            </w:pPr>
          </w:p>
        </w:tc>
        <w:tc>
          <w:tcPr>
            <w:tcW w:w="873" w:type="pct"/>
            <w:vAlign w:val="center"/>
          </w:tcPr>
          <w:p>
            <w:pPr>
              <w:spacing w:line="300" w:lineRule="exact"/>
              <w:jc w:val="center"/>
              <w:rPr>
                <w:color w:val="auto"/>
                <w:szCs w:val="21"/>
                <w:highlight w:val="none"/>
              </w:rPr>
            </w:pPr>
            <w:r>
              <w:rPr>
                <w:color w:val="auto"/>
                <w:szCs w:val="21"/>
                <w:highlight w:val="none"/>
              </w:rPr>
              <w:t>夜间</w:t>
            </w:r>
          </w:p>
        </w:tc>
        <w:tc>
          <w:tcPr>
            <w:tcW w:w="1059" w:type="pct"/>
            <w:vAlign w:val="center"/>
          </w:tcPr>
          <w:p>
            <w:pPr>
              <w:spacing w:line="300" w:lineRule="exact"/>
              <w:jc w:val="center"/>
              <w:rPr>
                <w:caps/>
                <w:color w:val="auto"/>
                <w:szCs w:val="21"/>
                <w:highlight w:val="none"/>
              </w:rPr>
            </w:pPr>
            <w:r>
              <w:rPr>
                <w:rFonts w:hint="eastAsia"/>
                <w:caps/>
                <w:color w:val="auto"/>
                <w:szCs w:val="21"/>
                <w:highlight w:val="none"/>
              </w:rPr>
              <w:t>43</w:t>
            </w:r>
          </w:p>
        </w:tc>
        <w:tc>
          <w:tcPr>
            <w:tcW w:w="1058" w:type="pct"/>
            <w:vAlign w:val="center"/>
          </w:tcPr>
          <w:p>
            <w:pPr>
              <w:spacing w:line="300" w:lineRule="exact"/>
              <w:jc w:val="center"/>
              <w:rPr>
                <w:color w:val="auto"/>
                <w:szCs w:val="21"/>
                <w:highlight w:val="none"/>
              </w:rPr>
            </w:pPr>
            <w:r>
              <w:rPr>
                <w:color w:val="auto"/>
                <w:szCs w:val="21"/>
                <w:highlight w:val="none"/>
              </w:rPr>
              <w:t>50</w:t>
            </w:r>
          </w:p>
        </w:tc>
        <w:tc>
          <w:tcPr>
            <w:tcW w:w="1057" w:type="pct"/>
          </w:tcPr>
          <w:p>
            <w:pPr>
              <w:spacing w:line="300" w:lineRule="exact"/>
              <w:jc w:val="center"/>
              <w:rPr>
                <w:color w:val="auto"/>
                <w:szCs w:val="21"/>
                <w:highlight w:val="none"/>
              </w:rPr>
            </w:pPr>
            <w:r>
              <w:rPr>
                <w:color w:val="auto"/>
                <w:szCs w:val="21"/>
                <w:highlight w:val="none"/>
              </w:rPr>
              <w:t>达标</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jc w:val="center"/>
        </w:trPr>
        <w:tc>
          <w:tcPr>
            <w:tcW w:w="950" w:type="pct"/>
            <w:vMerge w:val="restart"/>
            <w:vAlign w:val="center"/>
          </w:tcPr>
          <w:p>
            <w:pPr>
              <w:spacing w:line="300" w:lineRule="exact"/>
              <w:jc w:val="center"/>
              <w:rPr>
                <w:caps/>
                <w:color w:val="auto"/>
                <w:szCs w:val="21"/>
                <w:highlight w:val="none"/>
              </w:rPr>
            </w:pPr>
            <w:r>
              <w:rPr>
                <w:color w:val="auto"/>
                <w:szCs w:val="21"/>
                <w:highlight w:val="none"/>
              </w:rPr>
              <w:t>南厂界</w:t>
            </w:r>
          </w:p>
        </w:tc>
        <w:tc>
          <w:tcPr>
            <w:tcW w:w="873" w:type="pct"/>
            <w:vAlign w:val="center"/>
          </w:tcPr>
          <w:p>
            <w:pPr>
              <w:spacing w:line="300" w:lineRule="exact"/>
              <w:jc w:val="center"/>
              <w:rPr>
                <w:color w:val="auto"/>
                <w:szCs w:val="21"/>
                <w:highlight w:val="none"/>
              </w:rPr>
            </w:pPr>
            <w:r>
              <w:rPr>
                <w:color w:val="auto"/>
                <w:szCs w:val="21"/>
                <w:highlight w:val="none"/>
              </w:rPr>
              <w:t>昼间</w:t>
            </w:r>
          </w:p>
        </w:tc>
        <w:tc>
          <w:tcPr>
            <w:tcW w:w="1059" w:type="pct"/>
            <w:vAlign w:val="center"/>
          </w:tcPr>
          <w:p>
            <w:pPr>
              <w:spacing w:line="300" w:lineRule="exact"/>
              <w:jc w:val="center"/>
              <w:rPr>
                <w:caps/>
                <w:color w:val="auto"/>
                <w:szCs w:val="21"/>
                <w:highlight w:val="none"/>
              </w:rPr>
            </w:pPr>
            <w:r>
              <w:rPr>
                <w:rFonts w:hint="eastAsia"/>
                <w:caps/>
                <w:color w:val="auto"/>
                <w:szCs w:val="21"/>
                <w:highlight w:val="none"/>
              </w:rPr>
              <w:t>53</w:t>
            </w:r>
          </w:p>
        </w:tc>
        <w:tc>
          <w:tcPr>
            <w:tcW w:w="1058" w:type="pct"/>
            <w:vAlign w:val="center"/>
          </w:tcPr>
          <w:p>
            <w:pPr>
              <w:spacing w:line="300" w:lineRule="exact"/>
              <w:jc w:val="center"/>
              <w:rPr>
                <w:color w:val="auto"/>
                <w:szCs w:val="21"/>
                <w:highlight w:val="none"/>
              </w:rPr>
            </w:pPr>
            <w:r>
              <w:rPr>
                <w:color w:val="auto"/>
                <w:szCs w:val="21"/>
                <w:highlight w:val="none"/>
              </w:rPr>
              <w:t>60</w:t>
            </w:r>
          </w:p>
        </w:tc>
        <w:tc>
          <w:tcPr>
            <w:tcW w:w="1057" w:type="pct"/>
          </w:tcPr>
          <w:p>
            <w:pPr>
              <w:spacing w:line="300" w:lineRule="exact"/>
              <w:jc w:val="center"/>
              <w:rPr>
                <w:color w:val="auto"/>
                <w:szCs w:val="21"/>
                <w:highlight w:val="none"/>
              </w:rPr>
            </w:pPr>
            <w:r>
              <w:rPr>
                <w:color w:val="auto"/>
                <w:szCs w:val="21"/>
                <w:highlight w:val="none"/>
              </w:rPr>
              <w:t>达标</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jc w:val="center"/>
        </w:trPr>
        <w:tc>
          <w:tcPr>
            <w:tcW w:w="950" w:type="pct"/>
            <w:vMerge w:val="continue"/>
            <w:vAlign w:val="center"/>
          </w:tcPr>
          <w:p>
            <w:pPr>
              <w:spacing w:line="300" w:lineRule="exact"/>
              <w:jc w:val="center"/>
              <w:rPr>
                <w:caps/>
                <w:color w:val="auto"/>
                <w:szCs w:val="21"/>
                <w:highlight w:val="none"/>
              </w:rPr>
            </w:pPr>
          </w:p>
        </w:tc>
        <w:tc>
          <w:tcPr>
            <w:tcW w:w="873" w:type="pct"/>
            <w:vAlign w:val="center"/>
          </w:tcPr>
          <w:p>
            <w:pPr>
              <w:spacing w:line="300" w:lineRule="exact"/>
              <w:jc w:val="center"/>
              <w:rPr>
                <w:color w:val="auto"/>
                <w:szCs w:val="21"/>
                <w:highlight w:val="none"/>
              </w:rPr>
            </w:pPr>
            <w:r>
              <w:rPr>
                <w:color w:val="auto"/>
                <w:szCs w:val="21"/>
                <w:highlight w:val="none"/>
              </w:rPr>
              <w:t>夜间</w:t>
            </w:r>
          </w:p>
        </w:tc>
        <w:tc>
          <w:tcPr>
            <w:tcW w:w="1059" w:type="pct"/>
            <w:vAlign w:val="center"/>
          </w:tcPr>
          <w:p>
            <w:pPr>
              <w:spacing w:line="300" w:lineRule="exact"/>
              <w:jc w:val="center"/>
              <w:rPr>
                <w:caps/>
                <w:color w:val="auto"/>
                <w:szCs w:val="21"/>
                <w:highlight w:val="none"/>
              </w:rPr>
            </w:pPr>
            <w:r>
              <w:rPr>
                <w:rFonts w:hint="eastAsia"/>
                <w:caps/>
                <w:color w:val="auto"/>
                <w:szCs w:val="21"/>
                <w:highlight w:val="none"/>
              </w:rPr>
              <w:t>44</w:t>
            </w:r>
          </w:p>
        </w:tc>
        <w:tc>
          <w:tcPr>
            <w:tcW w:w="1058" w:type="pct"/>
            <w:vAlign w:val="center"/>
          </w:tcPr>
          <w:p>
            <w:pPr>
              <w:spacing w:line="300" w:lineRule="exact"/>
              <w:jc w:val="center"/>
              <w:rPr>
                <w:color w:val="auto"/>
                <w:szCs w:val="21"/>
                <w:highlight w:val="none"/>
              </w:rPr>
            </w:pPr>
            <w:r>
              <w:rPr>
                <w:color w:val="auto"/>
                <w:szCs w:val="21"/>
                <w:highlight w:val="none"/>
              </w:rPr>
              <w:t>50</w:t>
            </w:r>
          </w:p>
        </w:tc>
        <w:tc>
          <w:tcPr>
            <w:tcW w:w="1057" w:type="pct"/>
          </w:tcPr>
          <w:p>
            <w:pPr>
              <w:spacing w:line="300" w:lineRule="exact"/>
              <w:jc w:val="center"/>
              <w:rPr>
                <w:color w:val="auto"/>
                <w:szCs w:val="21"/>
                <w:highlight w:val="none"/>
              </w:rPr>
            </w:pPr>
            <w:r>
              <w:rPr>
                <w:color w:val="auto"/>
                <w:szCs w:val="21"/>
                <w:highlight w:val="none"/>
              </w:rPr>
              <w:t>达标</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jc w:val="center"/>
        </w:trPr>
        <w:tc>
          <w:tcPr>
            <w:tcW w:w="950" w:type="pct"/>
            <w:vMerge w:val="restart"/>
            <w:vAlign w:val="center"/>
          </w:tcPr>
          <w:p>
            <w:pPr>
              <w:spacing w:line="300" w:lineRule="exact"/>
              <w:jc w:val="center"/>
              <w:rPr>
                <w:caps/>
                <w:color w:val="auto"/>
                <w:szCs w:val="21"/>
                <w:highlight w:val="none"/>
              </w:rPr>
            </w:pPr>
            <w:r>
              <w:rPr>
                <w:color w:val="auto"/>
                <w:szCs w:val="21"/>
                <w:highlight w:val="none"/>
              </w:rPr>
              <w:t>西厂界</w:t>
            </w:r>
          </w:p>
        </w:tc>
        <w:tc>
          <w:tcPr>
            <w:tcW w:w="873" w:type="pct"/>
            <w:vAlign w:val="center"/>
          </w:tcPr>
          <w:p>
            <w:pPr>
              <w:spacing w:line="300" w:lineRule="exact"/>
              <w:jc w:val="center"/>
              <w:rPr>
                <w:color w:val="auto"/>
                <w:szCs w:val="21"/>
                <w:highlight w:val="none"/>
              </w:rPr>
            </w:pPr>
            <w:r>
              <w:rPr>
                <w:color w:val="auto"/>
                <w:szCs w:val="21"/>
                <w:highlight w:val="none"/>
              </w:rPr>
              <w:t>昼间</w:t>
            </w:r>
          </w:p>
        </w:tc>
        <w:tc>
          <w:tcPr>
            <w:tcW w:w="1059" w:type="pct"/>
            <w:vAlign w:val="center"/>
          </w:tcPr>
          <w:p>
            <w:pPr>
              <w:spacing w:line="300" w:lineRule="exact"/>
              <w:jc w:val="center"/>
              <w:rPr>
                <w:caps/>
                <w:color w:val="auto"/>
                <w:szCs w:val="21"/>
                <w:highlight w:val="none"/>
              </w:rPr>
            </w:pPr>
            <w:r>
              <w:rPr>
                <w:rFonts w:hint="eastAsia"/>
                <w:caps/>
                <w:color w:val="auto"/>
                <w:szCs w:val="21"/>
                <w:highlight w:val="none"/>
              </w:rPr>
              <w:t>54</w:t>
            </w:r>
          </w:p>
        </w:tc>
        <w:tc>
          <w:tcPr>
            <w:tcW w:w="1058" w:type="pct"/>
            <w:vAlign w:val="center"/>
          </w:tcPr>
          <w:p>
            <w:pPr>
              <w:spacing w:line="300" w:lineRule="exact"/>
              <w:jc w:val="center"/>
              <w:rPr>
                <w:color w:val="auto"/>
                <w:szCs w:val="21"/>
                <w:highlight w:val="none"/>
              </w:rPr>
            </w:pPr>
            <w:r>
              <w:rPr>
                <w:color w:val="auto"/>
                <w:szCs w:val="21"/>
                <w:highlight w:val="none"/>
              </w:rPr>
              <w:t>60</w:t>
            </w:r>
          </w:p>
        </w:tc>
        <w:tc>
          <w:tcPr>
            <w:tcW w:w="1057" w:type="pct"/>
          </w:tcPr>
          <w:p>
            <w:pPr>
              <w:spacing w:line="300" w:lineRule="exact"/>
              <w:jc w:val="center"/>
              <w:rPr>
                <w:color w:val="auto"/>
                <w:szCs w:val="21"/>
                <w:highlight w:val="none"/>
              </w:rPr>
            </w:pPr>
            <w:r>
              <w:rPr>
                <w:color w:val="auto"/>
                <w:szCs w:val="21"/>
                <w:highlight w:val="none"/>
              </w:rPr>
              <w:t>达标</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jc w:val="center"/>
        </w:trPr>
        <w:tc>
          <w:tcPr>
            <w:tcW w:w="950" w:type="pct"/>
            <w:vMerge w:val="continue"/>
            <w:vAlign w:val="center"/>
          </w:tcPr>
          <w:p>
            <w:pPr>
              <w:spacing w:line="300" w:lineRule="exact"/>
              <w:jc w:val="center"/>
              <w:rPr>
                <w:caps/>
                <w:color w:val="auto"/>
                <w:szCs w:val="21"/>
                <w:highlight w:val="none"/>
              </w:rPr>
            </w:pPr>
          </w:p>
        </w:tc>
        <w:tc>
          <w:tcPr>
            <w:tcW w:w="873" w:type="pct"/>
            <w:vAlign w:val="center"/>
          </w:tcPr>
          <w:p>
            <w:pPr>
              <w:spacing w:line="300" w:lineRule="exact"/>
              <w:jc w:val="center"/>
              <w:rPr>
                <w:color w:val="auto"/>
                <w:szCs w:val="21"/>
                <w:highlight w:val="none"/>
              </w:rPr>
            </w:pPr>
            <w:r>
              <w:rPr>
                <w:color w:val="auto"/>
                <w:szCs w:val="21"/>
                <w:highlight w:val="none"/>
              </w:rPr>
              <w:t>夜间</w:t>
            </w:r>
          </w:p>
        </w:tc>
        <w:tc>
          <w:tcPr>
            <w:tcW w:w="1059" w:type="pct"/>
            <w:vAlign w:val="center"/>
          </w:tcPr>
          <w:p>
            <w:pPr>
              <w:spacing w:line="300" w:lineRule="exact"/>
              <w:jc w:val="center"/>
              <w:rPr>
                <w:caps/>
                <w:color w:val="auto"/>
                <w:szCs w:val="21"/>
                <w:highlight w:val="none"/>
              </w:rPr>
            </w:pPr>
            <w:r>
              <w:rPr>
                <w:rFonts w:hint="eastAsia"/>
                <w:caps/>
                <w:color w:val="auto"/>
                <w:szCs w:val="21"/>
                <w:highlight w:val="none"/>
              </w:rPr>
              <w:t>44</w:t>
            </w:r>
          </w:p>
        </w:tc>
        <w:tc>
          <w:tcPr>
            <w:tcW w:w="1058" w:type="pct"/>
            <w:vAlign w:val="center"/>
          </w:tcPr>
          <w:p>
            <w:pPr>
              <w:spacing w:line="300" w:lineRule="exact"/>
              <w:jc w:val="center"/>
              <w:rPr>
                <w:color w:val="auto"/>
                <w:szCs w:val="21"/>
                <w:highlight w:val="none"/>
              </w:rPr>
            </w:pPr>
            <w:r>
              <w:rPr>
                <w:color w:val="auto"/>
                <w:szCs w:val="21"/>
                <w:highlight w:val="none"/>
              </w:rPr>
              <w:t>50</w:t>
            </w:r>
          </w:p>
        </w:tc>
        <w:tc>
          <w:tcPr>
            <w:tcW w:w="1057" w:type="pct"/>
          </w:tcPr>
          <w:p>
            <w:pPr>
              <w:spacing w:line="300" w:lineRule="exact"/>
              <w:jc w:val="center"/>
              <w:rPr>
                <w:color w:val="auto"/>
                <w:szCs w:val="21"/>
                <w:highlight w:val="none"/>
              </w:rPr>
            </w:pPr>
            <w:r>
              <w:rPr>
                <w:color w:val="auto"/>
                <w:szCs w:val="21"/>
                <w:highlight w:val="none"/>
              </w:rPr>
              <w:t>达标</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jc w:val="center"/>
        </w:trPr>
        <w:tc>
          <w:tcPr>
            <w:tcW w:w="950" w:type="pct"/>
            <w:vMerge w:val="restart"/>
            <w:vAlign w:val="center"/>
          </w:tcPr>
          <w:p>
            <w:pPr>
              <w:spacing w:line="300" w:lineRule="exact"/>
              <w:jc w:val="center"/>
              <w:rPr>
                <w:caps/>
                <w:color w:val="auto"/>
                <w:szCs w:val="21"/>
                <w:highlight w:val="none"/>
              </w:rPr>
            </w:pPr>
            <w:r>
              <w:rPr>
                <w:color w:val="auto"/>
                <w:szCs w:val="21"/>
                <w:highlight w:val="none"/>
              </w:rPr>
              <w:t>北厂界</w:t>
            </w:r>
          </w:p>
        </w:tc>
        <w:tc>
          <w:tcPr>
            <w:tcW w:w="873" w:type="pct"/>
            <w:vAlign w:val="center"/>
          </w:tcPr>
          <w:p>
            <w:pPr>
              <w:spacing w:line="300" w:lineRule="exact"/>
              <w:jc w:val="center"/>
              <w:rPr>
                <w:color w:val="auto"/>
                <w:szCs w:val="21"/>
                <w:highlight w:val="none"/>
              </w:rPr>
            </w:pPr>
            <w:r>
              <w:rPr>
                <w:color w:val="auto"/>
                <w:szCs w:val="21"/>
                <w:highlight w:val="none"/>
              </w:rPr>
              <w:t>昼间</w:t>
            </w:r>
          </w:p>
        </w:tc>
        <w:tc>
          <w:tcPr>
            <w:tcW w:w="1059" w:type="pct"/>
            <w:vAlign w:val="center"/>
          </w:tcPr>
          <w:p>
            <w:pPr>
              <w:spacing w:line="300" w:lineRule="exact"/>
              <w:jc w:val="center"/>
              <w:rPr>
                <w:caps/>
                <w:color w:val="auto"/>
                <w:szCs w:val="21"/>
                <w:highlight w:val="none"/>
              </w:rPr>
            </w:pPr>
            <w:r>
              <w:rPr>
                <w:rFonts w:hint="eastAsia"/>
                <w:caps/>
                <w:color w:val="auto"/>
                <w:szCs w:val="21"/>
                <w:highlight w:val="none"/>
              </w:rPr>
              <w:t>53</w:t>
            </w:r>
          </w:p>
        </w:tc>
        <w:tc>
          <w:tcPr>
            <w:tcW w:w="1058" w:type="pct"/>
            <w:vAlign w:val="center"/>
          </w:tcPr>
          <w:p>
            <w:pPr>
              <w:spacing w:line="300" w:lineRule="exact"/>
              <w:jc w:val="center"/>
              <w:rPr>
                <w:color w:val="auto"/>
                <w:szCs w:val="21"/>
                <w:highlight w:val="none"/>
              </w:rPr>
            </w:pPr>
            <w:r>
              <w:rPr>
                <w:color w:val="auto"/>
                <w:szCs w:val="21"/>
                <w:highlight w:val="none"/>
              </w:rPr>
              <w:t>60</w:t>
            </w:r>
          </w:p>
        </w:tc>
        <w:tc>
          <w:tcPr>
            <w:tcW w:w="1057" w:type="pct"/>
          </w:tcPr>
          <w:p>
            <w:pPr>
              <w:spacing w:line="300" w:lineRule="exact"/>
              <w:jc w:val="center"/>
              <w:rPr>
                <w:color w:val="auto"/>
                <w:szCs w:val="21"/>
                <w:highlight w:val="none"/>
              </w:rPr>
            </w:pPr>
            <w:r>
              <w:rPr>
                <w:color w:val="auto"/>
                <w:szCs w:val="21"/>
                <w:highlight w:val="none"/>
              </w:rPr>
              <w:t>达标</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jc w:val="center"/>
        </w:trPr>
        <w:tc>
          <w:tcPr>
            <w:tcW w:w="950" w:type="pct"/>
            <w:vMerge w:val="continue"/>
            <w:vAlign w:val="center"/>
          </w:tcPr>
          <w:p>
            <w:pPr>
              <w:spacing w:line="300" w:lineRule="exact"/>
              <w:jc w:val="center"/>
              <w:rPr>
                <w:b/>
                <w:caps/>
                <w:color w:val="auto"/>
                <w:szCs w:val="21"/>
                <w:highlight w:val="none"/>
              </w:rPr>
            </w:pPr>
          </w:p>
        </w:tc>
        <w:tc>
          <w:tcPr>
            <w:tcW w:w="873" w:type="pct"/>
            <w:vAlign w:val="center"/>
          </w:tcPr>
          <w:p>
            <w:pPr>
              <w:spacing w:line="300" w:lineRule="exact"/>
              <w:jc w:val="center"/>
              <w:rPr>
                <w:color w:val="auto"/>
                <w:szCs w:val="21"/>
                <w:highlight w:val="none"/>
              </w:rPr>
            </w:pPr>
            <w:r>
              <w:rPr>
                <w:color w:val="auto"/>
                <w:szCs w:val="21"/>
                <w:highlight w:val="none"/>
              </w:rPr>
              <w:t>夜间</w:t>
            </w:r>
          </w:p>
        </w:tc>
        <w:tc>
          <w:tcPr>
            <w:tcW w:w="1059" w:type="pct"/>
            <w:vAlign w:val="center"/>
          </w:tcPr>
          <w:p>
            <w:pPr>
              <w:spacing w:line="300" w:lineRule="exact"/>
              <w:jc w:val="center"/>
              <w:rPr>
                <w:caps/>
                <w:color w:val="auto"/>
                <w:szCs w:val="21"/>
                <w:highlight w:val="none"/>
              </w:rPr>
            </w:pPr>
            <w:r>
              <w:rPr>
                <w:rFonts w:hint="eastAsia"/>
                <w:caps/>
                <w:color w:val="auto"/>
                <w:szCs w:val="21"/>
                <w:highlight w:val="none"/>
              </w:rPr>
              <w:t>44</w:t>
            </w:r>
          </w:p>
        </w:tc>
        <w:tc>
          <w:tcPr>
            <w:tcW w:w="1058" w:type="pct"/>
            <w:vAlign w:val="center"/>
          </w:tcPr>
          <w:p>
            <w:pPr>
              <w:spacing w:line="300" w:lineRule="exact"/>
              <w:jc w:val="center"/>
              <w:rPr>
                <w:color w:val="auto"/>
                <w:szCs w:val="21"/>
                <w:highlight w:val="none"/>
              </w:rPr>
            </w:pPr>
            <w:r>
              <w:rPr>
                <w:color w:val="auto"/>
                <w:szCs w:val="21"/>
                <w:highlight w:val="none"/>
              </w:rPr>
              <w:t>50</w:t>
            </w:r>
          </w:p>
        </w:tc>
        <w:tc>
          <w:tcPr>
            <w:tcW w:w="1057" w:type="pct"/>
          </w:tcPr>
          <w:p>
            <w:pPr>
              <w:spacing w:line="300" w:lineRule="exact"/>
              <w:jc w:val="center"/>
              <w:rPr>
                <w:color w:val="auto"/>
                <w:szCs w:val="21"/>
                <w:highlight w:val="none"/>
              </w:rPr>
            </w:pPr>
            <w:r>
              <w:rPr>
                <w:color w:val="auto"/>
                <w:szCs w:val="21"/>
                <w:highlight w:val="none"/>
              </w:rPr>
              <w:t>达标</w:t>
            </w:r>
          </w:p>
        </w:tc>
      </w:tr>
    </w:tbl>
    <w:p>
      <w:pPr>
        <w:tabs>
          <w:tab w:val="left" w:pos="0"/>
        </w:tabs>
        <w:spacing w:line="480" w:lineRule="exact"/>
        <w:ind w:firstLine="482"/>
        <w:rPr>
          <w:color w:val="auto"/>
          <w:sz w:val="24"/>
          <w:highlight w:val="none"/>
        </w:rPr>
      </w:pPr>
      <w:r>
        <w:rPr>
          <w:color w:val="auto"/>
          <w:sz w:val="24"/>
          <w:highlight w:val="none"/>
        </w:rPr>
        <w:t>由分析可知，项目厂界的噪声昼间值为53-</w:t>
      </w:r>
      <w:r>
        <w:rPr>
          <w:rFonts w:hint="eastAsia"/>
          <w:color w:val="auto"/>
          <w:sz w:val="24"/>
          <w:highlight w:val="none"/>
        </w:rPr>
        <w:t>54</w:t>
      </w:r>
      <w:r>
        <w:rPr>
          <w:color w:val="auto"/>
          <w:sz w:val="24"/>
          <w:highlight w:val="none"/>
        </w:rPr>
        <w:t>dB(A)，夜间值为43-44dB(A)，满足《工业企业厂界环境噪声排放标准》(GBl2348</w:t>
      </w:r>
      <w:r>
        <w:rPr>
          <w:rFonts w:hint="eastAsia"/>
          <w:color w:val="auto"/>
          <w:sz w:val="24"/>
          <w:highlight w:val="none"/>
        </w:rPr>
        <w:t xml:space="preserve"> </w:t>
      </w:r>
      <w:r>
        <w:rPr>
          <w:color w:val="auto"/>
          <w:sz w:val="24"/>
          <w:highlight w:val="none"/>
        </w:rPr>
        <w:t>-2008)2类标准限值要求。</w:t>
      </w:r>
    </w:p>
    <w:p>
      <w:pPr>
        <w:tabs>
          <w:tab w:val="left" w:pos="0"/>
        </w:tabs>
        <w:spacing w:line="480" w:lineRule="exact"/>
        <w:rPr>
          <w:b/>
          <w:color w:val="auto"/>
          <w:sz w:val="24"/>
          <w:highlight w:val="none"/>
        </w:rPr>
      </w:pPr>
      <w:r>
        <w:rPr>
          <w:rFonts w:hint="eastAsia"/>
          <w:b/>
          <w:color w:val="auto"/>
          <w:sz w:val="24"/>
          <w:highlight w:val="none"/>
        </w:rPr>
        <w:t>5.</w:t>
      </w:r>
      <w:r>
        <w:rPr>
          <w:rFonts w:hint="eastAsia"/>
          <w:b/>
          <w:color w:val="auto"/>
          <w:sz w:val="24"/>
          <w:highlight w:val="none"/>
          <w:lang w:val="en-US" w:eastAsia="zh-CN"/>
        </w:rPr>
        <w:t>7</w:t>
      </w:r>
      <w:r>
        <w:rPr>
          <w:b/>
          <w:color w:val="auto"/>
          <w:sz w:val="24"/>
          <w:highlight w:val="none"/>
        </w:rPr>
        <w:t>.5声环境影响评价结论</w:t>
      </w:r>
    </w:p>
    <w:p>
      <w:pPr>
        <w:tabs>
          <w:tab w:val="left" w:pos="0"/>
        </w:tabs>
        <w:spacing w:line="480" w:lineRule="exact"/>
        <w:ind w:firstLine="482"/>
        <w:rPr>
          <w:color w:val="auto"/>
          <w:sz w:val="24"/>
          <w:highlight w:val="none"/>
        </w:rPr>
      </w:pPr>
      <w:r>
        <w:rPr>
          <w:color w:val="auto"/>
          <w:sz w:val="24"/>
          <w:highlight w:val="none"/>
        </w:rPr>
        <w:t>项目噪声源主要来自生产过程中各种设备运行噪声，在采取</w:t>
      </w:r>
      <w:r>
        <w:rPr>
          <w:rFonts w:hint="eastAsia"/>
          <w:color w:val="auto"/>
          <w:sz w:val="24"/>
          <w:highlight w:val="none"/>
        </w:rPr>
        <w:t>现有</w:t>
      </w:r>
      <w:r>
        <w:rPr>
          <w:color w:val="auto"/>
          <w:sz w:val="24"/>
          <w:highlight w:val="none"/>
        </w:rPr>
        <w:t>的噪声防治措施，再经墙体阻隔、距离衰减后，项目各种设备运转噪声对厂界处的噪声贡献值不大，经监测，项目厂界四周噪声贡献值均能达到《工业企业厂界环境噪声排放标准》（GB12348-2008）中的2类标准限值。</w:t>
      </w:r>
    </w:p>
    <w:p>
      <w:pPr>
        <w:spacing w:line="480" w:lineRule="exact"/>
        <w:outlineLvl w:val="1"/>
        <w:rPr>
          <w:b/>
          <w:snapToGrid w:val="0"/>
          <w:color w:val="auto"/>
          <w:kern w:val="0"/>
          <w:sz w:val="24"/>
          <w:highlight w:val="none"/>
        </w:rPr>
      </w:pPr>
      <w:bookmarkStart w:id="256" w:name="_Toc10925"/>
      <w:r>
        <w:rPr>
          <w:rFonts w:hint="eastAsia"/>
          <w:b/>
          <w:snapToGrid w:val="0"/>
          <w:color w:val="auto"/>
          <w:kern w:val="0"/>
          <w:sz w:val="24"/>
          <w:highlight w:val="none"/>
        </w:rPr>
        <w:t>5.</w:t>
      </w:r>
      <w:bookmarkStart w:id="257" w:name="_Toc28732"/>
      <w:bookmarkStart w:id="258" w:name="_Toc13169"/>
      <w:bookmarkStart w:id="259" w:name="_Toc246763548"/>
      <w:bookmarkStart w:id="260" w:name="_Toc16380"/>
      <w:r>
        <w:rPr>
          <w:rFonts w:hint="eastAsia"/>
          <w:b/>
          <w:snapToGrid w:val="0"/>
          <w:color w:val="auto"/>
          <w:kern w:val="0"/>
          <w:sz w:val="24"/>
          <w:highlight w:val="none"/>
          <w:lang w:val="en-US" w:eastAsia="zh-CN"/>
        </w:rPr>
        <w:t>8</w:t>
      </w:r>
      <w:r>
        <w:rPr>
          <w:b/>
          <w:snapToGrid w:val="0"/>
          <w:color w:val="auto"/>
          <w:kern w:val="0"/>
          <w:sz w:val="24"/>
          <w:highlight w:val="none"/>
        </w:rPr>
        <w:t>固体废物影响分析</w:t>
      </w:r>
      <w:bookmarkEnd w:id="256"/>
      <w:bookmarkEnd w:id="257"/>
      <w:bookmarkEnd w:id="258"/>
      <w:bookmarkEnd w:id="259"/>
      <w:bookmarkEnd w:id="260"/>
    </w:p>
    <w:p>
      <w:pPr>
        <w:pStyle w:val="202"/>
        <w:spacing w:after="0" w:line="480" w:lineRule="exact"/>
        <w:ind w:firstLine="480" w:firstLineChars="200"/>
        <w:rPr>
          <w:rFonts w:ascii="Times New Roman" w:eastAsia="宋体"/>
          <w:bCs/>
          <w:color w:val="auto"/>
          <w:highlight w:val="none"/>
        </w:rPr>
      </w:pPr>
      <w:r>
        <w:rPr>
          <w:rFonts w:ascii="Times New Roman" w:eastAsia="宋体"/>
          <w:bCs/>
          <w:color w:val="auto"/>
          <w:highlight w:val="none"/>
        </w:rPr>
        <w:t>项目产生的固废主要为生活垃圾和电站检修时产生的废油。</w:t>
      </w:r>
    </w:p>
    <w:p>
      <w:pPr>
        <w:pStyle w:val="202"/>
        <w:spacing w:after="0" w:line="480" w:lineRule="exact"/>
        <w:ind w:firstLine="480" w:firstLineChars="200"/>
        <w:rPr>
          <w:rFonts w:ascii="Times New Roman" w:eastAsia="宋体"/>
          <w:bCs/>
          <w:color w:val="auto"/>
          <w:highlight w:val="none"/>
        </w:rPr>
      </w:pPr>
      <w:r>
        <w:rPr>
          <w:rFonts w:ascii="Times New Roman" w:eastAsia="宋体"/>
          <w:bCs/>
          <w:color w:val="auto"/>
          <w:highlight w:val="none"/>
        </w:rPr>
        <w:t>（1）</w:t>
      </w:r>
      <w:r>
        <w:rPr>
          <w:rFonts w:hint="eastAsia" w:ascii="Times New Roman" w:eastAsia="宋体"/>
          <w:bCs/>
          <w:color w:val="auto"/>
          <w:highlight w:val="none"/>
        </w:rPr>
        <w:t>一般固废</w:t>
      </w:r>
    </w:p>
    <w:p>
      <w:pPr>
        <w:pStyle w:val="202"/>
        <w:spacing w:after="0" w:line="480" w:lineRule="exact"/>
        <w:ind w:firstLine="480" w:firstLineChars="200"/>
        <w:rPr>
          <w:rFonts w:ascii="Times New Roman" w:eastAsia="宋体"/>
          <w:bCs/>
          <w:color w:val="auto"/>
          <w:highlight w:val="none"/>
        </w:rPr>
      </w:pPr>
      <w:r>
        <w:rPr>
          <w:rFonts w:hint="eastAsia" w:ascii="Times New Roman" w:eastAsia="宋体"/>
          <w:bCs/>
          <w:color w:val="auto"/>
          <w:highlight w:val="none"/>
        </w:rPr>
        <w:t>主要来自水电站工作人员生活垃圾、水电站格栅打捞垃圾。</w:t>
      </w:r>
    </w:p>
    <w:p>
      <w:pPr>
        <w:pStyle w:val="202"/>
        <w:spacing w:after="0" w:line="480" w:lineRule="exact"/>
        <w:ind w:firstLine="480" w:firstLineChars="200"/>
        <w:rPr>
          <w:rFonts w:ascii="Times New Roman" w:eastAsia="宋体"/>
          <w:bCs/>
          <w:color w:val="auto"/>
          <w:highlight w:val="none"/>
        </w:rPr>
      </w:pPr>
      <w:r>
        <w:rPr>
          <w:rFonts w:ascii="Times New Roman" w:eastAsia="宋体"/>
          <w:bCs/>
          <w:color w:val="auto"/>
          <w:highlight w:val="none"/>
        </w:rPr>
        <w:fldChar w:fldCharType="begin"/>
      </w:r>
      <w:r>
        <w:rPr>
          <w:rFonts w:ascii="Times New Roman" w:eastAsia="宋体"/>
          <w:bCs/>
          <w:color w:val="auto"/>
          <w:highlight w:val="none"/>
        </w:rPr>
        <w:instrText xml:space="preserve"> </w:instrText>
      </w:r>
      <w:r>
        <w:rPr>
          <w:rFonts w:hint="eastAsia" w:ascii="Times New Roman" w:eastAsia="宋体"/>
          <w:bCs/>
          <w:color w:val="auto"/>
          <w:highlight w:val="none"/>
        </w:rPr>
        <w:instrText xml:space="preserve">= 1 \* GB3</w:instrText>
      </w:r>
      <w:r>
        <w:rPr>
          <w:rFonts w:ascii="Times New Roman" w:eastAsia="宋体"/>
          <w:bCs/>
          <w:color w:val="auto"/>
          <w:highlight w:val="none"/>
        </w:rPr>
        <w:instrText xml:space="preserve"> </w:instrText>
      </w:r>
      <w:r>
        <w:rPr>
          <w:rFonts w:ascii="Times New Roman" w:eastAsia="宋体"/>
          <w:bCs/>
          <w:color w:val="auto"/>
          <w:highlight w:val="none"/>
        </w:rPr>
        <w:fldChar w:fldCharType="separate"/>
      </w:r>
      <w:r>
        <w:rPr>
          <w:rFonts w:hint="eastAsia" w:ascii="Times New Roman" w:eastAsia="宋体"/>
          <w:bCs/>
          <w:color w:val="auto"/>
          <w:highlight w:val="none"/>
        </w:rPr>
        <w:t>①</w:t>
      </w:r>
      <w:r>
        <w:rPr>
          <w:rFonts w:ascii="Times New Roman" w:eastAsia="宋体"/>
          <w:bCs/>
          <w:color w:val="auto"/>
          <w:highlight w:val="none"/>
        </w:rPr>
        <w:fldChar w:fldCharType="end"/>
      </w:r>
      <w:r>
        <w:rPr>
          <w:rFonts w:ascii="Times New Roman" w:eastAsia="宋体"/>
          <w:bCs/>
          <w:color w:val="auto"/>
          <w:highlight w:val="none"/>
        </w:rPr>
        <w:t>生活垃圾</w:t>
      </w:r>
    </w:p>
    <w:p>
      <w:pPr>
        <w:pStyle w:val="202"/>
        <w:spacing w:after="0" w:line="480" w:lineRule="exact"/>
        <w:ind w:firstLine="480" w:firstLineChars="200"/>
        <w:rPr>
          <w:rFonts w:ascii="Times New Roman" w:eastAsia="宋体"/>
          <w:bCs/>
          <w:color w:val="auto"/>
          <w:highlight w:val="none"/>
        </w:rPr>
      </w:pPr>
      <w:r>
        <w:rPr>
          <w:rFonts w:ascii="Times New Roman" w:eastAsia="宋体"/>
          <w:bCs/>
          <w:color w:val="auto"/>
          <w:highlight w:val="none"/>
        </w:rPr>
        <w:t>产生量按每人每天0.5kg计算，产生量2.5kg/d，全年产生0.</w:t>
      </w:r>
      <w:r>
        <w:rPr>
          <w:rFonts w:hint="eastAsia" w:ascii="Times New Roman" w:eastAsia="宋体"/>
          <w:bCs/>
          <w:color w:val="auto"/>
          <w:highlight w:val="none"/>
          <w:lang w:val="en-US" w:eastAsia="zh-CN"/>
        </w:rPr>
        <w:t>280</w:t>
      </w:r>
      <w:r>
        <w:rPr>
          <w:rFonts w:ascii="Times New Roman" w:eastAsia="宋体"/>
          <w:bCs/>
          <w:color w:val="auto"/>
          <w:highlight w:val="none"/>
        </w:rPr>
        <w:t>t/a，生活垃圾应采取全部入袋，日产日清，交由环卫部门处置。</w:t>
      </w:r>
    </w:p>
    <w:p>
      <w:pPr>
        <w:pStyle w:val="202"/>
        <w:spacing w:after="0" w:line="480" w:lineRule="exact"/>
        <w:ind w:firstLine="480" w:firstLineChars="200"/>
        <w:rPr>
          <w:rFonts w:ascii="Times New Roman" w:eastAsia="宋体"/>
          <w:bCs/>
          <w:color w:val="auto"/>
          <w:highlight w:val="none"/>
        </w:rPr>
      </w:pPr>
      <w:r>
        <w:rPr>
          <w:rFonts w:ascii="Times New Roman" w:eastAsia="宋体"/>
          <w:bCs/>
          <w:color w:val="auto"/>
          <w:highlight w:val="none"/>
        </w:rPr>
        <w:fldChar w:fldCharType="begin"/>
      </w:r>
      <w:r>
        <w:rPr>
          <w:rFonts w:ascii="Times New Roman" w:eastAsia="宋体"/>
          <w:bCs/>
          <w:color w:val="auto"/>
          <w:highlight w:val="none"/>
        </w:rPr>
        <w:instrText xml:space="preserve"> </w:instrText>
      </w:r>
      <w:r>
        <w:rPr>
          <w:rFonts w:hint="eastAsia" w:ascii="Times New Roman" w:eastAsia="宋体"/>
          <w:bCs/>
          <w:color w:val="auto"/>
          <w:highlight w:val="none"/>
        </w:rPr>
        <w:instrText xml:space="preserve">= 2 \* GB3</w:instrText>
      </w:r>
      <w:r>
        <w:rPr>
          <w:rFonts w:ascii="Times New Roman" w:eastAsia="宋体"/>
          <w:bCs/>
          <w:color w:val="auto"/>
          <w:highlight w:val="none"/>
        </w:rPr>
        <w:instrText xml:space="preserve"> </w:instrText>
      </w:r>
      <w:r>
        <w:rPr>
          <w:rFonts w:ascii="Times New Roman" w:eastAsia="宋体"/>
          <w:bCs/>
          <w:color w:val="auto"/>
          <w:highlight w:val="none"/>
        </w:rPr>
        <w:fldChar w:fldCharType="separate"/>
      </w:r>
      <w:r>
        <w:rPr>
          <w:rFonts w:hint="eastAsia" w:ascii="Times New Roman" w:eastAsia="宋体"/>
          <w:bCs/>
          <w:color w:val="auto"/>
          <w:highlight w:val="none"/>
        </w:rPr>
        <w:t>②</w:t>
      </w:r>
      <w:r>
        <w:rPr>
          <w:rFonts w:ascii="Times New Roman" w:eastAsia="宋体"/>
          <w:bCs/>
          <w:color w:val="auto"/>
          <w:highlight w:val="none"/>
        </w:rPr>
        <w:fldChar w:fldCharType="end"/>
      </w:r>
      <w:r>
        <w:rPr>
          <w:rFonts w:hint="eastAsia" w:ascii="Times New Roman" w:eastAsia="宋体"/>
          <w:bCs/>
          <w:color w:val="auto"/>
          <w:highlight w:val="none"/>
        </w:rPr>
        <w:t>格栅阻隔河流中漂浮的垃圾</w:t>
      </w:r>
    </w:p>
    <w:p>
      <w:pPr>
        <w:pStyle w:val="202"/>
        <w:spacing w:after="0" w:line="480" w:lineRule="exact"/>
        <w:ind w:firstLine="480" w:firstLineChars="200"/>
        <w:rPr>
          <w:rFonts w:ascii="Times New Roman" w:eastAsia="宋体"/>
          <w:bCs/>
          <w:highlight w:val="none"/>
        </w:rPr>
      </w:pPr>
      <w:r>
        <w:rPr>
          <w:rFonts w:hint="eastAsia" w:ascii="Times New Roman" w:eastAsia="宋体"/>
          <w:bCs/>
          <w:color w:val="auto"/>
          <w:highlight w:val="none"/>
        </w:rPr>
        <w:t>水电站进水室</w:t>
      </w:r>
      <w:r>
        <w:rPr>
          <w:rFonts w:hint="eastAsia" w:ascii="Times New Roman" w:eastAsia="宋体"/>
          <w:bCs/>
          <w:highlight w:val="none"/>
        </w:rPr>
        <w:t>前设置有格栅阻隔河流中漂浮的垃圾，格栅处打捞垃圾约3.0t/a，这些垃圾以沿岸居民丢入河流中的生活垃圾，以及掉落进河流中的树枝，不涉及危险废物。</w:t>
      </w:r>
    </w:p>
    <w:p>
      <w:pPr>
        <w:pStyle w:val="202"/>
        <w:spacing w:after="0" w:line="480" w:lineRule="exact"/>
        <w:ind w:firstLine="480" w:firstLineChars="200"/>
        <w:rPr>
          <w:rFonts w:ascii="Times New Roman" w:eastAsia="宋体"/>
          <w:bCs/>
          <w:highlight w:val="none"/>
        </w:rPr>
      </w:pPr>
      <w:r>
        <w:rPr>
          <w:rFonts w:ascii="Times New Roman" w:eastAsia="宋体"/>
          <w:bCs/>
          <w:highlight w:val="none"/>
        </w:rPr>
        <w:t>（2）</w:t>
      </w:r>
      <w:r>
        <w:rPr>
          <w:rFonts w:hint="eastAsia" w:ascii="Times New Roman" w:eastAsia="宋体"/>
          <w:bCs/>
          <w:highlight w:val="none"/>
        </w:rPr>
        <w:t>危险废物</w:t>
      </w:r>
    </w:p>
    <w:p>
      <w:pPr>
        <w:pStyle w:val="202"/>
        <w:spacing w:after="0" w:line="480" w:lineRule="exact"/>
        <w:ind w:firstLine="480" w:firstLineChars="200"/>
        <w:rPr>
          <w:rFonts w:ascii="宋体" w:hAnsi="宋体" w:eastAsia="宋体" w:cs="宋体"/>
          <w:color w:val="000000"/>
          <w:highlight w:val="none"/>
        </w:rPr>
      </w:pPr>
      <w:r>
        <w:rPr>
          <w:rFonts w:hint="eastAsia" w:ascii="宋体" w:hAnsi="宋体" w:eastAsia="宋体" w:cs="宋体"/>
          <w:color w:val="000000"/>
          <w:highlight w:val="none"/>
        </w:rPr>
        <w:fldChar w:fldCharType="begin"/>
      </w:r>
      <w:r>
        <w:rPr>
          <w:rFonts w:hint="eastAsia" w:ascii="宋体" w:hAnsi="宋体" w:eastAsia="宋体" w:cs="宋体"/>
          <w:color w:val="000000"/>
          <w:highlight w:val="none"/>
        </w:rPr>
        <w:instrText xml:space="preserve"> = 1 \* GB3 </w:instrText>
      </w:r>
      <w:r>
        <w:rPr>
          <w:rFonts w:hint="eastAsia" w:ascii="宋体" w:hAnsi="宋体" w:eastAsia="宋体" w:cs="宋体"/>
          <w:color w:val="000000"/>
          <w:highlight w:val="none"/>
        </w:rPr>
        <w:fldChar w:fldCharType="separate"/>
      </w:r>
      <w:r>
        <w:rPr>
          <w:rFonts w:hint="eastAsia" w:ascii="宋体" w:hAnsi="宋体" w:eastAsia="宋体" w:cs="宋体"/>
          <w:color w:val="000000"/>
          <w:highlight w:val="none"/>
        </w:rPr>
        <w:t>①</w:t>
      </w:r>
      <w:r>
        <w:rPr>
          <w:rFonts w:hint="eastAsia" w:ascii="宋体" w:hAnsi="宋体" w:eastAsia="宋体" w:cs="宋体"/>
          <w:color w:val="000000"/>
          <w:highlight w:val="none"/>
        </w:rPr>
        <w:fldChar w:fldCharType="end"/>
      </w:r>
      <w:r>
        <w:rPr>
          <w:rFonts w:hint="eastAsia" w:ascii="宋体" w:hAnsi="宋体" w:eastAsia="宋体" w:cs="宋体"/>
          <w:color w:val="000000"/>
          <w:highlight w:val="none"/>
        </w:rPr>
        <w:t>废</w:t>
      </w:r>
      <w:r>
        <w:rPr>
          <w:rFonts w:hint="eastAsia" w:ascii="宋体" w:hAnsi="宋体" w:eastAsia="宋体" w:cs="宋体"/>
          <w:color w:val="000000"/>
          <w:highlight w:val="none"/>
          <w:lang w:eastAsia="zh-CN"/>
        </w:rPr>
        <w:t>润滑</w:t>
      </w:r>
      <w:r>
        <w:rPr>
          <w:rFonts w:hint="eastAsia" w:ascii="宋体" w:hAnsi="宋体" w:eastAsia="宋体" w:cs="宋体"/>
          <w:color w:val="000000"/>
          <w:highlight w:val="none"/>
        </w:rPr>
        <w:t>油</w:t>
      </w:r>
    </w:p>
    <w:p>
      <w:pPr>
        <w:pStyle w:val="202"/>
        <w:spacing w:after="0" w:line="480" w:lineRule="exact"/>
        <w:ind w:firstLine="480" w:firstLineChars="200"/>
        <w:rPr>
          <w:rFonts w:ascii="Times New Roman" w:eastAsia="宋体"/>
          <w:bCs/>
          <w:highlight w:val="none"/>
        </w:rPr>
      </w:pPr>
      <w:r>
        <w:rPr>
          <w:rFonts w:hint="eastAsia" w:ascii="Times New Roman" w:eastAsia="宋体"/>
          <w:bCs/>
          <w:highlight w:val="none"/>
        </w:rPr>
        <w:t>电站机组检修过程中将产生一定量的废</w:t>
      </w:r>
      <w:r>
        <w:rPr>
          <w:rFonts w:hint="eastAsia" w:ascii="Times New Roman" w:eastAsia="宋体"/>
          <w:bCs/>
          <w:highlight w:val="none"/>
          <w:lang w:eastAsia="zh-CN"/>
        </w:rPr>
        <w:t>润滑</w:t>
      </w:r>
      <w:r>
        <w:rPr>
          <w:rFonts w:hint="eastAsia" w:ascii="Times New Roman" w:eastAsia="宋体"/>
          <w:bCs/>
          <w:highlight w:val="none"/>
        </w:rPr>
        <w:t>油，废物类别： HW08，</w:t>
      </w:r>
      <w:r>
        <w:rPr>
          <w:rFonts w:ascii="Times New Roman" w:eastAsia="宋体"/>
          <w:bCs/>
          <w:highlight w:val="none"/>
        </w:rPr>
        <w:t>废物代码为900-2</w:t>
      </w:r>
      <w:r>
        <w:rPr>
          <w:rFonts w:hint="eastAsia" w:ascii="Times New Roman" w:eastAsia="宋体"/>
          <w:bCs/>
          <w:highlight w:val="none"/>
          <w:lang w:val="en-US" w:eastAsia="zh-CN"/>
        </w:rPr>
        <w:t>14</w:t>
      </w:r>
      <w:r>
        <w:rPr>
          <w:rFonts w:ascii="Times New Roman" w:eastAsia="宋体"/>
          <w:bCs/>
          <w:highlight w:val="none"/>
        </w:rPr>
        <w:t>-08、废机油装桶（废物代码为900-249-08），危险特性为T，I</w:t>
      </w:r>
      <w:r>
        <w:rPr>
          <w:rFonts w:hint="eastAsia" w:ascii="Times New Roman" w:eastAsia="宋体"/>
          <w:bCs/>
          <w:highlight w:val="none"/>
        </w:rPr>
        <w:t>。</w:t>
      </w:r>
    </w:p>
    <w:p>
      <w:pPr>
        <w:pStyle w:val="202"/>
        <w:spacing w:after="0" w:line="480" w:lineRule="exact"/>
        <w:ind w:firstLine="480" w:firstLineChars="200"/>
        <w:rPr>
          <w:rFonts w:ascii="Times New Roman" w:eastAsia="宋体"/>
          <w:bCs/>
          <w:highlight w:val="none"/>
        </w:rPr>
      </w:pPr>
      <w:r>
        <w:rPr>
          <w:rFonts w:hint="eastAsia" w:ascii="Times New Roman" w:eastAsia="宋体"/>
          <w:bCs/>
          <w:highlight w:val="none"/>
        </w:rPr>
        <w:t>电站内不设储油罐，需要换油时提前联系供油单位和废油回收单位，</w:t>
      </w:r>
      <w:r>
        <w:rPr>
          <w:rFonts w:hint="eastAsia" w:ascii="Times New Roman" w:eastAsia="宋体"/>
          <w:bCs/>
          <w:highlight w:val="none"/>
          <w:lang w:eastAsia="zh-CN"/>
        </w:rPr>
        <w:t>润滑油</w:t>
      </w:r>
      <w:r>
        <w:rPr>
          <w:rFonts w:hint="eastAsia" w:ascii="Times New Roman" w:eastAsia="宋体"/>
          <w:bCs/>
          <w:highlight w:val="none"/>
        </w:rPr>
        <w:t>直接从销售单位购买，废油委托有资质的单位外运处理。</w:t>
      </w:r>
      <w:r>
        <w:rPr>
          <w:rFonts w:hint="eastAsia" w:ascii="Times New Roman" w:eastAsia="宋体"/>
          <w:bCs/>
          <w:highlight w:val="none"/>
          <w:lang w:eastAsia="zh-CN"/>
        </w:rPr>
        <w:t>润滑</w:t>
      </w:r>
      <w:r>
        <w:rPr>
          <w:rFonts w:hint="eastAsia" w:ascii="Times New Roman" w:eastAsia="宋体"/>
          <w:bCs/>
          <w:highlight w:val="none"/>
        </w:rPr>
        <w:t>油一般两年更换一次，损耗量约为用油量的 5%，每次换油产生的废油量约为 180kg。折合产生量为0.09t/a。</w:t>
      </w:r>
    </w:p>
    <w:p>
      <w:pPr>
        <w:pStyle w:val="202"/>
        <w:spacing w:after="0" w:line="480" w:lineRule="exact"/>
        <w:ind w:firstLine="480" w:firstLineChars="200"/>
        <w:rPr>
          <w:rFonts w:ascii="Times New Roman" w:eastAsia="宋体"/>
          <w:bCs/>
          <w:highlight w:val="none"/>
        </w:rPr>
      </w:pPr>
      <w:r>
        <w:rPr>
          <w:rFonts w:hint="eastAsia" w:ascii="Times New Roman" w:eastAsia="宋体"/>
          <w:bCs/>
          <w:highlight w:val="none"/>
        </w:rPr>
        <w:fldChar w:fldCharType="begin"/>
      </w:r>
      <w:r>
        <w:rPr>
          <w:rFonts w:hint="eastAsia" w:ascii="Times New Roman" w:eastAsia="宋体"/>
          <w:bCs/>
          <w:highlight w:val="none"/>
        </w:rPr>
        <w:instrText xml:space="preserve"> = 2 \* GB3 </w:instrText>
      </w:r>
      <w:r>
        <w:rPr>
          <w:rFonts w:hint="eastAsia" w:ascii="Times New Roman" w:eastAsia="宋体"/>
          <w:bCs/>
          <w:highlight w:val="none"/>
        </w:rPr>
        <w:fldChar w:fldCharType="separate"/>
      </w:r>
      <w:r>
        <w:rPr>
          <w:rFonts w:hint="eastAsia" w:ascii="Times New Roman" w:eastAsia="宋体"/>
          <w:bCs/>
          <w:highlight w:val="none"/>
        </w:rPr>
        <w:t>②</w:t>
      </w:r>
      <w:r>
        <w:rPr>
          <w:rFonts w:hint="eastAsia" w:ascii="Times New Roman" w:eastAsia="宋体"/>
          <w:bCs/>
          <w:highlight w:val="none"/>
        </w:rPr>
        <w:fldChar w:fldCharType="end"/>
      </w:r>
      <w:r>
        <w:rPr>
          <w:rFonts w:hint="eastAsia" w:ascii="Times New Roman" w:eastAsia="宋体"/>
          <w:bCs/>
          <w:highlight w:val="none"/>
        </w:rPr>
        <w:t>废油桶</w:t>
      </w:r>
    </w:p>
    <w:p>
      <w:pPr>
        <w:pStyle w:val="202"/>
        <w:spacing w:after="0" w:line="480" w:lineRule="exact"/>
        <w:ind w:firstLine="480" w:firstLineChars="200"/>
        <w:rPr>
          <w:rFonts w:ascii="Times New Roman" w:eastAsia="宋体"/>
          <w:bCs/>
          <w:highlight w:val="none"/>
        </w:rPr>
      </w:pPr>
      <w:r>
        <w:rPr>
          <w:rFonts w:hint="eastAsia" w:ascii="Times New Roman" w:eastAsia="宋体"/>
          <w:bCs/>
          <w:highlight w:val="none"/>
        </w:rPr>
        <w:t>全部盛放废</w:t>
      </w:r>
      <w:r>
        <w:rPr>
          <w:rFonts w:hint="eastAsia" w:ascii="Times New Roman" w:eastAsia="宋体"/>
          <w:bCs/>
          <w:highlight w:val="none"/>
          <w:lang w:eastAsia="zh-CN"/>
        </w:rPr>
        <w:t>润滑</w:t>
      </w:r>
      <w:r>
        <w:rPr>
          <w:rFonts w:hint="eastAsia" w:ascii="Times New Roman" w:eastAsia="宋体"/>
          <w:bCs/>
          <w:highlight w:val="none"/>
        </w:rPr>
        <w:t>油，年产</w:t>
      </w:r>
      <w:r>
        <w:rPr>
          <w:rFonts w:hint="eastAsia" w:ascii="Times New Roman" w:eastAsia="宋体"/>
          <w:bCs/>
          <w:highlight w:val="none"/>
          <w:lang w:eastAsia="zh-CN"/>
        </w:rPr>
        <w:t>量</w:t>
      </w:r>
      <w:r>
        <w:rPr>
          <w:rFonts w:hint="eastAsia" w:ascii="Times New Roman" w:eastAsia="宋体"/>
          <w:bCs/>
          <w:highlight w:val="none"/>
        </w:rPr>
        <w:t>0.0</w:t>
      </w:r>
      <w:r>
        <w:rPr>
          <w:rFonts w:hint="eastAsia" w:ascii="Times New Roman" w:eastAsia="宋体"/>
          <w:bCs/>
          <w:highlight w:val="none"/>
          <w:lang w:val="en-US" w:eastAsia="zh-CN"/>
        </w:rPr>
        <w:t>3</w:t>
      </w:r>
      <w:r>
        <w:rPr>
          <w:rFonts w:hint="eastAsia" w:ascii="Times New Roman" w:eastAsia="宋体"/>
          <w:bCs/>
          <w:highlight w:val="none"/>
        </w:rPr>
        <w:t>t/a。根据《国家危险废物管理名录》（2016年8月1日），废物类别为HW08废矿物油与含矿物油废物，废物代码为900-</w:t>
      </w:r>
      <w:r>
        <w:rPr>
          <w:rFonts w:hint="eastAsia" w:ascii="Times New Roman" w:eastAsia="宋体"/>
          <w:bCs/>
          <w:highlight w:val="none"/>
          <w:lang w:val="en-US" w:eastAsia="zh-CN"/>
        </w:rPr>
        <w:t>249</w:t>
      </w:r>
      <w:r>
        <w:rPr>
          <w:rFonts w:hint="eastAsia" w:ascii="Times New Roman" w:eastAsia="宋体"/>
          <w:bCs/>
          <w:highlight w:val="none"/>
        </w:rPr>
        <w:t>-</w:t>
      </w:r>
      <w:r>
        <w:rPr>
          <w:rFonts w:hint="eastAsia" w:ascii="Times New Roman" w:eastAsia="宋体"/>
          <w:bCs/>
          <w:highlight w:val="none"/>
          <w:lang w:val="en-US" w:eastAsia="zh-CN"/>
        </w:rPr>
        <w:t>08</w:t>
      </w:r>
      <w:r>
        <w:rPr>
          <w:rFonts w:hint="eastAsia" w:ascii="Times New Roman" w:eastAsia="宋体"/>
          <w:bCs/>
          <w:highlight w:val="none"/>
        </w:rPr>
        <w:t>，危险特性为T，I。</w:t>
      </w:r>
    </w:p>
    <w:p>
      <w:pPr>
        <w:pStyle w:val="202"/>
        <w:spacing w:after="0" w:line="480" w:lineRule="exact"/>
        <w:ind w:firstLine="480" w:firstLineChars="200"/>
        <w:rPr>
          <w:rFonts w:ascii="Times New Roman" w:eastAsia="宋体"/>
          <w:bCs/>
          <w:highlight w:val="none"/>
        </w:rPr>
      </w:pPr>
      <w:r>
        <w:rPr>
          <w:rFonts w:ascii="Times New Roman" w:eastAsia="宋体"/>
          <w:bCs/>
          <w:highlight w:val="none"/>
        </w:rPr>
        <w:t>项目设置单独的</w:t>
      </w:r>
      <w:r>
        <w:rPr>
          <w:rFonts w:hint="eastAsia" w:ascii="Times New Roman" w:eastAsia="宋体"/>
          <w:bCs/>
          <w:highlight w:val="none"/>
        </w:rPr>
        <w:t>危废</w:t>
      </w:r>
      <w:r>
        <w:rPr>
          <w:rFonts w:ascii="Times New Roman" w:eastAsia="宋体"/>
          <w:bCs/>
          <w:highlight w:val="none"/>
        </w:rPr>
        <w:t>暂存间，并严格按照《危险废物贮存污染控制标准》（GB</w:t>
      </w:r>
      <w:r>
        <w:rPr>
          <w:rFonts w:hint="eastAsia" w:ascii="Times New Roman" w:eastAsia="宋体"/>
          <w:bCs/>
          <w:highlight w:val="none"/>
        </w:rPr>
        <w:t xml:space="preserve"> </w:t>
      </w:r>
      <w:r>
        <w:rPr>
          <w:rFonts w:ascii="Times New Roman" w:eastAsia="宋体"/>
          <w:bCs/>
          <w:highlight w:val="none"/>
        </w:rPr>
        <w:t>18597</w:t>
      </w:r>
      <w:r>
        <w:rPr>
          <w:rFonts w:hint="eastAsia" w:ascii="Times New Roman" w:eastAsia="宋体"/>
          <w:bCs/>
          <w:highlight w:val="none"/>
        </w:rPr>
        <w:t xml:space="preserve"> </w:t>
      </w:r>
      <w:r>
        <w:rPr>
          <w:rFonts w:ascii="Times New Roman" w:eastAsia="宋体"/>
          <w:bCs/>
          <w:highlight w:val="none"/>
        </w:rPr>
        <w:t>-20</w:t>
      </w:r>
      <w:r>
        <w:rPr>
          <w:rFonts w:hint="eastAsia" w:ascii="Times New Roman" w:eastAsia="宋体"/>
          <w:bCs/>
          <w:highlight w:val="none"/>
          <w:lang w:val="en-US" w:eastAsia="zh-CN"/>
        </w:rPr>
        <w:t>23</w:t>
      </w:r>
      <w:r>
        <w:rPr>
          <w:rFonts w:ascii="Times New Roman" w:eastAsia="宋体"/>
          <w:bCs/>
          <w:highlight w:val="none"/>
        </w:rPr>
        <w:t>）进行贮存和处置，保证危废不进入环境，并委托有资质单位处置</w:t>
      </w:r>
      <w:r>
        <w:rPr>
          <w:rFonts w:hint="eastAsia" w:ascii="Times New Roman" w:eastAsia="宋体"/>
          <w:bCs/>
          <w:highlight w:val="none"/>
        </w:rPr>
        <w:t>，</w:t>
      </w:r>
      <w:r>
        <w:rPr>
          <w:rFonts w:ascii="Times New Roman" w:eastAsia="宋体"/>
          <w:bCs/>
          <w:highlight w:val="none"/>
        </w:rPr>
        <w:t>对环境影响很小</w:t>
      </w:r>
      <w:r>
        <w:rPr>
          <w:rFonts w:hint="eastAsia" w:ascii="Times New Roman" w:eastAsia="宋体"/>
          <w:bCs/>
          <w:highlight w:val="none"/>
        </w:rPr>
        <w:t>。</w:t>
      </w:r>
    </w:p>
    <w:p>
      <w:pPr>
        <w:pStyle w:val="202"/>
        <w:spacing w:after="0" w:line="480" w:lineRule="exact"/>
        <w:ind w:firstLine="480" w:firstLineChars="200"/>
        <w:rPr>
          <w:rFonts w:hint="eastAsia" w:ascii="Times New Roman" w:eastAsia="宋体"/>
          <w:bCs/>
          <w:highlight w:val="none"/>
          <w:lang w:eastAsia="zh-CN"/>
        </w:rPr>
      </w:pPr>
      <w:r>
        <w:rPr>
          <w:rFonts w:hint="eastAsia" w:ascii="微软雅黑" w:hAnsi="微软雅黑" w:eastAsia="微软雅黑" w:cs="微软雅黑"/>
          <w:b w:val="0"/>
          <w:bCs w:val="0"/>
          <w:highlight w:val="none"/>
          <w:lang w:val="en-US" w:eastAsia="zh-CN"/>
        </w:rPr>
        <w:t>③</w:t>
      </w:r>
      <w:r>
        <w:rPr>
          <w:rFonts w:hint="eastAsia" w:ascii="Times New Roman" w:eastAsia="宋体"/>
          <w:bCs/>
          <w:highlight w:val="none"/>
        </w:rPr>
        <w:t>废</w:t>
      </w:r>
      <w:r>
        <w:rPr>
          <w:rFonts w:hint="eastAsia" w:ascii="Times New Roman" w:eastAsia="宋体"/>
          <w:bCs/>
          <w:highlight w:val="none"/>
          <w:lang w:eastAsia="zh-CN"/>
        </w:rPr>
        <w:t>变压器油</w:t>
      </w:r>
    </w:p>
    <w:p>
      <w:pPr>
        <w:pStyle w:val="202"/>
        <w:spacing w:after="0" w:line="480" w:lineRule="exact"/>
        <w:ind w:firstLine="482" w:firstLineChars="200"/>
        <w:rPr>
          <w:rFonts w:hint="eastAsia" w:ascii="Times New Roman" w:hAnsi="Times New Roman" w:eastAsia="宋体" w:cs="Times New Roman"/>
          <w:bCs/>
          <w:highlight w:val="none"/>
        </w:rPr>
      </w:pPr>
      <w:r>
        <w:rPr>
          <w:rFonts w:hint="eastAsia" w:ascii="Times New Roman" w:eastAsia="宋体"/>
          <w:b/>
          <w:bCs/>
          <w:highlight w:val="none"/>
          <w:lang w:val="en-US" w:eastAsia="zh-CN"/>
        </w:rPr>
        <w:t xml:space="preserve"> </w:t>
      </w:r>
      <w:r>
        <w:rPr>
          <w:rFonts w:hint="eastAsia" w:ascii="Times New Roman" w:eastAsia="宋体"/>
          <w:b w:val="0"/>
          <w:bCs w:val="0"/>
          <w:highlight w:val="none"/>
          <w:lang w:val="en-US" w:eastAsia="zh-CN"/>
        </w:rPr>
        <w:t>变压器由厂家更换变压器油，5年更换一次，更换后由厂家直接带走不储存。</w:t>
      </w:r>
      <w:r>
        <w:rPr>
          <w:rFonts w:hint="eastAsia" w:ascii="Times New Roman" w:eastAsia="宋体"/>
          <w:bCs/>
          <w:highlight w:val="none"/>
        </w:rPr>
        <w:t>废物类别为HW08废矿物油与含矿物油废物，废物代码为900-</w:t>
      </w:r>
      <w:r>
        <w:rPr>
          <w:rFonts w:hint="eastAsia" w:ascii="Times New Roman" w:eastAsia="宋体"/>
          <w:bCs/>
          <w:highlight w:val="none"/>
          <w:lang w:val="en-US" w:eastAsia="zh-CN"/>
        </w:rPr>
        <w:t>200</w:t>
      </w:r>
      <w:r>
        <w:rPr>
          <w:rFonts w:hint="eastAsia" w:ascii="Times New Roman" w:eastAsia="宋体"/>
          <w:bCs/>
          <w:highlight w:val="none"/>
        </w:rPr>
        <w:t>-</w:t>
      </w:r>
      <w:r>
        <w:rPr>
          <w:rFonts w:hint="eastAsia" w:ascii="Times New Roman" w:eastAsia="宋体"/>
          <w:bCs/>
          <w:highlight w:val="none"/>
          <w:lang w:val="en-US" w:eastAsia="zh-CN"/>
        </w:rPr>
        <w:t>08</w:t>
      </w:r>
      <w:r>
        <w:rPr>
          <w:rFonts w:hint="eastAsia" w:ascii="Times New Roman" w:eastAsia="宋体"/>
          <w:bCs/>
          <w:highlight w:val="none"/>
        </w:rPr>
        <w:t>，危险特性</w:t>
      </w:r>
      <w:r>
        <w:rPr>
          <w:rFonts w:hint="eastAsia" w:ascii="Times New Roman" w:hAnsi="Times New Roman" w:eastAsia="宋体" w:cs="Times New Roman"/>
          <w:bCs/>
          <w:highlight w:val="none"/>
        </w:rPr>
        <w:t>为T，I。</w:t>
      </w:r>
    </w:p>
    <w:p>
      <w:pPr>
        <w:pStyle w:val="202"/>
        <w:spacing w:after="0" w:line="480" w:lineRule="exact"/>
        <w:ind w:left="0" w:leftChars="0" w:firstLine="480" w:firstLineChars="200"/>
        <w:rPr>
          <w:rFonts w:hint="eastAsia" w:ascii="Times New Roman" w:hAnsi="Times New Roman" w:eastAsia="宋体" w:cs="Times New Roman"/>
          <w:bCs/>
          <w:color w:val="auto"/>
          <w:highlight w:val="none"/>
          <w:lang w:val="en-US" w:eastAsia="zh-CN"/>
        </w:rPr>
      </w:pPr>
      <w:r>
        <w:rPr>
          <w:rFonts w:hint="eastAsia" w:ascii="Times New Roman" w:hAnsi="Times New Roman" w:eastAsia="宋体" w:cs="Times New Roman"/>
          <w:bCs/>
          <w:color w:val="auto"/>
          <w:highlight w:val="none"/>
          <w:lang w:val="en-US" w:eastAsia="zh-CN"/>
        </w:rPr>
        <w:t xml:space="preserve"> </w:t>
      </w:r>
      <w:r>
        <w:rPr>
          <w:rFonts w:hint="eastAsia" w:ascii="Times New Roman" w:hAnsi="Times New Roman" w:eastAsia="宋体" w:cs="Times New Roman"/>
          <w:bCs/>
          <w:color w:val="auto"/>
          <w:highlight w:val="none"/>
        </w:rPr>
        <w:t>④含油</w:t>
      </w:r>
      <w:r>
        <w:rPr>
          <w:rFonts w:hint="eastAsia" w:ascii="Times New Roman" w:hAnsi="Times New Roman" w:eastAsia="宋体" w:cs="Times New Roman"/>
          <w:bCs/>
          <w:color w:val="auto"/>
          <w:highlight w:val="none"/>
          <w:lang w:eastAsia="zh-CN"/>
        </w:rPr>
        <w:t>废棉丝</w:t>
      </w:r>
    </w:p>
    <w:p>
      <w:pPr>
        <w:pStyle w:val="202"/>
        <w:spacing w:after="0" w:line="480" w:lineRule="exact"/>
        <w:ind w:firstLine="480" w:firstLineChars="200"/>
        <w:rPr>
          <w:rFonts w:hint="eastAsia" w:ascii="Times New Roman" w:hAnsi="Times New Roman" w:eastAsia="宋体" w:cs="Times New Roman"/>
          <w:bCs/>
          <w:highlight w:val="none"/>
        </w:rPr>
      </w:pPr>
      <w:r>
        <w:rPr>
          <w:rFonts w:hint="eastAsia" w:ascii="Times New Roman" w:hAnsi="Times New Roman" w:eastAsia="宋体" w:cs="Times New Roman"/>
          <w:bCs/>
          <w:color w:val="auto"/>
          <w:highlight w:val="none"/>
          <w:lang w:val="en-US" w:eastAsia="zh-CN"/>
        </w:rPr>
        <w:t>在进行设备维修检修过程中，</w:t>
      </w:r>
      <w:r>
        <w:rPr>
          <w:rFonts w:hint="eastAsia" w:ascii="Times New Roman" w:hAnsi="Times New Roman" w:eastAsia="宋体" w:cs="Times New Roman"/>
          <w:bCs/>
          <w:highlight w:val="none"/>
          <w:lang w:val="en-US" w:eastAsia="zh-CN"/>
        </w:rPr>
        <w:t>产生含油废棉丝，年产量0.005</w:t>
      </w:r>
      <w:r>
        <w:rPr>
          <w:rFonts w:hint="eastAsia" w:ascii="Times New Roman" w:hAnsi="Times New Roman" w:eastAsia="宋体" w:cs="Times New Roman"/>
          <w:bCs/>
          <w:highlight w:val="none"/>
        </w:rPr>
        <w:t>t/a。废物类别为HW</w:t>
      </w:r>
      <w:r>
        <w:rPr>
          <w:rFonts w:hint="eastAsia" w:ascii="Times New Roman" w:eastAsia="宋体" w:cs="Times New Roman"/>
          <w:bCs/>
          <w:highlight w:val="none"/>
          <w:lang w:val="en-US" w:eastAsia="zh-CN"/>
        </w:rPr>
        <w:t>49</w:t>
      </w:r>
      <w:r>
        <w:rPr>
          <w:rFonts w:hint="eastAsia" w:ascii="Times New Roman" w:hAnsi="Times New Roman" w:eastAsia="宋体" w:cs="Times New Roman"/>
          <w:bCs/>
          <w:highlight w:val="none"/>
          <w:lang w:eastAsia="zh-CN"/>
        </w:rPr>
        <w:t>，</w:t>
      </w:r>
      <w:r>
        <w:rPr>
          <w:rFonts w:hint="eastAsia" w:ascii="Times New Roman" w:hAnsi="Times New Roman" w:eastAsia="宋体" w:cs="Times New Roman"/>
          <w:bCs/>
          <w:highlight w:val="none"/>
        </w:rPr>
        <w:t>废物代码为900-</w:t>
      </w:r>
      <w:r>
        <w:rPr>
          <w:rFonts w:hint="eastAsia" w:ascii="Times New Roman" w:eastAsia="宋体" w:cs="Times New Roman"/>
          <w:bCs/>
          <w:highlight w:val="none"/>
          <w:lang w:val="en-US" w:eastAsia="zh-CN"/>
        </w:rPr>
        <w:t>041</w:t>
      </w:r>
      <w:r>
        <w:rPr>
          <w:rFonts w:hint="eastAsia" w:ascii="Times New Roman" w:hAnsi="Times New Roman" w:eastAsia="宋体" w:cs="Times New Roman"/>
          <w:bCs/>
          <w:highlight w:val="none"/>
        </w:rPr>
        <w:t>-</w:t>
      </w:r>
      <w:r>
        <w:rPr>
          <w:rFonts w:hint="eastAsia" w:ascii="Times New Roman" w:eastAsia="宋体" w:cs="Times New Roman"/>
          <w:bCs/>
          <w:highlight w:val="none"/>
          <w:lang w:val="en-US" w:eastAsia="zh-CN"/>
        </w:rPr>
        <w:t>49</w:t>
      </w:r>
      <w:r>
        <w:rPr>
          <w:rFonts w:hint="eastAsia" w:ascii="Times New Roman" w:hAnsi="Times New Roman" w:eastAsia="宋体" w:cs="Times New Roman"/>
          <w:bCs/>
          <w:highlight w:val="none"/>
        </w:rPr>
        <w:t>，危险特性为T</w:t>
      </w:r>
      <w:r>
        <w:rPr>
          <w:rFonts w:hint="eastAsia" w:ascii="Times New Roman" w:eastAsia="宋体" w:cs="Times New Roman"/>
          <w:bCs/>
          <w:highlight w:val="none"/>
          <w:lang w:val="en-US" w:eastAsia="zh-CN"/>
        </w:rPr>
        <w:t>/</w:t>
      </w:r>
      <w:r>
        <w:rPr>
          <w:rFonts w:hint="eastAsia" w:ascii="Times New Roman" w:hAnsi="Times New Roman" w:eastAsia="宋体" w:cs="Times New Roman"/>
          <w:bCs/>
          <w:highlight w:val="none"/>
        </w:rPr>
        <w:t>In。</w:t>
      </w:r>
    </w:p>
    <w:p>
      <w:pPr>
        <w:pStyle w:val="202"/>
        <w:spacing w:after="0" w:line="480" w:lineRule="exact"/>
        <w:ind w:firstLine="0" w:firstLineChars="0"/>
        <w:jc w:val="both"/>
        <w:rPr>
          <w:rFonts w:hint="default" w:ascii="Times New Roman" w:eastAsia="宋体"/>
          <w:b/>
          <w:bCs/>
          <w:highlight w:val="none"/>
          <w:lang w:val="en-US" w:eastAsia="zh-CN"/>
        </w:rPr>
      </w:pPr>
    </w:p>
    <w:p>
      <w:pPr>
        <w:pStyle w:val="50"/>
        <w:rPr>
          <w:rFonts w:hint="default" w:ascii="Times New Roman" w:eastAsia="宋体"/>
          <w:b/>
          <w:bCs/>
          <w:highlight w:val="none"/>
          <w:lang w:val="en-US" w:eastAsia="zh-CN"/>
        </w:rPr>
      </w:pPr>
    </w:p>
    <w:p>
      <w:pPr>
        <w:rPr>
          <w:rFonts w:hint="default"/>
          <w:highlight w:val="none"/>
          <w:lang w:val="en-US" w:eastAsia="zh-CN"/>
        </w:rPr>
      </w:pPr>
    </w:p>
    <w:p>
      <w:pPr>
        <w:rPr>
          <w:rFonts w:hint="default"/>
          <w:highlight w:val="none"/>
          <w:lang w:val="en-US" w:eastAsia="zh-CN"/>
        </w:rPr>
      </w:pPr>
    </w:p>
    <w:p>
      <w:pPr>
        <w:pStyle w:val="202"/>
        <w:spacing w:after="0" w:line="480" w:lineRule="exact"/>
        <w:ind w:firstLine="0" w:firstLineChars="0"/>
        <w:jc w:val="center"/>
        <w:rPr>
          <w:rFonts w:ascii="Times New Roman" w:eastAsia="宋体"/>
          <w:b/>
          <w:bCs/>
          <w:highlight w:val="none"/>
        </w:rPr>
      </w:pPr>
      <w:r>
        <w:rPr>
          <w:rFonts w:ascii="Times New Roman" w:eastAsia="宋体"/>
          <w:b/>
          <w:bCs/>
          <w:highlight w:val="none"/>
        </w:rPr>
        <w:t>表</w:t>
      </w:r>
      <w:r>
        <w:rPr>
          <w:rFonts w:hint="eastAsia" w:ascii="Times New Roman" w:eastAsia="宋体"/>
          <w:b/>
          <w:bCs/>
          <w:highlight w:val="none"/>
        </w:rPr>
        <w:t>5.</w:t>
      </w:r>
      <w:r>
        <w:rPr>
          <w:rFonts w:hint="eastAsia" w:ascii="Times New Roman" w:eastAsia="宋体"/>
          <w:b/>
          <w:bCs/>
          <w:highlight w:val="none"/>
          <w:lang w:val="en-US" w:eastAsia="zh-CN"/>
        </w:rPr>
        <w:t>8</w:t>
      </w:r>
      <w:r>
        <w:rPr>
          <w:rFonts w:ascii="Times New Roman" w:eastAsia="宋体"/>
          <w:b/>
          <w:bCs/>
          <w:highlight w:val="none"/>
        </w:rPr>
        <w:t>-1  固体废物污染源源强核算结果及相关参数一览表</w:t>
      </w:r>
    </w:p>
    <w:tbl>
      <w:tblPr>
        <w:tblStyle w:val="51"/>
        <w:tblW w:w="8051" w:type="dxa"/>
        <w:jc w:val="center"/>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
      <w:tblGrid>
        <w:gridCol w:w="1145"/>
        <w:gridCol w:w="1091"/>
        <w:gridCol w:w="1279"/>
        <w:gridCol w:w="709"/>
        <w:gridCol w:w="992"/>
        <w:gridCol w:w="567"/>
        <w:gridCol w:w="851"/>
        <w:gridCol w:w="1417"/>
      </w:tblGrid>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33" w:hRule="atLeast"/>
          <w:jc w:val="center"/>
        </w:trPr>
        <w:tc>
          <w:tcPr>
            <w:tcW w:w="1145" w:type="dxa"/>
            <w:vMerge w:val="restart"/>
            <w:vAlign w:val="center"/>
          </w:tcPr>
          <w:p>
            <w:pPr>
              <w:jc w:val="center"/>
              <w:rPr>
                <w:bCs/>
                <w:szCs w:val="21"/>
                <w:highlight w:val="none"/>
              </w:rPr>
            </w:pPr>
            <w:r>
              <w:rPr>
                <w:bCs/>
                <w:szCs w:val="21"/>
                <w:highlight w:val="none"/>
              </w:rPr>
              <w:t>工序</w:t>
            </w:r>
          </w:p>
        </w:tc>
        <w:tc>
          <w:tcPr>
            <w:tcW w:w="1091" w:type="dxa"/>
            <w:vMerge w:val="restart"/>
            <w:vAlign w:val="center"/>
          </w:tcPr>
          <w:p>
            <w:pPr>
              <w:jc w:val="center"/>
              <w:rPr>
                <w:bCs/>
                <w:szCs w:val="21"/>
                <w:highlight w:val="none"/>
              </w:rPr>
            </w:pPr>
            <w:r>
              <w:rPr>
                <w:bCs/>
                <w:szCs w:val="21"/>
                <w:highlight w:val="none"/>
              </w:rPr>
              <w:t>装置</w:t>
            </w:r>
          </w:p>
        </w:tc>
        <w:tc>
          <w:tcPr>
            <w:tcW w:w="1279" w:type="dxa"/>
            <w:vMerge w:val="restart"/>
            <w:vAlign w:val="center"/>
          </w:tcPr>
          <w:p>
            <w:pPr>
              <w:jc w:val="center"/>
              <w:rPr>
                <w:bCs/>
                <w:szCs w:val="21"/>
                <w:highlight w:val="none"/>
              </w:rPr>
            </w:pPr>
            <w:r>
              <w:rPr>
                <w:bCs/>
                <w:szCs w:val="21"/>
                <w:highlight w:val="none"/>
              </w:rPr>
              <w:t>污染物</w:t>
            </w:r>
          </w:p>
        </w:tc>
        <w:tc>
          <w:tcPr>
            <w:tcW w:w="1701" w:type="dxa"/>
            <w:gridSpan w:val="2"/>
            <w:vAlign w:val="center"/>
          </w:tcPr>
          <w:p>
            <w:pPr>
              <w:jc w:val="center"/>
              <w:rPr>
                <w:bCs/>
                <w:szCs w:val="21"/>
                <w:highlight w:val="none"/>
              </w:rPr>
            </w:pPr>
            <w:r>
              <w:rPr>
                <w:bCs/>
                <w:szCs w:val="21"/>
                <w:highlight w:val="none"/>
              </w:rPr>
              <w:t>污染物产生</w:t>
            </w:r>
          </w:p>
        </w:tc>
        <w:tc>
          <w:tcPr>
            <w:tcW w:w="1418" w:type="dxa"/>
            <w:gridSpan w:val="2"/>
            <w:vAlign w:val="center"/>
          </w:tcPr>
          <w:p>
            <w:pPr>
              <w:jc w:val="center"/>
              <w:rPr>
                <w:bCs/>
                <w:szCs w:val="21"/>
                <w:highlight w:val="none"/>
              </w:rPr>
            </w:pPr>
            <w:r>
              <w:rPr>
                <w:bCs/>
                <w:szCs w:val="21"/>
                <w:highlight w:val="none"/>
              </w:rPr>
              <w:t>处置措施</w:t>
            </w:r>
          </w:p>
        </w:tc>
        <w:tc>
          <w:tcPr>
            <w:tcW w:w="1417" w:type="dxa"/>
            <w:vMerge w:val="restart"/>
            <w:vAlign w:val="center"/>
          </w:tcPr>
          <w:p>
            <w:pPr>
              <w:jc w:val="center"/>
              <w:rPr>
                <w:b/>
                <w:szCs w:val="21"/>
                <w:highlight w:val="none"/>
              </w:rPr>
            </w:pPr>
            <w:r>
              <w:rPr>
                <w:bCs/>
                <w:szCs w:val="21"/>
                <w:highlight w:val="none"/>
              </w:rPr>
              <w:t>最终去向</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663" w:hRule="atLeast"/>
          <w:jc w:val="center"/>
        </w:trPr>
        <w:tc>
          <w:tcPr>
            <w:tcW w:w="1145" w:type="dxa"/>
            <w:vMerge w:val="continue"/>
            <w:vAlign w:val="center"/>
          </w:tcPr>
          <w:p>
            <w:pPr>
              <w:jc w:val="center"/>
              <w:rPr>
                <w:bCs/>
                <w:szCs w:val="21"/>
                <w:highlight w:val="none"/>
              </w:rPr>
            </w:pPr>
          </w:p>
        </w:tc>
        <w:tc>
          <w:tcPr>
            <w:tcW w:w="1091" w:type="dxa"/>
            <w:vMerge w:val="continue"/>
            <w:vAlign w:val="center"/>
          </w:tcPr>
          <w:p>
            <w:pPr>
              <w:jc w:val="center"/>
              <w:rPr>
                <w:bCs/>
                <w:szCs w:val="21"/>
                <w:highlight w:val="none"/>
              </w:rPr>
            </w:pPr>
          </w:p>
        </w:tc>
        <w:tc>
          <w:tcPr>
            <w:tcW w:w="1279" w:type="dxa"/>
            <w:vMerge w:val="continue"/>
            <w:vAlign w:val="center"/>
          </w:tcPr>
          <w:p>
            <w:pPr>
              <w:jc w:val="center"/>
              <w:rPr>
                <w:bCs/>
                <w:szCs w:val="21"/>
                <w:highlight w:val="none"/>
              </w:rPr>
            </w:pPr>
          </w:p>
        </w:tc>
        <w:tc>
          <w:tcPr>
            <w:tcW w:w="709" w:type="dxa"/>
            <w:vAlign w:val="center"/>
          </w:tcPr>
          <w:p>
            <w:pPr>
              <w:jc w:val="center"/>
              <w:rPr>
                <w:bCs/>
                <w:szCs w:val="21"/>
                <w:highlight w:val="none"/>
              </w:rPr>
            </w:pPr>
            <w:r>
              <w:rPr>
                <w:bCs/>
                <w:szCs w:val="21"/>
                <w:highlight w:val="none"/>
              </w:rPr>
              <w:t>核算</w:t>
            </w:r>
          </w:p>
          <w:p>
            <w:pPr>
              <w:jc w:val="center"/>
              <w:rPr>
                <w:bCs/>
                <w:szCs w:val="21"/>
                <w:highlight w:val="none"/>
              </w:rPr>
            </w:pPr>
            <w:r>
              <w:rPr>
                <w:bCs/>
                <w:szCs w:val="21"/>
                <w:highlight w:val="none"/>
              </w:rPr>
              <w:t>方法</w:t>
            </w:r>
          </w:p>
        </w:tc>
        <w:tc>
          <w:tcPr>
            <w:tcW w:w="992" w:type="dxa"/>
            <w:vAlign w:val="center"/>
          </w:tcPr>
          <w:p>
            <w:pPr>
              <w:jc w:val="center"/>
              <w:rPr>
                <w:bCs/>
                <w:szCs w:val="21"/>
                <w:highlight w:val="none"/>
              </w:rPr>
            </w:pPr>
            <w:r>
              <w:rPr>
                <w:bCs/>
                <w:szCs w:val="21"/>
                <w:highlight w:val="none"/>
              </w:rPr>
              <w:t>产生量（t/a）</w:t>
            </w:r>
          </w:p>
        </w:tc>
        <w:tc>
          <w:tcPr>
            <w:tcW w:w="567" w:type="dxa"/>
            <w:vAlign w:val="center"/>
          </w:tcPr>
          <w:p>
            <w:pPr>
              <w:jc w:val="center"/>
              <w:rPr>
                <w:bCs/>
                <w:szCs w:val="21"/>
                <w:highlight w:val="none"/>
              </w:rPr>
            </w:pPr>
            <w:r>
              <w:rPr>
                <w:bCs/>
                <w:szCs w:val="21"/>
                <w:highlight w:val="none"/>
              </w:rPr>
              <w:t>工艺</w:t>
            </w:r>
          </w:p>
        </w:tc>
        <w:tc>
          <w:tcPr>
            <w:tcW w:w="851" w:type="dxa"/>
            <w:vAlign w:val="center"/>
          </w:tcPr>
          <w:p>
            <w:pPr>
              <w:jc w:val="center"/>
              <w:rPr>
                <w:bCs/>
                <w:szCs w:val="21"/>
                <w:highlight w:val="none"/>
              </w:rPr>
            </w:pPr>
            <w:r>
              <w:rPr>
                <w:bCs/>
                <w:szCs w:val="21"/>
                <w:highlight w:val="none"/>
              </w:rPr>
              <w:t>处置量（t/a）</w:t>
            </w:r>
          </w:p>
        </w:tc>
        <w:tc>
          <w:tcPr>
            <w:tcW w:w="1417" w:type="dxa"/>
            <w:vMerge w:val="continue"/>
            <w:vAlign w:val="center"/>
          </w:tcPr>
          <w:p>
            <w:pPr>
              <w:jc w:val="center"/>
              <w:rPr>
                <w:b/>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85" w:hRule="atLeast"/>
          <w:jc w:val="center"/>
        </w:trPr>
        <w:tc>
          <w:tcPr>
            <w:tcW w:w="1145" w:type="dxa"/>
            <w:vMerge w:val="restart"/>
            <w:vAlign w:val="center"/>
          </w:tcPr>
          <w:p>
            <w:pPr>
              <w:jc w:val="center"/>
              <w:rPr>
                <w:bCs/>
                <w:szCs w:val="21"/>
                <w:highlight w:val="none"/>
              </w:rPr>
            </w:pPr>
            <w:r>
              <w:rPr>
                <w:bCs/>
                <w:szCs w:val="21"/>
                <w:highlight w:val="none"/>
              </w:rPr>
              <w:t>电站检修</w:t>
            </w:r>
          </w:p>
        </w:tc>
        <w:tc>
          <w:tcPr>
            <w:tcW w:w="1091" w:type="dxa"/>
            <w:vMerge w:val="restart"/>
            <w:vAlign w:val="center"/>
          </w:tcPr>
          <w:p>
            <w:pPr>
              <w:jc w:val="center"/>
              <w:rPr>
                <w:bCs/>
                <w:szCs w:val="21"/>
                <w:highlight w:val="none"/>
              </w:rPr>
            </w:pPr>
            <w:r>
              <w:rPr>
                <w:bCs/>
                <w:szCs w:val="21"/>
                <w:highlight w:val="none"/>
              </w:rPr>
              <w:t>发电机组</w:t>
            </w:r>
          </w:p>
        </w:tc>
        <w:tc>
          <w:tcPr>
            <w:tcW w:w="1279" w:type="dxa"/>
            <w:vAlign w:val="center"/>
          </w:tcPr>
          <w:p>
            <w:pPr>
              <w:jc w:val="center"/>
              <w:rPr>
                <w:bCs/>
                <w:szCs w:val="21"/>
                <w:highlight w:val="none"/>
              </w:rPr>
            </w:pPr>
            <w:r>
              <w:rPr>
                <w:bCs/>
                <w:szCs w:val="21"/>
                <w:highlight w:val="none"/>
              </w:rPr>
              <w:t>废</w:t>
            </w:r>
            <w:r>
              <w:rPr>
                <w:rFonts w:hint="eastAsia"/>
                <w:bCs/>
                <w:szCs w:val="21"/>
                <w:highlight w:val="none"/>
                <w:lang w:eastAsia="zh-CN"/>
              </w:rPr>
              <w:t>润滑</w:t>
            </w:r>
            <w:r>
              <w:rPr>
                <w:bCs/>
                <w:szCs w:val="21"/>
                <w:highlight w:val="none"/>
              </w:rPr>
              <w:t>油</w:t>
            </w:r>
          </w:p>
        </w:tc>
        <w:tc>
          <w:tcPr>
            <w:tcW w:w="709" w:type="dxa"/>
            <w:vAlign w:val="center"/>
          </w:tcPr>
          <w:p>
            <w:pPr>
              <w:jc w:val="center"/>
              <w:rPr>
                <w:bCs/>
                <w:szCs w:val="21"/>
                <w:highlight w:val="none"/>
              </w:rPr>
            </w:pPr>
            <w:r>
              <w:rPr>
                <w:bCs/>
                <w:szCs w:val="21"/>
                <w:highlight w:val="none"/>
              </w:rPr>
              <w:t>/</w:t>
            </w:r>
          </w:p>
        </w:tc>
        <w:tc>
          <w:tcPr>
            <w:tcW w:w="992" w:type="dxa"/>
            <w:vAlign w:val="center"/>
          </w:tcPr>
          <w:p>
            <w:pPr>
              <w:jc w:val="center"/>
              <w:rPr>
                <w:bCs/>
                <w:szCs w:val="21"/>
                <w:highlight w:val="none"/>
              </w:rPr>
            </w:pPr>
            <w:r>
              <w:rPr>
                <w:bCs/>
                <w:szCs w:val="21"/>
                <w:highlight w:val="none"/>
              </w:rPr>
              <w:t>0.0</w:t>
            </w:r>
            <w:r>
              <w:rPr>
                <w:rFonts w:hint="eastAsia"/>
                <w:bCs/>
                <w:szCs w:val="21"/>
                <w:highlight w:val="none"/>
              </w:rPr>
              <w:t>9</w:t>
            </w:r>
          </w:p>
        </w:tc>
        <w:tc>
          <w:tcPr>
            <w:tcW w:w="567" w:type="dxa"/>
            <w:vAlign w:val="center"/>
          </w:tcPr>
          <w:p>
            <w:pPr>
              <w:jc w:val="center"/>
              <w:rPr>
                <w:bCs/>
                <w:szCs w:val="21"/>
                <w:highlight w:val="none"/>
              </w:rPr>
            </w:pPr>
            <w:r>
              <w:rPr>
                <w:bCs/>
                <w:szCs w:val="21"/>
                <w:highlight w:val="none"/>
              </w:rPr>
              <w:t>/</w:t>
            </w:r>
          </w:p>
        </w:tc>
        <w:tc>
          <w:tcPr>
            <w:tcW w:w="851" w:type="dxa"/>
            <w:vAlign w:val="center"/>
          </w:tcPr>
          <w:p>
            <w:pPr>
              <w:jc w:val="center"/>
              <w:rPr>
                <w:bCs/>
                <w:szCs w:val="21"/>
                <w:highlight w:val="none"/>
              </w:rPr>
            </w:pPr>
            <w:r>
              <w:rPr>
                <w:bCs/>
                <w:szCs w:val="21"/>
                <w:highlight w:val="none"/>
              </w:rPr>
              <w:t>0.0</w:t>
            </w:r>
            <w:r>
              <w:rPr>
                <w:rFonts w:hint="eastAsia"/>
                <w:bCs/>
                <w:szCs w:val="21"/>
                <w:highlight w:val="none"/>
              </w:rPr>
              <w:t>9</w:t>
            </w:r>
          </w:p>
        </w:tc>
        <w:tc>
          <w:tcPr>
            <w:tcW w:w="1417" w:type="dxa"/>
            <w:vMerge w:val="restart"/>
            <w:vAlign w:val="center"/>
          </w:tcPr>
          <w:p>
            <w:pPr>
              <w:jc w:val="center"/>
              <w:rPr>
                <w:bCs/>
                <w:szCs w:val="21"/>
                <w:highlight w:val="none"/>
              </w:rPr>
            </w:pPr>
            <w:r>
              <w:rPr>
                <w:bCs/>
                <w:szCs w:val="21"/>
                <w:highlight w:val="none"/>
              </w:rPr>
              <w:t>委托有资质单位处置</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85" w:hRule="atLeast"/>
          <w:jc w:val="center"/>
        </w:trPr>
        <w:tc>
          <w:tcPr>
            <w:tcW w:w="1145" w:type="dxa"/>
            <w:vMerge w:val="continue"/>
            <w:vAlign w:val="center"/>
          </w:tcPr>
          <w:p>
            <w:pPr>
              <w:jc w:val="center"/>
              <w:rPr>
                <w:bCs/>
                <w:szCs w:val="21"/>
                <w:highlight w:val="none"/>
              </w:rPr>
            </w:pPr>
          </w:p>
        </w:tc>
        <w:tc>
          <w:tcPr>
            <w:tcW w:w="1091" w:type="dxa"/>
            <w:vMerge w:val="continue"/>
            <w:vAlign w:val="center"/>
          </w:tcPr>
          <w:p>
            <w:pPr>
              <w:jc w:val="center"/>
              <w:rPr>
                <w:bCs/>
                <w:szCs w:val="21"/>
                <w:highlight w:val="none"/>
              </w:rPr>
            </w:pPr>
          </w:p>
        </w:tc>
        <w:tc>
          <w:tcPr>
            <w:tcW w:w="1279" w:type="dxa"/>
            <w:vAlign w:val="center"/>
          </w:tcPr>
          <w:p>
            <w:pPr>
              <w:jc w:val="center"/>
              <w:rPr>
                <w:bCs/>
                <w:szCs w:val="21"/>
                <w:highlight w:val="none"/>
              </w:rPr>
            </w:pPr>
            <w:r>
              <w:rPr>
                <w:rFonts w:hint="eastAsia"/>
                <w:bCs/>
                <w:szCs w:val="21"/>
                <w:highlight w:val="none"/>
              </w:rPr>
              <w:t>废油桶</w:t>
            </w:r>
          </w:p>
        </w:tc>
        <w:tc>
          <w:tcPr>
            <w:tcW w:w="709" w:type="dxa"/>
            <w:vAlign w:val="center"/>
          </w:tcPr>
          <w:p>
            <w:pPr>
              <w:jc w:val="center"/>
              <w:rPr>
                <w:bCs/>
                <w:szCs w:val="21"/>
                <w:highlight w:val="none"/>
              </w:rPr>
            </w:pPr>
            <w:r>
              <w:rPr>
                <w:rFonts w:hint="eastAsia"/>
                <w:bCs/>
                <w:szCs w:val="21"/>
                <w:highlight w:val="none"/>
              </w:rPr>
              <w:t>/</w:t>
            </w:r>
          </w:p>
        </w:tc>
        <w:tc>
          <w:tcPr>
            <w:tcW w:w="992" w:type="dxa"/>
            <w:vAlign w:val="center"/>
          </w:tcPr>
          <w:p>
            <w:pPr>
              <w:jc w:val="center"/>
              <w:rPr>
                <w:rFonts w:hint="eastAsia" w:eastAsia="宋体"/>
                <w:bCs/>
                <w:szCs w:val="21"/>
                <w:highlight w:val="none"/>
                <w:lang w:eastAsia="zh-CN"/>
              </w:rPr>
            </w:pPr>
            <w:r>
              <w:rPr>
                <w:rFonts w:hint="eastAsia"/>
                <w:bCs/>
                <w:szCs w:val="21"/>
                <w:highlight w:val="none"/>
              </w:rPr>
              <w:t>0.0</w:t>
            </w:r>
            <w:r>
              <w:rPr>
                <w:rFonts w:hint="eastAsia"/>
                <w:bCs/>
                <w:szCs w:val="21"/>
                <w:highlight w:val="none"/>
                <w:lang w:val="en-US" w:eastAsia="zh-CN"/>
              </w:rPr>
              <w:t>3</w:t>
            </w:r>
          </w:p>
        </w:tc>
        <w:tc>
          <w:tcPr>
            <w:tcW w:w="567" w:type="dxa"/>
            <w:vAlign w:val="center"/>
          </w:tcPr>
          <w:p>
            <w:pPr>
              <w:jc w:val="center"/>
              <w:rPr>
                <w:bCs/>
                <w:szCs w:val="21"/>
                <w:highlight w:val="none"/>
              </w:rPr>
            </w:pPr>
            <w:r>
              <w:rPr>
                <w:rFonts w:hint="eastAsia"/>
                <w:bCs/>
                <w:szCs w:val="21"/>
                <w:highlight w:val="none"/>
              </w:rPr>
              <w:t>/</w:t>
            </w:r>
          </w:p>
        </w:tc>
        <w:tc>
          <w:tcPr>
            <w:tcW w:w="851" w:type="dxa"/>
            <w:vAlign w:val="center"/>
          </w:tcPr>
          <w:p>
            <w:pPr>
              <w:jc w:val="center"/>
              <w:rPr>
                <w:rFonts w:hint="default" w:eastAsia="宋体"/>
                <w:bCs/>
                <w:szCs w:val="21"/>
                <w:highlight w:val="none"/>
                <w:lang w:val="en-US" w:eastAsia="zh-CN"/>
              </w:rPr>
            </w:pPr>
            <w:r>
              <w:rPr>
                <w:rFonts w:hint="eastAsia"/>
                <w:bCs/>
                <w:szCs w:val="21"/>
                <w:highlight w:val="none"/>
                <w:lang w:val="en-US" w:eastAsia="zh-CN"/>
              </w:rPr>
              <w:t>0.03</w:t>
            </w:r>
          </w:p>
        </w:tc>
        <w:tc>
          <w:tcPr>
            <w:tcW w:w="1417" w:type="dxa"/>
            <w:vMerge w:val="continue"/>
            <w:vAlign w:val="center"/>
          </w:tcPr>
          <w:p>
            <w:pPr>
              <w:jc w:val="center"/>
              <w:rPr>
                <w:bCs/>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85" w:hRule="atLeast"/>
          <w:jc w:val="center"/>
        </w:trPr>
        <w:tc>
          <w:tcPr>
            <w:tcW w:w="1145" w:type="dxa"/>
            <w:vMerge w:val="continue"/>
            <w:vAlign w:val="center"/>
          </w:tcPr>
          <w:p>
            <w:pPr>
              <w:jc w:val="center"/>
              <w:rPr>
                <w:bCs/>
                <w:szCs w:val="21"/>
                <w:highlight w:val="none"/>
              </w:rPr>
            </w:pPr>
          </w:p>
        </w:tc>
        <w:tc>
          <w:tcPr>
            <w:tcW w:w="1091" w:type="dxa"/>
            <w:vMerge w:val="continue"/>
            <w:vAlign w:val="center"/>
          </w:tcPr>
          <w:p>
            <w:pPr>
              <w:jc w:val="center"/>
              <w:rPr>
                <w:bCs/>
                <w:szCs w:val="21"/>
                <w:highlight w:val="none"/>
              </w:rPr>
            </w:pPr>
          </w:p>
        </w:tc>
        <w:tc>
          <w:tcPr>
            <w:tcW w:w="1279" w:type="dxa"/>
            <w:vAlign w:val="center"/>
          </w:tcPr>
          <w:p>
            <w:pPr>
              <w:jc w:val="center"/>
              <w:rPr>
                <w:rFonts w:hint="eastAsia" w:eastAsia="宋体"/>
                <w:bCs/>
                <w:szCs w:val="21"/>
                <w:highlight w:val="none"/>
                <w:lang w:eastAsia="zh-CN"/>
              </w:rPr>
            </w:pPr>
            <w:r>
              <w:rPr>
                <w:rFonts w:hint="eastAsia"/>
                <w:bCs/>
                <w:szCs w:val="21"/>
                <w:highlight w:val="none"/>
                <w:lang w:eastAsia="zh-CN"/>
              </w:rPr>
              <w:t>含油废棉丝</w:t>
            </w:r>
          </w:p>
        </w:tc>
        <w:tc>
          <w:tcPr>
            <w:tcW w:w="709" w:type="dxa"/>
            <w:vAlign w:val="center"/>
          </w:tcPr>
          <w:p>
            <w:pPr>
              <w:jc w:val="center"/>
              <w:rPr>
                <w:rFonts w:hint="eastAsia" w:eastAsia="宋体"/>
                <w:bCs/>
                <w:szCs w:val="21"/>
                <w:highlight w:val="none"/>
                <w:lang w:val="en-US" w:eastAsia="zh-CN"/>
              </w:rPr>
            </w:pPr>
            <w:r>
              <w:rPr>
                <w:rFonts w:hint="eastAsia"/>
                <w:bCs/>
                <w:szCs w:val="21"/>
                <w:highlight w:val="none"/>
                <w:lang w:val="en-US" w:eastAsia="zh-CN"/>
              </w:rPr>
              <w:t>/</w:t>
            </w:r>
          </w:p>
        </w:tc>
        <w:tc>
          <w:tcPr>
            <w:tcW w:w="992" w:type="dxa"/>
            <w:vAlign w:val="center"/>
          </w:tcPr>
          <w:p>
            <w:pPr>
              <w:jc w:val="center"/>
              <w:rPr>
                <w:rFonts w:hint="default" w:eastAsia="宋体"/>
                <w:bCs/>
                <w:szCs w:val="21"/>
                <w:highlight w:val="none"/>
                <w:lang w:val="en-US" w:eastAsia="zh-CN"/>
              </w:rPr>
            </w:pPr>
            <w:r>
              <w:rPr>
                <w:rFonts w:hint="eastAsia"/>
                <w:bCs/>
                <w:szCs w:val="21"/>
                <w:highlight w:val="none"/>
                <w:lang w:val="en-US" w:eastAsia="zh-CN"/>
              </w:rPr>
              <w:t>0.005</w:t>
            </w:r>
          </w:p>
        </w:tc>
        <w:tc>
          <w:tcPr>
            <w:tcW w:w="567" w:type="dxa"/>
            <w:vAlign w:val="center"/>
          </w:tcPr>
          <w:p>
            <w:pPr>
              <w:jc w:val="center"/>
              <w:rPr>
                <w:rFonts w:hint="eastAsia" w:eastAsia="宋体"/>
                <w:bCs/>
                <w:szCs w:val="21"/>
                <w:highlight w:val="none"/>
                <w:lang w:val="en-US" w:eastAsia="zh-CN"/>
              </w:rPr>
            </w:pPr>
            <w:r>
              <w:rPr>
                <w:rFonts w:hint="eastAsia"/>
                <w:bCs/>
                <w:szCs w:val="21"/>
                <w:highlight w:val="none"/>
                <w:lang w:val="en-US" w:eastAsia="zh-CN"/>
              </w:rPr>
              <w:t>/</w:t>
            </w:r>
          </w:p>
        </w:tc>
        <w:tc>
          <w:tcPr>
            <w:tcW w:w="851" w:type="dxa"/>
            <w:vAlign w:val="center"/>
          </w:tcPr>
          <w:p>
            <w:pPr>
              <w:jc w:val="center"/>
              <w:rPr>
                <w:rFonts w:hint="default" w:eastAsia="宋体"/>
                <w:bCs/>
                <w:szCs w:val="21"/>
                <w:highlight w:val="none"/>
                <w:lang w:val="en-US" w:eastAsia="zh-CN"/>
              </w:rPr>
            </w:pPr>
            <w:r>
              <w:rPr>
                <w:rFonts w:hint="eastAsia"/>
                <w:bCs/>
                <w:szCs w:val="21"/>
                <w:highlight w:val="none"/>
                <w:lang w:val="en-US" w:eastAsia="zh-CN"/>
              </w:rPr>
              <w:t>0.005</w:t>
            </w:r>
          </w:p>
        </w:tc>
        <w:tc>
          <w:tcPr>
            <w:tcW w:w="1417" w:type="dxa"/>
            <w:vMerge w:val="continue"/>
            <w:vAlign w:val="center"/>
          </w:tcPr>
          <w:p>
            <w:pPr>
              <w:jc w:val="center"/>
              <w:rPr>
                <w:bCs/>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85" w:hRule="atLeast"/>
          <w:jc w:val="center"/>
        </w:trPr>
        <w:tc>
          <w:tcPr>
            <w:tcW w:w="1145" w:type="dxa"/>
            <w:vAlign w:val="center"/>
          </w:tcPr>
          <w:p>
            <w:pPr>
              <w:jc w:val="center"/>
              <w:rPr>
                <w:rFonts w:hint="eastAsia" w:eastAsia="宋体"/>
                <w:bCs/>
                <w:szCs w:val="21"/>
                <w:highlight w:val="none"/>
                <w:lang w:eastAsia="zh-CN"/>
              </w:rPr>
            </w:pPr>
            <w:r>
              <w:rPr>
                <w:rFonts w:hint="eastAsia"/>
                <w:bCs/>
                <w:szCs w:val="21"/>
                <w:highlight w:val="none"/>
                <w:lang w:eastAsia="zh-CN"/>
              </w:rPr>
              <w:t>检修</w:t>
            </w:r>
          </w:p>
        </w:tc>
        <w:tc>
          <w:tcPr>
            <w:tcW w:w="1091" w:type="dxa"/>
            <w:vAlign w:val="center"/>
          </w:tcPr>
          <w:p>
            <w:pPr>
              <w:jc w:val="center"/>
              <w:rPr>
                <w:rFonts w:hint="eastAsia" w:eastAsia="宋体"/>
                <w:bCs/>
                <w:szCs w:val="21"/>
                <w:highlight w:val="none"/>
                <w:lang w:eastAsia="zh-CN"/>
              </w:rPr>
            </w:pPr>
            <w:r>
              <w:rPr>
                <w:rFonts w:hint="eastAsia"/>
                <w:bCs/>
                <w:szCs w:val="21"/>
                <w:highlight w:val="none"/>
                <w:lang w:eastAsia="zh-CN"/>
              </w:rPr>
              <w:t>变压器</w:t>
            </w:r>
          </w:p>
        </w:tc>
        <w:tc>
          <w:tcPr>
            <w:tcW w:w="1279" w:type="dxa"/>
            <w:vAlign w:val="center"/>
          </w:tcPr>
          <w:p>
            <w:pPr>
              <w:jc w:val="center"/>
              <w:rPr>
                <w:rFonts w:hint="eastAsia" w:eastAsia="宋体"/>
                <w:bCs/>
                <w:szCs w:val="21"/>
                <w:highlight w:val="none"/>
                <w:lang w:eastAsia="zh-CN"/>
              </w:rPr>
            </w:pPr>
            <w:r>
              <w:rPr>
                <w:rFonts w:hint="eastAsia"/>
                <w:bCs/>
                <w:szCs w:val="21"/>
                <w:highlight w:val="none"/>
                <w:lang w:eastAsia="zh-CN"/>
              </w:rPr>
              <w:t>废变压器油</w:t>
            </w:r>
          </w:p>
        </w:tc>
        <w:tc>
          <w:tcPr>
            <w:tcW w:w="709" w:type="dxa"/>
            <w:vAlign w:val="center"/>
          </w:tcPr>
          <w:p>
            <w:pPr>
              <w:jc w:val="center"/>
              <w:rPr>
                <w:rFonts w:hint="eastAsia" w:eastAsia="宋体"/>
                <w:bCs/>
                <w:szCs w:val="21"/>
                <w:highlight w:val="none"/>
                <w:lang w:val="en-US" w:eastAsia="zh-CN"/>
              </w:rPr>
            </w:pPr>
            <w:r>
              <w:rPr>
                <w:rFonts w:hint="eastAsia"/>
                <w:bCs/>
                <w:szCs w:val="21"/>
                <w:highlight w:val="none"/>
                <w:lang w:val="en-US" w:eastAsia="zh-CN"/>
              </w:rPr>
              <w:t>/</w:t>
            </w:r>
          </w:p>
        </w:tc>
        <w:tc>
          <w:tcPr>
            <w:tcW w:w="992" w:type="dxa"/>
            <w:vAlign w:val="center"/>
          </w:tcPr>
          <w:p>
            <w:pPr>
              <w:jc w:val="center"/>
              <w:rPr>
                <w:rFonts w:hint="default" w:eastAsia="宋体"/>
                <w:bCs/>
                <w:szCs w:val="21"/>
                <w:highlight w:val="none"/>
                <w:lang w:val="en-US" w:eastAsia="zh-CN"/>
              </w:rPr>
            </w:pPr>
            <w:r>
              <w:rPr>
                <w:rFonts w:hint="eastAsia"/>
                <w:bCs/>
                <w:szCs w:val="21"/>
                <w:highlight w:val="none"/>
                <w:lang w:val="en-US" w:eastAsia="zh-CN"/>
              </w:rPr>
              <w:t>0.08t/5a</w:t>
            </w:r>
          </w:p>
        </w:tc>
        <w:tc>
          <w:tcPr>
            <w:tcW w:w="567" w:type="dxa"/>
            <w:vAlign w:val="center"/>
          </w:tcPr>
          <w:p>
            <w:pPr>
              <w:jc w:val="center"/>
              <w:rPr>
                <w:rFonts w:hint="eastAsia" w:eastAsia="宋体"/>
                <w:bCs/>
                <w:szCs w:val="21"/>
                <w:highlight w:val="none"/>
                <w:lang w:val="en-US" w:eastAsia="zh-CN"/>
              </w:rPr>
            </w:pPr>
            <w:r>
              <w:rPr>
                <w:rFonts w:hint="eastAsia"/>
                <w:bCs/>
                <w:szCs w:val="21"/>
                <w:highlight w:val="none"/>
                <w:lang w:val="en-US" w:eastAsia="zh-CN"/>
              </w:rPr>
              <w:t>/</w:t>
            </w:r>
          </w:p>
        </w:tc>
        <w:tc>
          <w:tcPr>
            <w:tcW w:w="851" w:type="dxa"/>
            <w:vAlign w:val="center"/>
          </w:tcPr>
          <w:p>
            <w:pPr>
              <w:jc w:val="center"/>
              <w:rPr>
                <w:rFonts w:hint="eastAsia" w:eastAsia="宋体"/>
                <w:bCs/>
                <w:szCs w:val="21"/>
                <w:highlight w:val="none"/>
                <w:lang w:val="en-US" w:eastAsia="zh-CN"/>
              </w:rPr>
            </w:pPr>
            <w:r>
              <w:rPr>
                <w:rFonts w:hint="eastAsia"/>
                <w:bCs/>
                <w:szCs w:val="21"/>
                <w:highlight w:val="none"/>
                <w:lang w:val="en-US" w:eastAsia="zh-CN"/>
              </w:rPr>
              <w:t>/</w:t>
            </w:r>
          </w:p>
        </w:tc>
        <w:tc>
          <w:tcPr>
            <w:tcW w:w="1417" w:type="dxa"/>
            <w:vAlign w:val="center"/>
          </w:tcPr>
          <w:p>
            <w:pPr>
              <w:jc w:val="center"/>
              <w:rPr>
                <w:rFonts w:hint="eastAsia" w:eastAsia="宋体"/>
                <w:bCs/>
                <w:szCs w:val="21"/>
                <w:highlight w:val="none"/>
                <w:lang w:eastAsia="zh-CN"/>
              </w:rPr>
            </w:pPr>
            <w:r>
              <w:rPr>
                <w:rFonts w:hint="eastAsia"/>
                <w:bCs/>
                <w:szCs w:val="21"/>
                <w:highlight w:val="none"/>
                <w:lang w:eastAsia="zh-CN"/>
              </w:rPr>
              <w:t>更换后由厂家直接带走</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413" w:hRule="atLeast"/>
          <w:jc w:val="center"/>
        </w:trPr>
        <w:tc>
          <w:tcPr>
            <w:tcW w:w="1145" w:type="dxa"/>
            <w:vAlign w:val="center"/>
          </w:tcPr>
          <w:p>
            <w:pPr>
              <w:jc w:val="center"/>
              <w:rPr>
                <w:bCs/>
                <w:szCs w:val="21"/>
                <w:highlight w:val="none"/>
              </w:rPr>
            </w:pPr>
            <w:r>
              <w:rPr>
                <w:bCs/>
                <w:szCs w:val="21"/>
                <w:highlight w:val="none"/>
              </w:rPr>
              <w:t>职工生活</w:t>
            </w:r>
          </w:p>
        </w:tc>
        <w:tc>
          <w:tcPr>
            <w:tcW w:w="1091" w:type="dxa"/>
            <w:vAlign w:val="center"/>
          </w:tcPr>
          <w:p>
            <w:pPr>
              <w:jc w:val="center"/>
              <w:rPr>
                <w:bCs/>
                <w:szCs w:val="21"/>
                <w:highlight w:val="none"/>
              </w:rPr>
            </w:pPr>
            <w:r>
              <w:rPr>
                <w:bCs/>
                <w:szCs w:val="21"/>
                <w:highlight w:val="none"/>
              </w:rPr>
              <w:t>/</w:t>
            </w:r>
          </w:p>
        </w:tc>
        <w:tc>
          <w:tcPr>
            <w:tcW w:w="1279" w:type="dxa"/>
            <w:tcBorders>
              <w:top w:val="single" w:color="auto" w:sz="4" w:space="0"/>
              <w:bottom w:val="single" w:color="auto" w:sz="4" w:space="0"/>
            </w:tcBorders>
            <w:vAlign w:val="center"/>
          </w:tcPr>
          <w:p>
            <w:pPr>
              <w:jc w:val="center"/>
              <w:rPr>
                <w:szCs w:val="21"/>
                <w:highlight w:val="none"/>
              </w:rPr>
            </w:pPr>
            <w:r>
              <w:rPr>
                <w:szCs w:val="21"/>
                <w:highlight w:val="none"/>
              </w:rPr>
              <w:t>生活垃圾</w:t>
            </w:r>
          </w:p>
        </w:tc>
        <w:tc>
          <w:tcPr>
            <w:tcW w:w="709" w:type="dxa"/>
            <w:tcBorders>
              <w:top w:val="single" w:color="auto" w:sz="4" w:space="0"/>
              <w:bottom w:val="single" w:color="auto" w:sz="4" w:space="0"/>
            </w:tcBorders>
            <w:vAlign w:val="center"/>
          </w:tcPr>
          <w:p>
            <w:pPr>
              <w:jc w:val="center"/>
              <w:rPr>
                <w:bCs/>
                <w:szCs w:val="21"/>
                <w:highlight w:val="none"/>
              </w:rPr>
            </w:pPr>
            <w:r>
              <w:rPr>
                <w:bCs/>
                <w:szCs w:val="21"/>
                <w:highlight w:val="none"/>
              </w:rPr>
              <w:t>/</w:t>
            </w:r>
          </w:p>
        </w:tc>
        <w:tc>
          <w:tcPr>
            <w:tcW w:w="992" w:type="dxa"/>
            <w:tcBorders>
              <w:top w:val="single" w:color="auto" w:sz="4" w:space="0"/>
              <w:bottom w:val="single" w:color="auto" w:sz="4" w:space="0"/>
            </w:tcBorders>
            <w:vAlign w:val="center"/>
          </w:tcPr>
          <w:p>
            <w:pPr>
              <w:jc w:val="center"/>
              <w:rPr>
                <w:rFonts w:hint="default" w:eastAsia="宋体"/>
                <w:bCs/>
                <w:szCs w:val="21"/>
                <w:highlight w:val="none"/>
                <w:lang w:val="en-US" w:eastAsia="zh-CN"/>
              </w:rPr>
            </w:pPr>
            <w:r>
              <w:rPr>
                <w:bCs/>
                <w:szCs w:val="21"/>
                <w:highlight w:val="none"/>
              </w:rPr>
              <w:t>0.</w:t>
            </w:r>
            <w:r>
              <w:rPr>
                <w:rFonts w:hint="eastAsia"/>
                <w:bCs/>
                <w:szCs w:val="21"/>
                <w:highlight w:val="none"/>
                <w:lang w:val="en-US" w:eastAsia="zh-CN"/>
              </w:rPr>
              <w:t>280</w:t>
            </w:r>
          </w:p>
        </w:tc>
        <w:tc>
          <w:tcPr>
            <w:tcW w:w="567" w:type="dxa"/>
            <w:tcBorders>
              <w:top w:val="single" w:color="auto" w:sz="4" w:space="0"/>
              <w:bottom w:val="single" w:color="auto" w:sz="4" w:space="0"/>
            </w:tcBorders>
            <w:vAlign w:val="center"/>
          </w:tcPr>
          <w:p>
            <w:pPr>
              <w:jc w:val="center"/>
              <w:rPr>
                <w:bCs/>
                <w:szCs w:val="21"/>
                <w:highlight w:val="none"/>
              </w:rPr>
            </w:pPr>
            <w:r>
              <w:rPr>
                <w:bCs/>
                <w:szCs w:val="21"/>
                <w:highlight w:val="none"/>
              </w:rPr>
              <w:t>/</w:t>
            </w:r>
          </w:p>
        </w:tc>
        <w:tc>
          <w:tcPr>
            <w:tcW w:w="851" w:type="dxa"/>
            <w:tcBorders>
              <w:top w:val="single" w:color="auto" w:sz="4" w:space="0"/>
              <w:bottom w:val="single" w:color="auto" w:sz="4" w:space="0"/>
            </w:tcBorders>
            <w:vAlign w:val="center"/>
          </w:tcPr>
          <w:p>
            <w:pPr>
              <w:jc w:val="center"/>
              <w:rPr>
                <w:rFonts w:hint="default" w:eastAsia="宋体"/>
                <w:bCs/>
                <w:szCs w:val="21"/>
                <w:highlight w:val="none"/>
                <w:lang w:val="en-US" w:eastAsia="zh-CN"/>
              </w:rPr>
            </w:pPr>
            <w:r>
              <w:rPr>
                <w:bCs/>
                <w:szCs w:val="21"/>
                <w:highlight w:val="none"/>
              </w:rPr>
              <w:t>0.</w:t>
            </w:r>
            <w:r>
              <w:rPr>
                <w:rFonts w:hint="eastAsia"/>
                <w:bCs/>
                <w:szCs w:val="21"/>
                <w:highlight w:val="none"/>
                <w:lang w:val="en-US" w:eastAsia="zh-CN"/>
              </w:rPr>
              <w:t>280</w:t>
            </w:r>
          </w:p>
        </w:tc>
        <w:tc>
          <w:tcPr>
            <w:tcW w:w="1417" w:type="dxa"/>
            <w:vMerge w:val="restart"/>
            <w:tcBorders>
              <w:top w:val="single" w:color="auto" w:sz="4" w:space="0"/>
            </w:tcBorders>
            <w:vAlign w:val="center"/>
          </w:tcPr>
          <w:p>
            <w:pPr>
              <w:jc w:val="center"/>
              <w:rPr>
                <w:bCs/>
                <w:szCs w:val="21"/>
                <w:highlight w:val="none"/>
              </w:rPr>
            </w:pPr>
            <w:r>
              <w:rPr>
                <w:bCs/>
                <w:szCs w:val="21"/>
                <w:highlight w:val="none"/>
              </w:rPr>
              <w:t>交由环卫部门处置</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413" w:hRule="atLeast"/>
          <w:jc w:val="center"/>
        </w:trPr>
        <w:tc>
          <w:tcPr>
            <w:tcW w:w="2236" w:type="dxa"/>
            <w:gridSpan w:val="2"/>
            <w:vAlign w:val="center"/>
          </w:tcPr>
          <w:p>
            <w:pPr>
              <w:jc w:val="center"/>
              <w:rPr>
                <w:bCs/>
                <w:szCs w:val="21"/>
                <w:highlight w:val="none"/>
              </w:rPr>
            </w:pPr>
            <w:r>
              <w:rPr>
                <w:rFonts w:hint="eastAsia"/>
                <w:bCs/>
                <w:szCs w:val="21"/>
                <w:highlight w:val="none"/>
              </w:rPr>
              <w:t>格栅垃圾</w:t>
            </w:r>
          </w:p>
        </w:tc>
        <w:tc>
          <w:tcPr>
            <w:tcW w:w="1279" w:type="dxa"/>
            <w:tcBorders>
              <w:top w:val="single" w:color="auto" w:sz="4" w:space="0"/>
              <w:bottom w:val="single" w:color="auto" w:sz="4" w:space="0"/>
            </w:tcBorders>
            <w:vAlign w:val="center"/>
          </w:tcPr>
          <w:p>
            <w:pPr>
              <w:jc w:val="center"/>
              <w:rPr>
                <w:szCs w:val="21"/>
                <w:highlight w:val="none"/>
              </w:rPr>
            </w:pPr>
            <w:r>
              <w:rPr>
                <w:rFonts w:hint="eastAsia"/>
                <w:szCs w:val="21"/>
                <w:highlight w:val="none"/>
              </w:rPr>
              <w:t>漂浮的树枝、树叶等</w:t>
            </w:r>
          </w:p>
        </w:tc>
        <w:tc>
          <w:tcPr>
            <w:tcW w:w="709" w:type="dxa"/>
            <w:tcBorders>
              <w:top w:val="single" w:color="auto" w:sz="4" w:space="0"/>
              <w:bottom w:val="single" w:color="auto" w:sz="4" w:space="0"/>
            </w:tcBorders>
            <w:vAlign w:val="center"/>
          </w:tcPr>
          <w:p>
            <w:pPr>
              <w:jc w:val="center"/>
              <w:rPr>
                <w:bCs/>
                <w:szCs w:val="21"/>
                <w:highlight w:val="none"/>
              </w:rPr>
            </w:pPr>
            <w:r>
              <w:rPr>
                <w:rFonts w:hint="eastAsia"/>
                <w:bCs/>
                <w:szCs w:val="21"/>
                <w:highlight w:val="none"/>
              </w:rPr>
              <w:t>/</w:t>
            </w:r>
          </w:p>
        </w:tc>
        <w:tc>
          <w:tcPr>
            <w:tcW w:w="992" w:type="dxa"/>
            <w:tcBorders>
              <w:top w:val="single" w:color="auto" w:sz="4" w:space="0"/>
              <w:bottom w:val="single" w:color="auto" w:sz="4" w:space="0"/>
            </w:tcBorders>
            <w:vAlign w:val="center"/>
          </w:tcPr>
          <w:p>
            <w:pPr>
              <w:jc w:val="center"/>
              <w:rPr>
                <w:bCs/>
                <w:szCs w:val="21"/>
                <w:highlight w:val="none"/>
              </w:rPr>
            </w:pPr>
            <w:r>
              <w:rPr>
                <w:rFonts w:hint="eastAsia"/>
                <w:bCs/>
                <w:szCs w:val="21"/>
                <w:highlight w:val="none"/>
              </w:rPr>
              <w:t>3.0</w:t>
            </w:r>
          </w:p>
        </w:tc>
        <w:tc>
          <w:tcPr>
            <w:tcW w:w="567" w:type="dxa"/>
            <w:tcBorders>
              <w:top w:val="single" w:color="auto" w:sz="4" w:space="0"/>
              <w:bottom w:val="single" w:color="auto" w:sz="4" w:space="0"/>
            </w:tcBorders>
            <w:vAlign w:val="center"/>
          </w:tcPr>
          <w:p>
            <w:pPr>
              <w:jc w:val="center"/>
              <w:rPr>
                <w:bCs/>
                <w:szCs w:val="21"/>
                <w:highlight w:val="none"/>
              </w:rPr>
            </w:pPr>
            <w:r>
              <w:rPr>
                <w:rFonts w:hint="eastAsia"/>
                <w:bCs/>
                <w:szCs w:val="21"/>
                <w:highlight w:val="none"/>
              </w:rPr>
              <w:t>/</w:t>
            </w:r>
          </w:p>
        </w:tc>
        <w:tc>
          <w:tcPr>
            <w:tcW w:w="851" w:type="dxa"/>
            <w:tcBorders>
              <w:top w:val="single" w:color="auto" w:sz="4" w:space="0"/>
              <w:bottom w:val="single" w:color="auto" w:sz="4" w:space="0"/>
            </w:tcBorders>
            <w:vAlign w:val="center"/>
          </w:tcPr>
          <w:p>
            <w:pPr>
              <w:jc w:val="center"/>
              <w:rPr>
                <w:bCs/>
                <w:szCs w:val="21"/>
                <w:highlight w:val="none"/>
              </w:rPr>
            </w:pPr>
            <w:r>
              <w:rPr>
                <w:rFonts w:hint="eastAsia"/>
                <w:bCs/>
                <w:szCs w:val="21"/>
                <w:highlight w:val="none"/>
              </w:rPr>
              <w:t>3.0</w:t>
            </w:r>
          </w:p>
        </w:tc>
        <w:tc>
          <w:tcPr>
            <w:tcW w:w="1417" w:type="dxa"/>
            <w:vMerge w:val="continue"/>
            <w:vAlign w:val="center"/>
          </w:tcPr>
          <w:p>
            <w:pPr>
              <w:jc w:val="center"/>
              <w:rPr>
                <w:bCs/>
                <w:szCs w:val="21"/>
                <w:highlight w:val="none"/>
              </w:rPr>
            </w:pPr>
          </w:p>
        </w:tc>
      </w:tr>
    </w:tbl>
    <w:p>
      <w:pPr>
        <w:spacing w:line="480" w:lineRule="exact"/>
        <w:ind w:right="-126" w:rightChars="-60" w:firstLine="480" w:firstLineChars="200"/>
        <w:rPr>
          <w:sz w:val="24"/>
          <w:highlight w:val="none"/>
        </w:rPr>
      </w:pPr>
      <w:r>
        <w:rPr>
          <w:sz w:val="24"/>
          <w:highlight w:val="none"/>
        </w:rPr>
        <w:t>通过上述处理措施处理后，本项目可实现固体废物的零排放，因此对环境影响较小。</w:t>
      </w:r>
    </w:p>
    <w:p>
      <w:pPr>
        <w:spacing w:line="480" w:lineRule="exact"/>
        <w:ind w:right="-126" w:rightChars="-60" w:firstLine="480" w:firstLineChars="200"/>
        <w:rPr>
          <w:color w:val="000000"/>
          <w:sz w:val="24"/>
          <w:highlight w:val="none"/>
        </w:rPr>
      </w:pPr>
      <w:r>
        <w:rPr>
          <w:color w:val="000000"/>
          <w:sz w:val="24"/>
          <w:highlight w:val="none"/>
        </w:rPr>
        <w:t>危险固废产生情况及处置措施一览表</w:t>
      </w:r>
      <w:r>
        <w:rPr>
          <w:rFonts w:hint="eastAsia"/>
          <w:color w:val="000000"/>
          <w:sz w:val="24"/>
          <w:highlight w:val="none"/>
        </w:rPr>
        <w:t>见</w:t>
      </w:r>
      <w:r>
        <w:rPr>
          <w:color w:val="000000"/>
          <w:sz w:val="24"/>
          <w:highlight w:val="none"/>
        </w:rPr>
        <w:t>表</w:t>
      </w:r>
      <w:r>
        <w:rPr>
          <w:rFonts w:hint="eastAsia"/>
          <w:color w:val="000000"/>
          <w:sz w:val="24"/>
          <w:highlight w:val="none"/>
        </w:rPr>
        <w:t>5.</w:t>
      </w:r>
      <w:r>
        <w:rPr>
          <w:rFonts w:hint="eastAsia"/>
          <w:color w:val="000000"/>
          <w:sz w:val="24"/>
          <w:highlight w:val="none"/>
          <w:lang w:val="en-US" w:eastAsia="zh-CN"/>
        </w:rPr>
        <w:t>8</w:t>
      </w:r>
      <w:r>
        <w:rPr>
          <w:color w:val="000000"/>
          <w:sz w:val="24"/>
          <w:highlight w:val="none"/>
        </w:rPr>
        <w:t>-2、表</w:t>
      </w:r>
      <w:r>
        <w:rPr>
          <w:rFonts w:hint="eastAsia"/>
          <w:color w:val="000000"/>
          <w:sz w:val="24"/>
          <w:highlight w:val="none"/>
        </w:rPr>
        <w:t>5.</w:t>
      </w:r>
      <w:r>
        <w:rPr>
          <w:rFonts w:hint="eastAsia"/>
          <w:color w:val="000000"/>
          <w:sz w:val="24"/>
          <w:highlight w:val="none"/>
          <w:lang w:val="en-US" w:eastAsia="zh-CN"/>
        </w:rPr>
        <w:t>8</w:t>
      </w:r>
      <w:r>
        <w:rPr>
          <w:color w:val="000000"/>
          <w:sz w:val="24"/>
          <w:highlight w:val="none"/>
        </w:rPr>
        <w:t>-3。</w:t>
      </w:r>
    </w:p>
    <w:p>
      <w:pPr>
        <w:pStyle w:val="420"/>
        <w:widowControl w:val="0"/>
        <w:spacing w:line="480" w:lineRule="exact"/>
        <w:jc w:val="center"/>
        <w:rPr>
          <w:b/>
          <w:color w:val="000000"/>
          <w:highlight w:val="none"/>
        </w:rPr>
      </w:pPr>
      <w:r>
        <w:rPr>
          <w:b/>
          <w:color w:val="000000"/>
          <w:highlight w:val="none"/>
        </w:rPr>
        <w:t>表</w:t>
      </w:r>
      <w:r>
        <w:rPr>
          <w:rFonts w:hint="eastAsia"/>
          <w:b/>
          <w:color w:val="000000"/>
          <w:highlight w:val="none"/>
        </w:rPr>
        <w:t>5.</w:t>
      </w:r>
      <w:r>
        <w:rPr>
          <w:rFonts w:hint="eastAsia"/>
          <w:b/>
          <w:color w:val="000000"/>
          <w:highlight w:val="none"/>
          <w:lang w:val="en-US" w:eastAsia="zh-CN"/>
        </w:rPr>
        <w:t>8</w:t>
      </w:r>
      <w:r>
        <w:rPr>
          <w:b/>
          <w:color w:val="000000"/>
          <w:highlight w:val="none"/>
        </w:rPr>
        <w:t>-2  项目危险固废产生情况及处置措施一览表</w:t>
      </w:r>
    </w:p>
    <w:tbl>
      <w:tblPr>
        <w:tblStyle w:val="51"/>
        <w:tblW w:w="829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51"/>
        <w:gridCol w:w="992"/>
        <w:gridCol w:w="993"/>
        <w:gridCol w:w="992"/>
        <w:gridCol w:w="709"/>
        <w:gridCol w:w="691"/>
        <w:gridCol w:w="674"/>
        <w:gridCol w:w="957"/>
        <w:gridCol w:w="851"/>
        <w:gridCol w:w="88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jc w:val="center"/>
        </w:trPr>
        <w:tc>
          <w:tcPr>
            <w:tcW w:w="551" w:type="dxa"/>
            <w:tcBorders>
              <w:bottom w:val="single" w:color="000000" w:sz="6" w:space="0"/>
              <w:right w:val="single" w:color="000000" w:sz="6" w:space="0"/>
            </w:tcBorders>
            <w:vAlign w:val="center"/>
          </w:tcPr>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序</w:t>
            </w:r>
          </w:p>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号</w:t>
            </w:r>
          </w:p>
        </w:tc>
        <w:tc>
          <w:tcPr>
            <w:tcW w:w="992" w:type="dxa"/>
            <w:tcBorders>
              <w:left w:val="single" w:color="000000" w:sz="6" w:space="0"/>
              <w:bottom w:val="single" w:color="000000" w:sz="6" w:space="0"/>
              <w:right w:val="single" w:color="000000" w:sz="6" w:space="0"/>
            </w:tcBorders>
            <w:vAlign w:val="center"/>
          </w:tcPr>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固废</w:t>
            </w:r>
          </w:p>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名称</w:t>
            </w:r>
          </w:p>
        </w:tc>
        <w:tc>
          <w:tcPr>
            <w:tcW w:w="993" w:type="dxa"/>
            <w:tcBorders>
              <w:left w:val="single" w:color="000000" w:sz="6" w:space="0"/>
              <w:bottom w:val="single" w:color="000000" w:sz="6" w:space="0"/>
              <w:right w:val="single" w:color="000000" w:sz="6" w:space="0"/>
            </w:tcBorders>
            <w:vAlign w:val="center"/>
          </w:tcPr>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属性</w:t>
            </w:r>
          </w:p>
        </w:tc>
        <w:tc>
          <w:tcPr>
            <w:tcW w:w="992" w:type="dxa"/>
            <w:tcBorders>
              <w:left w:val="single" w:color="000000" w:sz="6" w:space="0"/>
              <w:bottom w:val="single" w:color="000000" w:sz="6" w:space="0"/>
              <w:right w:val="single" w:color="000000" w:sz="6" w:space="0"/>
            </w:tcBorders>
            <w:vAlign w:val="center"/>
          </w:tcPr>
          <w:p>
            <w:pPr>
              <w:pStyle w:val="402"/>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产生工序</w:t>
            </w:r>
          </w:p>
        </w:tc>
        <w:tc>
          <w:tcPr>
            <w:tcW w:w="709" w:type="dxa"/>
            <w:tcBorders>
              <w:left w:val="single" w:color="000000" w:sz="6" w:space="0"/>
              <w:bottom w:val="single" w:color="000000" w:sz="6" w:space="0"/>
              <w:right w:val="single" w:color="000000" w:sz="6" w:space="0"/>
            </w:tcBorders>
            <w:vAlign w:val="center"/>
          </w:tcPr>
          <w:p>
            <w:pPr>
              <w:pStyle w:val="402"/>
              <w:spacing w:line="300" w:lineRule="exact"/>
              <w:ind w:left="38" w:right="21"/>
              <w:jc w:val="center"/>
              <w:rPr>
                <w:rFonts w:ascii="Times New Roman" w:hAnsi="Times New Roman"/>
                <w:color w:val="000000"/>
                <w:sz w:val="21"/>
                <w:highlight w:val="none"/>
              </w:rPr>
            </w:pPr>
            <w:r>
              <w:rPr>
                <w:rFonts w:ascii="Times New Roman" w:hAnsi="Times New Roman"/>
                <w:color w:val="000000"/>
                <w:sz w:val="21"/>
                <w:highlight w:val="none"/>
              </w:rPr>
              <w:t>形态</w:t>
            </w:r>
          </w:p>
        </w:tc>
        <w:tc>
          <w:tcPr>
            <w:tcW w:w="691" w:type="dxa"/>
            <w:tcBorders>
              <w:left w:val="single" w:color="000000" w:sz="6" w:space="0"/>
              <w:bottom w:val="single" w:color="000000" w:sz="6" w:space="0"/>
              <w:right w:val="single" w:color="000000" w:sz="6" w:space="0"/>
            </w:tcBorders>
            <w:vAlign w:val="center"/>
          </w:tcPr>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主要</w:t>
            </w:r>
          </w:p>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成份</w:t>
            </w:r>
          </w:p>
        </w:tc>
        <w:tc>
          <w:tcPr>
            <w:tcW w:w="674" w:type="dxa"/>
            <w:tcBorders>
              <w:left w:val="single" w:color="000000" w:sz="6" w:space="0"/>
              <w:bottom w:val="single" w:color="000000" w:sz="6" w:space="0"/>
              <w:right w:val="single" w:color="000000" w:sz="6" w:space="0"/>
            </w:tcBorders>
            <w:vAlign w:val="center"/>
          </w:tcPr>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危险特</w:t>
            </w:r>
          </w:p>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性</w:t>
            </w:r>
          </w:p>
        </w:tc>
        <w:tc>
          <w:tcPr>
            <w:tcW w:w="957" w:type="dxa"/>
            <w:tcBorders>
              <w:left w:val="single" w:color="000000" w:sz="6" w:space="0"/>
              <w:bottom w:val="single" w:color="000000" w:sz="6" w:space="0"/>
              <w:right w:val="single" w:color="000000" w:sz="6" w:space="0"/>
            </w:tcBorders>
            <w:vAlign w:val="center"/>
          </w:tcPr>
          <w:p>
            <w:pPr>
              <w:pStyle w:val="402"/>
              <w:spacing w:line="300" w:lineRule="exact"/>
              <w:ind w:left="57" w:right="32"/>
              <w:jc w:val="center"/>
              <w:rPr>
                <w:rFonts w:ascii="Times New Roman" w:hAnsi="Times New Roman"/>
                <w:color w:val="000000"/>
                <w:sz w:val="21"/>
                <w:highlight w:val="none"/>
              </w:rPr>
            </w:pPr>
            <w:r>
              <w:rPr>
                <w:rFonts w:ascii="Times New Roman" w:hAnsi="Times New Roman"/>
                <w:color w:val="000000"/>
                <w:sz w:val="21"/>
                <w:highlight w:val="none"/>
              </w:rPr>
              <w:t>废物类别</w:t>
            </w:r>
          </w:p>
        </w:tc>
        <w:tc>
          <w:tcPr>
            <w:tcW w:w="851" w:type="dxa"/>
            <w:tcBorders>
              <w:left w:val="single" w:color="000000" w:sz="6" w:space="0"/>
              <w:bottom w:val="single" w:color="000000" w:sz="6" w:space="0"/>
              <w:right w:val="single" w:color="000000" w:sz="6" w:space="0"/>
            </w:tcBorders>
            <w:vAlign w:val="center"/>
          </w:tcPr>
          <w:p>
            <w:pPr>
              <w:pStyle w:val="402"/>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废物</w:t>
            </w:r>
          </w:p>
          <w:p>
            <w:pPr>
              <w:pStyle w:val="402"/>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代码</w:t>
            </w:r>
          </w:p>
        </w:tc>
        <w:tc>
          <w:tcPr>
            <w:tcW w:w="883" w:type="dxa"/>
            <w:tcBorders>
              <w:left w:val="single" w:color="000000" w:sz="6" w:space="0"/>
              <w:bottom w:val="single" w:color="000000" w:sz="6" w:space="0"/>
            </w:tcBorders>
            <w:vAlign w:val="center"/>
          </w:tcPr>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估算年</w:t>
            </w:r>
          </w:p>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产生量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jc w:val="center"/>
        </w:trPr>
        <w:tc>
          <w:tcPr>
            <w:tcW w:w="551" w:type="dxa"/>
            <w:tcBorders>
              <w:top w:val="single" w:color="000000" w:sz="6" w:space="0"/>
              <w:bottom w:val="single" w:color="000000" w:sz="6" w:space="0"/>
              <w:right w:val="single" w:color="000000" w:sz="6" w:space="0"/>
            </w:tcBorders>
            <w:vAlign w:val="center"/>
          </w:tcPr>
          <w:p>
            <w:pPr>
              <w:pStyle w:val="402"/>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1</w:t>
            </w:r>
          </w:p>
        </w:tc>
        <w:tc>
          <w:tcPr>
            <w:tcW w:w="992"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废</w:t>
            </w:r>
            <w:r>
              <w:rPr>
                <w:rFonts w:hint="eastAsia" w:ascii="Times New Roman" w:hAnsi="Times New Roman"/>
                <w:color w:val="000000"/>
                <w:sz w:val="21"/>
                <w:highlight w:val="none"/>
                <w:lang w:eastAsia="zh-CN"/>
              </w:rPr>
              <w:t>润滑</w:t>
            </w:r>
            <w:r>
              <w:rPr>
                <w:rFonts w:ascii="Times New Roman" w:hAnsi="Times New Roman"/>
                <w:color w:val="000000"/>
                <w:sz w:val="21"/>
                <w:highlight w:val="none"/>
              </w:rPr>
              <w:t>油</w:t>
            </w:r>
          </w:p>
        </w:tc>
        <w:tc>
          <w:tcPr>
            <w:tcW w:w="993" w:type="dxa"/>
            <w:vMerge w:val="restart"/>
            <w:tcBorders>
              <w:top w:val="single" w:color="000000" w:sz="6" w:space="0"/>
              <w:left w:val="single" w:color="000000" w:sz="6" w:space="0"/>
              <w:right w:val="single" w:color="000000" w:sz="6" w:space="0"/>
            </w:tcBorders>
            <w:vAlign w:val="center"/>
          </w:tcPr>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危险</w:t>
            </w:r>
          </w:p>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废物</w:t>
            </w:r>
          </w:p>
        </w:tc>
        <w:tc>
          <w:tcPr>
            <w:tcW w:w="992" w:type="dxa"/>
            <w:vMerge w:val="restart"/>
            <w:tcBorders>
              <w:top w:val="single" w:color="000000" w:sz="6" w:space="0"/>
              <w:left w:val="single" w:color="000000" w:sz="6" w:space="0"/>
              <w:right w:val="single" w:color="000000" w:sz="6" w:space="0"/>
            </w:tcBorders>
            <w:vAlign w:val="center"/>
          </w:tcPr>
          <w:p>
            <w:pPr>
              <w:pStyle w:val="402"/>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设备维护</w:t>
            </w:r>
          </w:p>
        </w:tc>
        <w:tc>
          <w:tcPr>
            <w:tcW w:w="709" w:type="dxa"/>
            <w:tcBorders>
              <w:top w:val="single" w:color="000000" w:sz="6" w:space="0"/>
              <w:left w:val="single" w:color="000000" w:sz="6" w:space="0"/>
              <w:bottom w:val="single" w:color="000000" w:sz="6" w:space="0"/>
              <w:right w:val="single" w:color="000000" w:sz="6" w:space="0"/>
            </w:tcBorders>
            <w:vAlign w:val="center"/>
          </w:tcPr>
          <w:p>
            <w:pPr>
              <w:pStyle w:val="402"/>
              <w:spacing w:line="300" w:lineRule="exact"/>
              <w:ind w:right="21"/>
              <w:jc w:val="center"/>
              <w:rPr>
                <w:rFonts w:ascii="Times New Roman" w:hAnsi="Times New Roman"/>
                <w:color w:val="000000"/>
                <w:sz w:val="21"/>
                <w:highlight w:val="none"/>
              </w:rPr>
            </w:pPr>
            <w:r>
              <w:rPr>
                <w:rFonts w:ascii="Times New Roman" w:hAnsi="Times New Roman"/>
                <w:color w:val="000000"/>
                <w:sz w:val="21"/>
                <w:highlight w:val="none"/>
              </w:rPr>
              <w:t>液态</w:t>
            </w:r>
          </w:p>
        </w:tc>
        <w:tc>
          <w:tcPr>
            <w:tcW w:w="691" w:type="dxa"/>
            <w:vMerge w:val="restart"/>
            <w:tcBorders>
              <w:top w:val="single" w:color="000000" w:sz="6" w:space="0"/>
              <w:left w:val="single" w:color="000000" w:sz="6" w:space="0"/>
              <w:right w:val="single" w:color="000000" w:sz="6" w:space="0"/>
            </w:tcBorders>
            <w:vAlign w:val="center"/>
          </w:tcPr>
          <w:p>
            <w:pPr>
              <w:pStyle w:val="402"/>
              <w:spacing w:line="300" w:lineRule="exact"/>
              <w:ind w:left="152" w:right="131"/>
              <w:jc w:val="center"/>
              <w:rPr>
                <w:rFonts w:ascii="Times New Roman" w:hAnsi="Times New Roman"/>
                <w:color w:val="000000"/>
                <w:sz w:val="21"/>
                <w:highlight w:val="none"/>
              </w:rPr>
            </w:pPr>
            <w:r>
              <w:rPr>
                <w:rFonts w:ascii="Times New Roman" w:hAnsi="Times New Roman"/>
                <w:color w:val="000000"/>
                <w:sz w:val="21"/>
                <w:highlight w:val="none"/>
              </w:rPr>
              <w:t>矿</w:t>
            </w:r>
          </w:p>
          <w:p>
            <w:pPr>
              <w:pStyle w:val="402"/>
              <w:spacing w:line="300" w:lineRule="exact"/>
              <w:ind w:left="152" w:right="131"/>
              <w:jc w:val="center"/>
              <w:rPr>
                <w:rFonts w:ascii="Times New Roman" w:hAnsi="Times New Roman"/>
                <w:color w:val="000000"/>
                <w:sz w:val="21"/>
                <w:highlight w:val="none"/>
              </w:rPr>
            </w:pPr>
            <w:r>
              <w:rPr>
                <w:rFonts w:ascii="Times New Roman" w:hAnsi="Times New Roman"/>
                <w:color w:val="000000"/>
                <w:sz w:val="21"/>
                <w:highlight w:val="none"/>
              </w:rPr>
              <w:t>物</w:t>
            </w:r>
          </w:p>
          <w:p>
            <w:pPr>
              <w:pStyle w:val="402"/>
              <w:spacing w:line="300" w:lineRule="exact"/>
              <w:ind w:left="152" w:right="131"/>
              <w:jc w:val="center"/>
              <w:rPr>
                <w:rFonts w:ascii="Times New Roman" w:hAnsi="Times New Roman"/>
                <w:color w:val="000000"/>
                <w:sz w:val="21"/>
                <w:highlight w:val="none"/>
              </w:rPr>
            </w:pPr>
            <w:r>
              <w:rPr>
                <w:rFonts w:ascii="Times New Roman" w:hAnsi="Times New Roman"/>
                <w:color w:val="000000"/>
                <w:sz w:val="21"/>
                <w:highlight w:val="none"/>
              </w:rPr>
              <w:t>油</w:t>
            </w:r>
          </w:p>
        </w:tc>
        <w:tc>
          <w:tcPr>
            <w:tcW w:w="674" w:type="dxa"/>
            <w:tcBorders>
              <w:top w:val="single" w:color="000000" w:sz="6" w:space="0"/>
              <w:left w:val="single" w:color="000000" w:sz="6" w:space="0"/>
              <w:bottom w:val="single" w:color="000000" w:sz="6" w:space="0"/>
              <w:right w:val="single" w:color="000000" w:sz="6" w:space="0"/>
            </w:tcBorders>
            <w:vAlign w:val="center"/>
          </w:tcPr>
          <w:p>
            <w:pPr>
              <w:pStyle w:val="402"/>
              <w:spacing w:line="300" w:lineRule="exact"/>
              <w:ind w:right="112"/>
              <w:jc w:val="center"/>
              <w:rPr>
                <w:rFonts w:ascii="Times New Roman" w:hAnsi="Times New Roman"/>
                <w:color w:val="000000"/>
                <w:sz w:val="21"/>
                <w:highlight w:val="none"/>
              </w:rPr>
            </w:pPr>
            <w:r>
              <w:rPr>
                <w:rFonts w:ascii="Times New Roman" w:hAnsi="Times New Roman"/>
                <w:color w:val="000000"/>
                <w:sz w:val="21"/>
                <w:highlight w:val="none"/>
              </w:rPr>
              <w:t>T，I</w:t>
            </w:r>
          </w:p>
        </w:tc>
        <w:tc>
          <w:tcPr>
            <w:tcW w:w="957"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HW08</w:t>
            </w:r>
          </w:p>
        </w:tc>
        <w:tc>
          <w:tcPr>
            <w:tcW w:w="851" w:type="dxa"/>
            <w:tcBorders>
              <w:top w:val="single" w:color="000000" w:sz="6" w:space="0"/>
              <w:left w:val="single" w:color="000000" w:sz="6" w:space="0"/>
              <w:bottom w:val="single" w:color="auto" w:sz="4" w:space="0"/>
              <w:right w:val="single" w:color="000000" w:sz="6" w:space="0"/>
            </w:tcBorders>
            <w:vAlign w:val="center"/>
          </w:tcPr>
          <w:p>
            <w:pPr>
              <w:pStyle w:val="402"/>
              <w:adjustRightInd w:val="0"/>
              <w:snapToGrid w:val="0"/>
              <w:spacing w:line="30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rPr>
              <w:t>900-2</w:t>
            </w:r>
            <w:r>
              <w:rPr>
                <w:rFonts w:hint="eastAsia" w:ascii="Times New Roman" w:hAnsi="Times New Roman"/>
                <w:color w:val="auto"/>
                <w:sz w:val="21"/>
                <w:szCs w:val="21"/>
                <w:highlight w:val="none"/>
              </w:rPr>
              <w:t>14</w:t>
            </w:r>
            <w:r>
              <w:rPr>
                <w:rFonts w:ascii="Times New Roman" w:hAnsi="Times New Roman"/>
                <w:color w:val="auto"/>
                <w:sz w:val="21"/>
                <w:szCs w:val="21"/>
                <w:highlight w:val="none"/>
              </w:rPr>
              <w:t>-</w:t>
            </w:r>
          </w:p>
          <w:p>
            <w:pPr>
              <w:pStyle w:val="402"/>
              <w:adjustRightInd w:val="0"/>
              <w:snapToGrid w:val="0"/>
              <w:spacing w:line="30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rPr>
              <w:t>08</w:t>
            </w:r>
          </w:p>
        </w:tc>
        <w:tc>
          <w:tcPr>
            <w:tcW w:w="883" w:type="dxa"/>
            <w:tcBorders>
              <w:top w:val="single" w:color="000000" w:sz="6" w:space="0"/>
              <w:left w:val="single" w:color="000000" w:sz="6" w:space="0"/>
              <w:bottom w:val="single" w:color="auto" w:sz="4" w:space="0"/>
            </w:tcBorders>
            <w:vAlign w:val="center"/>
          </w:tcPr>
          <w:p>
            <w:pPr>
              <w:pStyle w:val="402"/>
              <w:adjustRightInd w:val="0"/>
              <w:snapToGrid w:val="0"/>
              <w:spacing w:line="300" w:lineRule="exact"/>
              <w:jc w:val="center"/>
              <w:rPr>
                <w:rFonts w:ascii="Times New Roman" w:hAnsi="Times New Roman"/>
                <w:color w:val="000000"/>
                <w:sz w:val="21"/>
                <w:szCs w:val="21"/>
                <w:highlight w:val="none"/>
              </w:rPr>
            </w:pPr>
            <w:r>
              <w:rPr>
                <w:rFonts w:ascii="Times New Roman" w:hAnsi="Times New Roman"/>
                <w:color w:val="000000"/>
                <w:sz w:val="21"/>
                <w:szCs w:val="21"/>
                <w:highlight w:val="none"/>
              </w:rPr>
              <w:t>0.0</w:t>
            </w:r>
            <w:r>
              <w:rPr>
                <w:rFonts w:hint="eastAsia" w:ascii="Times New Roman" w:hAnsi="Times New Roman"/>
                <w:color w:val="000000"/>
                <w:sz w:val="21"/>
                <w:szCs w:val="21"/>
                <w:highlight w:val="none"/>
              </w:rPr>
              <w:t>9</w:t>
            </w:r>
            <w:r>
              <w:rPr>
                <w:rFonts w:ascii="Times New Roman" w:hAnsi="Times New Roman"/>
                <w:color w:val="000000"/>
                <w:sz w:val="21"/>
                <w:szCs w:val="21"/>
                <w:highlight w:val="none"/>
              </w:rPr>
              <w:t>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46" w:hRule="atLeast"/>
          <w:jc w:val="center"/>
        </w:trPr>
        <w:tc>
          <w:tcPr>
            <w:tcW w:w="551" w:type="dxa"/>
            <w:tcBorders>
              <w:top w:val="single" w:color="000000" w:sz="6" w:space="0"/>
              <w:bottom w:val="single" w:color="000000" w:sz="6" w:space="0"/>
              <w:right w:val="single" w:color="000000" w:sz="6" w:space="0"/>
            </w:tcBorders>
            <w:vAlign w:val="center"/>
          </w:tcPr>
          <w:p>
            <w:pPr>
              <w:pStyle w:val="402"/>
              <w:spacing w:line="300" w:lineRule="exact"/>
              <w:jc w:val="center"/>
              <w:rPr>
                <w:rFonts w:ascii="Times New Roman" w:hAnsi="Times New Roman"/>
                <w:color w:val="000000"/>
                <w:sz w:val="21"/>
                <w:highlight w:val="none"/>
              </w:rPr>
            </w:pPr>
            <w:r>
              <w:rPr>
                <w:rFonts w:hint="eastAsia" w:ascii="Times New Roman" w:hAnsi="Times New Roman"/>
                <w:color w:val="000000"/>
                <w:sz w:val="21"/>
                <w:highlight w:val="none"/>
              </w:rPr>
              <w:t>2</w:t>
            </w:r>
          </w:p>
        </w:tc>
        <w:tc>
          <w:tcPr>
            <w:tcW w:w="992" w:type="dxa"/>
            <w:tcBorders>
              <w:top w:val="single" w:color="000000" w:sz="6" w:space="0"/>
              <w:left w:val="single" w:color="000000" w:sz="6" w:space="0"/>
              <w:bottom w:val="single" w:color="000000" w:sz="6" w:space="0"/>
              <w:right w:val="single" w:color="000000" w:sz="6" w:space="0"/>
            </w:tcBorders>
            <w:vAlign w:val="center"/>
          </w:tcPr>
          <w:p>
            <w:pPr>
              <w:pStyle w:val="423"/>
              <w:spacing w:line="320" w:lineRule="exact"/>
              <w:ind w:left="-105" w:leftChars="-50" w:right="-105" w:rightChars="-50"/>
              <w:rPr>
                <w:color w:val="000000"/>
                <w:kern w:val="2"/>
                <w:sz w:val="18"/>
                <w:szCs w:val="18"/>
                <w:highlight w:val="none"/>
              </w:rPr>
            </w:pPr>
            <w:r>
              <w:rPr>
                <w:color w:val="000000"/>
                <w:highlight w:val="none"/>
              </w:rPr>
              <w:t>废油桶</w:t>
            </w:r>
          </w:p>
        </w:tc>
        <w:tc>
          <w:tcPr>
            <w:tcW w:w="993" w:type="dxa"/>
            <w:vMerge w:val="continue"/>
            <w:tcBorders>
              <w:left w:val="single" w:color="000000" w:sz="6" w:space="0"/>
              <w:right w:val="single" w:color="000000" w:sz="6" w:space="0"/>
            </w:tcBorders>
            <w:vAlign w:val="center"/>
          </w:tcPr>
          <w:p>
            <w:pPr>
              <w:pStyle w:val="402"/>
              <w:adjustRightInd w:val="0"/>
              <w:snapToGrid w:val="0"/>
              <w:spacing w:line="300" w:lineRule="exact"/>
              <w:jc w:val="center"/>
              <w:rPr>
                <w:rFonts w:ascii="Times New Roman" w:hAnsi="Times New Roman"/>
                <w:color w:val="000000"/>
                <w:sz w:val="21"/>
                <w:highlight w:val="none"/>
              </w:rPr>
            </w:pPr>
          </w:p>
        </w:tc>
        <w:tc>
          <w:tcPr>
            <w:tcW w:w="992" w:type="dxa"/>
            <w:vMerge w:val="continue"/>
            <w:tcBorders>
              <w:left w:val="single" w:color="000000" w:sz="6" w:space="0"/>
              <w:right w:val="single" w:color="000000" w:sz="6" w:space="0"/>
            </w:tcBorders>
            <w:vAlign w:val="center"/>
          </w:tcPr>
          <w:p>
            <w:pPr>
              <w:pStyle w:val="402"/>
              <w:spacing w:line="300" w:lineRule="exact"/>
              <w:ind w:firstLine="103"/>
              <w:jc w:val="center"/>
              <w:rPr>
                <w:rFonts w:ascii="Times New Roman" w:hAnsi="Times New Roman"/>
                <w:color w:val="000000"/>
                <w:sz w:val="21"/>
                <w:szCs w:val="21"/>
                <w:highlight w:val="none"/>
              </w:rPr>
            </w:pPr>
          </w:p>
        </w:tc>
        <w:tc>
          <w:tcPr>
            <w:tcW w:w="709" w:type="dxa"/>
            <w:tcBorders>
              <w:top w:val="single" w:color="000000" w:sz="6" w:space="0"/>
              <w:left w:val="single" w:color="000000" w:sz="6" w:space="0"/>
              <w:bottom w:val="single" w:color="000000" w:sz="6" w:space="0"/>
              <w:right w:val="single" w:color="000000" w:sz="6" w:space="0"/>
            </w:tcBorders>
            <w:vAlign w:val="center"/>
          </w:tcPr>
          <w:p>
            <w:pPr>
              <w:pStyle w:val="402"/>
              <w:spacing w:line="300" w:lineRule="exact"/>
              <w:ind w:left="38" w:right="21"/>
              <w:jc w:val="center"/>
              <w:rPr>
                <w:rFonts w:ascii="Times New Roman" w:hAnsi="Times New Roman"/>
                <w:color w:val="000000"/>
                <w:sz w:val="21"/>
                <w:highlight w:val="none"/>
              </w:rPr>
            </w:pPr>
            <w:r>
              <w:rPr>
                <w:rFonts w:ascii="Times New Roman" w:hAnsi="Times New Roman"/>
                <w:color w:val="000000"/>
                <w:sz w:val="21"/>
                <w:highlight w:val="none"/>
              </w:rPr>
              <w:t>固态</w:t>
            </w:r>
          </w:p>
        </w:tc>
        <w:tc>
          <w:tcPr>
            <w:tcW w:w="691" w:type="dxa"/>
            <w:vMerge w:val="continue"/>
            <w:tcBorders>
              <w:left w:val="single" w:color="000000" w:sz="6" w:space="0"/>
              <w:right w:val="single" w:color="000000" w:sz="6" w:space="0"/>
            </w:tcBorders>
            <w:vAlign w:val="center"/>
          </w:tcPr>
          <w:p>
            <w:pPr>
              <w:pStyle w:val="402"/>
              <w:spacing w:line="300" w:lineRule="exact"/>
              <w:ind w:left="152" w:right="131"/>
              <w:jc w:val="center"/>
              <w:rPr>
                <w:rFonts w:ascii="Times New Roman" w:hAnsi="Times New Roman"/>
                <w:color w:val="000000"/>
                <w:sz w:val="21"/>
                <w:highlight w:val="none"/>
              </w:rPr>
            </w:pPr>
          </w:p>
        </w:tc>
        <w:tc>
          <w:tcPr>
            <w:tcW w:w="674" w:type="dxa"/>
            <w:tcBorders>
              <w:top w:val="single" w:color="000000" w:sz="6" w:space="0"/>
              <w:left w:val="single" w:color="000000" w:sz="6" w:space="0"/>
              <w:bottom w:val="single" w:color="000000" w:sz="6" w:space="0"/>
              <w:right w:val="single" w:color="000000" w:sz="6" w:space="0"/>
            </w:tcBorders>
            <w:vAlign w:val="center"/>
          </w:tcPr>
          <w:p>
            <w:pPr>
              <w:pStyle w:val="402"/>
              <w:spacing w:line="300" w:lineRule="exact"/>
              <w:ind w:right="139"/>
              <w:jc w:val="center"/>
              <w:rPr>
                <w:rFonts w:ascii="Times New Roman" w:hAnsi="Times New Roman"/>
                <w:color w:val="000000"/>
                <w:sz w:val="21"/>
                <w:highlight w:val="none"/>
              </w:rPr>
            </w:pPr>
            <w:r>
              <w:rPr>
                <w:rFonts w:ascii="Times New Roman" w:hAnsi="Times New Roman"/>
                <w:color w:val="000000"/>
                <w:sz w:val="21"/>
                <w:highlight w:val="none"/>
              </w:rPr>
              <w:t>T/I</w:t>
            </w:r>
          </w:p>
        </w:tc>
        <w:tc>
          <w:tcPr>
            <w:tcW w:w="957"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00" w:lineRule="exact"/>
              <w:jc w:val="center"/>
              <w:rPr>
                <w:rFonts w:hint="default" w:ascii="Times New Roman" w:hAnsi="Times New Roman" w:eastAsia="宋体"/>
                <w:color w:val="000000"/>
                <w:sz w:val="21"/>
                <w:highlight w:val="none"/>
                <w:lang w:val="en-US" w:eastAsia="zh-CN"/>
              </w:rPr>
            </w:pPr>
            <w:r>
              <w:rPr>
                <w:rFonts w:ascii="Times New Roman" w:hAnsi="Times New Roman"/>
                <w:color w:val="000000"/>
                <w:sz w:val="21"/>
                <w:highlight w:val="none"/>
              </w:rPr>
              <w:t>HW</w:t>
            </w:r>
            <w:r>
              <w:rPr>
                <w:rFonts w:hint="eastAsia" w:ascii="Times New Roman" w:hAnsi="Times New Roman"/>
                <w:color w:val="000000"/>
                <w:sz w:val="21"/>
                <w:highlight w:val="none"/>
                <w:lang w:val="en-US" w:eastAsia="zh-CN"/>
              </w:rPr>
              <w:t>08</w:t>
            </w:r>
          </w:p>
        </w:tc>
        <w:tc>
          <w:tcPr>
            <w:tcW w:w="851"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0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rPr>
              <w:t>900-</w:t>
            </w:r>
            <w:r>
              <w:rPr>
                <w:rFonts w:hint="eastAsia" w:ascii="Times New Roman" w:hAnsi="Times New Roman"/>
                <w:color w:val="auto"/>
                <w:sz w:val="21"/>
                <w:szCs w:val="21"/>
                <w:highlight w:val="none"/>
              </w:rPr>
              <w:t>249</w:t>
            </w:r>
            <w:r>
              <w:rPr>
                <w:rFonts w:ascii="Times New Roman" w:hAnsi="Times New Roman"/>
                <w:color w:val="auto"/>
                <w:sz w:val="21"/>
                <w:szCs w:val="21"/>
                <w:highlight w:val="none"/>
              </w:rPr>
              <w:t>-</w:t>
            </w:r>
          </w:p>
          <w:p>
            <w:pPr>
              <w:pStyle w:val="423"/>
              <w:spacing w:line="320" w:lineRule="exact"/>
              <w:ind w:left="-50" w:right="-50"/>
              <w:rPr>
                <w:color w:val="auto"/>
                <w:szCs w:val="21"/>
                <w:highlight w:val="none"/>
              </w:rPr>
            </w:pPr>
            <w:r>
              <w:rPr>
                <w:rFonts w:hint="eastAsia"/>
                <w:color w:val="auto"/>
                <w:szCs w:val="21"/>
                <w:highlight w:val="none"/>
              </w:rPr>
              <w:t>08</w:t>
            </w:r>
          </w:p>
        </w:tc>
        <w:tc>
          <w:tcPr>
            <w:tcW w:w="883" w:type="dxa"/>
            <w:tcBorders>
              <w:top w:val="single" w:color="auto" w:sz="4" w:space="0"/>
              <w:left w:val="single" w:color="000000" w:sz="6" w:space="0"/>
              <w:bottom w:val="single" w:color="auto" w:sz="4" w:space="0"/>
            </w:tcBorders>
            <w:vAlign w:val="center"/>
          </w:tcPr>
          <w:p>
            <w:pPr>
              <w:pStyle w:val="423"/>
              <w:spacing w:line="320" w:lineRule="exact"/>
              <w:ind w:left="-50" w:right="-50"/>
              <w:rPr>
                <w:color w:val="000000"/>
                <w:kern w:val="2"/>
                <w:szCs w:val="21"/>
                <w:highlight w:val="none"/>
              </w:rPr>
            </w:pPr>
            <w:r>
              <w:rPr>
                <w:rFonts w:hint="eastAsia"/>
                <w:color w:val="000000"/>
                <w:szCs w:val="21"/>
                <w:highlight w:val="none"/>
              </w:rPr>
              <w:t>0.03t/a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46" w:hRule="atLeast"/>
          <w:jc w:val="center"/>
        </w:trPr>
        <w:tc>
          <w:tcPr>
            <w:tcW w:w="551" w:type="dxa"/>
            <w:tcBorders>
              <w:top w:val="single" w:color="000000" w:sz="6" w:space="0"/>
              <w:bottom w:val="single" w:color="000000" w:sz="6" w:space="0"/>
              <w:right w:val="single" w:color="000000" w:sz="6" w:space="0"/>
            </w:tcBorders>
            <w:vAlign w:val="center"/>
          </w:tcPr>
          <w:p>
            <w:pPr>
              <w:pStyle w:val="402"/>
              <w:spacing w:line="300" w:lineRule="exact"/>
              <w:jc w:val="center"/>
              <w:rPr>
                <w:rFonts w:hint="eastAsia" w:ascii="Times New Roman" w:hAnsi="Times New Roman" w:eastAsia="宋体"/>
                <w:color w:val="000000"/>
                <w:sz w:val="21"/>
                <w:highlight w:val="none"/>
                <w:lang w:val="en-US" w:eastAsia="zh-CN"/>
              </w:rPr>
            </w:pPr>
            <w:r>
              <w:rPr>
                <w:rFonts w:hint="eastAsia" w:ascii="Times New Roman" w:hAnsi="Times New Roman"/>
                <w:color w:val="000000"/>
                <w:sz w:val="21"/>
                <w:highlight w:val="none"/>
                <w:lang w:val="en-US" w:eastAsia="zh-CN"/>
              </w:rPr>
              <w:t>3</w:t>
            </w:r>
          </w:p>
        </w:tc>
        <w:tc>
          <w:tcPr>
            <w:tcW w:w="992" w:type="dxa"/>
            <w:tcBorders>
              <w:top w:val="single" w:color="000000" w:sz="6" w:space="0"/>
              <w:left w:val="single" w:color="000000" w:sz="6" w:space="0"/>
              <w:bottom w:val="single" w:color="000000" w:sz="6" w:space="0"/>
              <w:right w:val="single" w:color="000000" w:sz="6" w:space="0"/>
            </w:tcBorders>
            <w:vAlign w:val="center"/>
          </w:tcPr>
          <w:p>
            <w:pPr>
              <w:pStyle w:val="423"/>
              <w:spacing w:line="320" w:lineRule="exact"/>
              <w:ind w:left="-105" w:leftChars="-50" w:right="-105" w:rightChars="-50"/>
              <w:rPr>
                <w:rFonts w:hint="eastAsia" w:eastAsia="宋体"/>
                <w:color w:val="000000"/>
                <w:highlight w:val="none"/>
                <w:lang w:eastAsia="zh-CN"/>
              </w:rPr>
            </w:pPr>
            <w:r>
              <w:rPr>
                <w:rFonts w:hint="eastAsia"/>
                <w:color w:val="000000"/>
                <w:highlight w:val="none"/>
                <w:lang w:eastAsia="zh-CN"/>
              </w:rPr>
              <w:t>废变压器油</w:t>
            </w:r>
          </w:p>
        </w:tc>
        <w:tc>
          <w:tcPr>
            <w:tcW w:w="993" w:type="dxa"/>
            <w:vMerge w:val="continue"/>
            <w:tcBorders>
              <w:left w:val="single" w:color="000000" w:sz="6" w:space="0"/>
              <w:right w:val="single" w:color="000000" w:sz="6" w:space="0"/>
            </w:tcBorders>
            <w:vAlign w:val="center"/>
          </w:tcPr>
          <w:p>
            <w:pPr>
              <w:pStyle w:val="402"/>
              <w:adjustRightInd w:val="0"/>
              <w:snapToGrid w:val="0"/>
              <w:spacing w:line="300" w:lineRule="exact"/>
              <w:jc w:val="center"/>
              <w:rPr>
                <w:rFonts w:ascii="Times New Roman" w:hAnsi="Times New Roman"/>
                <w:color w:val="000000"/>
                <w:sz w:val="21"/>
                <w:highlight w:val="none"/>
              </w:rPr>
            </w:pPr>
          </w:p>
        </w:tc>
        <w:tc>
          <w:tcPr>
            <w:tcW w:w="992" w:type="dxa"/>
            <w:vMerge w:val="continue"/>
            <w:tcBorders>
              <w:left w:val="single" w:color="000000" w:sz="6" w:space="0"/>
              <w:right w:val="single" w:color="000000" w:sz="6" w:space="0"/>
            </w:tcBorders>
            <w:vAlign w:val="center"/>
          </w:tcPr>
          <w:p>
            <w:pPr>
              <w:pStyle w:val="402"/>
              <w:spacing w:line="300" w:lineRule="exact"/>
              <w:ind w:firstLine="103"/>
              <w:jc w:val="center"/>
              <w:rPr>
                <w:rFonts w:ascii="Times New Roman" w:hAnsi="Times New Roman"/>
                <w:color w:val="000000"/>
                <w:sz w:val="21"/>
                <w:highlight w:val="none"/>
              </w:rPr>
            </w:pPr>
          </w:p>
        </w:tc>
        <w:tc>
          <w:tcPr>
            <w:tcW w:w="709" w:type="dxa"/>
            <w:tcBorders>
              <w:top w:val="single" w:color="000000" w:sz="6" w:space="0"/>
              <w:left w:val="single" w:color="000000" w:sz="6" w:space="0"/>
              <w:bottom w:val="single" w:color="000000" w:sz="6" w:space="0"/>
              <w:right w:val="single" w:color="000000" w:sz="6" w:space="0"/>
            </w:tcBorders>
            <w:vAlign w:val="center"/>
          </w:tcPr>
          <w:p>
            <w:pPr>
              <w:pStyle w:val="402"/>
              <w:spacing w:line="300" w:lineRule="exact"/>
              <w:ind w:left="38" w:right="21"/>
              <w:jc w:val="center"/>
              <w:rPr>
                <w:rFonts w:hint="eastAsia" w:ascii="Times New Roman" w:hAnsi="Times New Roman" w:eastAsia="宋体"/>
                <w:color w:val="000000"/>
                <w:sz w:val="21"/>
                <w:highlight w:val="none"/>
                <w:lang w:eastAsia="zh-CN"/>
              </w:rPr>
            </w:pPr>
            <w:r>
              <w:rPr>
                <w:rFonts w:hint="eastAsia" w:ascii="Times New Roman" w:hAnsi="Times New Roman"/>
                <w:color w:val="000000"/>
                <w:sz w:val="21"/>
                <w:highlight w:val="none"/>
                <w:lang w:eastAsia="zh-CN"/>
              </w:rPr>
              <w:t>液态</w:t>
            </w:r>
          </w:p>
        </w:tc>
        <w:tc>
          <w:tcPr>
            <w:tcW w:w="691" w:type="dxa"/>
            <w:vMerge w:val="continue"/>
            <w:tcBorders>
              <w:left w:val="single" w:color="000000" w:sz="6" w:space="0"/>
              <w:right w:val="single" w:color="000000" w:sz="6" w:space="0"/>
            </w:tcBorders>
            <w:vAlign w:val="center"/>
          </w:tcPr>
          <w:p>
            <w:pPr>
              <w:pStyle w:val="402"/>
              <w:spacing w:line="300" w:lineRule="exact"/>
              <w:ind w:left="152" w:right="131"/>
              <w:jc w:val="center"/>
              <w:rPr>
                <w:rFonts w:ascii="Times New Roman" w:hAnsi="Times New Roman"/>
                <w:color w:val="000000"/>
                <w:sz w:val="21"/>
                <w:highlight w:val="none"/>
              </w:rPr>
            </w:pPr>
          </w:p>
        </w:tc>
        <w:tc>
          <w:tcPr>
            <w:tcW w:w="674" w:type="dxa"/>
            <w:tcBorders>
              <w:top w:val="single" w:color="000000" w:sz="6" w:space="0"/>
              <w:left w:val="single" w:color="000000" w:sz="6" w:space="0"/>
              <w:bottom w:val="single" w:color="000000" w:sz="6" w:space="0"/>
              <w:right w:val="single" w:color="000000" w:sz="6" w:space="0"/>
            </w:tcBorders>
            <w:vAlign w:val="center"/>
          </w:tcPr>
          <w:p>
            <w:pPr>
              <w:pStyle w:val="402"/>
              <w:spacing w:line="300" w:lineRule="exact"/>
              <w:ind w:right="139"/>
              <w:jc w:val="center"/>
              <w:rPr>
                <w:rFonts w:ascii="Times New Roman" w:hAnsi="Times New Roman"/>
                <w:color w:val="000000"/>
                <w:sz w:val="21"/>
                <w:highlight w:val="none"/>
              </w:rPr>
            </w:pPr>
            <w:r>
              <w:rPr>
                <w:rFonts w:ascii="Times New Roman" w:hAnsi="Times New Roman"/>
                <w:color w:val="000000"/>
                <w:sz w:val="21"/>
                <w:highlight w:val="none"/>
              </w:rPr>
              <w:t>T，I</w:t>
            </w:r>
          </w:p>
        </w:tc>
        <w:tc>
          <w:tcPr>
            <w:tcW w:w="957"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HW08</w:t>
            </w:r>
          </w:p>
        </w:tc>
        <w:tc>
          <w:tcPr>
            <w:tcW w:w="851"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0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rPr>
              <w:t>900-</w:t>
            </w:r>
            <w:r>
              <w:rPr>
                <w:rFonts w:hint="eastAsia" w:ascii="Times New Roman" w:hAnsi="Times New Roman"/>
                <w:color w:val="auto"/>
                <w:sz w:val="21"/>
                <w:szCs w:val="21"/>
                <w:highlight w:val="none"/>
                <w:lang w:val="en-US" w:eastAsia="zh-CN"/>
              </w:rPr>
              <w:t>200</w:t>
            </w:r>
            <w:r>
              <w:rPr>
                <w:rFonts w:ascii="Times New Roman" w:hAnsi="Times New Roman"/>
                <w:color w:val="auto"/>
                <w:sz w:val="21"/>
                <w:szCs w:val="21"/>
                <w:highlight w:val="none"/>
              </w:rPr>
              <w:t>-</w:t>
            </w:r>
          </w:p>
          <w:p>
            <w:pPr>
              <w:pStyle w:val="402"/>
              <w:adjustRightInd w:val="0"/>
              <w:snapToGrid w:val="0"/>
              <w:spacing w:line="300" w:lineRule="exact"/>
              <w:jc w:val="center"/>
              <w:rPr>
                <w:rFonts w:hint="eastAsia"/>
                <w:color w:val="auto"/>
                <w:szCs w:val="21"/>
                <w:highlight w:val="none"/>
              </w:rPr>
            </w:pPr>
            <w:r>
              <w:rPr>
                <w:rFonts w:ascii="Times New Roman" w:hAnsi="Times New Roman"/>
                <w:color w:val="auto"/>
                <w:sz w:val="21"/>
                <w:szCs w:val="21"/>
                <w:highlight w:val="none"/>
              </w:rPr>
              <w:t>08</w:t>
            </w:r>
          </w:p>
        </w:tc>
        <w:tc>
          <w:tcPr>
            <w:tcW w:w="883" w:type="dxa"/>
            <w:tcBorders>
              <w:top w:val="single" w:color="auto" w:sz="4" w:space="0"/>
              <w:left w:val="single" w:color="000000" w:sz="6" w:space="0"/>
              <w:bottom w:val="single" w:color="auto" w:sz="4" w:space="0"/>
            </w:tcBorders>
            <w:vAlign w:val="center"/>
          </w:tcPr>
          <w:p>
            <w:pPr>
              <w:pStyle w:val="423"/>
              <w:spacing w:line="320" w:lineRule="exact"/>
              <w:ind w:left="-50" w:right="-50"/>
              <w:rPr>
                <w:rFonts w:hint="eastAsia"/>
                <w:color w:val="000000"/>
                <w:szCs w:val="21"/>
                <w:highlight w:val="none"/>
              </w:rPr>
            </w:pPr>
            <w:r>
              <w:rPr>
                <w:rFonts w:hint="eastAsia"/>
                <w:color w:val="000000"/>
                <w:szCs w:val="21"/>
                <w:highlight w:val="none"/>
              </w:rPr>
              <w:t>0.0</w:t>
            </w:r>
            <w:r>
              <w:rPr>
                <w:rFonts w:hint="eastAsia"/>
                <w:color w:val="000000"/>
                <w:szCs w:val="21"/>
                <w:highlight w:val="none"/>
                <w:lang w:val="en-US" w:eastAsia="zh-CN"/>
              </w:rPr>
              <w:t>8</w:t>
            </w:r>
            <w:r>
              <w:rPr>
                <w:rFonts w:hint="eastAsia"/>
                <w:color w:val="000000"/>
                <w:szCs w:val="21"/>
                <w:highlight w:val="none"/>
              </w:rPr>
              <w:t>t/</w:t>
            </w:r>
            <w:r>
              <w:rPr>
                <w:rFonts w:hint="eastAsia"/>
                <w:color w:val="000000"/>
                <w:szCs w:val="21"/>
                <w:highlight w:val="none"/>
                <w:lang w:val="en-US" w:eastAsia="zh-CN"/>
              </w:rPr>
              <w:t>5</w:t>
            </w:r>
            <w:r>
              <w:rPr>
                <w:rFonts w:hint="eastAsia"/>
                <w:color w:val="000000"/>
                <w:szCs w:val="21"/>
                <w:highlight w:val="none"/>
              </w:rPr>
              <w: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jc w:val="center"/>
        </w:trPr>
        <w:tc>
          <w:tcPr>
            <w:tcW w:w="551" w:type="dxa"/>
            <w:tcBorders>
              <w:top w:val="single" w:color="000000" w:sz="6" w:space="0"/>
              <w:bottom w:val="single" w:color="000000" w:sz="6" w:space="0"/>
              <w:right w:val="single" w:color="000000" w:sz="6" w:space="0"/>
            </w:tcBorders>
            <w:vAlign w:val="center"/>
          </w:tcPr>
          <w:p>
            <w:pPr>
              <w:pStyle w:val="402"/>
              <w:spacing w:line="300" w:lineRule="exact"/>
              <w:jc w:val="center"/>
              <w:rPr>
                <w:rFonts w:hint="default" w:ascii="Times New Roman" w:hAnsi="Times New Roman"/>
                <w:color w:val="000000"/>
                <w:sz w:val="21"/>
                <w:highlight w:val="none"/>
                <w:lang w:val="en-US" w:eastAsia="zh-CN"/>
              </w:rPr>
            </w:pPr>
            <w:r>
              <w:rPr>
                <w:rFonts w:hint="eastAsia" w:ascii="Times New Roman" w:hAnsi="Times New Roman"/>
                <w:color w:val="000000"/>
                <w:sz w:val="21"/>
                <w:highlight w:val="none"/>
                <w:lang w:val="en-US" w:eastAsia="zh-CN"/>
              </w:rPr>
              <w:t>4</w:t>
            </w:r>
          </w:p>
        </w:tc>
        <w:tc>
          <w:tcPr>
            <w:tcW w:w="992" w:type="dxa"/>
            <w:tcBorders>
              <w:top w:val="single" w:color="000000" w:sz="6" w:space="0"/>
              <w:left w:val="single" w:color="000000" w:sz="6" w:space="0"/>
              <w:bottom w:val="single" w:color="000000" w:sz="6" w:space="0"/>
              <w:right w:val="single" w:color="000000" w:sz="6" w:space="0"/>
            </w:tcBorders>
            <w:vAlign w:val="center"/>
          </w:tcPr>
          <w:p>
            <w:pPr>
              <w:pStyle w:val="423"/>
              <w:spacing w:line="320" w:lineRule="exact"/>
              <w:ind w:right="-105" w:rightChars="-50"/>
              <w:jc w:val="both"/>
              <w:rPr>
                <w:rFonts w:hint="default"/>
                <w:color w:val="000000"/>
                <w:highlight w:val="none"/>
                <w:lang w:val="en-US" w:eastAsia="zh-CN"/>
              </w:rPr>
            </w:pPr>
            <w:r>
              <w:rPr>
                <w:rFonts w:hint="eastAsia"/>
                <w:color w:val="000000"/>
                <w:highlight w:val="none"/>
                <w:lang w:val="en-US" w:eastAsia="zh-CN"/>
              </w:rPr>
              <w:t>含油废棉丝</w:t>
            </w:r>
          </w:p>
        </w:tc>
        <w:tc>
          <w:tcPr>
            <w:tcW w:w="993" w:type="dxa"/>
            <w:vMerge w:val="continue"/>
            <w:tcBorders>
              <w:left w:val="single" w:color="000000" w:sz="6" w:space="0"/>
              <w:right w:val="single" w:color="000000" w:sz="6" w:space="0"/>
            </w:tcBorders>
            <w:vAlign w:val="center"/>
          </w:tcPr>
          <w:p>
            <w:pPr>
              <w:pStyle w:val="402"/>
              <w:adjustRightInd w:val="0"/>
              <w:snapToGrid w:val="0"/>
              <w:spacing w:line="300" w:lineRule="exact"/>
              <w:jc w:val="center"/>
              <w:rPr>
                <w:rFonts w:ascii="Times New Roman" w:hAnsi="Times New Roman"/>
                <w:color w:val="000000"/>
                <w:sz w:val="21"/>
                <w:highlight w:val="none"/>
              </w:rPr>
            </w:pPr>
          </w:p>
        </w:tc>
        <w:tc>
          <w:tcPr>
            <w:tcW w:w="992" w:type="dxa"/>
            <w:vMerge w:val="continue"/>
            <w:tcBorders>
              <w:left w:val="single" w:color="000000" w:sz="6" w:space="0"/>
              <w:right w:val="single" w:color="000000" w:sz="6" w:space="0"/>
            </w:tcBorders>
            <w:vAlign w:val="center"/>
          </w:tcPr>
          <w:p>
            <w:pPr>
              <w:pStyle w:val="402"/>
              <w:spacing w:line="300" w:lineRule="exact"/>
              <w:ind w:firstLine="103"/>
              <w:jc w:val="center"/>
              <w:rPr>
                <w:rFonts w:ascii="Times New Roman" w:hAnsi="Times New Roman"/>
                <w:color w:val="000000"/>
                <w:sz w:val="21"/>
                <w:highlight w:val="none"/>
              </w:rPr>
            </w:pPr>
          </w:p>
        </w:tc>
        <w:tc>
          <w:tcPr>
            <w:tcW w:w="709" w:type="dxa"/>
            <w:tcBorders>
              <w:top w:val="single" w:color="000000" w:sz="6" w:space="0"/>
              <w:left w:val="single" w:color="000000" w:sz="6" w:space="0"/>
              <w:bottom w:val="single" w:color="000000" w:sz="6" w:space="0"/>
              <w:right w:val="single" w:color="000000" w:sz="6" w:space="0"/>
            </w:tcBorders>
            <w:vAlign w:val="center"/>
          </w:tcPr>
          <w:p>
            <w:pPr>
              <w:pStyle w:val="402"/>
              <w:spacing w:line="300" w:lineRule="exact"/>
              <w:ind w:left="38" w:right="21"/>
              <w:jc w:val="center"/>
              <w:rPr>
                <w:rFonts w:hint="eastAsia" w:ascii="Times New Roman" w:hAnsi="Times New Roman"/>
                <w:color w:val="000000"/>
                <w:sz w:val="21"/>
                <w:highlight w:val="none"/>
                <w:lang w:eastAsia="zh-CN"/>
              </w:rPr>
            </w:pPr>
            <w:r>
              <w:rPr>
                <w:rFonts w:hint="eastAsia" w:ascii="Times New Roman" w:hAnsi="Times New Roman"/>
                <w:color w:val="000000"/>
                <w:sz w:val="21"/>
                <w:highlight w:val="none"/>
                <w:lang w:eastAsia="zh-CN"/>
              </w:rPr>
              <w:t>固态</w:t>
            </w:r>
          </w:p>
        </w:tc>
        <w:tc>
          <w:tcPr>
            <w:tcW w:w="691" w:type="dxa"/>
            <w:vMerge w:val="continue"/>
            <w:tcBorders>
              <w:left w:val="single" w:color="000000" w:sz="6" w:space="0"/>
              <w:right w:val="single" w:color="000000" w:sz="6" w:space="0"/>
            </w:tcBorders>
            <w:vAlign w:val="center"/>
          </w:tcPr>
          <w:p>
            <w:pPr>
              <w:pStyle w:val="402"/>
              <w:spacing w:line="300" w:lineRule="exact"/>
              <w:ind w:left="152" w:right="131"/>
              <w:jc w:val="center"/>
              <w:rPr>
                <w:rFonts w:ascii="Times New Roman" w:hAnsi="Times New Roman"/>
                <w:color w:val="000000"/>
                <w:sz w:val="21"/>
                <w:highlight w:val="none"/>
              </w:rPr>
            </w:pPr>
          </w:p>
        </w:tc>
        <w:tc>
          <w:tcPr>
            <w:tcW w:w="674" w:type="dxa"/>
            <w:tcBorders>
              <w:top w:val="single" w:color="000000" w:sz="6" w:space="0"/>
              <w:left w:val="single" w:color="000000" w:sz="6" w:space="0"/>
              <w:bottom w:val="single" w:color="000000" w:sz="6" w:space="0"/>
              <w:right w:val="single" w:color="000000" w:sz="6" w:space="0"/>
            </w:tcBorders>
            <w:vAlign w:val="center"/>
          </w:tcPr>
          <w:p>
            <w:pPr>
              <w:pStyle w:val="402"/>
              <w:spacing w:line="300" w:lineRule="exact"/>
              <w:ind w:right="139" w:rightChars="0"/>
              <w:jc w:val="center"/>
              <w:rPr>
                <w:rFonts w:hint="eastAsia" w:ascii="Times New Roman" w:hAnsi="Times New Roman" w:eastAsia="宋体" w:cs="Times New Roman"/>
                <w:color w:val="000000"/>
                <w:kern w:val="0"/>
                <w:sz w:val="21"/>
                <w:szCs w:val="22"/>
                <w:highlight w:val="none"/>
                <w:lang w:val="en-US" w:eastAsia="zh-CN" w:bidi="ar-SA"/>
              </w:rPr>
            </w:pPr>
            <w:r>
              <w:rPr>
                <w:rFonts w:ascii="Times New Roman" w:hAnsi="Times New Roman"/>
                <w:color w:val="000000"/>
                <w:sz w:val="21"/>
                <w:highlight w:val="none"/>
              </w:rPr>
              <w:t>T</w:t>
            </w:r>
            <w:r>
              <w:rPr>
                <w:rFonts w:hint="eastAsia" w:ascii="Times New Roman" w:hAnsi="Times New Roman"/>
                <w:color w:val="000000"/>
                <w:sz w:val="21"/>
                <w:highlight w:val="none"/>
                <w:lang w:val="en-US" w:eastAsia="zh-CN"/>
              </w:rPr>
              <w:t>/</w:t>
            </w:r>
            <w:r>
              <w:rPr>
                <w:rFonts w:ascii="Times New Roman" w:hAnsi="Times New Roman"/>
                <w:color w:val="000000"/>
                <w:sz w:val="21"/>
                <w:highlight w:val="none"/>
              </w:rPr>
              <w:t>I</w:t>
            </w:r>
            <w:r>
              <w:rPr>
                <w:rFonts w:hint="eastAsia" w:ascii="Times New Roman" w:hAnsi="Times New Roman"/>
                <w:color w:val="000000"/>
                <w:sz w:val="21"/>
                <w:highlight w:val="none"/>
                <w:lang w:val="en-US" w:eastAsia="zh-CN"/>
              </w:rPr>
              <w:t>n</w:t>
            </w:r>
          </w:p>
        </w:tc>
        <w:tc>
          <w:tcPr>
            <w:tcW w:w="957"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00" w:lineRule="exact"/>
              <w:jc w:val="center"/>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olor w:val="000000"/>
                <w:sz w:val="21"/>
                <w:highlight w:val="none"/>
              </w:rPr>
              <w:t>HW</w:t>
            </w:r>
            <w:r>
              <w:rPr>
                <w:rFonts w:hint="eastAsia" w:ascii="Times New Roman" w:hAnsi="Times New Roman"/>
                <w:color w:val="000000"/>
                <w:sz w:val="21"/>
                <w:highlight w:val="none"/>
                <w:lang w:val="en-US" w:eastAsia="zh-CN"/>
              </w:rPr>
              <w:t>49</w:t>
            </w:r>
          </w:p>
        </w:tc>
        <w:tc>
          <w:tcPr>
            <w:tcW w:w="851" w:type="dxa"/>
            <w:tcBorders>
              <w:top w:val="single" w:color="000000" w:sz="6" w:space="0"/>
              <w:left w:val="single" w:color="000000" w:sz="6" w:space="0"/>
              <w:bottom w:val="single" w:color="000000" w:sz="6" w:space="0"/>
              <w:right w:val="single" w:color="000000" w:sz="6" w:space="0"/>
            </w:tcBorders>
            <w:vAlign w:val="center"/>
          </w:tcPr>
          <w:p>
            <w:pPr>
              <w:pStyle w:val="402"/>
              <w:adjustRightInd w:val="0"/>
              <w:snapToGrid w:val="0"/>
              <w:spacing w:line="300" w:lineRule="exact"/>
              <w:jc w:val="center"/>
              <w:rPr>
                <w:rFonts w:ascii="Times New Roman" w:hAnsi="Times New Roman"/>
                <w:color w:val="auto"/>
                <w:sz w:val="21"/>
                <w:szCs w:val="21"/>
                <w:highlight w:val="none"/>
              </w:rPr>
            </w:pPr>
            <w:r>
              <w:rPr>
                <w:rFonts w:ascii="Times New Roman" w:hAnsi="Times New Roman"/>
                <w:color w:val="auto"/>
                <w:sz w:val="21"/>
                <w:szCs w:val="21"/>
                <w:highlight w:val="none"/>
              </w:rPr>
              <w:t>900-</w:t>
            </w:r>
            <w:r>
              <w:rPr>
                <w:rFonts w:hint="eastAsia" w:ascii="Times New Roman" w:hAnsi="Times New Roman"/>
                <w:color w:val="auto"/>
                <w:sz w:val="21"/>
                <w:szCs w:val="21"/>
                <w:highlight w:val="none"/>
                <w:lang w:val="en-US" w:eastAsia="zh-CN"/>
              </w:rPr>
              <w:t>041</w:t>
            </w:r>
            <w:r>
              <w:rPr>
                <w:rFonts w:ascii="Times New Roman" w:hAnsi="Times New Roman"/>
                <w:color w:val="auto"/>
                <w:sz w:val="21"/>
                <w:szCs w:val="21"/>
                <w:highlight w:val="none"/>
              </w:rPr>
              <w:t>-</w:t>
            </w:r>
          </w:p>
          <w:p>
            <w:pPr>
              <w:pStyle w:val="402"/>
              <w:adjustRightInd w:val="0"/>
              <w:snapToGrid w:val="0"/>
              <w:spacing w:line="300" w:lineRule="exact"/>
              <w:jc w:val="center"/>
              <w:rPr>
                <w:rFonts w:hint="default" w:ascii="Calibri" w:hAnsi="Calibri" w:eastAsia="宋体" w:cs="Times New Roman"/>
                <w:color w:val="auto"/>
                <w:kern w:val="0"/>
                <w:sz w:val="22"/>
                <w:szCs w:val="21"/>
                <w:highlight w:val="none"/>
                <w:lang w:val="en-US" w:eastAsia="zh-CN" w:bidi="ar-SA"/>
              </w:rPr>
            </w:pPr>
            <w:r>
              <w:rPr>
                <w:rFonts w:hint="eastAsia" w:ascii="Times New Roman" w:hAnsi="Times New Roman"/>
                <w:color w:val="auto"/>
                <w:sz w:val="21"/>
                <w:szCs w:val="21"/>
                <w:highlight w:val="none"/>
                <w:lang w:val="en-US" w:eastAsia="zh-CN"/>
              </w:rPr>
              <w:t>49</w:t>
            </w:r>
          </w:p>
        </w:tc>
        <w:tc>
          <w:tcPr>
            <w:tcW w:w="883" w:type="dxa"/>
            <w:tcBorders>
              <w:top w:val="single" w:color="auto" w:sz="4" w:space="0"/>
              <w:left w:val="single" w:color="000000" w:sz="6" w:space="0"/>
              <w:bottom w:val="single" w:color="auto" w:sz="4" w:space="0"/>
            </w:tcBorders>
            <w:vAlign w:val="center"/>
          </w:tcPr>
          <w:p>
            <w:pPr>
              <w:pStyle w:val="423"/>
              <w:spacing w:line="320" w:lineRule="exact"/>
              <w:ind w:left="-50" w:leftChars="0" w:right="-50" w:rightChars="0" w:firstLine="0" w:firstLineChars="0"/>
              <w:rPr>
                <w:rFonts w:hint="eastAsia" w:ascii="Times New Roman" w:hAnsi="Times New Roman" w:eastAsia="宋体" w:cs="Times New Roman"/>
                <w:color w:val="000000"/>
                <w:kern w:val="0"/>
                <w:sz w:val="21"/>
                <w:szCs w:val="21"/>
                <w:highlight w:val="none"/>
                <w:lang w:val="en-US" w:eastAsia="zh-CN" w:bidi="ar-SA"/>
              </w:rPr>
            </w:pPr>
            <w:r>
              <w:rPr>
                <w:rFonts w:hint="eastAsia"/>
                <w:color w:val="000000"/>
                <w:szCs w:val="21"/>
                <w:highlight w:val="none"/>
              </w:rPr>
              <w:t>0.0</w:t>
            </w:r>
            <w:r>
              <w:rPr>
                <w:rFonts w:hint="eastAsia"/>
                <w:color w:val="000000"/>
                <w:szCs w:val="21"/>
                <w:highlight w:val="none"/>
                <w:lang w:val="en-US" w:eastAsia="zh-CN"/>
              </w:rPr>
              <w:t>05</w:t>
            </w:r>
            <w:r>
              <w:rPr>
                <w:rFonts w:hint="eastAsia"/>
                <w:color w:val="000000"/>
                <w:szCs w:val="21"/>
                <w:highlight w:val="none"/>
              </w:rPr>
              <w:t>t/a</w:t>
            </w:r>
          </w:p>
        </w:tc>
      </w:tr>
    </w:tbl>
    <w:p>
      <w:pPr>
        <w:pStyle w:val="420"/>
        <w:spacing w:line="480" w:lineRule="exact"/>
        <w:ind w:firstLine="480" w:firstLineChars="200"/>
        <w:rPr>
          <w:color w:val="000000"/>
          <w:highlight w:val="none"/>
        </w:rPr>
      </w:pPr>
      <w:r>
        <w:rPr>
          <w:color w:val="000000"/>
          <w:highlight w:val="none"/>
        </w:rPr>
        <w:t>根据《国家危险废物名录》（20</w:t>
      </w:r>
      <w:r>
        <w:rPr>
          <w:rFonts w:hint="eastAsia"/>
          <w:color w:val="000000"/>
          <w:highlight w:val="none"/>
          <w:lang w:val="en-US" w:eastAsia="zh-CN"/>
        </w:rPr>
        <w:t>21</w:t>
      </w:r>
      <w:r>
        <w:rPr>
          <w:color w:val="000000"/>
          <w:highlight w:val="none"/>
        </w:rPr>
        <w:t>）废</w:t>
      </w:r>
      <w:r>
        <w:rPr>
          <w:rFonts w:hint="eastAsia"/>
          <w:color w:val="000000"/>
          <w:highlight w:val="none"/>
        </w:rPr>
        <w:t>机油</w:t>
      </w:r>
      <w:r>
        <w:rPr>
          <w:color w:val="000000"/>
          <w:highlight w:val="none"/>
        </w:rPr>
        <w:t>、废油桶属于危险废物，根据《建设项目危险废物环境影响评价指南》对拟建项目危险废物进行评价。</w:t>
      </w:r>
    </w:p>
    <w:p>
      <w:pPr>
        <w:pStyle w:val="420"/>
        <w:widowControl w:val="0"/>
        <w:spacing w:line="480" w:lineRule="exact"/>
        <w:jc w:val="center"/>
        <w:rPr>
          <w:b/>
          <w:color w:val="000000"/>
          <w:highlight w:val="none"/>
        </w:rPr>
      </w:pPr>
      <w:r>
        <w:rPr>
          <w:b/>
          <w:color w:val="000000"/>
          <w:highlight w:val="none"/>
        </w:rPr>
        <w:t>表</w:t>
      </w:r>
      <w:r>
        <w:rPr>
          <w:rFonts w:hint="eastAsia"/>
          <w:b/>
          <w:color w:val="000000"/>
          <w:highlight w:val="none"/>
        </w:rPr>
        <w:t>5.</w:t>
      </w:r>
      <w:r>
        <w:rPr>
          <w:rFonts w:hint="eastAsia"/>
          <w:b/>
          <w:color w:val="000000"/>
          <w:highlight w:val="none"/>
          <w:lang w:val="en-US" w:eastAsia="zh-CN"/>
        </w:rPr>
        <w:t>8</w:t>
      </w:r>
      <w:r>
        <w:rPr>
          <w:b/>
          <w:color w:val="000000"/>
          <w:highlight w:val="none"/>
        </w:rPr>
        <w:t>-3  危险废物汇总表</w:t>
      </w:r>
    </w:p>
    <w:tbl>
      <w:tblPr>
        <w:tblStyle w:val="5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6"/>
        <w:gridCol w:w="705"/>
        <w:gridCol w:w="708"/>
        <w:gridCol w:w="1056"/>
        <w:gridCol w:w="801"/>
        <w:gridCol w:w="852"/>
        <w:gridCol w:w="503"/>
        <w:gridCol w:w="709"/>
        <w:gridCol w:w="709"/>
        <w:gridCol w:w="567"/>
        <w:gridCol w:w="567"/>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dxa"/>
            <w:vAlign w:val="center"/>
          </w:tcPr>
          <w:p>
            <w:pPr>
              <w:pStyle w:val="420"/>
              <w:spacing w:line="280" w:lineRule="exact"/>
              <w:rPr>
                <w:color w:val="000000"/>
                <w:sz w:val="18"/>
                <w:szCs w:val="18"/>
                <w:highlight w:val="none"/>
              </w:rPr>
            </w:pPr>
            <w:r>
              <w:rPr>
                <w:color w:val="000000"/>
                <w:sz w:val="18"/>
                <w:szCs w:val="18"/>
                <w:highlight w:val="none"/>
              </w:rPr>
              <w:t>序</w:t>
            </w:r>
          </w:p>
          <w:p>
            <w:pPr>
              <w:pStyle w:val="420"/>
              <w:spacing w:line="280" w:lineRule="exact"/>
              <w:rPr>
                <w:color w:val="000000"/>
                <w:highlight w:val="none"/>
              </w:rPr>
            </w:pPr>
            <w:r>
              <w:rPr>
                <w:color w:val="000000"/>
                <w:sz w:val="18"/>
                <w:szCs w:val="18"/>
                <w:highlight w:val="none"/>
              </w:rPr>
              <w:t>号</w:t>
            </w:r>
          </w:p>
        </w:tc>
        <w:tc>
          <w:tcPr>
            <w:tcW w:w="705" w:type="dxa"/>
            <w:vAlign w:val="center"/>
          </w:tcPr>
          <w:p>
            <w:pPr>
              <w:pStyle w:val="420"/>
              <w:spacing w:line="280" w:lineRule="exact"/>
              <w:rPr>
                <w:color w:val="000000"/>
                <w:sz w:val="18"/>
                <w:szCs w:val="18"/>
                <w:highlight w:val="none"/>
              </w:rPr>
            </w:pPr>
            <w:r>
              <w:rPr>
                <w:color w:val="000000"/>
                <w:sz w:val="18"/>
                <w:szCs w:val="18"/>
                <w:highlight w:val="none"/>
              </w:rPr>
              <w:t>危险</w:t>
            </w:r>
          </w:p>
          <w:p>
            <w:pPr>
              <w:pStyle w:val="420"/>
              <w:spacing w:line="280" w:lineRule="exact"/>
              <w:rPr>
                <w:color w:val="000000"/>
                <w:sz w:val="18"/>
                <w:szCs w:val="18"/>
                <w:highlight w:val="none"/>
              </w:rPr>
            </w:pPr>
            <w:r>
              <w:rPr>
                <w:color w:val="000000"/>
                <w:sz w:val="18"/>
                <w:szCs w:val="18"/>
                <w:highlight w:val="none"/>
              </w:rPr>
              <w:t>废物</w:t>
            </w:r>
          </w:p>
          <w:p>
            <w:pPr>
              <w:pStyle w:val="420"/>
              <w:spacing w:line="280" w:lineRule="exact"/>
              <w:rPr>
                <w:color w:val="000000"/>
                <w:highlight w:val="none"/>
              </w:rPr>
            </w:pPr>
            <w:r>
              <w:rPr>
                <w:color w:val="000000"/>
                <w:sz w:val="18"/>
                <w:szCs w:val="18"/>
                <w:highlight w:val="none"/>
              </w:rPr>
              <w:t>名称</w:t>
            </w:r>
          </w:p>
        </w:tc>
        <w:tc>
          <w:tcPr>
            <w:tcW w:w="708" w:type="dxa"/>
            <w:vAlign w:val="center"/>
          </w:tcPr>
          <w:p>
            <w:pPr>
              <w:pStyle w:val="420"/>
              <w:spacing w:line="280" w:lineRule="exact"/>
              <w:rPr>
                <w:color w:val="000000"/>
                <w:sz w:val="18"/>
                <w:szCs w:val="18"/>
                <w:highlight w:val="none"/>
              </w:rPr>
            </w:pPr>
            <w:r>
              <w:rPr>
                <w:color w:val="000000"/>
                <w:sz w:val="18"/>
                <w:szCs w:val="18"/>
                <w:highlight w:val="none"/>
              </w:rPr>
              <w:t>危险</w:t>
            </w:r>
          </w:p>
          <w:p>
            <w:pPr>
              <w:pStyle w:val="420"/>
              <w:spacing w:line="280" w:lineRule="exact"/>
              <w:rPr>
                <w:color w:val="000000"/>
                <w:sz w:val="18"/>
                <w:szCs w:val="18"/>
                <w:highlight w:val="none"/>
              </w:rPr>
            </w:pPr>
            <w:r>
              <w:rPr>
                <w:color w:val="000000"/>
                <w:sz w:val="18"/>
                <w:szCs w:val="18"/>
                <w:highlight w:val="none"/>
              </w:rPr>
              <w:t>废物</w:t>
            </w:r>
          </w:p>
          <w:p>
            <w:pPr>
              <w:pStyle w:val="420"/>
              <w:spacing w:line="280" w:lineRule="exact"/>
              <w:rPr>
                <w:color w:val="000000"/>
                <w:highlight w:val="none"/>
              </w:rPr>
            </w:pPr>
            <w:r>
              <w:rPr>
                <w:color w:val="000000"/>
                <w:sz w:val="18"/>
                <w:szCs w:val="18"/>
                <w:highlight w:val="none"/>
              </w:rPr>
              <w:t>类别</w:t>
            </w:r>
          </w:p>
        </w:tc>
        <w:tc>
          <w:tcPr>
            <w:tcW w:w="1056" w:type="dxa"/>
            <w:vAlign w:val="center"/>
          </w:tcPr>
          <w:p>
            <w:pPr>
              <w:pStyle w:val="420"/>
              <w:spacing w:line="280" w:lineRule="exact"/>
              <w:rPr>
                <w:color w:val="000000"/>
                <w:sz w:val="18"/>
                <w:szCs w:val="18"/>
                <w:highlight w:val="none"/>
              </w:rPr>
            </w:pPr>
            <w:r>
              <w:rPr>
                <w:color w:val="000000"/>
                <w:sz w:val="18"/>
                <w:szCs w:val="18"/>
                <w:highlight w:val="none"/>
              </w:rPr>
              <w:t>危险废物</w:t>
            </w:r>
          </w:p>
          <w:p>
            <w:pPr>
              <w:pStyle w:val="420"/>
              <w:spacing w:line="280" w:lineRule="exact"/>
              <w:rPr>
                <w:color w:val="000000"/>
                <w:highlight w:val="none"/>
              </w:rPr>
            </w:pPr>
            <w:r>
              <w:rPr>
                <w:color w:val="000000"/>
                <w:sz w:val="18"/>
                <w:szCs w:val="18"/>
                <w:highlight w:val="none"/>
              </w:rPr>
              <w:t>代码</w:t>
            </w:r>
          </w:p>
        </w:tc>
        <w:tc>
          <w:tcPr>
            <w:tcW w:w="801" w:type="dxa"/>
            <w:vAlign w:val="center"/>
          </w:tcPr>
          <w:p>
            <w:pPr>
              <w:pStyle w:val="420"/>
              <w:spacing w:line="280" w:lineRule="exact"/>
              <w:rPr>
                <w:color w:val="000000"/>
                <w:highlight w:val="none"/>
              </w:rPr>
            </w:pPr>
            <w:r>
              <w:rPr>
                <w:color w:val="000000"/>
                <w:sz w:val="18"/>
                <w:szCs w:val="18"/>
                <w:highlight w:val="none"/>
              </w:rPr>
              <w:t>产生量</w:t>
            </w:r>
          </w:p>
        </w:tc>
        <w:tc>
          <w:tcPr>
            <w:tcW w:w="852" w:type="dxa"/>
            <w:vAlign w:val="center"/>
          </w:tcPr>
          <w:p>
            <w:pPr>
              <w:pStyle w:val="420"/>
              <w:spacing w:line="280" w:lineRule="exact"/>
              <w:rPr>
                <w:color w:val="000000"/>
                <w:sz w:val="18"/>
                <w:szCs w:val="18"/>
                <w:highlight w:val="none"/>
              </w:rPr>
            </w:pPr>
            <w:r>
              <w:rPr>
                <w:color w:val="000000"/>
                <w:sz w:val="18"/>
                <w:szCs w:val="18"/>
                <w:highlight w:val="none"/>
              </w:rPr>
              <w:t>产生工</w:t>
            </w:r>
          </w:p>
          <w:p>
            <w:pPr>
              <w:pStyle w:val="420"/>
              <w:spacing w:line="280" w:lineRule="exact"/>
              <w:rPr>
                <w:color w:val="000000"/>
                <w:sz w:val="18"/>
                <w:szCs w:val="18"/>
                <w:highlight w:val="none"/>
              </w:rPr>
            </w:pPr>
            <w:r>
              <w:rPr>
                <w:color w:val="000000"/>
                <w:sz w:val="18"/>
                <w:szCs w:val="18"/>
                <w:highlight w:val="none"/>
              </w:rPr>
              <w:t>序及装</w:t>
            </w:r>
          </w:p>
          <w:p>
            <w:pPr>
              <w:pStyle w:val="420"/>
              <w:widowControl w:val="0"/>
              <w:spacing w:line="280" w:lineRule="exact"/>
              <w:rPr>
                <w:color w:val="000000"/>
                <w:highlight w:val="none"/>
              </w:rPr>
            </w:pPr>
            <w:r>
              <w:rPr>
                <w:color w:val="000000"/>
                <w:sz w:val="18"/>
                <w:szCs w:val="18"/>
                <w:highlight w:val="none"/>
              </w:rPr>
              <w:t>置</w:t>
            </w:r>
          </w:p>
        </w:tc>
        <w:tc>
          <w:tcPr>
            <w:tcW w:w="503" w:type="dxa"/>
            <w:vAlign w:val="center"/>
          </w:tcPr>
          <w:p>
            <w:pPr>
              <w:pStyle w:val="420"/>
              <w:spacing w:line="280" w:lineRule="exact"/>
              <w:rPr>
                <w:color w:val="000000"/>
                <w:sz w:val="18"/>
                <w:szCs w:val="18"/>
                <w:highlight w:val="none"/>
              </w:rPr>
            </w:pPr>
            <w:r>
              <w:rPr>
                <w:color w:val="000000"/>
                <w:sz w:val="18"/>
                <w:szCs w:val="18"/>
                <w:highlight w:val="none"/>
              </w:rPr>
              <w:t>形</w:t>
            </w:r>
          </w:p>
          <w:p>
            <w:pPr>
              <w:pStyle w:val="420"/>
              <w:spacing w:line="280" w:lineRule="exact"/>
              <w:rPr>
                <w:color w:val="000000"/>
                <w:highlight w:val="none"/>
              </w:rPr>
            </w:pPr>
            <w:r>
              <w:rPr>
                <w:color w:val="000000"/>
                <w:sz w:val="18"/>
                <w:szCs w:val="18"/>
                <w:highlight w:val="none"/>
              </w:rPr>
              <w:t>态</w:t>
            </w:r>
          </w:p>
        </w:tc>
        <w:tc>
          <w:tcPr>
            <w:tcW w:w="709" w:type="dxa"/>
            <w:vAlign w:val="center"/>
          </w:tcPr>
          <w:p>
            <w:pPr>
              <w:pStyle w:val="420"/>
              <w:spacing w:line="280" w:lineRule="exact"/>
              <w:rPr>
                <w:color w:val="000000"/>
                <w:sz w:val="18"/>
                <w:szCs w:val="18"/>
                <w:highlight w:val="none"/>
              </w:rPr>
            </w:pPr>
            <w:r>
              <w:rPr>
                <w:color w:val="000000"/>
                <w:sz w:val="18"/>
                <w:szCs w:val="18"/>
                <w:highlight w:val="none"/>
              </w:rPr>
              <w:t>主要</w:t>
            </w:r>
          </w:p>
          <w:p>
            <w:pPr>
              <w:pStyle w:val="420"/>
              <w:spacing w:line="280" w:lineRule="exact"/>
              <w:rPr>
                <w:color w:val="000000"/>
                <w:highlight w:val="none"/>
              </w:rPr>
            </w:pPr>
            <w:r>
              <w:rPr>
                <w:color w:val="000000"/>
                <w:sz w:val="18"/>
                <w:szCs w:val="18"/>
                <w:highlight w:val="none"/>
              </w:rPr>
              <w:t>成分</w:t>
            </w:r>
          </w:p>
        </w:tc>
        <w:tc>
          <w:tcPr>
            <w:tcW w:w="709" w:type="dxa"/>
            <w:vAlign w:val="center"/>
          </w:tcPr>
          <w:p>
            <w:pPr>
              <w:pStyle w:val="420"/>
              <w:spacing w:line="280" w:lineRule="exact"/>
              <w:rPr>
                <w:color w:val="000000"/>
                <w:sz w:val="18"/>
                <w:szCs w:val="18"/>
                <w:highlight w:val="none"/>
              </w:rPr>
            </w:pPr>
            <w:r>
              <w:rPr>
                <w:color w:val="000000"/>
                <w:sz w:val="18"/>
                <w:szCs w:val="18"/>
                <w:highlight w:val="none"/>
              </w:rPr>
              <w:t>有害</w:t>
            </w:r>
          </w:p>
          <w:p>
            <w:pPr>
              <w:pStyle w:val="420"/>
              <w:widowControl w:val="0"/>
              <w:spacing w:line="280" w:lineRule="exact"/>
              <w:rPr>
                <w:color w:val="000000"/>
                <w:highlight w:val="none"/>
              </w:rPr>
            </w:pPr>
            <w:r>
              <w:rPr>
                <w:color w:val="000000"/>
                <w:sz w:val="18"/>
                <w:szCs w:val="18"/>
                <w:highlight w:val="none"/>
              </w:rPr>
              <w:t>成分</w:t>
            </w:r>
          </w:p>
        </w:tc>
        <w:tc>
          <w:tcPr>
            <w:tcW w:w="567" w:type="dxa"/>
            <w:vAlign w:val="center"/>
          </w:tcPr>
          <w:p>
            <w:pPr>
              <w:pStyle w:val="420"/>
              <w:spacing w:line="280" w:lineRule="exact"/>
              <w:rPr>
                <w:color w:val="000000"/>
                <w:sz w:val="18"/>
                <w:szCs w:val="18"/>
                <w:highlight w:val="none"/>
              </w:rPr>
            </w:pPr>
            <w:r>
              <w:rPr>
                <w:color w:val="000000"/>
                <w:sz w:val="18"/>
                <w:szCs w:val="18"/>
                <w:highlight w:val="none"/>
              </w:rPr>
              <w:t>产</w:t>
            </w:r>
          </w:p>
          <w:p>
            <w:pPr>
              <w:pStyle w:val="420"/>
              <w:spacing w:line="280" w:lineRule="exact"/>
              <w:rPr>
                <w:color w:val="000000"/>
                <w:sz w:val="18"/>
                <w:szCs w:val="18"/>
                <w:highlight w:val="none"/>
              </w:rPr>
            </w:pPr>
            <w:r>
              <w:rPr>
                <w:color w:val="000000"/>
                <w:sz w:val="18"/>
                <w:szCs w:val="18"/>
                <w:highlight w:val="none"/>
              </w:rPr>
              <w:t>废</w:t>
            </w:r>
          </w:p>
          <w:p>
            <w:pPr>
              <w:pStyle w:val="420"/>
              <w:spacing w:line="280" w:lineRule="exact"/>
              <w:rPr>
                <w:color w:val="000000"/>
                <w:sz w:val="18"/>
                <w:szCs w:val="18"/>
                <w:highlight w:val="none"/>
              </w:rPr>
            </w:pPr>
            <w:r>
              <w:rPr>
                <w:color w:val="000000"/>
                <w:sz w:val="18"/>
                <w:szCs w:val="18"/>
                <w:highlight w:val="none"/>
              </w:rPr>
              <w:t>周</w:t>
            </w:r>
          </w:p>
          <w:p>
            <w:pPr>
              <w:pStyle w:val="420"/>
              <w:spacing w:line="280" w:lineRule="exact"/>
              <w:rPr>
                <w:color w:val="000000"/>
                <w:highlight w:val="none"/>
              </w:rPr>
            </w:pPr>
            <w:r>
              <w:rPr>
                <w:color w:val="000000"/>
                <w:sz w:val="18"/>
                <w:szCs w:val="18"/>
                <w:highlight w:val="none"/>
              </w:rPr>
              <w:t>期</w:t>
            </w:r>
          </w:p>
        </w:tc>
        <w:tc>
          <w:tcPr>
            <w:tcW w:w="567" w:type="dxa"/>
            <w:vAlign w:val="center"/>
          </w:tcPr>
          <w:p>
            <w:pPr>
              <w:pStyle w:val="420"/>
              <w:spacing w:line="280" w:lineRule="exact"/>
              <w:rPr>
                <w:color w:val="000000"/>
                <w:sz w:val="18"/>
                <w:szCs w:val="18"/>
                <w:highlight w:val="none"/>
              </w:rPr>
            </w:pPr>
            <w:r>
              <w:rPr>
                <w:color w:val="000000"/>
                <w:sz w:val="18"/>
                <w:szCs w:val="18"/>
                <w:highlight w:val="none"/>
              </w:rPr>
              <w:t>危</w:t>
            </w:r>
          </w:p>
          <w:p>
            <w:pPr>
              <w:pStyle w:val="420"/>
              <w:spacing w:line="280" w:lineRule="exact"/>
              <w:rPr>
                <w:color w:val="000000"/>
                <w:sz w:val="18"/>
                <w:szCs w:val="18"/>
                <w:highlight w:val="none"/>
              </w:rPr>
            </w:pPr>
            <w:r>
              <w:rPr>
                <w:color w:val="000000"/>
                <w:sz w:val="18"/>
                <w:szCs w:val="18"/>
                <w:highlight w:val="none"/>
              </w:rPr>
              <w:t>险</w:t>
            </w:r>
          </w:p>
          <w:p>
            <w:pPr>
              <w:pStyle w:val="420"/>
              <w:spacing w:line="280" w:lineRule="exact"/>
              <w:rPr>
                <w:color w:val="000000"/>
                <w:sz w:val="18"/>
                <w:szCs w:val="18"/>
                <w:highlight w:val="none"/>
              </w:rPr>
            </w:pPr>
            <w:r>
              <w:rPr>
                <w:color w:val="000000"/>
                <w:sz w:val="18"/>
                <w:szCs w:val="18"/>
                <w:highlight w:val="none"/>
              </w:rPr>
              <w:t>特</w:t>
            </w:r>
          </w:p>
          <w:p>
            <w:pPr>
              <w:pStyle w:val="420"/>
              <w:spacing w:line="280" w:lineRule="exact"/>
              <w:rPr>
                <w:color w:val="000000"/>
                <w:sz w:val="18"/>
                <w:szCs w:val="18"/>
                <w:highlight w:val="none"/>
              </w:rPr>
            </w:pPr>
            <w:r>
              <w:rPr>
                <w:color w:val="000000"/>
                <w:sz w:val="18"/>
                <w:szCs w:val="18"/>
                <w:highlight w:val="none"/>
              </w:rPr>
              <w:t>性</w:t>
            </w:r>
          </w:p>
        </w:tc>
        <w:tc>
          <w:tcPr>
            <w:tcW w:w="850" w:type="dxa"/>
            <w:vAlign w:val="center"/>
          </w:tcPr>
          <w:p>
            <w:pPr>
              <w:pStyle w:val="420"/>
              <w:spacing w:line="280" w:lineRule="exact"/>
              <w:rPr>
                <w:color w:val="000000"/>
                <w:sz w:val="18"/>
                <w:szCs w:val="18"/>
                <w:highlight w:val="none"/>
              </w:rPr>
            </w:pPr>
            <w:r>
              <w:rPr>
                <w:color w:val="000000"/>
                <w:sz w:val="18"/>
                <w:szCs w:val="18"/>
                <w:highlight w:val="none"/>
              </w:rPr>
              <w:t>污染</w:t>
            </w:r>
          </w:p>
          <w:p>
            <w:pPr>
              <w:pStyle w:val="420"/>
              <w:spacing w:line="280" w:lineRule="exact"/>
              <w:rPr>
                <w:color w:val="000000"/>
                <w:sz w:val="18"/>
                <w:szCs w:val="18"/>
                <w:highlight w:val="none"/>
              </w:rPr>
            </w:pPr>
            <w:r>
              <w:rPr>
                <w:color w:val="000000"/>
                <w:sz w:val="18"/>
                <w:szCs w:val="18"/>
                <w:highlight w:val="none"/>
              </w:rPr>
              <w:t>防治</w:t>
            </w:r>
          </w:p>
          <w:p>
            <w:pPr>
              <w:pStyle w:val="420"/>
              <w:spacing w:line="280" w:lineRule="exact"/>
              <w:rPr>
                <w:color w:val="000000"/>
                <w:sz w:val="18"/>
                <w:szCs w:val="18"/>
                <w:highlight w:val="none"/>
              </w:rPr>
            </w:pPr>
            <w:r>
              <w:rPr>
                <w:color w:val="000000"/>
                <w:sz w:val="18"/>
                <w:szCs w:val="18"/>
                <w:highlight w:val="none"/>
              </w:rPr>
              <w:t>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5" w:hRule="atLeast"/>
          <w:jc w:val="center"/>
        </w:trPr>
        <w:tc>
          <w:tcPr>
            <w:tcW w:w="396" w:type="dxa"/>
            <w:vAlign w:val="center"/>
          </w:tcPr>
          <w:p>
            <w:pPr>
              <w:pStyle w:val="420"/>
              <w:widowControl w:val="0"/>
              <w:spacing w:line="280" w:lineRule="exact"/>
              <w:jc w:val="center"/>
              <w:rPr>
                <w:color w:val="auto"/>
                <w:sz w:val="18"/>
                <w:szCs w:val="18"/>
                <w:highlight w:val="none"/>
              </w:rPr>
            </w:pPr>
            <w:r>
              <w:rPr>
                <w:color w:val="auto"/>
                <w:sz w:val="18"/>
                <w:szCs w:val="18"/>
                <w:highlight w:val="none"/>
              </w:rPr>
              <w:t>1</w:t>
            </w:r>
          </w:p>
        </w:tc>
        <w:tc>
          <w:tcPr>
            <w:tcW w:w="705" w:type="dxa"/>
            <w:vAlign w:val="center"/>
          </w:tcPr>
          <w:p>
            <w:pPr>
              <w:pStyle w:val="420"/>
              <w:spacing w:line="280" w:lineRule="exact"/>
              <w:rPr>
                <w:color w:val="auto"/>
                <w:sz w:val="18"/>
                <w:szCs w:val="18"/>
                <w:highlight w:val="none"/>
              </w:rPr>
            </w:pPr>
            <w:r>
              <w:rPr>
                <w:color w:val="auto"/>
                <w:sz w:val="18"/>
                <w:szCs w:val="18"/>
                <w:highlight w:val="none"/>
              </w:rPr>
              <w:t>废</w:t>
            </w:r>
            <w:r>
              <w:rPr>
                <w:rFonts w:hint="eastAsia"/>
                <w:color w:val="auto"/>
                <w:sz w:val="18"/>
                <w:szCs w:val="18"/>
                <w:highlight w:val="none"/>
                <w:lang w:eastAsia="zh-CN"/>
              </w:rPr>
              <w:t>润滑</w:t>
            </w:r>
            <w:r>
              <w:rPr>
                <w:color w:val="auto"/>
                <w:sz w:val="18"/>
                <w:szCs w:val="18"/>
                <w:highlight w:val="none"/>
              </w:rPr>
              <w:t>油</w:t>
            </w:r>
          </w:p>
        </w:tc>
        <w:tc>
          <w:tcPr>
            <w:tcW w:w="708" w:type="dxa"/>
            <w:vAlign w:val="center"/>
          </w:tcPr>
          <w:p>
            <w:pPr>
              <w:pStyle w:val="420"/>
              <w:spacing w:line="280" w:lineRule="exact"/>
              <w:rPr>
                <w:color w:val="auto"/>
                <w:sz w:val="18"/>
                <w:szCs w:val="18"/>
                <w:highlight w:val="none"/>
              </w:rPr>
            </w:pPr>
            <w:r>
              <w:rPr>
                <w:color w:val="auto"/>
                <w:sz w:val="18"/>
                <w:szCs w:val="18"/>
                <w:highlight w:val="none"/>
              </w:rPr>
              <w:t>HW08</w:t>
            </w:r>
          </w:p>
        </w:tc>
        <w:tc>
          <w:tcPr>
            <w:tcW w:w="1056" w:type="dxa"/>
            <w:vAlign w:val="center"/>
          </w:tcPr>
          <w:p>
            <w:pPr>
              <w:pStyle w:val="420"/>
              <w:widowControl w:val="0"/>
              <w:spacing w:line="280" w:lineRule="exact"/>
              <w:jc w:val="center"/>
              <w:rPr>
                <w:color w:val="auto"/>
                <w:sz w:val="18"/>
                <w:szCs w:val="18"/>
                <w:highlight w:val="none"/>
              </w:rPr>
            </w:pPr>
            <w:r>
              <w:rPr>
                <w:color w:val="auto"/>
                <w:sz w:val="18"/>
                <w:szCs w:val="18"/>
                <w:highlight w:val="none"/>
              </w:rPr>
              <w:t>900-2</w:t>
            </w:r>
            <w:r>
              <w:rPr>
                <w:rFonts w:hint="eastAsia"/>
                <w:color w:val="auto"/>
                <w:sz w:val="18"/>
                <w:szCs w:val="18"/>
                <w:highlight w:val="none"/>
              </w:rPr>
              <w:t>14</w:t>
            </w:r>
            <w:r>
              <w:rPr>
                <w:color w:val="auto"/>
                <w:sz w:val="18"/>
                <w:szCs w:val="18"/>
                <w:highlight w:val="none"/>
              </w:rPr>
              <w:t>-08</w:t>
            </w:r>
          </w:p>
        </w:tc>
        <w:tc>
          <w:tcPr>
            <w:tcW w:w="801" w:type="dxa"/>
            <w:vAlign w:val="center"/>
          </w:tcPr>
          <w:p>
            <w:pPr>
              <w:pStyle w:val="420"/>
              <w:widowControl w:val="0"/>
              <w:spacing w:line="280" w:lineRule="exact"/>
              <w:jc w:val="center"/>
              <w:rPr>
                <w:color w:val="auto"/>
                <w:sz w:val="18"/>
                <w:szCs w:val="18"/>
                <w:highlight w:val="none"/>
              </w:rPr>
            </w:pPr>
            <w:r>
              <w:rPr>
                <w:color w:val="auto"/>
                <w:sz w:val="18"/>
                <w:szCs w:val="18"/>
                <w:highlight w:val="none"/>
              </w:rPr>
              <w:t>0.0</w:t>
            </w:r>
            <w:r>
              <w:rPr>
                <w:rFonts w:hint="eastAsia"/>
                <w:color w:val="auto"/>
                <w:sz w:val="18"/>
                <w:szCs w:val="18"/>
                <w:highlight w:val="none"/>
              </w:rPr>
              <w:t>9</w:t>
            </w:r>
            <w:r>
              <w:rPr>
                <w:color w:val="auto"/>
                <w:sz w:val="18"/>
                <w:szCs w:val="18"/>
                <w:highlight w:val="none"/>
              </w:rPr>
              <w:t>t/a</w:t>
            </w:r>
          </w:p>
        </w:tc>
        <w:tc>
          <w:tcPr>
            <w:tcW w:w="852" w:type="dxa"/>
            <w:vAlign w:val="center"/>
          </w:tcPr>
          <w:p>
            <w:pPr>
              <w:pStyle w:val="420"/>
              <w:spacing w:line="280" w:lineRule="exact"/>
              <w:rPr>
                <w:color w:val="auto"/>
                <w:sz w:val="18"/>
                <w:szCs w:val="18"/>
                <w:highlight w:val="none"/>
              </w:rPr>
            </w:pPr>
            <w:r>
              <w:rPr>
                <w:color w:val="auto"/>
                <w:sz w:val="18"/>
                <w:szCs w:val="18"/>
                <w:highlight w:val="none"/>
              </w:rPr>
              <w:t>设备</w:t>
            </w:r>
          </w:p>
          <w:p>
            <w:pPr>
              <w:pStyle w:val="420"/>
              <w:spacing w:line="280" w:lineRule="exact"/>
              <w:rPr>
                <w:color w:val="auto"/>
                <w:sz w:val="18"/>
                <w:szCs w:val="18"/>
                <w:highlight w:val="none"/>
              </w:rPr>
            </w:pPr>
            <w:r>
              <w:rPr>
                <w:color w:val="auto"/>
                <w:sz w:val="18"/>
                <w:szCs w:val="18"/>
                <w:highlight w:val="none"/>
              </w:rPr>
              <w:t>维护</w:t>
            </w:r>
          </w:p>
        </w:tc>
        <w:tc>
          <w:tcPr>
            <w:tcW w:w="503" w:type="dxa"/>
            <w:vAlign w:val="center"/>
          </w:tcPr>
          <w:p>
            <w:pPr>
              <w:pStyle w:val="420"/>
              <w:spacing w:line="280" w:lineRule="exact"/>
              <w:rPr>
                <w:color w:val="auto"/>
                <w:sz w:val="18"/>
                <w:szCs w:val="18"/>
                <w:highlight w:val="none"/>
              </w:rPr>
            </w:pPr>
            <w:r>
              <w:rPr>
                <w:color w:val="auto"/>
                <w:sz w:val="18"/>
                <w:szCs w:val="18"/>
                <w:highlight w:val="none"/>
              </w:rPr>
              <w:t>液</w:t>
            </w:r>
          </w:p>
          <w:p>
            <w:pPr>
              <w:pStyle w:val="420"/>
              <w:widowControl w:val="0"/>
              <w:spacing w:line="280" w:lineRule="exact"/>
              <w:rPr>
                <w:color w:val="auto"/>
                <w:sz w:val="18"/>
                <w:szCs w:val="18"/>
                <w:highlight w:val="none"/>
              </w:rPr>
            </w:pPr>
            <w:r>
              <w:rPr>
                <w:color w:val="auto"/>
                <w:sz w:val="18"/>
                <w:szCs w:val="18"/>
                <w:highlight w:val="none"/>
              </w:rPr>
              <w:t>态</w:t>
            </w:r>
          </w:p>
        </w:tc>
        <w:tc>
          <w:tcPr>
            <w:tcW w:w="709" w:type="dxa"/>
            <w:vAlign w:val="center"/>
          </w:tcPr>
          <w:p>
            <w:pPr>
              <w:pStyle w:val="420"/>
              <w:spacing w:line="280" w:lineRule="exact"/>
              <w:rPr>
                <w:color w:val="auto"/>
                <w:sz w:val="18"/>
                <w:szCs w:val="18"/>
                <w:highlight w:val="none"/>
              </w:rPr>
            </w:pPr>
            <w:r>
              <w:rPr>
                <w:color w:val="auto"/>
                <w:sz w:val="18"/>
                <w:szCs w:val="18"/>
                <w:highlight w:val="none"/>
              </w:rPr>
              <w:t>废矿</w:t>
            </w:r>
          </w:p>
          <w:p>
            <w:pPr>
              <w:pStyle w:val="420"/>
              <w:spacing w:line="280" w:lineRule="exact"/>
              <w:rPr>
                <w:color w:val="auto"/>
                <w:sz w:val="18"/>
                <w:szCs w:val="18"/>
                <w:highlight w:val="none"/>
              </w:rPr>
            </w:pPr>
            <w:r>
              <w:rPr>
                <w:color w:val="auto"/>
                <w:sz w:val="18"/>
                <w:szCs w:val="18"/>
                <w:highlight w:val="none"/>
              </w:rPr>
              <w:t>物油</w:t>
            </w:r>
          </w:p>
        </w:tc>
        <w:tc>
          <w:tcPr>
            <w:tcW w:w="709" w:type="dxa"/>
            <w:vAlign w:val="center"/>
          </w:tcPr>
          <w:p>
            <w:pPr>
              <w:pStyle w:val="420"/>
              <w:spacing w:line="280" w:lineRule="exact"/>
              <w:rPr>
                <w:color w:val="auto"/>
                <w:sz w:val="18"/>
                <w:szCs w:val="18"/>
                <w:highlight w:val="none"/>
              </w:rPr>
            </w:pPr>
            <w:r>
              <w:rPr>
                <w:color w:val="auto"/>
                <w:sz w:val="18"/>
                <w:szCs w:val="18"/>
                <w:highlight w:val="none"/>
              </w:rPr>
              <w:t>废矿</w:t>
            </w:r>
          </w:p>
          <w:p>
            <w:pPr>
              <w:pStyle w:val="420"/>
              <w:widowControl w:val="0"/>
              <w:spacing w:line="280" w:lineRule="exact"/>
              <w:rPr>
                <w:color w:val="auto"/>
                <w:sz w:val="18"/>
                <w:szCs w:val="18"/>
                <w:highlight w:val="none"/>
              </w:rPr>
            </w:pPr>
            <w:r>
              <w:rPr>
                <w:color w:val="auto"/>
                <w:sz w:val="18"/>
                <w:szCs w:val="18"/>
                <w:highlight w:val="none"/>
              </w:rPr>
              <w:t>物油</w:t>
            </w:r>
          </w:p>
        </w:tc>
        <w:tc>
          <w:tcPr>
            <w:tcW w:w="567" w:type="dxa"/>
            <w:vMerge w:val="restart"/>
            <w:vAlign w:val="center"/>
          </w:tcPr>
          <w:p>
            <w:pPr>
              <w:pStyle w:val="420"/>
              <w:widowControl w:val="0"/>
              <w:spacing w:line="280" w:lineRule="exact"/>
              <w:jc w:val="center"/>
              <w:rPr>
                <w:color w:val="auto"/>
                <w:sz w:val="18"/>
                <w:szCs w:val="18"/>
                <w:highlight w:val="none"/>
              </w:rPr>
            </w:pPr>
            <w:r>
              <w:rPr>
                <w:color w:val="auto"/>
                <w:sz w:val="18"/>
                <w:szCs w:val="18"/>
                <w:highlight w:val="none"/>
              </w:rPr>
              <w:t>12</w:t>
            </w:r>
          </w:p>
          <w:p>
            <w:pPr>
              <w:pStyle w:val="420"/>
              <w:widowControl w:val="0"/>
              <w:spacing w:line="280" w:lineRule="exact"/>
              <w:jc w:val="center"/>
              <w:rPr>
                <w:color w:val="auto"/>
                <w:sz w:val="18"/>
                <w:szCs w:val="18"/>
                <w:highlight w:val="none"/>
              </w:rPr>
            </w:pPr>
            <w:r>
              <w:rPr>
                <w:color w:val="auto"/>
                <w:sz w:val="18"/>
                <w:szCs w:val="18"/>
                <w:highlight w:val="none"/>
              </w:rPr>
              <w:t>个</w:t>
            </w:r>
          </w:p>
          <w:p>
            <w:pPr>
              <w:pStyle w:val="420"/>
              <w:widowControl w:val="0"/>
              <w:spacing w:line="280" w:lineRule="exact"/>
              <w:jc w:val="center"/>
              <w:rPr>
                <w:color w:val="auto"/>
                <w:sz w:val="18"/>
                <w:szCs w:val="18"/>
                <w:highlight w:val="none"/>
              </w:rPr>
            </w:pPr>
            <w:r>
              <w:rPr>
                <w:color w:val="auto"/>
                <w:sz w:val="18"/>
                <w:szCs w:val="18"/>
                <w:highlight w:val="none"/>
              </w:rPr>
              <w:t>月</w:t>
            </w:r>
          </w:p>
        </w:tc>
        <w:tc>
          <w:tcPr>
            <w:tcW w:w="567" w:type="dxa"/>
            <w:vMerge w:val="restart"/>
            <w:vAlign w:val="center"/>
          </w:tcPr>
          <w:p>
            <w:pPr>
              <w:pStyle w:val="420"/>
              <w:widowControl w:val="0"/>
              <w:spacing w:line="280" w:lineRule="exact"/>
              <w:jc w:val="center"/>
              <w:rPr>
                <w:color w:val="auto"/>
                <w:sz w:val="18"/>
                <w:szCs w:val="18"/>
                <w:highlight w:val="none"/>
              </w:rPr>
            </w:pPr>
            <w:r>
              <w:rPr>
                <w:color w:val="auto"/>
                <w:sz w:val="18"/>
                <w:szCs w:val="18"/>
                <w:highlight w:val="none"/>
              </w:rPr>
              <w:t>T，I</w:t>
            </w:r>
          </w:p>
        </w:tc>
        <w:tc>
          <w:tcPr>
            <w:tcW w:w="850" w:type="dxa"/>
            <w:vMerge w:val="restart"/>
            <w:vAlign w:val="center"/>
          </w:tcPr>
          <w:p>
            <w:pPr>
              <w:pStyle w:val="420"/>
              <w:spacing w:line="280" w:lineRule="exact"/>
              <w:rPr>
                <w:color w:val="auto"/>
                <w:sz w:val="18"/>
                <w:szCs w:val="18"/>
                <w:highlight w:val="none"/>
              </w:rPr>
            </w:pPr>
            <w:r>
              <w:rPr>
                <w:rFonts w:hint="eastAsia"/>
                <w:color w:val="auto"/>
                <w:sz w:val="18"/>
                <w:szCs w:val="18"/>
                <w:highlight w:val="none"/>
              </w:rPr>
              <w:t>暂存危废间内，由</w:t>
            </w:r>
            <w:r>
              <w:rPr>
                <w:color w:val="auto"/>
                <w:sz w:val="18"/>
                <w:szCs w:val="18"/>
                <w:highlight w:val="none"/>
              </w:rPr>
              <w:t>有资质单位</w:t>
            </w:r>
            <w:r>
              <w:rPr>
                <w:rFonts w:hint="eastAsia"/>
                <w:color w:val="auto"/>
                <w:sz w:val="18"/>
                <w:szCs w:val="18"/>
                <w:highlight w:val="none"/>
              </w:rPr>
              <w:t>回收</w:t>
            </w:r>
            <w:r>
              <w:rPr>
                <w:color w:val="auto"/>
                <w:sz w:val="18"/>
                <w:szCs w:val="18"/>
                <w:highlight w:val="none"/>
              </w:rPr>
              <w:t>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dxa"/>
            <w:vAlign w:val="center"/>
          </w:tcPr>
          <w:p>
            <w:pPr>
              <w:pStyle w:val="420"/>
              <w:widowControl w:val="0"/>
              <w:spacing w:line="280" w:lineRule="exact"/>
              <w:jc w:val="center"/>
              <w:rPr>
                <w:color w:val="auto"/>
                <w:sz w:val="18"/>
                <w:szCs w:val="18"/>
                <w:highlight w:val="none"/>
              </w:rPr>
            </w:pPr>
            <w:r>
              <w:rPr>
                <w:color w:val="auto"/>
                <w:sz w:val="18"/>
                <w:szCs w:val="18"/>
                <w:highlight w:val="none"/>
              </w:rPr>
              <w:t>2</w:t>
            </w:r>
          </w:p>
        </w:tc>
        <w:tc>
          <w:tcPr>
            <w:tcW w:w="705" w:type="dxa"/>
            <w:vAlign w:val="center"/>
          </w:tcPr>
          <w:p>
            <w:pPr>
              <w:pStyle w:val="420"/>
              <w:spacing w:line="280" w:lineRule="exact"/>
              <w:rPr>
                <w:color w:val="auto"/>
                <w:sz w:val="18"/>
                <w:szCs w:val="18"/>
                <w:highlight w:val="none"/>
              </w:rPr>
            </w:pPr>
            <w:r>
              <w:rPr>
                <w:color w:val="auto"/>
                <w:sz w:val="18"/>
                <w:szCs w:val="18"/>
                <w:highlight w:val="none"/>
              </w:rPr>
              <w:t>废油</w:t>
            </w:r>
          </w:p>
          <w:p>
            <w:pPr>
              <w:pStyle w:val="420"/>
              <w:widowControl w:val="0"/>
              <w:spacing w:line="280" w:lineRule="exact"/>
              <w:rPr>
                <w:color w:val="auto"/>
                <w:sz w:val="18"/>
                <w:szCs w:val="18"/>
                <w:highlight w:val="none"/>
              </w:rPr>
            </w:pPr>
            <w:r>
              <w:rPr>
                <w:color w:val="auto"/>
                <w:sz w:val="18"/>
                <w:szCs w:val="18"/>
                <w:highlight w:val="none"/>
              </w:rPr>
              <w:t>桶</w:t>
            </w:r>
          </w:p>
        </w:tc>
        <w:tc>
          <w:tcPr>
            <w:tcW w:w="708" w:type="dxa"/>
            <w:vAlign w:val="center"/>
          </w:tcPr>
          <w:p>
            <w:pPr>
              <w:pStyle w:val="420"/>
              <w:spacing w:line="280" w:lineRule="exact"/>
              <w:rPr>
                <w:rFonts w:hint="default" w:eastAsia="宋体"/>
                <w:color w:val="auto"/>
                <w:sz w:val="18"/>
                <w:szCs w:val="18"/>
                <w:highlight w:val="none"/>
                <w:lang w:val="en-US" w:eastAsia="zh-CN"/>
              </w:rPr>
            </w:pPr>
            <w:r>
              <w:rPr>
                <w:color w:val="auto"/>
                <w:sz w:val="18"/>
                <w:szCs w:val="18"/>
                <w:highlight w:val="none"/>
              </w:rPr>
              <w:t>HW</w:t>
            </w:r>
            <w:r>
              <w:rPr>
                <w:rFonts w:hint="eastAsia"/>
                <w:color w:val="auto"/>
                <w:sz w:val="18"/>
                <w:szCs w:val="18"/>
                <w:highlight w:val="none"/>
                <w:lang w:val="en-US" w:eastAsia="zh-CN"/>
              </w:rPr>
              <w:t>08</w:t>
            </w:r>
          </w:p>
        </w:tc>
        <w:tc>
          <w:tcPr>
            <w:tcW w:w="1056" w:type="dxa"/>
            <w:vAlign w:val="center"/>
          </w:tcPr>
          <w:p>
            <w:pPr>
              <w:pStyle w:val="420"/>
              <w:widowControl w:val="0"/>
              <w:spacing w:line="280" w:lineRule="exact"/>
              <w:jc w:val="center"/>
              <w:rPr>
                <w:color w:val="auto"/>
                <w:sz w:val="18"/>
                <w:szCs w:val="18"/>
                <w:highlight w:val="none"/>
              </w:rPr>
            </w:pPr>
            <w:r>
              <w:rPr>
                <w:color w:val="auto"/>
                <w:sz w:val="18"/>
                <w:szCs w:val="18"/>
                <w:highlight w:val="none"/>
              </w:rPr>
              <w:t>900-</w:t>
            </w:r>
            <w:r>
              <w:rPr>
                <w:rFonts w:hint="eastAsia"/>
                <w:color w:val="auto"/>
                <w:sz w:val="18"/>
                <w:szCs w:val="18"/>
                <w:highlight w:val="none"/>
              </w:rPr>
              <w:t>249</w:t>
            </w:r>
            <w:r>
              <w:rPr>
                <w:color w:val="auto"/>
                <w:sz w:val="18"/>
                <w:szCs w:val="18"/>
                <w:highlight w:val="none"/>
              </w:rPr>
              <w:t>-</w:t>
            </w:r>
            <w:r>
              <w:rPr>
                <w:rFonts w:hint="eastAsia"/>
                <w:color w:val="auto"/>
                <w:sz w:val="18"/>
                <w:szCs w:val="18"/>
                <w:highlight w:val="none"/>
              </w:rPr>
              <w:t>08</w:t>
            </w:r>
          </w:p>
        </w:tc>
        <w:tc>
          <w:tcPr>
            <w:tcW w:w="801" w:type="dxa"/>
            <w:vAlign w:val="center"/>
          </w:tcPr>
          <w:p>
            <w:pPr>
              <w:pStyle w:val="420"/>
              <w:widowControl w:val="0"/>
              <w:spacing w:line="280" w:lineRule="exact"/>
              <w:jc w:val="center"/>
              <w:rPr>
                <w:color w:val="auto"/>
                <w:sz w:val="18"/>
                <w:szCs w:val="18"/>
                <w:highlight w:val="none"/>
              </w:rPr>
            </w:pPr>
            <w:r>
              <w:rPr>
                <w:rFonts w:hint="eastAsia"/>
                <w:color w:val="auto"/>
                <w:sz w:val="18"/>
                <w:szCs w:val="18"/>
                <w:highlight w:val="none"/>
              </w:rPr>
              <w:t>0.03t/a</w:t>
            </w:r>
          </w:p>
        </w:tc>
        <w:tc>
          <w:tcPr>
            <w:tcW w:w="852" w:type="dxa"/>
            <w:vAlign w:val="center"/>
          </w:tcPr>
          <w:p>
            <w:pPr>
              <w:pStyle w:val="420"/>
              <w:spacing w:line="280" w:lineRule="exact"/>
              <w:rPr>
                <w:color w:val="auto"/>
                <w:sz w:val="18"/>
                <w:szCs w:val="18"/>
                <w:highlight w:val="none"/>
              </w:rPr>
            </w:pPr>
            <w:r>
              <w:rPr>
                <w:color w:val="auto"/>
                <w:sz w:val="18"/>
                <w:szCs w:val="18"/>
                <w:highlight w:val="none"/>
              </w:rPr>
              <w:t>设备</w:t>
            </w:r>
          </w:p>
          <w:p>
            <w:pPr>
              <w:pStyle w:val="420"/>
              <w:spacing w:line="280" w:lineRule="exact"/>
              <w:rPr>
                <w:color w:val="auto"/>
                <w:sz w:val="18"/>
                <w:szCs w:val="18"/>
                <w:highlight w:val="none"/>
              </w:rPr>
            </w:pPr>
            <w:r>
              <w:rPr>
                <w:color w:val="auto"/>
                <w:sz w:val="18"/>
                <w:szCs w:val="18"/>
                <w:highlight w:val="none"/>
              </w:rPr>
              <w:t>维护</w:t>
            </w:r>
          </w:p>
        </w:tc>
        <w:tc>
          <w:tcPr>
            <w:tcW w:w="503" w:type="dxa"/>
            <w:vAlign w:val="center"/>
          </w:tcPr>
          <w:p>
            <w:pPr>
              <w:pStyle w:val="420"/>
              <w:spacing w:line="280" w:lineRule="exact"/>
              <w:rPr>
                <w:color w:val="auto"/>
                <w:sz w:val="18"/>
                <w:szCs w:val="18"/>
                <w:highlight w:val="none"/>
              </w:rPr>
            </w:pPr>
            <w:r>
              <w:rPr>
                <w:rFonts w:hint="eastAsia"/>
                <w:color w:val="auto"/>
                <w:sz w:val="18"/>
                <w:szCs w:val="18"/>
                <w:highlight w:val="none"/>
              </w:rPr>
              <w:t>固</w:t>
            </w:r>
          </w:p>
          <w:p>
            <w:pPr>
              <w:pStyle w:val="420"/>
              <w:widowControl w:val="0"/>
              <w:spacing w:line="280" w:lineRule="exact"/>
              <w:rPr>
                <w:color w:val="auto"/>
                <w:sz w:val="18"/>
                <w:szCs w:val="18"/>
                <w:highlight w:val="none"/>
              </w:rPr>
            </w:pPr>
            <w:r>
              <w:rPr>
                <w:color w:val="auto"/>
                <w:sz w:val="18"/>
                <w:szCs w:val="18"/>
                <w:highlight w:val="none"/>
              </w:rPr>
              <w:t>态</w:t>
            </w:r>
          </w:p>
        </w:tc>
        <w:tc>
          <w:tcPr>
            <w:tcW w:w="709" w:type="dxa"/>
            <w:vAlign w:val="center"/>
          </w:tcPr>
          <w:p>
            <w:pPr>
              <w:pStyle w:val="420"/>
              <w:spacing w:line="280" w:lineRule="exact"/>
              <w:rPr>
                <w:color w:val="auto"/>
                <w:sz w:val="18"/>
                <w:szCs w:val="18"/>
                <w:highlight w:val="none"/>
              </w:rPr>
            </w:pPr>
            <w:r>
              <w:rPr>
                <w:color w:val="auto"/>
                <w:sz w:val="18"/>
                <w:szCs w:val="18"/>
                <w:highlight w:val="none"/>
              </w:rPr>
              <w:t>废矿</w:t>
            </w:r>
          </w:p>
          <w:p>
            <w:pPr>
              <w:pStyle w:val="420"/>
              <w:spacing w:line="280" w:lineRule="exact"/>
              <w:rPr>
                <w:color w:val="auto"/>
                <w:sz w:val="18"/>
                <w:szCs w:val="18"/>
                <w:highlight w:val="none"/>
              </w:rPr>
            </w:pPr>
            <w:r>
              <w:rPr>
                <w:color w:val="auto"/>
                <w:sz w:val="18"/>
                <w:szCs w:val="18"/>
                <w:highlight w:val="none"/>
              </w:rPr>
              <w:t>物油</w:t>
            </w:r>
          </w:p>
        </w:tc>
        <w:tc>
          <w:tcPr>
            <w:tcW w:w="709" w:type="dxa"/>
            <w:vAlign w:val="center"/>
          </w:tcPr>
          <w:p>
            <w:pPr>
              <w:pStyle w:val="420"/>
              <w:spacing w:line="280" w:lineRule="exact"/>
              <w:rPr>
                <w:color w:val="auto"/>
                <w:sz w:val="18"/>
                <w:szCs w:val="18"/>
                <w:highlight w:val="none"/>
              </w:rPr>
            </w:pPr>
            <w:r>
              <w:rPr>
                <w:color w:val="auto"/>
                <w:sz w:val="18"/>
                <w:szCs w:val="18"/>
                <w:highlight w:val="none"/>
              </w:rPr>
              <w:t>废矿</w:t>
            </w:r>
          </w:p>
          <w:p>
            <w:pPr>
              <w:pStyle w:val="420"/>
              <w:widowControl w:val="0"/>
              <w:spacing w:line="280" w:lineRule="exact"/>
              <w:rPr>
                <w:color w:val="auto"/>
                <w:sz w:val="18"/>
                <w:szCs w:val="18"/>
                <w:highlight w:val="none"/>
              </w:rPr>
            </w:pPr>
            <w:r>
              <w:rPr>
                <w:color w:val="auto"/>
                <w:sz w:val="18"/>
                <w:szCs w:val="18"/>
                <w:highlight w:val="none"/>
              </w:rPr>
              <w:t>物油</w:t>
            </w:r>
          </w:p>
        </w:tc>
        <w:tc>
          <w:tcPr>
            <w:tcW w:w="567" w:type="dxa"/>
            <w:vMerge w:val="continue"/>
            <w:vAlign w:val="center"/>
          </w:tcPr>
          <w:p>
            <w:pPr>
              <w:pStyle w:val="420"/>
              <w:widowControl w:val="0"/>
              <w:spacing w:line="280" w:lineRule="exact"/>
              <w:jc w:val="center"/>
              <w:rPr>
                <w:color w:val="auto"/>
                <w:sz w:val="18"/>
                <w:szCs w:val="18"/>
                <w:highlight w:val="none"/>
              </w:rPr>
            </w:pPr>
          </w:p>
        </w:tc>
        <w:tc>
          <w:tcPr>
            <w:tcW w:w="567" w:type="dxa"/>
            <w:vMerge w:val="continue"/>
            <w:vAlign w:val="center"/>
          </w:tcPr>
          <w:p>
            <w:pPr>
              <w:pStyle w:val="420"/>
              <w:widowControl w:val="0"/>
              <w:spacing w:line="280" w:lineRule="exact"/>
              <w:jc w:val="center"/>
              <w:rPr>
                <w:color w:val="auto"/>
                <w:sz w:val="18"/>
                <w:szCs w:val="18"/>
                <w:highlight w:val="none"/>
              </w:rPr>
            </w:pPr>
          </w:p>
        </w:tc>
        <w:tc>
          <w:tcPr>
            <w:tcW w:w="850" w:type="dxa"/>
            <w:vMerge w:val="continue"/>
            <w:vAlign w:val="center"/>
          </w:tcPr>
          <w:p>
            <w:pPr>
              <w:pStyle w:val="420"/>
              <w:widowControl w:val="0"/>
              <w:spacing w:line="280" w:lineRule="exact"/>
              <w:jc w:val="center"/>
              <w:rPr>
                <w:color w:val="auto"/>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dxa"/>
            <w:vAlign w:val="center"/>
          </w:tcPr>
          <w:p>
            <w:pPr>
              <w:pStyle w:val="420"/>
              <w:widowControl w:val="0"/>
              <w:spacing w:line="280" w:lineRule="exact"/>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3</w:t>
            </w:r>
          </w:p>
        </w:tc>
        <w:tc>
          <w:tcPr>
            <w:tcW w:w="705" w:type="dxa"/>
            <w:vAlign w:val="center"/>
          </w:tcPr>
          <w:p>
            <w:pPr>
              <w:pStyle w:val="420"/>
              <w:widowControl w:val="0"/>
              <w:spacing w:line="280" w:lineRule="exact"/>
              <w:rPr>
                <w:rFonts w:hint="eastAsia" w:eastAsia="宋体"/>
                <w:color w:val="auto"/>
                <w:sz w:val="18"/>
                <w:szCs w:val="18"/>
                <w:highlight w:val="none"/>
                <w:lang w:eastAsia="zh-CN"/>
              </w:rPr>
            </w:pPr>
            <w:r>
              <w:rPr>
                <w:rFonts w:hint="eastAsia"/>
                <w:color w:val="auto"/>
                <w:sz w:val="18"/>
                <w:szCs w:val="18"/>
                <w:highlight w:val="none"/>
                <w:lang w:eastAsia="zh-CN"/>
              </w:rPr>
              <w:t>废变压器油</w:t>
            </w:r>
          </w:p>
        </w:tc>
        <w:tc>
          <w:tcPr>
            <w:tcW w:w="708" w:type="dxa"/>
            <w:vAlign w:val="center"/>
          </w:tcPr>
          <w:p>
            <w:pPr>
              <w:pStyle w:val="420"/>
              <w:spacing w:line="280" w:lineRule="exact"/>
              <w:rPr>
                <w:rFonts w:hint="default" w:ascii="Times New Roman" w:hAnsi="Times New Roman" w:eastAsia="宋体" w:cs="Times New Roman"/>
                <w:color w:val="auto"/>
                <w:sz w:val="18"/>
                <w:szCs w:val="18"/>
                <w:highlight w:val="none"/>
                <w:lang w:val="en-US" w:eastAsia="zh-CN" w:bidi="ar-SA"/>
              </w:rPr>
            </w:pPr>
            <w:r>
              <w:rPr>
                <w:color w:val="auto"/>
                <w:sz w:val="18"/>
                <w:szCs w:val="18"/>
                <w:highlight w:val="none"/>
              </w:rPr>
              <w:t>HW</w:t>
            </w:r>
            <w:r>
              <w:rPr>
                <w:rFonts w:hint="eastAsia"/>
                <w:color w:val="auto"/>
                <w:sz w:val="18"/>
                <w:szCs w:val="18"/>
                <w:highlight w:val="none"/>
                <w:lang w:val="en-US" w:eastAsia="zh-CN"/>
              </w:rPr>
              <w:t>08</w:t>
            </w:r>
          </w:p>
        </w:tc>
        <w:tc>
          <w:tcPr>
            <w:tcW w:w="1056" w:type="dxa"/>
            <w:vAlign w:val="center"/>
          </w:tcPr>
          <w:p>
            <w:pPr>
              <w:pStyle w:val="420"/>
              <w:widowControl w:val="0"/>
              <w:spacing w:line="280" w:lineRule="exact"/>
              <w:jc w:val="center"/>
              <w:rPr>
                <w:rFonts w:ascii="Times New Roman" w:hAnsi="Times New Roman" w:eastAsia="宋体" w:cs="Times New Roman"/>
                <w:color w:val="auto"/>
                <w:sz w:val="18"/>
                <w:szCs w:val="18"/>
                <w:highlight w:val="none"/>
                <w:lang w:val="en-US" w:eastAsia="zh-CN" w:bidi="ar-SA"/>
              </w:rPr>
            </w:pPr>
            <w:r>
              <w:rPr>
                <w:color w:val="auto"/>
                <w:sz w:val="18"/>
                <w:szCs w:val="18"/>
                <w:highlight w:val="none"/>
              </w:rPr>
              <w:t>900-</w:t>
            </w:r>
            <w:r>
              <w:rPr>
                <w:rFonts w:hint="eastAsia"/>
                <w:color w:val="auto"/>
                <w:sz w:val="18"/>
                <w:szCs w:val="18"/>
                <w:highlight w:val="none"/>
              </w:rPr>
              <w:t>2</w:t>
            </w:r>
            <w:r>
              <w:rPr>
                <w:rFonts w:hint="eastAsia"/>
                <w:color w:val="auto"/>
                <w:sz w:val="18"/>
                <w:szCs w:val="18"/>
                <w:highlight w:val="none"/>
                <w:lang w:val="en-US" w:eastAsia="zh-CN"/>
              </w:rPr>
              <w:t>00</w:t>
            </w:r>
            <w:r>
              <w:rPr>
                <w:color w:val="auto"/>
                <w:sz w:val="18"/>
                <w:szCs w:val="18"/>
                <w:highlight w:val="none"/>
              </w:rPr>
              <w:t>-</w:t>
            </w:r>
            <w:r>
              <w:rPr>
                <w:rFonts w:hint="eastAsia"/>
                <w:color w:val="auto"/>
                <w:sz w:val="18"/>
                <w:szCs w:val="18"/>
                <w:highlight w:val="none"/>
              </w:rPr>
              <w:t>08</w:t>
            </w:r>
          </w:p>
        </w:tc>
        <w:tc>
          <w:tcPr>
            <w:tcW w:w="801" w:type="dxa"/>
            <w:vAlign w:val="center"/>
          </w:tcPr>
          <w:p>
            <w:pPr>
              <w:pStyle w:val="420"/>
              <w:widowControl w:val="0"/>
              <w:spacing w:line="280" w:lineRule="exact"/>
              <w:jc w:val="center"/>
              <w:rPr>
                <w:rFonts w:hint="eastAsia" w:ascii="Times New Roman" w:hAnsi="Times New Roman" w:eastAsia="宋体" w:cs="Times New Roman"/>
                <w:color w:val="auto"/>
                <w:sz w:val="18"/>
                <w:szCs w:val="18"/>
                <w:highlight w:val="none"/>
                <w:lang w:val="en-US" w:eastAsia="zh-CN" w:bidi="ar-SA"/>
              </w:rPr>
            </w:pPr>
            <w:r>
              <w:rPr>
                <w:rFonts w:hint="eastAsia"/>
                <w:color w:val="auto"/>
                <w:sz w:val="18"/>
                <w:szCs w:val="18"/>
                <w:highlight w:val="none"/>
              </w:rPr>
              <w:t>0.0</w:t>
            </w:r>
            <w:r>
              <w:rPr>
                <w:rFonts w:hint="eastAsia"/>
                <w:color w:val="auto"/>
                <w:sz w:val="18"/>
                <w:szCs w:val="18"/>
                <w:highlight w:val="none"/>
                <w:lang w:val="en-US" w:eastAsia="zh-CN"/>
              </w:rPr>
              <w:t>8</w:t>
            </w:r>
            <w:r>
              <w:rPr>
                <w:rFonts w:hint="eastAsia"/>
                <w:color w:val="auto"/>
                <w:sz w:val="18"/>
                <w:szCs w:val="18"/>
                <w:highlight w:val="none"/>
              </w:rPr>
              <w:t>t/</w:t>
            </w:r>
            <w:r>
              <w:rPr>
                <w:rFonts w:hint="eastAsia"/>
                <w:color w:val="auto"/>
                <w:sz w:val="18"/>
                <w:szCs w:val="18"/>
                <w:highlight w:val="none"/>
                <w:lang w:val="en-US" w:eastAsia="zh-CN"/>
              </w:rPr>
              <w:t>5</w:t>
            </w:r>
            <w:r>
              <w:rPr>
                <w:rFonts w:hint="eastAsia"/>
                <w:color w:val="auto"/>
                <w:sz w:val="18"/>
                <w:szCs w:val="18"/>
                <w:highlight w:val="none"/>
              </w:rPr>
              <w:t>a</w:t>
            </w:r>
          </w:p>
        </w:tc>
        <w:tc>
          <w:tcPr>
            <w:tcW w:w="852" w:type="dxa"/>
            <w:vAlign w:val="center"/>
          </w:tcPr>
          <w:p>
            <w:pPr>
              <w:pStyle w:val="420"/>
              <w:spacing w:line="280" w:lineRule="exact"/>
              <w:rPr>
                <w:color w:val="auto"/>
                <w:sz w:val="18"/>
                <w:szCs w:val="18"/>
                <w:highlight w:val="none"/>
              </w:rPr>
            </w:pPr>
            <w:r>
              <w:rPr>
                <w:color w:val="auto"/>
                <w:sz w:val="18"/>
                <w:szCs w:val="18"/>
                <w:highlight w:val="none"/>
              </w:rPr>
              <w:t>设备</w:t>
            </w:r>
          </w:p>
          <w:p>
            <w:pPr>
              <w:pStyle w:val="420"/>
              <w:spacing w:line="280" w:lineRule="exact"/>
              <w:rPr>
                <w:rFonts w:ascii="Times New Roman" w:hAnsi="Times New Roman" w:eastAsia="宋体" w:cs="Times New Roman"/>
                <w:color w:val="auto"/>
                <w:sz w:val="18"/>
                <w:szCs w:val="18"/>
                <w:highlight w:val="none"/>
                <w:lang w:val="en-US" w:eastAsia="zh-CN" w:bidi="ar-SA"/>
              </w:rPr>
            </w:pPr>
            <w:r>
              <w:rPr>
                <w:color w:val="auto"/>
                <w:sz w:val="18"/>
                <w:szCs w:val="18"/>
                <w:highlight w:val="none"/>
              </w:rPr>
              <w:t>维护</w:t>
            </w:r>
          </w:p>
        </w:tc>
        <w:tc>
          <w:tcPr>
            <w:tcW w:w="503" w:type="dxa"/>
            <w:vAlign w:val="center"/>
          </w:tcPr>
          <w:p>
            <w:pPr>
              <w:pStyle w:val="420"/>
              <w:widowControl w:val="0"/>
              <w:spacing w:line="280" w:lineRule="exact"/>
              <w:rPr>
                <w:rFonts w:ascii="Times New Roman" w:hAnsi="Times New Roman" w:eastAsia="宋体" w:cs="Times New Roman"/>
                <w:color w:val="auto"/>
                <w:sz w:val="18"/>
                <w:szCs w:val="18"/>
                <w:highlight w:val="none"/>
                <w:lang w:val="en-US" w:eastAsia="zh-CN" w:bidi="ar-SA"/>
              </w:rPr>
            </w:pPr>
            <w:r>
              <w:rPr>
                <w:rFonts w:hint="eastAsia"/>
                <w:color w:val="auto"/>
                <w:sz w:val="18"/>
                <w:szCs w:val="18"/>
                <w:highlight w:val="none"/>
                <w:lang w:eastAsia="zh-CN"/>
              </w:rPr>
              <w:t>液</w:t>
            </w:r>
            <w:r>
              <w:rPr>
                <w:color w:val="auto"/>
                <w:sz w:val="18"/>
                <w:szCs w:val="18"/>
                <w:highlight w:val="none"/>
              </w:rPr>
              <w:t>态</w:t>
            </w:r>
          </w:p>
        </w:tc>
        <w:tc>
          <w:tcPr>
            <w:tcW w:w="709" w:type="dxa"/>
            <w:vAlign w:val="center"/>
          </w:tcPr>
          <w:p>
            <w:pPr>
              <w:pStyle w:val="420"/>
              <w:spacing w:line="280" w:lineRule="exact"/>
              <w:rPr>
                <w:color w:val="auto"/>
                <w:sz w:val="18"/>
                <w:szCs w:val="18"/>
                <w:highlight w:val="none"/>
              </w:rPr>
            </w:pPr>
            <w:r>
              <w:rPr>
                <w:color w:val="auto"/>
                <w:sz w:val="18"/>
                <w:szCs w:val="18"/>
                <w:highlight w:val="none"/>
              </w:rPr>
              <w:t>废矿</w:t>
            </w:r>
          </w:p>
          <w:p>
            <w:pPr>
              <w:pStyle w:val="420"/>
              <w:spacing w:line="280" w:lineRule="exact"/>
              <w:rPr>
                <w:rFonts w:ascii="Times New Roman" w:hAnsi="Times New Roman" w:eastAsia="宋体" w:cs="Times New Roman"/>
                <w:color w:val="auto"/>
                <w:sz w:val="18"/>
                <w:szCs w:val="18"/>
                <w:highlight w:val="none"/>
                <w:lang w:val="en-US" w:eastAsia="zh-CN" w:bidi="ar-SA"/>
              </w:rPr>
            </w:pPr>
            <w:r>
              <w:rPr>
                <w:color w:val="auto"/>
                <w:sz w:val="18"/>
                <w:szCs w:val="18"/>
                <w:highlight w:val="none"/>
              </w:rPr>
              <w:t>物油</w:t>
            </w:r>
          </w:p>
        </w:tc>
        <w:tc>
          <w:tcPr>
            <w:tcW w:w="709" w:type="dxa"/>
            <w:vAlign w:val="center"/>
          </w:tcPr>
          <w:p>
            <w:pPr>
              <w:pStyle w:val="420"/>
              <w:spacing w:line="280" w:lineRule="exact"/>
              <w:rPr>
                <w:color w:val="auto"/>
                <w:sz w:val="18"/>
                <w:szCs w:val="18"/>
                <w:highlight w:val="none"/>
              </w:rPr>
            </w:pPr>
            <w:r>
              <w:rPr>
                <w:color w:val="auto"/>
                <w:sz w:val="18"/>
                <w:szCs w:val="18"/>
                <w:highlight w:val="none"/>
              </w:rPr>
              <w:t>废矿</w:t>
            </w:r>
          </w:p>
          <w:p>
            <w:pPr>
              <w:pStyle w:val="420"/>
              <w:widowControl w:val="0"/>
              <w:spacing w:line="280" w:lineRule="exact"/>
              <w:rPr>
                <w:rFonts w:ascii="Times New Roman" w:hAnsi="Times New Roman" w:eastAsia="宋体" w:cs="Times New Roman"/>
                <w:color w:val="auto"/>
                <w:sz w:val="18"/>
                <w:szCs w:val="18"/>
                <w:highlight w:val="none"/>
                <w:lang w:val="en-US" w:eastAsia="zh-CN" w:bidi="ar-SA"/>
              </w:rPr>
            </w:pPr>
            <w:r>
              <w:rPr>
                <w:color w:val="auto"/>
                <w:sz w:val="18"/>
                <w:szCs w:val="18"/>
                <w:highlight w:val="none"/>
              </w:rPr>
              <w:t>物油</w:t>
            </w:r>
          </w:p>
        </w:tc>
        <w:tc>
          <w:tcPr>
            <w:tcW w:w="567" w:type="dxa"/>
            <w:vAlign w:val="center"/>
          </w:tcPr>
          <w:p>
            <w:pPr>
              <w:pStyle w:val="420"/>
              <w:widowControl w:val="0"/>
              <w:spacing w:line="280" w:lineRule="exact"/>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60个月</w:t>
            </w:r>
          </w:p>
        </w:tc>
        <w:tc>
          <w:tcPr>
            <w:tcW w:w="567" w:type="dxa"/>
            <w:vAlign w:val="center"/>
          </w:tcPr>
          <w:p>
            <w:pPr>
              <w:pStyle w:val="420"/>
              <w:widowControl w:val="0"/>
              <w:spacing w:line="280" w:lineRule="exact"/>
              <w:jc w:val="center"/>
              <w:rPr>
                <w:color w:val="auto"/>
                <w:sz w:val="18"/>
                <w:szCs w:val="18"/>
                <w:highlight w:val="none"/>
              </w:rPr>
            </w:pPr>
            <w:r>
              <w:rPr>
                <w:color w:val="auto"/>
                <w:sz w:val="18"/>
                <w:szCs w:val="18"/>
                <w:highlight w:val="none"/>
              </w:rPr>
              <w:t>T，I</w:t>
            </w:r>
          </w:p>
        </w:tc>
        <w:tc>
          <w:tcPr>
            <w:tcW w:w="850" w:type="dxa"/>
            <w:vAlign w:val="center"/>
          </w:tcPr>
          <w:p>
            <w:pPr>
              <w:pStyle w:val="420"/>
              <w:widowControl w:val="0"/>
              <w:spacing w:line="280" w:lineRule="exact"/>
              <w:jc w:val="center"/>
              <w:rPr>
                <w:rFonts w:hint="eastAsia" w:eastAsia="宋体"/>
                <w:color w:val="auto"/>
                <w:sz w:val="18"/>
                <w:szCs w:val="18"/>
                <w:highlight w:val="none"/>
                <w:lang w:eastAsia="zh-CN"/>
              </w:rPr>
            </w:pPr>
            <w:r>
              <w:rPr>
                <w:rFonts w:hint="eastAsia"/>
                <w:color w:val="auto"/>
                <w:sz w:val="18"/>
                <w:szCs w:val="18"/>
                <w:highlight w:val="none"/>
                <w:lang w:eastAsia="zh-CN"/>
              </w:rPr>
              <w:t>更换后由厂家带走，不储存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dxa"/>
            <w:vAlign w:val="center"/>
          </w:tcPr>
          <w:p>
            <w:pPr>
              <w:pStyle w:val="420"/>
              <w:widowControl w:val="0"/>
              <w:spacing w:line="280" w:lineRule="exact"/>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4</w:t>
            </w:r>
          </w:p>
        </w:tc>
        <w:tc>
          <w:tcPr>
            <w:tcW w:w="705" w:type="dxa"/>
            <w:vAlign w:val="center"/>
          </w:tcPr>
          <w:p>
            <w:pPr>
              <w:pStyle w:val="420"/>
              <w:widowControl w:val="0"/>
              <w:spacing w:line="280" w:lineRule="exact"/>
              <w:rPr>
                <w:rFonts w:hint="eastAsia" w:eastAsia="宋体"/>
                <w:color w:val="auto"/>
                <w:sz w:val="18"/>
                <w:szCs w:val="18"/>
                <w:highlight w:val="none"/>
                <w:lang w:eastAsia="zh-CN"/>
              </w:rPr>
            </w:pPr>
            <w:r>
              <w:rPr>
                <w:rFonts w:hint="eastAsia"/>
                <w:color w:val="auto"/>
                <w:sz w:val="18"/>
                <w:szCs w:val="18"/>
                <w:highlight w:val="none"/>
                <w:lang w:eastAsia="zh-CN"/>
              </w:rPr>
              <w:t>含油废棉丝</w:t>
            </w:r>
          </w:p>
        </w:tc>
        <w:tc>
          <w:tcPr>
            <w:tcW w:w="708" w:type="dxa"/>
            <w:vAlign w:val="center"/>
          </w:tcPr>
          <w:p>
            <w:pPr>
              <w:pStyle w:val="420"/>
              <w:spacing w:line="280" w:lineRule="exact"/>
              <w:rPr>
                <w:rFonts w:hint="default" w:eastAsia="宋体"/>
                <w:color w:val="auto"/>
                <w:sz w:val="18"/>
                <w:szCs w:val="18"/>
                <w:highlight w:val="none"/>
                <w:lang w:val="en-US" w:eastAsia="zh-CN"/>
              </w:rPr>
            </w:pPr>
            <w:r>
              <w:rPr>
                <w:color w:val="auto"/>
                <w:sz w:val="18"/>
                <w:szCs w:val="18"/>
                <w:highlight w:val="none"/>
              </w:rPr>
              <w:t>HW</w:t>
            </w:r>
            <w:r>
              <w:rPr>
                <w:rFonts w:hint="eastAsia"/>
                <w:color w:val="auto"/>
                <w:sz w:val="18"/>
                <w:szCs w:val="18"/>
                <w:highlight w:val="none"/>
                <w:lang w:val="en-US" w:eastAsia="zh-CN"/>
              </w:rPr>
              <w:t>49</w:t>
            </w:r>
          </w:p>
        </w:tc>
        <w:tc>
          <w:tcPr>
            <w:tcW w:w="1056" w:type="dxa"/>
            <w:vAlign w:val="center"/>
          </w:tcPr>
          <w:p>
            <w:pPr>
              <w:pStyle w:val="420"/>
              <w:widowControl w:val="0"/>
              <w:spacing w:line="280" w:lineRule="exact"/>
              <w:jc w:val="center"/>
              <w:rPr>
                <w:rFonts w:hint="default" w:eastAsia="宋体"/>
                <w:color w:val="auto"/>
                <w:sz w:val="18"/>
                <w:szCs w:val="18"/>
                <w:highlight w:val="none"/>
                <w:lang w:val="en-US" w:eastAsia="zh-CN"/>
              </w:rPr>
            </w:pPr>
            <w:r>
              <w:rPr>
                <w:color w:val="auto"/>
                <w:sz w:val="18"/>
                <w:szCs w:val="18"/>
                <w:highlight w:val="none"/>
              </w:rPr>
              <w:t>900-</w:t>
            </w:r>
            <w:r>
              <w:rPr>
                <w:rFonts w:hint="eastAsia"/>
                <w:color w:val="auto"/>
                <w:sz w:val="18"/>
                <w:szCs w:val="18"/>
                <w:highlight w:val="none"/>
                <w:lang w:val="en-US" w:eastAsia="zh-CN"/>
              </w:rPr>
              <w:t>041</w:t>
            </w:r>
            <w:r>
              <w:rPr>
                <w:color w:val="auto"/>
                <w:sz w:val="18"/>
                <w:szCs w:val="18"/>
                <w:highlight w:val="none"/>
              </w:rPr>
              <w:t>-</w:t>
            </w:r>
            <w:r>
              <w:rPr>
                <w:rFonts w:hint="eastAsia"/>
                <w:color w:val="auto"/>
                <w:sz w:val="18"/>
                <w:szCs w:val="18"/>
                <w:highlight w:val="none"/>
                <w:lang w:val="en-US" w:eastAsia="zh-CN"/>
              </w:rPr>
              <w:t>49</w:t>
            </w:r>
          </w:p>
        </w:tc>
        <w:tc>
          <w:tcPr>
            <w:tcW w:w="801" w:type="dxa"/>
            <w:vAlign w:val="center"/>
          </w:tcPr>
          <w:p>
            <w:pPr>
              <w:pStyle w:val="420"/>
              <w:widowControl w:val="0"/>
              <w:spacing w:line="280" w:lineRule="exact"/>
              <w:jc w:val="center"/>
              <w:rPr>
                <w:rFonts w:hint="eastAsia" w:ascii="Times New Roman" w:hAnsi="Times New Roman" w:eastAsia="宋体" w:cs="Times New Roman"/>
                <w:color w:val="auto"/>
                <w:sz w:val="18"/>
                <w:szCs w:val="18"/>
                <w:highlight w:val="none"/>
                <w:lang w:val="en-US" w:eastAsia="zh-CN" w:bidi="ar-SA"/>
              </w:rPr>
            </w:pPr>
            <w:r>
              <w:rPr>
                <w:rFonts w:hint="eastAsia"/>
                <w:color w:val="auto"/>
                <w:sz w:val="18"/>
                <w:szCs w:val="18"/>
                <w:highlight w:val="none"/>
              </w:rPr>
              <w:t>0.0</w:t>
            </w:r>
            <w:r>
              <w:rPr>
                <w:rFonts w:hint="eastAsia"/>
                <w:color w:val="auto"/>
                <w:sz w:val="18"/>
                <w:szCs w:val="18"/>
                <w:highlight w:val="none"/>
                <w:lang w:val="en-US" w:eastAsia="zh-CN"/>
              </w:rPr>
              <w:t>05</w:t>
            </w:r>
            <w:r>
              <w:rPr>
                <w:rFonts w:hint="eastAsia"/>
                <w:color w:val="auto"/>
                <w:sz w:val="18"/>
                <w:szCs w:val="18"/>
                <w:highlight w:val="none"/>
              </w:rPr>
              <w:t>t/a</w:t>
            </w:r>
          </w:p>
        </w:tc>
        <w:tc>
          <w:tcPr>
            <w:tcW w:w="852" w:type="dxa"/>
            <w:vAlign w:val="center"/>
          </w:tcPr>
          <w:p>
            <w:pPr>
              <w:pStyle w:val="420"/>
              <w:spacing w:line="280" w:lineRule="exact"/>
              <w:rPr>
                <w:color w:val="auto"/>
                <w:sz w:val="18"/>
                <w:szCs w:val="18"/>
                <w:highlight w:val="none"/>
              </w:rPr>
            </w:pPr>
            <w:r>
              <w:rPr>
                <w:color w:val="auto"/>
                <w:sz w:val="18"/>
                <w:szCs w:val="18"/>
                <w:highlight w:val="none"/>
              </w:rPr>
              <w:t>设备</w:t>
            </w:r>
          </w:p>
          <w:p>
            <w:pPr>
              <w:pStyle w:val="420"/>
              <w:spacing w:line="280" w:lineRule="exact"/>
              <w:rPr>
                <w:rFonts w:ascii="Times New Roman" w:hAnsi="Times New Roman" w:eastAsia="宋体" w:cs="Times New Roman"/>
                <w:color w:val="auto"/>
                <w:sz w:val="18"/>
                <w:szCs w:val="18"/>
                <w:highlight w:val="none"/>
                <w:lang w:val="en-US" w:eastAsia="zh-CN" w:bidi="ar-SA"/>
              </w:rPr>
            </w:pPr>
            <w:r>
              <w:rPr>
                <w:color w:val="auto"/>
                <w:sz w:val="18"/>
                <w:szCs w:val="18"/>
                <w:highlight w:val="none"/>
              </w:rPr>
              <w:t>维护</w:t>
            </w:r>
          </w:p>
        </w:tc>
        <w:tc>
          <w:tcPr>
            <w:tcW w:w="503" w:type="dxa"/>
            <w:vAlign w:val="center"/>
          </w:tcPr>
          <w:p>
            <w:pPr>
              <w:pStyle w:val="420"/>
              <w:spacing w:line="280" w:lineRule="exact"/>
              <w:rPr>
                <w:color w:val="auto"/>
                <w:sz w:val="18"/>
                <w:szCs w:val="18"/>
                <w:highlight w:val="none"/>
              </w:rPr>
            </w:pPr>
            <w:r>
              <w:rPr>
                <w:rFonts w:hint="eastAsia"/>
                <w:color w:val="auto"/>
                <w:sz w:val="18"/>
                <w:szCs w:val="18"/>
                <w:highlight w:val="none"/>
              </w:rPr>
              <w:t>固</w:t>
            </w:r>
          </w:p>
          <w:p>
            <w:pPr>
              <w:pStyle w:val="420"/>
              <w:widowControl w:val="0"/>
              <w:spacing w:line="280" w:lineRule="exact"/>
              <w:rPr>
                <w:rFonts w:ascii="Times New Roman" w:hAnsi="Times New Roman" w:eastAsia="宋体" w:cs="Times New Roman"/>
                <w:color w:val="auto"/>
                <w:sz w:val="18"/>
                <w:szCs w:val="18"/>
                <w:highlight w:val="none"/>
                <w:lang w:val="en-US" w:eastAsia="zh-CN" w:bidi="ar-SA"/>
              </w:rPr>
            </w:pPr>
            <w:r>
              <w:rPr>
                <w:color w:val="auto"/>
                <w:sz w:val="18"/>
                <w:szCs w:val="18"/>
                <w:highlight w:val="none"/>
              </w:rPr>
              <w:t>态</w:t>
            </w:r>
          </w:p>
        </w:tc>
        <w:tc>
          <w:tcPr>
            <w:tcW w:w="709" w:type="dxa"/>
            <w:vAlign w:val="center"/>
          </w:tcPr>
          <w:p>
            <w:pPr>
              <w:pStyle w:val="420"/>
              <w:spacing w:line="280" w:lineRule="exact"/>
              <w:rPr>
                <w:color w:val="auto"/>
                <w:sz w:val="18"/>
                <w:szCs w:val="18"/>
                <w:highlight w:val="none"/>
              </w:rPr>
            </w:pPr>
            <w:r>
              <w:rPr>
                <w:color w:val="auto"/>
                <w:sz w:val="18"/>
                <w:szCs w:val="18"/>
                <w:highlight w:val="none"/>
              </w:rPr>
              <w:t>废矿</w:t>
            </w:r>
          </w:p>
          <w:p>
            <w:pPr>
              <w:pStyle w:val="420"/>
              <w:spacing w:line="280" w:lineRule="exact"/>
              <w:rPr>
                <w:rFonts w:ascii="Times New Roman" w:hAnsi="Times New Roman" w:eastAsia="宋体" w:cs="Times New Roman"/>
                <w:color w:val="auto"/>
                <w:sz w:val="18"/>
                <w:szCs w:val="18"/>
                <w:highlight w:val="none"/>
                <w:lang w:val="en-US" w:eastAsia="zh-CN" w:bidi="ar-SA"/>
              </w:rPr>
            </w:pPr>
            <w:r>
              <w:rPr>
                <w:color w:val="auto"/>
                <w:sz w:val="18"/>
                <w:szCs w:val="18"/>
                <w:highlight w:val="none"/>
              </w:rPr>
              <w:t>物油</w:t>
            </w:r>
          </w:p>
        </w:tc>
        <w:tc>
          <w:tcPr>
            <w:tcW w:w="709" w:type="dxa"/>
            <w:vAlign w:val="center"/>
          </w:tcPr>
          <w:p>
            <w:pPr>
              <w:pStyle w:val="420"/>
              <w:spacing w:line="280" w:lineRule="exact"/>
              <w:rPr>
                <w:color w:val="auto"/>
                <w:sz w:val="18"/>
                <w:szCs w:val="18"/>
                <w:highlight w:val="none"/>
              </w:rPr>
            </w:pPr>
            <w:r>
              <w:rPr>
                <w:color w:val="auto"/>
                <w:sz w:val="18"/>
                <w:szCs w:val="18"/>
                <w:highlight w:val="none"/>
              </w:rPr>
              <w:t>废矿</w:t>
            </w:r>
          </w:p>
          <w:p>
            <w:pPr>
              <w:pStyle w:val="420"/>
              <w:widowControl w:val="0"/>
              <w:spacing w:line="280" w:lineRule="exact"/>
              <w:rPr>
                <w:rFonts w:ascii="Times New Roman" w:hAnsi="Times New Roman" w:eastAsia="宋体" w:cs="Times New Roman"/>
                <w:color w:val="auto"/>
                <w:sz w:val="18"/>
                <w:szCs w:val="18"/>
                <w:highlight w:val="none"/>
                <w:lang w:val="en-US" w:eastAsia="zh-CN" w:bidi="ar-SA"/>
              </w:rPr>
            </w:pPr>
            <w:r>
              <w:rPr>
                <w:color w:val="auto"/>
                <w:sz w:val="18"/>
                <w:szCs w:val="18"/>
                <w:highlight w:val="none"/>
              </w:rPr>
              <w:t>物油</w:t>
            </w:r>
          </w:p>
        </w:tc>
        <w:tc>
          <w:tcPr>
            <w:tcW w:w="567" w:type="dxa"/>
            <w:vAlign w:val="center"/>
          </w:tcPr>
          <w:p>
            <w:pPr>
              <w:pStyle w:val="420"/>
              <w:widowControl w:val="0"/>
              <w:spacing w:line="280" w:lineRule="exact"/>
              <w:jc w:val="center"/>
              <w:rPr>
                <w:color w:val="auto"/>
                <w:sz w:val="18"/>
                <w:szCs w:val="18"/>
                <w:highlight w:val="none"/>
              </w:rPr>
            </w:pPr>
            <w:r>
              <w:rPr>
                <w:rFonts w:hint="eastAsia"/>
                <w:color w:val="auto"/>
                <w:sz w:val="18"/>
                <w:szCs w:val="18"/>
                <w:highlight w:val="none"/>
                <w:lang w:val="en-US" w:eastAsia="zh-CN"/>
              </w:rPr>
              <w:t>12</w:t>
            </w:r>
            <w:r>
              <w:rPr>
                <w:color w:val="auto"/>
                <w:sz w:val="18"/>
                <w:szCs w:val="18"/>
                <w:highlight w:val="none"/>
              </w:rPr>
              <w:t>个</w:t>
            </w:r>
          </w:p>
          <w:p>
            <w:pPr>
              <w:pStyle w:val="420"/>
              <w:widowControl w:val="0"/>
              <w:spacing w:line="280" w:lineRule="exact"/>
              <w:jc w:val="center"/>
              <w:rPr>
                <w:color w:val="auto"/>
                <w:sz w:val="18"/>
                <w:szCs w:val="18"/>
                <w:highlight w:val="none"/>
              </w:rPr>
            </w:pPr>
            <w:r>
              <w:rPr>
                <w:color w:val="auto"/>
                <w:sz w:val="18"/>
                <w:szCs w:val="18"/>
                <w:highlight w:val="none"/>
              </w:rPr>
              <w:t>月</w:t>
            </w:r>
          </w:p>
        </w:tc>
        <w:tc>
          <w:tcPr>
            <w:tcW w:w="567" w:type="dxa"/>
            <w:vAlign w:val="center"/>
          </w:tcPr>
          <w:p>
            <w:pPr>
              <w:pStyle w:val="420"/>
              <w:widowControl w:val="0"/>
              <w:spacing w:line="280" w:lineRule="exact"/>
              <w:jc w:val="center"/>
              <w:rPr>
                <w:rFonts w:hint="default" w:eastAsia="宋体"/>
                <w:color w:val="auto"/>
                <w:sz w:val="18"/>
                <w:szCs w:val="18"/>
                <w:highlight w:val="none"/>
                <w:lang w:val="en-US" w:eastAsia="zh-CN"/>
              </w:rPr>
            </w:pPr>
            <w:r>
              <w:rPr>
                <w:color w:val="auto"/>
                <w:sz w:val="18"/>
                <w:szCs w:val="18"/>
                <w:highlight w:val="none"/>
              </w:rPr>
              <w:t>T</w:t>
            </w:r>
            <w:r>
              <w:rPr>
                <w:rFonts w:hint="eastAsia"/>
                <w:color w:val="auto"/>
                <w:sz w:val="18"/>
                <w:szCs w:val="18"/>
                <w:highlight w:val="none"/>
                <w:lang w:val="en-US" w:eastAsia="zh-CN"/>
              </w:rPr>
              <w:t>/In</w:t>
            </w:r>
          </w:p>
        </w:tc>
        <w:tc>
          <w:tcPr>
            <w:tcW w:w="850" w:type="dxa"/>
            <w:vAlign w:val="center"/>
          </w:tcPr>
          <w:p>
            <w:pPr>
              <w:pStyle w:val="420"/>
              <w:widowControl w:val="0"/>
              <w:spacing w:line="280" w:lineRule="exact"/>
              <w:jc w:val="center"/>
              <w:rPr>
                <w:color w:val="auto"/>
                <w:sz w:val="18"/>
                <w:szCs w:val="18"/>
                <w:highlight w:val="none"/>
              </w:rPr>
            </w:pPr>
            <w:r>
              <w:rPr>
                <w:rFonts w:hint="eastAsia"/>
                <w:color w:val="auto"/>
                <w:sz w:val="18"/>
                <w:szCs w:val="18"/>
                <w:highlight w:val="none"/>
              </w:rPr>
              <w:t>暂存危废间内，由</w:t>
            </w:r>
            <w:r>
              <w:rPr>
                <w:color w:val="auto"/>
                <w:sz w:val="18"/>
                <w:szCs w:val="18"/>
                <w:highlight w:val="none"/>
              </w:rPr>
              <w:t>有资质单位</w:t>
            </w:r>
            <w:r>
              <w:rPr>
                <w:rFonts w:hint="eastAsia"/>
                <w:color w:val="auto"/>
                <w:sz w:val="18"/>
                <w:szCs w:val="18"/>
                <w:highlight w:val="none"/>
              </w:rPr>
              <w:t>回收</w:t>
            </w:r>
            <w:r>
              <w:rPr>
                <w:color w:val="auto"/>
                <w:sz w:val="18"/>
                <w:szCs w:val="18"/>
                <w:highlight w:val="none"/>
              </w:rPr>
              <w:t>处理</w:t>
            </w:r>
          </w:p>
        </w:tc>
      </w:tr>
    </w:tbl>
    <w:p>
      <w:pPr>
        <w:pStyle w:val="420"/>
        <w:spacing w:line="480" w:lineRule="exact"/>
        <w:ind w:firstLine="480" w:firstLineChars="200"/>
        <w:rPr>
          <w:color w:val="auto"/>
          <w:highlight w:val="none"/>
        </w:rPr>
      </w:pPr>
      <w:r>
        <w:rPr>
          <w:color w:val="auto"/>
          <w:highlight w:val="none"/>
        </w:rPr>
        <w:t>（</w:t>
      </w:r>
      <w:r>
        <w:rPr>
          <w:rFonts w:hint="eastAsia"/>
          <w:color w:val="auto"/>
          <w:highlight w:val="none"/>
        </w:rPr>
        <w:t>4</w:t>
      </w:r>
      <w:r>
        <w:rPr>
          <w:color w:val="auto"/>
          <w:highlight w:val="none"/>
        </w:rPr>
        <w:t>）</w:t>
      </w:r>
      <w:r>
        <w:rPr>
          <w:rFonts w:hint="eastAsia"/>
          <w:color w:val="auto"/>
          <w:highlight w:val="none"/>
        </w:rPr>
        <w:t>危废间</w:t>
      </w:r>
    </w:p>
    <w:p>
      <w:pPr>
        <w:pStyle w:val="420"/>
        <w:spacing w:line="480" w:lineRule="exact"/>
        <w:ind w:firstLine="480" w:firstLineChars="200"/>
        <w:rPr>
          <w:color w:val="000000"/>
          <w:highlight w:val="none"/>
        </w:rPr>
      </w:pPr>
      <w:r>
        <w:rPr>
          <w:color w:val="auto"/>
          <w:highlight w:val="none"/>
        </w:rPr>
        <w:t>危废间建设在厂区</w:t>
      </w:r>
      <w:r>
        <w:rPr>
          <w:rFonts w:hint="eastAsia"/>
          <w:color w:val="auto"/>
          <w:highlight w:val="none"/>
          <w:lang w:eastAsia="zh-CN"/>
        </w:rPr>
        <w:t>西</w:t>
      </w:r>
      <w:r>
        <w:rPr>
          <w:color w:val="auto"/>
          <w:highlight w:val="none"/>
        </w:rPr>
        <w:t>侧，规格为</w:t>
      </w:r>
      <w:r>
        <w:rPr>
          <w:rFonts w:hint="eastAsia"/>
          <w:color w:val="auto"/>
          <w:highlight w:val="none"/>
        </w:rPr>
        <w:t>6</w:t>
      </w:r>
      <w:r>
        <w:rPr>
          <w:color w:val="auto"/>
          <w:highlight w:val="none"/>
        </w:rPr>
        <w:t>m</w:t>
      </w:r>
      <w:r>
        <w:rPr>
          <w:color w:val="auto"/>
          <w:highlight w:val="none"/>
          <w:vertAlign w:val="superscript"/>
        </w:rPr>
        <w:t>2</w:t>
      </w:r>
      <w:r>
        <w:rPr>
          <w:color w:val="000000"/>
          <w:highlight w:val="none"/>
        </w:rPr>
        <w:t>。危废暂存间按照《危险废物贮存污染控制标准》（GB18597-20</w:t>
      </w:r>
      <w:r>
        <w:rPr>
          <w:rFonts w:hint="eastAsia"/>
          <w:color w:val="000000"/>
          <w:highlight w:val="none"/>
          <w:lang w:val="en-US" w:eastAsia="zh-CN"/>
        </w:rPr>
        <w:t>23</w:t>
      </w:r>
      <w:r>
        <w:rPr>
          <w:color w:val="000000"/>
          <w:highlight w:val="none"/>
        </w:rPr>
        <w:t>）建设，危废暂存间进行防风、防雨、防晒、防渗漏处理，渗透系数不大于1×10</w:t>
      </w:r>
      <w:r>
        <w:rPr>
          <w:color w:val="000000"/>
          <w:highlight w:val="none"/>
          <w:vertAlign w:val="superscript"/>
        </w:rPr>
        <w:t>-10</w:t>
      </w:r>
      <w:r>
        <w:rPr>
          <w:color w:val="000000"/>
          <w:highlight w:val="none"/>
        </w:rPr>
        <w:t xml:space="preserve"> m/s；地面与裙脚所围建的容积不低于最大容器的最大储量或总储量的五分之一，并设置三级警示标志，危险废物分区储存。评价范围内无重点文物、自然保护区、珍稀动植物、水源地等环境敏感点。项目危废暂存间内储存废</w:t>
      </w:r>
      <w:r>
        <w:rPr>
          <w:rFonts w:hint="eastAsia"/>
          <w:color w:val="000000"/>
          <w:highlight w:val="none"/>
        </w:rPr>
        <w:t>机油</w:t>
      </w:r>
      <w:r>
        <w:rPr>
          <w:color w:val="000000"/>
          <w:highlight w:val="none"/>
        </w:rPr>
        <w:t>采用50kg的桶封盖储存，暂存于危废暂存间，每只桶占地面积约0.5m</w:t>
      </w:r>
      <w:r>
        <w:rPr>
          <w:color w:val="000000"/>
          <w:highlight w:val="none"/>
          <w:vertAlign w:val="superscript"/>
        </w:rPr>
        <w:t>2</w:t>
      </w:r>
      <w:r>
        <w:rPr>
          <w:color w:val="000000"/>
          <w:highlight w:val="none"/>
        </w:rPr>
        <w:t>，废油桶产生量为2个/a（存放废</w:t>
      </w:r>
      <w:r>
        <w:rPr>
          <w:rFonts w:hint="eastAsia"/>
          <w:color w:val="000000"/>
          <w:highlight w:val="none"/>
        </w:rPr>
        <w:t>机油</w:t>
      </w:r>
      <w:r>
        <w:rPr>
          <w:color w:val="000000"/>
          <w:highlight w:val="none"/>
        </w:rPr>
        <w:t>），占用危废暂存间面积为1m</w:t>
      </w:r>
      <w:r>
        <w:rPr>
          <w:color w:val="000000"/>
          <w:highlight w:val="none"/>
          <w:vertAlign w:val="superscript"/>
        </w:rPr>
        <w:t>2</w:t>
      </w:r>
      <w:r>
        <w:rPr>
          <w:color w:val="000000"/>
          <w:highlight w:val="none"/>
        </w:rPr>
        <w:t>，危废间建设面积可满足要求。</w:t>
      </w:r>
    </w:p>
    <w:p>
      <w:pPr>
        <w:pStyle w:val="420"/>
        <w:spacing w:line="480" w:lineRule="exact"/>
        <w:ind w:firstLine="480" w:firstLineChars="200"/>
        <w:rPr>
          <w:color w:val="000000"/>
          <w:highlight w:val="none"/>
        </w:rPr>
      </w:pPr>
      <w:r>
        <w:rPr>
          <w:color w:val="000000"/>
          <w:highlight w:val="none"/>
        </w:rPr>
        <w:t>危废收集后必须密封储存，单独存放；同时作好危险废物情况的记录，注明危险废物的名称、来源、数量、特性和包装容器的类别、入库日期、存放库位、废物出库日期及接收单位名称。</w:t>
      </w:r>
    </w:p>
    <w:p>
      <w:pPr>
        <w:pStyle w:val="420"/>
        <w:spacing w:line="480" w:lineRule="exact"/>
        <w:ind w:firstLine="480" w:firstLineChars="200"/>
        <w:rPr>
          <w:color w:val="000000"/>
          <w:highlight w:val="none"/>
        </w:rPr>
      </w:pPr>
      <w:r>
        <w:rPr>
          <w:color w:val="000000"/>
          <w:highlight w:val="none"/>
        </w:rPr>
        <w:t>建设项目危险废物贮存场所基本情况一览表见表</w:t>
      </w:r>
      <w:r>
        <w:rPr>
          <w:rFonts w:hint="eastAsia"/>
          <w:color w:val="000000"/>
          <w:highlight w:val="none"/>
        </w:rPr>
        <w:t>5.</w:t>
      </w:r>
      <w:r>
        <w:rPr>
          <w:rFonts w:hint="eastAsia"/>
          <w:color w:val="000000"/>
          <w:highlight w:val="none"/>
          <w:lang w:val="en-US" w:eastAsia="zh-CN"/>
        </w:rPr>
        <w:t>8</w:t>
      </w:r>
      <w:r>
        <w:rPr>
          <w:color w:val="000000"/>
          <w:highlight w:val="none"/>
        </w:rPr>
        <w:t>-4。</w:t>
      </w:r>
    </w:p>
    <w:p>
      <w:pPr>
        <w:pStyle w:val="420"/>
        <w:widowControl w:val="0"/>
        <w:spacing w:line="480" w:lineRule="exact"/>
        <w:jc w:val="center"/>
        <w:rPr>
          <w:b/>
          <w:color w:val="000000"/>
          <w:highlight w:val="none"/>
        </w:rPr>
      </w:pPr>
      <w:r>
        <w:rPr>
          <w:b/>
          <w:color w:val="000000"/>
          <w:highlight w:val="none"/>
        </w:rPr>
        <w:t>表</w:t>
      </w:r>
      <w:r>
        <w:rPr>
          <w:rFonts w:hint="eastAsia"/>
          <w:b/>
          <w:color w:val="000000"/>
          <w:highlight w:val="none"/>
        </w:rPr>
        <w:t>5.</w:t>
      </w:r>
      <w:r>
        <w:rPr>
          <w:rFonts w:hint="eastAsia"/>
          <w:b/>
          <w:color w:val="000000"/>
          <w:highlight w:val="none"/>
          <w:lang w:val="en-US" w:eastAsia="zh-CN"/>
        </w:rPr>
        <w:t>8</w:t>
      </w:r>
      <w:r>
        <w:rPr>
          <w:b/>
          <w:color w:val="000000"/>
          <w:highlight w:val="none"/>
        </w:rPr>
        <w:t>-4  项目危险固废产生情况及处置措施一览表</w:t>
      </w:r>
    </w:p>
    <w:tbl>
      <w:tblPr>
        <w:tblStyle w:val="51"/>
        <w:tblW w:w="824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24"/>
        <w:gridCol w:w="1079"/>
        <w:gridCol w:w="1142"/>
        <w:gridCol w:w="1295"/>
        <w:gridCol w:w="718"/>
        <w:gridCol w:w="709"/>
        <w:gridCol w:w="709"/>
        <w:gridCol w:w="883"/>
        <w:gridCol w:w="88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jc w:val="center"/>
        </w:trPr>
        <w:tc>
          <w:tcPr>
            <w:tcW w:w="824" w:type="dxa"/>
            <w:tcBorders>
              <w:bottom w:val="single" w:color="000000" w:sz="6" w:space="0"/>
              <w:right w:val="single" w:color="000000" w:sz="6" w:space="0"/>
            </w:tcBorders>
            <w:vAlign w:val="center"/>
          </w:tcPr>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储存</w:t>
            </w:r>
          </w:p>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场所</w:t>
            </w:r>
          </w:p>
        </w:tc>
        <w:tc>
          <w:tcPr>
            <w:tcW w:w="1079" w:type="dxa"/>
            <w:tcBorders>
              <w:left w:val="single" w:color="000000" w:sz="6" w:space="0"/>
              <w:bottom w:val="single" w:color="000000" w:sz="6" w:space="0"/>
              <w:right w:val="single" w:color="000000" w:sz="6" w:space="0"/>
            </w:tcBorders>
            <w:vAlign w:val="center"/>
          </w:tcPr>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危险废物</w:t>
            </w:r>
          </w:p>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名称</w:t>
            </w:r>
          </w:p>
        </w:tc>
        <w:tc>
          <w:tcPr>
            <w:tcW w:w="1142" w:type="dxa"/>
            <w:tcBorders>
              <w:left w:val="single" w:color="000000" w:sz="6" w:space="0"/>
              <w:bottom w:val="single" w:color="000000" w:sz="6" w:space="0"/>
              <w:right w:val="single" w:color="000000" w:sz="6" w:space="0"/>
            </w:tcBorders>
            <w:vAlign w:val="center"/>
          </w:tcPr>
          <w:p>
            <w:pPr>
              <w:pStyle w:val="402"/>
              <w:spacing w:line="300" w:lineRule="exact"/>
              <w:ind w:left="57" w:right="32"/>
              <w:jc w:val="center"/>
              <w:rPr>
                <w:rFonts w:ascii="Times New Roman" w:hAnsi="Times New Roman"/>
                <w:color w:val="000000"/>
                <w:sz w:val="21"/>
                <w:highlight w:val="none"/>
              </w:rPr>
            </w:pPr>
            <w:r>
              <w:rPr>
                <w:rFonts w:ascii="Times New Roman" w:hAnsi="Times New Roman"/>
                <w:color w:val="000000"/>
                <w:sz w:val="21"/>
                <w:highlight w:val="none"/>
              </w:rPr>
              <w:t>危险废物</w:t>
            </w:r>
          </w:p>
          <w:p>
            <w:pPr>
              <w:pStyle w:val="402"/>
              <w:spacing w:line="300" w:lineRule="exact"/>
              <w:ind w:left="57" w:right="32"/>
              <w:jc w:val="center"/>
              <w:rPr>
                <w:rFonts w:ascii="Times New Roman" w:hAnsi="Times New Roman"/>
                <w:color w:val="000000"/>
                <w:sz w:val="21"/>
                <w:highlight w:val="none"/>
              </w:rPr>
            </w:pPr>
            <w:r>
              <w:rPr>
                <w:rFonts w:ascii="Times New Roman" w:hAnsi="Times New Roman"/>
                <w:color w:val="000000"/>
                <w:sz w:val="21"/>
                <w:highlight w:val="none"/>
              </w:rPr>
              <w:t>类别</w:t>
            </w:r>
          </w:p>
        </w:tc>
        <w:tc>
          <w:tcPr>
            <w:tcW w:w="1295" w:type="dxa"/>
            <w:tcBorders>
              <w:left w:val="single" w:color="000000" w:sz="6" w:space="0"/>
              <w:bottom w:val="single" w:color="000000" w:sz="6" w:space="0"/>
              <w:right w:val="single" w:color="000000" w:sz="6" w:space="0"/>
            </w:tcBorders>
            <w:vAlign w:val="center"/>
          </w:tcPr>
          <w:p>
            <w:pPr>
              <w:pStyle w:val="402"/>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危险废物</w:t>
            </w:r>
          </w:p>
          <w:p>
            <w:pPr>
              <w:pStyle w:val="402"/>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代码</w:t>
            </w:r>
          </w:p>
        </w:tc>
        <w:tc>
          <w:tcPr>
            <w:tcW w:w="718" w:type="dxa"/>
            <w:tcBorders>
              <w:left w:val="single" w:color="000000" w:sz="6" w:space="0"/>
              <w:bottom w:val="single" w:color="000000" w:sz="6" w:space="0"/>
              <w:right w:val="single" w:color="000000" w:sz="6" w:space="0"/>
            </w:tcBorders>
            <w:vAlign w:val="center"/>
          </w:tcPr>
          <w:p>
            <w:pPr>
              <w:pStyle w:val="402"/>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位置</w:t>
            </w:r>
          </w:p>
        </w:tc>
        <w:tc>
          <w:tcPr>
            <w:tcW w:w="709" w:type="dxa"/>
            <w:tcBorders>
              <w:left w:val="single" w:color="000000" w:sz="6" w:space="0"/>
              <w:bottom w:val="single" w:color="000000" w:sz="6" w:space="0"/>
              <w:right w:val="single" w:color="000000" w:sz="6" w:space="0"/>
            </w:tcBorders>
            <w:vAlign w:val="center"/>
          </w:tcPr>
          <w:p>
            <w:pPr>
              <w:pStyle w:val="402"/>
              <w:spacing w:line="300" w:lineRule="exact"/>
              <w:ind w:left="38" w:right="21"/>
              <w:jc w:val="center"/>
              <w:rPr>
                <w:rFonts w:ascii="Times New Roman" w:hAnsi="Times New Roman"/>
                <w:color w:val="000000"/>
                <w:sz w:val="21"/>
                <w:highlight w:val="none"/>
              </w:rPr>
            </w:pPr>
            <w:r>
              <w:rPr>
                <w:rFonts w:ascii="Times New Roman" w:hAnsi="Times New Roman"/>
                <w:color w:val="000000"/>
                <w:sz w:val="21"/>
                <w:highlight w:val="none"/>
              </w:rPr>
              <w:t>占地</w:t>
            </w:r>
          </w:p>
          <w:p>
            <w:pPr>
              <w:pStyle w:val="402"/>
              <w:spacing w:line="300" w:lineRule="exact"/>
              <w:ind w:left="38" w:right="21"/>
              <w:jc w:val="center"/>
              <w:rPr>
                <w:rFonts w:ascii="Times New Roman" w:hAnsi="Times New Roman"/>
                <w:color w:val="000000"/>
                <w:sz w:val="21"/>
                <w:highlight w:val="none"/>
              </w:rPr>
            </w:pPr>
            <w:r>
              <w:rPr>
                <w:rFonts w:ascii="Times New Roman" w:hAnsi="Times New Roman"/>
                <w:color w:val="000000"/>
                <w:sz w:val="21"/>
                <w:highlight w:val="none"/>
              </w:rPr>
              <w:t>面积</w:t>
            </w:r>
          </w:p>
        </w:tc>
        <w:tc>
          <w:tcPr>
            <w:tcW w:w="709" w:type="dxa"/>
            <w:tcBorders>
              <w:left w:val="single" w:color="000000" w:sz="6" w:space="0"/>
              <w:bottom w:val="single" w:color="000000" w:sz="6" w:space="0"/>
              <w:right w:val="single" w:color="000000" w:sz="6" w:space="0"/>
            </w:tcBorders>
            <w:vAlign w:val="center"/>
          </w:tcPr>
          <w:p>
            <w:pPr>
              <w:pStyle w:val="402"/>
              <w:spacing w:line="300" w:lineRule="exact"/>
              <w:ind w:left="38" w:right="21"/>
              <w:jc w:val="center"/>
              <w:rPr>
                <w:rFonts w:ascii="Times New Roman" w:hAnsi="Times New Roman"/>
                <w:color w:val="000000"/>
                <w:sz w:val="21"/>
                <w:highlight w:val="none"/>
              </w:rPr>
            </w:pPr>
            <w:r>
              <w:rPr>
                <w:rFonts w:ascii="Times New Roman" w:hAnsi="Times New Roman"/>
                <w:color w:val="000000"/>
                <w:sz w:val="21"/>
                <w:highlight w:val="none"/>
              </w:rPr>
              <w:t>储存</w:t>
            </w:r>
          </w:p>
          <w:p>
            <w:pPr>
              <w:pStyle w:val="402"/>
              <w:spacing w:line="300" w:lineRule="exact"/>
              <w:ind w:left="38" w:right="21"/>
              <w:jc w:val="center"/>
              <w:rPr>
                <w:rFonts w:ascii="Times New Roman" w:hAnsi="Times New Roman"/>
                <w:color w:val="000000"/>
                <w:sz w:val="21"/>
                <w:highlight w:val="none"/>
              </w:rPr>
            </w:pPr>
            <w:r>
              <w:rPr>
                <w:rFonts w:ascii="Times New Roman" w:hAnsi="Times New Roman"/>
                <w:color w:val="000000"/>
                <w:sz w:val="21"/>
                <w:highlight w:val="none"/>
              </w:rPr>
              <w:t>方式</w:t>
            </w:r>
          </w:p>
        </w:tc>
        <w:tc>
          <w:tcPr>
            <w:tcW w:w="883" w:type="dxa"/>
            <w:tcBorders>
              <w:left w:val="single" w:color="000000" w:sz="6" w:space="0"/>
              <w:bottom w:val="single" w:color="000000" w:sz="6" w:space="0"/>
            </w:tcBorders>
            <w:vAlign w:val="center"/>
          </w:tcPr>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产生量</w:t>
            </w:r>
          </w:p>
        </w:tc>
        <w:tc>
          <w:tcPr>
            <w:tcW w:w="883" w:type="dxa"/>
            <w:tcBorders>
              <w:left w:val="single" w:color="000000" w:sz="6" w:space="0"/>
              <w:bottom w:val="single" w:color="000000" w:sz="6" w:space="0"/>
            </w:tcBorders>
            <w:vAlign w:val="center"/>
          </w:tcPr>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储存</w:t>
            </w:r>
          </w:p>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周期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jc w:val="center"/>
        </w:trPr>
        <w:tc>
          <w:tcPr>
            <w:tcW w:w="824" w:type="dxa"/>
            <w:vMerge w:val="restart"/>
            <w:tcBorders>
              <w:top w:val="single" w:color="000000" w:sz="6" w:space="0"/>
              <w:right w:val="single" w:color="000000" w:sz="6" w:space="0"/>
            </w:tcBorders>
            <w:vAlign w:val="center"/>
          </w:tcPr>
          <w:p>
            <w:pPr>
              <w:pStyle w:val="402"/>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危废</w:t>
            </w:r>
          </w:p>
          <w:p>
            <w:pPr>
              <w:pStyle w:val="402"/>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储存间</w:t>
            </w:r>
          </w:p>
        </w:tc>
        <w:tc>
          <w:tcPr>
            <w:tcW w:w="1079" w:type="dxa"/>
            <w:tcBorders>
              <w:top w:val="single" w:color="000000" w:sz="6" w:space="0"/>
              <w:left w:val="single" w:color="000000" w:sz="6" w:space="0"/>
              <w:bottom w:val="single" w:color="auto" w:sz="4" w:space="0"/>
              <w:right w:val="single" w:color="000000" w:sz="6" w:space="0"/>
            </w:tcBorders>
            <w:vAlign w:val="center"/>
          </w:tcPr>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废</w:t>
            </w:r>
            <w:r>
              <w:rPr>
                <w:rFonts w:hint="eastAsia" w:ascii="Times New Roman" w:hAnsi="Times New Roman"/>
                <w:color w:val="000000"/>
                <w:sz w:val="21"/>
                <w:highlight w:val="none"/>
                <w:lang w:eastAsia="zh-CN"/>
              </w:rPr>
              <w:t>润滑</w:t>
            </w:r>
            <w:r>
              <w:rPr>
                <w:rFonts w:ascii="Times New Roman" w:hAnsi="Times New Roman"/>
                <w:color w:val="000000"/>
                <w:sz w:val="21"/>
                <w:highlight w:val="none"/>
              </w:rPr>
              <w:t>油</w:t>
            </w:r>
          </w:p>
        </w:tc>
        <w:tc>
          <w:tcPr>
            <w:tcW w:w="1142" w:type="dxa"/>
            <w:tcBorders>
              <w:top w:val="single" w:color="000000" w:sz="6" w:space="0"/>
              <w:left w:val="single" w:color="000000" w:sz="6" w:space="0"/>
              <w:bottom w:val="single" w:color="auto" w:sz="4" w:space="0"/>
              <w:right w:val="single" w:color="000000" w:sz="6" w:space="0"/>
            </w:tcBorders>
            <w:vAlign w:val="center"/>
          </w:tcPr>
          <w:p>
            <w:pPr>
              <w:pStyle w:val="402"/>
              <w:adjustRightInd w:val="0"/>
              <w:snapToGrid w:val="0"/>
              <w:spacing w:line="300" w:lineRule="exact"/>
              <w:jc w:val="center"/>
              <w:rPr>
                <w:rFonts w:ascii="Times New Roman" w:hAnsi="Times New Roman"/>
                <w:color w:val="auto"/>
                <w:sz w:val="21"/>
                <w:highlight w:val="none"/>
              </w:rPr>
            </w:pPr>
            <w:r>
              <w:rPr>
                <w:rFonts w:ascii="Times New Roman" w:hAnsi="Times New Roman"/>
                <w:color w:val="auto"/>
                <w:sz w:val="21"/>
                <w:highlight w:val="none"/>
              </w:rPr>
              <w:t>HW 08</w:t>
            </w:r>
          </w:p>
        </w:tc>
        <w:tc>
          <w:tcPr>
            <w:tcW w:w="1295" w:type="dxa"/>
            <w:tcBorders>
              <w:top w:val="single" w:color="000000" w:sz="6" w:space="0"/>
              <w:left w:val="single" w:color="000000" w:sz="6" w:space="0"/>
              <w:bottom w:val="single" w:color="auto" w:sz="4" w:space="0"/>
              <w:right w:val="single" w:color="000000" w:sz="6" w:space="0"/>
            </w:tcBorders>
            <w:vAlign w:val="center"/>
          </w:tcPr>
          <w:p>
            <w:pPr>
              <w:pStyle w:val="402"/>
              <w:adjustRightInd w:val="0"/>
              <w:snapToGrid w:val="0"/>
              <w:spacing w:line="300" w:lineRule="exact"/>
              <w:jc w:val="center"/>
              <w:rPr>
                <w:rFonts w:ascii="Times New Roman" w:hAnsi="Times New Roman"/>
                <w:color w:val="auto"/>
                <w:sz w:val="21"/>
                <w:highlight w:val="none"/>
              </w:rPr>
            </w:pPr>
            <w:r>
              <w:rPr>
                <w:rFonts w:ascii="Times New Roman" w:hAnsi="Times New Roman"/>
                <w:color w:val="auto"/>
                <w:sz w:val="21"/>
                <w:highlight w:val="none"/>
              </w:rPr>
              <w:t>900-2</w:t>
            </w:r>
            <w:r>
              <w:rPr>
                <w:rFonts w:hint="eastAsia" w:ascii="Times New Roman" w:hAnsi="Times New Roman"/>
                <w:color w:val="auto"/>
                <w:sz w:val="21"/>
                <w:highlight w:val="none"/>
              </w:rPr>
              <w:t>14</w:t>
            </w:r>
            <w:r>
              <w:rPr>
                <w:rFonts w:ascii="Times New Roman" w:hAnsi="Times New Roman"/>
                <w:color w:val="auto"/>
                <w:sz w:val="21"/>
                <w:highlight w:val="none"/>
              </w:rPr>
              <w:t>-08</w:t>
            </w:r>
          </w:p>
        </w:tc>
        <w:tc>
          <w:tcPr>
            <w:tcW w:w="718" w:type="dxa"/>
            <w:vMerge w:val="restart"/>
            <w:tcBorders>
              <w:top w:val="single" w:color="000000" w:sz="6" w:space="0"/>
              <w:left w:val="single" w:color="000000" w:sz="6" w:space="0"/>
              <w:right w:val="single" w:color="000000" w:sz="6" w:space="0"/>
            </w:tcBorders>
            <w:vAlign w:val="center"/>
          </w:tcPr>
          <w:p>
            <w:pPr>
              <w:pStyle w:val="402"/>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厂区</w:t>
            </w:r>
          </w:p>
          <w:p>
            <w:pPr>
              <w:pStyle w:val="402"/>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北侧</w:t>
            </w:r>
          </w:p>
        </w:tc>
        <w:tc>
          <w:tcPr>
            <w:tcW w:w="709" w:type="dxa"/>
            <w:vMerge w:val="restart"/>
            <w:tcBorders>
              <w:top w:val="single" w:color="000000" w:sz="6" w:space="0"/>
              <w:left w:val="single" w:color="000000" w:sz="6" w:space="0"/>
              <w:right w:val="single" w:color="000000" w:sz="6" w:space="0"/>
            </w:tcBorders>
            <w:vAlign w:val="center"/>
          </w:tcPr>
          <w:p>
            <w:pPr>
              <w:pStyle w:val="402"/>
              <w:spacing w:line="300" w:lineRule="exact"/>
              <w:ind w:right="21"/>
              <w:jc w:val="center"/>
              <w:rPr>
                <w:rFonts w:ascii="Times New Roman" w:hAnsi="Times New Roman"/>
                <w:color w:val="000000"/>
                <w:sz w:val="21"/>
                <w:highlight w:val="none"/>
              </w:rPr>
            </w:pPr>
            <w:r>
              <w:rPr>
                <w:rFonts w:hint="eastAsia" w:ascii="Times New Roman" w:hAnsi="Times New Roman"/>
                <w:color w:val="auto"/>
                <w:sz w:val="21"/>
                <w:highlight w:val="none"/>
              </w:rPr>
              <w:t>6</w:t>
            </w:r>
            <w:r>
              <w:rPr>
                <w:rFonts w:ascii="Times New Roman" w:hAnsi="Times New Roman"/>
                <w:color w:val="000000"/>
                <w:sz w:val="21"/>
                <w:highlight w:val="none"/>
              </w:rPr>
              <w:t>m</w:t>
            </w:r>
            <w:r>
              <w:rPr>
                <w:rFonts w:ascii="Times New Roman" w:hAnsi="Times New Roman"/>
                <w:color w:val="000000"/>
                <w:sz w:val="21"/>
                <w:highlight w:val="none"/>
                <w:vertAlign w:val="superscript"/>
              </w:rPr>
              <w:t>2</w:t>
            </w:r>
          </w:p>
        </w:tc>
        <w:tc>
          <w:tcPr>
            <w:tcW w:w="709" w:type="dxa"/>
            <w:tcBorders>
              <w:top w:val="single" w:color="000000" w:sz="6" w:space="0"/>
              <w:left w:val="single" w:color="000000" w:sz="6" w:space="0"/>
              <w:right w:val="single" w:color="000000" w:sz="6" w:space="0"/>
            </w:tcBorders>
            <w:vAlign w:val="center"/>
          </w:tcPr>
          <w:p>
            <w:pPr>
              <w:pStyle w:val="402"/>
              <w:spacing w:line="300" w:lineRule="exact"/>
              <w:ind w:right="21"/>
              <w:jc w:val="center"/>
              <w:rPr>
                <w:rFonts w:ascii="Times New Roman" w:hAnsi="Times New Roman"/>
                <w:color w:val="000000"/>
                <w:sz w:val="21"/>
                <w:highlight w:val="none"/>
              </w:rPr>
            </w:pPr>
            <w:r>
              <w:rPr>
                <w:rFonts w:ascii="Times New Roman" w:hAnsi="Times New Roman"/>
                <w:color w:val="000000"/>
                <w:sz w:val="21"/>
                <w:highlight w:val="none"/>
              </w:rPr>
              <w:t>封闭</w:t>
            </w:r>
          </w:p>
          <w:p>
            <w:pPr>
              <w:pStyle w:val="402"/>
              <w:spacing w:line="300" w:lineRule="exact"/>
              <w:ind w:right="21"/>
              <w:jc w:val="center"/>
              <w:rPr>
                <w:rFonts w:ascii="Times New Roman" w:hAnsi="Times New Roman"/>
                <w:color w:val="000000"/>
                <w:sz w:val="21"/>
                <w:highlight w:val="none"/>
              </w:rPr>
            </w:pPr>
            <w:r>
              <w:rPr>
                <w:rFonts w:ascii="Times New Roman" w:hAnsi="Times New Roman"/>
                <w:color w:val="000000"/>
                <w:sz w:val="21"/>
                <w:highlight w:val="none"/>
              </w:rPr>
              <w:t>桶装</w:t>
            </w:r>
          </w:p>
        </w:tc>
        <w:tc>
          <w:tcPr>
            <w:tcW w:w="883" w:type="dxa"/>
            <w:tcBorders>
              <w:top w:val="single" w:color="000000" w:sz="6" w:space="0"/>
              <w:left w:val="single" w:color="000000" w:sz="6" w:space="0"/>
              <w:bottom w:val="single" w:color="auto" w:sz="4" w:space="0"/>
            </w:tcBorders>
            <w:vAlign w:val="center"/>
          </w:tcPr>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0.0</w:t>
            </w:r>
            <w:r>
              <w:rPr>
                <w:rFonts w:hint="eastAsia" w:ascii="Times New Roman" w:hAnsi="Times New Roman"/>
                <w:color w:val="000000"/>
                <w:sz w:val="21"/>
                <w:highlight w:val="none"/>
              </w:rPr>
              <w:t>9</w:t>
            </w:r>
            <w:r>
              <w:rPr>
                <w:rFonts w:ascii="Times New Roman" w:hAnsi="Times New Roman"/>
                <w:color w:val="000000"/>
                <w:sz w:val="21"/>
                <w:highlight w:val="none"/>
              </w:rPr>
              <w:t>t/a</w:t>
            </w:r>
          </w:p>
        </w:tc>
        <w:tc>
          <w:tcPr>
            <w:tcW w:w="883" w:type="dxa"/>
            <w:tcBorders>
              <w:top w:val="single" w:color="000000" w:sz="6" w:space="0"/>
              <w:left w:val="single" w:color="000000" w:sz="6" w:space="0"/>
            </w:tcBorders>
            <w:vAlign w:val="center"/>
          </w:tcPr>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12个月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jc w:val="center"/>
        </w:trPr>
        <w:tc>
          <w:tcPr>
            <w:tcW w:w="824" w:type="dxa"/>
            <w:vMerge w:val="continue"/>
            <w:tcBorders>
              <w:right w:val="single" w:color="000000" w:sz="6" w:space="0"/>
            </w:tcBorders>
            <w:vAlign w:val="center"/>
          </w:tcPr>
          <w:p>
            <w:pPr>
              <w:pStyle w:val="402"/>
              <w:spacing w:line="300" w:lineRule="exact"/>
              <w:jc w:val="center"/>
              <w:rPr>
                <w:rFonts w:ascii="Times New Roman" w:hAnsi="Times New Roman"/>
                <w:color w:val="000000"/>
                <w:sz w:val="21"/>
                <w:highlight w:val="none"/>
              </w:rPr>
            </w:pPr>
          </w:p>
        </w:tc>
        <w:tc>
          <w:tcPr>
            <w:tcW w:w="1079" w:type="dxa"/>
            <w:tcBorders>
              <w:top w:val="single" w:color="auto" w:sz="4" w:space="0"/>
              <w:left w:val="single" w:color="000000" w:sz="6" w:space="0"/>
              <w:bottom w:val="single" w:color="auto" w:sz="4" w:space="0"/>
              <w:right w:val="single" w:color="000000" w:sz="6" w:space="0"/>
            </w:tcBorders>
            <w:vAlign w:val="center"/>
          </w:tcPr>
          <w:p>
            <w:pPr>
              <w:pStyle w:val="402"/>
              <w:adjustRightInd w:val="0"/>
              <w:snapToGrid w:val="0"/>
              <w:spacing w:line="300" w:lineRule="exact"/>
              <w:jc w:val="center"/>
              <w:rPr>
                <w:rFonts w:ascii="Times New Roman" w:hAnsi="Times New Roman"/>
                <w:color w:val="000000"/>
                <w:sz w:val="21"/>
                <w:highlight w:val="none"/>
              </w:rPr>
            </w:pPr>
            <w:r>
              <w:rPr>
                <w:rFonts w:ascii="Times New Roman" w:hAnsi="Times New Roman"/>
                <w:color w:val="000000"/>
                <w:sz w:val="21"/>
                <w:highlight w:val="none"/>
              </w:rPr>
              <w:t>废油桶</w:t>
            </w:r>
          </w:p>
        </w:tc>
        <w:tc>
          <w:tcPr>
            <w:tcW w:w="1142" w:type="dxa"/>
            <w:tcBorders>
              <w:top w:val="single" w:color="auto" w:sz="4" w:space="0"/>
              <w:left w:val="single" w:color="000000" w:sz="6" w:space="0"/>
              <w:bottom w:val="single" w:color="auto" w:sz="4" w:space="0"/>
              <w:right w:val="single" w:color="000000" w:sz="6" w:space="0"/>
            </w:tcBorders>
            <w:vAlign w:val="center"/>
          </w:tcPr>
          <w:p>
            <w:pPr>
              <w:pStyle w:val="402"/>
              <w:adjustRightInd w:val="0"/>
              <w:snapToGrid w:val="0"/>
              <w:spacing w:line="300" w:lineRule="exact"/>
              <w:jc w:val="center"/>
              <w:rPr>
                <w:rFonts w:ascii="Times New Roman" w:hAnsi="Times New Roman"/>
                <w:color w:val="auto"/>
                <w:sz w:val="21"/>
                <w:highlight w:val="none"/>
              </w:rPr>
            </w:pPr>
            <w:r>
              <w:rPr>
                <w:rFonts w:ascii="Times New Roman" w:hAnsi="Times New Roman"/>
                <w:color w:val="auto"/>
                <w:sz w:val="21"/>
                <w:highlight w:val="none"/>
              </w:rPr>
              <w:t>HW</w:t>
            </w:r>
            <w:r>
              <w:rPr>
                <w:rFonts w:hint="eastAsia" w:ascii="Times New Roman" w:hAnsi="Times New Roman"/>
                <w:color w:val="auto"/>
                <w:sz w:val="21"/>
                <w:highlight w:val="none"/>
              </w:rPr>
              <w:t>08</w:t>
            </w:r>
          </w:p>
        </w:tc>
        <w:tc>
          <w:tcPr>
            <w:tcW w:w="1295" w:type="dxa"/>
            <w:tcBorders>
              <w:top w:val="single" w:color="auto" w:sz="4" w:space="0"/>
              <w:left w:val="single" w:color="000000" w:sz="6" w:space="0"/>
              <w:bottom w:val="single" w:color="auto" w:sz="4" w:space="0"/>
              <w:right w:val="single" w:color="000000" w:sz="6" w:space="0"/>
            </w:tcBorders>
            <w:vAlign w:val="center"/>
          </w:tcPr>
          <w:p>
            <w:pPr>
              <w:pStyle w:val="402"/>
              <w:adjustRightInd w:val="0"/>
              <w:snapToGrid w:val="0"/>
              <w:spacing w:line="300" w:lineRule="exact"/>
              <w:jc w:val="center"/>
              <w:rPr>
                <w:rFonts w:hint="default" w:ascii="Times New Roman" w:hAnsi="Times New Roman" w:eastAsia="宋体"/>
                <w:color w:val="auto"/>
                <w:sz w:val="21"/>
                <w:highlight w:val="none"/>
                <w:lang w:val="en-US" w:eastAsia="zh-CN"/>
              </w:rPr>
            </w:pPr>
            <w:r>
              <w:rPr>
                <w:rFonts w:ascii="Times New Roman" w:hAnsi="Times New Roman"/>
                <w:color w:val="auto"/>
                <w:sz w:val="21"/>
                <w:highlight w:val="none"/>
              </w:rPr>
              <w:t>900-</w:t>
            </w:r>
            <w:r>
              <w:rPr>
                <w:rFonts w:hint="eastAsia" w:ascii="Times New Roman" w:hAnsi="Times New Roman"/>
                <w:color w:val="auto"/>
                <w:sz w:val="21"/>
                <w:highlight w:val="none"/>
              </w:rPr>
              <w:t>249</w:t>
            </w:r>
            <w:r>
              <w:rPr>
                <w:rFonts w:ascii="Times New Roman" w:hAnsi="Times New Roman"/>
                <w:color w:val="auto"/>
                <w:sz w:val="21"/>
                <w:highlight w:val="none"/>
              </w:rPr>
              <w:t>-</w:t>
            </w:r>
            <w:r>
              <w:rPr>
                <w:rFonts w:hint="eastAsia" w:ascii="Times New Roman" w:hAnsi="Times New Roman"/>
                <w:color w:val="auto"/>
                <w:sz w:val="21"/>
                <w:highlight w:val="none"/>
                <w:lang w:val="en-US" w:eastAsia="zh-CN"/>
              </w:rPr>
              <w:t>08</w:t>
            </w:r>
          </w:p>
        </w:tc>
        <w:tc>
          <w:tcPr>
            <w:tcW w:w="718" w:type="dxa"/>
            <w:vMerge w:val="continue"/>
            <w:tcBorders>
              <w:left w:val="single" w:color="000000" w:sz="6" w:space="0"/>
              <w:right w:val="single" w:color="000000" w:sz="6" w:space="0"/>
            </w:tcBorders>
            <w:vAlign w:val="center"/>
          </w:tcPr>
          <w:p>
            <w:pPr>
              <w:pStyle w:val="402"/>
              <w:spacing w:line="300" w:lineRule="exact"/>
              <w:ind w:firstLine="103"/>
              <w:jc w:val="center"/>
              <w:rPr>
                <w:rFonts w:ascii="Times New Roman" w:hAnsi="Times New Roman"/>
                <w:color w:val="000000"/>
                <w:sz w:val="21"/>
                <w:highlight w:val="none"/>
              </w:rPr>
            </w:pPr>
          </w:p>
        </w:tc>
        <w:tc>
          <w:tcPr>
            <w:tcW w:w="709" w:type="dxa"/>
            <w:vMerge w:val="continue"/>
            <w:tcBorders>
              <w:left w:val="single" w:color="000000" w:sz="6" w:space="0"/>
              <w:right w:val="single" w:color="000000" w:sz="6" w:space="0"/>
            </w:tcBorders>
            <w:vAlign w:val="center"/>
          </w:tcPr>
          <w:p>
            <w:pPr>
              <w:pStyle w:val="402"/>
              <w:spacing w:line="300" w:lineRule="exact"/>
              <w:ind w:left="38" w:right="21"/>
              <w:jc w:val="center"/>
              <w:rPr>
                <w:rFonts w:ascii="Times New Roman" w:hAnsi="Times New Roman"/>
                <w:color w:val="000000"/>
                <w:sz w:val="21"/>
                <w:highlight w:val="none"/>
              </w:rPr>
            </w:pPr>
          </w:p>
        </w:tc>
        <w:tc>
          <w:tcPr>
            <w:tcW w:w="709" w:type="dxa"/>
            <w:tcBorders>
              <w:top w:val="single" w:color="000000" w:sz="6" w:space="0"/>
              <w:left w:val="single" w:color="000000" w:sz="6" w:space="0"/>
              <w:bottom w:val="single" w:color="000000" w:sz="6" w:space="0"/>
              <w:right w:val="single" w:color="000000" w:sz="6" w:space="0"/>
            </w:tcBorders>
            <w:vAlign w:val="center"/>
          </w:tcPr>
          <w:p>
            <w:pPr>
              <w:pStyle w:val="402"/>
              <w:spacing w:line="300" w:lineRule="exact"/>
              <w:ind w:left="38" w:right="21"/>
              <w:jc w:val="center"/>
              <w:rPr>
                <w:rFonts w:ascii="Times New Roman" w:hAnsi="Times New Roman"/>
                <w:color w:val="000000"/>
                <w:sz w:val="21"/>
                <w:highlight w:val="none"/>
              </w:rPr>
            </w:pPr>
            <w:r>
              <w:rPr>
                <w:rFonts w:ascii="Times New Roman" w:hAnsi="Times New Roman"/>
                <w:color w:val="000000"/>
                <w:sz w:val="21"/>
                <w:highlight w:val="none"/>
              </w:rPr>
              <w:t>封盖</w:t>
            </w:r>
          </w:p>
          <w:p>
            <w:pPr>
              <w:pStyle w:val="402"/>
              <w:spacing w:line="300" w:lineRule="exact"/>
              <w:ind w:left="38" w:right="21"/>
              <w:jc w:val="center"/>
              <w:rPr>
                <w:rFonts w:ascii="Times New Roman" w:hAnsi="Times New Roman"/>
                <w:color w:val="000000"/>
                <w:sz w:val="21"/>
                <w:highlight w:val="none"/>
              </w:rPr>
            </w:pPr>
            <w:r>
              <w:rPr>
                <w:rFonts w:ascii="Times New Roman" w:hAnsi="Times New Roman"/>
                <w:color w:val="000000"/>
                <w:sz w:val="21"/>
                <w:highlight w:val="none"/>
              </w:rPr>
              <w:t>储存</w:t>
            </w:r>
          </w:p>
        </w:tc>
        <w:tc>
          <w:tcPr>
            <w:tcW w:w="883" w:type="dxa"/>
            <w:tcBorders>
              <w:top w:val="single" w:color="auto" w:sz="4" w:space="0"/>
              <w:left w:val="single" w:color="000000" w:sz="6" w:space="0"/>
              <w:bottom w:val="single" w:color="auto" w:sz="4" w:space="0"/>
            </w:tcBorders>
            <w:vAlign w:val="center"/>
          </w:tcPr>
          <w:p>
            <w:pPr>
              <w:spacing w:line="300" w:lineRule="exact"/>
              <w:jc w:val="center"/>
              <w:rPr>
                <w:color w:val="000000"/>
                <w:highlight w:val="none"/>
              </w:rPr>
            </w:pPr>
            <w:r>
              <w:rPr>
                <w:rFonts w:hint="eastAsia"/>
                <w:color w:val="000000"/>
                <w:highlight w:val="none"/>
              </w:rPr>
              <w:t>0.03t</w:t>
            </w:r>
            <w:r>
              <w:rPr>
                <w:color w:val="000000"/>
                <w:highlight w:val="none"/>
              </w:rPr>
              <w:t>/a</w:t>
            </w:r>
          </w:p>
        </w:tc>
        <w:tc>
          <w:tcPr>
            <w:tcW w:w="883" w:type="dxa"/>
            <w:vMerge w:val="restart"/>
            <w:tcBorders>
              <w:left w:val="single" w:color="000000" w:sz="6" w:space="0"/>
            </w:tcBorders>
            <w:vAlign w:val="center"/>
          </w:tcPr>
          <w:p>
            <w:pPr>
              <w:spacing w:line="300" w:lineRule="exact"/>
              <w:jc w:val="center"/>
              <w:rPr>
                <w:color w:val="000000"/>
                <w:highlight w:val="none"/>
              </w:rPr>
            </w:pPr>
            <w:r>
              <w:rPr>
                <w:color w:val="000000"/>
                <w:highlight w:val="none"/>
              </w:rPr>
              <w:t>12个月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jc w:val="center"/>
        </w:trPr>
        <w:tc>
          <w:tcPr>
            <w:tcW w:w="824" w:type="dxa"/>
            <w:vMerge w:val="continue"/>
            <w:tcBorders>
              <w:right w:val="single" w:color="000000" w:sz="6" w:space="0"/>
            </w:tcBorders>
            <w:vAlign w:val="center"/>
          </w:tcPr>
          <w:p>
            <w:pPr>
              <w:pStyle w:val="402"/>
              <w:spacing w:line="300" w:lineRule="exact"/>
              <w:jc w:val="center"/>
              <w:rPr>
                <w:rFonts w:ascii="Times New Roman" w:hAnsi="Times New Roman"/>
                <w:color w:val="000000"/>
                <w:sz w:val="21"/>
                <w:highlight w:val="none"/>
              </w:rPr>
            </w:pPr>
          </w:p>
        </w:tc>
        <w:tc>
          <w:tcPr>
            <w:tcW w:w="1079" w:type="dxa"/>
            <w:tcBorders>
              <w:top w:val="single" w:color="auto" w:sz="4" w:space="0"/>
              <w:left w:val="single" w:color="000000" w:sz="6" w:space="0"/>
              <w:bottom w:val="single" w:color="auto" w:sz="4" w:space="0"/>
              <w:right w:val="single" w:color="000000" w:sz="6" w:space="0"/>
            </w:tcBorders>
            <w:vAlign w:val="center"/>
          </w:tcPr>
          <w:p>
            <w:pPr>
              <w:pStyle w:val="420"/>
              <w:widowControl w:val="0"/>
              <w:spacing w:line="280" w:lineRule="exact"/>
              <w:rPr>
                <w:rFonts w:hint="eastAsia" w:ascii="Times New Roman" w:hAnsi="Times New Roman" w:eastAsia="宋体" w:cs="Times New Roman"/>
                <w:color w:val="000000"/>
                <w:sz w:val="18"/>
                <w:szCs w:val="18"/>
                <w:highlight w:val="none"/>
                <w:lang w:val="en-US" w:eastAsia="zh-CN" w:bidi="ar-SA"/>
              </w:rPr>
            </w:pPr>
            <w:r>
              <w:rPr>
                <w:rFonts w:hint="eastAsia"/>
                <w:color w:val="000000"/>
                <w:sz w:val="21"/>
                <w:szCs w:val="21"/>
                <w:highlight w:val="none"/>
                <w:lang w:eastAsia="zh-CN"/>
              </w:rPr>
              <w:t>含油废棉丝</w:t>
            </w:r>
          </w:p>
        </w:tc>
        <w:tc>
          <w:tcPr>
            <w:tcW w:w="1142" w:type="dxa"/>
            <w:tcBorders>
              <w:top w:val="single" w:color="auto" w:sz="4" w:space="0"/>
              <w:left w:val="single" w:color="000000" w:sz="6" w:space="0"/>
              <w:bottom w:val="single" w:color="auto" w:sz="4" w:space="0"/>
              <w:right w:val="single" w:color="000000" w:sz="6" w:space="0"/>
            </w:tcBorders>
            <w:vAlign w:val="center"/>
          </w:tcPr>
          <w:p>
            <w:pPr>
              <w:pStyle w:val="420"/>
              <w:spacing w:line="280" w:lineRule="exact"/>
              <w:ind w:firstLine="360" w:firstLineChars="200"/>
              <w:rPr>
                <w:rFonts w:hint="default" w:ascii="Times New Roman" w:hAnsi="Times New Roman" w:eastAsia="宋体" w:cs="Times New Roman"/>
                <w:color w:val="auto"/>
                <w:sz w:val="18"/>
                <w:szCs w:val="18"/>
                <w:highlight w:val="none"/>
                <w:lang w:val="en-US" w:eastAsia="zh-CN" w:bidi="ar-SA"/>
              </w:rPr>
            </w:pPr>
            <w:r>
              <w:rPr>
                <w:color w:val="auto"/>
                <w:sz w:val="18"/>
                <w:szCs w:val="18"/>
                <w:highlight w:val="none"/>
              </w:rPr>
              <w:t>HW</w:t>
            </w:r>
            <w:r>
              <w:rPr>
                <w:rFonts w:hint="eastAsia"/>
                <w:color w:val="auto"/>
                <w:sz w:val="18"/>
                <w:szCs w:val="18"/>
                <w:highlight w:val="none"/>
                <w:lang w:val="en-US" w:eastAsia="zh-CN"/>
              </w:rPr>
              <w:t>49</w:t>
            </w:r>
          </w:p>
        </w:tc>
        <w:tc>
          <w:tcPr>
            <w:tcW w:w="1295" w:type="dxa"/>
            <w:tcBorders>
              <w:top w:val="single" w:color="auto" w:sz="4" w:space="0"/>
              <w:left w:val="single" w:color="000000" w:sz="6" w:space="0"/>
              <w:bottom w:val="single" w:color="auto" w:sz="4" w:space="0"/>
              <w:right w:val="single" w:color="000000" w:sz="6" w:space="0"/>
            </w:tcBorders>
            <w:vAlign w:val="center"/>
          </w:tcPr>
          <w:p>
            <w:pPr>
              <w:pStyle w:val="420"/>
              <w:widowControl w:val="0"/>
              <w:spacing w:line="280" w:lineRule="exact"/>
              <w:jc w:val="center"/>
              <w:rPr>
                <w:rFonts w:hint="default" w:ascii="Times New Roman" w:hAnsi="Times New Roman" w:eastAsia="宋体" w:cs="Times New Roman"/>
                <w:color w:val="auto"/>
                <w:sz w:val="18"/>
                <w:szCs w:val="18"/>
                <w:highlight w:val="none"/>
                <w:lang w:val="en-US" w:eastAsia="zh-CN" w:bidi="ar-SA"/>
              </w:rPr>
            </w:pPr>
            <w:r>
              <w:rPr>
                <w:color w:val="auto"/>
                <w:sz w:val="18"/>
                <w:szCs w:val="18"/>
                <w:highlight w:val="none"/>
              </w:rPr>
              <w:t>900-</w:t>
            </w:r>
            <w:r>
              <w:rPr>
                <w:rFonts w:hint="eastAsia"/>
                <w:color w:val="auto"/>
                <w:sz w:val="18"/>
                <w:szCs w:val="18"/>
                <w:highlight w:val="none"/>
                <w:lang w:val="en-US" w:eastAsia="zh-CN"/>
              </w:rPr>
              <w:t>041</w:t>
            </w:r>
            <w:r>
              <w:rPr>
                <w:color w:val="auto"/>
                <w:sz w:val="18"/>
                <w:szCs w:val="18"/>
                <w:highlight w:val="none"/>
              </w:rPr>
              <w:t>-</w:t>
            </w:r>
            <w:r>
              <w:rPr>
                <w:rFonts w:hint="eastAsia"/>
                <w:color w:val="auto"/>
                <w:sz w:val="18"/>
                <w:szCs w:val="18"/>
                <w:highlight w:val="none"/>
                <w:lang w:val="en-US" w:eastAsia="zh-CN"/>
              </w:rPr>
              <w:t>49</w:t>
            </w:r>
          </w:p>
        </w:tc>
        <w:tc>
          <w:tcPr>
            <w:tcW w:w="718" w:type="dxa"/>
            <w:vMerge w:val="continue"/>
            <w:tcBorders>
              <w:left w:val="single" w:color="000000" w:sz="6" w:space="0"/>
              <w:right w:val="single" w:color="000000" w:sz="6" w:space="0"/>
            </w:tcBorders>
            <w:vAlign w:val="center"/>
          </w:tcPr>
          <w:p>
            <w:pPr>
              <w:pStyle w:val="420"/>
              <w:widowControl w:val="0"/>
              <w:spacing w:line="280" w:lineRule="exact"/>
              <w:jc w:val="center"/>
              <w:rPr>
                <w:rFonts w:hint="eastAsia" w:ascii="Times New Roman" w:hAnsi="Times New Roman" w:eastAsia="宋体" w:cs="Times New Roman"/>
                <w:color w:val="000000"/>
                <w:sz w:val="18"/>
                <w:szCs w:val="18"/>
                <w:highlight w:val="none"/>
                <w:lang w:val="en-US" w:eastAsia="zh-CN" w:bidi="ar-SA"/>
              </w:rPr>
            </w:pPr>
          </w:p>
        </w:tc>
        <w:tc>
          <w:tcPr>
            <w:tcW w:w="709" w:type="dxa"/>
            <w:vMerge w:val="continue"/>
            <w:tcBorders>
              <w:left w:val="single" w:color="000000" w:sz="6" w:space="0"/>
              <w:right w:val="single" w:color="000000" w:sz="6" w:space="0"/>
            </w:tcBorders>
            <w:vAlign w:val="center"/>
          </w:tcPr>
          <w:p>
            <w:pPr>
              <w:pStyle w:val="402"/>
              <w:spacing w:line="300" w:lineRule="exact"/>
              <w:ind w:left="38" w:right="21"/>
              <w:jc w:val="center"/>
              <w:rPr>
                <w:rFonts w:ascii="Times New Roman" w:hAnsi="Times New Roman"/>
                <w:color w:val="000000"/>
                <w:sz w:val="21"/>
                <w:highlight w:val="none"/>
              </w:rPr>
            </w:pPr>
          </w:p>
        </w:tc>
        <w:tc>
          <w:tcPr>
            <w:tcW w:w="709" w:type="dxa"/>
            <w:tcBorders>
              <w:top w:val="single" w:color="000000" w:sz="6" w:space="0"/>
              <w:left w:val="single" w:color="000000" w:sz="6" w:space="0"/>
              <w:bottom w:val="single" w:color="000000" w:sz="6" w:space="0"/>
              <w:right w:val="single" w:color="000000" w:sz="6" w:space="0"/>
            </w:tcBorders>
            <w:vAlign w:val="center"/>
          </w:tcPr>
          <w:p>
            <w:pPr>
              <w:pStyle w:val="402"/>
              <w:spacing w:line="300" w:lineRule="exact"/>
              <w:ind w:left="38" w:right="21"/>
              <w:jc w:val="center"/>
              <w:rPr>
                <w:rFonts w:hint="eastAsia" w:ascii="Times New Roman" w:hAnsi="Times New Roman" w:eastAsia="宋体"/>
                <w:color w:val="000000"/>
                <w:sz w:val="21"/>
                <w:highlight w:val="none"/>
                <w:lang w:eastAsia="zh-CN"/>
              </w:rPr>
            </w:pPr>
            <w:r>
              <w:rPr>
                <w:rFonts w:hint="eastAsia" w:ascii="Times New Roman" w:hAnsi="Times New Roman"/>
                <w:color w:val="000000"/>
                <w:sz w:val="21"/>
                <w:highlight w:val="none"/>
                <w:lang w:eastAsia="zh-CN"/>
              </w:rPr>
              <w:t>密封袋装</w:t>
            </w:r>
          </w:p>
        </w:tc>
        <w:tc>
          <w:tcPr>
            <w:tcW w:w="883" w:type="dxa"/>
            <w:tcBorders>
              <w:top w:val="single" w:color="auto" w:sz="4" w:space="0"/>
              <w:left w:val="single" w:color="000000" w:sz="6" w:space="0"/>
              <w:bottom w:val="single" w:color="auto" w:sz="4" w:space="0"/>
            </w:tcBorders>
            <w:vAlign w:val="center"/>
          </w:tcPr>
          <w:p>
            <w:pPr>
              <w:spacing w:line="300" w:lineRule="exact"/>
              <w:jc w:val="center"/>
              <w:rPr>
                <w:rFonts w:hint="eastAsia"/>
                <w:color w:val="000000"/>
                <w:highlight w:val="none"/>
              </w:rPr>
            </w:pPr>
            <w:r>
              <w:rPr>
                <w:rFonts w:hint="eastAsia"/>
                <w:color w:val="000000"/>
                <w:highlight w:val="none"/>
              </w:rPr>
              <w:t>0.0</w:t>
            </w:r>
            <w:r>
              <w:rPr>
                <w:rFonts w:hint="eastAsia"/>
                <w:color w:val="000000"/>
                <w:highlight w:val="none"/>
                <w:lang w:val="en-US" w:eastAsia="zh-CN"/>
              </w:rPr>
              <w:t>05</w:t>
            </w:r>
            <w:r>
              <w:rPr>
                <w:rFonts w:hint="eastAsia"/>
                <w:color w:val="000000"/>
                <w:highlight w:val="none"/>
              </w:rPr>
              <w:t>t</w:t>
            </w:r>
            <w:r>
              <w:rPr>
                <w:color w:val="000000"/>
                <w:highlight w:val="none"/>
              </w:rPr>
              <w:t>/a</w:t>
            </w:r>
          </w:p>
        </w:tc>
        <w:tc>
          <w:tcPr>
            <w:tcW w:w="883" w:type="dxa"/>
            <w:vMerge w:val="continue"/>
            <w:tcBorders>
              <w:left w:val="single" w:color="000000" w:sz="6" w:space="0"/>
            </w:tcBorders>
            <w:vAlign w:val="center"/>
          </w:tcPr>
          <w:p>
            <w:pPr>
              <w:spacing w:line="300" w:lineRule="exact"/>
              <w:jc w:val="center"/>
              <w:rPr>
                <w:color w:val="000000"/>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jc w:val="center"/>
        </w:trPr>
        <w:tc>
          <w:tcPr>
            <w:tcW w:w="824" w:type="dxa"/>
            <w:tcBorders>
              <w:right w:val="single" w:color="000000" w:sz="6" w:space="0"/>
            </w:tcBorders>
            <w:vAlign w:val="center"/>
          </w:tcPr>
          <w:p>
            <w:pPr>
              <w:pStyle w:val="402"/>
              <w:spacing w:line="300" w:lineRule="exact"/>
              <w:jc w:val="center"/>
              <w:rPr>
                <w:rFonts w:hint="eastAsia" w:ascii="Times New Roman" w:hAnsi="Times New Roman" w:eastAsia="宋体"/>
                <w:color w:val="000000"/>
                <w:sz w:val="21"/>
                <w:highlight w:val="none"/>
                <w:lang w:val="en-US" w:eastAsia="zh-CN"/>
              </w:rPr>
            </w:pPr>
            <w:r>
              <w:rPr>
                <w:rFonts w:hint="eastAsia" w:ascii="Times New Roman" w:hAnsi="Times New Roman"/>
                <w:color w:val="000000"/>
                <w:sz w:val="21"/>
                <w:highlight w:val="none"/>
                <w:lang w:val="en-US" w:eastAsia="zh-CN"/>
              </w:rPr>
              <w:t>/</w:t>
            </w:r>
          </w:p>
        </w:tc>
        <w:tc>
          <w:tcPr>
            <w:tcW w:w="1079" w:type="dxa"/>
            <w:tcBorders>
              <w:top w:val="single" w:color="auto" w:sz="4" w:space="0"/>
              <w:left w:val="single" w:color="000000" w:sz="6" w:space="0"/>
              <w:right w:val="single" w:color="000000" w:sz="6" w:space="0"/>
            </w:tcBorders>
            <w:vAlign w:val="center"/>
          </w:tcPr>
          <w:p>
            <w:pPr>
              <w:pStyle w:val="420"/>
              <w:widowControl w:val="0"/>
              <w:spacing w:line="280" w:lineRule="exact"/>
              <w:rPr>
                <w:rFonts w:hint="default"/>
                <w:color w:val="000000"/>
                <w:sz w:val="18"/>
                <w:szCs w:val="18"/>
                <w:highlight w:val="none"/>
                <w:lang w:val="en-US" w:eastAsia="zh-CN"/>
              </w:rPr>
            </w:pPr>
            <w:r>
              <w:rPr>
                <w:rFonts w:hint="eastAsia"/>
                <w:color w:val="000000"/>
                <w:sz w:val="18"/>
                <w:szCs w:val="18"/>
                <w:highlight w:val="none"/>
                <w:lang w:val="en-US" w:eastAsia="zh-CN"/>
              </w:rPr>
              <w:t xml:space="preserve"> 废变压器油</w:t>
            </w:r>
          </w:p>
        </w:tc>
        <w:tc>
          <w:tcPr>
            <w:tcW w:w="1142" w:type="dxa"/>
            <w:tcBorders>
              <w:top w:val="single" w:color="auto" w:sz="4" w:space="0"/>
              <w:left w:val="single" w:color="000000" w:sz="6" w:space="0"/>
              <w:right w:val="single" w:color="000000" w:sz="6" w:space="0"/>
            </w:tcBorders>
            <w:vAlign w:val="center"/>
          </w:tcPr>
          <w:p>
            <w:pPr>
              <w:pStyle w:val="420"/>
              <w:spacing w:line="280" w:lineRule="exact"/>
              <w:ind w:firstLine="360" w:firstLineChars="200"/>
              <w:rPr>
                <w:rFonts w:hint="default" w:ascii="Times New Roman" w:hAnsi="Times New Roman" w:eastAsia="宋体" w:cs="Times New Roman"/>
                <w:color w:val="auto"/>
                <w:sz w:val="18"/>
                <w:szCs w:val="18"/>
                <w:highlight w:val="none"/>
                <w:lang w:val="en-US" w:eastAsia="zh-CN" w:bidi="ar-SA"/>
              </w:rPr>
            </w:pPr>
            <w:r>
              <w:rPr>
                <w:color w:val="auto"/>
                <w:sz w:val="18"/>
                <w:szCs w:val="18"/>
                <w:highlight w:val="none"/>
              </w:rPr>
              <w:t>HW</w:t>
            </w:r>
            <w:r>
              <w:rPr>
                <w:rFonts w:hint="eastAsia"/>
                <w:color w:val="auto"/>
                <w:sz w:val="18"/>
                <w:szCs w:val="18"/>
                <w:highlight w:val="none"/>
                <w:lang w:val="en-US" w:eastAsia="zh-CN"/>
              </w:rPr>
              <w:t>08</w:t>
            </w:r>
          </w:p>
        </w:tc>
        <w:tc>
          <w:tcPr>
            <w:tcW w:w="1295" w:type="dxa"/>
            <w:tcBorders>
              <w:top w:val="single" w:color="auto" w:sz="4" w:space="0"/>
              <w:left w:val="single" w:color="000000" w:sz="6" w:space="0"/>
              <w:right w:val="single" w:color="000000" w:sz="6" w:space="0"/>
            </w:tcBorders>
            <w:vAlign w:val="center"/>
          </w:tcPr>
          <w:p>
            <w:pPr>
              <w:pStyle w:val="420"/>
              <w:widowControl w:val="0"/>
              <w:spacing w:line="280" w:lineRule="exact"/>
              <w:jc w:val="center"/>
              <w:rPr>
                <w:rFonts w:ascii="Times New Roman" w:hAnsi="Times New Roman" w:eastAsia="宋体" w:cs="Times New Roman"/>
                <w:color w:val="auto"/>
                <w:sz w:val="18"/>
                <w:szCs w:val="18"/>
                <w:highlight w:val="none"/>
                <w:lang w:val="en-US" w:eastAsia="zh-CN" w:bidi="ar-SA"/>
              </w:rPr>
            </w:pPr>
            <w:r>
              <w:rPr>
                <w:color w:val="auto"/>
                <w:sz w:val="18"/>
                <w:szCs w:val="18"/>
                <w:highlight w:val="none"/>
              </w:rPr>
              <w:t>900-</w:t>
            </w:r>
            <w:r>
              <w:rPr>
                <w:rFonts w:hint="eastAsia"/>
                <w:color w:val="auto"/>
                <w:sz w:val="18"/>
                <w:szCs w:val="18"/>
                <w:highlight w:val="none"/>
              </w:rPr>
              <w:t>2</w:t>
            </w:r>
            <w:r>
              <w:rPr>
                <w:rFonts w:hint="eastAsia"/>
                <w:color w:val="auto"/>
                <w:sz w:val="18"/>
                <w:szCs w:val="18"/>
                <w:highlight w:val="none"/>
                <w:lang w:val="en-US" w:eastAsia="zh-CN"/>
              </w:rPr>
              <w:t>00</w:t>
            </w:r>
            <w:r>
              <w:rPr>
                <w:color w:val="auto"/>
                <w:sz w:val="18"/>
                <w:szCs w:val="18"/>
                <w:highlight w:val="none"/>
              </w:rPr>
              <w:t>-</w:t>
            </w:r>
            <w:r>
              <w:rPr>
                <w:rFonts w:hint="eastAsia"/>
                <w:color w:val="auto"/>
                <w:sz w:val="18"/>
                <w:szCs w:val="18"/>
                <w:highlight w:val="none"/>
              </w:rPr>
              <w:t>08</w:t>
            </w:r>
          </w:p>
        </w:tc>
        <w:tc>
          <w:tcPr>
            <w:tcW w:w="718" w:type="dxa"/>
            <w:tcBorders>
              <w:left w:val="single" w:color="000000" w:sz="6" w:space="0"/>
              <w:right w:val="single" w:color="000000" w:sz="6" w:space="0"/>
            </w:tcBorders>
            <w:vAlign w:val="center"/>
          </w:tcPr>
          <w:p>
            <w:pPr>
              <w:pStyle w:val="420"/>
              <w:widowControl w:val="0"/>
              <w:spacing w:line="280" w:lineRule="exact"/>
              <w:jc w:val="center"/>
              <w:rPr>
                <w:rFonts w:hint="default" w:ascii="Times New Roman" w:hAnsi="Times New Roman" w:eastAsia="宋体" w:cs="Times New Roman"/>
                <w:color w:val="000000"/>
                <w:sz w:val="18"/>
                <w:szCs w:val="18"/>
                <w:highlight w:val="none"/>
                <w:lang w:val="en-US" w:eastAsia="zh-CN" w:bidi="ar-SA"/>
              </w:rPr>
            </w:pPr>
            <w:r>
              <w:rPr>
                <w:rFonts w:hint="eastAsia" w:cs="Times New Roman"/>
                <w:color w:val="000000"/>
                <w:sz w:val="18"/>
                <w:szCs w:val="18"/>
                <w:highlight w:val="none"/>
                <w:lang w:val="en-US" w:eastAsia="zh-CN" w:bidi="ar-SA"/>
              </w:rPr>
              <w:t>/</w:t>
            </w:r>
          </w:p>
        </w:tc>
        <w:tc>
          <w:tcPr>
            <w:tcW w:w="709" w:type="dxa"/>
            <w:tcBorders>
              <w:left w:val="single" w:color="000000" w:sz="6" w:space="0"/>
              <w:right w:val="single" w:color="000000" w:sz="6" w:space="0"/>
            </w:tcBorders>
            <w:vAlign w:val="center"/>
          </w:tcPr>
          <w:p>
            <w:pPr>
              <w:pStyle w:val="402"/>
              <w:spacing w:line="300" w:lineRule="exact"/>
              <w:ind w:left="38" w:right="21"/>
              <w:jc w:val="center"/>
              <w:rPr>
                <w:rFonts w:hint="eastAsia" w:ascii="Times New Roman" w:hAnsi="Times New Roman" w:eastAsia="宋体"/>
                <w:color w:val="000000"/>
                <w:sz w:val="21"/>
                <w:highlight w:val="none"/>
                <w:lang w:val="en-US" w:eastAsia="zh-CN"/>
              </w:rPr>
            </w:pPr>
            <w:r>
              <w:rPr>
                <w:rFonts w:hint="eastAsia" w:ascii="Times New Roman" w:hAnsi="Times New Roman"/>
                <w:color w:val="000000"/>
                <w:sz w:val="21"/>
                <w:highlight w:val="none"/>
                <w:lang w:val="en-US" w:eastAsia="zh-CN"/>
              </w:rPr>
              <w:t>/</w:t>
            </w:r>
          </w:p>
        </w:tc>
        <w:tc>
          <w:tcPr>
            <w:tcW w:w="709" w:type="dxa"/>
            <w:tcBorders>
              <w:top w:val="single" w:color="000000" w:sz="6" w:space="0"/>
              <w:left w:val="single" w:color="000000" w:sz="6" w:space="0"/>
              <w:right w:val="single" w:color="000000" w:sz="6" w:space="0"/>
            </w:tcBorders>
            <w:vAlign w:val="center"/>
          </w:tcPr>
          <w:p>
            <w:pPr>
              <w:pStyle w:val="402"/>
              <w:spacing w:line="300" w:lineRule="exact"/>
              <w:ind w:left="38" w:right="21"/>
              <w:jc w:val="center"/>
              <w:rPr>
                <w:rFonts w:hint="default" w:ascii="Times New Roman" w:hAnsi="Times New Roman"/>
                <w:color w:val="000000"/>
                <w:sz w:val="21"/>
                <w:highlight w:val="none"/>
                <w:lang w:val="en-US" w:eastAsia="zh-CN"/>
              </w:rPr>
            </w:pPr>
            <w:r>
              <w:rPr>
                <w:rFonts w:hint="eastAsia" w:ascii="Times New Roman" w:hAnsi="Times New Roman"/>
                <w:color w:val="000000"/>
                <w:sz w:val="21"/>
                <w:highlight w:val="none"/>
                <w:lang w:val="en-US" w:eastAsia="zh-CN"/>
              </w:rPr>
              <w:t>更换后由厂家带走</w:t>
            </w:r>
          </w:p>
        </w:tc>
        <w:tc>
          <w:tcPr>
            <w:tcW w:w="883" w:type="dxa"/>
            <w:tcBorders>
              <w:top w:val="single" w:color="auto" w:sz="4" w:space="0"/>
              <w:left w:val="single" w:color="000000" w:sz="6" w:space="0"/>
              <w:bottom w:val="single" w:color="auto" w:sz="4" w:space="0"/>
            </w:tcBorders>
            <w:vAlign w:val="center"/>
          </w:tcPr>
          <w:p>
            <w:pPr>
              <w:spacing w:line="300" w:lineRule="exact"/>
              <w:jc w:val="center"/>
              <w:rPr>
                <w:rFonts w:hint="eastAsia"/>
                <w:color w:val="000000"/>
                <w:highlight w:val="none"/>
              </w:rPr>
            </w:pPr>
            <w:r>
              <w:rPr>
                <w:rFonts w:hint="eastAsia"/>
                <w:color w:val="000000"/>
                <w:highlight w:val="none"/>
              </w:rPr>
              <w:t>0.0</w:t>
            </w:r>
            <w:r>
              <w:rPr>
                <w:rFonts w:hint="eastAsia"/>
                <w:color w:val="000000"/>
                <w:highlight w:val="none"/>
                <w:lang w:val="en-US" w:eastAsia="zh-CN"/>
              </w:rPr>
              <w:t>8</w:t>
            </w:r>
            <w:r>
              <w:rPr>
                <w:rFonts w:hint="eastAsia"/>
                <w:color w:val="000000"/>
                <w:highlight w:val="none"/>
              </w:rPr>
              <w:t>t</w:t>
            </w:r>
            <w:r>
              <w:rPr>
                <w:color w:val="000000"/>
                <w:highlight w:val="none"/>
              </w:rPr>
              <w:t>/</w:t>
            </w:r>
            <w:r>
              <w:rPr>
                <w:rFonts w:hint="eastAsia"/>
                <w:color w:val="000000"/>
                <w:highlight w:val="none"/>
                <w:lang w:val="en-US" w:eastAsia="zh-CN"/>
              </w:rPr>
              <w:t>5</w:t>
            </w:r>
            <w:r>
              <w:rPr>
                <w:color w:val="000000"/>
                <w:highlight w:val="none"/>
              </w:rPr>
              <w:t>a</w:t>
            </w:r>
          </w:p>
        </w:tc>
        <w:tc>
          <w:tcPr>
            <w:tcW w:w="883" w:type="dxa"/>
            <w:tcBorders>
              <w:left w:val="single" w:color="000000" w:sz="6" w:space="0"/>
            </w:tcBorders>
            <w:vAlign w:val="center"/>
          </w:tcPr>
          <w:p>
            <w:pPr>
              <w:spacing w:line="300" w:lineRule="exact"/>
              <w:jc w:val="center"/>
              <w:rPr>
                <w:rFonts w:hint="eastAsia" w:eastAsia="宋体"/>
                <w:color w:val="000000"/>
                <w:highlight w:val="none"/>
                <w:lang w:val="en-US" w:eastAsia="zh-CN"/>
              </w:rPr>
            </w:pPr>
            <w:r>
              <w:rPr>
                <w:rFonts w:hint="eastAsia"/>
                <w:color w:val="000000"/>
                <w:highlight w:val="none"/>
                <w:lang w:val="en-US" w:eastAsia="zh-CN"/>
              </w:rPr>
              <w:t>/</w:t>
            </w:r>
          </w:p>
        </w:tc>
      </w:tr>
    </w:tbl>
    <w:p>
      <w:pPr>
        <w:pStyle w:val="420"/>
        <w:widowControl w:val="0"/>
        <w:spacing w:line="480" w:lineRule="exact"/>
        <w:ind w:firstLine="480" w:firstLineChars="200"/>
        <w:jc w:val="both"/>
        <w:rPr>
          <w:color w:val="000000"/>
          <w:highlight w:val="none"/>
        </w:rPr>
      </w:pPr>
      <w:r>
        <w:rPr>
          <w:color w:val="000000"/>
          <w:highlight w:val="none"/>
        </w:rPr>
        <w:t>综合以上分析可知，项目生产运行过程中所产生固体废物分类收集，均得到合适、有效处置，污染防治措施可行，对外环境的影响较小。</w:t>
      </w:r>
    </w:p>
    <w:p>
      <w:pPr>
        <w:spacing w:line="460" w:lineRule="exact"/>
        <w:outlineLvl w:val="1"/>
        <w:rPr>
          <w:b/>
          <w:color w:val="auto"/>
          <w:sz w:val="24"/>
          <w:highlight w:val="none"/>
        </w:rPr>
      </w:pPr>
      <w:bookmarkStart w:id="261" w:name="_Toc135"/>
      <w:r>
        <w:rPr>
          <w:rFonts w:hint="eastAsia"/>
          <w:b/>
          <w:color w:val="auto"/>
          <w:sz w:val="24"/>
          <w:highlight w:val="none"/>
        </w:rPr>
        <w:t>5.</w:t>
      </w:r>
      <w:r>
        <w:rPr>
          <w:rFonts w:hint="eastAsia"/>
          <w:b/>
          <w:color w:val="auto"/>
          <w:sz w:val="24"/>
          <w:highlight w:val="none"/>
          <w:lang w:val="en-US" w:eastAsia="zh-CN"/>
        </w:rPr>
        <w:t>9</w:t>
      </w:r>
      <w:r>
        <w:rPr>
          <w:b/>
          <w:color w:val="auto"/>
          <w:sz w:val="24"/>
          <w:highlight w:val="none"/>
        </w:rPr>
        <w:t>土壤环境影响分析</w:t>
      </w:r>
      <w:bookmarkEnd w:id="261"/>
    </w:p>
    <w:p>
      <w:pPr>
        <w:spacing w:line="460" w:lineRule="exact"/>
        <w:rPr>
          <w:b/>
          <w:sz w:val="24"/>
          <w:highlight w:val="none"/>
        </w:rPr>
      </w:pPr>
      <w:r>
        <w:rPr>
          <w:rFonts w:hint="eastAsia"/>
          <w:b/>
          <w:sz w:val="24"/>
          <w:highlight w:val="none"/>
        </w:rPr>
        <w:t>5.</w:t>
      </w:r>
      <w:r>
        <w:rPr>
          <w:rFonts w:hint="eastAsia"/>
          <w:b/>
          <w:sz w:val="24"/>
          <w:highlight w:val="none"/>
          <w:lang w:val="en-US" w:eastAsia="zh-CN"/>
        </w:rPr>
        <w:t>9.</w:t>
      </w:r>
      <w:r>
        <w:rPr>
          <w:b/>
          <w:sz w:val="24"/>
          <w:highlight w:val="none"/>
        </w:rPr>
        <w:t>1环境影响识别</w:t>
      </w:r>
    </w:p>
    <w:p>
      <w:pPr>
        <w:spacing w:line="460" w:lineRule="exact"/>
        <w:ind w:firstLine="480" w:firstLineChars="200"/>
        <w:rPr>
          <w:sz w:val="24"/>
          <w:highlight w:val="none"/>
        </w:rPr>
      </w:pPr>
      <w:r>
        <w:rPr>
          <w:rFonts w:hint="eastAsia"/>
          <w:sz w:val="24"/>
          <w:highlight w:val="none"/>
        </w:rPr>
        <w:t>本项目为水力发电项目，属于生态影响型项目，根据《环境影响评价技术导则-土壤影响（试行）》（HJ964-2018），属于附录 A 的 II 类项目。根据前文分析，可知本项目土壤评价等级为三级。</w:t>
      </w:r>
    </w:p>
    <w:p>
      <w:pPr>
        <w:spacing w:line="460" w:lineRule="exact"/>
        <w:rPr>
          <w:b/>
          <w:bCs/>
          <w:color w:val="000000"/>
          <w:sz w:val="24"/>
          <w:highlight w:val="none"/>
        </w:rPr>
      </w:pPr>
      <w:r>
        <w:rPr>
          <w:rFonts w:hint="eastAsia"/>
          <w:b/>
          <w:bCs/>
          <w:color w:val="000000"/>
          <w:sz w:val="24"/>
          <w:highlight w:val="none"/>
        </w:rPr>
        <w:t>5.</w:t>
      </w:r>
      <w:r>
        <w:rPr>
          <w:rFonts w:hint="eastAsia"/>
          <w:b/>
          <w:bCs/>
          <w:color w:val="000000"/>
          <w:sz w:val="24"/>
          <w:highlight w:val="none"/>
          <w:lang w:val="en-US" w:eastAsia="zh-CN"/>
        </w:rPr>
        <w:t>9</w:t>
      </w:r>
      <w:r>
        <w:rPr>
          <w:rFonts w:hint="eastAsia"/>
          <w:b/>
          <w:bCs/>
          <w:color w:val="000000"/>
          <w:sz w:val="24"/>
          <w:highlight w:val="none"/>
        </w:rPr>
        <w:t>.2 土壤环境影响识别</w:t>
      </w:r>
    </w:p>
    <w:p>
      <w:pPr>
        <w:spacing w:line="460" w:lineRule="exact"/>
        <w:ind w:firstLine="480" w:firstLineChars="200"/>
        <w:rPr>
          <w:color w:val="auto"/>
          <w:sz w:val="24"/>
          <w:highlight w:val="none"/>
        </w:rPr>
      </w:pPr>
      <w:r>
        <w:rPr>
          <w:rFonts w:hint="eastAsia"/>
          <w:color w:val="000000"/>
          <w:sz w:val="24"/>
          <w:highlight w:val="none"/>
        </w:rPr>
        <w:t>根据现状监测报告，发电厂房</w:t>
      </w:r>
      <w:r>
        <w:rPr>
          <w:rFonts w:hint="eastAsia"/>
          <w:color w:val="auto"/>
          <w:sz w:val="24"/>
          <w:highlight w:val="none"/>
        </w:rPr>
        <w:t>的土壤为中壤土，褐色，少量植物根系周边土壤为轻壤土，红色，少量植物根系。</w:t>
      </w:r>
    </w:p>
    <w:p>
      <w:pPr>
        <w:spacing w:line="460" w:lineRule="exact"/>
        <w:ind w:firstLine="480" w:firstLineChars="200"/>
        <w:rPr>
          <w:color w:val="auto"/>
          <w:sz w:val="24"/>
          <w:highlight w:val="none"/>
        </w:rPr>
      </w:pPr>
      <w:r>
        <w:rPr>
          <w:rFonts w:hint="eastAsia"/>
          <w:color w:val="auto"/>
          <w:sz w:val="24"/>
          <w:highlight w:val="none"/>
        </w:rPr>
        <w:t>土壤环境影响类型与影响途径见表 5.</w:t>
      </w:r>
      <w:r>
        <w:rPr>
          <w:rFonts w:hint="eastAsia"/>
          <w:color w:val="auto"/>
          <w:sz w:val="24"/>
          <w:highlight w:val="none"/>
          <w:lang w:val="en-US" w:eastAsia="zh-CN"/>
        </w:rPr>
        <w:t>9</w:t>
      </w:r>
      <w:r>
        <w:rPr>
          <w:rFonts w:hint="eastAsia"/>
          <w:color w:val="auto"/>
          <w:sz w:val="24"/>
          <w:highlight w:val="none"/>
        </w:rPr>
        <w:t>-1。土壤环境影响源及影响因子识别表见表 5.</w:t>
      </w:r>
      <w:r>
        <w:rPr>
          <w:rFonts w:hint="eastAsia"/>
          <w:color w:val="auto"/>
          <w:sz w:val="24"/>
          <w:highlight w:val="none"/>
          <w:lang w:val="en-US" w:eastAsia="zh-CN"/>
        </w:rPr>
        <w:t>9</w:t>
      </w:r>
      <w:r>
        <w:rPr>
          <w:rFonts w:hint="eastAsia"/>
          <w:color w:val="auto"/>
          <w:sz w:val="24"/>
          <w:highlight w:val="none"/>
        </w:rPr>
        <w:t>-2。</w:t>
      </w:r>
    </w:p>
    <w:p>
      <w:pPr>
        <w:spacing w:line="480" w:lineRule="exact"/>
        <w:jc w:val="center"/>
        <w:rPr>
          <w:b/>
          <w:bCs/>
          <w:color w:val="auto"/>
          <w:sz w:val="24"/>
          <w:highlight w:val="none"/>
        </w:rPr>
      </w:pPr>
      <w:r>
        <w:rPr>
          <w:rFonts w:hint="eastAsia"/>
          <w:b/>
          <w:bCs/>
          <w:color w:val="auto"/>
          <w:sz w:val="24"/>
          <w:highlight w:val="none"/>
        </w:rPr>
        <w:t>表5.</w:t>
      </w:r>
      <w:r>
        <w:rPr>
          <w:rFonts w:hint="eastAsia"/>
          <w:b/>
          <w:bCs/>
          <w:color w:val="auto"/>
          <w:sz w:val="24"/>
          <w:highlight w:val="none"/>
          <w:lang w:val="en-US" w:eastAsia="zh-CN"/>
        </w:rPr>
        <w:t>9</w:t>
      </w:r>
      <w:r>
        <w:rPr>
          <w:rFonts w:hint="eastAsia"/>
          <w:b/>
          <w:bCs/>
          <w:color w:val="auto"/>
          <w:sz w:val="24"/>
          <w:highlight w:val="none"/>
        </w:rPr>
        <w:t>-1 建设项目土壤环境影响类型与影响途径表</w:t>
      </w:r>
    </w:p>
    <w:tbl>
      <w:tblPr>
        <w:tblStyle w:val="51"/>
        <w:tblW w:w="8166" w:type="dxa"/>
        <w:jc w:val="center"/>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
      <w:tblGrid>
        <w:gridCol w:w="2032"/>
        <w:gridCol w:w="1875"/>
        <w:gridCol w:w="1395"/>
        <w:gridCol w:w="1275"/>
        <w:gridCol w:w="1589"/>
      </w:tblGrid>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13" w:hRule="atLeast"/>
          <w:jc w:val="center"/>
        </w:trPr>
        <w:tc>
          <w:tcPr>
            <w:tcW w:w="2032" w:type="dxa"/>
            <w:vMerge w:val="restart"/>
            <w:vAlign w:val="center"/>
          </w:tcPr>
          <w:p>
            <w:pPr>
              <w:spacing w:line="300" w:lineRule="exact"/>
              <w:jc w:val="center"/>
              <w:rPr>
                <w:bCs/>
                <w:color w:val="auto"/>
                <w:szCs w:val="21"/>
                <w:highlight w:val="none"/>
              </w:rPr>
            </w:pPr>
            <w:r>
              <w:rPr>
                <w:rFonts w:hint="eastAsia"/>
                <w:bCs/>
                <w:color w:val="auto"/>
                <w:szCs w:val="21"/>
                <w:highlight w:val="none"/>
              </w:rPr>
              <w:t>不同时段</w:t>
            </w:r>
          </w:p>
        </w:tc>
        <w:tc>
          <w:tcPr>
            <w:tcW w:w="6134" w:type="dxa"/>
            <w:gridSpan w:val="4"/>
            <w:tcBorders>
              <w:top w:val="single" w:color="auto" w:sz="4" w:space="0"/>
              <w:bottom w:val="single" w:color="auto" w:sz="4" w:space="0"/>
            </w:tcBorders>
            <w:vAlign w:val="center"/>
          </w:tcPr>
          <w:p>
            <w:pPr>
              <w:spacing w:line="300" w:lineRule="exact"/>
              <w:ind w:right="-426" w:rightChars="-203"/>
              <w:jc w:val="center"/>
              <w:rPr>
                <w:bCs/>
                <w:color w:val="auto"/>
                <w:szCs w:val="21"/>
                <w:highlight w:val="none"/>
              </w:rPr>
            </w:pPr>
            <w:r>
              <w:rPr>
                <w:rFonts w:hint="eastAsia"/>
                <w:bCs/>
                <w:color w:val="auto"/>
                <w:szCs w:val="21"/>
                <w:highlight w:val="none"/>
              </w:rPr>
              <w:t>生态影响型</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73" w:hRule="atLeast"/>
          <w:jc w:val="center"/>
        </w:trPr>
        <w:tc>
          <w:tcPr>
            <w:tcW w:w="2032" w:type="dxa"/>
            <w:vMerge w:val="continue"/>
            <w:vAlign w:val="center"/>
          </w:tcPr>
          <w:p>
            <w:pPr>
              <w:spacing w:line="300" w:lineRule="exact"/>
              <w:jc w:val="center"/>
              <w:rPr>
                <w:bCs/>
                <w:color w:val="auto"/>
                <w:szCs w:val="21"/>
                <w:highlight w:val="none"/>
              </w:rPr>
            </w:pPr>
          </w:p>
        </w:tc>
        <w:tc>
          <w:tcPr>
            <w:tcW w:w="1875" w:type="dxa"/>
            <w:tcBorders>
              <w:top w:val="single" w:color="auto" w:sz="4" w:space="0"/>
              <w:bottom w:val="single" w:color="auto" w:sz="4" w:space="0"/>
            </w:tcBorders>
            <w:vAlign w:val="center"/>
          </w:tcPr>
          <w:p>
            <w:pPr>
              <w:spacing w:line="300" w:lineRule="exact"/>
              <w:jc w:val="center"/>
              <w:rPr>
                <w:color w:val="auto"/>
                <w:szCs w:val="21"/>
                <w:highlight w:val="none"/>
              </w:rPr>
            </w:pPr>
            <w:r>
              <w:rPr>
                <w:rFonts w:hint="eastAsia"/>
                <w:color w:val="auto"/>
                <w:szCs w:val="21"/>
                <w:highlight w:val="none"/>
              </w:rPr>
              <w:t>盐化</w:t>
            </w:r>
          </w:p>
        </w:tc>
        <w:tc>
          <w:tcPr>
            <w:tcW w:w="1395" w:type="dxa"/>
            <w:tcBorders>
              <w:top w:val="single" w:color="auto" w:sz="4" w:space="0"/>
              <w:bottom w:val="single" w:color="auto" w:sz="4" w:space="0"/>
            </w:tcBorders>
            <w:vAlign w:val="center"/>
          </w:tcPr>
          <w:p>
            <w:pPr>
              <w:spacing w:line="300" w:lineRule="exact"/>
              <w:jc w:val="center"/>
              <w:rPr>
                <w:bCs/>
                <w:color w:val="auto"/>
                <w:szCs w:val="21"/>
                <w:highlight w:val="none"/>
              </w:rPr>
            </w:pPr>
            <w:r>
              <w:rPr>
                <w:rFonts w:hint="eastAsia"/>
                <w:bCs/>
                <w:color w:val="auto"/>
                <w:szCs w:val="21"/>
                <w:highlight w:val="none"/>
              </w:rPr>
              <w:t>碱化</w:t>
            </w:r>
          </w:p>
        </w:tc>
        <w:tc>
          <w:tcPr>
            <w:tcW w:w="1275" w:type="dxa"/>
            <w:tcBorders>
              <w:top w:val="single" w:color="auto" w:sz="4" w:space="0"/>
              <w:bottom w:val="single" w:color="auto" w:sz="4" w:space="0"/>
            </w:tcBorders>
            <w:vAlign w:val="center"/>
          </w:tcPr>
          <w:p>
            <w:pPr>
              <w:spacing w:line="300" w:lineRule="exact"/>
              <w:jc w:val="center"/>
              <w:rPr>
                <w:bCs/>
                <w:color w:val="auto"/>
                <w:szCs w:val="21"/>
                <w:highlight w:val="none"/>
              </w:rPr>
            </w:pPr>
            <w:r>
              <w:rPr>
                <w:rFonts w:hint="eastAsia"/>
                <w:bCs/>
                <w:color w:val="auto"/>
                <w:szCs w:val="21"/>
                <w:highlight w:val="none"/>
              </w:rPr>
              <w:t>酸化</w:t>
            </w:r>
          </w:p>
        </w:tc>
        <w:tc>
          <w:tcPr>
            <w:tcW w:w="1589" w:type="dxa"/>
            <w:tcBorders>
              <w:top w:val="single" w:color="auto" w:sz="4" w:space="0"/>
              <w:bottom w:val="single" w:color="auto" w:sz="4" w:space="0"/>
            </w:tcBorders>
            <w:vAlign w:val="center"/>
          </w:tcPr>
          <w:p>
            <w:pPr>
              <w:spacing w:line="300" w:lineRule="exact"/>
              <w:jc w:val="center"/>
              <w:rPr>
                <w:bCs/>
                <w:color w:val="auto"/>
                <w:szCs w:val="21"/>
                <w:highlight w:val="none"/>
              </w:rPr>
            </w:pPr>
            <w:r>
              <w:rPr>
                <w:rFonts w:hint="eastAsia"/>
                <w:bCs/>
                <w:color w:val="auto"/>
                <w:szCs w:val="21"/>
                <w:highlight w:val="none"/>
              </w:rPr>
              <w:t>其他</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73" w:hRule="atLeast"/>
          <w:jc w:val="center"/>
        </w:trPr>
        <w:tc>
          <w:tcPr>
            <w:tcW w:w="2032" w:type="dxa"/>
            <w:vAlign w:val="center"/>
          </w:tcPr>
          <w:p>
            <w:pPr>
              <w:spacing w:line="300" w:lineRule="exact"/>
              <w:jc w:val="center"/>
              <w:rPr>
                <w:bCs/>
                <w:color w:val="auto"/>
                <w:szCs w:val="21"/>
                <w:highlight w:val="none"/>
              </w:rPr>
            </w:pPr>
            <w:r>
              <w:rPr>
                <w:rFonts w:hint="eastAsia"/>
                <w:bCs/>
                <w:color w:val="auto"/>
                <w:szCs w:val="21"/>
                <w:highlight w:val="none"/>
              </w:rPr>
              <w:t>建设期</w:t>
            </w:r>
          </w:p>
        </w:tc>
        <w:tc>
          <w:tcPr>
            <w:tcW w:w="1875" w:type="dxa"/>
            <w:tcBorders>
              <w:top w:val="single" w:color="auto" w:sz="4" w:space="0"/>
              <w:bottom w:val="single" w:color="auto" w:sz="4" w:space="0"/>
            </w:tcBorders>
            <w:vAlign w:val="center"/>
          </w:tcPr>
          <w:p>
            <w:pPr>
              <w:spacing w:line="300" w:lineRule="exact"/>
              <w:jc w:val="center"/>
              <w:rPr>
                <w:color w:val="auto"/>
                <w:szCs w:val="21"/>
                <w:highlight w:val="none"/>
              </w:rPr>
            </w:pPr>
          </w:p>
        </w:tc>
        <w:tc>
          <w:tcPr>
            <w:tcW w:w="1395" w:type="dxa"/>
            <w:tcBorders>
              <w:top w:val="single" w:color="auto" w:sz="4" w:space="0"/>
              <w:bottom w:val="single" w:color="auto" w:sz="4" w:space="0"/>
            </w:tcBorders>
            <w:vAlign w:val="center"/>
          </w:tcPr>
          <w:p>
            <w:pPr>
              <w:spacing w:line="300" w:lineRule="exact"/>
              <w:jc w:val="center"/>
              <w:rPr>
                <w:bCs/>
                <w:color w:val="auto"/>
                <w:szCs w:val="21"/>
                <w:highlight w:val="none"/>
              </w:rPr>
            </w:pPr>
          </w:p>
        </w:tc>
        <w:tc>
          <w:tcPr>
            <w:tcW w:w="1275" w:type="dxa"/>
            <w:tcBorders>
              <w:top w:val="single" w:color="auto" w:sz="4" w:space="0"/>
              <w:bottom w:val="single" w:color="auto" w:sz="4" w:space="0"/>
            </w:tcBorders>
            <w:vAlign w:val="center"/>
          </w:tcPr>
          <w:p>
            <w:pPr>
              <w:spacing w:line="300" w:lineRule="exact"/>
              <w:jc w:val="center"/>
              <w:rPr>
                <w:bCs/>
                <w:color w:val="auto"/>
                <w:szCs w:val="21"/>
                <w:highlight w:val="none"/>
              </w:rPr>
            </w:pPr>
          </w:p>
        </w:tc>
        <w:tc>
          <w:tcPr>
            <w:tcW w:w="1589" w:type="dxa"/>
            <w:tcBorders>
              <w:top w:val="single" w:color="auto" w:sz="4" w:space="0"/>
              <w:bottom w:val="single" w:color="auto" w:sz="4" w:space="0"/>
            </w:tcBorders>
            <w:vAlign w:val="center"/>
          </w:tcPr>
          <w:p>
            <w:pPr>
              <w:spacing w:line="300" w:lineRule="exact"/>
              <w:jc w:val="center"/>
              <w:rPr>
                <w:bCs/>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73" w:hRule="atLeast"/>
          <w:jc w:val="center"/>
        </w:trPr>
        <w:tc>
          <w:tcPr>
            <w:tcW w:w="2032" w:type="dxa"/>
            <w:vAlign w:val="center"/>
          </w:tcPr>
          <w:p>
            <w:pPr>
              <w:spacing w:line="300" w:lineRule="exact"/>
              <w:jc w:val="center"/>
              <w:rPr>
                <w:bCs/>
                <w:color w:val="auto"/>
                <w:szCs w:val="21"/>
                <w:highlight w:val="none"/>
              </w:rPr>
            </w:pPr>
            <w:r>
              <w:rPr>
                <w:rFonts w:hint="eastAsia"/>
                <w:bCs/>
                <w:color w:val="auto"/>
                <w:szCs w:val="21"/>
                <w:highlight w:val="none"/>
              </w:rPr>
              <w:t>运营期</w:t>
            </w:r>
          </w:p>
        </w:tc>
        <w:tc>
          <w:tcPr>
            <w:tcW w:w="1875" w:type="dxa"/>
            <w:tcBorders>
              <w:top w:val="single" w:color="auto" w:sz="4" w:space="0"/>
              <w:bottom w:val="single" w:color="auto" w:sz="4" w:space="0"/>
            </w:tcBorders>
            <w:vAlign w:val="center"/>
          </w:tcPr>
          <w:p>
            <w:pPr>
              <w:spacing w:line="300" w:lineRule="exact"/>
              <w:jc w:val="center"/>
              <w:rPr>
                <w:color w:val="auto"/>
                <w:szCs w:val="21"/>
                <w:highlight w:val="none"/>
              </w:rPr>
            </w:pPr>
            <w:r>
              <w:rPr>
                <w:rFonts w:hint="eastAsia"/>
                <w:b/>
                <w:bCs/>
                <w:color w:val="auto"/>
                <w:szCs w:val="21"/>
                <w:highlight w:val="none"/>
              </w:rPr>
              <w:t>√</w:t>
            </w:r>
          </w:p>
        </w:tc>
        <w:tc>
          <w:tcPr>
            <w:tcW w:w="1395" w:type="dxa"/>
            <w:tcBorders>
              <w:top w:val="single" w:color="auto" w:sz="4" w:space="0"/>
              <w:bottom w:val="single" w:color="auto" w:sz="4" w:space="0"/>
            </w:tcBorders>
            <w:vAlign w:val="center"/>
          </w:tcPr>
          <w:p>
            <w:pPr>
              <w:spacing w:line="300" w:lineRule="exact"/>
              <w:jc w:val="center"/>
              <w:rPr>
                <w:bCs/>
                <w:color w:val="auto"/>
                <w:szCs w:val="21"/>
                <w:highlight w:val="none"/>
              </w:rPr>
            </w:pPr>
            <w:r>
              <w:rPr>
                <w:rFonts w:hint="eastAsia"/>
                <w:b/>
                <w:bCs/>
                <w:color w:val="auto"/>
                <w:szCs w:val="21"/>
                <w:highlight w:val="none"/>
              </w:rPr>
              <w:t>√</w:t>
            </w:r>
          </w:p>
        </w:tc>
        <w:tc>
          <w:tcPr>
            <w:tcW w:w="1275" w:type="dxa"/>
            <w:tcBorders>
              <w:top w:val="single" w:color="auto" w:sz="4" w:space="0"/>
              <w:bottom w:val="single" w:color="auto" w:sz="4" w:space="0"/>
            </w:tcBorders>
            <w:vAlign w:val="center"/>
          </w:tcPr>
          <w:p>
            <w:pPr>
              <w:spacing w:line="300" w:lineRule="exact"/>
              <w:jc w:val="center"/>
              <w:rPr>
                <w:bCs/>
                <w:color w:val="auto"/>
                <w:szCs w:val="21"/>
                <w:highlight w:val="none"/>
              </w:rPr>
            </w:pPr>
            <w:r>
              <w:rPr>
                <w:rFonts w:hint="eastAsia"/>
                <w:b/>
                <w:bCs/>
                <w:color w:val="auto"/>
                <w:szCs w:val="21"/>
                <w:highlight w:val="none"/>
              </w:rPr>
              <w:t>√</w:t>
            </w:r>
          </w:p>
        </w:tc>
        <w:tc>
          <w:tcPr>
            <w:tcW w:w="1589" w:type="dxa"/>
            <w:tcBorders>
              <w:top w:val="single" w:color="auto" w:sz="4" w:space="0"/>
              <w:bottom w:val="single" w:color="auto" w:sz="4" w:space="0"/>
            </w:tcBorders>
            <w:vAlign w:val="center"/>
          </w:tcPr>
          <w:p>
            <w:pPr>
              <w:spacing w:line="300" w:lineRule="exact"/>
              <w:jc w:val="center"/>
              <w:rPr>
                <w:bCs/>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73" w:hRule="atLeast"/>
          <w:jc w:val="center"/>
        </w:trPr>
        <w:tc>
          <w:tcPr>
            <w:tcW w:w="2032" w:type="dxa"/>
            <w:vAlign w:val="center"/>
          </w:tcPr>
          <w:p>
            <w:pPr>
              <w:spacing w:line="300" w:lineRule="exact"/>
              <w:jc w:val="center"/>
              <w:rPr>
                <w:bCs/>
                <w:color w:val="auto"/>
                <w:szCs w:val="21"/>
                <w:highlight w:val="none"/>
              </w:rPr>
            </w:pPr>
            <w:r>
              <w:rPr>
                <w:rFonts w:hint="eastAsia"/>
                <w:bCs/>
                <w:color w:val="auto"/>
                <w:szCs w:val="21"/>
                <w:highlight w:val="none"/>
              </w:rPr>
              <w:t>服务期满后</w:t>
            </w:r>
          </w:p>
        </w:tc>
        <w:tc>
          <w:tcPr>
            <w:tcW w:w="1875" w:type="dxa"/>
            <w:tcBorders>
              <w:top w:val="single" w:color="auto" w:sz="4" w:space="0"/>
            </w:tcBorders>
            <w:vAlign w:val="center"/>
          </w:tcPr>
          <w:p>
            <w:pPr>
              <w:spacing w:line="300" w:lineRule="exact"/>
              <w:jc w:val="center"/>
              <w:rPr>
                <w:color w:val="auto"/>
                <w:szCs w:val="21"/>
                <w:highlight w:val="none"/>
              </w:rPr>
            </w:pPr>
          </w:p>
        </w:tc>
        <w:tc>
          <w:tcPr>
            <w:tcW w:w="1395" w:type="dxa"/>
            <w:tcBorders>
              <w:top w:val="single" w:color="auto" w:sz="4" w:space="0"/>
            </w:tcBorders>
            <w:vAlign w:val="center"/>
          </w:tcPr>
          <w:p>
            <w:pPr>
              <w:spacing w:line="300" w:lineRule="exact"/>
              <w:jc w:val="center"/>
              <w:rPr>
                <w:bCs/>
                <w:color w:val="auto"/>
                <w:szCs w:val="21"/>
                <w:highlight w:val="none"/>
              </w:rPr>
            </w:pPr>
          </w:p>
        </w:tc>
        <w:tc>
          <w:tcPr>
            <w:tcW w:w="1275" w:type="dxa"/>
            <w:tcBorders>
              <w:top w:val="single" w:color="auto" w:sz="4" w:space="0"/>
            </w:tcBorders>
            <w:vAlign w:val="center"/>
          </w:tcPr>
          <w:p>
            <w:pPr>
              <w:spacing w:line="300" w:lineRule="exact"/>
              <w:jc w:val="center"/>
              <w:rPr>
                <w:bCs/>
                <w:color w:val="auto"/>
                <w:szCs w:val="21"/>
                <w:highlight w:val="none"/>
              </w:rPr>
            </w:pPr>
          </w:p>
        </w:tc>
        <w:tc>
          <w:tcPr>
            <w:tcW w:w="1589" w:type="dxa"/>
            <w:tcBorders>
              <w:top w:val="single" w:color="auto" w:sz="4" w:space="0"/>
            </w:tcBorders>
            <w:vAlign w:val="center"/>
          </w:tcPr>
          <w:p>
            <w:pPr>
              <w:spacing w:line="300" w:lineRule="exact"/>
              <w:jc w:val="center"/>
              <w:rPr>
                <w:bCs/>
                <w:color w:val="auto"/>
                <w:szCs w:val="21"/>
                <w:highlight w:val="none"/>
              </w:rPr>
            </w:pPr>
          </w:p>
        </w:tc>
      </w:tr>
    </w:tbl>
    <w:p>
      <w:pPr>
        <w:spacing w:line="480" w:lineRule="exact"/>
        <w:jc w:val="center"/>
        <w:rPr>
          <w:rFonts w:hint="eastAsia"/>
          <w:b/>
          <w:bCs/>
          <w:color w:val="auto"/>
          <w:sz w:val="24"/>
          <w:highlight w:val="none"/>
        </w:rPr>
      </w:pPr>
    </w:p>
    <w:p>
      <w:pPr>
        <w:spacing w:line="480" w:lineRule="exact"/>
        <w:jc w:val="center"/>
        <w:rPr>
          <w:b/>
          <w:bCs/>
          <w:color w:val="auto"/>
          <w:sz w:val="24"/>
          <w:highlight w:val="none"/>
        </w:rPr>
      </w:pPr>
      <w:r>
        <w:rPr>
          <w:rFonts w:hint="eastAsia"/>
          <w:b/>
          <w:bCs/>
          <w:color w:val="auto"/>
          <w:sz w:val="24"/>
          <w:highlight w:val="none"/>
        </w:rPr>
        <w:t>表5.</w:t>
      </w:r>
      <w:r>
        <w:rPr>
          <w:rFonts w:hint="eastAsia"/>
          <w:b/>
          <w:bCs/>
          <w:color w:val="auto"/>
          <w:sz w:val="24"/>
          <w:highlight w:val="none"/>
          <w:lang w:val="en-US" w:eastAsia="zh-CN"/>
        </w:rPr>
        <w:t>9</w:t>
      </w:r>
      <w:r>
        <w:rPr>
          <w:rFonts w:hint="eastAsia"/>
          <w:b/>
          <w:bCs/>
          <w:color w:val="auto"/>
          <w:sz w:val="24"/>
          <w:highlight w:val="none"/>
        </w:rPr>
        <w:t>-2 污染影响型建设项目土壤环境影响源及影响因子识别表</w:t>
      </w:r>
    </w:p>
    <w:tbl>
      <w:tblPr>
        <w:tblStyle w:val="51"/>
        <w:tblW w:w="8138" w:type="dxa"/>
        <w:jc w:val="center"/>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
      <w:tblGrid>
        <w:gridCol w:w="2198"/>
        <w:gridCol w:w="1635"/>
        <w:gridCol w:w="1980"/>
        <w:gridCol w:w="2325"/>
      </w:tblGrid>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73" w:hRule="atLeast"/>
          <w:jc w:val="center"/>
        </w:trPr>
        <w:tc>
          <w:tcPr>
            <w:tcW w:w="2198" w:type="dxa"/>
            <w:tcBorders>
              <w:top w:val="single" w:color="auto" w:sz="4" w:space="0"/>
              <w:bottom w:val="single" w:color="auto" w:sz="4" w:space="0"/>
            </w:tcBorders>
            <w:vAlign w:val="center"/>
          </w:tcPr>
          <w:p>
            <w:pPr>
              <w:spacing w:line="300" w:lineRule="exact"/>
              <w:jc w:val="center"/>
              <w:rPr>
                <w:color w:val="auto"/>
                <w:szCs w:val="21"/>
                <w:highlight w:val="none"/>
              </w:rPr>
            </w:pPr>
            <w:r>
              <w:rPr>
                <w:rFonts w:hint="eastAsia"/>
                <w:color w:val="auto"/>
                <w:szCs w:val="21"/>
                <w:highlight w:val="none"/>
              </w:rPr>
              <w:t>影响结果</w:t>
            </w:r>
          </w:p>
        </w:tc>
        <w:tc>
          <w:tcPr>
            <w:tcW w:w="1635" w:type="dxa"/>
            <w:tcBorders>
              <w:top w:val="single" w:color="auto" w:sz="4" w:space="0"/>
              <w:bottom w:val="single" w:color="auto" w:sz="4" w:space="0"/>
            </w:tcBorders>
            <w:vAlign w:val="center"/>
          </w:tcPr>
          <w:p>
            <w:pPr>
              <w:spacing w:line="300" w:lineRule="exact"/>
              <w:jc w:val="center"/>
              <w:rPr>
                <w:bCs/>
                <w:color w:val="auto"/>
                <w:szCs w:val="21"/>
                <w:highlight w:val="none"/>
              </w:rPr>
            </w:pPr>
            <w:r>
              <w:rPr>
                <w:rFonts w:hint="eastAsia"/>
                <w:color w:val="auto"/>
                <w:szCs w:val="21"/>
                <w:highlight w:val="none"/>
              </w:rPr>
              <w:t>影响途径</w:t>
            </w:r>
          </w:p>
        </w:tc>
        <w:tc>
          <w:tcPr>
            <w:tcW w:w="1980" w:type="dxa"/>
            <w:tcBorders>
              <w:top w:val="single" w:color="auto" w:sz="4" w:space="0"/>
              <w:bottom w:val="single" w:color="auto" w:sz="4" w:space="0"/>
            </w:tcBorders>
            <w:vAlign w:val="center"/>
          </w:tcPr>
          <w:p>
            <w:pPr>
              <w:spacing w:line="300" w:lineRule="exact"/>
              <w:jc w:val="center"/>
              <w:rPr>
                <w:bCs/>
                <w:color w:val="auto"/>
                <w:szCs w:val="21"/>
                <w:highlight w:val="none"/>
              </w:rPr>
            </w:pPr>
            <w:r>
              <w:rPr>
                <w:rFonts w:hint="eastAsia"/>
                <w:color w:val="auto"/>
                <w:szCs w:val="21"/>
                <w:highlight w:val="none"/>
              </w:rPr>
              <w:t>具体指标</w:t>
            </w:r>
          </w:p>
        </w:tc>
        <w:tc>
          <w:tcPr>
            <w:tcW w:w="2325" w:type="dxa"/>
            <w:tcBorders>
              <w:top w:val="single" w:color="auto" w:sz="4" w:space="0"/>
              <w:bottom w:val="single" w:color="auto" w:sz="4" w:space="0"/>
            </w:tcBorders>
            <w:vAlign w:val="center"/>
          </w:tcPr>
          <w:p>
            <w:pPr>
              <w:spacing w:line="300" w:lineRule="exact"/>
              <w:jc w:val="center"/>
              <w:rPr>
                <w:bCs/>
                <w:color w:val="auto"/>
                <w:szCs w:val="21"/>
                <w:highlight w:val="none"/>
              </w:rPr>
            </w:pPr>
            <w:r>
              <w:rPr>
                <w:rFonts w:hint="eastAsia"/>
                <w:color w:val="auto"/>
                <w:szCs w:val="21"/>
                <w:highlight w:val="none"/>
              </w:rPr>
              <w:t>土壤环境敏感目标</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73" w:hRule="atLeast"/>
          <w:jc w:val="center"/>
        </w:trPr>
        <w:tc>
          <w:tcPr>
            <w:tcW w:w="2198" w:type="dxa"/>
            <w:vMerge w:val="restart"/>
            <w:tcBorders>
              <w:top w:val="single" w:color="auto" w:sz="4" w:space="0"/>
            </w:tcBorders>
            <w:vAlign w:val="center"/>
          </w:tcPr>
          <w:p>
            <w:pPr>
              <w:spacing w:line="480" w:lineRule="exact"/>
              <w:rPr>
                <w:color w:val="auto"/>
                <w:szCs w:val="21"/>
                <w:highlight w:val="none"/>
              </w:rPr>
            </w:pPr>
            <w:r>
              <w:rPr>
                <w:rFonts w:hint="eastAsia"/>
                <w:color w:val="auto"/>
                <w:szCs w:val="21"/>
                <w:highlight w:val="none"/>
              </w:rPr>
              <w:t>盐化/酸化/碱化/其他</w:t>
            </w:r>
          </w:p>
        </w:tc>
        <w:tc>
          <w:tcPr>
            <w:tcW w:w="1635" w:type="dxa"/>
            <w:tcBorders>
              <w:top w:val="single" w:color="auto" w:sz="4" w:space="0"/>
              <w:bottom w:val="single" w:color="auto" w:sz="4" w:space="0"/>
            </w:tcBorders>
            <w:vAlign w:val="center"/>
          </w:tcPr>
          <w:p>
            <w:pPr>
              <w:spacing w:line="300" w:lineRule="exact"/>
              <w:jc w:val="center"/>
              <w:rPr>
                <w:bCs/>
                <w:color w:val="auto"/>
                <w:szCs w:val="21"/>
                <w:highlight w:val="none"/>
              </w:rPr>
            </w:pPr>
            <w:r>
              <w:rPr>
                <w:rFonts w:hint="eastAsia"/>
                <w:color w:val="auto"/>
                <w:szCs w:val="21"/>
                <w:highlight w:val="none"/>
              </w:rPr>
              <w:t>物质输入/运移</w:t>
            </w:r>
          </w:p>
        </w:tc>
        <w:tc>
          <w:tcPr>
            <w:tcW w:w="1980" w:type="dxa"/>
            <w:tcBorders>
              <w:top w:val="single" w:color="auto" w:sz="4" w:space="0"/>
              <w:bottom w:val="single" w:color="auto" w:sz="4" w:space="0"/>
            </w:tcBorders>
            <w:vAlign w:val="center"/>
          </w:tcPr>
          <w:p>
            <w:pPr>
              <w:spacing w:line="300" w:lineRule="exact"/>
              <w:jc w:val="center"/>
              <w:rPr>
                <w:bCs/>
                <w:color w:val="auto"/>
                <w:szCs w:val="21"/>
                <w:highlight w:val="none"/>
              </w:rPr>
            </w:pPr>
            <w:r>
              <w:rPr>
                <w:rFonts w:hint="eastAsia"/>
                <w:color w:val="auto"/>
                <w:szCs w:val="21"/>
                <w:highlight w:val="none"/>
              </w:rPr>
              <w:t>不涉及物质转移</w:t>
            </w:r>
          </w:p>
        </w:tc>
        <w:tc>
          <w:tcPr>
            <w:tcW w:w="2325" w:type="dxa"/>
            <w:vMerge w:val="restart"/>
            <w:tcBorders>
              <w:top w:val="single" w:color="auto" w:sz="4" w:space="0"/>
            </w:tcBorders>
            <w:vAlign w:val="center"/>
          </w:tcPr>
          <w:p>
            <w:pPr>
              <w:spacing w:line="300" w:lineRule="exact"/>
              <w:jc w:val="center"/>
              <w:rPr>
                <w:color w:val="auto"/>
                <w:szCs w:val="21"/>
                <w:highlight w:val="none"/>
              </w:rPr>
            </w:pPr>
            <w:r>
              <w:rPr>
                <w:rFonts w:hint="eastAsia"/>
                <w:color w:val="auto"/>
                <w:szCs w:val="21"/>
                <w:highlight w:val="none"/>
              </w:rPr>
              <w:t>项目评价范围内土壤</w:t>
            </w:r>
          </w:p>
          <w:p>
            <w:pPr>
              <w:spacing w:line="300" w:lineRule="exact"/>
              <w:jc w:val="center"/>
              <w:rPr>
                <w:bCs/>
                <w:color w:val="auto"/>
                <w:szCs w:val="21"/>
                <w:highlight w:val="none"/>
              </w:rPr>
            </w:pPr>
            <w:r>
              <w:rPr>
                <w:rFonts w:hint="eastAsia"/>
                <w:color w:val="auto"/>
                <w:szCs w:val="21"/>
                <w:highlight w:val="none"/>
              </w:rPr>
              <w:t>不敏感</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73" w:hRule="atLeast"/>
          <w:jc w:val="center"/>
        </w:trPr>
        <w:tc>
          <w:tcPr>
            <w:tcW w:w="2198" w:type="dxa"/>
            <w:vMerge w:val="continue"/>
            <w:vAlign w:val="center"/>
          </w:tcPr>
          <w:p>
            <w:pPr>
              <w:spacing w:line="300" w:lineRule="exact"/>
              <w:jc w:val="center"/>
              <w:rPr>
                <w:color w:val="auto"/>
                <w:szCs w:val="21"/>
                <w:highlight w:val="none"/>
              </w:rPr>
            </w:pPr>
          </w:p>
        </w:tc>
        <w:tc>
          <w:tcPr>
            <w:tcW w:w="1635" w:type="dxa"/>
            <w:tcBorders>
              <w:top w:val="single" w:color="auto" w:sz="4" w:space="0"/>
            </w:tcBorders>
            <w:vAlign w:val="center"/>
          </w:tcPr>
          <w:p>
            <w:pPr>
              <w:spacing w:line="300" w:lineRule="exact"/>
              <w:jc w:val="center"/>
              <w:rPr>
                <w:bCs/>
                <w:color w:val="auto"/>
                <w:szCs w:val="21"/>
                <w:highlight w:val="none"/>
              </w:rPr>
            </w:pPr>
            <w:r>
              <w:rPr>
                <w:rFonts w:hint="eastAsia"/>
                <w:color w:val="auto"/>
                <w:szCs w:val="21"/>
                <w:highlight w:val="none"/>
              </w:rPr>
              <w:t>水位变化</w:t>
            </w:r>
          </w:p>
        </w:tc>
        <w:tc>
          <w:tcPr>
            <w:tcW w:w="1980" w:type="dxa"/>
            <w:tcBorders>
              <w:top w:val="single" w:color="auto" w:sz="4" w:space="0"/>
            </w:tcBorders>
            <w:vAlign w:val="center"/>
          </w:tcPr>
          <w:p>
            <w:pPr>
              <w:spacing w:line="300" w:lineRule="exact"/>
              <w:jc w:val="center"/>
              <w:rPr>
                <w:bCs/>
                <w:color w:val="auto"/>
                <w:szCs w:val="21"/>
                <w:highlight w:val="none"/>
              </w:rPr>
            </w:pPr>
            <w:r>
              <w:rPr>
                <w:rFonts w:hint="eastAsia"/>
                <w:color w:val="auto"/>
                <w:szCs w:val="21"/>
                <w:highlight w:val="none"/>
              </w:rPr>
              <w:t xml:space="preserve"> 很小</w:t>
            </w:r>
          </w:p>
        </w:tc>
        <w:tc>
          <w:tcPr>
            <w:tcW w:w="2325" w:type="dxa"/>
            <w:vMerge w:val="continue"/>
            <w:vAlign w:val="center"/>
          </w:tcPr>
          <w:p>
            <w:pPr>
              <w:spacing w:line="300" w:lineRule="exact"/>
              <w:jc w:val="center"/>
              <w:rPr>
                <w:bCs/>
                <w:color w:val="auto"/>
                <w:szCs w:val="21"/>
                <w:highlight w:val="none"/>
              </w:rPr>
            </w:pPr>
          </w:p>
        </w:tc>
      </w:tr>
    </w:tbl>
    <w:p>
      <w:pPr>
        <w:spacing w:line="480" w:lineRule="exact"/>
        <w:rPr>
          <w:b/>
          <w:bCs/>
          <w:color w:val="auto"/>
          <w:sz w:val="24"/>
          <w:highlight w:val="none"/>
        </w:rPr>
      </w:pPr>
      <w:r>
        <w:rPr>
          <w:rFonts w:hint="eastAsia"/>
          <w:b/>
          <w:bCs/>
          <w:color w:val="auto"/>
          <w:sz w:val="24"/>
          <w:highlight w:val="none"/>
        </w:rPr>
        <w:t>5.</w:t>
      </w:r>
      <w:r>
        <w:rPr>
          <w:rFonts w:hint="eastAsia"/>
          <w:b/>
          <w:bCs/>
          <w:color w:val="auto"/>
          <w:sz w:val="24"/>
          <w:highlight w:val="none"/>
          <w:lang w:val="en-US" w:eastAsia="zh-CN"/>
        </w:rPr>
        <w:t>9</w:t>
      </w:r>
      <w:r>
        <w:rPr>
          <w:rFonts w:hint="eastAsia"/>
          <w:b/>
          <w:bCs/>
          <w:color w:val="auto"/>
          <w:sz w:val="24"/>
          <w:highlight w:val="none"/>
        </w:rPr>
        <w:t>.3. 土壤环境影响分析</w:t>
      </w:r>
    </w:p>
    <w:p>
      <w:pPr>
        <w:spacing w:line="480" w:lineRule="exact"/>
        <w:ind w:firstLine="480" w:firstLineChars="200"/>
        <w:rPr>
          <w:rFonts w:hint="eastAsia" w:ascii="Times New Roman" w:hAnsi="Times New Roman" w:cs="Times New Roman"/>
          <w:color w:val="auto"/>
          <w:sz w:val="24"/>
          <w:highlight w:val="none"/>
        </w:rPr>
      </w:pPr>
      <w:r>
        <w:rPr>
          <w:rFonts w:hint="eastAsia"/>
          <w:color w:val="auto"/>
          <w:sz w:val="24"/>
          <w:highlight w:val="none"/>
        </w:rPr>
        <w:t>三级评价可采用定性描述或类比分析法进行预测。本项目为生态影响型项目，无特征因子，本次评价采用定性描述进行预测。项目建成后对土壤的影响主要为造成土</w:t>
      </w:r>
      <w:r>
        <w:rPr>
          <w:rFonts w:hint="eastAsia" w:ascii="Times New Roman" w:hAnsi="Times New Roman" w:cs="Times New Roman"/>
          <w:color w:val="auto"/>
          <w:sz w:val="24"/>
          <w:highlight w:val="none"/>
        </w:rPr>
        <w:t>壤盐化、酸碱化。</w:t>
      </w:r>
    </w:p>
    <w:p>
      <w:pPr>
        <w:spacing w:line="480" w:lineRule="exact"/>
        <w:ind w:firstLine="480" w:firstLineChars="200"/>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1</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土壤定性分析</w:t>
      </w:r>
    </w:p>
    <w:p>
      <w:pPr>
        <w:spacing w:line="480" w:lineRule="exact"/>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本项目</w:t>
      </w:r>
      <w:r>
        <w:rPr>
          <w:rFonts w:hint="eastAsia" w:ascii="Times New Roman" w:hAnsi="Times New Roman" w:cs="Times New Roman"/>
          <w:color w:val="auto"/>
          <w:sz w:val="24"/>
          <w:highlight w:val="none"/>
        </w:rPr>
        <w:t>属于生态型土壤环境影响项目，采用导则附录F的“土壤盐化综合评分预测方法”进行分析。</w:t>
      </w:r>
    </w:p>
    <w:p>
      <w:pPr>
        <w:spacing w:line="480" w:lineRule="exact"/>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rPr>
        <w:t>根据选取各项影响因素的分值与权重，采用公式计算土壤盐化综合评分值，对照得出盐化综合评分预测结果。</w:t>
      </w:r>
    </w:p>
    <w:p>
      <w:pPr>
        <w:spacing w:line="480" w:lineRule="exact"/>
        <w:ind w:left="0" w:leftChars="0" w:right="0" w:rightChars="0" w:firstLine="0" w:firstLineChars="0"/>
        <w:jc w:val="center"/>
        <w:rPr>
          <w:rFonts w:hint="eastAsia" w:ascii="Times New Roman" w:hAnsi="Times New Roman" w:eastAsia="宋体" w:cs="Times New Roman"/>
          <w:b/>
          <w:bCs/>
          <w:color w:val="FF0000"/>
          <w:sz w:val="24"/>
          <w:highlight w:val="none"/>
          <w:lang w:val="en-US" w:eastAsia="zh-CN"/>
        </w:rPr>
      </w:pPr>
    </w:p>
    <w:p>
      <w:pPr>
        <w:spacing w:line="480" w:lineRule="exact"/>
        <w:ind w:left="0" w:leftChars="0" w:right="0" w:rightChars="0" w:firstLine="0" w:firstLineChars="0"/>
        <w:jc w:val="center"/>
        <w:rPr>
          <w:rFonts w:hint="eastAsia" w:ascii="Times New Roman" w:hAnsi="Times New Roman" w:eastAsia="宋体" w:cs="Times New Roman"/>
          <w:b/>
          <w:bCs/>
          <w:color w:val="FF0000"/>
          <w:sz w:val="24"/>
          <w:highlight w:val="none"/>
          <w:lang w:val="en-US" w:eastAsia="zh-CN"/>
        </w:rPr>
      </w:pPr>
    </w:p>
    <w:p>
      <w:pPr>
        <w:spacing w:line="480" w:lineRule="exact"/>
        <w:ind w:left="0" w:leftChars="0" w:right="0" w:rightChars="0" w:firstLine="0" w:firstLineChars="0"/>
        <w:jc w:val="center"/>
        <w:rPr>
          <w:rFonts w:hint="eastAsia"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表5.9-3土壤盐化影响因素赋值表</w:t>
      </w:r>
    </w:p>
    <w:tbl>
      <w:tblPr>
        <w:tblStyle w:val="51"/>
        <w:tblW w:w="8313" w:type="dxa"/>
        <w:jc w:val="center"/>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
      <w:tblGrid>
        <w:gridCol w:w="1714"/>
        <w:gridCol w:w="723"/>
        <w:gridCol w:w="804"/>
        <w:gridCol w:w="1623"/>
        <w:gridCol w:w="1595"/>
        <w:gridCol w:w="1255"/>
        <w:gridCol w:w="599"/>
      </w:tblGrid>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13" w:hRule="atLeast"/>
          <w:jc w:val="center"/>
        </w:trPr>
        <w:tc>
          <w:tcPr>
            <w:tcW w:w="1714" w:type="dxa"/>
            <w:vMerge w:val="restart"/>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eastAsia="宋体"/>
                <w:bCs/>
                <w:color w:val="auto"/>
                <w:szCs w:val="21"/>
                <w:highlight w:val="none"/>
                <w:lang w:eastAsia="zh-CN"/>
              </w:rPr>
            </w:pPr>
            <w:r>
              <w:rPr>
                <w:rFonts w:hint="eastAsia"/>
                <w:bCs/>
                <w:color w:val="auto"/>
                <w:szCs w:val="21"/>
                <w:highlight w:val="none"/>
                <w:lang w:eastAsia="zh-CN"/>
              </w:rPr>
              <w:t>影响因素</w:t>
            </w:r>
          </w:p>
        </w:tc>
        <w:tc>
          <w:tcPr>
            <w:tcW w:w="723" w:type="dxa"/>
            <w:vMerge w:val="restart"/>
            <w:tcBorders>
              <w:top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bCs/>
                <w:color w:val="auto"/>
                <w:szCs w:val="21"/>
                <w:highlight w:val="none"/>
              </w:rPr>
            </w:pPr>
            <w:r>
              <w:rPr>
                <w:rFonts w:hint="eastAsia" w:ascii="Times New Roman" w:hAnsi="Times New Roman" w:eastAsia="宋体" w:cs="Times New Roman"/>
                <w:color w:val="auto"/>
                <w:highlight w:val="none"/>
                <w:lang w:val="en-US" w:eastAsia="zh-CN"/>
              </w:rPr>
              <w:t>本项目</w:t>
            </w:r>
          </w:p>
        </w:tc>
        <w:tc>
          <w:tcPr>
            <w:tcW w:w="5277" w:type="dxa"/>
            <w:gridSpan w:val="4"/>
            <w:tcBorders>
              <w:top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ind w:right="-426" w:rightChars="-203"/>
              <w:jc w:val="center"/>
              <w:textAlignment w:val="auto"/>
              <w:rPr>
                <w:rFonts w:hint="eastAsia" w:eastAsia="宋体"/>
                <w:bCs/>
                <w:color w:val="auto"/>
                <w:szCs w:val="21"/>
                <w:highlight w:val="none"/>
                <w:lang w:eastAsia="zh-CN"/>
              </w:rPr>
            </w:pPr>
            <w:r>
              <w:rPr>
                <w:rFonts w:hint="eastAsia"/>
                <w:bCs/>
                <w:color w:val="auto"/>
                <w:szCs w:val="21"/>
                <w:highlight w:val="none"/>
                <w:lang w:eastAsia="zh-CN"/>
              </w:rPr>
              <w:t>分值</w:t>
            </w:r>
          </w:p>
        </w:tc>
        <w:tc>
          <w:tcPr>
            <w:tcW w:w="599" w:type="dxa"/>
            <w:vMerge w:val="restart"/>
            <w:tcBorders>
              <w:top w:val="single" w:color="auto" w:sz="4" w:space="0"/>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rPr>
                <w:rFonts w:hint="eastAsia" w:eastAsia="宋体"/>
                <w:bCs/>
                <w:color w:val="auto"/>
                <w:szCs w:val="21"/>
                <w:highlight w:val="none"/>
                <w:lang w:eastAsia="zh-CN"/>
              </w:rPr>
            </w:pPr>
            <w:r>
              <w:rPr>
                <w:rFonts w:hint="eastAsia"/>
                <w:bCs/>
                <w:color w:val="auto"/>
                <w:szCs w:val="21"/>
                <w:highlight w:val="none"/>
                <w:lang w:eastAsia="zh-CN"/>
              </w:rPr>
              <w:t>权重</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73" w:hRule="atLeast"/>
          <w:jc w:val="center"/>
        </w:trPr>
        <w:tc>
          <w:tcPr>
            <w:tcW w:w="1714" w:type="dxa"/>
            <w:vMerge w:val="continue"/>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bCs/>
                <w:color w:val="auto"/>
                <w:szCs w:val="21"/>
                <w:highlight w:val="none"/>
              </w:rPr>
            </w:pPr>
          </w:p>
        </w:tc>
        <w:tc>
          <w:tcPr>
            <w:tcW w:w="723" w:type="dxa"/>
            <w:vMerge w:val="continue"/>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bCs/>
                <w:color w:val="auto"/>
                <w:szCs w:val="21"/>
                <w:highlight w:val="none"/>
              </w:rPr>
            </w:pPr>
          </w:p>
        </w:tc>
        <w:tc>
          <w:tcPr>
            <w:tcW w:w="804" w:type="dxa"/>
            <w:tcBorders>
              <w:top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eastAsia="宋体"/>
                <w:color w:val="auto"/>
                <w:szCs w:val="21"/>
                <w:highlight w:val="none"/>
                <w:lang w:val="en-US" w:eastAsia="zh-CN"/>
              </w:rPr>
            </w:pPr>
            <w:r>
              <w:rPr>
                <w:rFonts w:hint="eastAsia"/>
                <w:color w:val="auto"/>
                <w:szCs w:val="21"/>
                <w:highlight w:val="none"/>
                <w:lang w:val="en-US" w:eastAsia="zh-CN"/>
              </w:rPr>
              <w:t>0分</w:t>
            </w:r>
          </w:p>
        </w:tc>
        <w:tc>
          <w:tcPr>
            <w:tcW w:w="1623" w:type="dxa"/>
            <w:tcBorders>
              <w:top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bCs/>
                <w:color w:val="auto"/>
                <w:szCs w:val="21"/>
                <w:highlight w:val="none"/>
              </w:rPr>
            </w:pPr>
            <w:r>
              <w:rPr>
                <w:rFonts w:hint="eastAsia"/>
                <w:color w:val="auto"/>
                <w:szCs w:val="21"/>
                <w:highlight w:val="none"/>
                <w:lang w:val="en-US" w:eastAsia="zh-CN"/>
              </w:rPr>
              <w:t>2分</w:t>
            </w:r>
          </w:p>
        </w:tc>
        <w:tc>
          <w:tcPr>
            <w:tcW w:w="1595" w:type="dxa"/>
            <w:tcBorders>
              <w:top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eastAsia="宋体"/>
                <w:bCs/>
                <w:color w:val="auto"/>
                <w:szCs w:val="21"/>
                <w:highlight w:val="none"/>
                <w:lang w:val="en-US" w:eastAsia="zh-CN"/>
              </w:rPr>
            </w:pPr>
            <w:r>
              <w:rPr>
                <w:rFonts w:hint="eastAsia"/>
                <w:bCs/>
                <w:color w:val="auto"/>
                <w:szCs w:val="21"/>
                <w:highlight w:val="none"/>
                <w:lang w:val="en-US" w:eastAsia="zh-CN"/>
              </w:rPr>
              <w:t>4分</w:t>
            </w:r>
          </w:p>
        </w:tc>
        <w:tc>
          <w:tcPr>
            <w:tcW w:w="1255" w:type="dxa"/>
            <w:tcBorders>
              <w:top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eastAsia="宋体"/>
                <w:bCs/>
                <w:color w:val="auto"/>
                <w:szCs w:val="21"/>
                <w:highlight w:val="none"/>
                <w:lang w:val="en-US" w:eastAsia="zh-CN"/>
              </w:rPr>
            </w:pPr>
            <w:r>
              <w:rPr>
                <w:rFonts w:hint="eastAsia"/>
                <w:bCs/>
                <w:color w:val="auto"/>
                <w:szCs w:val="21"/>
                <w:highlight w:val="none"/>
                <w:lang w:val="en-US" w:eastAsia="zh-CN"/>
              </w:rPr>
              <w:t>6分</w:t>
            </w:r>
          </w:p>
        </w:tc>
        <w:tc>
          <w:tcPr>
            <w:tcW w:w="599" w:type="dxa"/>
            <w:vMerge w:val="continue"/>
            <w:tcBorders>
              <w:left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bCs/>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73" w:hRule="atLeast"/>
          <w:jc w:val="center"/>
        </w:trPr>
        <w:tc>
          <w:tcPr>
            <w:tcW w:w="1714" w:type="dxa"/>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地下水埋深</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bCs/>
                <w:color w:val="auto"/>
                <w:szCs w:val="21"/>
                <w:highlight w:val="none"/>
              </w:rPr>
            </w:pPr>
            <w:r>
              <w:rPr>
                <w:rFonts w:hint="eastAsia" w:ascii="Times New Roman" w:hAnsi="Times New Roman" w:eastAsia="宋体" w:cs="Times New Roman"/>
                <w:color w:val="auto"/>
                <w:highlight w:val="none"/>
                <w:lang w:val="en-US" w:eastAsia="zh-CN"/>
              </w:rPr>
              <w:t>(GWD)fm</w:t>
            </w:r>
          </w:p>
        </w:tc>
        <w:tc>
          <w:tcPr>
            <w:tcW w:w="723" w:type="dxa"/>
            <w:tcBorders>
              <w:top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eastAsia="宋体"/>
                <w:bCs/>
                <w:color w:val="auto"/>
                <w:szCs w:val="21"/>
                <w:highlight w:val="none"/>
                <w:lang w:val="en-US" w:eastAsia="zh-CN"/>
              </w:rPr>
            </w:pPr>
            <w:r>
              <w:rPr>
                <w:rFonts w:hint="eastAsia"/>
                <w:bCs/>
                <w:color w:val="auto"/>
                <w:szCs w:val="21"/>
                <w:highlight w:val="none"/>
                <w:lang w:val="en-US" w:eastAsia="zh-CN"/>
              </w:rPr>
              <w:t>3.5</w:t>
            </w:r>
          </w:p>
        </w:tc>
        <w:tc>
          <w:tcPr>
            <w:tcW w:w="804" w:type="dxa"/>
            <w:tcBorders>
              <w:top w:val="single" w:color="auto" w:sz="4" w:space="0"/>
              <w:bottom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color w:val="auto"/>
                <w:szCs w:val="21"/>
                <w:highlight w:val="none"/>
              </w:rPr>
            </w:pPr>
            <w:r>
              <w:rPr>
                <w:rFonts w:hint="eastAsia" w:ascii="Times New Roman" w:hAnsi="Times New Roman" w:eastAsia="宋体" w:cs="Times New Roman"/>
                <w:color w:val="auto"/>
                <w:highlight w:val="none"/>
                <w:lang w:val="en-US" w:eastAsia="zh-CN"/>
              </w:rPr>
              <w:t>GWD≥2.5</w:t>
            </w:r>
          </w:p>
        </w:tc>
        <w:tc>
          <w:tcPr>
            <w:tcW w:w="1623" w:type="dxa"/>
            <w:tcBorders>
              <w:top w:val="single" w:color="auto" w:sz="4" w:space="0"/>
              <w:bottom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bCs/>
                <w:color w:val="auto"/>
                <w:szCs w:val="21"/>
                <w:highlight w:val="none"/>
              </w:rPr>
            </w:pPr>
            <w:r>
              <w:rPr>
                <w:rFonts w:hint="eastAsia" w:ascii="Times New Roman" w:hAnsi="Times New Roman" w:eastAsia="宋体" w:cs="Times New Roman"/>
                <w:color w:val="auto"/>
                <w:highlight w:val="none"/>
                <w:lang w:val="en-US" w:eastAsia="zh-CN"/>
              </w:rPr>
              <w:t>1.5≤GWD&lt;2.5</w:t>
            </w:r>
          </w:p>
        </w:tc>
        <w:tc>
          <w:tcPr>
            <w:tcW w:w="1595" w:type="dxa"/>
            <w:tcBorders>
              <w:top w:val="single" w:color="auto" w:sz="4" w:space="0"/>
              <w:bottom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bCs/>
                <w:color w:val="auto"/>
                <w:szCs w:val="21"/>
                <w:highlight w:val="none"/>
              </w:rPr>
            </w:pPr>
            <w:r>
              <w:rPr>
                <w:rFonts w:hint="eastAsia" w:ascii="Times New Roman" w:hAnsi="Times New Roman" w:eastAsia="宋体" w:cs="Times New Roman"/>
                <w:color w:val="auto"/>
                <w:highlight w:val="none"/>
                <w:lang w:val="en-US" w:eastAsia="zh-CN"/>
              </w:rPr>
              <w:t>1.0≤GWD&lt;1.5</w:t>
            </w:r>
          </w:p>
        </w:tc>
        <w:tc>
          <w:tcPr>
            <w:tcW w:w="1255" w:type="dxa"/>
            <w:tcBorders>
              <w:top w:val="single" w:color="auto" w:sz="4" w:space="0"/>
              <w:bottom w:val="single" w:color="auto" w:sz="4" w:space="0"/>
              <w:right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GWD</w:t>
            </w:r>
          </w:p>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bCs/>
                <w:color w:val="auto"/>
                <w:szCs w:val="21"/>
                <w:highlight w:val="none"/>
              </w:rPr>
            </w:pPr>
            <w:r>
              <w:rPr>
                <w:rFonts w:hint="eastAsia" w:ascii="Times New Roman" w:hAnsi="Times New Roman" w:eastAsia="宋体" w:cs="Times New Roman"/>
                <w:color w:val="auto"/>
                <w:highlight w:val="none"/>
                <w:lang w:val="en-US" w:eastAsia="zh-CN"/>
              </w:rPr>
              <w:t>&lt;1.0</w:t>
            </w:r>
          </w:p>
        </w:tc>
        <w:tc>
          <w:tcPr>
            <w:tcW w:w="599" w:type="dxa"/>
            <w:tcBorders>
              <w:top w:val="single" w:color="auto" w:sz="4" w:space="0"/>
              <w:left w:val="single" w:color="auto" w:sz="4" w:space="0"/>
              <w:bottom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bCs/>
                <w:color w:val="auto"/>
                <w:szCs w:val="21"/>
                <w:highlight w:val="none"/>
              </w:rPr>
            </w:pPr>
            <w:r>
              <w:rPr>
                <w:rFonts w:hint="eastAsia" w:ascii="Times New Roman" w:hAnsi="Times New Roman" w:eastAsia="宋体" w:cs="Times New Roman"/>
                <w:color w:val="auto"/>
                <w:highlight w:val="none"/>
                <w:lang w:val="en-US" w:eastAsia="zh-CN"/>
              </w:rPr>
              <w:t>0.35</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73" w:hRule="atLeast"/>
          <w:jc w:val="center"/>
        </w:trPr>
        <w:tc>
          <w:tcPr>
            <w:tcW w:w="1714" w:type="dxa"/>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bCs/>
                <w:color w:val="auto"/>
                <w:szCs w:val="21"/>
                <w:highlight w:val="none"/>
              </w:rPr>
            </w:pPr>
            <w:r>
              <w:rPr>
                <w:rFonts w:hint="eastAsia" w:ascii="Times New Roman" w:hAnsi="Times New Roman" w:eastAsia="宋体" w:cs="Times New Roman"/>
                <w:color w:val="auto"/>
                <w:highlight w:val="none"/>
                <w:lang w:val="en-US" w:eastAsia="zh-CN"/>
              </w:rPr>
              <w:t>干燥度(蒸降比值)(EPR</w:t>
            </w:r>
          </w:p>
        </w:tc>
        <w:tc>
          <w:tcPr>
            <w:tcW w:w="723" w:type="dxa"/>
            <w:tcBorders>
              <w:top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eastAsia="宋体"/>
                <w:bCs/>
                <w:color w:val="auto"/>
                <w:szCs w:val="21"/>
                <w:highlight w:val="none"/>
                <w:lang w:val="en-US" w:eastAsia="zh-CN"/>
              </w:rPr>
            </w:pPr>
            <w:r>
              <w:rPr>
                <w:rFonts w:hint="eastAsia"/>
                <w:bCs/>
                <w:color w:val="auto"/>
                <w:szCs w:val="21"/>
                <w:highlight w:val="none"/>
                <w:lang w:val="en-US" w:eastAsia="zh-CN"/>
              </w:rPr>
              <w:t>0.84</w:t>
            </w:r>
          </w:p>
        </w:tc>
        <w:tc>
          <w:tcPr>
            <w:tcW w:w="804" w:type="dxa"/>
            <w:tcBorders>
              <w:top w:val="single" w:color="auto" w:sz="4" w:space="0"/>
              <w:bottom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EPR</w:t>
            </w:r>
          </w:p>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color w:val="auto"/>
                <w:szCs w:val="21"/>
                <w:highlight w:val="none"/>
              </w:rPr>
            </w:pPr>
            <w:r>
              <w:rPr>
                <w:rFonts w:hint="eastAsia" w:ascii="Times New Roman" w:hAnsi="Times New Roman" w:eastAsia="宋体" w:cs="Times New Roman"/>
                <w:color w:val="auto"/>
                <w:highlight w:val="none"/>
                <w:lang w:val="en-US" w:eastAsia="zh-CN"/>
              </w:rPr>
              <w:t>&lt;1.2</w:t>
            </w:r>
          </w:p>
        </w:tc>
        <w:tc>
          <w:tcPr>
            <w:tcW w:w="1623" w:type="dxa"/>
            <w:tcBorders>
              <w:top w:val="single" w:color="auto" w:sz="4" w:space="0"/>
              <w:bottom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bCs/>
                <w:color w:val="auto"/>
                <w:szCs w:val="21"/>
                <w:highlight w:val="none"/>
              </w:rPr>
            </w:pPr>
            <w:r>
              <w:rPr>
                <w:rFonts w:hint="eastAsia" w:ascii="Times New Roman" w:hAnsi="Times New Roman" w:eastAsia="宋体" w:cs="Times New Roman"/>
                <w:color w:val="auto"/>
                <w:highlight w:val="none"/>
                <w:lang w:val="en-US" w:eastAsia="zh-CN"/>
              </w:rPr>
              <w:t>1.2≤EPR&lt;2.5</w:t>
            </w:r>
          </w:p>
        </w:tc>
        <w:tc>
          <w:tcPr>
            <w:tcW w:w="1595" w:type="dxa"/>
            <w:tcBorders>
              <w:top w:val="single" w:color="auto" w:sz="4" w:space="0"/>
              <w:bottom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bCs/>
                <w:color w:val="auto"/>
                <w:szCs w:val="21"/>
                <w:highlight w:val="none"/>
              </w:rPr>
            </w:pPr>
            <w:r>
              <w:rPr>
                <w:rFonts w:hint="eastAsia" w:ascii="Times New Roman" w:hAnsi="Times New Roman" w:eastAsia="宋体" w:cs="Times New Roman"/>
                <w:color w:val="auto"/>
                <w:highlight w:val="none"/>
                <w:lang w:val="en-US" w:eastAsia="zh-CN"/>
              </w:rPr>
              <w:t>2.5≤EPR&lt;6</w:t>
            </w:r>
          </w:p>
        </w:tc>
        <w:tc>
          <w:tcPr>
            <w:tcW w:w="1255" w:type="dxa"/>
            <w:tcBorders>
              <w:top w:val="single" w:color="auto" w:sz="4" w:space="0"/>
              <w:bottom w:val="single" w:color="auto" w:sz="4" w:space="0"/>
              <w:right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bCs/>
                <w:color w:val="auto"/>
                <w:szCs w:val="21"/>
                <w:highlight w:val="none"/>
              </w:rPr>
            </w:pPr>
            <w:r>
              <w:rPr>
                <w:rFonts w:hint="eastAsia" w:ascii="Times New Roman" w:hAnsi="Times New Roman" w:eastAsia="宋体" w:cs="Times New Roman"/>
                <w:color w:val="auto"/>
                <w:highlight w:val="none"/>
                <w:lang w:val="en-US" w:eastAsia="zh-CN"/>
              </w:rPr>
              <w:t>EPR6</w:t>
            </w:r>
          </w:p>
        </w:tc>
        <w:tc>
          <w:tcPr>
            <w:tcW w:w="599" w:type="dxa"/>
            <w:tcBorders>
              <w:top w:val="single" w:color="auto" w:sz="4" w:space="0"/>
              <w:left w:val="single" w:color="auto" w:sz="4" w:space="0"/>
              <w:bottom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bCs/>
                <w:color w:val="auto"/>
                <w:szCs w:val="21"/>
                <w:highlight w:val="none"/>
              </w:rPr>
            </w:pPr>
            <w:r>
              <w:rPr>
                <w:rFonts w:hint="eastAsia" w:ascii="Times New Roman" w:hAnsi="Times New Roman" w:eastAsia="宋体" w:cs="Times New Roman"/>
                <w:color w:val="auto"/>
                <w:highlight w:val="none"/>
                <w:lang w:val="en-US" w:eastAsia="zh-CN"/>
              </w:rPr>
              <w:t>0.25</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73" w:hRule="atLeast"/>
          <w:jc w:val="center"/>
        </w:trPr>
        <w:tc>
          <w:tcPr>
            <w:tcW w:w="1714" w:type="dxa"/>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bCs/>
                <w:color w:val="auto"/>
                <w:szCs w:val="21"/>
                <w:highlight w:val="none"/>
              </w:rPr>
            </w:pPr>
            <w:r>
              <w:rPr>
                <w:rFonts w:hint="eastAsia" w:ascii="Times New Roman" w:hAnsi="Times New Roman" w:eastAsia="宋体" w:cs="Times New Roman"/>
                <w:color w:val="auto"/>
                <w:highlight w:val="none"/>
                <w:lang w:val="en-US" w:eastAsia="zh-CN"/>
              </w:rPr>
              <w:t>土壤本底含盐量(SSC&gt;(g/kg)</w:t>
            </w:r>
          </w:p>
        </w:tc>
        <w:tc>
          <w:tcPr>
            <w:tcW w:w="723" w:type="dxa"/>
            <w:tcBorders>
              <w:top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eastAsia="宋体"/>
                <w:bCs/>
                <w:color w:val="auto"/>
                <w:szCs w:val="21"/>
                <w:highlight w:val="none"/>
                <w:lang w:val="en-US" w:eastAsia="zh-CN"/>
              </w:rPr>
            </w:pPr>
            <w:r>
              <w:rPr>
                <w:rFonts w:hint="eastAsia"/>
                <w:bCs/>
                <w:color w:val="auto"/>
                <w:szCs w:val="21"/>
                <w:highlight w:val="none"/>
                <w:lang w:val="en-US" w:eastAsia="zh-CN"/>
              </w:rPr>
              <w:t>1.80</w:t>
            </w:r>
          </w:p>
        </w:tc>
        <w:tc>
          <w:tcPr>
            <w:tcW w:w="804" w:type="dxa"/>
            <w:tcBorders>
              <w:top w:val="single" w:color="auto" w:sz="4" w:space="0"/>
              <w:bottom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SSC</w:t>
            </w:r>
          </w:p>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color w:val="auto"/>
                <w:szCs w:val="21"/>
                <w:highlight w:val="none"/>
              </w:rPr>
            </w:pPr>
            <w:r>
              <w:rPr>
                <w:rFonts w:hint="eastAsia" w:ascii="Times New Roman" w:hAnsi="Times New Roman" w:eastAsia="宋体" w:cs="Times New Roman"/>
                <w:color w:val="auto"/>
                <w:highlight w:val="none"/>
                <w:lang w:val="en-US" w:eastAsia="zh-CN"/>
              </w:rPr>
              <w:t>&lt;1</w:t>
            </w:r>
          </w:p>
        </w:tc>
        <w:tc>
          <w:tcPr>
            <w:tcW w:w="1623" w:type="dxa"/>
            <w:tcBorders>
              <w:top w:val="single" w:color="auto" w:sz="4" w:space="0"/>
              <w:bottom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bCs/>
                <w:color w:val="auto"/>
                <w:szCs w:val="21"/>
                <w:highlight w:val="none"/>
              </w:rPr>
            </w:pPr>
            <w:r>
              <w:rPr>
                <w:rFonts w:hint="eastAsia" w:ascii="Times New Roman" w:hAnsi="Times New Roman" w:eastAsia="宋体" w:cs="Times New Roman"/>
                <w:color w:val="auto"/>
                <w:highlight w:val="none"/>
                <w:lang w:val="en-US" w:eastAsia="zh-CN"/>
              </w:rPr>
              <w:t>1≤SSC&lt;2</w:t>
            </w:r>
          </w:p>
        </w:tc>
        <w:tc>
          <w:tcPr>
            <w:tcW w:w="1595" w:type="dxa"/>
            <w:tcBorders>
              <w:top w:val="single" w:color="auto" w:sz="4" w:space="0"/>
              <w:bottom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bCs/>
                <w:color w:val="auto"/>
                <w:szCs w:val="21"/>
                <w:highlight w:val="none"/>
              </w:rPr>
            </w:pPr>
            <w:r>
              <w:rPr>
                <w:rFonts w:hint="eastAsia" w:ascii="Times New Roman" w:hAnsi="Times New Roman" w:eastAsia="宋体" w:cs="Times New Roman"/>
                <w:color w:val="auto"/>
                <w:highlight w:val="none"/>
                <w:lang w:val="en-US" w:eastAsia="zh-CN"/>
              </w:rPr>
              <w:t>2≤SSC&lt;4</w:t>
            </w:r>
          </w:p>
        </w:tc>
        <w:tc>
          <w:tcPr>
            <w:tcW w:w="1255" w:type="dxa"/>
            <w:tcBorders>
              <w:top w:val="single" w:color="auto" w:sz="4" w:space="0"/>
              <w:bottom w:val="single" w:color="auto" w:sz="4" w:space="0"/>
              <w:right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bCs/>
                <w:color w:val="auto"/>
                <w:szCs w:val="21"/>
                <w:highlight w:val="none"/>
              </w:rPr>
            </w:pPr>
            <w:r>
              <w:rPr>
                <w:rFonts w:hint="eastAsia" w:ascii="Times New Roman" w:hAnsi="Times New Roman" w:eastAsia="宋体" w:cs="Times New Roman"/>
                <w:color w:val="auto"/>
                <w:highlight w:val="none"/>
                <w:lang w:val="en-US" w:eastAsia="zh-CN"/>
              </w:rPr>
              <w:t>SSC&gt;4</w:t>
            </w:r>
          </w:p>
        </w:tc>
        <w:tc>
          <w:tcPr>
            <w:tcW w:w="599" w:type="dxa"/>
            <w:tcBorders>
              <w:top w:val="single" w:color="auto" w:sz="4" w:space="0"/>
              <w:left w:val="single" w:color="auto" w:sz="4" w:space="0"/>
              <w:bottom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bCs/>
                <w:color w:val="auto"/>
                <w:szCs w:val="21"/>
                <w:highlight w:val="none"/>
              </w:rPr>
            </w:pPr>
            <w:r>
              <w:rPr>
                <w:rFonts w:hint="eastAsia" w:ascii="Times New Roman" w:hAnsi="Times New Roman" w:eastAsia="宋体" w:cs="Times New Roman"/>
                <w:color w:val="auto"/>
                <w:highlight w:val="none"/>
                <w:lang w:val="en-US" w:eastAsia="zh-CN"/>
              </w:rPr>
              <w:t>0.15</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73" w:hRule="atLeast"/>
          <w:jc w:val="center"/>
        </w:trPr>
        <w:tc>
          <w:tcPr>
            <w:tcW w:w="1714" w:type="dxa"/>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地下水溶解性总固体(TDS》/(gL)</w:t>
            </w:r>
          </w:p>
        </w:tc>
        <w:tc>
          <w:tcPr>
            <w:tcW w:w="723" w:type="dxa"/>
            <w:tcBorders>
              <w:top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eastAsia="宋体"/>
                <w:bCs/>
                <w:color w:val="auto"/>
                <w:szCs w:val="21"/>
                <w:highlight w:val="none"/>
                <w:lang w:val="en-US" w:eastAsia="zh-CN"/>
              </w:rPr>
            </w:pPr>
            <w:r>
              <w:rPr>
                <w:rFonts w:hint="eastAsia"/>
                <w:bCs/>
                <w:color w:val="auto"/>
                <w:szCs w:val="21"/>
                <w:highlight w:val="none"/>
                <w:lang w:val="en-US" w:eastAsia="zh-CN"/>
              </w:rPr>
              <w:t>0.43</w:t>
            </w:r>
          </w:p>
        </w:tc>
        <w:tc>
          <w:tcPr>
            <w:tcW w:w="804" w:type="dxa"/>
            <w:tcBorders>
              <w:top w:val="single" w:color="auto" w:sz="4" w:space="0"/>
              <w:bottom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color w:val="auto"/>
                <w:szCs w:val="21"/>
                <w:highlight w:val="none"/>
              </w:rPr>
            </w:pPr>
            <w:r>
              <w:rPr>
                <w:rFonts w:hint="eastAsia" w:ascii="Times New Roman" w:hAnsi="Times New Roman" w:eastAsia="宋体" w:cs="Times New Roman"/>
                <w:color w:val="auto"/>
                <w:highlight w:val="none"/>
                <w:lang w:val="en-US" w:eastAsia="zh-CN"/>
              </w:rPr>
              <w:t>TDS&lt;l</w:t>
            </w:r>
          </w:p>
        </w:tc>
        <w:tc>
          <w:tcPr>
            <w:tcW w:w="1623" w:type="dxa"/>
            <w:tcBorders>
              <w:top w:val="single" w:color="auto" w:sz="4" w:space="0"/>
              <w:bottom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bCs/>
                <w:color w:val="auto"/>
                <w:szCs w:val="21"/>
                <w:highlight w:val="none"/>
              </w:rPr>
            </w:pPr>
            <w:r>
              <w:rPr>
                <w:rFonts w:hint="eastAsia" w:ascii="Times New Roman" w:hAnsi="Times New Roman" w:eastAsia="宋体" w:cs="Times New Roman"/>
                <w:color w:val="auto"/>
                <w:highlight w:val="none"/>
                <w:lang w:val="en-US" w:eastAsia="zh-CN"/>
              </w:rPr>
              <w:t>1≤TDS&lt;2</w:t>
            </w:r>
          </w:p>
        </w:tc>
        <w:tc>
          <w:tcPr>
            <w:tcW w:w="1595" w:type="dxa"/>
            <w:tcBorders>
              <w:top w:val="single" w:color="auto" w:sz="4" w:space="0"/>
              <w:bottom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bCs/>
                <w:color w:val="auto"/>
                <w:szCs w:val="21"/>
                <w:highlight w:val="none"/>
              </w:rPr>
            </w:pPr>
            <w:r>
              <w:rPr>
                <w:rFonts w:hint="eastAsia" w:ascii="Times New Roman" w:hAnsi="Times New Roman" w:eastAsia="宋体" w:cs="Times New Roman"/>
                <w:color w:val="auto"/>
                <w:highlight w:val="none"/>
                <w:lang w:val="en-US" w:eastAsia="zh-CN"/>
              </w:rPr>
              <w:t>2≤TDS&lt;5</w:t>
            </w:r>
          </w:p>
        </w:tc>
        <w:tc>
          <w:tcPr>
            <w:tcW w:w="1255" w:type="dxa"/>
            <w:tcBorders>
              <w:top w:val="single" w:color="auto" w:sz="4" w:space="0"/>
              <w:bottom w:val="single" w:color="auto" w:sz="4" w:space="0"/>
              <w:right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bCs/>
                <w:color w:val="auto"/>
                <w:szCs w:val="21"/>
                <w:highlight w:val="none"/>
              </w:rPr>
            </w:pPr>
            <w:r>
              <w:rPr>
                <w:rFonts w:hint="eastAsia" w:ascii="Times New Roman" w:hAnsi="Times New Roman" w:eastAsia="宋体" w:cs="Times New Roman"/>
                <w:color w:val="auto"/>
                <w:highlight w:val="none"/>
                <w:lang w:val="en-US" w:eastAsia="zh-CN"/>
              </w:rPr>
              <w:t>TDS≥5</w:t>
            </w:r>
          </w:p>
        </w:tc>
        <w:tc>
          <w:tcPr>
            <w:tcW w:w="599" w:type="dxa"/>
            <w:tcBorders>
              <w:top w:val="single" w:color="auto" w:sz="4" w:space="0"/>
              <w:left w:val="single" w:color="auto" w:sz="4" w:space="0"/>
              <w:bottom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bCs/>
                <w:color w:val="auto"/>
                <w:szCs w:val="21"/>
                <w:highlight w:val="none"/>
              </w:rPr>
            </w:pPr>
            <w:r>
              <w:rPr>
                <w:rFonts w:hint="eastAsia" w:ascii="Times New Roman" w:hAnsi="Times New Roman" w:eastAsia="宋体" w:cs="Times New Roman"/>
                <w:color w:val="auto"/>
                <w:highlight w:val="none"/>
                <w:lang w:val="en-US" w:eastAsia="zh-CN"/>
              </w:rPr>
              <w:t>0.15</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73" w:hRule="atLeast"/>
          <w:jc w:val="center"/>
        </w:trPr>
        <w:tc>
          <w:tcPr>
            <w:tcW w:w="1714" w:type="dxa"/>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土壤质地</w:t>
            </w:r>
          </w:p>
        </w:tc>
        <w:tc>
          <w:tcPr>
            <w:tcW w:w="723" w:type="dxa"/>
            <w:tcBorders>
              <w:top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bCs/>
                <w:color w:val="auto"/>
                <w:szCs w:val="21"/>
                <w:highlight w:val="none"/>
              </w:rPr>
            </w:pPr>
            <w:r>
              <w:rPr>
                <w:rFonts w:hint="eastAsia" w:ascii="Times New Roman" w:hAnsi="Times New Roman" w:eastAsia="宋体" w:cs="Times New Roman"/>
                <w:color w:val="auto"/>
                <w:highlight w:val="none"/>
                <w:lang w:val="en-US" w:eastAsia="zh-CN"/>
              </w:rPr>
              <w:t>黏土</w:t>
            </w:r>
          </w:p>
        </w:tc>
        <w:tc>
          <w:tcPr>
            <w:tcW w:w="804" w:type="dxa"/>
            <w:tcBorders>
              <w:top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color w:val="auto"/>
                <w:szCs w:val="21"/>
                <w:highlight w:val="none"/>
              </w:rPr>
            </w:pPr>
            <w:r>
              <w:rPr>
                <w:rFonts w:hint="eastAsia" w:ascii="Times New Roman" w:hAnsi="Times New Roman" w:eastAsia="宋体" w:cs="Times New Roman"/>
                <w:color w:val="auto"/>
                <w:highlight w:val="none"/>
                <w:lang w:val="en-US" w:eastAsia="zh-CN"/>
              </w:rPr>
              <w:t>黏土</w:t>
            </w:r>
          </w:p>
        </w:tc>
        <w:tc>
          <w:tcPr>
            <w:tcW w:w="1623" w:type="dxa"/>
            <w:tcBorders>
              <w:top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bCs/>
                <w:color w:val="auto"/>
                <w:szCs w:val="21"/>
                <w:highlight w:val="none"/>
              </w:rPr>
            </w:pPr>
            <w:r>
              <w:rPr>
                <w:rFonts w:hint="eastAsia" w:ascii="Times New Roman" w:hAnsi="Times New Roman" w:eastAsia="宋体" w:cs="Times New Roman"/>
                <w:color w:val="auto"/>
                <w:highlight w:val="none"/>
                <w:lang w:val="en-US" w:eastAsia="zh-CN"/>
              </w:rPr>
              <w:t>砂士</w:t>
            </w:r>
          </w:p>
        </w:tc>
        <w:tc>
          <w:tcPr>
            <w:tcW w:w="1595" w:type="dxa"/>
            <w:tcBorders>
              <w:top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bCs/>
                <w:color w:val="auto"/>
                <w:szCs w:val="21"/>
                <w:highlight w:val="none"/>
              </w:rPr>
            </w:pPr>
            <w:r>
              <w:rPr>
                <w:rFonts w:hint="eastAsia" w:ascii="Times New Roman" w:hAnsi="Times New Roman" w:eastAsia="宋体" w:cs="Times New Roman"/>
                <w:color w:val="auto"/>
                <w:highlight w:val="none"/>
                <w:lang w:val="en-US" w:eastAsia="zh-CN"/>
              </w:rPr>
              <w:t>壤土</w:t>
            </w:r>
          </w:p>
        </w:tc>
        <w:tc>
          <w:tcPr>
            <w:tcW w:w="1255" w:type="dxa"/>
            <w:tcBorders>
              <w:top w:val="single" w:color="auto" w:sz="4" w:space="0"/>
              <w:right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bCs/>
                <w:color w:val="auto"/>
                <w:szCs w:val="21"/>
                <w:highlight w:val="none"/>
              </w:rPr>
            </w:pPr>
            <w:r>
              <w:rPr>
                <w:rFonts w:hint="eastAsia" w:ascii="Times New Roman" w:hAnsi="Times New Roman" w:eastAsia="宋体" w:cs="Times New Roman"/>
                <w:color w:val="auto"/>
                <w:highlight w:val="none"/>
                <w:lang w:val="en-US" w:eastAsia="zh-CN"/>
              </w:rPr>
              <w:t>砂吵壤、粉土、砂粉士</w:t>
            </w:r>
          </w:p>
        </w:tc>
        <w:tc>
          <w:tcPr>
            <w:tcW w:w="599" w:type="dxa"/>
            <w:tcBorders>
              <w:top w:val="single" w:color="auto" w:sz="4" w:space="0"/>
              <w:left w:val="single" w:color="auto" w:sz="4" w:space="0"/>
            </w:tcBorders>
            <w:vAlign w:val="center"/>
          </w:tcPr>
          <w:p>
            <w:pPr>
              <w:pStyle w:val="285"/>
              <w:keepNext w:val="0"/>
              <w:keepLines w:val="0"/>
              <w:pageBreakBefore w:val="0"/>
              <w:widowControl w:val="0"/>
              <w:kinsoku/>
              <w:wordWrap/>
              <w:overflowPunct/>
              <w:topLinePunct w:val="0"/>
              <w:autoSpaceDE/>
              <w:autoSpaceDN/>
              <w:bidi w:val="0"/>
              <w:adjustRightInd/>
              <w:snapToGrid/>
              <w:spacing w:line="300" w:lineRule="exact"/>
              <w:textAlignment w:val="auto"/>
              <w:rPr>
                <w:bCs/>
                <w:color w:val="auto"/>
                <w:szCs w:val="21"/>
                <w:highlight w:val="none"/>
              </w:rPr>
            </w:pPr>
            <w:r>
              <w:rPr>
                <w:rFonts w:hint="eastAsia" w:ascii="Times New Roman" w:hAnsi="Times New Roman" w:eastAsia="宋体" w:cs="Times New Roman"/>
                <w:color w:val="auto"/>
                <w:highlight w:val="none"/>
                <w:lang w:val="en-US" w:eastAsia="zh-CN"/>
              </w:rPr>
              <w:t>0.1</w:t>
            </w:r>
          </w:p>
        </w:tc>
      </w:tr>
    </w:tbl>
    <w:p>
      <w:pPr>
        <w:spacing w:line="480" w:lineRule="exact"/>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rPr>
        <w:t>计算公式</w:t>
      </w:r>
      <w:r>
        <w:rPr>
          <w:rFonts w:hint="eastAsia" w:ascii="Times New Roman" w:hAnsi="Times New Roman" w:eastAsia="宋体" w:cs="Times New Roman"/>
          <w:color w:val="auto"/>
          <w:sz w:val="24"/>
          <w:highlight w:val="none"/>
          <w:lang w:eastAsia="zh-CN"/>
        </w:rPr>
        <w:t>：</w:t>
      </w:r>
    </w:p>
    <w:p>
      <w:pPr>
        <w:spacing w:line="240" w:lineRule="auto"/>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val="en-US" w:eastAsia="zh-CN"/>
        </w:rPr>
        <w:t xml:space="preserve">      </w:t>
      </w:r>
      <w:r>
        <w:rPr>
          <w:rFonts w:hint="eastAsia" w:ascii="Times New Roman" w:hAnsi="Times New Roman" w:eastAsia="宋体" w:cs="Times New Roman"/>
          <w:color w:val="auto"/>
          <w:sz w:val="24"/>
          <w:highlight w:val="none"/>
          <w:lang w:val="en-US" w:eastAsia="zh-CN"/>
        </w:rPr>
        <w:drawing>
          <wp:inline distT="0" distB="0" distL="114300" distR="114300">
            <wp:extent cx="1322070" cy="395605"/>
            <wp:effectExtent l="0" t="0" r="11430" b="4445"/>
            <wp:docPr id="38" name="图片 38" descr="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666"/>
                    <pic:cNvPicPr>
                      <a:picLocks noChangeAspect="1"/>
                    </pic:cNvPicPr>
                  </pic:nvPicPr>
                  <pic:blipFill>
                    <a:blip r:embed="rId84"/>
                    <a:stretch>
                      <a:fillRect/>
                    </a:stretch>
                  </pic:blipFill>
                  <pic:spPr>
                    <a:xfrm>
                      <a:off x="0" y="0"/>
                      <a:ext cx="1322070" cy="395605"/>
                    </a:xfrm>
                    <a:prstGeom prst="rect">
                      <a:avLst/>
                    </a:prstGeom>
                  </pic:spPr>
                </pic:pic>
              </a:graphicData>
            </a:graphic>
          </wp:inline>
        </w:drawing>
      </w:r>
      <w:r>
        <w:rPr>
          <w:rFonts w:hint="eastAsia" w:ascii="Times New Roman" w:hAnsi="Times New Roman" w:eastAsia="宋体" w:cs="Times New Roman"/>
          <w:color w:val="auto"/>
          <w:sz w:val="24"/>
          <w:highlight w:val="none"/>
          <w:lang w:val="en-US" w:eastAsia="zh-CN"/>
        </w:rPr>
        <w:t xml:space="preserve">   </w:t>
      </w:r>
    </w:p>
    <w:p>
      <w:pPr>
        <w:spacing w:line="480" w:lineRule="exact"/>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rPr>
        <w:t>式中∶</w:t>
      </w:r>
      <w:r>
        <w:rPr>
          <w:rFonts w:hint="eastAsia" w:ascii="Times New Roman" w:hAnsi="Times New Roman" w:eastAsia="宋体" w:cs="Times New Roman"/>
          <w:i/>
          <w:iCs/>
          <w:color w:val="auto"/>
          <w:sz w:val="24"/>
          <w:highlight w:val="none"/>
          <w:lang w:val="en-US" w:eastAsia="zh-CN"/>
        </w:rPr>
        <w:t>n</w:t>
      </w:r>
      <w:r>
        <w:rPr>
          <w:rFonts w:hint="eastAsia" w:ascii="Times New Roman" w:hAnsi="Times New Roman" w:eastAsia="宋体" w:cs="Times New Roman"/>
          <w:color w:val="auto"/>
          <w:sz w:val="24"/>
          <w:highlight w:val="none"/>
        </w:rPr>
        <w:t>—影响因素指标数据</w:t>
      </w:r>
      <w:r>
        <w:rPr>
          <w:rFonts w:hint="eastAsia" w:ascii="Times New Roman" w:hAnsi="Times New Roman" w:eastAsia="宋体" w:cs="Times New Roman"/>
          <w:color w:val="auto"/>
          <w:sz w:val="24"/>
          <w:highlight w:val="none"/>
          <w:lang w:eastAsia="zh-CN"/>
        </w:rPr>
        <w:t>；</w:t>
      </w:r>
    </w:p>
    <w:p>
      <w:pPr>
        <w:spacing w:line="480" w:lineRule="exact"/>
        <w:ind w:firstLine="1200" w:firstLineChars="500"/>
        <w:rPr>
          <w:rFonts w:hint="eastAsia" w:ascii="Times New Roman" w:hAnsi="Times New Roman" w:eastAsia="宋体" w:cs="Times New Roman"/>
          <w:color w:val="auto"/>
          <w:sz w:val="24"/>
          <w:highlight w:val="none"/>
        </w:rPr>
      </w:pPr>
      <w:r>
        <w:rPr>
          <w:rFonts w:hint="eastAsia" w:ascii="Times New Roman" w:hAnsi="Times New Roman" w:eastAsia="宋体" w:cs="Times New Roman"/>
          <w:i/>
          <w:iCs/>
          <w:color w:val="auto"/>
          <w:sz w:val="24"/>
          <w:highlight w:val="none"/>
        </w:rPr>
        <w:t>Ixi</w:t>
      </w:r>
      <w:r>
        <w:rPr>
          <w:rFonts w:hint="eastAsia" w:ascii="Times New Roman" w:hAnsi="Times New Roman" w:eastAsia="宋体" w:cs="Times New Roman"/>
          <w:color w:val="auto"/>
          <w:sz w:val="24"/>
          <w:highlight w:val="none"/>
        </w:rPr>
        <w:t>—影响因素i指标评分；</w:t>
      </w:r>
    </w:p>
    <w:p>
      <w:pPr>
        <w:spacing w:line="480" w:lineRule="exact"/>
        <w:ind w:firstLine="1200" w:firstLineChars="500"/>
        <w:rPr>
          <w:rFonts w:hint="eastAsia" w:ascii="Times New Roman" w:hAnsi="Times New Roman" w:eastAsia="宋体" w:cs="Times New Roman"/>
          <w:color w:val="auto"/>
          <w:sz w:val="24"/>
          <w:highlight w:val="none"/>
        </w:rPr>
      </w:pPr>
      <w:r>
        <w:rPr>
          <w:rFonts w:hint="eastAsia" w:ascii="Times New Roman" w:hAnsi="Times New Roman" w:eastAsia="宋体" w:cs="Times New Roman"/>
          <w:i/>
          <w:iCs/>
          <w:color w:val="auto"/>
          <w:sz w:val="24"/>
          <w:highlight w:val="none"/>
        </w:rPr>
        <w:t>Wxi</w:t>
      </w:r>
      <w:r>
        <w:rPr>
          <w:rFonts w:hint="eastAsia" w:ascii="Times New Roman" w:hAnsi="Times New Roman" w:eastAsia="宋体" w:cs="Times New Roman"/>
          <w:color w:val="auto"/>
          <w:sz w:val="24"/>
          <w:highlight w:val="none"/>
        </w:rPr>
        <w:t>—影响因素i指标权重。</w:t>
      </w:r>
    </w:p>
    <w:p>
      <w:pPr>
        <w:spacing w:line="480" w:lineRule="exact"/>
        <w:ind w:left="0" w:leftChars="0" w:right="0" w:rightChars="0" w:firstLine="0" w:firstLineChars="0"/>
        <w:jc w:val="center"/>
        <w:rPr>
          <w:rFonts w:hint="eastAsia"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表5.</w:t>
      </w:r>
      <w:r>
        <w:rPr>
          <w:rFonts w:hint="eastAsia" w:cs="Times New Roman"/>
          <w:b/>
          <w:bCs/>
          <w:color w:val="auto"/>
          <w:sz w:val="24"/>
          <w:highlight w:val="none"/>
          <w:lang w:val="en-US" w:eastAsia="zh-CN"/>
        </w:rPr>
        <w:t>9</w:t>
      </w:r>
      <w:r>
        <w:rPr>
          <w:rFonts w:hint="eastAsia" w:ascii="Times New Roman" w:hAnsi="Times New Roman" w:eastAsia="宋体" w:cs="Times New Roman"/>
          <w:b/>
          <w:bCs/>
          <w:color w:val="auto"/>
          <w:sz w:val="24"/>
          <w:highlight w:val="none"/>
          <w:lang w:val="en-US" w:eastAsia="zh-CN"/>
        </w:rPr>
        <w:t>-</w:t>
      </w:r>
      <w:r>
        <w:rPr>
          <w:rFonts w:hint="eastAsia" w:cs="Times New Roman"/>
          <w:b/>
          <w:bCs/>
          <w:color w:val="auto"/>
          <w:sz w:val="24"/>
          <w:highlight w:val="none"/>
          <w:lang w:val="en-US" w:eastAsia="zh-CN"/>
        </w:rPr>
        <w:t>4</w:t>
      </w:r>
      <w:r>
        <w:rPr>
          <w:rFonts w:hint="eastAsia" w:ascii="Times New Roman" w:hAnsi="Times New Roman" w:eastAsia="宋体" w:cs="Times New Roman"/>
          <w:b/>
          <w:bCs/>
          <w:color w:val="auto"/>
          <w:sz w:val="24"/>
          <w:highlight w:val="none"/>
          <w:lang w:val="en-US" w:eastAsia="zh-CN"/>
        </w:rPr>
        <w:t xml:space="preserve">   土壤盐化预测表</w:t>
      </w:r>
    </w:p>
    <w:tbl>
      <w:tblPr>
        <w:tblStyle w:val="51"/>
        <w:tblW w:w="4859" w:type="pct"/>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autofit"/>
        <w:tblCellMar>
          <w:top w:w="0" w:type="dxa"/>
          <w:left w:w="108" w:type="dxa"/>
          <w:bottom w:w="0" w:type="dxa"/>
          <w:right w:w="108" w:type="dxa"/>
        </w:tblCellMar>
      </w:tblPr>
      <w:tblGrid>
        <w:gridCol w:w="2440"/>
        <w:gridCol w:w="886"/>
        <w:gridCol w:w="1112"/>
        <w:gridCol w:w="1112"/>
        <w:gridCol w:w="1181"/>
        <w:gridCol w:w="1522"/>
      </w:tblGrid>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376" w:hRule="atLeast"/>
          <w:jc w:val="center"/>
        </w:trPr>
        <w:tc>
          <w:tcPr>
            <w:tcW w:w="1478" w:type="pct"/>
            <w:tcBorders>
              <w:tl2br w:val="nil"/>
              <w:tr2bl w:val="nil"/>
            </w:tcBorders>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土壤盐化综合评分值</w:t>
            </w:r>
          </w:p>
        </w:tc>
        <w:tc>
          <w:tcPr>
            <w:tcW w:w="537" w:type="pct"/>
            <w:tcBorders>
              <w:tl2br w:val="nil"/>
              <w:tr2bl w:val="nil"/>
            </w:tcBorders>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Sa&lt;1</w:t>
            </w:r>
          </w:p>
        </w:tc>
        <w:tc>
          <w:tcPr>
            <w:tcW w:w="0" w:type="auto"/>
            <w:tcBorders>
              <w:tl2br w:val="nil"/>
              <w:tr2bl w:val="nil"/>
            </w:tcBorders>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1≤Sa&lt;2</w:t>
            </w:r>
          </w:p>
        </w:tc>
        <w:tc>
          <w:tcPr>
            <w:tcW w:w="0" w:type="auto"/>
            <w:tcBorders>
              <w:tl2br w:val="nil"/>
              <w:tr2bl w:val="nil"/>
            </w:tcBorders>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2≤Sa&lt;3</w:t>
            </w:r>
          </w:p>
        </w:tc>
        <w:tc>
          <w:tcPr>
            <w:tcW w:w="0" w:type="auto"/>
            <w:tcBorders>
              <w:tl2br w:val="nil"/>
              <w:tr2bl w:val="nil"/>
            </w:tcBorders>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3≤Sa&lt;4.5</w:t>
            </w:r>
          </w:p>
        </w:tc>
        <w:tc>
          <w:tcPr>
            <w:tcW w:w="922" w:type="pct"/>
            <w:tcBorders>
              <w:tl2br w:val="nil"/>
              <w:tr2bl w:val="nil"/>
            </w:tcBorders>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Sa≥4.5</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574" w:hRule="atLeast"/>
          <w:jc w:val="center"/>
        </w:trPr>
        <w:tc>
          <w:tcPr>
            <w:tcW w:w="1478" w:type="pct"/>
            <w:tcBorders>
              <w:tl2br w:val="nil"/>
              <w:tr2bl w:val="nil"/>
            </w:tcBorders>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土壤盐化综合评分</w:t>
            </w:r>
          </w:p>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预测结果</w:t>
            </w:r>
          </w:p>
        </w:tc>
        <w:tc>
          <w:tcPr>
            <w:tcW w:w="537" w:type="pct"/>
            <w:tcBorders>
              <w:tl2br w:val="nil"/>
              <w:tr2bl w:val="nil"/>
            </w:tcBorders>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未盐化</w:t>
            </w:r>
          </w:p>
        </w:tc>
        <w:tc>
          <w:tcPr>
            <w:tcW w:w="0" w:type="auto"/>
            <w:tcBorders>
              <w:tl2br w:val="nil"/>
              <w:tr2bl w:val="nil"/>
            </w:tcBorders>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轻度盐化</w:t>
            </w:r>
          </w:p>
        </w:tc>
        <w:tc>
          <w:tcPr>
            <w:tcW w:w="0" w:type="auto"/>
            <w:tcBorders>
              <w:tl2br w:val="nil"/>
              <w:tr2bl w:val="nil"/>
            </w:tcBorders>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中度盐化</w:t>
            </w:r>
          </w:p>
        </w:tc>
        <w:tc>
          <w:tcPr>
            <w:tcW w:w="0" w:type="auto"/>
            <w:tcBorders>
              <w:tl2br w:val="nil"/>
              <w:tr2bl w:val="nil"/>
            </w:tcBorders>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中度盐化</w:t>
            </w:r>
          </w:p>
        </w:tc>
        <w:tc>
          <w:tcPr>
            <w:tcW w:w="922" w:type="pct"/>
            <w:tcBorders>
              <w:tl2br w:val="nil"/>
              <w:tr2bl w:val="nil"/>
            </w:tcBorders>
            <w:noWrap w:val="0"/>
            <w:vAlign w:val="center"/>
          </w:tcPr>
          <w:p>
            <w:pPr>
              <w:pStyle w:val="285"/>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极重度盐化</w:t>
            </w:r>
          </w:p>
        </w:tc>
      </w:tr>
    </w:tbl>
    <w:p>
      <w:pPr>
        <w:spacing w:line="480" w:lineRule="exact"/>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rPr>
        <w:t>根据计算，</w:t>
      </w:r>
      <w:r>
        <w:rPr>
          <w:rFonts w:hint="eastAsia" w:ascii="Times New Roman" w:hAnsi="Times New Roman" w:cs="Times New Roman"/>
          <w:color w:val="auto"/>
          <w:sz w:val="24"/>
          <w:highlight w:val="none"/>
          <w:lang w:eastAsia="zh-CN"/>
        </w:rPr>
        <w:t>本项目</w:t>
      </w:r>
      <w:r>
        <w:rPr>
          <w:rFonts w:hint="eastAsia" w:ascii="Times New Roman" w:hAnsi="Times New Roman" w:cs="Times New Roman"/>
          <w:color w:val="auto"/>
          <w:sz w:val="24"/>
          <w:highlight w:val="none"/>
        </w:rPr>
        <w:t>所在区域Sa值为</w:t>
      </w:r>
      <w:r>
        <w:rPr>
          <w:rFonts w:hint="eastAsia" w:ascii="Times New Roman" w:hAnsi="Times New Roman" w:cs="Times New Roman"/>
          <w:color w:val="auto"/>
          <w:sz w:val="24"/>
          <w:highlight w:val="none"/>
          <w:lang w:val="en-US" w:eastAsia="zh-CN"/>
        </w:rPr>
        <w:t>0.27</w:t>
      </w:r>
      <w:r>
        <w:rPr>
          <w:rFonts w:hint="eastAsia" w:ascii="Times New Roman" w:hAnsi="Times New Roman" w:cs="Times New Roman"/>
          <w:color w:val="auto"/>
          <w:sz w:val="24"/>
          <w:highlight w:val="none"/>
        </w:rPr>
        <w:t>，表明本区域未盐化。</w:t>
      </w:r>
    </w:p>
    <w:p>
      <w:pPr>
        <w:spacing w:line="480" w:lineRule="exact"/>
        <w:ind w:firstLine="480" w:firstLineChars="200"/>
        <w:rPr>
          <w:rFonts w:hint="eastAsia" w:ascii="Times New Roman" w:hAnsi="Times New Roman" w:cs="Times New Roman"/>
          <w:color w:val="000000"/>
          <w:sz w:val="24"/>
          <w:highlight w:val="none"/>
        </w:rPr>
      </w:pPr>
      <w:r>
        <w:rPr>
          <w:rFonts w:hint="eastAsia" w:ascii="Times New Roman" w:hAnsi="Times New Roman" w:cs="Times New Roman"/>
          <w:color w:val="auto"/>
          <w:sz w:val="24"/>
          <w:highlight w:val="none"/>
        </w:rPr>
        <w:t>根据分析项目采取低坝取水，且项目所在地地下水水位埋深较</w:t>
      </w:r>
      <w:r>
        <w:rPr>
          <w:rFonts w:hint="eastAsia" w:ascii="Times New Roman" w:hAnsi="Times New Roman" w:cs="Times New Roman"/>
          <w:color w:val="auto"/>
          <w:sz w:val="24"/>
          <w:highlight w:val="none"/>
          <w:lang w:eastAsia="zh-CN"/>
        </w:rPr>
        <w:t>浅</w:t>
      </w:r>
      <w:r>
        <w:rPr>
          <w:rFonts w:hint="eastAsia" w:ascii="Times New Roman" w:hAnsi="Times New Roman" w:cs="Times New Roman"/>
          <w:color w:val="auto"/>
          <w:sz w:val="24"/>
          <w:highlight w:val="none"/>
        </w:rPr>
        <w:t>，项目建成后基本不会引起地下水水位发生变化。项目已运行多年，周边土壤土壤 pH 值为 5.75-5.88、全盐量1.80</w:t>
      </w:r>
      <w:r>
        <w:rPr>
          <w:rFonts w:hint="eastAsia" w:ascii="Times New Roman" w:hAnsi="Times New Roman" w:cs="Times New Roman"/>
          <w:color w:val="000000"/>
          <w:sz w:val="24"/>
          <w:highlight w:val="none"/>
        </w:rPr>
        <w:t>g/kg、干燥度为0.84，无酸化或碱化，说明电站营运期间未造成周边土壤形成盐化及酸碱化，项目建设对土壤影响小。</w:t>
      </w:r>
    </w:p>
    <w:p>
      <w:pPr>
        <w:spacing w:line="480" w:lineRule="exact"/>
        <w:ind w:firstLine="480" w:firstLineChars="200"/>
        <w:rPr>
          <w:color w:val="000000"/>
          <w:sz w:val="24"/>
          <w:highlight w:val="none"/>
        </w:rPr>
      </w:pPr>
      <w:r>
        <w:rPr>
          <w:rFonts w:hint="eastAsia" w:ascii="Times New Roman" w:hAnsi="Times New Roman" w:cs="Times New Roman"/>
          <w:color w:val="000000"/>
          <w:sz w:val="24"/>
          <w:highlight w:val="none"/>
        </w:rPr>
        <w:t>项目发电</w:t>
      </w:r>
      <w:r>
        <w:rPr>
          <w:rFonts w:hint="eastAsia"/>
          <w:color w:val="000000"/>
          <w:sz w:val="24"/>
          <w:highlight w:val="none"/>
        </w:rPr>
        <w:t>站房附近，生活污水、废油等泄露可能对土壤产生影响。本项目生活污水和废油产量均较小，釆</w:t>
      </w:r>
      <w:r>
        <w:rPr>
          <w:rFonts w:hint="eastAsia"/>
          <w:color w:val="000000"/>
          <w:sz w:val="24"/>
          <w:highlight w:val="none"/>
          <w:lang w:eastAsia="zh-CN"/>
        </w:rPr>
        <w:t>取</w:t>
      </w:r>
      <w:r>
        <w:rPr>
          <w:rFonts w:hint="eastAsia"/>
          <w:color w:val="000000"/>
          <w:sz w:val="24"/>
          <w:highlight w:val="none"/>
        </w:rPr>
        <w:t>防渗化粪池处理、建设标准危险废物暂存</w:t>
      </w:r>
      <w:r>
        <w:rPr>
          <w:rFonts w:hint="eastAsia"/>
          <w:color w:val="000000"/>
          <w:sz w:val="24"/>
          <w:highlight w:val="none"/>
          <w:lang w:eastAsia="zh-CN"/>
        </w:rPr>
        <w:t>间、防渗溢油池</w:t>
      </w:r>
      <w:r>
        <w:rPr>
          <w:rFonts w:hint="eastAsia"/>
          <w:color w:val="000000"/>
          <w:sz w:val="24"/>
          <w:highlight w:val="none"/>
        </w:rPr>
        <w:t>，建立并严格执行危废管理制度后，项目基本无影响。</w:t>
      </w:r>
    </w:p>
    <w:p>
      <w:pPr>
        <w:pStyle w:val="244"/>
        <w:spacing w:line="480" w:lineRule="exact"/>
        <w:rPr>
          <w:b/>
          <w:color w:val="000000"/>
          <w:sz w:val="24"/>
          <w:highlight w:val="none"/>
        </w:rPr>
      </w:pPr>
      <w:r>
        <w:rPr>
          <w:rFonts w:hint="eastAsia"/>
          <w:b/>
          <w:color w:val="000000"/>
          <w:sz w:val="24"/>
          <w:highlight w:val="none"/>
        </w:rPr>
        <w:t>5.</w:t>
      </w:r>
      <w:r>
        <w:rPr>
          <w:rFonts w:hint="eastAsia"/>
          <w:b/>
          <w:color w:val="000000"/>
          <w:sz w:val="24"/>
          <w:highlight w:val="none"/>
          <w:lang w:val="en-US" w:eastAsia="zh-CN"/>
        </w:rPr>
        <w:t>9</w:t>
      </w:r>
      <w:r>
        <w:rPr>
          <w:rFonts w:hint="eastAsia"/>
          <w:b/>
          <w:color w:val="000000"/>
          <w:sz w:val="24"/>
          <w:highlight w:val="none"/>
        </w:rPr>
        <w:t>.</w:t>
      </w:r>
      <w:r>
        <w:rPr>
          <w:rFonts w:hint="eastAsia"/>
          <w:b/>
          <w:color w:val="000000"/>
          <w:sz w:val="24"/>
          <w:highlight w:val="none"/>
          <w:lang w:val="en-US" w:eastAsia="zh-CN"/>
        </w:rPr>
        <w:t>4</w:t>
      </w:r>
      <w:r>
        <w:rPr>
          <w:b/>
          <w:color w:val="000000"/>
          <w:sz w:val="24"/>
          <w:highlight w:val="none"/>
        </w:rPr>
        <w:t>土壤污染预防措施</w:t>
      </w:r>
    </w:p>
    <w:p>
      <w:pPr>
        <w:pStyle w:val="244"/>
        <w:spacing w:line="480" w:lineRule="exact"/>
        <w:ind w:firstLine="480"/>
        <w:rPr>
          <w:color w:val="000000"/>
          <w:sz w:val="24"/>
          <w:highlight w:val="none"/>
        </w:rPr>
      </w:pPr>
      <w:r>
        <w:rPr>
          <w:color w:val="000000"/>
          <w:sz w:val="24"/>
          <w:highlight w:val="none"/>
        </w:rPr>
        <w:t>据土壤污染特性，土壤污染特征因子主要为危废间废</w:t>
      </w:r>
      <w:r>
        <w:rPr>
          <w:rFonts w:hint="eastAsia"/>
          <w:color w:val="000000"/>
          <w:sz w:val="24"/>
          <w:highlight w:val="none"/>
        </w:rPr>
        <w:t>机油</w:t>
      </w:r>
      <w:r>
        <w:rPr>
          <w:color w:val="000000"/>
          <w:sz w:val="24"/>
          <w:highlight w:val="none"/>
        </w:rPr>
        <w:t>泄漏（以石油类为特征污染物）造成污染。为防止其造成土壤污染，拟建项目生产车间均采取了较为严格的防渗措施，地面均进行了硬化，切断了污染物入渗土壤的途径，因此对土壤的影响是可接受的。</w:t>
      </w:r>
    </w:p>
    <w:p>
      <w:pPr>
        <w:pStyle w:val="244"/>
        <w:spacing w:line="480" w:lineRule="exact"/>
        <w:ind w:firstLine="480"/>
        <w:rPr>
          <w:color w:val="000000"/>
          <w:sz w:val="24"/>
          <w:highlight w:val="none"/>
        </w:rPr>
      </w:pPr>
      <w:r>
        <w:rPr>
          <w:color w:val="000000"/>
          <w:sz w:val="24"/>
          <w:highlight w:val="none"/>
        </w:rPr>
        <w:t>化粪池</w:t>
      </w:r>
      <w:r>
        <w:rPr>
          <w:rFonts w:hint="eastAsia"/>
          <w:color w:val="000000"/>
          <w:sz w:val="24"/>
          <w:highlight w:val="none"/>
        </w:rPr>
        <w:t>、危废间</w:t>
      </w:r>
      <w:r>
        <w:rPr>
          <w:rFonts w:hint="eastAsia"/>
          <w:color w:val="000000"/>
          <w:sz w:val="24"/>
          <w:highlight w:val="none"/>
          <w:lang w:eastAsia="zh-CN"/>
        </w:rPr>
        <w:t>、溢油池</w:t>
      </w:r>
      <w:r>
        <w:rPr>
          <w:color w:val="000000"/>
          <w:sz w:val="24"/>
          <w:highlight w:val="none"/>
        </w:rPr>
        <w:t>重点防渗，按照《危险废物贮存污染控制标准》（GB18597</w:t>
      </w:r>
      <w:r>
        <w:rPr>
          <w:rFonts w:hint="eastAsia"/>
          <w:color w:val="000000"/>
          <w:sz w:val="24"/>
          <w:highlight w:val="none"/>
        </w:rPr>
        <w:t xml:space="preserve"> </w:t>
      </w:r>
      <w:r>
        <w:rPr>
          <w:color w:val="000000"/>
          <w:sz w:val="24"/>
          <w:highlight w:val="none"/>
        </w:rPr>
        <w:t>-20</w:t>
      </w:r>
      <w:r>
        <w:rPr>
          <w:rFonts w:hint="eastAsia"/>
          <w:color w:val="000000"/>
          <w:sz w:val="24"/>
          <w:highlight w:val="none"/>
          <w:lang w:val="en-US" w:eastAsia="zh-CN"/>
        </w:rPr>
        <w:t>23</w:t>
      </w:r>
      <w:r>
        <w:rPr>
          <w:color w:val="000000"/>
          <w:sz w:val="24"/>
          <w:highlight w:val="none"/>
        </w:rPr>
        <w:t>）建设</w:t>
      </w:r>
      <w:r>
        <w:rPr>
          <w:rFonts w:hint="eastAsia"/>
          <w:color w:val="000000"/>
          <w:sz w:val="24"/>
          <w:highlight w:val="none"/>
          <w:lang w:eastAsia="zh-CN"/>
        </w:rPr>
        <w:t>。</w:t>
      </w:r>
      <w:r>
        <w:rPr>
          <w:color w:val="000000"/>
          <w:sz w:val="24"/>
          <w:highlight w:val="none"/>
        </w:rPr>
        <w:t>危废暂存间进行防风、防雨、防晒、防渗漏处理，渗透系数不大于1×10</w:t>
      </w:r>
      <w:r>
        <w:rPr>
          <w:color w:val="000000"/>
          <w:sz w:val="24"/>
          <w:highlight w:val="none"/>
          <w:vertAlign w:val="superscript"/>
        </w:rPr>
        <w:t>-10</w:t>
      </w:r>
      <w:r>
        <w:rPr>
          <w:color w:val="000000"/>
          <w:sz w:val="24"/>
          <w:highlight w:val="none"/>
        </w:rPr>
        <w:t>m/s；地面与裙脚所围建的容积不低于最大容器的最大储量或总储量的五分之一，并设置三级警示标志，危险废物分区储存；在后期加强管理的情况下，可以将土壤累积影响控制在项目占地范围内同等水平，对土壤的影响程度较轻、影响范围较小。</w:t>
      </w:r>
    </w:p>
    <w:p>
      <w:pPr>
        <w:pStyle w:val="244"/>
        <w:spacing w:line="480" w:lineRule="exact"/>
        <w:ind w:firstLine="480"/>
        <w:rPr>
          <w:color w:val="000000"/>
          <w:sz w:val="24"/>
          <w:highlight w:val="none"/>
        </w:rPr>
      </w:pPr>
      <w:r>
        <w:rPr>
          <w:color w:val="000000"/>
          <w:sz w:val="24"/>
          <w:highlight w:val="none"/>
        </w:rPr>
        <w:t>综合以上分析，</w:t>
      </w:r>
      <w:r>
        <w:rPr>
          <w:rFonts w:hint="eastAsia"/>
          <w:color w:val="000000"/>
          <w:sz w:val="24"/>
          <w:highlight w:val="none"/>
        </w:rPr>
        <w:t>不</w:t>
      </w:r>
      <w:r>
        <w:rPr>
          <w:color w:val="000000"/>
          <w:sz w:val="24"/>
          <w:highlight w:val="none"/>
        </w:rPr>
        <w:t>项目实施后对周边土壤的累积影响是可接受的。在落实好厂区防渗工作的前提下，项目生产运行期对厂区及周围土壤影响较小。</w:t>
      </w:r>
    </w:p>
    <w:p>
      <w:pPr>
        <w:pStyle w:val="244"/>
        <w:spacing w:line="480" w:lineRule="exact"/>
        <w:rPr>
          <w:b/>
          <w:color w:val="000000"/>
          <w:sz w:val="24"/>
          <w:highlight w:val="none"/>
        </w:rPr>
      </w:pPr>
      <w:r>
        <w:rPr>
          <w:rFonts w:hint="eastAsia"/>
          <w:b/>
          <w:color w:val="000000"/>
          <w:sz w:val="24"/>
          <w:highlight w:val="none"/>
        </w:rPr>
        <w:t>5.</w:t>
      </w:r>
      <w:r>
        <w:rPr>
          <w:rFonts w:hint="eastAsia"/>
          <w:b/>
          <w:color w:val="000000"/>
          <w:sz w:val="24"/>
          <w:highlight w:val="none"/>
          <w:lang w:val="en-US" w:eastAsia="zh-CN"/>
        </w:rPr>
        <w:t>9</w:t>
      </w:r>
      <w:r>
        <w:rPr>
          <w:rFonts w:hint="eastAsia"/>
          <w:b/>
          <w:color w:val="000000"/>
          <w:sz w:val="24"/>
          <w:highlight w:val="none"/>
        </w:rPr>
        <w:t>.</w:t>
      </w:r>
      <w:r>
        <w:rPr>
          <w:rFonts w:hint="eastAsia"/>
          <w:b/>
          <w:color w:val="000000"/>
          <w:sz w:val="24"/>
          <w:highlight w:val="none"/>
          <w:lang w:val="en-US" w:eastAsia="zh-CN"/>
        </w:rPr>
        <w:t>5</w:t>
      </w:r>
      <w:r>
        <w:rPr>
          <w:b/>
          <w:color w:val="000000"/>
          <w:sz w:val="24"/>
          <w:highlight w:val="none"/>
        </w:rPr>
        <w:t>土壤</w:t>
      </w:r>
      <w:r>
        <w:rPr>
          <w:rFonts w:hint="eastAsia"/>
          <w:b/>
          <w:color w:val="000000"/>
          <w:sz w:val="24"/>
          <w:highlight w:val="none"/>
        </w:rPr>
        <w:t>跟踪监测</w:t>
      </w:r>
    </w:p>
    <w:p>
      <w:pPr>
        <w:pStyle w:val="244"/>
        <w:spacing w:line="480" w:lineRule="exact"/>
        <w:ind w:firstLine="480"/>
        <w:rPr>
          <w:color w:val="000000"/>
          <w:sz w:val="24"/>
          <w:highlight w:val="none"/>
        </w:rPr>
      </w:pPr>
      <w:r>
        <w:rPr>
          <w:rFonts w:hint="eastAsia"/>
          <w:color w:val="000000"/>
          <w:sz w:val="24"/>
          <w:highlight w:val="none"/>
        </w:rPr>
        <w:t>（1）监测点位</w:t>
      </w:r>
    </w:p>
    <w:p>
      <w:pPr>
        <w:pStyle w:val="244"/>
        <w:spacing w:line="480" w:lineRule="exact"/>
        <w:ind w:firstLine="480"/>
        <w:rPr>
          <w:color w:val="000000"/>
          <w:sz w:val="24"/>
          <w:highlight w:val="none"/>
        </w:rPr>
      </w:pPr>
      <w:r>
        <w:rPr>
          <w:rFonts w:hint="eastAsia"/>
          <w:color w:val="000000"/>
          <w:sz w:val="24"/>
          <w:highlight w:val="none"/>
        </w:rPr>
        <w:t>根据《环境影响评价技术导则·土壤环境(试行)》(HJ964-2018)的要求，项目特征及土壤监测布点原则，在项目占地区域可能受到污染的厂区内土壤处，及下游土壤环境敏感点处设置监测点，随时掌握土壤环境质量变化趋势。</w:t>
      </w:r>
    </w:p>
    <w:p>
      <w:pPr>
        <w:pStyle w:val="244"/>
        <w:spacing w:line="480" w:lineRule="exact"/>
        <w:ind w:firstLine="480"/>
        <w:rPr>
          <w:color w:val="000000"/>
          <w:sz w:val="24"/>
          <w:highlight w:val="none"/>
        </w:rPr>
      </w:pPr>
      <w:r>
        <w:rPr>
          <w:color w:val="000000"/>
          <w:sz w:val="24"/>
          <w:highlight w:val="none"/>
        </w:rPr>
        <w:t>土壤</w:t>
      </w:r>
      <w:r>
        <w:rPr>
          <w:rFonts w:hint="eastAsia"/>
          <w:color w:val="000000"/>
          <w:sz w:val="24"/>
          <w:highlight w:val="none"/>
        </w:rPr>
        <w:t>监测点位见表5.</w:t>
      </w:r>
      <w:r>
        <w:rPr>
          <w:rFonts w:hint="eastAsia"/>
          <w:color w:val="000000"/>
          <w:sz w:val="24"/>
          <w:highlight w:val="none"/>
          <w:lang w:val="en-US" w:eastAsia="zh-CN"/>
        </w:rPr>
        <w:t>9</w:t>
      </w:r>
      <w:r>
        <w:rPr>
          <w:rFonts w:hint="eastAsia"/>
          <w:color w:val="000000"/>
          <w:sz w:val="24"/>
          <w:highlight w:val="none"/>
        </w:rPr>
        <w:t>-</w:t>
      </w:r>
      <w:r>
        <w:rPr>
          <w:rFonts w:hint="eastAsia"/>
          <w:color w:val="000000"/>
          <w:sz w:val="24"/>
          <w:highlight w:val="none"/>
          <w:lang w:val="en-US" w:eastAsia="zh-CN"/>
        </w:rPr>
        <w:t>5</w:t>
      </w:r>
      <w:r>
        <w:rPr>
          <w:rFonts w:hint="eastAsia"/>
          <w:color w:val="000000"/>
          <w:sz w:val="24"/>
          <w:highlight w:val="none"/>
        </w:rPr>
        <w:t>。</w:t>
      </w:r>
    </w:p>
    <w:p>
      <w:pPr>
        <w:pStyle w:val="244"/>
        <w:spacing w:line="480" w:lineRule="exact"/>
        <w:ind w:firstLine="480"/>
        <w:rPr>
          <w:b/>
          <w:color w:val="000000"/>
          <w:sz w:val="24"/>
          <w:highlight w:val="none"/>
        </w:rPr>
      </w:pPr>
      <w:r>
        <w:rPr>
          <w:color w:val="000000"/>
          <w:sz w:val="24"/>
          <w:highlight w:val="none"/>
        </w:rPr>
        <w:t>土壤环境影响评价自查表见表</w:t>
      </w:r>
      <w:r>
        <w:rPr>
          <w:rFonts w:hint="eastAsia"/>
          <w:color w:val="000000"/>
          <w:sz w:val="24"/>
          <w:highlight w:val="none"/>
        </w:rPr>
        <w:t>5.</w:t>
      </w:r>
      <w:r>
        <w:rPr>
          <w:rFonts w:hint="eastAsia"/>
          <w:color w:val="000000"/>
          <w:sz w:val="24"/>
          <w:highlight w:val="none"/>
          <w:lang w:val="en-US" w:eastAsia="zh-CN"/>
        </w:rPr>
        <w:t>9</w:t>
      </w:r>
      <w:r>
        <w:rPr>
          <w:rFonts w:hint="eastAsia"/>
          <w:color w:val="000000"/>
          <w:sz w:val="24"/>
          <w:highlight w:val="none"/>
        </w:rPr>
        <w:t>-</w:t>
      </w:r>
      <w:r>
        <w:rPr>
          <w:rFonts w:hint="eastAsia"/>
          <w:color w:val="000000"/>
          <w:sz w:val="24"/>
          <w:highlight w:val="none"/>
          <w:lang w:val="en-US" w:eastAsia="zh-CN"/>
        </w:rPr>
        <w:t>6</w:t>
      </w:r>
      <w:r>
        <w:rPr>
          <w:color w:val="000000"/>
          <w:sz w:val="24"/>
          <w:highlight w:val="none"/>
        </w:rPr>
        <w:t>。</w:t>
      </w:r>
    </w:p>
    <w:p>
      <w:pPr>
        <w:pStyle w:val="244"/>
        <w:spacing w:line="480" w:lineRule="exact"/>
        <w:jc w:val="center"/>
        <w:rPr>
          <w:b/>
          <w:bCs/>
          <w:color w:val="000000"/>
          <w:sz w:val="24"/>
          <w:highlight w:val="none"/>
        </w:rPr>
      </w:pPr>
      <w:r>
        <w:rPr>
          <w:rFonts w:hint="eastAsia"/>
          <w:b/>
          <w:bCs/>
          <w:color w:val="000000"/>
          <w:sz w:val="24"/>
          <w:highlight w:val="none"/>
        </w:rPr>
        <w:t>表5.</w:t>
      </w:r>
      <w:r>
        <w:rPr>
          <w:rFonts w:hint="eastAsia"/>
          <w:b/>
          <w:bCs/>
          <w:color w:val="000000"/>
          <w:sz w:val="24"/>
          <w:highlight w:val="none"/>
          <w:lang w:val="en-US" w:eastAsia="zh-CN"/>
        </w:rPr>
        <w:t>9</w:t>
      </w:r>
      <w:r>
        <w:rPr>
          <w:rFonts w:hint="eastAsia"/>
          <w:b/>
          <w:bCs/>
          <w:color w:val="000000"/>
          <w:sz w:val="24"/>
          <w:highlight w:val="none"/>
        </w:rPr>
        <w:t>-</w:t>
      </w:r>
      <w:r>
        <w:rPr>
          <w:rFonts w:hint="eastAsia"/>
          <w:b/>
          <w:bCs/>
          <w:color w:val="000000"/>
          <w:sz w:val="24"/>
          <w:highlight w:val="none"/>
          <w:lang w:val="en-US" w:eastAsia="zh-CN"/>
        </w:rPr>
        <w:t>5</w:t>
      </w:r>
      <w:r>
        <w:rPr>
          <w:rFonts w:hint="eastAsia"/>
          <w:b/>
          <w:bCs/>
          <w:color w:val="000000"/>
          <w:sz w:val="24"/>
          <w:highlight w:val="none"/>
        </w:rPr>
        <w:t>土壤环境监测点一览表</w:t>
      </w:r>
    </w:p>
    <w:tbl>
      <w:tblPr>
        <w:tblStyle w:val="51"/>
        <w:tblW w:w="81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8"/>
        <w:gridCol w:w="1305"/>
        <w:gridCol w:w="1830"/>
        <w:gridCol w:w="1255"/>
        <w:gridCol w:w="1459"/>
        <w:gridCol w:w="15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dxa"/>
            <w:vAlign w:val="center"/>
          </w:tcPr>
          <w:p>
            <w:pPr>
              <w:pStyle w:val="244"/>
              <w:spacing w:line="300" w:lineRule="exact"/>
              <w:jc w:val="center"/>
              <w:rPr>
                <w:color w:val="000000"/>
                <w:szCs w:val="21"/>
                <w:highlight w:val="none"/>
              </w:rPr>
            </w:pPr>
            <w:r>
              <w:rPr>
                <w:rFonts w:hint="eastAsia"/>
                <w:color w:val="000000"/>
                <w:szCs w:val="21"/>
                <w:highlight w:val="none"/>
              </w:rPr>
              <w:t>点位</w:t>
            </w:r>
          </w:p>
        </w:tc>
        <w:tc>
          <w:tcPr>
            <w:tcW w:w="1305" w:type="dxa"/>
            <w:vAlign w:val="center"/>
          </w:tcPr>
          <w:p>
            <w:pPr>
              <w:pStyle w:val="244"/>
              <w:spacing w:line="300" w:lineRule="exact"/>
              <w:jc w:val="center"/>
              <w:rPr>
                <w:color w:val="000000"/>
                <w:szCs w:val="21"/>
                <w:highlight w:val="none"/>
              </w:rPr>
            </w:pPr>
            <w:r>
              <w:rPr>
                <w:rFonts w:hint="eastAsia"/>
                <w:color w:val="000000"/>
                <w:szCs w:val="21"/>
                <w:highlight w:val="none"/>
              </w:rPr>
              <w:t>监测点位置</w:t>
            </w:r>
          </w:p>
        </w:tc>
        <w:tc>
          <w:tcPr>
            <w:tcW w:w="1830" w:type="dxa"/>
            <w:vAlign w:val="center"/>
          </w:tcPr>
          <w:p>
            <w:pPr>
              <w:pStyle w:val="244"/>
              <w:spacing w:line="300" w:lineRule="exact"/>
              <w:jc w:val="center"/>
              <w:rPr>
                <w:color w:val="000000"/>
                <w:szCs w:val="21"/>
                <w:highlight w:val="none"/>
              </w:rPr>
            </w:pPr>
            <w:r>
              <w:rPr>
                <w:rFonts w:hint="eastAsia"/>
                <w:color w:val="000000"/>
                <w:szCs w:val="21"/>
                <w:highlight w:val="none"/>
              </w:rPr>
              <w:t>监测点类型</w:t>
            </w:r>
          </w:p>
        </w:tc>
        <w:tc>
          <w:tcPr>
            <w:tcW w:w="1255" w:type="dxa"/>
            <w:vAlign w:val="center"/>
          </w:tcPr>
          <w:p>
            <w:pPr>
              <w:pStyle w:val="244"/>
              <w:spacing w:line="300" w:lineRule="exact"/>
              <w:jc w:val="center"/>
              <w:rPr>
                <w:color w:val="000000"/>
                <w:szCs w:val="21"/>
                <w:highlight w:val="none"/>
              </w:rPr>
            </w:pPr>
            <w:r>
              <w:rPr>
                <w:color w:val="000000"/>
                <w:szCs w:val="21"/>
                <w:highlight w:val="none"/>
              </w:rPr>
              <w:t>深度</w:t>
            </w:r>
          </w:p>
        </w:tc>
        <w:tc>
          <w:tcPr>
            <w:tcW w:w="1459" w:type="dxa"/>
            <w:vAlign w:val="center"/>
          </w:tcPr>
          <w:p>
            <w:pPr>
              <w:pStyle w:val="244"/>
              <w:spacing w:line="300" w:lineRule="exact"/>
              <w:jc w:val="center"/>
              <w:rPr>
                <w:color w:val="000000"/>
                <w:szCs w:val="21"/>
                <w:highlight w:val="none"/>
              </w:rPr>
            </w:pPr>
            <w:r>
              <w:rPr>
                <w:rFonts w:hint="eastAsia"/>
                <w:color w:val="000000"/>
                <w:szCs w:val="21"/>
                <w:highlight w:val="none"/>
              </w:rPr>
              <w:t>监测频率</w:t>
            </w:r>
          </w:p>
        </w:tc>
        <w:tc>
          <w:tcPr>
            <w:tcW w:w="1554" w:type="dxa"/>
            <w:vAlign w:val="center"/>
          </w:tcPr>
          <w:p>
            <w:pPr>
              <w:pStyle w:val="244"/>
              <w:spacing w:line="300" w:lineRule="exact"/>
              <w:jc w:val="center"/>
              <w:rPr>
                <w:color w:val="000000"/>
                <w:szCs w:val="21"/>
                <w:highlight w:val="none"/>
              </w:rPr>
            </w:pPr>
            <w:r>
              <w:rPr>
                <w:rFonts w:hint="eastAsia"/>
                <w:color w:val="000000"/>
                <w:szCs w:val="21"/>
                <w:highlight w:val="none"/>
              </w:rPr>
              <w:t>监测因子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dxa"/>
            <w:vAlign w:val="center"/>
          </w:tcPr>
          <w:p>
            <w:pPr>
              <w:pStyle w:val="244"/>
              <w:spacing w:line="300" w:lineRule="exact"/>
              <w:jc w:val="center"/>
              <w:rPr>
                <w:color w:val="000000"/>
                <w:szCs w:val="21"/>
                <w:highlight w:val="none"/>
              </w:rPr>
            </w:pPr>
            <w:r>
              <w:rPr>
                <w:rFonts w:hint="eastAsia"/>
                <w:color w:val="000000"/>
                <w:szCs w:val="21"/>
                <w:highlight w:val="none"/>
              </w:rPr>
              <w:t>1</w:t>
            </w:r>
          </w:p>
        </w:tc>
        <w:tc>
          <w:tcPr>
            <w:tcW w:w="1305" w:type="dxa"/>
            <w:vAlign w:val="center"/>
          </w:tcPr>
          <w:p>
            <w:pPr>
              <w:pStyle w:val="244"/>
              <w:spacing w:line="300" w:lineRule="exact"/>
              <w:jc w:val="center"/>
              <w:rPr>
                <w:color w:val="000000"/>
                <w:szCs w:val="21"/>
                <w:highlight w:val="none"/>
              </w:rPr>
            </w:pPr>
            <w:r>
              <w:rPr>
                <w:rFonts w:hint="eastAsia"/>
                <w:color w:val="000000"/>
                <w:szCs w:val="21"/>
                <w:highlight w:val="none"/>
              </w:rPr>
              <w:t>厂区内</w:t>
            </w:r>
          </w:p>
        </w:tc>
        <w:tc>
          <w:tcPr>
            <w:tcW w:w="1830" w:type="dxa"/>
            <w:vAlign w:val="center"/>
          </w:tcPr>
          <w:p>
            <w:pPr>
              <w:pStyle w:val="244"/>
              <w:spacing w:line="300" w:lineRule="exact"/>
              <w:jc w:val="center"/>
              <w:rPr>
                <w:color w:val="000000"/>
                <w:szCs w:val="21"/>
                <w:highlight w:val="none"/>
              </w:rPr>
            </w:pPr>
            <w:r>
              <w:rPr>
                <w:rFonts w:hint="eastAsia"/>
                <w:color w:val="000000"/>
                <w:szCs w:val="21"/>
                <w:highlight w:val="none"/>
              </w:rPr>
              <w:t>垂直入渗影响区监测点</w:t>
            </w:r>
          </w:p>
        </w:tc>
        <w:tc>
          <w:tcPr>
            <w:tcW w:w="1255" w:type="dxa"/>
            <w:vAlign w:val="center"/>
          </w:tcPr>
          <w:p>
            <w:pPr>
              <w:pStyle w:val="244"/>
              <w:spacing w:line="300" w:lineRule="exact"/>
              <w:jc w:val="center"/>
              <w:rPr>
                <w:rFonts w:hint="eastAsia"/>
                <w:color w:val="000000"/>
                <w:szCs w:val="21"/>
                <w:highlight w:val="none"/>
              </w:rPr>
            </w:pPr>
            <w:r>
              <w:rPr>
                <w:rFonts w:hint="eastAsia"/>
                <w:color w:val="000000"/>
                <w:szCs w:val="21"/>
                <w:highlight w:val="none"/>
              </w:rPr>
              <w:t>表层样</w:t>
            </w:r>
          </w:p>
          <w:p>
            <w:pPr>
              <w:pStyle w:val="244"/>
              <w:spacing w:line="300" w:lineRule="exact"/>
              <w:jc w:val="center"/>
              <w:rPr>
                <w:color w:val="000000"/>
                <w:szCs w:val="21"/>
                <w:highlight w:val="none"/>
              </w:rPr>
            </w:pPr>
            <w:r>
              <w:rPr>
                <w:rFonts w:hint="eastAsia"/>
                <w:color w:val="000000"/>
                <w:szCs w:val="21"/>
                <w:highlight w:val="none"/>
              </w:rPr>
              <w:t>0-0.2m</w:t>
            </w:r>
          </w:p>
        </w:tc>
        <w:tc>
          <w:tcPr>
            <w:tcW w:w="1459" w:type="dxa"/>
            <w:vAlign w:val="center"/>
          </w:tcPr>
          <w:p>
            <w:pPr>
              <w:pStyle w:val="244"/>
              <w:spacing w:line="300" w:lineRule="exact"/>
              <w:jc w:val="center"/>
              <w:rPr>
                <w:rFonts w:hint="eastAsia"/>
                <w:color w:val="000000"/>
                <w:szCs w:val="21"/>
                <w:highlight w:val="none"/>
              </w:rPr>
            </w:pPr>
            <w:r>
              <w:rPr>
                <w:rFonts w:hint="eastAsia"/>
                <w:color w:val="000000"/>
                <w:szCs w:val="21"/>
                <w:highlight w:val="none"/>
              </w:rPr>
              <w:t>每5年</w:t>
            </w:r>
          </w:p>
          <w:p>
            <w:pPr>
              <w:pStyle w:val="244"/>
              <w:spacing w:line="300" w:lineRule="exact"/>
              <w:jc w:val="center"/>
              <w:rPr>
                <w:color w:val="000000"/>
                <w:szCs w:val="21"/>
                <w:highlight w:val="none"/>
              </w:rPr>
            </w:pPr>
            <w:r>
              <w:rPr>
                <w:rFonts w:hint="eastAsia"/>
                <w:color w:val="000000"/>
                <w:szCs w:val="21"/>
                <w:highlight w:val="none"/>
              </w:rPr>
              <w:t>监测一次</w:t>
            </w:r>
          </w:p>
        </w:tc>
        <w:tc>
          <w:tcPr>
            <w:tcW w:w="1554" w:type="dxa"/>
            <w:vAlign w:val="center"/>
          </w:tcPr>
          <w:p>
            <w:pPr>
              <w:pStyle w:val="244"/>
              <w:spacing w:line="300" w:lineRule="exact"/>
              <w:jc w:val="center"/>
              <w:rPr>
                <w:color w:val="000000"/>
                <w:szCs w:val="21"/>
                <w:highlight w:val="none"/>
              </w:rPr>
            </w:pPr>
            <w:r>
              <w:rPr>
                <w:rFonts w:hint="eastAsia"/>
                <w:color w:val="000000"/>
                <w:szCs w:val="21"/>
                <w:highlight w:val="none"/>
              </w:rPr>
              <w:t>pH、石油烃</w:t>
            </w:r>
          </w:p>
        </w:tc>
      </w:tr>
    </w:tbl>
    <w:p>
      <w:pPr>
        <w:pStyle w:val="244"/>
        <w:spacing w:line="480" w:lineRule="exact"/>
        <w:ind w:firstLine="480" w:firstLineChars="200"/>
        <w:jc w:val="both"/>
        <w:rPr>
          <w:bCs/>
          <w:color w:val="000000"/>
          <w:sz w:val="24"/>
          <w:highlight w:val="none"/>
        </w:rPr>
      </w:pPr>
      <w:r>
        <w:rPr>
          <w:rFonts w:hint="eastAsia"/>
          <w:bCs/>
          <w:color w:val="000000"/>
          <w:sz w:val="24"/>
          <w:highlight w:val="none"/>
        </w:rPr>
        <w:t>(2)监测数据管理</w:t>
      </w:r>
    </w:p>
    <w:p>
      <w:pPr>
        <w:pStyle w:val="244"/>
        <w:spacing w:line="480" w:lineRule="exact"/>
        <w:ind w:firstLine="480" w:firstLineChars="200"/>
        <w:jc w:val="both"/>
        <w:rPr>
          <w:bCs/>
          <w:color w:val="000000"/>
          <w:sz w:val="24"/>
          <w:highlight w:val="none"/>
        </w:rPr>
      </w:pPr>
      <w:r>
        <w:rPr>
          <w:rFonts w:hint="eastAsia"/>
          <w:bCs/>
          <w:color w:val="000000"/>
          <w:sz w:val="24"/>
          <w:highlight w:val="none"/>
        </w:rPr>
        <w:t>监测结果应按项目有关规定及时建立档案，发现污染时，要及时进行处理，开展系统调查，并上报有关部门。</w:t>
      </w:r>
    </w:p>
    <w:p>
      <w:pPr>
        <w:pStyle w:val="244"/>
        <w:spacing w:line="480" w:lineRule="exact"/>
        <w:ind w:firstLine="480" w:firstLineChars="200"/>
        <w:jc w:val="both"/>
        <w:rPr>
          <w:bCs/>
          <w:color w:val="000000"/>
          <w:sz w:val="24"/>
          <w:highlight w:val="none"/>
        </w:rPr>
      </w:pPr>
      <w:r>
        <w:rPr>
          <w:rFonts w:hint="eastAsia"/>
          <w:bCs/>
          <w:color w:val="000000"/>
          <w:sz w:val="24"/>
          <w:highlight w:val="none"/>
        </w:rPr>
        <w:t>(3)信息公开计划</w:t>
      </w:r>
    </w:p>
    <w:p>
      <w:pPr>
        <w:pStyle w:val="244"/>
        <w:spacing w:line="480" w:lineRule="exact"/>
        <w:ind w:firstLine="480" w:firstLineChars="200"/>
        <w:jc w:val="both"/>
        <w:rPr>
          <w:bCs/>
          <w:color w:val="000000"/>
          <w:sz w:val="24"/>
          <w:highlight w:val="none"/>
        </w:rPr>
      </w:pPr>
      <w:r>
        <w:rPr>
          <w:rFonts w:hint="eastAsia"/>
          <w:bCs/>
          <w:color w:val="000000"/>
          <w:sz w:val="24"/>
          <w:highlight w:val="none"/>
        </w:rPr>
        <w:t>制定土壤环境跟踪监测的信息公开计划，定期公开土壤环境质量现状，公布内容应包括建设项目特征因子的土壤环境监测值。</w:t>
      </w:r>
    </w:p>
    <w:p>
      <w:pPr>
        <w:pStyle w:val="244"/>
        <w:spacing w:line="480" w:lineRule="exact"/>
        <w:jc w:val="both"/>
        <w:rPr>
          <w:b/>
          <w:color w:val="000000"/>
          <w:sz w:val="24"/>
          <w:highlight w:val="none"/>
        </w:rPr>
      </w:pPr>
      <w:r>
        <w:rPr>
          <w:rFonts w:hint="eastAsia"/>
          <w:b/>
          <w:color w:val="000000"/>
          <w:sz w:val="24"/>
          <w:highlight w:val="none"/>
        </w:rPr>
        <w:t>5.</w:t>
      </w:r>
      <w:r>
        <w:rPr>
          <w:rFonts w:hint="eastAsia"/>
          <w:b/>
          <w:color w:val="000000"/>
          <w:sz w:val="24"/>
          <w:highlight w:val="none"/>
          <w:lang w:val="en-US" w:eastAsia="zh-CN"/>
        </w:rPr>
        <w:t>9</w:t>
      </w:r>
      <w:r>
        <w:rPr>
          <w:rFonts w:hint="eastAsia"/>
          <w:b/>
          <w:color w:val="000000"/>
          <w:sz w:val="24"/>
          <w:highlight w:val="none"/>
        </w:rPr>
        <w:t>.</w:t>
      </w:r>
      <w:r>
        <w:rPr>
          <w:rFonts w:hint="eastAsia"/>
          <w:b/>
          <w:color w:val="000000"/>
          <w:sz w:val="24"/>
          <w:highlight w:val="none"/>
          <w:lang w:val="en-US" w:eastAsia="zh-CN"/>
        </w:rPr>
        <w:t>6</w:t>
      </w:r>
      <w:r>
        <w:rPr>
          <w:rFonts w:hint="eastAsia"/>
          <w:b/>
          <w:color w:val="000000"/>
          <w:sz w:val="24"/>
          <w:highlight w:val="none"/>
        </w:rPr>
        <w:t>土壤环境影响评价结论</w:t>
      </w:r>
    </w:p>
    <w:p>
      <w:pPr>
        <w:pStyle w:val="244"/>
        <w:spacing w:line="480" w:lineRule="exact"/>
        <w:ind w:firstLine="480" w:firstLineChars="200"/>
        <w:jc w:val="both"/>
        <w:rPr>
          <w:bCs/>
          <w:color w:val="000000"/>
          <w:sz w:val="24"/>
          <w:highlight w:val="none"/>
        </w:rPr>
      </w:pPr>
      <w:r>
        <w:rPr>
          <w:rFonts w:hint="eastAsia"/>
          <w:bCs/>
          <w:color w:val="000000"/>
          <w:sz w:val="24"/>
          <w:highlight w:val="none"/>
        </w:rPr>
        <w:t>土壤现状调查评价区内的建设用地土壤现状监测各污染物项目监测值均小于《土壤环境质量 建设用地土壤污染风险管控标准（试行）》(GB36600-2018)用地筛选值。项目采取了源头控制措施和过程防控措施，从源头上减少了污染物的排放量，同时通过采取严格的防渗措施，切断了垂直入渗进入土壤的途径。对土壤环境的影响可以接受，从土壤环境影响的角度分析，项目的建设可行。</w:t>
      </w:r>
    </w:p>
    <w:p>
      <w:pPr>
        <w:pStyle w:val="244"/>
        <w:spacing w:line="480" w:lineRule="exact"/>
        <w:jc w:val="center"/>
        <w:rPr>
          <w:b/>
          <w:color w:val="000000"/>
          <w:sz w:val="24"/>
          <w:highlight w:val="none"/>
        </w:rPr>
      </w:pPr>
      <w:r>
        <w:rPr>
          <w:b/>
          <w:color w:val="000000"/>
          <w:sz w:val="24"/>
          <w:highlight w:val="none"/>
        </w:rPr>
        <w:t>表</w:t>
      </w:r>
      <w:r>
        <w:rPr>
          <w:rFonts w:hint="eastAsia"/>
          <w:b/>
          <w:color w:val="000000"/>
          <w:sz w:val="24"/>
          <w:highlight w:val="none"/>
        </w:rPr>
        <w:t>5.</w:t>
      </w:r>
      <w:r>
        <w:rPr>
          <w:rFonts w:hint="eastAsia"/>
          <w:b/>
          <w:color w:val="000000"/>
          <w:sz w:val="24"/>
          <w:highlight w:val="none"/>
          <w:lang w:val="en-US" w:eastAsia="zh-CN"/>
        </w:rPr>
        <w:t>9</w:t>
      </w:r>
      <w:r>
        <w:rPr>
          <w:rFonts w:hint="eastAsia"/>
          <w:b/>
          <w:color w:val="000000"/>
          <w:sz w:val="24"/>
          <w:highlight w:val="none"/>
        </w:rPr>
        <w:t>-</w:t>
      </w:r>
      <w:r>
        <w:rPr>
          <w:rFonts w:hint="eastAsia"/>
          <w:b/>
          <w:color w:val="000000"/>
          <w:sz w:val="24"/>
          <w:highlight w:val="none"/>
          <w:lang w:val="en-US" w:eastAsia="zh-CN"/>
        </w:rPr>
        <w:t>6</w:t>
      </w:r>
      <w:r>
        <w:rPr>
          <w:b/>
          <w:color w:val="000000"/>
          <w:sz w:val="24"/>
          <w:highlight w:val="none"/>
        </w:rPr>
        <w:t xml:space="preserve">  土壤环境影响评价自查表</w:t>
      </w:r>
    </w:p>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591"/>
        <w:gridCol w:w="1492"/>
        <w:gridCol w:w="1313"/>
        <w:gridCol w:w="1325"/>
        <w:gridCol w:w="1500"/>
        <w:gridCol w:w="7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5" w:type="dxa"/>
            <w:gridSpan w:val="2"/>
            <w:vAlign w:val="center"/>
          </w:tcPr>
          <w:p>
            <w:pPr>
              <w:pStyle w:val="244"/>
              <w:spacing w:line="300" w:lineRule="exact"/>
              <w:jc w:val="center"/>
              <w:rPr>
                <w:color w:val="000000"/>
                <w:szCs w:val="21"/>
                <w:highlight w:val="none"/>
              </w:rPr>
            </w:pPr>
            <w:r>
              <w:rPr>
                <w:color w:val="000000"/>
                <w:szCs w:val="21"/>
                <w:highlight w:val="none"/>
              </w:rPr>
              <w:t>工作内容</w:t>
            </w:r>
          </w:p>
        </w:tc>
        <w:tc>
          <w:tcPr>
            <w:tcW w:w="5630" w:type="dxa"/>
            <w:gridSpan w:val="4"/>
            <w:vAlign w:val="center"/>
          </w:tcPr>
          <w:p>
            <w:pPr>
              <w:pStyle w:val="244"/>
              <w:spacing w:line="300" w:lineRule="exact"/>
              <w:jc w:val="center"/>
              <w:rPr>
                <w:color w:val="000000"/>
                <w:szCs w:val="21"/>
                <w:highlight w:val="none"/>
              </w:rPr>
            </w:pPr>
            <w:r>
              <w:rPr>
                <w:color w:val="000000"/>
                <w:szCs w:val="21"/>
                <w:highlight w:val="none"/>
              </w:rPr>
              <w:t>完成情况</w:t>
            </w:r>
          </w:p>
        </w:tc>
        <w:tc>
          <w:tcPr>
            <w:tcW w:w="717" w:type="dxa"/>
            <w:vAlign w:val="center"/>
          </w:tcPr>
          <w:p>
            <w:pPr>
              <w:pStyle w:val="244"/>
              <w:spacing w:line="300" w:lineRule="exact"/>
              <w:jc w:val="center"/>
              <w:rPr>
                <w:color w:val="000000"/>
                <w:szCs w:val="21"/>
                <w:highlight w:val="none"/>
              </w:rPr>
            </w:pPr>
            <w:r>
              <w:rPr>
                <w:color w:val="000000"/>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restart"/>
            <w:vAlign w:val="center"/>
          </w:tcPr>
          <w:p>
            <w:pPr>
              <w:pStyle w:val="244"/>
              <w:spacing w:line="300" w:lineRule="exact"/>
              <w:jc w:val="center"/>
              <w:rPr>
                <w:color w:val="000000"/>
                <w:szCs w:val="21"/>
                <w:highlight w:val="none"/>
              </w:rPr>
            </w:pPr>
            <w:r>
              <w:rPr>
                <w:color w:val="000000"/>
                <w:szCs w:val="21"/>
                <w:highlight w:val="none"/>
              </w:rPr>
              <w:t>影</w:t>
            </w:r>
          </w:p>
          <w:p>
            <w:pPr>
              <w:pStyle w:val="244"/>
              <w:spacing w:line="300" w:lineRule="exact"/>
              <w:jc w:val="center"/>
              <w:rPr>
                <w:color w:val="000000"/>
                <w:szCs w:val="21"/>
                <w:highlight w:val="none"/>
              </w:rPr>
            </w:pPr>
          </w:p>
          <w:p>
            <w:pPr>
              <w:pStyle w:val="244"/>
              <w:spacing w:line="300" w:lineRule="exact"/>
              <w:jc w:val="center"/>
              <w:rPr>
                <w:color w:val="000000"/>
                <w:szCs w:val="21"/>
                <w:highlight w:val="none"/>
              </w:rPr>
            </w:pPr>
            <w:r>
              <w:rPr>
                <w:color w:val="000000"/>
                <w:szCs w:val="21"/>
                <w:highlight w:val="none"/>
              </w:rPr>
              <w:t>响</w:t>
            </w:r>
          </w:p>
          <w:p>
            <w:pPr>
              <w:pStyle w:val="244"/>
              <w:spacing w:line="300" w:lineRule="exact"/>
              <w:jc w:val="center"/>
              <w:rPr>
                <w:color w:val="000000"/>
                <w:szCs w:val="21"/>
                <w:highlight w:val="none"/>
              </w:rPr>
            </w:pPr>
          </w:p>
          <w:p>
            <w:pPr>
              <w:pStyle w:val="244"/>
              <w:spacing w:line="300" w:lineRule="exact"/>
              <w:jc w:val="center"/>
              <w:rPr>
                <w:color w:val="000000"/>
                <w:szCs w:val="21"/>
                <w:highlight w:val="none"/>
              </w:rPr>
            </w:pPr>
            <w:r>
              <w:rPr>
                <w:color w:val="000000"/>
                <w:szCs w:val="21"/>
                <w:highlight w:val="none"/>
              </w:rPr>
              <w:t>识</w:t>
            </w:r>
          </w:p>
          <w:p>
            <w:pPr>
              <w:pStyle w:val="244"/>
              <w:spacing w:line="300" w:lineRule="exact"/>
              <w:jc w:val="center"/>
              <w:rPr>
                <w:color w:val="000000"/>
                <w:szCs w:val="21"/>
                <w:highlight w:val="none"/>
              </w:rPr>
            </w:pPr>
          </w:p>
          <w:p>
            <w:pPr>
              <w:pStyle w:val="244"/>
              <w:spacing w:line="300" w:lineRule="exact"/>
              <w:jc w:val="center"/>
              <w:rPr>
                <w:color w:val="000000"/>
                <w:szCs w:val="21"/>
                <w:highlight w:val="none"/>
              </w:rPr>
            </w:pPr>
            <w:r>
              <w:rPr>
                <w:color w:val="000000"/>
                <w:szCs w:val="21"/>
                <w:highlight w:val="none"/>
              </w:rPr>
              <w:t>别</w:t>
            </w:r>
          </w:p>
        </w:tc>
        <w:tc>
          <w:tcPr>
            <w:tcW w:w="1591" w:type="dxa"/>
            <w:vAlign w:val="center"/>
          </w:tcPr>
          <w:p>
            <w:pPr>
              <w:pStyle w:val="244"/>
              <w:spacing w:line="300" w:lineRule="exact"/>
              <w:jc w:val="center"/>
              <w:rPr>
                <w:color w:val="000000"/>
                <w:szCs w:val="21"/>
                <w:highlight w:val="none"/>
              </w:rPr>
            </w:pPr>
            <w:r>
              <w:rPr>
                <w:color w:val="000000"/>
                <w:szCs w:val="21"/>
                <w:highlight w:val="none"/>
              </w:rPr>
              <w:t>影响类型</w:t>
            </w:r>
          </w:p>
        </w:tc>
        <w:tc>
          <w:tcPr>
            <w:tcW w:w="5630" w:type="dxa"/>
            <w:gridSpan w:val="4"/>
            <w:vAlign w:val="center"/>
          </w:tcPr>
          <w:p>
            <w:pPr>
              <w:pStyle w:val="244"/>
              <w:spacing w:line="300" w:lineRule="exact"/>
              <w:jc w:val="center"/>
              <w:rPr>
                <w:color w:val="000000"/>
                <w:szCs w:val="21"/>
                <w:highlight w:val="none"/>
              </w:rPr>
            </w:pPr>
            <w:r>
              <w:rPr>
                <w:color w:val="000000"/>
                <w:szCs w:val="21"/>
                <w:highlight w:val="none"/>
              </w:rPr>
              <w:t>污染影响型</w:t>
            </w:r>
            <w:r>
              <w:rPr>
                <w:rFonts w:hint="eastAsia"/>
                <w:color w:val="000000"/>
                <w:szCs w:val="21"/>
                <w:highlight w:val="none"/>
              </w:rPr>
              <w:t>☑</w:t>
            </w:r>
            <w:r>
              <w:rPr>
                <w:color w:val="000000"/>
                <w:szCs w:val="21"/>
                <w:highlight w:val="none"/>
              </w:rPr>
              <w:t>；生态影响型□；两种兼有□</w:t>
            </w:r>
          </w:p>
        </w:tc>
        <w:tc>
          <w:tcPr>
            <w:tcW w:w="717" w:type="dxa"/>
            <w:vAlign w:val="center"/>
          </w:tcPr>
          <w:p>
            <w:pPr>
              <w:pStyle w:val="244"/>
              <w:spacing w:line="300" w:lineRule="exact"/>
              <w:jc w:val="center"/>
              <w:rPr>
                <w:color w:val="000000"/>
                <w:szCs w:val="21"/>
                <w:highlight w:val="none"/>
              </w:rPr>
            </w:pPr>
            <w:r>
              <w:rPr>
                <w:color w:val="00000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pPr>
              <w:pStyle w:val="244"/>
              <w:spacing w:line="300" w:lineRule="exact"/>
              <w:jc w:val="center"/>
              <w:rPr>
                <w:color w:val="000000"/>
                <w:szCs w:val="21"/>
                <w:highlight w:val="none"/>
              </w:rPr>
            </w:pPr>
          </w:p>
        </w:tc>
        <w:tc>
          <w:tcPr>
            <w:tcW w:w="1591" w:type="dxa"/>
            <w:vAlign w:val="center"/>
          </w:tcPr>
          <w:p>
            <w:pPr>
              <w:pStyle w:val="244"/>
              <w:spacing w:line="300" w:lineRule="exact"/>
              <w:jc w:val="center"/>
              <w:rPr>
                <w:color w:val="000000"/>
                <w:szCs w:val="21"/>
                <w:highlight w:val="none"/>
              </w:rPr>
            </w:pPr>
            <w:r>
              <w:rPr>
                <w:color w:val="000000"/>
                <w:szCs w:val="21"/>
                <w:highlight w:val="none"/>
              </w:rPr>
              <w:t>土地利用类型</w:t>
            </w:r>
          </w:p>
        </w:tc>
        <w:tc>
          <w:tcPr>
            <w:tcW w:w="5630" w:type="dxa"/>
            <w:gridSpan w:val="4"/>
            <w:vAlign w:val="center"/>
          </w:tcPr>
          <w:p>
            <w:pPr>
              <w:pStyle w:val="244"/>
              <w:spacing w:line="300" w:lineRule="exact"/>
              <w:jc w:val="center"/>
              <w:rPr>
                <w:color w:val="000000"/>
                <w:szCs w:val="21"/>
                <w:highlight w:val="none"/>
              </w:rPr>
            </w:pPr>
            <w:r>
              <w:rPr>
                <w:color w:val="000000"/>
                <w:szCs w:val="21"/>
                <w:highlight w:val="none"/>
              </w:rPr>
              <w:t>建设用地</w:t>
            </w:r>
            <w:r>
              <w:rPr>
                <w:rFonts w:hint="eastAsia"/>
                <w:color w:val="000000"/>
                <w:szCs w:val="21"/>
                <w:highlight w:val="none"/>
              </w:rPr>
              <w:t>☑</w:t>
            </w:r>
            <w:r>
              <w:rPr>
                <w:color w:val="000000"/>
                <w:szCs w:val="21"/>
                <w:highlight w:val="none"/>
              </w:rPr>
              <w:t>；农用地□；未利用地□</w:t>
            </w:r>
          </w:p>
        </w:tc>
        <w:tc>
          <w:tcPr>
            <w:tcW w:w="717" w:type="dxa"/>
            <w:vAlign w:val="center"/>
          </w:tcPr>
          <w:p>
            <w:pPr>
              <w:pStyle w:val="244"/>
              <w:spacing w:line="300" w:lineRule="exact"/>
              <w:jc w:val="center"/>
              <w:rPr>
                <w:color w:val="000000"/>
                <w:szCs w:val="21"/>
                <w:highlight w:val="none"/>
              </w:rPr>
            </w:pPr>
            <w:r>
              <w:rPr>
                <w:color w:val="00000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pPr>
              <w:pStyle w:val="244"/>
              <w:spacing w:line="300" w:lineRule="exact"/>
              <w:jc w:val="center"/>
              <w:rPr>
                <w:color w:val="000000"/>
                <w:szCs w:val="21"/>
                <w:highlight w:val="none"/>
              </w:rPr>
            </w:pPr>
          </w:p>
        </w:tc>
        <w:tc>
          <w:tcPr>
            <w:tcW w:w="1591" w:type="dxa"/>
            <w:vAlign w:val="center"/>
          </w:tcPr>
          <w:p>
            <w:pPr>
              <w:pStyle w:val="244"/>
              <w:spacing w:line="300" w:lineRule="exact"/>
              <w:jc w:val="center"/>
              <w:rPr>
                <w:color w:val="000000"/>
                <w:szCs w:val="21"/>
                <w:highlight w:val="none"/>
              </w:rPr>
            </w:pPr>
            <w:r>
              <w:rPr>
                <w:color w:val="000000"/>
                <w:szCs w:val="21"/>
                <w:highlight w:val="none"/>
              </w:rPr>
              <w:t>占地规模</w:t>
            </w:r>
          </w:p>
        </w:tc>
        <w:tc>
          <w:tcPr>
            <w:tcW w:w="5630" w:type="dxa"/>
            <w:gridSpan w:val="4"/>
            <w:vAlign w:val="center"/>
          </w:tcPr>
          <w:p>
            <w:pPr>
              <w:pStyle w:val="244"/>
              <w:spacing w:line="300" w:lineRule="exact"/>
              <w:jc w:val="center"/>
              <w:rPr>
                <w:color w:val="000000"/>
                <w:szCs w:val="21"/>
                <w:highlight w:val="none"/>
              </w:rPr>
            </w:pPr>
            <w:r>
              <w:rPr>
                <w:color w:val="000000"/>
                <w:szCs w:val="21"/>
                <w:highlight w:val="none"/>
              </w:rPr>
              <w:t>（</w:t>
            </w:r>
            <w:r>
              <w:rPr>
                <w:rFonts w:hint="eastAsia"/>
                <w:color w:val="auto"/>
                <w:sz w:val="21"/>
                <w:szCs w:val="21"/>
                <w:highlight w:val="none"/>
                <w:lang w:val="en-US" w:eastAsia="zh-CN"/>
              </w:rPr>
              <w:t>7</w:t>
            </w:r>
            <w:r>
              <w:rPr>
                <w:color w:val="000000"/>
                <w:szCs w:val="21"/>
                <w:highlight w:val="none"/>
              </w:rPr>
              <w:t>）hm</w:t>
            </w:r>
            <w:r>
              <w:rPr>
                <w:color w:val="000000"/>
                <w:szCs w:val="21"/>
                <w:highlight w:val="none"/>
                <w:vertAlign w:val="superscript"/>
              </w:rPr>
              <w:t>2</w:t>
            </w:r>
          </w:p>
        </w:tc>
        <w:tc>
          <w:tcPr>
            <w:tcW w:w="717" w:type="dxa"/>
            <w:vAlign w:val="center"/>
          </w:tcPr>
          <w:p>
            <w:pPr>
              <w:pStyle w:val="244"/>
              <w:spacing w:line="300" w:lineRule="exact"/>
              <w:jc w:val="center"/>
              <w:rPr>
                <w:color w:val="000000"/>
                <w:szCs w:val="21"/>
                <w:highlight w:val="none"/>
              </w:rPr>
            </w:pPr>
            <w:r>
              <w:rPr>
                <w:color w:val="000000"/>
                <w:szCs w:val="21"/>
                <w:highlight w:val="none"/>
              </w:rPr>
              <w:t>小型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pPr>
              <w:pStyle w:val="244"/>
              <w:spacing w:line="300" w:lineRule="exact"/>
              <w:jc w:val="center"/>
              <w:rPr>
                <w:color w:val="000000"/>
                <w:szCs w:val="21"/>
                <w:highlight w:val="none"/>
              </w:rPr>
            </w:pPr>
          </w:p>
        </w:tc>
        <w:tc>
          <w:tcPr>
            <w:tcW w:w="1591" w:type="dxa"/>
            <w:vAlign w:val="center"/>
          </w:tcPr>
          <w:p>
            <w:pPr>
              <w:pStyle w:val="244"/>
              <w:spacing w:line="300" w:lineRule="exact"/>
              <w:jc w:val="center"/>
              <w:rPr>
                <w:color w:val="000000"/>
                <w:szCs w:val="21"/>
                <w:highlight w:val="none"/>
              </w:rPr>
            </w:pPr>
            <w:r>
              <w:rPr>
                <w:color w:val="000000"/>
                <w:szCs w:val="21"/>
                <w:highlight w:val="none"/>
              </w:rPr>
              <w:t>敏感目标信息</w:t>
            </w:r>
          </w:p>
        </w:tc>
        <w:tc>
          <w:tcPr>
            <w:tcW w:w="5630" w:type="dxa"/>
            <w:gridSpan w:val="4"/>
            <w:vAlign w:val="center"/>
          </w:tcPr>
          <w:p>
            <w:pPr>
              <w:pStyle w:val="244"/>
              <w:spacing w:line="300" w:lineRule="exact"/>
              <w:jc w:val="center"/>
              <w:rPr>
                <w:color w:val="000000"/>
                <w:szCs w:val="21"/>
                <w:highlight w:val="none"/>
              </w:rPr>
            </w:pPr>
            <w:r>
              <w:rPr>
                <w:color w:val="000000"/>
                <w:szCs w:val="21"/>
                <w:highlight w:val="none"/>
              </w:rPr>
              <w:t>敏感目标（厂区周边）、方位（四周）、距离（&lt;0.2km）</w:t>
            </w:r>
          </w:p>
        </w:tc>
        <w:tc>
          <w:tcPr>
            <w:tcW w:w="717" w:type="dxa"/>
            <w:vAlign w:val="center"/>
          </w:tcPr>
          <w:p>
            <w:pPr>
              <w:pStyle w:val="244"/>
              <w:spacing w:line="300" w:lineRule="exact"/>
              <w:jc w:val="center"/>
              <w:rPr>
                <w:color w:val="000000"/>
                <w:szCs w:val="21"/>
                <w:highlight w:val="none"/>
              </w:rPr>
            </w:pPr>
            <w:r>
              <w:rPr>
                <w:color w:val="00000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pPr>
              <w:pStyle w:val="244"/>
              <w:spacing w:line="300" w:lineRule="exact"/>
              <w:jc w:val="center"/>
              <w:rPr>
                <w:color w:val="000000"/>
                <w:szCs w:val="21"/>
                <w:highlight w:val="none"/>
              </w:rPr>
            </w:pPr>
          </w:p>
        </w:tc>
        <w:tc>
          <w:tcPr>
            <w:tcW w:w="1591" w:type="dxa"/>
            <w:vAlign w:val="center"/>
          </w:tcPr>
          <w:p>
            <w:pPr>
              <w:pStyle w:val="244"/>
              <w:spacing w:line="300" w:lineRule="exact"/>
              <w:jc w:val="center"/>
              <w:rPr>
                <w:color w:val="000000"/>
                <w:szCs w:val="21"/>
                <w:highlight w:val="none"/>
              </w:rPr>
            </w:pPr>
            <w:r>
              <w:rPr>
                <w:color w:val="000000"/>
                <w:szCs w:val="21"/>
                <w:highlight w:val="none"/>
              </w:rPr>
              <w:t>影响途径</w:t>
            </w:r>
          </w:p>
        </w:tc>
        <w:tc>
          <w:tcPr>
            <w:tcW w:w="5630" w:type="dxa"/>
            <w:gridSpan w:val="4"/>
            <w:vAlign w:val="center"/>
          </w:tcPr>
          <w:p>
            <w:pPr>
              <w:pStyle w:val="244"/>
              <w:spacing w:line="300" w:lineRule="exact"/>
              <w:jc w:val="center"/>
              <w:rPr>
                <w:color w:val="000000"/>
                <w:szCs w:val="21"/>
                <w:highlight w:val="none"/>
              </w:rPr>
            </w:pPr>
            <w:r>
              <w:rPr>
                <w:color w:val="000000"/>
                <w:szCs w:val="21"/>
                <w:highlight w:val="none"/>
              </w:rPr>
              <w:t>大气沉降□；地面漫流□；垂直入渗</w:t>
            </w:r>
            <w:r>
              <w:rPr>
                <w:rFonts w:hint="eastAsia"/>
                <w:color w:val="000000"/>
                <w:szCs w:val="21"/>
                <w:highlight w:val="none"/>
              </w:rPr>
              <w:t>☑</w:t>
            </w:r>
            <w:r>
              <w:rPr>
                <w:color w:val="000000"/>
                <w:szCs w:val="21"/>
                <w:highlight w:val="none"/>
              </w:rPr>
              <w:t>；地下水位□；其他（ ）</w:t>
            </w:r>
          </w:p>
        </w:tc>
        <w:tc>
          <w:tcPr>
            <w:tcW w:w="717" w:type="dxa"/>
            <w:vAlign w:val="center"/>
          </w:tcPr>
          <w:p>
            <w:pPr>
              <w:pStyle w:val="244"/>
              <w:spacing w:line="300" w:lineRule="exact"/>
              <w:jc w:val="center"/>
              <w:rPr>
                <w:color w:val="000000"/>
                <w:szCs w:val="21"/>
                <w:highlight w:val="none"/>
              </w:rPr>
            </w:pPr>
            <w:r>
              <w:rPr>
                <w:color w:val="00000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pPr>
              <w:pStyle w:val="244"/>
              <w:spacing w:line="300" w:lineRule="exact"/>
              <w:jc w:val="center"/>
              <w:rPr>
                <w:color w:val="000000"/>
                <w:szCs w:val="21"/>
                <w:highlight w:val="none"/>
              </w:rPr>
            </w:pPr>
          </w:p>
        </w:tc>
        <w:tc>
          <w:tcPr>
            <w:tcW w:w="1591" w:type="dxa"/>
            <w:vAlign w:val="center"/>
          </w:tcPr>
          <w:p>
            <w:pPr>
              <w:pStyle w:val="244"/>
              <w:spacing w:line="300" w:lineRule="exact"/>
              <w:jc w:val="center"/>
              <w:rPr>
                <w:color w:val="000000"/>
                <w:szCs w:val="21"/>
                <w:highlight w:val="none"/>
              </w:rPr>
            </w:pPr>
            <w:r>
              <w:rPr>
                <w:color w:val="000000"/>
                <w:szCs w:val="21"/>
                <w:highlight w:val="none"/>
              </w:rPr>
              <w:t>全部污染物</w:t>
            </w:r>
          </w:p>
        </w:tc>
        <w:tc>
          <w:tcPr>
            <w:tcW w:w="5630" w:type="dxa"/>
            <w:gridSpan w:val="4"/>
            <w:vAlign w:val="center"/>
          </w:tcPr>
          <w:p>
            <w:pPr>
              <w:pStyle w:val="244"/>
              <w:spacing w:line="300" w:lineRule="exact"/>
              <w:jc w:val="center"/>
              <w:rPr>
                <w:color w:val="000000"/>
                <w:szCs w:val="21"/>
                <w:highlight w:val="none"/>
              </w:rPr>
            </w:pPr>
            <w:r>
              <w:rPr>
                <w:color w:val="000000"/>
                <w:szCs w:val="21"/>
                <w:highlight w:val="none"/>
              </w:rPr>
              <w:t>垂直入渗：石油类</w:t>
            </w:r>
          </w:p>
        </w:tc>
        <w:tc>
          <w:tcPr>
            <w:tcW w:w="717" w:type="dxa"/>
            <w:vAlign w:val="center"/>
          </w:tcPr>
          <w:p>
            <w:pPr>
              <w:pStyle w:val="244"/>
              <w:spacing w:line="300" w:lineRule="exact"/>
              <w:jc w:val="center"/>
              <w:rPr>
                <w:color w:val="00000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pPr>
              <w:pStyle w:val="244"/>
              <w:spacing w:line="300" w:lineRule="exact"/>
              <w:jc w:val="center"/>
              <w:rPr>
                <w:color w:val="000000"/>
                <w:szCs w:val="21"/>
                <w:highlight w:val="none"/>
              </w:rPr>
            </w:pPr>
          </w:p>
        </w:tc>
        <w:tc>
          <w:tcPr>
            <w:tcW w:w="1591" w:type="dxa"/>
            <w:vAlign w:val="center"/>
          </w:tcPr>
          <w:p>
            <w:pPr>
              <w:pStyle w:val="244"/>
              <w:spacing w:line="300" w:lineRule="exact"/>
              <w:jc w:val="center"/>
              <w:rPr>
                <w:color w:val="000000"/>
                <w:szCs w:val="21"/>
                <w:highlight w:val="none"/>
              </w:rPr>
            </w:pPr>
            <w:r>
              <w:rPr>
                <w:color w:val="000000"/>
                <w:szCs w:val="21"/>
                <w:highlight w:val="none"/>
              </w:rPr>
              <w:t>特征因子</w:t>
            </w:r>
          </w:p>
        </w:tc>
        <w:tc>
          <w:tcPr>
            <w:tcW w:w="5630" w:type="dxa"/>
            <w:gridSpan w:val="4"/>
            <w:vAlign w:val="center"/>
          </w:tcPr>
          <w:p>
            <w:pPr>
              <w:pStyle w:val="244"/>
              <w:spacing w:line="300" w:lineRule="exact"/>
              <w:jc w:val="center"/>
              <w:rPr>
                <w:color w:val="000000"/>
                <w:szCs w:val="21"/>
                <w:highlight w:val="none"/>
              </w:rPr>
            </w:pPr>
            <w:r>
              <w:rPr>
                <w:color w:val="000000"/>
                <w:szCs w:val="21"/>
                <w:highlight w:val="none"/>
              </w:rPr>
              <w:t>石油类</w:t>
            </w:r>
          </w:p>
        </w:tc>
        <w:tc>
          <w:tcPr>
            <w:tcW w:w="717" w:type="dxa"/>
            <w:vAlign w:val="center"/>
          </w:tcPr>
          <w:p>
            <w:pPr>
              <w:pStyle w:val="244"/>
              <w:spacing w:line="300" w:lineRule="exact"/>
              <w:jc w:val="center"/>
              <w:rPr>
                <w:color w:val="00000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pPr>
              <w:pStyle w:val="244"/>
              <w:spacing w:line="300" w:lineRule="exact"/>
              <w:jc w:val="center"/>
              <w:rPr>
                <w:color w:val="000000"/>
                <w:szCs w:val="21"/>
                <w:highlight w:val="none"/>
              </w:rPr>
            </w:pPr>
          </w:p>
        </w:tc>
        <w:tc>
          <w:tcPr>
            <w:tcW w:w="1591" w:type="dxa"/>
            <w:vAlign w:val="center"/>
          </w:tcPr>
          <w:p>
            <w:pPr>
              <w:pStyle w:val="244"/>
              <w:spacing w:line="300" w:lineRule="exact"/>
              <w:jc w:val="center"/>
              <w:rPr>
                <w:color w:val="000000"/>
                <w:szCs w:val="21"/>
                <w:highlight w:val="none"/>
              </w:rPr>
            </w:pPr>
            <w:r>
              <w:rPr>
                <w:color w:val="000000"/>
                <w:szCs w:val="21"/>
                <w:highlight w:val="none"/>
              </w:rPr>
              <w:t>所属土壤环境影响评价项目类别</w:t>
            </w:r>
          </w:p>
        </w:tc>
        <w:tc>
          <w:tcPr>
            <w:tcW w:w="5630" w:type="dxa"/>
            <w:gridSpan w:val="4"/>
            <w:vAlign w:val="center"/>
          </w:tcPr>
          <w:p>
            <w:pPr>
              <w:pStyle w:val="244"/>
              <w:spacing w:line="300" w:lineRule="exact"/>
              <w:jc w:val="center"/>
              <w:rPr>
                <w:color w:val="000000"/>
                <w:szCs w:val="21"/>
                <w:highlight w:val="none"/>
              </w:rPr>
            </w:pPr>
            <w:r>
              <w:rPr>
                <w:rFonts w:hint="eastAsia" w:ascii="宋体" w:hAnsi="宋体" w:cs="宋体"/>
                <w:color w:val="000000"/>
                <w:szCs w:val="21"/>
                <w:highlight w:val="none"/>
              </w:rPr>
              <w:t>Ⅰ</w:t>
            </w:r>
            <w:r>
              <w:rPr>
                <w:color w:val="000000"/>
                <w:szCs w:val="21"/>
                <w:highlight w:val="none"/>
              </w:rPr>
              <w:t>类□；</w:t>
            </w:r>
            <w:r>
              <w:rPr>
                <w:rFonts w:hint="eastAsia" w:ascii="宋体" w:hAnsi="宋体" w:cs="宋体"/>
                <w:color w:val="000000"/>
                <w:szCs w:val="21"/>
                <w:highlight w:val="none"/>
              </w:rPr>
              <w:t>Ⅱ</w:t>
            </w:r>
            <w:r>
              <w:rPr>
                <w:color w:val="000000"/>
                <w:szCs w:val="21"/>
                <w:highlight w:val="none"/>
              </w:rPr>
              <w:t>类</w:t>
            </w:r>
            <w:r>
              <w:rPr>
                <w:rFonts w:hint="eastAsia"/>
                <w:color w:val="000000"/>
                <w:szCs w:val="21"/>
                <w:highlight w:val="none"/>
                <w:lang w:eastAsia="zh-CN"/>
              </w:rPr>
              <w:t>□</w:t>
            </w:r>
            <w:r>
              <w:rPr>
                <w:color w:val="000000"/>
                <w:szCs w:val="21"/>
                <w:highlight w:val="none"/>
              </w:rPr>
              <w:t>；</w:t>
            </w:r>
            <w:r>
              <w:rPr>
                <w:rFonts w:hint="eastAsia" w:ascii="宋体" w:hAnsi="宋体" w:cs="宋体"/>
                <w:color w:val="000000"/>
                <w:szCs w:val="21"/>
                <w:highlight w:val="none"/>
              </w:rPr>
              <w:t>Ⅲ</w:t>
            </w:r>
            <w:r>
              <w:rPr>
                <w:color w:val="000000"/>
                <w:szCs w:val="21"/>
                <w:highlight w:val="none"/>
              </w:rPr>
              <w:t>类</w:t>
            </w:r>
            <w:r>
              <w:rPr>
                <w:rFonts w:hint="eastAsia"/>
                <w:color w:val="000000"/>
                <w:szCs w:val="21"/>
                <w:highlight w:val="none"/>
                <w:lang w:eastAsia="zh-CN"/>
              </w:rPr>
              <w:t>☑</w:t>
            </w:r>
            <w:r>
              <w:rPr>
                <w:color w:val="000000"/>
                <w:szCs w:val="21"/>
                <w:highlight w:val="none"/>
              </w:rPr>
              <w:t>；</w:t>
            </w:r>
            <w:r>
              <w:rPr>
                <w:rFonts w:hint="eastAsia" w:ascii="宋体" w:hAnsi="宋体" w:cs="宋体"/>
                <w:color w:val="000000"/>
                <w:szCs w:val="21"/>
                <w:highlight w:val="none"/>
              </w:rPr>
              <w:t>Ⅳ</w:t>
            </w:r>
            <w:r>
              <w:rPr>
                <w:color w:val="000000"/>
                <w:szCs w:val="21"/>
                <w:highlight w:val="none"/>
              </w:rPr>
              <w:t>类□</w:t>
            </w:r>
          </w:p>
        </w:tc>
        <w:tc>
          <w:tcPr>
            <w:tcW w:w="717" w:type="dxa"/>
            <w:vAlign w:val="center"/>
          </w:tcPr>
          <w:p>
            <w:pPr>
              <w:pStyle w:val="244"/>
              <w:spacing w:line="300" w:lineRule="exact"/>
              <w:jc w:val="center"/>
              <w:rPr>
                <w:color w:val="00000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pPr>
              <w:pStyle w:val="244"/>
              <w:spacing w:line="300" w:lineRule="exact"/>
              <w:jc w:val="center"/>
              <w:rPr>
                <w:color w:val="000000"/>
                <w:szCs w:val="21"/>
                <w:highlight w:val="none"/>
              </w:rPr>
            </w:pPr>
          </w:p>
        </w:tc>
        <w:tc>
          <w:tcPr>
            <w:tcW w:w="1591" w:type="dxa"/>
            <w:vAlign w:val="center"/>
          </w:tcPr>
          <w:p>
            <w:pPr>
              <w:pStyle w:val="244"/>
              <w:spacing w:line="300" w:lineRule="exact"/>
              <w:jc w:val="center"/>
              <w:rPr>
                <w:color w:val="000000"/>
                <w:szCs w:val="21"/>
                <w:highlight w:val="none"/>
              </w:rPr>
            </w:pPr>
            <w:r>
              <w:rPr>
                <w:color w:val="000000"/>
                <w:szCs w:val="21"/>
                <w:highlight w:val="none"/>
              </w:rPr>
              <w:t>敏感程度</w:t>
            </w:r>
          </w:p>
        </w:tc>
        <w:tc>
          <w:tcPr>
            <w:tcW w:w="5630" w:type="dxa"/>
            <w:gridSpan w:val="4"/>
            <w:vAlign w:val="center"/>
          </w:tcPr>
          <w:p>
            <w:pPr>
              <w:pStyle w:val="244"/>
              <w:spacing w:line="300" w:lineRule="exact"/>
              <w:jc w:val="center"/>
              <w:rPr>
                <w:rFonts w:hint="eastAsia" w:eastAsia="宋体"/>
                <w:color w:val="000000"/>
                <w:szCs w:val="21"/>
                <w:highlight w:val="none"/>
                <w:lang w:eastAsia="zh-CN"/>
              </w:rPr>
            </w:pPr>
            <w:r>
              <w:rPr>
                <w:color w:val="000000"/>
                <w:szCs w:val="21"/>
                <w:highlight w:val="none"/>
              </w:rPr>
              <w:t>敏感□；较敏感</w:t>
            </w:r>
            <w:r>
              <w:rPr>
                <w:rFonts w:hint="eastAsia"/>
                <w:color w:val="000000"/>
                <w:szCs w:val="21"/>
                <w:highlight w:val="none"/>
                <w:lang w:eastAsia="zh-CN"/>
              </w:rPr>
              <w:t>☑</w:t>
            </w:r>
            <w:r>
              <w:rPr>
                <w:color w:val="000000"/>
                <w:szCs w:val="21"/>
                <w:highlight w:val="none"/>
              </w:rPr>
              <w:t>；不敏感</w:t>
            </w:r>
            <w:r>
              <w:rPr>
                <w:rFonts w:hint="eastAsia"/>
                <w:color w:val="000000"/>
                <w:szCs w:val="21"/>
                <w:highlight w:val="none"/>
                <w:lang w:eastAsia="zh-CN"/>
              </w:rPr>
              <w:t>□</w:t>
            </w:r>
          </w:p>
        </w:tc>
        <w:tc>
          <w:tcPr>
            <w:tcW w:w="717" w:type="dxa"/>
            <w:vAlign w:val="center"/>
          </w:tcPr>
          <w:p>
            <w:pPr>
              <w:pStyle w:val="244"/>
              <w:spacing w:line="300" w:lineRule="exact"/>
              <w:jc w:val="center"/>
              <w:rPr>
                <w:color w:val="00000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5" w:type="dxa"/>
            <w:gridSpan w:val="2"/>
            <w:vAlign w:val="center"/>
          </w:tcPr>
          <w:p>
            <w:pPr>
              <w:pStyle w:val="244"/>
              <w:spacing w:line="300" w:lineRule="exact"/>
              <w:jc w:val="center"/>
              <w:rPr>
                <w:color w:val="000000"/>
                <w:szCs w:val="21"/>
                <w:highlight w:val="none"/>
              </w:rPr>
            </w:pPr>
            <w:r>
              <w:rPr>
                <w:color w:val="000000"/>
                <w:szCs w:val="21"/>
                <w:highlight w:val="none"/>
              </w:rPr>
              <w:t>评价工作等级</w:t>
            </w:r>
          </w:p>
        </w:tc>
        <w:tc>
          <w:tcPr>
            <w:tcW w:w="5630" w:type="dxa"/>
            <w:gridSpan w:val="4"/>
            <w:vAlign w:val="center"/>
          </w:tcPr>
          <w:p>
            <w:pPr>
              <w:pStyle w:val="244"/>
              <w:spacing w:line="300" w:lineRule="exact"/>
              <w:jc w:val="center"/>
              <w:rPr>
                <w:color w:val="000000"/>
                <w:szCs w:val="21"/>
                <w:highlight w:val="none"/>
              </w:rPr>
            </w:pPr>
            <w:r>
              <w:rPr>
                <w:color w:val="000000"/>
                <w:szCs w:val="21"/>
                <w:highlight w:val="none"/>
              </w:rPr>
              <w:t>一级□；二级□；三级</w:t>
            </w:r>
            <w:r>
              <w:rPr>
                <w:rFonts w:hint="eastAsia"/>
                <w:color w:val="000000"/>
                <w:szCs w:val="21"/>
                <w:highlight w:val="none"/>
              </w:rPr>
              <w:t>☑</w:t>
            </w:r>
          </w:p>
        </w:tc>
        <w:tc>
          <w:tcPr>
            <w:tcW w:w="717" w:type="dxa"/>
            <w:vAlign w:val="center"/>
          </w:tcPr>
          <w:p>
            <w:pPr>
              <w:pStyle w:val="244"/>
              <w:spacing w:line="300" w:lineRule="exact"/>
              <w:jc w:val="center"/>
              <w:rPr>
                <w:color w:val="00000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restart"/>
            <w:vAlign w:val="center"/>
          </w:tcPr>
          <w:p>
            <w:pPr>
              <w:pStyle w:val="244"/>
              <w:spacing w:line="300" w:lineRule="exact"/>
              <w:jc w:val="center"/>
              <w:rPr>
                <w:color w:val="000000"/>
                <w:szCs w:val="21"/>
                <w:highlight w:val="none"/>
              </w:rPr>
            </w:pPr>
            <w:r>
              <w:rPr>
                <w:color w:val="000000"/>
                <w:szCs w:val="21"/>
                <w:highlight w:val="none"/>
              </w:rPr>
              <w:t>现状调查内容</w:t>
            </w:r>
          </w:p>
        </w:tc>
        <w:tc>
          <w:tcPr>
            <w:tcW w:w="1591" w:type="dxa"/>
            <w:vAlign w:val="center"/>
          </w:tcPr>
          <w:p>
            <w:pPr>
              <w:pStyle w:val="244"/>
              <w:spacing w:line="300" w:lineRule="exact"/>
              <w:jc w:val="center"/>
              <w:rPr>
                <w:color w:val="000000"/>
                <w:szCs w:val="21"/>
                <w:highlight w:val="none"/>
              </w:rPr>
            </w:pPr>
            <w:r>
              <w:rPr>
                <w:color w:val="000000"/>
                <w:szCs w:val="21"/>
                <w:highlight w:val="none"/>
              </w:rPr>
              <w:t>资料收集</w:t>
            </w:r>
          </w:p>
        </w:tc>
        <w:tc>
          <w:tcPr>
            <w:tcW w:w="5630" w:type="dxa"/>
            <w:gridSpan w:val="4"/>
            <w:vAlign w:val="center"/>
          </w:tcPr>
          <w:p>
            <w:pPr>
              <w:pStyle w:val="244"/>
              <w:spacing w:line="300" w:lineRule="exact"/>
              <w:jc w:val="center"/>
              <w:rPr>
                <w:color w:val="000000"/>
                <w:szCs w:val="21"/>
                <w:highlight w:val="none"/>
              </w:rPr>
            </w:pPr>
            <w:r>
              <w:rPr>
                <w:color w:val="000000"/>
                <w:szCs w:val="21"/>
                <w:highlight w:val="none"/>
              </w:rPr>
              <w:t>a）</w:t>
            </w:r>
            <w:r>
              <w:rPr>
                <w:rFonts w:hint="eastAsia"/>
                <w:color w:val="000000"/>
                <w:szCs w:val="21"/>
                <w:highlight w:val="none"/>
              </w:rPr>
              <w:t>☑</w:t>
            </w:r>
            <w:r>
              <w:rPr>
                <w:color w:val="000000"/>
                <w:szCs w:val="21"/>
                <w:highlight w:val="none"/>
              </w:rPr>
              <w:t>；b）</w:t>
            </w:r>
            <w:r>
              <w:rPr>
                <w:rFonts w:hint="eastAsia"/>
                <w:color w:val="000000"/>
                <w:szCs w:val="21"/>
                <w:highlight w:val="none"/>
              </w:rPr>
              <w:t>☑</w:t>
            </w:r>
            <w:r>
              <w:rPr>
                <w:color w:val="000000"/>
                <w:szCs w:val="21"/>
                <w:highlight w:val="none"/>
              </w:rPr>
              <w:t>；c）</w:t>
            </w:r>
            <w:r>
              <w:rPr>
                <w:rFonts w:hint="eastAsia"/>
                <w:color w:val="000000"/>
                <w:szCs w:val="21"/>
                <w:highlight w:val="none"/>
              </w:rPr>
              <w:t>☑</w:t>
            </w:r>
            <w:r>
              <w:rPr>
                <w:color w:val="000000"/>
                <w:szCs w:val="21"/>
                <w:highlight w:val="none"/>
              </w:rPr>
              <w:t>；d）</w:t>
            </w:r>
            <w:r>
              <w:rPr>
                <w:rFonts w:hint="eastAsia"/>
                <w:color w:val="000000"/>
                <w:szCs w:val="21"/>
                <w:highlight w:val="none"/>
              </w:rPr>
              <w:t>☑</w:t>
            </w:r>
          </w:p>
        </w:tc>
        <w:tc>
          <w:tcPr>
            <w:tcW w:w="717" w:type="dxa"/>
            <w:vAlign w:val="center"/>
          </w:tcPr>
          <w:p>
            <w:pPr>
              <w:pStyle w:val="244"/>
              <w:spacing w:line="300" w:lineRule="exact"/>
              <w:jc w:val="center"/>
              <w:rPr>
                <w:color w:val="00000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pPr>
              <w:pStyle w:val="244"/>
              <w:spacing w:line="300" w:lineRule="exact"/>
              <w:jc w:val="center"/>
              <w:rPr>
                <w:color w:val="000000"/>
                <w:szCs w:val="21"/>
                <w:highlight w:val="none"/>
              </w:rPr>
            </w:pPr>
          </w:p>
        </w:tc>
        <w:tc>
          <w:tcPr>
            <w:tcW w:w="1591" w:type="dxa"/>
            <w:vAlign w:val="center"/>
          </w:tcPr>
          <w:p>
            <w:pPr>
              <w:pStyle w:val="244"/>
              <w:spacing w:line="300" w:lineRule="exact"/>
              <w:jc w:val="center"/>
              <w:rPr>
                <w:color w:val="000000"/>
                <w:szCs w:val="21"/>
                <w:highlight w:val="none"/>
              </w:rPr>
            </w:pPr>
            <w:r>
              <w:rPr>
                <w:color w:val="000000"/>
                <w:szCs w:val="21"/>
                <w:highlight w:val="none"/>
              </w:rPr>
              <w:t>理化特性</w:t>
            </w:r>
          </w:p>
        </w:tc>
        <w:tc>
          <w:tcPr>
            <w:tcW w:w="5630" w:type="dxa"/>
            <w:gridSpan w:val="4"/>
            <w:vAlign w:val="center"/>
          </w:tcPr>
          <w:p>
            <w:pPr>
              <w:pStyle w:val="244"/>
              <w:spacing w:line="300" w:lineRule="exact"/>
              <w:jc w:val="center"/>
              <w:rPr>
                <w:color w:val="000000"/>
                <w:szCs w:val="21"/>
                <w:highlight w:val="none"/>
              </w:rPr>
            </w:pPr>
          </w:p>
        </w:tc>
        <w:tc>
          <w:tcPr>
            <w:tcW w:w="717" w:type="dxa"/>
            <w:vAlign w:val="center"/>
          </w:tcPr>
          <w:p>
            <w:pPr>
              <w:pStyle w:val="244"/>
              <w:spacing w:line="300" w:lineRule="exact"/>
              <w:jc w:val="center"/>
              <w:rPr>
                <w:color w:val="000000"/>
                <w:szCs w:val="21"/>
                <w:highlight w:val="none"/>
              </w:rPr>
            </w:pPr>
            <w:r>
              <w:rPr>
                <w:color w:val="000000"/>
                <w:szCs w:val="21"/>
                <w:highlight w:val="none"/>
              </w:rPr>
              <w:t>同附录 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pPr>
              <w:pStyle w:val="244"/>
              <w:spacing w:line="300" w:lineRule="exact"/>
              <w:jc w:val="center"/>
              <w:rPr>
                <w:color w:val="000000"/>
                <w:szCs w:val="21"/>
                <w:highlight w:val="none"/>
              </w:rPr>
            </w:pPr>
          </w:p>
        </w:tc>
        <w:tc>
          <w:tcPr>
            <w:tcW w:w="1591" w:type="dxa"/>
            <w:vMerge w:val="restart"/>
            <w:vAlign w:val="center"/>
          </w:tcPr>
          <w:p>
            <w:pPr>
              <w:pStyle w:val="244"/>
              <w:spacing w:line="300" w:lineRule="exact"/>
              <w:jc w:val="center"/>
              <w:rPr>
                <w:color w:val="000000"/>
                <w:szCs w:val="21"/>
                <w:highlight w:val="none"/>
              </w:rPr>
            </w:pPr>
            <w:r>
              <w:rPr>
                <w:color w:val="000000"/>
                <w:szCs w:val="21"/>
                <w:highlight w:val="none"/>
              </w:rPr>
              <w:t>现状监测点位</w:t>
            </w:r>
          </w:p>
        </w:tc>
        <w:tc>
          <w:tcPr>
            <w:tcW w:w="1492" w:type="dxa"/>
            <w:vAlign w:val="center"/>
          </w:tcPr>
          <w:p>
            <w:pPr>
              <w:pStyle w:val="244"/>
              <w:spacing w:line="300" w:lineRule="exact"/>
              <w:jc w:val="center"/>
              <w:rPr>
                <w:color w:val="000000"/>
                <w:szCs w:val="21"/>
                <w:highlight w:val="none"/>
              </w:rPr>
            </w:pPr>
          </w:p>
        </w:tc>
        <w:tc>
          <w:tcPr>
            <w:tcW w:w="1313" w:type="dxa"/>
            <w:vAlign w:val="center"/>
          </w:tcPr>
          <w:p>
            <w:pPr>
              <w:pStyle w:val="244"/>
              <w:spacing w:line="300" w:lineRule="exact"/>
              <w:jc w:val="center"/>
              <w:rPr>
                <w:color w:val="000000"/>
                <w:szCs w:val="21"/>
                <w:highlight w:val="none"/>
              </w:rPr>
            </w:pPr>
            <w:r>
              <w:rPr>
                <w:color w:val="000000"/>
                <w:szCs w:val="21"/>
                <w:highlight w:val="none"/>
              </w:rPr>
              <w:t>占地范围内</w:t>
            </w:r>
          </w:p>
        </w:tc>
        <w:tc>
          <w:tcPr>
            <w:tcW w:w="1325" w:type="dxa"/>
            <w:vAlign w:val="center"/>
          </w:tcPr>
          <w:p>
            <w:pPr>
              <w:pStyle w:val="244"/>
              <w:spacing w:line="300" w:lineRule="exact"/>
              <w:jc w:val="center"/>
              <w:rPr>
                <w:color w:val="000000"/>
                <w:szCs w:val="21"/>
                <w:highlight w:val="none"/>
              </w:rPr>
            </w:pPr>
            <w:r>
              <w:rPr>
                <w:color w:val="000000"/>
                <w:szCs w:val="21"/>
                <w:highlight w:val="none"/>
              </w:rPr>
              <w:t>占地范围外</w:t>
            </w:r>
          </w:p>
        </w:tc>
        <w:tc>
          <w:tcPr>
            <w:tcW w:w="1500" w:type="dxa"/>
            <w:vAlign w:val="center"/>
          </w:tcPr>
          <w:p>
            <w:pPr>
              <w:pStyle w:val="244"/>
              <w:spacing w:line="300" w:lineRule="exact"/>
              <w:jc w:val="center"/>
              <w:rPr>
                <w:color w:val="000000"/>
                <w:szCs w:val="21"/>
                <w:highlight w:val="none"/>
              </w:rPr>
            </w:pPr>
            <w:r>
              <w:rPr>
                <w:color w:val="000000"/>
                <w:szCs w:val="21"/>
                <w:highlight w:val="none"/>
              </w:rPr>
              <w:t>深度</w:t>
            </w:r>
          </w:p>
        </w:tc>
        <w:tc>
          <w:tcPr>
            <w:tcW w:w="717" w:type="dxa"/>
            <w:vMerge w:val="restart"/>
            <w:vAlign w:val="center"/>
          </w:tcPr>
          <w:p>
            <w:pPr>
              <w:pStyle w:val="244"/>
              <w:spacing w:line="300" w:lineRule="exact"/>
              <w:jc w:val="center"/>
              <w:rPr>
                <w:color w:val="000000"/>
                <w:szCs w:val="21"/>
                <w:highlight w:val="none"/>
              </w:rPr>
            </w:pPr>
            <w:r>
              <w:rPr>
                <w:color w:val="000000"/>
                <w:szCs w:val="21"/>
                <w:highlight w:val="none"/>
              </w:rPr>
              <w:t>点位布置图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pPr>
              <w:pStyle w:val="244"/>
              <w:spacing w:line="300" w:lineRule="exact"/>
              <w:jc w:val="center"/>
              <w:rPr>
                <w:color w:val="000000"/>
                <w:szCs w:val="21"/>
                <w:highlight w:val="none"/>
              </w:rPr>
            </w:pPr>
          </w:p>
        </w:tc>
        <w:tc>
          <w:tcPr>
            <w:tcW w:w="1591" w:type="dxa"/>
            <w:vMerge w:val="continue"/>
            <w:vAlign w:val="center"/>
          </w:tcPr>
          <w:p>
            <w:pPr>
              <w:pStyle w:val="244"/>
              <w:spacing w:line="300" w:lineRule="exact"/>
              <w:jc w:val="center"/>
              <w:rPr>
                <w:color w:val="000000"/>
                <w:szCs w:val="21"/>
                <w:highlight w:val="none"/>
              </w:rPr>
            </w:pPr>
          </w:p>
        </w:tc>
        <w:tc>
          <w:tcPr>
            <w:tcW w:w="1492" w:type="dxa"/>
            <w:vAlign w:val="center"/>
          </w:tcPr>
          <w:p>
            <w:pPr>
              <w:pStyle w:val="244"/>
              <w:spacing w:line="300" w:lineRule="exact"/>
              <w:jc w:val="center"/>
              <w:rPr>
                <w:color w:val="000000"/>
                <w:szCs w:val="21"/>
                <w:highlight w:val="none"/>
              </w:rPr>
            </w:pPr>
            <w:r>
              <w:rPr>
                <w:color w:val="000000"/>
                <w:szCs w:val="21"/>
                <w:highlight w:val="none"/>
              </w:rPr>
              <w:t>表层样点数</w:t>
            </w:r>
          </w:p>
        </w:tc>
        <w:tc>
          <w:tcPr>
            <w:tcW w:w="1313" w:type="dxa"/>
            <w:vAlign w:val="center"/>
          </w:tcPr>
          <w:p>
            <w:pPr>
              <w:pStyle w:val="244"/>
              <w:spacing w:line="300" w:lineRule="exact"/>
              <w:jc w:val="center"/>
              <w:rPr>
                <w:color w:val="000000"/>
                <w:szCs w:val="21"/>
                <w:highlight w:val="none"/>
              </w:rPr>
            </w:pPr>
            <w:r>
              <w:rPr>
                <w:color w:val="000000"/>
                <w:szCs w:val="21"/>
                <w:highlight w:val="none"/>
              </w:rPr>
              <w:t>1</w:t>
            </w:r>
          </w:p>
        </w:tc>
        <w:tc>
          <w:tcPr>
            <w:tcW w:w="1325" w:type="dxa"/>
            <w:vAlign w:val="center"/>
          </w:tcPr>
          <w:p>
            <w:pPr>
              <w:pStyle w:val="244"/>
              <w:spacing w:line="300" w:lineRule="exact"/>
              <w:jc w:val="center"/>
              <w:rPr>
                <w:color w:val="000000"/>
                <w:szCs w:val="21"/>
                <w:highlight w:val="none"/>
              </w:rPr>
            </w:pPr>
            <w:r>
              <w:rPr>
                <w:color w:val="000000"/>
                <w:szCs w:val="21"/>
                <w:highlight w:val="none"/>
              </w:rPr>
              <w:t>2</w:t>
            </w:r>
          </w:p>
        </w:tc>
        <w:tc>
          <w:tcPr>
            <w:tcW w:w="1500" w:type="dxa"/>
            <w:vAlign w:val="center"/>
          </w:tcPr>
          <w:p>
            <w:pPr>
              <w:pStyle w:val="244"/>
              <w:spacing w:line="300" w:lineRule="exact"/>
              <w:jc w:val="center"/>
              <w:rPr>
                <w:rFonts w:hint="default" w:eastAsia="宋体"/>
                <w:color w:val="000000"/>
                <w:szCs w:val="21"/>
                <w:highlight w:val="none"/>
                <w:lang w:val="en-US" w:eastAsia="zh-CN"/>
              </w:rPr>
            </w:pPr>
            <w:r>
              <w:rPr>
                <w:color w:val="000000"/>
                <w:szCs w:val="21"/>
                <w:highlight w:val="none"/>
              </w:rPr>
              <w:t>0-0</w:t>
            </w:r>
            <w:r>
              <w:rPr>
                <w:rFonts w:hint="eastAsia"/>
                <w:color w:val="000000"/>
                <w:szCs w:val="21"/>
                <w:highlight w:val="none"/>
                <w:lang w:val="en-US" w:eastAsia="zh-CN"/>
              </w:rPr>
              <w:t>.2</w:t>
            </w:r>
          </w:p>
        </w:tc>
        <w:tc>
          <w:tcPr>
            <w:tcW w:w="717" w:type="dxa"/>
            <w:vMerge w:val="continue"/>
            <w:vAlign w:val="center"/>
          </w:tcPr>
          <w:p>
            <w:pPr>
              <w:pStyle w:val="244"/>
              <w:spacing w:line="300" w:lineRule="exact"/>
              <w:jc w:val="center"/>
              <w:rPr>
                <w:color w:val="00000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pPr>
              <w:pStyle w:val="244"/>
              <w:spacing w:line="300" w:lineRule="exact"/>
              <w:jc w:val="center"/>
              <w:rPr>
                <w:color w:val="000000"/>
                <w:szCs w:val="21"/>
                <w:highlight w:val="none"/>
              </w:rPr>
            </w:pPr>
          </w:p>
        </w:tc>
        <w:tc>
          <w:tcPr>
            <w:tcW w:w="1591" w:type="dxa"/>
            <w:vMerge w:val="continue"/>
            <w:vAlign w:val="center"/>
          </w:tcPr>
          <w:p>
            <w:pPr>
              <w:pStyle w:val="244"/>
              <w:spacing w:line="300" w:lineRule="exact"/>
              <w:jc w:val="center"/>
              <w:rPr>
                <w:color w:val="000000"/>
                <w:szCs w:val="21"/>
                <w:highlight w:val="none"/>
              </w:rPr>
            </w:pPr>
          </w:p>
        </w:tc>
        <w:tc>
          <w:tcPr>
            <w:tcW w:w="1492" w:type="dxa"/>
            <w:vAlign w:val="center"/>
          </w:tcPr>
          <w:p>
            <w:pPr>
              <w:pStyle w:val="244"/>
              <w:spacing w:line="300" w:lineRule="exact"/>
              <w:jc w:val="center"/>
              <w:rPr>
                <w:color w:val="000000"/>
                <w:szCs w:val="21"/>
                <w:highlight w:val="none"/>
              </w:rPr>
            </w:pPr>
            <w:r>
              <w:rPr>
                <w:color w:val="000000"/>
                <w:szCs w:val="21"/>
                <w:highlight w:val="none"/>
              </w:rPr>
              <w:t>柱状样点数</w:t>
            </w:r>
          </w:p>
        </w:tc>
        <w:tc>
          <w:tcPr>
            <w:tcW w:w="1313" w:type="dxa"/>
            <w:vAlign w:val="center"/>
          </w:tcPr>
          <w:p>
            <w:pPr>
              <w:pStyle w:val="244"/>
              <w:spacing w:line="300" w:lineRule="exact"/>
              <w:jc w:val="center"/>
              <w:rPr>
                <w:color w:val="000000"/>
                <w:szCs w:val="21"/>
                <w:highlight w:val="none"/>
              </w:rPr>
            </w:pPr>
            <w:r>
              <w:rPr>
                <w:rFonts w:hint="eastAsia"/>
                <w:color w:val="000000"/>
                <w:szCs w:val="21"/>
                <w:highlight w:val="none"/>
              </w:rPr>
              <w:t>/</w:t>
            </w:r>
          </w:p>
        </w:tc>
        <w:tc>
          <w:tcPr>
            <w:tcW w:w="1325" w:type="dxa"/>
            <w:vAlign w:val="center"/>
          </w:tcPr>
          <w:p>
            <w:pPr>
              <w:pStyle w:val="244"/>
              <w:spacing w:line="300" w:lineRule="exact"/>
              <w:jc w:val="center"/>
              <w:rPr>
                <w:color w:val="000000"/>
                <w:szCs w:val="21"/>
                <w:highlight w:val="none"/>
              </w:rPr>
            </w:pPr>
            <w:r>
              <w:rPr>
                <w:color w:val="000000"/>
                <w:szCs w:val="21"/>
                <w:highlight w:val="none"/>
              </w:rPr>
              <w:t>/</w:t>
            </w:r>
          </w:p>
        </w:tc>
        <w:tc>
          <w:tcPr>
            <w:tcW w:w="1500" w:type="dxa"/>
            <w:vAlign w:val="center"/>
          </w:tcPr>
          <w:p>
            <w:pPr>
              <w:pStyle w:val="244"/>
              <w:spacing w:line="300" w:lineRule="exact"/>
              <w:jc w:val="center"/>
              <w:rPr>
                <w:color w:val="000000"/>
                <w:szCs w:val="21"/>
                <w:highlight w:val="none"/>
              </w:rPr>
            </w:pPr>
            <w:r>
              <w:rPr>
                <w:color w:val="000000"/>
                <w:szCs w:val="21"/>
                <w:highlight w:val="none"/>
              </w:rPr>
              <w:t>0.5</w:t>
            </w:r>
          </w:p>
        </w:tc>
        <w:tc>
          <w:tcPr>
            <w:tcW w:w="717" w:type="dxa"/>
            <w:vMerge w:val="continue"/>
            <w:vAlign w:val="center"/>
          </w:tcPr>
          <w:p>
            <w:pPr>
              <w:pStyle w:val="244"/>
              <w:spacing w:line="300" w:lineRule="exact"/>
              <w:jc w:val="center"/>
              <w:rPr>
                <w:color w:val="00000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pPr>
              <w:pStyle w:val="244"/>
              <w:spacing w:line="300" w:lineRule="exact"/>
              <w:jc w:val="center"/>
              <w:rPr>
                <w:color w:val="000000"/>
                <w:szCs w:val="21"/>
                <w:highlight w:val="none"/>
              </w:rPr>
            </w:pPr>
          </w:p>
        </w:tc>
        <w:tc>
          <w:tcPr>
            <w:tcW w:w="1591" w:type="dxa"/>
            <w:vAlign w:val="center"/>
          </w:tcPr>
          <w:p>
            <w:pPr>
              <w:pStyle w:val="244"/>
              <w:spacing w:line="300" w:lineRule="exact"/>
              <w:jc w:val="center"/>
              <w:rPr>
                <w:color w:val="000000"/>
                <w:szCs w:val="21"/>
                <w:highlight w:val="none"/>
              </w:rPr>
            </w:pPr>
            <w:r>
              <w:rPr>
                <w:color w:val="000000"/>
                <w:szCs w:val="21"/>
                <w:highlight w:val="none"/>
              </w:rPr>
              <w:t>现状监测因子</w:t>
            </w:r>
          </w:p>
        </w:tc>
        <w:tc>
          <w:tcPr>
            <w:tcW w:w="5630" w:type="dxa"/>
            <w:gridSpan w:val="4"/>
            <w:vAlign w:val="center"/>
          </w:tcPr>
          <w:p>
            <w:pPr>
              <w:pStyle w:val="244"/>
              <w:spacing w:line="300" w:lineRule="exact"/>
              <w:jc w:val="center"/>
              <w:rPr>
                <w:color w:val="000000"/>
                <w:szCs w:val="21"/>
                <w:highlight w:val="none"/>
              </w:rPr>
            </w:pPr>
            <w:r>
              <w:rPr>
                <w:color w:val="000000"/>
                <w:szCs w:val="21"/>
                <w:highlight w:val="none"/>
              </w:rPr>
              <w:t>（GB36600-2018）45 项基拟建项目，pH、石油类</w:t>
            </w:r>
          </w:p>
        </w:tc>
        <w:tc>
          <w:tcPr>
            <w:tcW w:w="717" w:type="dxa"/>
            <w:vAlign w:val="center"/>
          </w:tcPr>
          <w:p>
            <w:pPr>
              <w:pStyle w:val="244"/>
              <w:spacing w:line="300" w:lineRule="exact"/>
              <w:jc w:val="center"/>
              <w:rPr>
                <w:color w:val="00000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restart"/>
            <w:vAlign w:val="center"/>
          </w:tcPr>
          <w:p>
            <w:pPr>
              <w:pStyle w:val="244"/>
              <w:spacing w:line="300" w:lineRule="exact"/>
              <w:jc w:val="center"/>
              <w:rPr>
                <w:color w:val="000000"/>
                <w:szCs w:val="21"/>
                <w:highlight w:val="none"/>
              </w:rPr>
            </w:pPr>
            <w:r>
              <w:rPr>
                <w:color w:val="000000"/>
                <w:szCs w:val="21"/>
                <w:highlight w:val="none"/>
              </w:rPr>
              <w:t>现状评价</w:t>
            </w:r>
          </w:p>
        </w:tc>
        <w:tc>
          <w:tcPr>
            <w:tcW w:w="1591" w:type="dxa"/>
            <w:vAlign w:val="center"/>
          </w:tcPr>
          <w:p>
            <w:pPr>
              <w:pStyle w:val="244"/>
              <w:spacing w:line="300" w:lineRule="exact"/>
              <w:jc w:val="center"/>
              <w:rPr>
                <w:color w:val="000000"/>
                <w:szCs w:val="21"/>
                <w:highlight w:val="none"/>
              </w:rPr>
            </w:pPr>
            <w:r>
              <w:rPr>
                <w:color w:val="000000"/>
                <w:szCs w:val="21"/>
                <w:highlight w:val="none"/>
              </w:rPr>
              <w:t>评价因子</w:t>
            </w:r>
          </w:p>
        </w:tc>
        <w:tc>
          <w:tcPr>
            <w:tcW w:w="5630" w:type="dxa"/>
            <w:gridSpan w:val="4"/>
            <w:vAlign w:val="center"/>
          </w:tcPr>
          <w:p>
            <w:pPr>
              <w:pStyle w:val="244"/>
              <w:spacing w:line="300" w:lineRule="exact"/>
              <w:jc w:val="center"/>
              <w:rPr>
                <w:color w:val="000000"/>
                <w:szCs w:val="21"/>
                <w:highlight w:val="none"/>
              </w:rPr>
            </w:pPr>
            <w:r>
              <w:rPr>
                <w:color w:val="000000"/>
                <w:szCs w:val="21"/>
                <w:highlight w:val="none"/>
              </w:rPr>
              <w:t>（GB36600-2018）45 项基拟建项目，石油类</w:t>
            </w:r>
          </w:p>
        </w:tc>
        <w:tc>
          <w:tcPr>
            <w:tcW w:w="717" w:type="dxa"/>
            <w:vAlign w:val="center"/>
          </w:tcPr>
          <w:p>
            <w:pPr>
              <w:pStyle w:val="244"/>
              <w:spacing w:line="300" w:lineRule="exact"/>
              <w:jc w:val="center"/>
              <w:rPr>
                <w:color w:val="00000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pPr>
              <w:pStyle w:val="244"/>
              <w:spacing w:line="300" w:lineRule="exact"/>
              <w:jc w:val="center"/>
              <w:rPr>
                <w:color w:val="000000"/>
                <w:szCs w:val="21"/>
                <w:highlight w:val="none"/>
              </w:rPr>
            </w:pPr>
          </w:p>
        </w:tc>
        <w:tc>
          <w:tcPr>
            <w:tcW w:w="1591" w:type="dxa"/>
            <w:vAlign w:val="center"/>
          </w:tcPr>
          <w:p>
            <w:pPr>
              <w:pStyle w:val="244"/>
              <w:spacing w:line="300" w:lineRule="exact"/>
              <w:jc w:val="center"/>
              <w:rPr>
                <w:color w:val="000000"/>
                <w:szCs w:val="21"/>
                <w:highlight w:val="none"/>
              </w:rPr>
            </w:pPr>
            <w:r>
              <w:rPr>
                <w:color w:val="000000"/>
                <w:szCs w:val="21"/>
                <w:highlight w:val="none"/>
              </w:rPr>
              <w:t>评价标准</w:t>
            </w:r>
          </w:p>
        </w:tc>
        <w:tc>
          <w:tcPr>
            <w:tcW w:w="5630" w:type="dxa"/>
            <w:gridSpan w:val="4"/>
            <w:vAlign w:val="center"/>
          </w:tcPr>
          <w:p>
            <w:pPr>
              <w:pStyle w:val="244"/>
              <w:spacing w:line="300" w:lineRule="exact"/>
              <w:jc w:val="center"/>
              <w:rPr>
                <w:color w:val="000000"/>
                <w:szCs w:val="21"/>
                <w:highlight w:val="none"/>
              </w:rPr>
            </w:pPr>
            <w:r>
              <w:rPr>
                <w:color w:val="000000"/>
                <w:szCs w:val="21"/>
                <w:highlight w:val="none"/>
              </w:rPr>
              <w:t>GB 15618□；GB 36600</w:t>
            </w:r>
            <w:r>
              <w:rPr>
                <w:rFonts w:hint="eastAsia"/>
                <w:color w:val="000000"/>
                <w:szCs w:val="21"/>
                <w:highlight w:val="none"/>
              </w:rPr>
              <w:t>☑</w:t>
            </w:r>
            <w:r>
              <w:rPr>
                <w:color w:val="000000"/>
                <w:szCs w:val="21"/>
                <w:highlight w:val="none"/>
              </w:rPr>
              <w:t>；表 D.1□；表 D.2□；其他（ ）</w:t>
            </w:r>
          </w:p>
        </w:tc>
        <w:tc>
          <w:tcPr>
            <w:tcW w:w="717" w:type="dxa"/>
            <w:vAlign w:val="center"/>
          </w:tcPr>
          <w:p>
            <w:pPr>
              <w:pStyle w:val="244"/>
              <w:spacing w:line="300" w:lineRule="exact"/>
              <w:jc w:val="center"/>
              <w:rPr>
                <w:color w:val="00000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pPr>
              <w:pStyle w:val="244"/>
              <w:spacing w:line="300" w:lineRule="exact"/>
              <w:jc w:val="center"/>
              <w:rPr>
                <w:color w:val="000000"/>
                <w:szCs w:val="21"/>
                <w:highlight w:val="none"/>
              </w:rPr>
            </w:pPr>
          </w:p>
        </w:tc>
        <w:tc>
          <w:tcPr>
            <w:tcW w:w="1591" w:type="dxa"/>
            <w:vAlign w:val="center"/>
          </w:tcPr>
          <w:p>
            <w:pPr>
              <w:pStyle w:val="244"/>
              <w:spacing w:line="300" w:lineRule="exact"/>
              <w:jc w:val="center"/>
              <w:rPr>
                <w:color w:val="000000"/>
                <w:szCs w:val="21"/>
                <w:highlight w:val="none"/>
              </w:rPr>
            </w:pPr>
            <w:r>
              <w:rPr>
                <w:color w:val="000000"/>
                <w:szCs w:val="21"/>
                <w:highlight w:val="none"/>
              </w:rPr>
              <w:t>现状评价结论</w:t>
            </w:r>
          </w:p>
        </w:tc>
        <w:tc>
          <w:tcPr>
            <w:tcW w:w="5630" w:type="dxa"/>
            <w:gridSpan w:val="4"/>
            <w:vAlign w:val="center"/>
          </w:tcPr>
          <w:p>
            <w:pPr>
              <w:pStyle w:val="244"/>
              <w:spacing w:line="300" w:lineRule="exact"/>
              <w:ind w:firstLine="420"/>
              <w:jc w:val="center"/>
              <w:rPr>
                <w:color w:val="000000"/>
                <w:szCs w:val="21"/>
                <w:highlight w:val="none"/>
              </w:rPr>
            </w:pPr>
            <w:r>
              <w:rPr>
                <w:color w:val="000000"/>
                <w:szCs w:val="21"/>
                <w:highlight w:val="none"/>
              </w:rPr>
              <w:t>各监测点土壤的各项因子均满足GB36600</w:t>
            </w:r>
          </w:p>
        </w:tc>
        <w:tc>
          <w:tcPr>
            <w:tcW w:w="717" w:type="dxa"/>
            <w:vAlign w:val="center"/>
          </w:tcPr>
          <w:p>
            <w:pPr>
              <w:pStyle w:val="244"/>
              <w:spacing w:line="300" w:lineRule="exact"/>
              <w:jc w:val="center"/>
              <w:rPr>
                <w:color w:val="00000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restart"/>
            <w:vAlign w:val="center"/>
          </w:tcPr>
          <w:p>
            <w:pPr>
              <w:pStyle w:val="244"/>
              <w:spacing w:line="300" w:lineRule="exact"/>
              <w:jc w:val="center"/>
              <w:rPr>
                <w:color w:val="000000"/>
                <w:szCs w:val="21"/>
                <w:highlight w:val="none"/>
              </w:rPr>
            </w:pPr>
            <w:r>
              <w:rPr>
                <w:color w:val="000000"/>
                <w:szCs w:val="21"/>
                <w:highlight w:val="none"/>
              </w:rPr>
              <w:t>影响预测</w:t>
            </w:r>
          </w:p>
        </w:tc>
        <w:tc>
          <w:tcPr>
            <w:tcW w:w="1591" w:type="dxa"/>
            <w:vAlign w:val="center"/>
          </w:tcPr>
          <w:p>
            <w:pPr>
              <w:pStyle w:val="244"/>
              <w:spacing w:line="300" w:lineRule="exact"/>
              <w:jc w:val="center"/>
              <w:rPr>
                <w:color w:val="000000"/>
                <w:szCs w:val="21"/>
                <w:highlight w:val="none"/>
              </w:rPr>
            </w:pPr>
            <w:r>
              <w:rPr>
                <w:color w:val="000000"/>
                <w:szCs w:val="21"/>
                <w:highlight w:val="none"/>
              </w:rPr>
              <w:t>预测因子</w:t>
            </w:r>
          </w:p>
        </w:tc>
        <w:tc>
          <w:tcPr>
            <w:tcW w:w="5630" w:type="dxa"/>
            <w:gridSpan w:val="4"/>
            <w:vAlign w:val="center"/>
          </w:tcPr>
          <w:p>
            <w:pPr>
              <w:pStyle w:val="244"/>
              <w:spacing w:line="300" w:lineRule="exact"/>
              <w:jc w:val="center"/>
              <w:rPr>
                <w:color w:val="000000"/>
                <w:szCs w:val="21"/>
                <w:highlight w:val="none"/>
              </w:rPr>
            </w:pPr>
            <w:r>
              <w:rPr>
                <w:color w:val="000000"/>
                <w:szCs w:val="21"/>
                <w:highlight w:val="none"/>
              </w:rPr>
              <w:t>/</w:t>
            </w:r>
          </w:p>
        </w:tc>
        <w:tc>
          <w:tcPr>
            <w:tcW w:w="717" w:type="dxa"/>
            <w:vAlign w:val="center"/>
          </w:tcPr>
          <w:p>
            <w:pPr>
              <w:pStyle w:val="244"/>
              <w:spacing w:line="300" w:lineRule="exact"/>
              <w:jc w:val="center"/>
              <w:rPr>
                <w:color w:val="00000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pPr>
              <w:pStyle w:val="244"/>
              <w:spacing w:line="300" w:lineRule="exact"/>
              <w:jc w:val="center"/>
              <w:rPr>
                <w:color w:val="000000"/>
                <w:szCs w:val="21"/>
                <w:highlight w:val="none"/>
              </w:rPr>
            </w:pPr>
          </w:p>
        </w:tc>
        <w:tc>
          <w:tcPr>
            <w:tcW w:w="1591" w:type="dxa"/>
            <w:vAlign w:val="center"/>
          </w:tcPr>
          <w:p>
            <w:pPr>
              <w:pStyle w:val="244"/>
              <w:spacing w:line="300" w:lineRule="exact"/>
              <w:jc w:val="center"/>
              <w:rPr>
                <w:color w:val="000000"/>
                <w:szCs w:val="21"/>
                <w:highlight w:val="none"/>
              </w:rPr>
            </w:pPr>
            <w:r>
              <w:rPr>
                <w:color w:val="000000"/>
                <w:szCs w:val="21"/>
                <w:highlight w:val="none"/>
              </w:rPr>
              <w:t>预测方法</w:t>
            </w:r>
          </w:p>
        </w:tc>
        <w:tc>
          <w:tcPr>
            <w:tcW w:w="5630" w:type="dxa"/>
            <w:gridSpan w:val="4"/>
            <w:vAlign w:val="center"/>
          </w:tcPr>
          <w:p>
            <w:pPr>
              <w:pStyle w:val="244"/>
              <w:spacing w:line="300" w:lineRule="exact"/>
              <w:jc w:val="center"/>
              <w:rPr>
                <w:color w:val="000000"/>
                <w:szCs w:val="21"/>
                <w:highlight w:val="none"/>
              </w:rPr>
            </w:pPr>
            <w:r>
              <w:rPr>
                <w:color w:val="000000"/>
                <w:szCs w:val="21"/>
                <w:highlight w:val="none"/>
              </w:rPr>
              <w:t>附录 E□；附录 F□；其他（ ）</w:t>
            </w:r>
          </w:p>
        </w:tc>
        <w:tc>
          <w:tcPr>
            <w:tcW w:w="717" w:type="dxa"/>
            <w:vAlign w:val="center"/>
          </w:tcPr>
          <w:p>
            <w:pPr>
              <w:pStyle w:val="244"/>
              <w:spacing w:line="300" w:lineRule="exact"/>
              <w:jc w:val="center"/>
              <w:rPr>
                <w:color w:val="00000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pPr>
              <w:pStyle w:val="244"/>
              <w:spacing w:line="300" w:lineRule="exact"/>
              <w:jc w:val="center"/>
              <w:rPr>
                <w:color w:val="000000"/>
                <w:szCs w:val="21"/>
                <w:highlight w:val="none"/>
              </w:rPr>
            </w:pPr>
          </w:p>
        </w:tc>
        <w:tc>
          <w:tcPr>
            <w:tcW w:w="1591" w:type="dxa"/>
            <w:vAlign w:val="center"/>
          </w:tcPr>
          <w:p>
            <w:pPr>
              <w:pStyle w:val="244"/>
              <w:spacing w:line="300" w:lineRule="exact"/>
              <w:jc w:val="center"/>
              <w:rPr>
                <w:color w:val="000000"/>
                <w:szCs w:val="21"/>
                <w:highlight w:val="none"/>
              </w:rPr>
            </w:pPr>
            <w:r>
              <w:rPr>
                <w:color w:val="000000"/>
                <w:szCs w:val="21"/>
                <w:highlight w:val="none"/>
              </w:rPr>
              <w:t>预测分析内容</w:t>
            </w:r>
          </w:p>
        </w:tc>
        <w:tc>
          <w:tcPr>
            <w:tcW w:w="5630" w:type="dxa"/>
            <w:gridSpan w:val="4"/>
            <w:vAlign w:val="center"/>
          </w:tcPr>
          <w:p>
            <w:pPr>
              <w:pStyle w:val="244"/>
              <w:spacing w:line="300" w:lineRule="exact"/>
              <w:jc w:val="center"/>
              <w:rPr>
                <w:color w:val="000000"/>
                <w:szCs w:val="21"/>
                <w:highlight w:val="none"/>
              </w:rPr>
            </w:pPr>
            <w:r>
              <w:rPr>
                <w:color w:val="000000"/>
                <w:szCs w:val="21"/>
                <w:highlight w:val="none"/>
              </w:rPr>
              <w:t>影响范围（/ ）；影响程度（/）</w:t>
            </w:r>
          </w:p>
        </w:tc>
        <w:tc>
          <w:tcPr>
            <w:tcW w:w="717" w:type="dxa"/>
            <w:vAlign w:val="center"/>
          </w:tcPr>
          <w:p>
            <w:pPr>
              <w:pStyle w:val="244"/>
              <w:spacing w:line="300" w:lineRule="exact"/>
              <w:jc w:val="center"/>
              <w:rPr>
                <w:color w:val="00000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pPr>
              <w:pStyle w:val="244"/>
              <w:spacing w:line="300" w:lineRule="exact"/>
              <w:jc w:val="center"/>
              <w:rPr>
                <w:color w:val="000000"/>
                <w:szCs w:val="21"/>
                <w:highlight w:val="none"/>
              </w:rPr>
            </w:pPr>
          </w:p>
        </w:tc>
        <w:tc>
          <w:tcPr>
            <w:tcW w:w="1591" w:type="dxa"/>
            <w:vAlign w:val="center"/>
          </w:tcPr>
          <w:p>
            <w:pPr>
              <w:pStyle w:val="244"/>
              <w:spacing w:line="300" w:lineRule="exact"/>
              <w:jc w:val="center"/>
              <w:rPr>
                <w:color w:val="000000"/>
                <w:szCs w:val="21"/>
                <w:highlight w:val="none"/>
              </w:rPr>
            </w:pPr>
            <w:r>
              <w:rPr>
                <w:color w:val="000000"/>
                <w:szCs w:val="21"/>
                <w:highlight w:val="none"/>
              </w:rPr>
              <w:t>预测结论</w:t>
            </w:r>
          </w:p>
        </w:tc>
        <w:tc>
          <w:tcPr>
            <w:tcW w:w="5630" w:type="dxa"/>
            <w:gridSpan w:val="4"/>
            <w:vAlign w:val="center"/>
          </w:tcPr>
          <w:p>
            <w:pPr>
              <w:pStyle w:val="244"/>
              <w:spacing w:line="300" w:lineRule="exact"/>
              <w:jc w:val="center"/>
              <w:rPr>
                <w:color w:val="000000"/>
                <w:szCs w:val="21"/>
                <w:highlight w:val="none"/>
              </w:rPr>
            </w:pPr>
            <w:r>
              <w:rPr>
                <w:color w:val="000000"/>
                <w:szCs w:val="21"/>
                <w:highlight w:val="none"/>
              </w:rPr>
              <w:t>达标结论：a）</w:t>
            </w:r>
            <w:r>
              <w:rPr>
                <w:rFonts w:hint="eastAsia"/>
                <w:color w:val="000000"/>
                <w:szCs w:val="21"/>
                <w:highlight w:val="none"/>
              </w:rPr>
              <w:t>☑</w:t>
            </w:r>
            <w:r>
              <w:rPr>
                <w:color w:val="000000"/>
                <w:szCs w:val="21"/>
                <w:highlight w:val="none"/>
              </w:rPr>
              <w:t>；b）□；c）□；不达标结论：a）□；b）□</w:t>
            </w:r>
          </w:p>
        </w:tc>
        <w:tc>
          <w:tcPr>
            <w:tcW w:w="717" w:type="dxa"/>
            <w:vAlign w:val="center"/>
          </w:tcPr>
          <w:p>
            <w:pPr>
              <w:pStyle w:val="244"/>
              <w:spacing w:line="300" w:lineRule="exact"/>
              <w:jc w:val="center"/>
              <w:rPr>
                <w:color w:val="00000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restart"/>
            <w:vAlign w:val="center"/>
          </w:tcPr>
          <w:p>
            <w:pPr>
              <w:pStyle w:val="244"/>
              <w:spacing w:line="300" w:lineRule="exact"/>
              <w:jc w:val="center"/>
              <w:rPr>
                <w:color w:val="000000"/>
                <w:szCs w:val="21"/>
                <w:highlight w:val="none"/>
              </w:rPr>
            </w:pPr>
            <w:r>
              <w:rPr>
                <w:color w:val="000000"/>
                <w:szCs w:val="21"/>
                <w:highlight w:val="none"/>
              </w:rPr>
              <w:t>防治措施</w:t>
            </w:r>
          </w:p>
        </w:tc>
        <w:tc>
          <w:tcPr>
            <w:tcW w:w="1591" w:type="dxa"/>
            <w:vAlign w:val="center"/>
          </w:tcPr>
          <w:p>
            <w:pPr>
              <w:pStyle w:val="244"/>
              <w:spacing w:line="300" w:lineRule="exact"/>
              <w:jc w:val="center"/>
              <w:rPr>
                <w:color w:val="000000"/>
                <w:szCs w:val="21"/>
                <w:highlight w:val="none"/>
              </w:rPr>
            </w:pPr>
            <w:r>
              <w:rPr>
                <w:color w:val="000000"/>
                <w:szCs w:val="21"/>
                <w:highlight w:val="none"/>
              </w:rPr>
              <w:t>防控措施</w:t>
            </w:r>
          </w:p>
        </w:tc>
        <w:tc>
          <w:tcPr>
            <w:tcW w:w="5630" w:type="dxa"/>
            <w:gridSpan w:val="4"/>
            <w:vAlign w:val="center"/>
          </w:tcPr>
          <w:p>
            <w:pPr>
              <w:pStyle w:val="244"/>
              <w:spacing w:line="300" w:lineRule="exact"/>
              <w:jc w:val="center"/>
              <w:rPr>
                <w:color w:val="000000"/>
                <w:szCs w:val="21"/>
                <w:highlight w:val="none"/>
              </w:rPr>
            </w:pPr>
            <w:r>
              <w:rPr>
                <w:color w:val="000000"/>
                <w:szCs w:val="21"/>
                <w:highlight w:val="none"/>
              </w:rPr>
              <w:t>土壤环境质量现状保障□；源头控制</w:t>
            </w:r>
            <w:r>
              <w:rPr>
                <w:rFonts w:hint="eastAsia"/>
                <w:color w:val="000000"/>
                <w:szCs w:val="21"/>
                <w:highlight w:val="none"/>
              </w:rPr>
              <w:t>☑</w:t>
            </w:r>
            <w:r>
              <w:rPr>
                <w:color w:val="000000"/>
                <w:szCs w:val="21"/>
                <w:highlight w:val="none"/>
              </w:rPr>
              <w:t>；过程防控</w:t>
            </w:r>
            <w:r>
              <w:rPr>
                <w:rFonts w:hint="eastAsia"/>
                <w:color w:val="000000"/>
                <w:szCs w:val="21"/>
                <w:highlight w:val="none"/>
              </w:rPr>
              <w:t>☑</w:t>
            </w:r>
            <w:r>
              <w:rPr>
                <w:color w:val="000000"/>
                <w:szCs w:val="21"/>
                <w:highlight w:val="none"/>
              </w:rPr>
              <w:t>；其他</w:t>
            </w:r>
          </w:p>
        </w:tc>
        <w:tc>
          <w:tcPr>
            <w:tcW w:w="717" w:type="dxa"/>
            <w:vAlign w:val="center"/>
          </w:tcPr>
          <w:p>
            <w:pPr>
              <w:pStyle w:val="244"/>
              <w:spacing w:line="300" w:lineRule="exact"/>
              <w:jc w:val="center"/>
              <w:rPr>
                <w:color w:val="00000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pPr>
              <w:pStyle w:val="244"/>
              <w:spacing w:line="300" w:lineRule="exact"/>
              <w:jc w:val="center"/>
              <w:rPr>
                <w:color w:val="000000"/>
                <w:szCs w:val="21"/>
                <w:highlight w:val="none"/>
              </w:rPr>
            </w:pPr>
          </w:p>
        </w:tc>
        <w:tc>
          <w:tcPr>
            <w:tcW w:w="1591" w:type="dxa"/>
            <w:vMerge w:val="restart"/>
            <w:vAlign w:val="center"/>
          </w:tcPr>
          <w:p>
            <w:pPr>
              <w:pStyle w:val="244"/>
              <w:spacing w:line="300" w:lineRule="exact"/>
              <w:jc w:val="center"/>
              <w:rPr>
                <w:color w:val="000000"/>
                <w:szCs w:val="21"/>
                <w:highlight w:val="none"/>
              </w:rPr>
            </w:pPr>
            <w:r>
              <w:rPr>
                <w:color w:val="000000"/>
                <w:szCs w:val="21"/>
                <w:highlight w:val="none"/>
              </w:rPr>
              <w:t>跟踪监测</w:t>
            </w:r>
          </w:p>
        </w:tc>
        <w:tc>
          <w:tcPr>
            <w:tcW w:w="1492" w:type="dxa"/>
            <w:vAlign w:val="center"/>
          </w:tcPr>
          <w:p>
            <w:pPr>
              <w:pStyle w:val="244"/>
              <w:spacing w:line="300" w:lineRule="exact"/>
              <w:jc w:val="center"/>
              <w:rPr>
                <w:color w:val="000000"/>
                <w:szCs w:val="21"/>
                <w:highlight w:val="none"/>
              </w:rPr>
            </w:pPr>
            <w:r>
              <w:rPr>
                <w:color w:val="000000"/>
                <w:szCs w:val="21"/>
                <w:highlight w:val="none"/>
              </w:rPr>
              <w:t>监测点数</w:t>
            </w:r>
          </w:p>
        </w:tc>
        <w:tc>
          <w:tcPr>
            <w:tcW w:w="1313" w:type="dxa"/>
            <w:vAlign w:val="center"/>
          </w:tcPr>
          <w:p>
            <w:pPr>
              <w:pStyle w:val="244"/>
              <w:spacing w:line="300" w:lineRule="exact"/>
              <w:jc w:val="center"/>
              <w:rPr>
                <w:color w:val="000000"/>
                <w:szCs w:val="21"/>
                <w:highlight w:val="none"/>
              </w:rPr>
            </w:pPr>
            <w:r>
              <w:rPr>
                <w:color w:val="000000"/>
                <w:szCs w:val="21"/>
                <w:highlight w:val="none"/>
              </w:rPr>
              <w:t>监测指标</w:t>
            </w:r>
          </w:p>
        </w:tc>
        <w:tc>
          <w:tcPr>
            <w:tcW w:w="1325" w:type="dxa"/>
            <w:vAlign w:val="center"/>
          </w:tcPr>
          <w:p>
            <w:pPr>
              <w:pStyle w:val="244"/>
              <w:spacing w:line="300" w:lineRule="exact"/>
              <w:jc w:val="center"/>
              <w:rPr>
                <w:color w:val="000000"/>
                <w:szCs w:val="21"/>
                <w:highlight w:val="none"/>
              </w:rPr>
            </w:pPr>
            <w:r>
              <w:rPr>
                <w:color w:val="000000"/>
                <w:szCs w:val="21"/>
                <w:highlight w:val="none"/>
              </w:rPr>
              <w:t>监测频率</w:t>
            </w:r>
          </w:p>
        </w:tc>
        <w:tc>
          <w:tcPr>
            <w:tcW w:w="1500" w:type="dxa"/>
            <w:vAlign w:val="center"/>
          </w:tcPr>
          <w:p>
            <w:pPr>
              <w:pStyle w:val="244"/>
              <w:spacing w:line="300" w:lineRule="exact"/>
              <w:jc w:val="center"/>
              <w:rPr>
                <w:color w:val="000000"/>
                <w:szCs w:val="21"/>
                <w:highlight w:val="none"/>
              </w:rPr>
            </w:pPr>
            <w:r>
              <w:rPr>
                <w:color w:val="000000"/>
                <w:szCs w:val="21"/>
                <w:highlight w:val="none"/>
              </w:rPr>
              <w:t>/</w:t>
            </w:r>
          </w:p>
        </w:tc>
        <w:tc>
          <w:tcPr>
            <w:tcW w:w="717" w:type="dxa"/>
            <w:vMerge w:val="restart"/>
            <w:vAlign w:val="center"/>
          </w:tcPr>
          <w:p>
            <w:pPr>
              <w:pStyle w:val="244"/>
              <w:spacing w:line="300" w:lineRule="exact"/>
              <w:jc w:val="center"/>
              <w:rPr>
                <w:color w:val="00000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pPr>
              <w:pStyle w:val="244"/>
              <w:spacing w:line="300" w:lineRule="exact"/>
              <w:jc w:val="center"/>
              <w:rPr>
                <w:color w:val="000000"/>
                <w:szCs w:val="21"/>
                <w:highlight w:val="none"/>
              </w:rPr>
            </w:pPr>
          </w:p>
        </w:tc>
        <w:tc>
          <w:tcPr>
            <w:tcW w:w="1591" w:type="dxa"/>
            <w:vMerge w:val="continue"/>
            <w:vAlign w:val="center"/>
          </w:tcPr>
          <w:p>
            <w:pPr>
              <w:pStyle w:val="244"/>
              <w:spacing w:line="300" w:lineRule="exact"/>
              <w:jc w:val="center"/>
              <w:rPr>
                <w:color w:val="000000"/>
                <w:szCs w:val="21"/>
                <w:highlight w:val="none"/>
              </w:rPr>
            </w:pPr>
          </w:p>
        </w:tc>
        <w:tc>
          <w:tcPr>
            <w:tcW w:w="1492" w:type="dxa"/>
            <w:vAlign w:val="center"/>
          </w:tcPr>
          <w:p>
            <w:pPr>
              <w:pStyle w:val="244"/>
              <w:spacing w:line="300" w:lineRule="exact"/>
              <w:jc w:val="center"/>
              <w:rPr>
                <w:color w:val="000000"/>
                <w:szCs w:val="21"/>
                <w:highlight w:val="none"/>
              </w:rPr>
            </w:pPr>
            <w:r>
              <w:rPr>
                <w:rFonts w:hint="eastAsia"/>
                <w:color w:val="000000"/>
                <w:szCs w:val="21"/>
                <w:highlight w:val="none"/>
              </w:rPr>
              <w:t>站区内</w:t>
            </w:r>
          </w:p>
        </w:tc>
        <w:tc>
          <w:tcPr>
            <w:tcW w:w="1313" w:type="dxa"/>
            <w:vAlign w:val="center"/>
          </w:tcPr>
          <w:p>
            <w:pPr>
              <w:pStyle w:val="244"/>
              <w:spacing w:line="300" w:lineRule="exact"/>
              <w:jc w:val="center"/>
              <w:rPr>
                <w:color w:val="000000"/>
                <w:szCs w:val="21"/>
                <w:highlight w:val="none"/>
              </w:rPr>
            </w:pPr>
            <w:r>
              <w:rPr>
                <w:rFonts w:hint="eastAsia"/>
                <w:color w:val="000000"/>
                <w:szCs w:val="21"/>
                <w:highlight w:val="none"/>
              </w:rPr>
              <w:t>pH、石油类</w:t>
            </w:r>
          </w:p>
        </w:tc>
        <w:tc>
          <w:tcPr>
            <w:tcW w:w="1325" w:type="dxa"/>
            <w:vAlign w:val="center"/>
          </w:tcPr>
          <w:p>
            <w:pPr>
              <w:pStyle w:val="244"/>
              <w:spacing w:line="300" w:lineRule="exact"/>
              <w:jc w:val="center"/>
              <w:rPr>
                <w:color w:val="000000"/>
                <w:szCs w:val="21"/>
                <w:highlight w:val="none"/>
              </w:rPr>
            </w:pPr>
            <w:r>
              <w:rPr>
                <w:rFonts w:hint="eastAsia"/>
                <w:color w:val="000000"/>
                <w:szCs w:val="21"/>
                <w:highlight w:val="none"/>
              </w:rPr>
              <w:t>1次/5年</w:t>
            </w:r>
          </w:p>
        </w:tc>
        <w:tc>
          <w:tcPr>
            <w:tcW w:w="1500" w:type="dxa"/>
            <w:vAlign w:val="center"/>
          </w:tcPr>
          <w:p>
            <w:pPr>
              <w:pStyle w:val="244"/>
              <w:spacing w:line="300" w:lineRule="exact"/>
              <w:jc w:val="center"/>
              <w:rPr>
                <w:color w:val="000000"/>
                <w:szCs w:val="21"/>
                <w:highlight w:val="none"/>
              </w:rPr>
            </w:pPr>
          </w:p>
        </w:tc>
        <w:tc>
          <w:tcPr>
            <w:tcW w:w="717" w:type="dxa"/>
            <w:vMerge w:val="continue"/>
            <w:vAlign w:val="center"/>
          </w:tcPr>
          <w:p>
            <w:pPr>
              <w:pStyle w:val="244"/>
              <w:spacing w:line="300" w:lineRule="exact"/>
              <w:jc w:val="center"/>
              <w:rPr>
                <w:color w:val="00000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Merge w:val="continue"/>
            <w:vAlign w:val="center"/>
          </w:tcPr>
          <w:p>
            <w:pPr>
              <w:pStyle w:val="244"/>
              <w:spacing w:line="300" w:lineRule="exact"/>
              <w:jc w:val="center"/>
              <w:rPr>
                <w:color w:val="000000"/>
                <w:szCs w:val="21"/>
                <w:highlight w:val="none"/>
              </w:rPr>
            </w:pPr>
          </w:p>
        </w:tc>
        <w:tc>
          <w:tcPr>
            <w:tcW w:w="1591" w:type="dxa"/>
            <w:vAlign w:val="center"/>
          </w:tcPr>
          <w:p>
            <w:pPr>
              <w:pStyle w:val="244"/>
              <w:spacing w:line="300" w:lineRule="exact"/>
              <w:jc w:val="center"/>
              <w:rPr>
                <w:color w:val="000000"/>
                <w:szCs w:val="21"/>
                <w:highlight w:val="none"/>
              </w:rPr>
            </w:pPr>
            <w:r>
              <w:rPr>
                <w:color w:val="000000"/>
                <w:szCs w:val="21"/>
                <w:highlight w:val="none"/>
              </w:rPr>
              <w:t>信息公开指标</w:t>
            </w:r>
          </w:p>
        </w:tc>
        <w:tc>
          <w:tcPr>
            <w:tcW w:w="5630" w:type="dxa"/>
            <w:gridSpan w:val="4"/>
            <w:vAlign w:val="center"/>
          </w:tcPr>
          <w:p>
            <w:pPr>
              <w:pStyle w:val="244"/>
              <w:spacing w:line="300" w:lineRule="exact"/>
              <w:jc w:val="center"/>
              <w:rPr>
                <w:color w:val="000000"/>
                <w:szCs w:val="21"/>
                <w:highlight w:val="none"/>
              </w:rPr>
            </w:pPr>
          </w:p>
        </w:tc>
        <w:tc>
          <w:tcPr>
            <w:tcW w:w="717" w:type="dxa"/>
            <w:vMerge w:val="continue"/>
            <w:vAlign w:val="center"/>
          </w:tcPr>
          <w:p>
            <w:pPr>
              <w:pStyle w:val="244"/>
              <w:spacing w:line="300" w:lineRule="exact"/>
              <w:jc w:val="center"/>
              <w:rPr>
                <w:color w:val="00000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25" w:type="dxa"/>
            <w:gridSpan w:val="2"/>
            <w:vAlign w:val="center"/>
          </w:tcPr>
          <w:p>
            <w:pPr>
              <w:pStyle w:val="244"/>
              <w:spacing w:line="300" w:lineRule="exact"/>
              <w:jc w:val="center"/>
              <w:rPr>
                <w:color w:val="000000"/>
                <w:szCs w:val="21"/>
                <w:highlight w:val="none"/>
              </w:rPr>
            </w:pPr>
            <w:r>
              <w:rPr>
                <w:color w:val="000000"/>
                <w:szCs w:val="21"/>
                <w:highlight w:val="none"/>
              </w:rPr>
              <w:t>评价结论</w:t>
            </w:r>
          </w:p>
        </w:tc>
        <w:tc>
          <w:tcPr>
            <w:tcW w:w="5630" w:type="dxa"/>
            <w:gridSpan w:val="4"/>
            <w:vAlign w:val="center"/>
          </w:tcPr>
          <w:p>
            <w:pPr>
              <w:pStyle w:val="244"/>
              <w:spacing w:line="300" w:lineRule="exact"/>
              <w:jc w:val="center"/>
              <w:rPr>
                <w:color w:val="000000"/>
                <w:szCs w:val="21"/>
                <w:highlight w:val="none"/>
              </w:rPr>
            </w:pPr>
            <w:r>
              <w:rPr>
                <w:color w:val="000000"/>
                <w:szCs w:val="21"/>
                <w:highlight w:val="none"/>
              </w:rPr>
              <w:t>可以接受</w:t>
            </w:r>
            <w:r>
              <w:rPr>
                <w:rFonts w:hint="eastAsia"/>
                <w:color w:val="000000"/>
                <w:szCs w:val="21"/>
                <w:highlight w:val="none"/>
              </w:rPr>
              <w:t>☑</w:t>
            </w:r>
            <w:r>
              <w:rPr>
                <w:color w:val="000000"/>
                <w:szCs w:val="21"/>
                <w:highlight w:val="none"/>
              </w:rPr>
              <w:t>；不可以接受□</w:t>
            </w:r>
          </w:p>
        </w:tc>
        <w:tc>
          <w:tcPr>
            <w:tcW w:w="717" w:type="dxa"/>
            <w:vAlign w:val="center"/>
          </w:tcPr>
          <w:p>
            <w:pPr>
              <w:pStyle w:val="244"/>
              <w:spacing w:line="300" w:lineRule="exact"/>
              <w:jc w:val="center"/>
              <w:rPr>
                <w:color w:val="000000"/>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2" w:type="dxa"/>
            <w:gridSpan w:val="7"/>
            <w:vAlign w:val="center"/>
          </w:tcPr>
          <w:p>
            <w:pPr>
              <w:pStyle w:val="244"/>
              <w:spacing w:line="300" w:lineRule="exact"/>
              <w:rPr>
                <w:color w:val="000000"/>
                <w:szCs w:val="21"/>
                <w:highlight w:val="none"/>
              </w:rPr>
            </w:pPr>
            <w:r>
              <w:rPr>
                <w:color w:val="000000"/>
                <w:szCs w:val="21"/>
                <w:highlight w:val="none"/>
              </w:rPr>
              <w:t>注 1：“□”为勾选项，可</w:t>
            </w:r>
            <w:r>
              <w:rPr>
                <w:rFonts w:hint="eastAsia"/>
                <w:color w:val="000000"/>
                <w:szCs w:val="21"/>
                <w:highlight w:val="none"/>
              </w:rPr>
              <w:t>☑</w:t>
            </w:r>
            <w:r>
              <w:rPr>
                <w:color w:val="000000"/>
                <w:szCs w:val="21"/>
                <w:highlight w:val="none"/>
              </w:rPr>
              <w:t>；“（ ）”为内容填写项；“备注”为其他补充内容。</w:t>
            </w:r>
          </w:p>
          <w:p>
            <w:pPr>
              <w:pStyle w:val="244"/>
              <w:spacing w:line="300" w:lineRule="exact"/>
              <w:rPr>
                <w:color w:val="000000"/>
                <w:szCs w:val="21"/>
                <w:highlight w:val="none"/>
              </w:rPr>
            </w:pPr>
            <w:r>
              <w:rPr>
                <w:color w:val="000000"/>
                <w:szCs w:val="21"/>
                <w:highlight w:val="none"/>
              </w:rPr>
              <w:t>注 2：需要分别开展土壤环境影响评级工作的，分别填写自查表</w:t>
            </w:r>
          </w:p>
        </w:tc>
      </w:tr>
    </w:tbl>
    <w:p>
      <w:pPr>
        <w:spacing w:line="480" w:lineRule="exact"/>
        <w:outlineLvl w:val="1"/>
        <w:rPr>
          <w:b/>
          <w:snapToGrid w:val="0"/>
          <w:kern w:val="0"/>
          <w:sz w:val="24"/>
          <w:highlight w:val="none"/>
        </w:rPr>
      </w:pPr>
      <w:bookmarkStart w:id="262" w:name="_Toc8633"/>
      <w:r>
        <w:rPr>
          <w:rFonts w:hint="eastAsia"/>
          <w:b/>
          <w:snapToGrid w:val="0"/>
          <w:kern w:val="0"/>
          <w:sz w:val="24"/>
          <w:highlight w:val="none"/>
        </w:rPr>
        <w:t>5.</w:t>
      </w:r>
      <w:r>
        <w:rPr>
          <w:rFonts w:hint="eastAsia"/>
          <w:b/>
          <w:snapToGrid w:val="0"/>
          <w:kern w:val="0"/>
          <w:sz w:val="24"/>
          <w:highlight w:val="none"/>
          <w:lang w:val="en-US" w:eastAsia="zh-CN"/>
        </w:rPr>
        <w:t>10</w:t>
      </w:r>
      <w:r>
        <w:rPr>
          <w:rFonts w:hint="eastAsia"/>
          <w:b/>
          <w:snapToGrid w:val="0"/>
          <w:kern w:val="0"/>
          <w:sz w:val="24"/>
          <w:highlight w:val="none"/>
        </w:rPr>
        <w:t xml:space="preserve"> 人群健康</w:t>
      </w:r>
      <w:bookmarkEnd w:id="262"/>
    </w:p>
    <w:p>
      <w:pPr>
        <w:autoSpaceDE w:val="0"/>
        <w:autoSpaceDN w:val="0"/>
        <w:adjustRightInd w:val="0"/>
        <w:spacing w:line="480" w:lineRule="exact"/>
        <w:ind w:firstLine="470"/>
        <w:rPr>
          <w:sz w:val="24"/>
          <w:highlight w:val="none"/>
          <w:lang w:val="zh-CN"/>
        </w:rPr>
      </w:pPr>
      <w:r>
        <w:rPr>
          <w:rFonts w:hint="eastAsia"/>
          <w:sz w:val="24"/>
          <w:highlight w:val="none"/>
          <w:lang w:val="zh-CN"/>
        </w:rPr>
        <w:t>本项目</w:t>
      </w:r>
      <w:r>
        <w:rPr>
          <w:sz w:val="24"/>
          <w:highlight w:val="none"/>
          <w:lang w:val="zh-CN"/>
        </w:rPr>
        <w:t>现状已</w:t>
      </w:r>
      <w:r>
        <w:rPr>
          <w:rFonts w:hint="eastAsia"/>
          <w:sz w:val="24"/>
          <w:highlight w:val="none"/>
          <w:lang w:val="zh-CN"/>
        </w:rPr>
        <w:t>运行多年</w:t>
      </w:r>
      <w:r>
        <w:rPr>
          <w:sz w:val="24"/>
          <w:highlight w:val="none"/>
          <w:lang w:val="zh-CN"/>
        </w:rPr>
        <w:t>，</w:t>
      </w:r>
      <w:r>
        <w:rPr>
          <w:rFonts w:hint="eastAsia"/>
          <w:sz w:val="24"/>
          <w:highlight w:val="none"/>
          <w:lang w:val="zh-CN"/>
        </w:rPr>
        <w:t>现场长期</w:t>
      </w:r>
      <w:r>
        <w:rPr>
          <w:sz w:val="24"/>
          <w:highlight w:val="none"/>
          <w:lang w:val="zh-CN"/>
        </w:rPr>
        <w:t>工作人员为</w:t>
      </w:r>
      <w:r>
        <w:rPr>
          <w:rFonts w:hint="eastAsia"/>
          <w:sz w:val="24"/>
          <w:highlight w:val="none"/>
          <w:lang w:val="zh-CN"/>
        </w:rPr>
        <w:t>5</w:t>
      </w:r>
      <w:r>
        <w:rPr>
          <w:sz w:val="24"/>
          <w:highlight w:val="none"/>
          <w:lang w:val="zh-CN"/>
        </w:rPr>
        <w:t>人，</w:t>
      </w:r>
      <w:r>
        <w:rPr>
          <w:rFonts w:hint="eastAsia"/>
          <w:sz w:val="24"/>
          <w:highlight w:val="none"/>
          <w:lang w:val="zh-CN"/>
        </w:rPr>
        <w:t>未</w:t>
      </w:r>
      <w:r>
        <w:rPr>
          <w:sz w:val="24"/>
          <w:highlight w:val="none"/>
          <w:lang w:val="zh-CN"/>
        </w:rPr>
        <w:t>引发介水传染病等影响人群健康的情况。</w:t>
      </w:r>
    </w:p>
    <w:p>
      <w:pPr>
        <w:spacing w:line="480" w:lineRule="exact"/>
        <w:outlineLvl w:val="1"/>
        <w:rPr>
          <w:b/>
          <w:snapToGrid w:val="0"/>
          <w:kern w:val="0"/>
          <w:sz w:val="24"/>
          <w:highlight w:val="none"/>
        </w:rPr>
      </w:pPr>
      <w:bookmarkStart w:id="263" w:name="_Toc26702"/>
      <w:r>
        <w:rPr>
          <w:rFonts w:hint="eastAsia"/>
          <w:b/>
          <w:snapToGrid w:val="0"/>
          <w:kern w:val="0"/>
          <w:sz w:val="24"/>
          <w:highlight w:val="none"/>
        </w:rPr>
        <w:t>5.1</w:t>
      </w:r>
      <w:r>
        <w:rPr>
          <w:rFonts w:hint="eastAsia"/>
          <w:b/>
          <w:snapToGrid w:val="0"/>
          <w:kern w:val="0"/>
          <w:sz w:val="24"/>
          <w:highlight w:val="none"/>
          <w:lang w:val="en-US" w:eastAsia="zh-CN"/>
        </w:rPr>
        <w:t>1</w:t>
      </w:r>
      <w:r>
        <w:rPr>
          <w:b/>
          <w:snapToGrid w:val="0"/>
          <w:kern w:val="0"/>
          <w:sz w:val="24"/>
          <w:highlight w:val="none"/>
        </w:rPr>
        <w:t>对社会</w:t>
      </w:r>
      <w:r>
        <w:rPr>
          <w:rFonts w:hint="eastAsia"/>
          <w:b/>
          <w:snapToGrid w:val="0"/>
          <w:kern w:val="0"/>
          <w:sz w:val="24"/>
          <w:highlight w:val="none"/>
        </w:rPr>
        <w:t>经济</w:t>
      </w:r>
      <w:r>
        <w:rPr>
          <w:b/>
          <w:snapToGrid w:val="0"/>
          <w:kern w:val="0"/>
          <w:sz w:val="24"/>
          <w:highlight w:val="none"/>
        </w:rPr>
        <w:t>的影响</w:t>
      </w:r>
      <w:bookmarkEnd w:id="263"/>
    </w:p>
    <w:p>
      <w:pPr>
        <w:autoSpaceDE w:val="0"/>
        <w:autoSpaceDN w:val="0"/>
        <w:adjustRightInd w:val="0"/>
        <w:spacing w:line="480" w:lineRule="exact"/>
        <w:ind w:firstLine="470"/>
        <w:rPr>
          <w:sz w:val="24"/>
          <w:highlight w:val="none"/>
          <w:lang w:val="zh-CN"/>
        </w:rPr>
      </w:pPr>
      <w:r>
        <w:rPr>
          <w:rFonts w:hint="eastAsia"/>
          <w:sz w:val="24"/>
          <w:highlight w:val="none"/>
          <w:lang w:val="zh-CN"/>
        </w:rPr>
        <w:t>水电是一种清洁可再生能源，水能资源的开发，可保护煤炭资源，为工业和城市生活提供清洁能源。可避免燃煤产生的大量温室气体和大气污染物质（CO</w:t>
      </w:r>
      <w:r>
        <w:rPr>
          <w:rFonts w:hint="eastAsia"/>
          <w:sz w:val="24"/>
          <w:highlight w:val="none"/>
          <w:vertAlign w:val="subscript"/>
          <w:lang w:val="zh-CN"/>
        </w:rPr>
        <w:t>2</w:t>
      </w:r>
      <w:r>
        <w:rPr>
          <w:rFonts w:hint="eastAsia"/>
          <w:sz w:val="24"/>
          <w:highlight w:val="none"/>
          <w:lang w:val="zh-CN"/>
        </w:rPr>
        <w:t xml:space="preserve"> 、SO</w:t>
      </w:r>
      <w:r>
        <w:rPr>
          <w:rFonts w:hint="eastAsia"/>
          <w:sz w:val="24"/>
          <w:highlight w:val="none"/>
          <w:vertAlign w:val="subscript"/>
          <w:lang w:val="zh-CN"/>
        </w:rPr>
        <w:t xml:space="preserve">2 </w:t>
      </w:r>
      <w:r>
        <w:rPr>
          <w:rFonts w:hint="eastAsia"/>
          <w:sz w:val="24"/>
          <w:highlight w:val="none"/>
          <w:lang w:val="zh-CN"/>
        </w:rPr>
        <w:t>、NOx、粉尘等）。因此，从煤炭的替代能源来看，水电开发是保护煤炭资源和大气环境，实现经济可持续发展的有利途径之一，在一定程度上可防止非再生能源的消耗及燃煤带来的环境污染，具有较好的环境效益，对保护区域生态环境具有重要意义。</w:t>
      </w:r>
    </w:p>
    <w:p>
      <w:pPr>
        <w:autoSpaceDE w:val="0"/>
        <w:autoSpaceDN w:val="0"/>
        <w:adjustRightInd w:val="0"/>
        <w:spacing w:line="480" w:lineRule="exact"/>
        <w:ind w:firstLine="470"/>
        <w:rPr>
          <w:sz w:val="24"/>
          <w:highlight w:val="none"/>
          <w:lang w:val="zh-CN"/>
        </w:rPr>
      </w:pPr>
      <w:r>
        <w:rPr>
          <w:rFonts w:hint="eastAsia"/>
          <w:sz w:val="24"/>
          <w:highlight w:val="none"/>
          <w:lang w:val="zh-CN"/>
        </w:rPr>
        <w:t>工程实施投入大量资金，需要大量的人力和物力，带动当地建筑业、建材业和运输业等相关行业的发展，也会促进工程区第三产业的繁荣和发展，扩大当地居民就业机会，从而增加居民收入，繁荣地方经济，实现工程区社会经济可持续发展，对社会经济产生积极的有利的影响。</w:t>
      </w:r>
    </w:p>
    <w:p>
      <w:pPr>
        <w:spacing w:line="480" w:lineRule="exact"/>
        <w:outlineLvl w:val="1"/>
        <w:rPr>
          <w:b/>
          <w:snapToGrid w:val="0"/>
          <w:kern w:val="0"/>
          <w:sz w:val="24"/>
          <w:highlight w:val="none"/>
        </w:rPr>
      </w:pPr>
      <w:bookmarkStart w:id="264" w:name="_Toc7872"/>
      <w:r>
        <w:rPr>
          <w:rFonts w:hint="eastAsia"/>
          <w:b/>
          <w:snapToGrid w:val="0"/>
          <w:kern w:val="0"/>
          <w:sz w:val="24"/>
          <w:highlight w:val="none"/>
        </w:rPr>
        <w:t>5.1</w:t>
      </w:r>
      <w:r>
        <w:rPr>
          <w:rFonts w:hint="eastAsia"/>
          <w:b/>
          <w:snapToGrid w:val="0"/>
          <w:kern w:val="0"/>
          <w:sz w:val="24"/>
          <w:highlight w:val="none"/>
          <w:lang w:val="en-US" w:eastAsia="zh-CN"/>
        </w:rPr>
        <w:t>2</w:t>
      </w:r>
      <w:r>
        <w:rPr>
          <w:b/>
          <w:snapToGrid w:val="0"/>
          <w:kern w:val="0"/>
          <w:sz w:val="24"/>
          <w:highlight w:val="none"/>
        </w:rPr>
        <w:t>对景观与文物的影响</w:t>
      </w:r>
      <w:bookmarkEnd w:id="264"/>
    </w:p>
    <w:p>
      <w:pPr>
        <w:autoSpaceDE w:val="0"/>
        <w:autoSpaceDN w:val="0"/>
        <w:adjustRightInd w:val="0"/>
        <w:spacing w:line="480" w:lineRule="exact"/>
        <w:ind w:firstLine="470"/>
        <w:rPr>
          <w:sz w:val="24"/>
          <w:highlight w:val="none"/>
          <w:lang w:val="zh-CN"/>
        </w:rPr>
      </w:pPr>
      <w:r>
        <w:rPr>
          <w:sz w:val="24"/>
          <w:highlight w:val="none"/>
          <w:lang w:val="zh-CN"/>
        </w:rPr>
        <w:t>项目于</w:t>
      </w:r>
      <w:r>
        <w:rPr>
          <w:rFonts w:hint="eastAsia"/>
          <w:sz w:val="24"/>
          <w:highlight w:val="none"/>
          <w:lang w:val="en-US" w:eastAsia="zh-CN"/>
        </w:rPr>
        <w:t>2006</w:t>
      </w:r>
      <w:r>
        <w:rPr>
          <w:sz w:val="24"/>
          <w:highlight w:val="none"/>
          <w:lang w:val="zh-CN"/>
        </w:rPr>
        <w:t>年建成</w:t>
      </w:r>
      <w:r>
        <w:rPr>
          <w:rFonts w:hint="eastAsia"/>
          <w:sz w:val="24"/>
          <w:highlight w:val="none"/>
          <w:lang w:val="zh-CN"/>
        </w:rPr>
        <w:t>并开始发电</w:t>
      </w:r>
      <w:r>
        <w:rPr>
          <w:sz w:val="24"/>
          <w:highlight w:val="none"/>
          <w:lang w:val="zh-CN"/>
        </w:rPr>
        <w:t>，由于项目区现状</w:t>
      </w:r>
      <w:r>
        <w:rPr>
          <w:rFonts w:hint="eastAsia"/>
          <w:sz w:val="24"/>
          <w:highlight w:val="none"/>
          <w:lang w:val="zh-CN"/>
        </w:rPr>
        <w:t>运行近20多年</w:t>
      </w:r>
      <w:r>
        <w:rPr>
          <w:sz w:val="24"/>
          <w:highlight w:val="none"/>
          <w:lang w:val="zh-CN"/>
        </w:rPr>
        <w:t>，区域内自然景观</w:t>
      </w:r>
      <w:r>
        <w:rPr>
          <w:rFonts w:hint="eastAsia"/>
          <w:sz w:val="24"/>
          <w:highlight w:val="none"/>
          <w:lang w:val="zh-CN"/>
        </w:rPr>
        <w:t>已经</w:t>
      </w:r>
      <w:r>
        <w:rPr>
          <w:sz w:val="24"/>
          <w:highlight w:val="none"/>
          <w:lang w:val="zh-CN"/>
        </w:rPr>
        <w:t>恢复，对景观的影响不大。根据水文情势分析，电站运行尾水对下游水位、流量等水文情势影响较小，不会对下游水域景观造成不利影响。</w:t>
      </w:r>
    </w:p>
    <w:p>
      <w:pPr>
        <w:autoSpaceDE w:val="0"/>
        <w:autoSpaceDN w:val="0"/>
        <w:adjustRightInd w:val="0"/>
        <w:spacing w:line="480" w:lineRule="exact"/>
        <w:ind w:firstLine="470"/>
        <w:rPr>
          <w:sz w:val="24"/>
          <w:highlight w:val="none"/>
          <w:lang w:val="zh-CN"/>
        </w:rPr>
      </w:pPr>
      <w:r>
        <w:rPr>
          <w:sz w:val="24"/>
          <w:highlight w:val="none"/>
          <w:lang w:val="zh-CN"/>
        </w:rPr>
        <w:t>根据现场调查，工程区范围内不涉及风景名胜区、自然保护区等；经当地文物管理部门现场实地调查，项目区内不涉及文物古迹。</w:t>
      </w:r>
    </w:p>
    <w:p>
      <w:pPr>
        <w:spacing w:line="480" w:lineRule="exact"/>
        <w:outlineLvl w:val="1"/>
        <w:rPr>
          <w:b/>
          <w:snapToGrid w:val="0"/>
          <w:kern w:val="0"/>
          <w:sz w:val="24"/>
          <w:highlight w:val="none"/>
        </w:rPr>
      </w:pPr>
      <w:bookmarkStart w:id="265" w:name="_Toc712"/>
      <w:r>
        <w:rPr>
          <w:rFonts w:hint="eastAsia"/>
          <w:b/>
          <w:snapToGrid w:val="0"/>
          <w:kern w:val="0"/>
          <w:sz w:val="24"/>
          <w:highlight w:val="none"/>
        </w:rPr>
        <w:t>5.1</w:t>
      </w:r>
      <w:r>
        <w:rPr>
          <w:rFonts w:hint="eastAsia"/>
          <w:b/>
          <w:snapToGrid w:val="0"/>
          <w:kern w:val="0"/>
          <w:sz w:val="24"/>
          <w:highlight w:val="none"/>
          <w:lang w:val="en-US" w:eastAsia="zh-CN"/>
        </w:rPr>
        <w:t>3</w:t>
      </w:r>
      <w:r>
        <w:rPr>
          <w:rFonts w:hint="eastAsia"/>
          <w:b/>
          <w:snapToGrid w:val="0"/>
          <w:kern w:val="0"/>
          <w:sz w:val="24"/>
          <w:highlight w:val="none"/>
        </w:rPr>
        <w:t xml:space="preserve"> 移民环境</w:t>
      </w:r>
      <w:bookmarkEnd w:id="265"/>
    </w:p>
    <w:p>
      <w:pPr>
        <w:autoSpaceDE w:val="0"/>
        <w:autoSpaceDN w:val="0"/>
        <w:adjustRightInd w:val="0"/>
        <w:spacing w:line="480" w:lineRule="exact"/>
        <w:ind w:firstLine="470"/>
        <w:rPr>
          <w:rFonts w:hint="eastAsia"/>
          <w:sz w:val="24"/>
          <w:highlight w:val="none"/>
          <w:lang w:val="zh-CN"/>
        </w:rPr>
      </w:pPr>
      <w:r>
        <w:rPr>
          <w:rFonts w:hint="eastAsia"/>
          <w:sz w:val="24"/>
          <w:highlight w:val="none"/>
          <w:lang w:val="zh-CN"/>
        </w:rPr>
        <w:t>项目建设不涉及移民安置，故不对此影响进行评价。</w:t>
      </w:r>
    </w:p>
    <w:p>
      <w:pPr>
        <w:spacing w:line="480" w:lineRule="exact"/>
        <w:outlineLvl w:val="1"/>
        <w:rPr>
          <w:rFonts w:hint="eastAsia" w:eastAsia="宋体"/>
          <w:b/>
          <w:snapToGrid w:val="0"/>
          <w:color w:val="auto"/>
          <w:kern w:val="0"/>
          <w:sz w:val="24"/>
          <w:highlight w:val="none"/>
          <w:lang w:eastAsia="zh-CN"/>
        </w:rPr>
      </w:pPr>
      <w:bookmarkStart w:id="266" w:name="_Toc3782"/>
      <w:r>
        <w:rPr>
          <w:rFonts w:hint="eastAsia"/>
          <w:b/>
          <w:snapToGrid w:val="0"/>
          <w:color w:val="auto"/>
          <w:kern w:val="0"/>
          <w:sz w:val="24"/>
          <w:highlight w:val="none"/>
        </w:rPr>
        <w:t>5.1</w:t>
      </w:r>
      <w:r>
        <w:rPr>
          <w:rFonts w:hint="eastAsia"/>
          <w:b/>
          <w:snapToGrid w:val="0"/>
          <w:color w:val="auto"/>
          <w:kern w:val="0"/>
          <w:sz w:val="24"/>
          <w:highlight w:val="none"/>
          <w:lang w:val="en-US" w:eastAsia="zh-CN"/>
        </w:rPr>
        <w:t>4</w:t>
      </w:r>
      <w:r>
        <w:rPr>
          <w:rFonts w:hint="eastAsia"/>
          <w:b/>
          <w:snapToGrid w:val="0"/>
          <w:color w:val="auto"/>
          <w:kern w:val="0"/>
          <w:sz w:val="24"/>
          <w:highlight w:val="none"/>
        </w:rPr>
        <w:t xml:space="preserve"> </w:t>
      </w:r>
      <w:r>
        <w:rPr>
          <w:rFonts w:hint="default" w:ascii="Times New Roman" w:hAnsi="Times New Roman" w:eastAsia="宋体" w:cs="Times New Roman"/>
          <w:b/>
          <w:bCs/>
          <w:color w:val="auto"/>
          <w:kern w:val="0"/>
          <w:sz w:val="24"/>
          <w:szCs w:val="24"/>
          <w:highlight w:val="none"/>
          <w:lang w:val="en-US" w:eastAsia="zh-CN"/>
        </w:rPr>
        <w:t>电磁环境影响</w:t>
      </w:r>
      <w:r>
        <w:rPr>
          <w:rFonts w:hint="eastAsia" w:eastAsia="宋体"/>
          <w:b/>
          <w:snapToGrid w:val="0"/>
          <w:color w:val="auto"/>
          <w:kern w:val="0"/>
          <w:sz w:val="24"/>
          <w:highlight w:val="none"/>
          <w:lang w:eastAsia="zh-CN"/>
        </w:rPr>
        <w:t>分析</w:t>
      </w:r>
      <w:bookmarkEnd w:id="266"/>
    </w:p>
    <w:p>
      <w:pPr>
        <w:autoSpaceDE w:val="0"/>
        <w:autoSpaceDN w:val="0"/>
        <w:adjustRightInd w:val="0"/>
        <w:spacing w:line="480" w:lineRule="exact"/>
        <w:ind w:firstLine="470"/>
        <w:rPr>
          <w:rFonts w:hint="eastAsia" w:ascii="Times New Roman" w:hAnsi="Times New Roman" w:eastAsia="宋体" w:cs="Times New Roman"/>
          <w:color w:val="auto"/>
          <w:sz w:val="24"/>
          <w:highlight w:val="none"/>
          <w:lang w:val="zh-CN"/>
        </w:rPr>
      </w:pPr>
      <w:r>
        <w:rPr>
          <w:rFonts w:hint="eastAsia" w:ascii="Times New Roman" w:hAnsi="Times New Roman" w:eastAsia="宋体" w:cs="Times New Roman"/>
          <w:color w:val="auto"/>
          <w:sz w:val="24"/>
          <w:highlight w:val="none"/>
          <w:lang w:val="zh-CN"/>
        </w:rPr>
        <w:t>本水电站由</w:t>
      </w:r>
      <w:r>
        <w:rPr>
          <w:rFonts w:hint="eastAsia" w:cs="Times New Roman"/>
          <w:color w:val="auto"/>
          <w:sz w:val="24"/>
          <w:highlight w:val="none"/>
          <w:lang w:val="en-US" w:eastAsia="zh-CN"/>
        </w:rPr>
        <w:t>11</w:t>
      </w:r>
      <w:r>
        <w:rPr>
          <w:rFonts w:hint="eastAsia" w:ascii="Times New Roman" w:hAnsi="Times New Roman" w:eastAsia="宋体" w:cs="Times New Roman"/>
          <w:color w:val="auto"/>
          <w:sz w:val="24"/>
          <w:highlight w:val="none"/>
          <w:lang w:val="zh-CN"/>
        </w:rPr>
        <w:t>kV线路接入崔家庄35kv变电站。根据《建设项目环境影响评价分类管理名录》（2021年版）“五十五、核与辐射161输变电工程（100千伏以下除外）”，本项目由</w:t>
      </w:r>
      <w:r>
        <w:rPr>
          <w:rFonts w:hint="eastAsia" w:ascii="Times New Roman" w:hAnsi="Times New Roman" w:eastAsia="宋体" w:cs="Times New Roman"/>
          <w:color w:val="auto"/>
          <w:sz w:val="24"/>
          <w:highlight w:val="none"/>
          <w:lang w:val="zh-CN" w:eastAsia="zh-CN"/>
        </w:rPr>
        <w:t>11</w:t>
      </w:r>
      <w:r>
        <w:rPr>
          <w:rFonts w:hint="eastAsia" w:ascii="Times New Roman" w:hAnsi="Times New Roman" w:eastAsia="宋体" w:cs="Times New Roman"/>
          <w:color w:val="auto"/>
          <w:sz w:val="24"/>
          <w:highlight w:val="none"/>
          <w:lang w:val="zh-CN"/>
        </w:rPr>
        <w:t>kV线路接入崔家庄35kv变电站，故不需要另行履行电磁环评手续。</w:t>
      </w:r>
    </w:p>
    <w:p>
      <w:pPr>
        <w:autoSpaceDE w:val="0"/>
        <w:autoSpaceDN w:val="0"/>
        <w:adjustRightInd w:val="0"/>
        <w:spacing w:line="480" w:lineRule="exact"/>
        <w:ind w:firstLine="470"/>
        <w:rPr>
          <w:rFonts w:hint="eastAsia"/>
          <w:color w:val="auto"/>
          <w:sz w:val="24"/>
          <w:highlight w:val="none"/>
          <w:lang w:val="en-US" w:eastAsia="zh-CN"/>
        </w:rPr>
      </w:pPr>
      <w:r>
        <w:rPr>
          <w:rFonts w:hint="eastAsia"/>
          <w:color w:val="auto"/>
          <w:sz w:val="24"/>
          <w:highlight w:val="none"/>
          <w:lang w:val="en-US" w:eastAsia="zh-CN"/>
        </w:rPr>
        <w:t>本次评价对本水电站电磁影响采用类比法进行分析。</w:t>
      </w:r>
    </w:p>
    <w:p>
      <w:pPr>
        <w:autoSpaceDE w:val="0"/>
        <w:autoSpaceDN w:val="0"/>
        <w:adjustRightInd w:val="0"/>
        <w:spacing w:line="480" w:lineRule="exact"/>
        <w:ind w:firstLine="480" w:firstLineChars="200"/>
        <w:rPr>
          <w:rFonts w:hint="eastAsia"/>
          <w:bCs/>
          <w:color w:val="auto"/>
          <w:sz w:val="24"/>
          <w:highlight w:val="none"/>
        </w:rPr>
      </w:pPr>
      <w:r>
        <w:rPr>
          <w:rFonts w:hint="eastAsia"/>
          <w:bCs/>
          <w:color w:val="auto"/>
          <w:sz w:val="24"/>
          <w:highlight w:val="none"/>
        </w:rPr>
        <w:t>本次环评选择</w:t>
      </w:r>
      <w:r>
        <w:rPr>
          <w:rFonts w:ascii="宋体" w:hAnsi="宋体" w:eastAsia="宋体" w:cs="宋体"/>
          <w:color w:val="auto"/>
          <w:sz w:val="24"/>
          <w:szCs w:val="24"/>
          <w:highlight w:val="none"/>
        </w:rPr>
        <w:t>庞村（成安东）220 千伏输变电工程</w:t>
      </w:r>
      <w:r>
        <w:rPr>
          <w:rFonts w:hint="eastAsia"/>
          <w:color w:val="auto"/>
          <w:sz w:val="24"/>
          <w:highlight w:val="none"/>
          <w:lang w:val="en-US" w:eastAsia="zh-CN"/>
        </w:rPr>
        <w:t>验收</w:t>
      </w:r>
      <w:r>
        <w:rPr>
          <w:rFonts w:hint="eastAsia"/>
          <w:bCs/>
          <w:color w:val="auto"/>
          <w:sz w:val="24"/>
          <w:highlight w:val="none"/>
        </w:rPr>
        <w:t>作为类比对象。</w:t>
      </w:r>
    </w:p>
    <w:p>
      <w:pPr>
        <w:autoSpaceDE w:val="0"/>
        <w:autoSpaceDN w:val="0"/>
        <w:adjustRightInd w:val="0"/>
        <w:spacing w:line="480" w:lineRule="exact"/>
        <w:ind w:firstLine="480" w:firstLineChars="200"/>
        <w:rPr>
          <w:rFonts w:hint="eastAsia" w:eastAsia="宋体"/>
          <w:bCs/>
          <w:color w:val="auto"/>
          <w:sz w:val="24"/>
          <w:highlight w:val="none"/>
          <w:lang w:eastAsia="zh-CN"/>
        </w:rPr>
      </w:pPr>
      <w:r>
        <w:rPr>
          <w:rFonts w:hint="eastAsia" w:ascii="宋体" w:hAnsi="宋体" w:eastAsia="宋体" w:cs="宋体"/>
          <w:color w:val="auto"/>
          <w:sz w:val="24"/>
          <w:szCs w:val="24"/>
          <w:highlight w:val="none"/>
          <w:lang w:eastAsia="zh-CN"/>
        </w:rPr>
        <w:t>建设单位：</w:t>
      </w:r>
      <w:r>
        <w:rPr>
          <w:rFonts w:ascii="宋体" w:hAnsi="宋体" w:eastAsia="宋体" w:cs="宋体"/>
          <w:color w:val="auto"/>
          <w:sz w:val="24"/>
          <w:szCs w:val="24"/>
          <w:highlight w:val="none"/>
        </w:rPr>
        <w:t>国网河北省电力有限公司邯郸供电分公司</w:t>
      </w:r>
      <w:r>
        <w:rPr>
          <w:rFonts w:hint="eastAsia" w:ascii="宋体" w:hAnsi="宋体" w:eastAsia="宋体" w:cs="宋体"/>
          <w:color w:val="auto"/>
          <w:sz w:val="24"/>
          <w:szCs w:val="24"/>
          <w:highlight w:val="none"/>
          <w:lang w:eastAsia="zh-CN"/>
        </w:rPr>
        <w:t>。</w:t>
      </w:r>
    </w:p>
    <w:p>
      <w:pPr>
        <w:autoSpaceDE w:val="0"/>
        <w:autoSpaceDN w:val="0"/>
        <w:adjustRightInd w:val="0"/>
        <w:spacing w:line="480" w:lineRule="exact"/>
        <w:ind w:firstLine="480" w:firstLineChars="200"/>
        <w:rPr>
          <w:rFonts w:hint="eastAsia"/>
          <w:bCs/>
          <w:color w:val="auto"/>
          <w:sz w:val="24"/>
          <w:highlight w:val="none"/>
          <w:lang w:eastAsia="zh-CN"/>
        </w:rPr>
      </w:pPr>
      <w:r>
        <w:rPr>
          <w:rFonts w:hint="eastAsia"/>
          <w:bCs/>
          <w:color w:val="auto"/>
          <w:sz w:val="24"/>
          <w:highlight w:val="none"/>
          <w:lang w:eastAsia="zh-CN"/>
        </w:rPr>
        <w:t>监测单位：承德东岭环境监测有限公司。</w:t>
      </w:r>
    </w:p>
    <w:p>
      <w:pPr>
        <w:autoSpaceDE w:val="0"/>
        <w:autoSpaceDN w:val="0"/>
        <w:adjustRightInd w:val="0"/>
        <w:spacing w:line="480" w:lineRule="exact"/>
        <w:ind w:firstLine="480" w:firstLineChars="200"/>
        <w:rPr>
          <w:rFonts w:hint="eastAsia"/>
          <w:bCs/>
          <w:color w:val="auto"/>
          <w:sz w:val="24"/>
          <w:highlight w:val="none"/>
          <w:lang w:val="en-US" w:eastAsia="zh-CN"/>
        </w:rPr>
      </w:pPr>
      <w:r>
        <w:rPr>
          <w:rFonts w:hint="eastAsia"/>
          <w:bCs/>
          <w:color w:val="auto"/>
          <w:sz w:val="24"/>
          <w:highlight w:val="none"/>
          <w:lang w:eastAsia="zh-CN"/>
        </w:rPr>
        <w:t>验收时间：</w:t>
      </w:r>
      <w:r>
        <w:rPr>
          <w:rFonts w:hint="eastAsia"/>
          <w:bCs/>
          <w:color w:val="auto"/>
          <w:sz w:val="24"/>
          <w:highlight w:val="none"/>
          <w:lang w:val="en-US" w:eastAsia="zh-CN"/>
        </w:rPr>
        <w:t>2021年6月。</w:t>
      </w:r>
    </w:p>
    <w:p>
      <w:pPr>
        <w:autoSpaceDE w:val="0"/>
        <w:autoSpaceDN w:val="0"/>
        <w:adjustRightInd w:val="0"/>
        <w:spacing w:line="480" w:lineRule="exact"/>
        <w:ind w:firstLine="480" w:firstLineChars="200"/>
        <w:rPr>
          <w:rFonts w:ascii="宋体" w:hAnsi="宋体" w:eastAsia="宋体" w:cs="宋体"/>
          <w:color w:val="auto"/>
          <w:sz w:val="24"/>
          <w:szCs w:val="24"/>
          <w:highlight w:val="none"/>
        </w:rPr>
      </w:pPr>
      <w:r>
        <w:rPr>
          <w:rFonts w:ascii="宋体" w:hAnsi="宋体" w:eastAsia="宋体" w:cs="宋体"/>
          <w:color w:val="auto"/>
          <w:sz w:val="24"/>
          <w:szCs w:val="24"/>
          <w:highlight w:val="none"/>
        </w:rPr>
        <w:t>变电站站址</w:t>
      </w:r>
      <w:r>
        <w:rPr>
          <w:rFonts w:hint="eastAsia" w:ascii="宋体" w:hAnsi="宋体" w:eastAsia="宋体" w:cs="宋体"/>
          <w:color w:val="auto"/>
          <w:sz w:val="24"/>
          <w:szCs w:val="24"/>
          <w:highlight w:val="none"/>
          <w:lang w:eastAsia="zh-CN"/>
        </w:rPr>
        <w:t>：</w:t>
      </w:r>
      <w:r>
        <w:rPr>
          <w:rFonts w:ascii="宋体" w:hAnsi="宋体" w:eastAsia="宋体" w:cs="宋体"/>
          <w:color w:val="auto"/>
          <w:sz w:val="24"/>
          <w:szCs w:val="24"/>
          <w:highlight w:val="none"/>
        </w:rPr>
        <w:t>站址位于邯郸市成安县北乡义乡西乡义村东 850m。</w:t>
      </w:r>
    </w:p>
    <w:p>
      <w:pPr>
        <w:autoSpaceDE w:val="0"/>
        <w:autoSpaceDN w:val="0"/>
        <w:adjustRightInd w:val="0"/>
        <w:spacing w:line="480" w:lineRule="exact"/>
        <w:ind w:firstLine="480" w:firstLineChars="200"/>
        <w:rPr>
          <w:rFonts w:hint="default" w:ascii="Times New Roman" w:hAnsi="Times New Roman" w:cs="Times New Roman"/>
          <w:bCs/>
          <w:color w:val="auto"/>
          <w:sz w:val="24"/>
          <w:highlight w:val="none"/>
          <w:lang w:val="en-US" w:eastAsia="zh-CN"/>
        </w:rPr>
      </w:pPr>
      <w:r>
        <w:rPr>
          <w:rFonts w:ascii="宋体" w:hAnsi="宋体" w:eastAsia="宋体" w:cs="宋体"/>
          <w:color w:val="auto"/>
          <w:sz w:val="24"/>
          <w:szCs w:val="24"/>
          <w:highlight w:val="none"/>
        </w:rPr>
        <w:t>变电站工程内容及规模</w:t>
      </w:r>
      <w:r>
        <w:rPr>
          <w:rFonts w:hint="eastAsia" w:ascii="宋体" w:hAnsi="宋体" w:eastAsia="宋体" w:cs="宋体"/>
          <w:color w:val="auto"/>
          <w:sz w:val="24"/>
          <w:szCs w:val="24"/>
          <w:highlight w:val="none"/>
          <w:lang w:eastAsia="zh-CN"/>
        </w:rPr>
        <w:t>：</w:t>
      </w:r>
      <w:r>
        <w:rPr>
          <w:rFonts w:ascii="宋体" w:hAnsi="宋体" w:eastAsia="宋体" w:cs="宋体"/>
          <w:color w:val="auto"/>
          <w:sz w:val="24"/>
          <w:szCs w:val="24"/>
          <w:highlight w:val="none"/>
        </w:rPr>
        <w:t>本期工</w:t>
      </w:r>
      <w:r>
        <w:rPr>
          <w:rFonts w:hint="default" w:ascii="Times New Roman" w:hAnsi="Times New Roman" w:eastAsia="宋体" w:cs="Times New Roman"/>
          <w:color w:val="auto"/>
          <w:sz w:val="24"/>
          <w:szCs w:val="24"/>
          <w:highlight w:val="none"/>
        </w:rPr>
        <w:t>程变电站占地 10652m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，包括围墙内占地 8397m</w:t>
      </w:r>
      <w:r>
        <w:rPr>
          <w:rFonts w:hint="default" w:ascii="Times New Roman" w:hAnsi="Times New Roman" w:eastAsia="宋体" w:cs="Times New Roman"/>
          <w:color w:val="auto"/>
          <w:sz w:val="24"/>
          <w:szCs w:val="24"/>
          <w:highlight w:val="none"/>
          <w:vertAlign w:val="superscript"/>
        </w:rPr>
        <w:t xml:space="preserve"> 2</w:t>
      </w:r>
      <w:r>
        <w:rPr>
          <w:rFonts w:hint="default" w:ascii="Times New Roman" w:hAnsi="Times New Roman" w:eastAsia="宋体" w:cs="Times New Roman"/>
          <w:color w:val="auto"/>
          <w:sz w:val="24"/>
          <w:szCs w:val="24"/>
          <w:highlight w:val="none"/>
        </w:rPr>
        <w:t>和进站道路及其他占地 2255m</w:t>
      </w:r>
      <w:r>
        <w:rPr>
          <w:rFonts w:hint="default" w:ascii="Times New Roman" w:hAnsi="Times New Roman" w:eastAsia="宋体" w:cs="Times New Roman"/>
          <w:color w:val="auto"/>
          <w:sz w:val="24"/>
          <w:szCs w:val="24"/>
          <w:highlight w:val="none"/>
          <w:vertAlign w:val="superscript"/>
        </w:rPr>
        <w:t xml:space="preserve"> 2</w:t>
      </w:r>
      <w:r>
        <w:rPr>
          <w:rFonts w:hint="default" w:ascii="Times New Roman" w:hAnsi="Times New Roman" w:eastAsia="宋体" w:cs="Times New Roman"/>
          <w:color w:val="auto"/>
          <w:sz w:val="24"/>
          <w:szCs w:val="24"/>
          <w:highlight w:val="none"/>
        </w:rPr>
        <w:t>。变电站主变采用户外布置方式，配电装置采用户外 GIS，容量2×180MVA。</w:t>
      </w:r>
    </w:p>
    <w:p>
      <w:pPr>
        <w:autoSpaceDE w:val="0"/>
        <w:autoSpaceDN w:val="0"/>
        <w:adjustRightInd w:val="0"/>
        <w:spacing w:line="480" w:lineRule="exact"/>
        <w:ind w:firstLine="480" w:firstLineChars="200"/>
        <w:rPr>
          <w:rFonts w:hint="eastAsia" w:eastAsia="宋体"/>
          <w:bCs/>
          <w:color w:val="auto"/>
          <w:sz w:val="24"/>
          <w:highlight w:val="none"/>
          <w:lang w:eastAsia="zh-CN"/>
        </w:rPr>
      </w:pPr>
      <w:r>
        <w:rPr>
          <w:rFonts w:ascii="宋体" w:hAnsi="宋体" w:eastAsia="宋体" w:cs="宋体"/>
          <w:color w:val="auto"/>
          <w:sz w:val="24"/>
          <w:szCs w:val="24"/>
          <w:highlight w:val="none"/>
        </w:rPr>
        <w:t>电磁环境</w:t>
      </w:r>
      <w:r>
        <w:rPr>
          <w:rFonts w:hint="eastAsia" w:ascii="宋体" w:hAnsi="宋体" w:eastAsia="宋体" w:cs="宋体"/>
          <w:color w:val="auto"/>
          <w:sz w:val="24"/>
          <w:szCs w:val="24"/>
          <w:highlight w:val="none"/>
          <w:lang w:eastAsia="zh-CN"/>
        </w:rPr>
        <w:t>监测结果：</w:t>
      </w:r>
      <w:r>
        <w:rPr>
          <w:rFonts w:hint="default" w:ascii="Times New Roman" w:hAnsi="Times New Roman" w:eastAsia="宋体" w:cs="Times New Roman"/>
          <w:color w:val="auto"/>
          <w:sz w:val="24"/>
          <w:szCs w:val="24"/>
          <w:highlight w:val="none"/>
        </w:rPr>
        <w:t>监测时间2021 年 5 月 16 日</w:t>
      </w:r>
      <w:r>
        <w:rPr>
          <w:rFonts w:ascii="宋体" w:hAnsi="宋体" w:eastAsia="宋体" w:cs="宋体"/>
          <w:color w:val="auto"/>
          <w:sz w:val="24"/>
          <w:szCs w:val="24"/>
          <w:highlight w:val="none"/>
        </w:rPr>
        <w:t>。</w:t>
      </w:r>
      <w:r>
        <w:rPr>
          <w:rFonts w:hint="eastAsia" w:ascii="宋体" w:hAnsi="宋体" w:eastAsia="宋体" w:cs="宋体"/>
          <w:color w:val="auto"/>
          <w:sz w:val="24"/>
          <w:szCs w:val="24"/>
          <w:highlight w:val="none"/>
          <w:lang w:eastAsia="zh-CN"/>
        </w:rPr>
        <w:t>监测结果见下表：</w:t>
      </w:r>
    </w:p>
    <w:p>
      <w:pPr>
        <w:autoSpaceDE w:val="0"/>
        <w:autoSpaceDN w:val="0"/>
        <w:adjustRightInd w:val="0"/>
        <w:spacing w:line="480" w:lineRule="exact"/>
        <w:ind w:left="0" w:leftChars="0" w:right="0" w:rightChars="0" w:firstLine="0" w:firstLineChars="0"/>
        <w:jc w:val="center"/>
        <w:rPr>
          <w:rFonts w:hint="eastAsia"/>
          <w:b/>
          <w:bCs/>
          <w:color w:val="auto"/>
          <w:sz w:val="24"/>
          <w:highlight w:val="none"/>
          <w:lang w:eastAsia="zh-CN"/>
        </w:rPr>
      </w:pPr>
      <w:r>
        <w:rPr>
          <w:rFonts w:hint="eastAsia" w:ascii="宋体" w:hAnsi="宋体" w:cs="宋体"/>
          <w:b/>
          <w:bCs/>
          <w:color w:val="auto"/>
          <w:sz w:val="24"/>
          <w:szCs w:val="24"/>
          <w:highlight w:val="none"/>
          <w:lang w:eastAsia="zh-CN"/>
        </w:rPr>
        <w:t>表</w:t>
      </w:r>
      <w:r>
        <w:rPr>
          <w:rFonts w:hint="default" w:ascii="Times New Roman" w:hAnsi="Times New Roman" w:cs="Times New Roman"/>
          <w:b/>
          <w:bCs/>
          <w:color w:val="auto"/>
          <w:sz w:val="24"/>
          <w:szCs w:val="24"/>
          <w:highlight w:val="none"/>
          <w:lang w:val="en-US" w:eastAsia="zh-CN"/>
        </w:rPr>
        <w:t>5.</w:t>
      </w:r>
      <w:r>
        <w:rPr>
          <w:rFonts w:hint="eastAsia" w:cs="Times New Roman"/>
          <w:b/>
          <w:bCs/>
          <w:color w:val="auto"/>
          <w:sz w:val="24"/>
          <w:szCs w:val="24"/>
          <w:highlight w:val="none"/>
          <w:lang w:val="en-US" w:eastAsia="zh-CN"/>
        </w:rPr>
        <w:t>14</w:t>
      </w:r>
      <w:r>
        <w:rPr>
          <w:rFonts w:hint="default" w:ascii="Times New Roman" w:hAnsi="Times New Roman" w:cs="Times New Roman"/>
          <w:b/>
          <w:bCs/>
          <w:color w:val="auto"/>
          <w:sz w:val="24"/>
          <w:szCs w:val="24"/>
          <w:highlight w:val="none"/>
          <w:lang w:val="en-US" w:eastAsia="zh-CN"/>
        </w:rPr>
        <w:t>-</w:t>
      </w:r>
      <w:r>
        <w:rPr>
          <w:rFonts w:hint="eastAsia" w:cs="Times New Roman"/>
          <w:b/>
          <w:bCs/>
          <w:color w:val="auto"/>
          <w:sz w:val="24"/>
          <w:szCs w:val="24"/>
          <w:highlight w:val="none"/>
          <w:lang w:val="en-US" w:eastAsia="zh-CN"/>
        </w:rPr>
        <w:t>1</w:t>
      </w:r>
      <w:r>
        <w:rPr>
          <w:rFonts w:ascii="宋体" w:hAnsi="宋体" w:eastAsia="宋体" w:cs="宋体"/>
          <w:b/>
          <w:bCs/>
          <w:color w:val="auto"/>
          <w:sz w:val="24"/>
          <w:szCs w:val="24"/>
          <w:highlight w:val="none"/>
        </w:rPr>
        <w:t>电磁环境</w:t>
      </w:r>
      <w:r>
        <w:rPr>
          <w:rFonts w:hint="eastAsia" w:ascii="宋体" w:hAnsi="宋体" w:eastAsia="宋体" w:cs="宋体"/>
          <w:b/>
          <w:bCs/>
          <w:color w:val="auto"/>
          <w:sz w:val="24"/>
          <w:szCs w:val="24"/>
          <w:highlight w:val="none"/>
          <w:lang w:eastAsia="zh-CN"/>
        </w:rPr>
        <w:t>监测结果</w:t>
      </w:r>
    </w:p>
    <w:tbl>
      <w:tblPr>
        <w:tblStyle w:val="51"/>
        <w:tblW w:w="77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8"/>
        <w:gridCol w:w="2322"/>
        <w:gridCol w:w="1124"/>
        <w:gridCol w:w="1986"/>
        <w:gridCol w:w="15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dxa"/>
            <w:vAlign w:val="center"/>
          </w:tcPr>
          <w:p>
            <w:pPr>
              <w:pStyle w:val="244"/>
              <w:spacing w:line="30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序号</w:t>
            </w:r>
          </w:p>
        </w:tc>
        <w:tc>
          <w:tcPr>
            <w:tcW w:w="2322" w:type="dxa"/>
            <w:vAlign w:val="center"/>
          </w:tcPr>
          <w:p>
            <w:pPr>
              <w:pStyle w:val="244"/>
              <w:spacing w:line="300" w:lineRule="exact"/>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监测点位</w:t>
            </w:r>
          </w:p>
        </w:tc>
        <w:tc>
          <w:tcPr>
            <w:tcW w:w="1124" w:type="dxa"/>
            <w:vAlign w:val="center"/>
          </w:tcPr>
          <w:p>
            <w:pPr>
              <w:pStyle w:val="244"/>
              <w:spacing w:line="30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距离</w:t>
            </w:r>
          </w:p>
          <w:p>
            <w:pPr>
              <w:pStyle w:val="244"/>
              <w:spacing w:line="300" w:lineRule="exact"/>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1986" w:type="dxa"/>
            <w:vAlign w:val="center"/>
          </w:tcPr>
          <w:p>
            <w:pPr>
              <w:pStyle w:val="244"/>
              <w:spacing w:line="300" w:lineRule="exact"/>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工频电场强度 (V/m)</w:t>
            </w:r>
          </w:p>
        </w:tc>
        <w:tc>
          <w:tcPr>
            <w:tcW w:w="1554" w:type="dxa"/>
            <w:vAlign w:val="center"/>
          </w:tcPr>
          <w:p>
            <w:pPr>
              <w:pStyle w:val="244"/>
              <w:spacing w:line="300" w:lineRule="exact"/>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工频磁感应强度 (μT)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dxa"/>
            <w:vAlign w:val="center"/>
          </w:tcPr>
          <w:p>
            <w:pPr>
              <w:pStyle w:val="244"/>
              <w:spacing w:line="300" w:lineRule="exact"/>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1</w:t>
            </w:r>
          </w:p>
        </w:tc>
        <w:tc>
          <w:tcPr>
            <w:tcW w:w="2322" w:type="dxa"/>
            <w:vAlign w:val="center"/>
          </w:tcPr>
          <w:p>
            <w:pPr>
              <w:pStyle w:val="244"/>
              <w:spacing w:line="300" w:lineRule="exact"/>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1# 220kV 庞村变电站 围墙南侧</w:t>
            </w:r>
          </w:p>
        </w:tc>
        <w:tc>
          <w:tcPr>
            <w:tcW w:w="1124" w:type="dxa"/>
            <w:vAlign w:val="center"/>
          </w:tcPr>
          <w:p>
            <w:pPr>
              <w:pStyle w:val="244"/>
              <w:spacing w:line="300" w:lineRule="exact"/>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5</w:t>
            </w:r>
          </w:p>
        </w:tc>
        <w:tc>
          <w:tcPr>
            <w:tcW w:w="1986" w:type="dxa"/>
            <w:vAlign w:val="center"/>
          </w:tcPr>
          <w:p>
            <w:pPr>
              <w:pStyle w:val="244"/>
              <w:spacing w:line="300" w:lineRule="exact"/>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17.7</w:t>
            </w:r>
          </w:p>
        </w:tc>
        <w:tc>
          <w:tcPr>
            <w:tcW w:w="1554" w:type="dxa"/>
            <w:vAlign w:val="center"/>
          </w:tcPr>
          <w:p>
            <w:pPr>
              <w:pStyle w:val="244"/>
              <w:spacing w:line="300" w:lineRule="exact"/>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dxa"/>
            <w:vAlign w:val="center"/>
          </w:tcPr>
          <w:p>
            <w:pPr>
              <w:pStyle w:val="244"/>
              <w:spacing w:line="300" w:lineRule="exact"/>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2</w:t>
            </w:r>
          </w:p>
        </w:tc>
        <w:tc>
          <w:tcPr>
            <w:tcW w:w="2322" w:type="dxa"/>
            <w:vAlign w:val="center"/>
          </w:tcPr>
          <w:p>
            <w:pPr>
              <w:pStyle w:val="244"/>
              <w:spacing w:line="300" w:lineRule="exact"/>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2# 220kV 庞村变电站 围墙西侧</w:t>
            </w:r>
          </w:p>
        </w:tc>
        <w:tc>
          <w:tcPr>
            <w:tcW w:w="1124" w:type="dxa"/>
            <w:vAlign w:val="center"/>
          </w:tcPr>
          <w:p>
            <w:pPr>
              <w:pStyle w:val="244"/>
              <w:spacing w:line="300" w:lineRule="exact"/>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5</w:t>
            </w:r>
          </w:p>
        </w:tc>
        <w:tc>
          <w:tcPr>
            <w:tcW w:w="1986" w:type="dxa"/>
            <w:vAlign w:val="center"/>
          </w:tcPr>
          <w:p>
            <w:pPr>
              <w:pStyle w:val="244"/>
              <w:spacing w:line="300" w:lineRule="exact"/>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52.4</w:t>
            </w:r>
          </w:p>
        </w:tc>
        <w:tc>
          <w:tcPr>
            <w:tcW w:w="1554" w:type="dxa"/>
            <w:vAlign w:val="center"/>
          </w:tcPr>
          <w:p>
            <w:pPr>
              <w:pStyle w:val="244"/>
              <w:spacing w:line="300" w:lineRule="exact"/>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0.087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dxa"/>
            <w:vAlign w:val="center"/>
          </w:tcPr>
          <w:p>
            <w:pPr>
              <w:pStyle w:val="244"/>
              <w:spacing w:line="300" w:lineRule="exact"/>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3</w:t>
            </w:r>
          </w:p>
        </w:tc>
        <w:tc>
          <w:tcPr>
            <w:tcW w:w="2322" w:type="dxa"/>
            <w:vAlign w:val="center"/>
          </w:tcPr>
          <w:p>
            <w:pPr>
              <w:pStyle w:val="244"/>
              <w:spacing w:line="300" w:lineRule="exact"/>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3# 220kV 庞村变电站 围墙北侧</w:t>
            </w:r>
          </w:p>
        </w:tc>
        <w:tc>
          <w:tcPr>
            <w:tcW w:w="1124" w:type="dxa"/>
            <w:vAlign w:val="center"/>
          </w:tcPr>
          <w:p>
            <w:pPr>
              <w:pStyle w:val="244"/>
              <w:spacing w:line="300" w:lineRule="exact"/>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5</w:t>
            </w:r>
          </w:p>
        </w:tc>
        <w:tc>
          <w:tcPr>
            <w:tcW w:w="1986" w:type="dxa"/>
            <w:vAlign w:val="center"/>
          </w:tcPr>
          <w:p>
            <w:pPr>
              <w:pStyle w:val="244"/>
              <w:spacing w:line="300" w:lineRule="exact"/>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83.3</w:t>
            </w:r>
          </w:p>
        </w:tc>
        <w:tc>
          <w:tcPr>
            <w:tcW w:w="1554" w:type="dxa"/>
            <w:vAlign w:val="center"/>
          </w:tcPr>
          <w:p>
            <w:pPr>
              <w:pStyle w:val="244"/>
              <w:spacing w:line="300" w:lineRule="exact"/>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dxa"/>
            <w:vAlign w:val="center"/>
          </w:tcPr>
          <w:p>
            <w:pPr>
              <w:pStyle w:val="244"/>
              <w:spacing w:line="300" w:lineRule="exact"/>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4</w:t>
            </w:r>
          </w:p>
        </w:tc>
        <w:tc>
          <w:tcPr>
            <w:tcW w:w="2322" w:type="dxa"/>
            <w:vAlign w:val="center"/>
          </w:tcPr>
          <w:p>
            <w:pPr>
              <w:pStyle w:val="244"/>
              <w:spacing w:line="300" w:lineRule="exact"/>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4# 220kV 庞村变电站 围墙东侧</w:t>
            </w:r>
          </w:p>
        </w:tc>
        <w:tc>
          <w:tcPr>
            <w:tcW w:w="1124" w:type="dxa"/>
            <w:vAlign w:val="center"/>
          </w:tcPr>
          <w:p>
            <w:pPr>
              <w:pStyle w:val="244"/>
              <w:spacing w:line="300" w:lineRule="exact"/>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5</w:t>
            </w:r>
          </w:p>
        </w:tc>
        <w:tc>
          <w:tcPr>
            <w:tcW w:w="1986" w:type="dxa"/>
            <w:vAlign w:val="center"/>
          </w:tcPr>
          <w:p>
            <w:pPr>
              <w:pStyle w:val="244"/>
              <w:spacing w:line="300" w:lineRule="exact"/>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88.5</w:t>
            </w:r>
          </w:p>
        </w:tc>
        <w:tc>
          <w:tcPr>
            <w:tcW w:w="1554" w:type="dxa"/>
            <w:vAlign w:val="center"/>
          </w:tcPr>
          <w:p>
            <w:pPr>
              <w:pStyle w:val="244"/>
              <w:spacing w:line="300" w:lineRule="exact"/>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dxa"/>
            <w:vMerge w:val="restart"/>
            <w:vAlign w:val="center"/>
          </w:tcPr>
          <w:p>
            <w:pPr>
              <w:pStyle w:val="244"/>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5</w:t>
            </w:r>
          </w:p>
        </w:tc>
        <w:tc>
          <w:tcPr>
            <w:tcW w:w="2322" w:type="dxa"/>
            <w:vMerge w:val="restart"/>
            <w:vAlign w:val="center"/>
          </w:tcPr>
          <w:p>
            <w:pPr>
              <w:pStyle w:val="244"/>
              <w:spacing w:line="300" w:lineRule="exact"/>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220kV 庞村变电站围墙北侧 监测断面</w:t>
            </w:r>
          </w:p>
        </w:tc>
        <w:tc>
          <w:tcPr>
            <w:tcW w:w="1124" w:type="dxa"/>
            <w:vAlign w:val="center"/>
          </w:tcPr>
          <w:p>
            <w:pPr>
              <w:pStyle w:val="244"/>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5</w:t>
            </w:r>
          </w:p>
        </w:tc>
        <w:tc>
          <w:tcPr>
            <w:tcW w:w="1986" w:type="dxa"/>
            <w:vAlign w:val="center"/>
          </w:tcPr>
          <w:p>
            <w:pPr>
              <w:pStyle w:val="244"/>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83.3</w:t>
            </w:r>
          </w:p>
        </w:tc>
        <w:tc>
          <w:tcPr>
            <w:tcW w:w="1554" w:type="dxa"/>
            <w:vAlign w:val="center"/>
          </w:tcPr>
          <w:p>
            <w:pPr>
              <w:pStyle w:val="244"/>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2.75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dxa"/>
            <w:vMerge w:val="continue"/>
            <w:vAlign w:val="center"/>
          </w:tcPr>
          <w:p>
            <w:pPr>
              <w:pStyle w:val="244"/>
              <w:spacing w:line="300" w:lineRule="exact"/>
              <w:jc w:val="center"/>
              <w:rPr>
                <w:rFonts w:hint="eastAsia"/>
                <w:color w:val="auto"/>
                <w:sz w:val="21"/>
                <w:szCs w:val="21"/>
                <w:highlight w:val="none"/>
                <w:lang w:val="en-US" w:eastAsia="zh-CN"/>
              </w:rPr>
            </w:pPr>
          </w:p>
        </w:tc>
        <w:tc>
          <w:tcPr>
            <w:tcW w:w="2322" w:type="dxa"/>
            <w:vMerge w:val="continue"/>
            <w:vAlign w:val="center"/>
          </w:tcPr>
          <w:p>
            <w:pPr>
              <w:pStyle w:val="244"/>
              <w:spacing w:line="300" w:lineRule="exact"/>
              <w:jc w:val="center"/>
              <w:rPr>
                <w:rFonts w:hint="default" w:ascii="Times New Roman" w:hAnsi="Times New Roman" w:cs="Times New Roman"/>
                <w:color w:val="auto"/>
                <w:sz w:val="21"/>
                <w:szCs w:val="21"/>
                <w:highlight w:val="none"/>
                <w:lang w:eastAsia="zh-CN"/>
              </w:rPr>
            </w:pPr>
          </w:p>
        </w:tc>
        <w:tc>
          <w:tcPr>
            <w:tcW w:w="1124" w:type="dxa"/>
            <w:vAlign w:val="center"/>
          </w:tcPr>
          <w:p>
            <w:pPr>
              <w:pStyle w:val="244"/>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10</w:t>
            </w:r>
          </w:p>
        </w:tc>
        <w:tc>
          <w:tcPr>
            <w:tcW w:w="1986" w:type="dxa"/>
            <w:vAlign w:val="center"/>
          </w:tcPr>
          <w:p>
            <w:pPr>
              <w:pStyle w:val="244"/>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45.3</w:t>
            </w:r>
          </w:p>
        </w:tc>
        <w:tc>
          <w:tcPr>
            <w:tcW w:w="1554" w:type="dxa"/>
            <w:vAlign w:val="center"/>
          </w:tcPr>
          <w:p>
            <w:pPr>
              <w:pStyle w:val="244"/>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1.49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dxa"/>
            <w:vMerge w:val="continue"/>
            <w:vAlign w:val="center"/>
          </w:tcPr>
          <w:p>
            <w:pPr>
              <w:pStyle w:val="244"/>
              <w:spacing w:line="300" w:lineRule="exact"/>
              <w:jc w:val="center"/>
              <w:rPr>
                <w:rFonts w:hint="eastAsia"/>
                <w:color w:val="auto"/>
                <w:sz w:val="21"/>
                <w:szCs w:val="21"/>
                <w:highlight w:val="none"/>
                <w:lang w:val="en-US" w:eastAsia="zh-CN"/>
              </w:rPr>
            </w:pPr>
          </w:p>
        </w:tc>
        <w:tc>
          <w:tcPr>
            <w:tcW w:w="2322" w:type="dxa"/>
            <w:vMerge w:val="continue"/>
            <w:vAlign w:val="center"/>
          </w:tcPr>
          <w:p>
            <w:pPr>
              <w:pStyle w:val="244"/>
              <w:spacing w:line="300" w:lineRule="exact"/>
              <w:jc w:val="center"/>
              <w:rPr>
                <w:rFonts w:hint="default" w:ascii="Times New Roman" w:hAnsi="Times New Roman" w:cs="Times New Roman"/>
                <w:color w:val="auto"/>
                <w:sz w:val="21"/>
                <w:szCs w:val="21"/>
                <w:highlight w:val="none"/>
                <w:lang w:eastAsia="zh-CN"/>
              </w:rPr>
            </w:pPr>
          </w:p>
        </w:tc>
        <w:tc>
          <w:tcPr>
            <w:tcW w:w="1124" w:type="dxa"/>
            <w:vAlign w:val="center"/>
          </w:tcPr>
          <w:p>
            <w:pPr>
              <w:pStyle w:val="244"/>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15</w:t>
            </w:r>
          </w:p>
        </w:tc>
        <w:tc>
          <w:tcPr>
            <w:tcW w:w="1986" w:type="dxa"/>
            <w:vAlign w:val="center"/>
          </w:tcPr>
          <w:p>
            <w:pPr>
              <w:pStyle w:val="244"/>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19.0</w:t>
            </w:r>
          </w:p>
        </w:tc>
        <w:tc>
          <w:tcPr>
            <w:tcW w:w="1554" w:type="dxa"/>
            <w:vAlign w:val="center"/>
          </w:tcPr>
          <w:p>
            <w:pPr>
              <w:pStyle w:val="244"/>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0.603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dxa"/>
            <w:vMerge w:val="continue"/>
            <w:vAlign w:val="center"/>
          </w:tcPr>
          <w:p>
            <w:pPr>
              <w:pStyle w:val="244"/>
              <w:spacing w:line="300" w:lineRule="exact"/>
              <w:jc w:val="center"/>
              <w:rPr>
                <w:rFonts w:hint="eastAsia"/>
                <w:color w:val="auto"/>
                <w:sz w:val="21"/>
                <w:szCs w:val="21"/>
                <w:highlight w:val="none"/>
                <w:lang w:val="en-US" w:eastAsia="zh-CN"/>
              </w:rPr>
            </w:pPr>
          </w:p>
        </w:tc>
        <w:tc>
          <w:tcPr>
            <w:tcW w:w="2322" w:type="dxa"/>
            <w:vMerge w:val="continue"/>
            <w:vAlign w:val="center"/>
          </w:tcPr>
          <w:p>
            <w:pPr>
              <w:pStyle w:val="244"/>
              <w:spacing w:line="300" w:lineRule="exact"/>
              <w:jc w:val="center"/>
              <w:rPr>
                <w:rFonts w:hint="default" w:ascii="Times New Roman" w:hAnsi="Times New Roman" w:cs="Times New Roman"/>
                <w:color w:val="auto"/>
                <w:sz w:val="21"/>
                <w:szCs w:val="21"/>
                <w:highlight w:val="none"/>
                <w:lang w:eastAsia="zh-CN"/>
              </w:rPr>
            </w:pPr>
          </w:p>
        </w:tc>
        <w:tc>
          <w:tcPr>
            <w:tcW w:w="1124" w:type="dxa"/>
            <w:vAlign w:val="center"/>
          </w:tcPr>
          <w:p>
            <w:pPr>
              <w:pStyle w:val="244"/>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20</w:t>
            </w:r>
          </w:p>
        </w:tc>
        <w:tc>
          <w:tcPr>
            <w:tcW w:w="1986" w:type="dxa"/>
            <w:vAlign w:val="center"/>
          </w:tcPr>
          <w:p>
            <w:pPr>
              <w:pStyle w:val="244"/>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9.73</w:t>
            </w:r>
          </w:p>
        </w:tc>
        <w:tc>
          <w:tcPr>
            <w:tcW w:w="1554" w:type="dxa"/>
            <w:vAlign w:val="center"/>
          </w:tcPr>
          <w:p>
            <w:pPr>
              <w:pStyle w:val="244"/>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0.315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dxa"/>
            <w:vMerge w:val="continue"/>
            <w:vAlign w:val="center"/>
          </w:tcPr>
          <w:p>
            <w:pPr>
              <w:pStyle w:val="244"/>
              <w:spacing w:line="300" w:lineRule="exact"/>
              <w:jc w:val="center"/>
              <w:rPr>
                <w:rFonts w:hint="eastAsia"/>
                <w:color w:val="auto"/>
                <w:sz w:val="21"/>
                <w:szCs w:val="21"/>
                <w:highlight w:val="none"/>
                <w:lang w:val="en-US" w:eastAsia="zh-CN"/>
              </w:rPr>
            </w:pPr>
          </w:p>
        </w:tc>
        <w:tc>
          <w:tcPr>
            <w:tcW w:w="2322" w:type="dxa"/>
            <w:vMerge w:val="continue"/>
            <w:vAlign w:val="center"/>
          </w:tcPr>
          <w:p>
            <w:pPr>
              <w:pStyle w:val="244"/>
              <w:spacing w:line="300" w:lineRule="exact"/>
              <w:jc w:val="center"/>
              <w:rPr>
                <w:rFonts w:hint="default" w:ascii="Times New Roman" w:hAnsi="Times New Roman" w:cs="Times New Roman"/>
                <w:color w:val="auto"/>
                <w:sz w:val="21"/>
                <w:szCs w:val="21"/>
                <w:highlight w:val="none"/>
                <w:lang w:eastAsia="zh-CN"/>
              </w:rPr>
            </w:pPr>
          </w:p>
        </w:tc>
        <w:tc>
          <w:tcPr>
            <w:tcW w:w="1124" w:type="dxa"/>
            <w:vAlign w:val="center"/>
          </w:tcPr>
          <w:p>
            <w:pPr>
              <w:pStyle w:val="244"/>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25</w:t>
            </w:r>
          </w:p>
        </w:tc>
        <w:tc>
          <w:tcPr>
            <w:tcW w:w="1986" w:type="dxa"/>
            <w:vAlign w:val="center"/>
          </w:tcPr>
          <w:p>
            <w:pPr>
              <w:pStyle w:val="244"/>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7.15</w:t>
            </w:r>
          </w:p>
        </w:tc>
        <w:tc>
          <w:tcPr>
            <w:tcW w:w="1554" w:type="dxa"/>
            <w:vAlign w:val="center"/>
          </w:tcPr>
          <w:p>
            <w:pPr>
              <w:pStyle w:val="244"/>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0.095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dxa"/>
            <w:vMerge w:val="continue"/>
            <w:vAlign w:val="center"/>
          </w:tcPr>
          <w:p>
            <w:pPr>
              <w:pStyle w:val="244"/>
              <w:spacing w:line="300" w:lineRule="exact"/>
              <w:jc w:val="center"/>
              <w:rPr>
                <w:rFonts w:hint="eastAsia"/>
                <w:color w:val="auto"/>
                <w:sz w:val="21"/>
                <w:szCs w:val="21"/>
                <w:highlight w:val="none"/>
                <w:lang w:val="en-US" w:eastAsia="zh-CN"/>
              </w:rPr>
            </w:pPr>
          </w:p>
        </w:tc>
        <w:tc>
          <w:tcPr>
            <w:tcW w:w="2322" w:type="dxa"/>
            <w:vMerge w:val="continue"/>
            <w:vAlign w:val="center"/>
          </w:tcPr>
          <w:p>
            <w:pPr>
              <w:pStyle w:val="244"/>
              <w:spacing w:line="300" w:lineRule="exact"/>
              <w:jc w:val="center"/>
              <w:rPr>
                <w:rFonts w:hint="default" w:ascii="Times New Roman" w:hAnsi="Times New Roman" w:cs="Times New Roman"/>
                <w:color w:val="auto"/>
                <w:sz w:val="21"/>
                <w:szCs w:val="21"/>
                <w:highlight w:val="none"/>
                <w:lang w:eastAsia="zh-CN"/>
              </w:rPr>
            </w:pPr>
          </w:p>
        </w:tc>
        <w:tc>
          <w:tcPr>
            <w:tcW w:w="1124" w:type="dxa"/>
            <w:vAlign w:val="center"/>
          </w:tcPr>
          <w:p>
            <w:pPr>
              <w:pStyle w:val="244"/>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30</w:t>
            </w:r>
          </w:p>
        </w:tc>
        <w:tc>
          <w:tcPr>
            <w:tcW w:w="1986" w:type="dxa"/>
            <w:vAlign w:val="center"/>
          </w:tcPr>
          <w:p>
            <w:pPr>
              <w:pStyle w:val="244"/>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4.92</w:t>
            </w:r>
          </w:p>
        </w:tc>
        <w:tc>
          <w:tcPr>
            <w:tcW w:w="1554" w:type="dxa"/>
            <w:vAlign w:val="center"/>
          </w:tcPr>
          <w:p>
            <w:pPr>
              <w:pStyle w:val="244"/>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0.070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dxa"/>
            <w:vMerge w:val="continue"/>
            <w:vAlign w:val="center"/>
          </w:tcPr>
          <w:p>
            <w:pPr>
              <w:pStyle w:val="244"/>
              <w:spacing w:line="300" w:lineRule="exact"/>
              <w:jc w:val="center"/>
              <w:rPr>
                <w:rFonts w:hint="eastAsia"/>
                <w:color w:val="auto"/>
                <w:sz w:val="21"/>
                <w:szCs w:val="21"/>
                <w:highlight w:val="none"/>
                <w:lang w:val="en-US" w:eastAsia="zh-CN"/>
              </w:rPr>
            </w:pPr>
          </w:p>
        </w:tc>
        <w:tc>
          <w:tcPr>
            <w:tcW w:w="2322" w:type="dxa"/>
            <w:vMerge w:val="continue"/>
            <w:vAlign w:val="center"/>
          </w:tcPr>
          <w:p>
            <w:pPr>
              <w:pStyle w:val="244"/>
              <w:spacing w:line="300" w:lineRule="exact"/>
              <w:jc w:val="center"/>
              <w:rPr>
                <w:rFonts w:hint="default" w:ascii="Times New Roman" w:hAnsi="Times New Roman" w:cs="Times New Roman"/>
                <w:color w:val="auto"/>
                <w:sz w:val="21"/>
                <w:szCs w:val="21"/>
                <w:highlight w:val="none"/>
                <w:lang w:eastAsia="zh-CN"/>
              </w:rPr>
            </w:pPr>
          </w:p>
        </w:tc>
        <w:tc>
          <w:tcPr>
            <w:tcW w:w="1124" w:type="dxa"/>
            <w:vAlign w:val="center"/>
          </w:tcPr>
          <w:p>
            <w:pPr>
              <w:pStyle w:val="244"/>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35</w:t>
            </w:r>
          </w:p>
        </w:tc>
        <w:tc>
          <w:tcPr>
            <w:tcW w:w="1986" w:type="dxa"/>
            <w:vAlign w:val="center"/>
          </w:tcPr>
          <w:p>
            <w:pPr>
              <w:pStyle w:val="244"/>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3.62</w:t>
            </w:r>
          </w:p>
        </w:tc>
        <w:tc>
          <w:tcPr>
            <w:tcW w:w="1554" w:type="dxa"/>
            <w:vAlign w:val="center"/>
          </w:tcPr>
          <w:p>
            <w:pPr>
              <w:pStyle w:val="244"/>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dxa"/>
            <w:vMerge w:val="continue"/>
            <w:vAlign w:val="center"/>
          </w:tcPr>
          <w:p>
            <w:pPr>
              <w:pStyle w:val="244"/>
              <w:spacing w:line="300" w:lineRule="exact"/>
              <w:jc w:val="center"/>
              <w:rPr>
                <w:rFonts w:hint="eastAsia"/>
                <w:color w:val="auto"/>
                <w:sz w:val="21"/>
                <w:szCs w:val="21"/>
                <w:highlight w:val="none"/>
                <w:lang w:val="en-US" w:eastAsia="zh-CN"/>
              </w:rPr>
            </w:pPr>
          </w:p>
        </w:tc>
        <w:tc>
          <w:tcPr>
            <w:tcW w:w="2322" w:type="dxa"/>
            <w:vMerge w:val="continue"/>
            <w:vAlign w:val="center"/>
          </w:tcPr>
          <w:p>
            <w:pPr>
              <w:pStyle w:val="244"/>
              <w:spacing w:line="300" w:lineRule="exact"/>
              <w:jc w:val="center"/>
              <w:rPr>
                <w:rFonts w:hint="default" w:ascii="Times New Roman" w:hAnsi="Times New Roman" w:cs="Times New Roman"/>
                <w:color w:val="auto"/>
                <w:sz w:val="21"/>
                <w:szCs w:val="21"/>
                <w:highlight w:val="none"/>
                <w:lang w:eastAsia="zh-CN"/>
              </w:rPr>
            </w:pPr>
          </w:p>
        </w:tc>
        <w:tc>
          <w:tcPr>
            <w:tcW w:w="1124" w:type="dxa"/>
            <w:vAlign w:val="center"/>
          </w:tcPr>
          <w:p>
            <w:pPr>
              <w:pStyle w:val="244"/>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40</w:t>
            </w:r>
          </w:p>
        </w:tc>
        <w:tc>
          <w:tcPr>
            <w:tcW w:w="1986" w:type="dxa"/>
            <w:vAlign w:val="center"/>
          </w:tcPr>
          <w:p>
            <w:pPr>
              <w:pStyle w:val="244"/>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3.28</w:t>
            </w:r>
          </w:p>
        </w:tc>
        <w:tc>
          <w:tcPr>
            <w:tcW w:w="1554" w:type="dxa"/>
            <w:vAlign w:val="center"/>
          </w:tcPr>
          <w:p>
            <w:pPr>
              <w:pStyle w:val="244"/>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0.044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dxa"/>
            <w:vMerge w:val="continue"/>
            <w:vAlign w:val="center"/>
          </w:tcPr>
          <w:p>
            <w:pPr>
              <w:pStyle w:val="244"/>
              <w:spacing w:line="300" w:lineRule="exact"/>
              <w:jc w:val="center"/>
              <w:rPr>
                <w:rFonts w:hint="eastAsia"/>
                <w:color w:val="auto"/>
                <w:sz w:val="21"/>
                <w:szCs w:val="21"/>
                <w:highlight w:val="none"/>
                <w:lang w:val="en-US" w:eastAsia="zh-CN"/>
              </w:rPr>
            </w:pPr>
          </w:p>
        </w:tc>
        <w:tc>
          <w:tcPr>
            <w:tcW w:w="2322" w:type="dxa"/>
            <w:vMerge w:val="continue"/>
            <w:vAlign w:val="center"/>
          </w:tcPr>
          <w:p>
            <w:pPr>
              <w:pStyle w:val="244"/>
              <w:spacing w:line="300" w:lineRule="exact"/>
              <w:jc w:val="center"/>
              <w:rPr>
                <w:rFonts w:hint="default" w:ascii="Times New Roman" w:hAnsi="Times New Roman" w:cs="Times New Roman"/>
                <w:color w:val="auto"/>
                <w:sz w:val="21"/>
                <w:szCs w:val="21"/>
                <w:highlight w:val="none"/>
                <w:lang w:eastAsia="zh-CN"/>
              </w:rPr>
            </w:pPr>
          </w:p>
        </w:tc>
        <w:tc>
          <w:tcPr>
            <w:tcW w:w="1124" w:type="dxa"/>
            <w:vAlign w:val="center"/>
          </w:tcPr>
          <w:p>
            <w:pPr>
              <w:pStyle w:val="244"/>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45</w:t>
            </w:r>
          </w:p>
        </w:tc>
        <w:tc>
          <w:tcPr>
            <w:tcW w:w="1986" w:type="dxa"/>
            <w:vAlign w:val="center"/>
          </w:tcPr>
          <w:p>
            <w:pPr>
              <w:pStyle w:val="244"/>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3.25</w:t>
            </w:r>
          </w:p>
        </w:tc>
        <w:tc>
          <w:tcPr>
            <w:tcW w:w="1554" w:type="dxa"/>
            <w:vAlign w:val="center"/>
          </w:tcPr>
          <w:p>
            <w:pPr>
              <w:pStyle w:val="244"/>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0.042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8" w:type="dxa"/>
            <w:vMerge w:val="continue"/>
            <w:vAlign w:val="center"/>
          </w:tcPr>
          <w:p>
            <w:pPr>
              <w:pStyle w:val="244"/>
              <w:spacing w:line="300" w:lineRule="exact"/>
              <w:jc w:val="center"/>
              <w:rPr>
                <w:rFonts w:hint="eastAsia"/>
                <w:color w:val="auto"/>
                <w:sz w:val="21"/>
                <w:szCs w:val="21"/>
                <w:highlight w:val="none"/>
                <w:lang w:val="en-US" w:eastAsia="zh-CN"/>
              </w:rPr>
            </w:pPr>
          </w:p>
        </w:tc>
        <w:tc>
          <w:tcPr>
            <w:tcW w:w="2322" w:type="dxa"/>
            <w:vMerge w:val="continue"/>
            <w:vAlign w:val="center"/>
          </w:tcPr>
          <w:p>
            <w:pPr>
              <w:pStyle w:val="244"/>
              <w:spacing w:line="300" w:lineRule="exact"/>
              <w:jc w:val="center"/>
              <w:rPr>
                <w:rFonts w:hint="default" w:ascii="Times New Roman" w:hAnsi="Times New Roman" w:cs="Times New Roman"/>
                <w:color w:val="auto"/>
                <w:sz w:val="21"/>
                <w:szCs w:val="21"/>
                <w:highlight w:val="none"/>
                <w:lang w:eastAsia="zh-CN"/>
              </w:rPr>
            </w:pPr>
          </w:p>
        </w:tc>
        <w:tc>
          <w:tcPr>
            <w:tcW w:w="1124" w:type="dxa"/>
            <w:vAlign w:val="center"/>
          </w:tcPr>
          <w:p>
            <w:pPr>
              <w:pStyle w:val="244"/>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50</w:t>
            </w:r>
          </w:p>
        </w:tc>
        <w:tc>
          <w:tcPr>
            <w:tcW w:w="1986" w:type="dxa"/>
            <w:vAlign w:val="center"/>
          </w:tcPr>
          <w:p>
            <w:pPr>
              <w:pStyle w:val="244"/>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3.23</w:t>
            </w:r>
          </w:p>
        </w:tc>
        <w:tc>
          <w:tcPr>
            <w:tcW w:w="1554" w:type="dxa"/>
            <w:vAlign w:val="center"/>
          </w:tcPr>
          <w:p>
            <w:pPr>
              <w:pStyle w:val="244"/>
              <w:spacing w:line="30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0.039</w:t>
            </w:r>
          </w:p>
        </w:tc>
      </w:tr>
    </w:tbl>
    <w:p>
      <w:pPr>
        <w:autoSpaceDE w:val="0"/>
        <w:autoSpaceDN w:val="0"/>
        <w:adjustRightInd w:val="0"/>
        <w:spacing w:line="480" w:lineRule="exact"/>
        <w:ind w:firstLine="480" w:firstLineChars="200"/>
        <w:rPr>
          <w:rFonts w:hint="eastAsia"/>
          <w:color w:val="auto"/>
          <w:sz w:val="24"/>
          <w:highlight w:val="none"/>
          <w:lang w:val="en-US" w:eastAsia="zh-CN"/>
        </w:rPr>
      </w:pPr>
      <w:r>
        <w:rPr>
          <w:rFonts w:hint="eastAsia"/>
          <w:bCs/>
          <w:color w:val="auto"/>
          <w:sz w:val="24"/>
          <w:highlight w:val="none"/>
          <w:lang w:val="en-US" w:eastAsia="zh-CN"/>
        </w:rPr>
        <w:t>调查结论：变电站的工频电场强度监测结果为3.23V/m-88.5V/m，工频磁感应强度监测结果在0.039μT-2.75μT，符合《电磁环境控制限值》（GB8702-2014）中规定的4kV/m、 100μT的标准限值要求。</w:t>
      </w:r>
      <w:r>
        <w:rPr>
          <w:rFonts w:ascii="宋体" w:hAnsi="宋体" w:eastAsia="宋体" w:cs="宋体"/>
          <w:color w:val="auto"/>
          <w:sz w:val="24"/>
          <w:szCs w:val="24"/>
          <w:highlight w:val="none"/>
        </w:rPr>
        <w:t>变电站及线路建设对当地动植物的生存环境影响很微弱，对附近生物群落中的生物量、物种的多样性以及珍稀濒危物种的消失基本没有影响。</w:t>
      </w:r>
    </w:p>
    <w:p>
      <w:pPr>
        <w:autoSpaceDE w:val="0"/>
        <w:autoSpaceDN w:val="0"/>
        <w:adjustRightInd w:val="0"/>
        <w:spacing w:line="480" w:lineRule="exact"/>
        <w:ind w:firstLine="480" w:firstLineChars="200"/>
        <w:rPr>
          <w:rFonts w:hint="eastAsia"/>
          <w:color w:val="auto"/>
          <w:sz w:val="24"/>
          <w:highlight w:val="none"/>
          <w:lang w:val="en-US" w:eastAsia="zh-CN"/>
        </w:rPr>
      </w:pPr>
      <w:r>
        <w:rPr>
          <w:rFonts w:hint="eastAsia"/>
          <w:color w:val="auto"/>
          <w:sz w:val="24"/>
          <w:highlight w:val="none"/>
          <w:lang w:val="en-US" w:eastAsia="zh-CN"/>
        </w:rPr>
        <w:t>本项目升压站</w:t>
      </w:r>
      <w:r>
        <w:rPr>
          <w:rFonts w:hint="eastAsia" w:ascii="Times New Roman" w:hAnsi="Times New Roman" w:eastAsia="宋体" w:cs="Times New Roman"/>
          <w:color w:val="auto"/>
          <w:sz w:val="24"/>
          <w:highlight w:val="none"/>
          <w:lang w:val="zh-CN"/>
        </w:rPr>
        <w:t>由11kV线路接入崔家庄35kv变电站</w:t>
      </w:r>
      <w:r>
        <w:rPr>
          <w:rFonts w:hint="eastAsia" w:cs="Times New Roman"/>
          <w:color w:val="auto"/>
          <w:sz w:val="24"/>
          <w:highlight w:val="none"/>
          <w:lang w:val="zh-CN"/>
        </w:rPr>
        <w:t>，</w:t>
      </w:r>
      <w:r>
        <w:rPr>
          <w:rFonts w:hint="eastAsia" w:ascii="宋体" w:hAnsi="宋体" w:cs="宋体"/>
          <w:color w:val="auto"/>
          <w:sz w:val="24"/>
          <w:szCs w:val="24"/>
          <w:highlight w:val="none"/>
          <w:lang w:eastAsia="zh-CN"/>
        </w:rPr>
        <w:t>因此本项目电磁辐射对环境的影响远远</w:t>
      </w:r>
      <w:r>
        <w:rPr>
          <w:rFonts w:hint="eastAsia" w:cs="Times New Roman"/>
          <w:color w:val="auto"/>
          <w:sz w:val="24"/>
          <w:highlight w:val="none"/>
          <w:lang w:val="zh-CN"/>
        </w:rPr>
        <w:t>小于</w:t>
      </w:r>
      <w:r>
        <w:rPr>
          <w:rFonts w:ascii="宋体" w:hAnsi="宋体" w:eastAsia="宋体" w:cs="宋体"/>
          <w:color w:val="auto"/>
          <w:sz w:val="24"/>
          <w:szCs w:val="24"/>
          <w:highlight w:val="none"/>
        </w:rPr>
        <w:t>庞村（成安东）220 千伏输变电工程</w:t>
      </w:r>
      <w:r>
        <w:rPr>
          <w:rFonts w:hint="eastAsia" w:ascii="宋体" w:hAnsi="宋体" w:cs="宋体"/>
          <w:color w:val="auto"/>
          <w:sz w:val="24"/>
          <w:szCs w:val="24"/>
          <w:highlight w:val="none"/>
          <w:lang w:eastAsia="zh-CN"/>
        </w:rPr>
        <w:t>对环境的影响。</w:t>
      </w:r>
    </w:p>
    <w:p>
      <w:pPr>
        <w:pStyle w:val="21"/>
        <w:rPr>
          <w:rFonts w:hint="eastAsia"/>
          <w:highlight w:val="none"/>
          <w:lang w:val="en-US" w:eastAsia="zh-CN"/>
        </w:rPr>
      </w:pPr>
    </w:p>
    <w:p>
      <w:pPr>
        <w:rPr>
          <w:rFonts w:hint="eastAsia"/>
          <w:sz w:val="24"/>
          <w:highlight w:val="none"/>
          <w:lang w:val="en-US" w:eastAsia="zh-CN"/>
        </w:rPr>
      </w:pPr>
      <w:r>
        <w:rPr>
          <w:rFonts w:hint="eastAsia"/>
          <w:sz w:val="24"/>
          <w:highlight w:val="none"/>
          <w:lang w:val="en-US" w:eastAsia="zh-CN"/>
        </w:rPr>
        <w:br w:type="page"/>
      </w:r>
    </w:p>
    <w:p>
      <w:pPr>
        <w:pStyle w:val="2"/>
        <w:keepNext w:val="0"/>
        <w:keepLines w:val="0"/>
        <w:tabs>
          <w:tab w:val="left" w:pos="425"/>
        </w:tabs>
        <w:adjustRightInd w:val="0"/>
        <w:spacing w:beforeLines="0" w:line="480" w:lineRule="exact"/>
        <w:ind w:left="425" w:hanging="425"/>
        <w:jc w:val="left"/>
        <w:rPr>
          <w:rFonts w:hint="default" w:ascii="Times New Roman" w:hAnsi="Times New Roman"/>
          <w:bCs/>
          <w:sz w:val="28"/>
          <w:szCs w:val="28"/>
          <w:highlight w:val="none"/>
        </w:rPr>
      </w:pPr>
      <w:bookmarkStart w:id="267" w:name="_Toc6138"/>
      <w:r>
        <w:rPr>
          <w:rFonts w:ascii="Times New Roman" w:hAnsi="Times New Roman"/>
          <w:bCs/>
          <w:sz w:val="28"/>
          <w:szCs w:val="28"/>
          <w:highlight w:val="none"/>
        </w:rPr>
        <w:t xml:space="preserve">6 </w:t>
      </w:r>
      <w:r>
        <w:rPr>
          <w:rFonts w:hint="default" w:ascii="Times New Roman" w:hAnsi="Times New Roman"/>
          <w:bCs/>
          <w:sz w:val="28"/>
          <w:szCs w:val="28"/>
          <w:highlight w:val="none"/>
        </w:rPr>
        <w:t>环境</w:t>
      </w:r>
      <w:r>
        <w:rPr>
          <w:rFonts w:ascii="Times New Roman" w:hAnsi="Times New Roman"/>
          <w:bCs/>
          <w:sz w:val="28"/>
          <w:szCs w:val="28"/>
          <w:highlight w:val="none"/>
        </w:rPr>
        <w:t>风险</w:t>
      </w:r>
      <w:r>
        <w:rPr>
          <w:rFonts w:hint="default" w:ascii="Times New Roman" w:hAnsi="Times New Roman"/>
          <w:bCs/>
          <w:sz w:val="28"/>
          <w:szCs w:val="28"/>
          <w:highlight w:val="none"/>
        </w:rPr>
        <w:t>评价</w:t>
      </w:r>
      <w:bookmarkEnd w:id="267"/>
    </w:p>
    <w:p>
      <w:pPr>
        <w:snapToGrid w:val="0"/>
        <w:spacing w:line="480" w:lineRule="exact"/>
        <w:ind w:firstLine="480" w:firstLineChars="200"/>
        <w:rPr>
          <w:color w:val="000000"/>
          <w:sz w:val="24"/>
          <w:highlight w:val="none"/>
        </w:rPr>
      </w:pPr>
      <w:r>
        <w:rPr>
          <w:color w:val="000000"/>
          <w:sz w:val="24"/>
          <w:highlight w:val="none"/>
        </w:rPr>
        <w:t>根据原国家环保部《关于进一步加强环境影响评价管理防范环境风险的通知》（国家环保部环发[2012]77号）及生态环境部发布的《建设项目环境风险评价技术导则》（HJ 169-2018）要求，对于涉及有毒有害和易燃易爆物质的生产、使用、储存（包括使用管线输运）的建设项目进行风险评价。</w:t>
      </w:r>
    </w:p>
    <w:p>
      <w:pPr>
        <w:spacing w:line="480" w:lineRule="exact"/>
        <w:ind w:firstLine="480" w:firstLineChars="200"/>
        <w:rPr>
          <w:color w:val="000000"/>
          <w:sz w:val="24"/>
          <w:highlight w:val="none"/>
        </w:rPr>
      </w:pPr>
      <w:r>
        <w:rPr>
          <w:rFonts w:hint="eastAsia"/>
          <w:color w:val="000000"/>
          <w:sz w:val="24"/>
          <w:highlight w:val="none"/>
        </w:rPr>
        <w:t>环境风险是指突发性事故对环境（或健康）的危害程度。环境风险评价应以突发性事故导致的危险物质环境急性损害防控为目标，对建设项目的环境风险进行分析、预测和评估，提出环境风险预防、控制和减缓措施，明确环境风险监控及应急建议要求，为建设项目环境风险防控提供科学根据。</w:t>
      </w:r>
    </w:p>
    <w:p>
      <w:pPr>
        <w:spacing w:line="480" w:lineRule="exact"/>
        <w:outlineLvl w:val="1"/>
        <w:rPr>
          <w:b/>
          <w:sz w:val="24"/>
          <w:highlight w:val="none"/>
        </w:rPr>
      </w:pPr>
      <w:bookmarkStart w:id="268" w:name="_Toc13448"/>
      <w:r>
        <w:rPr>
          <w:rFonts w:hint="eastAsia"/>
          <w:b/>
          <w:sz w:val="24"/>
          <w:highlight w:val="none"/>
        </w:rPr>
        <w:t>6</w:t>
      </w:r>
      <w:r>
        <w:rPr>
          <w:b/>
          <w:sz w:val="24"/>
          <w:highlight w:val="none"/>
        </w:rPr>
        <w:t>.1风险</w:t>
      </w:r>
      <w:r>
        <w:rPr>
          <w:rFonts w:hint="eastAsia"/>
          <w:b/>
          <w:sz w:val="24"/>
          <w:highlight w:val="none"/>
        </w:rPr>
        <w:t>调查</w:t>
      </w:r>
      <w:bookmarkEnd w:id="268"/>
    </w:p>
    <w:p>
      <w:pPr>
        <w:spacing w:line="480" w:lineRule="exact"/>
        <w:ind w:firstLine="480" w:firstLineChars="200"/>
        <w:rPr>
          <w:color w:val="000000"/>
          <w:sz w:val="24"/>
          <w:highlight w:val="none"/>
        </w:rPr>
      </w:pPr>
      <w:r>
        <w:rPr>
          <w:rFonts w:hint="eastAsia"/>
          <w:color w:val="000000"/>
          <w:sz w:val="24"/>
          <w:highlight w:val="none"/>
        </w:rPr>
        <w:t>风险源调查范围主要为生产装置、贮运系统、公用工程系统、辅助生产设施及环保设施等。根据环境危害事件和事故的特性和产生方式，结合当地环境现状和工程分析成果，运行期环境风险造成危害的途径、后果与严重性分别进行分析，结果见表 6.1-1。</w:t>
      </w:r>
    </w:p>
    <w:p>
      <w:pPr>
        <w:spacing w:line="480" w:lineRule="exact"/>
        <w:jc w:val="center"/>
        <w:rPr>
          <w:b/>
          <w:bCs/>
          <w:color w:val="000000"/>
          <w:sz w:val="24"/>
          <w:highlight w:val="none"/>
        </w:rPr>
      </w:pPr>
      <w:bookmarkStart w:id="269" w:name="_Ref3644301"/>
      <w:r>
        <w:rPr>
          <w:rFonts w:hint="eastAsia"/>
          <w:b/>
          <w:bCs/>
          <w:color w:val="000000"/>
          <w:sz w:val="24"/>
          <w:highlight w:val="none"/>
        </w:rPr>
        <w:t>表6.1-1  装置、设备潜在危险识别</w:t>
      </w:r>
    </w:p>
    <w:bookmarkEnd w:id="269"/>
    <w:tbl>
      <w:tblPr>
        <w:tblStyle w:val="51"/>
        <w:tblW w:w="5073" w:type="pct"/>
        <w:tblInd w:w="0" w:type="dxa"/>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autofit"/>
        <w:tblCellMar>
          <w:top w:w="0" w:type="dxa"/>
          <w:left w:w="0" w:type="dxa"/>
          <w:bottom w:w="0" w:type="dxa"/>
          <w:right w:w="0" w:type="dxa"/>
        </w:tblCellMar>
      </w:tblPr>
      <w:tblGrid>
        <w:gridCol w:w="1296"/>
        <w:gridCol w:w="1747"/>
        <w:gridCol w:w="1724"/>
        <w:gridCol w:w="1789"/>
        <w:gridCol w:w="1858"/>
      </w:tblGrid>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01" w:hRule="atLeast"/>
        </w:trPr>
        <w:tc>
          <w:tcPr>
            <w:tcW w:w="770" w:type="pct"/>
            <w:tcBorders>
              <w:tl2br w:val="nil"/>
              <w:tr2bl w:val="nil"/>
            </w:tcBorders>
            <w:vAlign w:val="center"/>
          </w:tcPr>
          <w:p>
            <w:pPr>
              <w:kinsoku w:val="0"/>
              <w:overflowPunct w:val="0"/>
              <w:autoSpaceDE w:val="0"/>
              <w:autoSpaceDN w:val="0"/>
              <w:adjustRightInd w:val="0"/>
              <w:spacing w:line="300" w:lineRule="exact"/>
              <w:jc w:val="center"/>
              <w:rPr>
                <w:rFonts w:eastAsia="Times New Roman"/>
                <w:kern w:val="0"/>
                <w:szCs w:val="21"/>
                <w:highlight w:val="none"/>
              </w:rPr>
            </w:pPr>
            <w:r>
              <w:rPr>
                <w:rFonts w:hint="eastAsia"/>
                <w:color w:val="000000"/>
                <w:szCs w:val="21"/>
                <w:highlight w:val="none"/>
              </w:rPr>
              <w:t>事故种类</w:t>
            </w:r>
          </w:p>
        </w:tc>
        <w:tc>
          <w:tcPr>
            <w:tcW w:w="1038" w:type="pct"/>
            <w:tcBorders>
              <w:tl2br w:val="nil"/>
              <w:tr2bl w:val="nil"/>
            </w:tcBorders>
            <w:vAlign w:val="center"/>
          </w:tcPr>
          <w:p>
            <w:pPr>
              <w:kinsoku w:val="0"/>
              <w:overflowPunct w:val="0"/>
              <w:autoSpaceDE w:val="0"/>
              <w:autoSpaceDN w:val="0"/>
              <w:adjustRightInd w:val="0"/>
              <w:spacing w:line="300" w:lineRule="exact"/>
              <w:jc w:val="center"/>
              <w:rPr>
                <w:kern w:val="0"/>
                <w:szCs w:val="21"/>
                <w:highlight w:val="none"/>
              </w:rPr>
            </w:pPr>
            <w:r>
              <w:rPr>
                <w:kern w:val="0"/>
                <w:szCs w:val="21"/>
                <w:highlight w:val="none"/>
              </w:rPr>
              <w:t>危险单元</w:t>
            </w:r>
          </w:p>
        </w:tc>
        <w:tc>
          <w:tcPr>
            <w:tcW w:w="1024" w:type="pct"/>
            <w:tcBorders>
              <w:tl2br w:val="nil"/>
              <w:tr2bl w:val="nil"/>
            </w:tcBorders>
            <w:vAlign w:val="center"/>
          </w:tcPr>
          <w:p>
            <w:pPr>
              <w:kinsoku w:val="0"/>
              <w:overflowPunct w:val="0"/>
              <w:autoSpaceDE w:val="0"/>
              <w:autoSpaceDN w:val="0"/>
              <w:adjustRightInd w:val="0"/>
              <w:spacing w:line="300" w:lineRule="exact"/>
              <w:jc w:val="center"/>
              <w:rPr>
                <w:rFonts w:eastAsia="Times New Roman"/>
                <w:kern w:val="0"/>
                <w:szCs w:val="21"/>
                <w:highlight w:val="none"/>
              </w:rPr>
            </w:pPr>
            <w:r>
              <w:rPr>
                <w:kern w:val="0"/>
                <w:szCs w:val="21"/>
                <w:highlight w:val="none"/>
              </w:rPr>
              <w:t>化学品</w:t>
            </w:r>
          </w:p>
        </w:tc>
        <w:tc>
          <w:tcPr>
            <w:tcW w:w="1063" w:type="pct"/>
            <w:tcBorders>
              <w:tl2br w:val="nil"/>
              <w:tr2bl w:val="nil"/>
            </w:tcBorders>
            <w:vAlign w:val="center"/>
          </w:tcPr>
          <w:p>
            <w:pPr>
              <w:kinsoku w:val="0"/>
              <w:overflowPunct w:val="0"/>
              <w:autoSpaceDE w:val="0"/>
              <w:autoSpaceDN w:val="0"/>
              <w:adjustRightInd w:val="0"/>
              <w:spacing w:line="300" w:lineRule="exact"/>
              <w:jc w:val="center"/>
              <w:rPr>
                <w:rFonts w:eastAsia="Times New Roman"/>
                <w:kern w:val="0"/>
                <w:szCs w:val="21"/>
                <w:highlight w:val="none"/>
              </w:rPr>
            </w:pPr>
            <w:r>
              <w:rPr>
                <w:rFonts w:hint="eastAsia"/>
                <w:color w:val="000000"/>
                <w:szCs w:val="21"/>
                <w:highlight w:val="none"/>
              </w:rPr>
              <w:t>产生原因</w:t>
            </w:r>
          </w:p>
        </w:tc>
        <w:tc>
          <w:tcPr>
            <w:tcW w:w="1103" w:type="pct"/>
            <w:tcBorders>
              <w:tl2br w:val="nil"/>
              <w:tr2bl w:val="nil"/>
            </w:tcBorders>
            <w:vAlign w:val="center"/>
          </w:tcPr>
          <w:p>
            <w:pPr>
              <w:kinsoku w:val="0"/>
              <w:overflowPunct w:val="0"/>
              <w:autoSpaceDE w:val="0"/>
              <w:autoSpaceDN w:val="0"/>
              <w:adjustRightInd w:val="0"/>
              <w:spacing w:line="300" w:lineRule="exact"/>
              <w:jc w:val="center"/>
              <w:rPr>
                <w:rFonts w:eastAsia="Times New Roman"/>
                <w:spacing w:val="-2"/>
                <w:kern w:val="0"/>
                <w:szCs w:val="21"/>
                <w:highlight w:val="none"/>
              </w:rPr>
            </w:pPr>
            <w:r>
              <w:rPr>
                <w:rFonts w:hint="eastAsia"/>
                <w:color w:val="000000"/>
                <w:szCs w:val="21"/>
                <w:highlight w:val="none"/>
              </w:rPr>
              <w:t>可能的风险类型</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9" w:hRule="atLeast"/>
        </w:trPr>
        <w:tc>
          <w:tcPr>
            <w:tcW w:w="770" w:type="pct"/>
            <w:tcBorders>
              <w:tl2br w:val="nil"/>
              <w:tr2bl w:val="nil"/>
            </w:tcBorders>
            <w:vAlign w:val="center"/>
          </w:tcPr>
          <w:p>
            <w:pPr>
              <w:kinsoku w:val="0"/>
              <w:overflowPunct w:val="0"/>
              <w:autoSpaceDE w:val="0"/>
              <w:autoSpaceDN w:val="0"/>
              <w:adjustRightInd w:val="0"/>
              <w:spacing w:line="300" w:lineRule="exact"/>
              <w:jc w:val="center"/>
              <w:rPr>
                <w:rFonts w:eastAsia="Times New Roman"/>
                <w:kern w:val="0"/>
                <w:szCs w:val="21"/>
                <w:highlight w:val="none"/>
              </w:rPr>
            </w:pPr>
            <w:r>
              <w:rPr>
                <w:rFonts w:eastAsia="Times New Roman"/>
                <w:kern w:val="0"/>
                <w:szCs w:val="21"/>
                <w:highlight w:val="none"/>
              </w:rPr>
              <w:t>1</w:t>
            </w:r>
          </w:p>
        </w:tc>
        <w:tc>
          <w:tcPr>
            <w:tcW w:w="1038" w:type="pct"/>
            <w:tcBorders>
              <w:tl2br w:val="nil"/>
              <w:tr2bl w:val="nil"/>
            </w:tcBorders>
            <w:vAlign w:val="center"/>
          </w:tcPr>
          <w:p>
            <w:pPr>
              <w:kinsoku w:val="0"/>
              <w:overflowPunct w:val="0"/>
              <w:autoSpaceDE w:val="0"/>
              <w:autoSpaceDN w:val="0"/>
              <w:adjustRightInd w:val="0"/>
              <w:spacing w:line="300" w:lineRule="exact"/>
              <w:jc w:val="center"/>
              <w:rPr>
                <w:kern w:val="0"/>
                <w:szCs w:val="21"/>
                <w:highlight w:val="none"/>
              </w:rPr>
            </w:pPr>
            <w:r>
              <w:rPr>
                <w:rFonts w:hint="eastAsia"/>
                <w:kern w:val="0"/>
                <w:szCs w:val="21"/>
                <w:highlight w:val="none"/>
              </w:rPr>
              <w:t>水电站油系统</w:t>
            </w:r>
          </w:p>
        </w:tc>
        <w:tc>
          <w:tcPr>
            <w:tcW w:w="1024" w:type="pct"/>
            <w:tcBorders>
              <w:tl2br w:val="nil"/>
              <w:tr2bl w:val="nil"/>
            </w:tcBorders>
            <w:vAlign w:val="center"/>
          </w:tcPr>
          <w:p>
            <w:pPr>
              <w:kinsoku w:val="0"/>
              <w:overflowPunct w:val="0"/>
              <w:autoSpaceDE w:val="0"/>
              <w:autoSpaceDN w:val="0"/>
              <w:adjustRightInd w:val="0"/>
              <w:spacing w:line="300" w:lineRule="exact"/>
              <w:jc w:val="center"/>
              <w:rPr>
                <w:rFonts w:eastAsia="Times New Roman"/>
                <w:kern w:val="0"/>
                <w:szCs w:val="21"/>
                <w:highlight w:val="none"/>
              </w:rPr>
            </w:pPr>
            <w:r>
              <w:rPr>
                <w:rFonts w:hint="eastAsia"/>
                <w:kern w:val="0"/>
                <w:szCs w:val="21"/>
                <w:highlight w:val="none"/>
                <w:lang w:eastAsia="zh-CN"/>
              </w:rPr>
              <w:t>润滑</w:t>
            </w:r>
            <w:r>
              <w:rPr>
                <w:kern w:val="0"/>
                <w:szCs w:val="21"/>
                <w:highlight w:val="none"/>
              </w:rPr>
              <w:t>油</w:t>
            </w:r>
          </w:p>
        </w:tc>
        <w:tc>
          <w:tcPr>
            <w:tcW w:w="1063" w:type="pct"/>
            <w:tcBorders>
              <w:tl2br w:val="nil"/>
              <w:tr2bl w:val="nil"/>
            </w:tcBorders>
            <w:vAlign w:val="center"/>
          </w:tcPr>
          <w:p>
            <w:pPr>
              <w:kinsoku w:val="0"/>
              <w:overflowPunct w:val="0"/>
              <w:autoSpaceDE w:val="0"/>
              <w:autoSpaceDN w:val="0"/>
              <w:adjustRightInd w:val="0"/>
              <w:spacing w:line="300" w:lineRule="exact"/>
              <w:jc w:val="center"/>
              <w:rPr>
                <w:rFonts w:eastAsia="Times New Roman"/>
                <w:kern w:val="0"/>
                <w:szCs w:val="21"/>
                <w:highlight w:val="none"/>
              </w:rPr>
            </w:pPr>
            <w:r>
              <w:rPr>
                <w:rFonts w:hint="eastAsia"/>
                <w:color w:val="000000"/>
                <w:szCs w:val="21"/>
                <w:highlight w:val="none"/>
              </w:rPr>
              <w:t>设备造成储泄露</w:t>
            </w:r>
          </w:p>
        </w:tc>
        <w:tc>
          <w:tcPr>
            <w:tcW w:w="1103" w:type="pct"/>
            <w:tcBorders>
              <w:tl2br w:val="nil"/>
              <w:tr2bl w:val="nil"/>
            </w:tcBorders>
            <w:vAlign w:val="center"/>
          </w:tcPr>
          <w:p>
            <w:pPr>
              <w:kinsoku w:val="0"/>
              <w:overflowPunct w:val="0"/>
              <w:autoSpaceDE w:val="0"/>
              <w:autoSpaceDN w:val="0"/>
              <w:adjustRightInd w:val="0"/>
              <w:spacing w:line="300" w:lineRule="exact"/>
              <w:jc w:val="center"/>
              <w:rPr>
                <w:kern w:val="0"/>
                <w:szCs w:val="21"/>
                <w:highlight w:val="none"/>
              </w:rPr>
            </w:pPr>
            <w:r>
              <w:rPr>
                <w:rFonts w:hint="eastAsia"/>
                <w:kern w:val="0"/>
                <w:szCs w:val="21"/>
                <w:highlight w:val="none"/>
              </w:rPr>
              <w:t>污染黎河</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770" w:type="pct"/>
            <w:tcBorders>
              <w:tl2br w:val="nil"/>
              <w:tr2bl w:val="nil"/>
            </w:tcBorders>
            <w:vAlign w:val="center"/>
          </w:tcPr>
          <w:p>
            <w:pPr>
              <w:kinsoku w:val="0"/>
              <w:overflowPunct w:val="0"/>
              <w:autoSpaceDE w:val="0"/>
              <w:autoSpaceDN w:val="0"/>
              <w:adjustRightInd w:val="0"/>
              <w:spacing w:line="300" w:lineRule="exact"/>
              <w:jc w:val="center"/>
              <w:rPr>
                <w:rFonts w:eastAsia="Times New Roman"/>
                <w:kern w:val="0"/>
                <w:szCs w:val="21"/>
                <w:highlight w:val="none"/>
              </w:rPr>
            </w:pPr>
            <w:r>
              <w:rPr>
                <w:rFonts w:eastAsia="Times New Roman"/>
                <w:kern w:val="0"/>
                <w:szCs w:val="21"/>
                <w:highlight w:val="none"/>
              </w:rPr>
              <w:t>2</w:t>
            </w:r>
          </w:p>
        </w:tc>
        <w:tc>
          <w:tcPr>
            <w:tcW w:w="1038" w:type="pct"/>
            <w:tcBorders>
              <w:tl2br w:val="nil"/>
              <w:tr2bl w:val="nil"/>
            </w:tcBorders>
            <w:vAlign w:val="center"/>
          </w:tcPr>
          <w:p>
            <w:pPr>
              <w:kinsoku w:val="0"/>
              <w:overflowPunct w:val="0"/>
              <w:autoSpaceDE w:val="0"/>
              <w:autoSpaceDN w:val="0"/>
              <w:adjustRightInd w:val="0"/>
              <w:spacing w:line="300" w:lineRule="exact"/>
              <w:jc w:val="center"/>
              <w:rPr>
                <w:rFonts w:eastAsia="Times New Roman"/>
                <w:kern w:val="0"/>
                <w:szCs w:val="21"/>
                <w:highlight w:val="none"/>
              </w:rPr>
            </w:pPr>
            <w:r>
              <w:rPr>
                <w:kern w:val="0"/>
                <w:szCs w:val="21"/>
                <w:highlight w:val="none"/>
              </w:rPr>
              <w:t>危废暂存间</w:t>
            </w:r>
          </w:p>
        </w:tc>
        <w:tc>
          <w:tcPr>
            <w:tcW w:w="1024" w:type="pct"/>
            <w:tcBorders>
              <w:tl2br w:val="nil"/>
              <w:tr2bl w:val="nil"/>
            </w:tcBorders>
            <w:vAlign w:val="center"/>
          </w:tcPr>
          <w:p>
            <w:pPr>
              <w:kinsoku w:val="0"/>
              <w:overflowPunct w:val="0"/>
              <w:autoSpaceDE w:val="0"/>
              <w:autoSpaceDN w:val="0"/>
              <w:adjustRightInd w:val="0"/>
              <w:spacing w:line="300" w:lineRule="exact"/>
              <w:jc w:val="center"/>
              <w:rPr>
                <w:rFonts w:eastAsia="Times New Roman"/>
                <w:kern w:val="0"/>
                <w:szCs w:val="21"/>
                <w:highlight w:val="none"/>
              </w:rPr>
            </w:pPr>
            <w:r>
              <w:rPr>
                <w:kern w:val="0"/>
                <w:szCs w:val="21"/>
                <w:highlight w:val="none"/>
              </w:rPr>
              <w:t>废</w:t>
            </w:r>
            <w:r>
              <w:rPr>
                <w:rFonts w:hint="eastAsia"/>
                <w:kern w:val="0"/>
                <w:szCs w:val="21"/>
                <w:highlight w:val="none"/>
                <w:lang w:eastAsia="zh-CN"/>
              </w:rPr>
              <w:t>润滑油</w:t>
            </w:r>
          </w:p>
        </w:tc>
        <w:tc>
          <w:tcPr>
            <w:tcW w:w="1063" w:type="pct"/>
            <w:tcBorders>
              <w:tl2br w:val="nil"/>
              <w:tr2bl w:val="nil"/>
            </w:tcBorders>
            <w:vAlign w:val="center"/>
          </w:tcPr>
          <w:p>
            <w:pPr>
              <w:kinsoku w:val="0"/>
              <w:overflowPunct w:val="0"/>
              <w:autoSpaceDE w:val="0"/>
              <w:autoSpaceDN w:val="0"/>
              <w:adjustRightInd w:val="0"/>
              <w:spacing w:line="300" w:lineRule="exact"/>
              <w:jc w:val="center"/>
              <w:rPr>
                <w:kern w:val="0"/>
                <w:szCs w:val="21"/>
                <w:highlight w:val="none"/>
              </w:rPr>
            </w:pPr>
            <w:r>
              <w:rPr>
                <w:rFonts w:hint="eastAsia"/>
                <w:kern w:val="0"/>
                <w:szCs w:val="21"/>
                <w:highlight w:val="none"/>
              </w:rPr>
              <w:t>防渗渗漏</w:t>
            </w:r>
          </w:p>
        </w:tc>
        <w:tc>
          <w:tcPr>
            <w:tcW w:w="1103" w:type="pct"/>
            <w:tcBorders>
              <w:tl2br w:val="nil"/>
              <w:tr2bl w:val="nil"/>
            </w:tcBorders>
            <w:vAlign w:val="center"/>
          </w:tcPr>
          <w:p>
            <w:pPr>
              <w:kinsoku w:val="0"/>
              <w:overflowPunct w:val="0"/>
              <w:autoSpaceDE w:val="0"/>
              <w:autoSpaceDN w:val="0"/>
              <w:adjustRightInd w:val="0"/>
              <w:spacing w:line="300" w:lineRule="exact"/>
              <w:jc w:val="center"/>
              <w:rPr>
                <w:kern w:val="0"/>
                <w:szCs w:val="21"/>
                <w:highlight w:val="none"/>
              </w:rPr>
            </w:pPr>
            <w:r>
              <w:rPr>
                <w:rFonts w:hint="eastAsia"/>
                <w:kern w:val="0"/>
                <w:szCs w:val="21"/>
                <w:highlight w:val="none"/>
              </w:rPr>
              <w:t>污染土壤、地下水</w:t>
            </w:r>
          </w:p>
        </w:tc>
      </w:tr>
    </w:tbl>
    <w:p>
      <w:pPr>
        <w:spacing w:line="480" w:lineRule="exact"/>
        <w:outlineLvl w:val="1"/>
        <w:rPr>
          <w:b/>
          <w:sz w:val="24"/>
          <w:highlight w:val="none"/>
        </w:rPr>
      </w:pPr>
      <w:bookmarkStart w:id="270" w:name="_Toc40196712"/>
      <w:bookmarkStart w:id="271" w:name="_Toc46734084"/>
      <w:bookmarkStart w:id="272" w:name="_Toc14157"/>
      <w:r>
        <w:rPr>
          <w:rFonts w:hint="eastAsia"/>
          <w:b/>
          <w:sz w:val="24"/>
          <w:highlight w:val="none"/>
        </w:rPr>
        <w:t>6</w:t>
      </w:r>
      <w:r>
        <w:rPr>
          <w:b/>
          <w:sz w:val="24"/>
          <w:highlight w:val="none"/>
        </w:rPr>
        <w:t>.</w:t>
      </w:r>
      <w:r>
        <w:rPr>
          <w:rFonts w:hint="eastAsia"/>
          <w:b/>
          <w:sz w:val="24"/>
          <w:highlight w:val="none"/>
        </w:rPr>
        <w:t xml:space="preserve">2 </w:t>
      </w:r>
      <w:r>
        <w:rPr>
          <w:b/>
          <w:sz w:val="24"/>
          <w:highlight w:val="none"/>
        </w:rPr>
        <w:t>风险</w:t>
      </w:r>
      <w:bookmarkEnd w:id="270"/>
      <w:bookmarkEnd w:id="271"/>
      <w:r>
        <w:rPr>
          <w:rFonts w:hint="eastAsia"/>
          <w:b/>
          <w:sz w:val="24"/>
          <w:highlight w:val="none"/>
        </w:rPr>
        <w:t>识别</w:t>
      </w:r>
      <w:bookmarkEnd w:id="272"/>
    </w:p>
    <w:p>
      <w:pPr>
        <w:pStyle w:val="137"/>
        <w:spacing w:line="480" w:lineRule="exact"/>
        <w:ind w:firstLine="480" w:firstLineChars="200"/>
        <w:rPr>
          <w:rFonts w:ascii="Times New Roman" w:cs="Times New Roman"/>
          <w:color w:val="auto"/>
          <w:highlight w:val="none"/>
        </w:rPr>
      </w:pPr>
      <w:r>
        <w:rPr>
          <w:rFonts w:hint="eastAsia" w:ascii="Times New Roman" w:cs="Times New Roman"/>
          <w:color w:val="auto"/>
          <w:highlight w:val="none"/>
        </w:rPr>
        <w:t>本工程为水电站发电项目，项目不涉及有毒、有害及危险化学品，仅存有发电机使用的</w:t>
      </w:r>
      <w:r>
        <w:rPr>
          <w:rFonts w:hint="eastAsia" w:ascii="Times New Roman" w:cs="Times New Roman"/>
          <w:color w:val="auto"/>
          <w:highlight w:val="none"/>
          <w:lang w:eastAsia="zh-CN"/>
        </w:rPr>
        <w:t>润滑油</w:t>
      </w:r>
      <w:r>
        <w:rPr>
          <w:rFonts w:hint="eastAsia" w:ascii="Times New Roman" w:cs="Times New Roman"/>
          <w:color w:val="auto"/>
          <w:highlight w:val="none"/>
        </w:rPr>
        <w:t>，废</w:t>
      </w:r>
      <w:r>
        <w:rPr>
          <w:rFonts w:hint="eastAsia" w:ascii="Times New Roman" w:cs="Times New Roman"/>
          <w:color w:val="auto"/>
          <w:highlight w:val="none"/>
          <w:lang w:eastAsia="zh-CN"/>
        </w:rPr>
        <w:t>润滑</w:t>
      </w:r>
      <w:r>
        <w:rPr>
          <w:rFonts w:hint="eastAsia" w:ascii="Times New Roman" w:cs="Times New Roman"/>
          <w:color w:val="auto"/>
          <w:highlight w:val="none"/>
        </w:rPr>
        <w:t>油。</w:t>
      </w:r>
    </w:p>
    <w:p>
      <w:pPr>
        <w:spacing w:line="480" w:lineRule="exact"/>
        <w:outlineLvl w:val="1"/>
        <w:rPr>
          <w:b/>
          <w:sz w:val="24"/>
          <w:highlight w:val="none"/>
        </w:rPr>
      </w:pPr>
      <w:bookmarkStart w:id="273" w:name="_Toc25315"/>
      <w:r>
        <w:rPr>
          <w:rFonts w:hint="eastAsia"/>
          <w:b/>
          <w:sz w:val="24"/>
          <w:highlight w:val="none"/>
        </w:rPr>
        <w:t>6</w:t>
      </w:r>
      <w:r>
        <w:rPr>
          <w:b/>
          <w:sz w:val="24"/>
          <w:highlight w:val="none"/>
        </w:rPr>
        <w:t>.</w:t>
      </w:r>
      <w:r>
        <w:rPr>
          <w:rFonts w:hint="eastAsia"/>
          <w:b/>
          <w:sz w:val="24"/>
          <w:highlight w:val="none"/>
        </w:rPr>
        <w:t>3危险物质识别及风险评价级别</w:t>
      </w:r>
      <w:bookmarkEnd w:id="273"/>
    </w:p>
    <w:p>
      <w:pPr>
        <w:pStyle w:val="137"/>
        <w:spacing w:line="480" w:lineRule="exact"/>
        <w:ind w:firstLine="480" w:firstLineChars="200"/>
        <w:rPr>
          <w:rFonts w:ascii="Times New Roman" w:cs="Times New Roman"/>
          <w:highlight w:val="none"/>
        </w:rPr>
      </w:pPr>
      <w:r>
        <w:rPr>
          <w:rFonts w:hint="eastAsia" w:ascii="Times New Roman" w:cs="Times New Roman"/>
          <w:highlight w:val="none"/>
        </w:rPr>
        <w:t>根据《物质危险性标准》、《重大危险源辨别》(GBl8218-2000)、《建设项目环境风险评价技术导则》（HJ169-2018）附录 B“重点关注的危险物质临界量”可知，本工程涉及到的危险物质主要是</w:t>
      </w:r>
      <w:r>
        <w:rPr>
          <w:rFonts w:ascii="Times New Roman" w:cs="Times New Roman"/>
          <w:highlight w:val="none"/>
        </w:rPr>
        <w:t>汽轮机油、绝缘油，均属于易燃品，有可能发生火灾、泄露等风险，根据调查，水轮机油在厂区内</w:t>
      </w:r>
      <w:r>
        <w:rPr>
          <w:rFonts w:hint="eastAsia" w:ascii="Times New Roman" w:cs="Times New Roman"/>
          <w:highlight w:val="none"/>
        </w:rPr>
        <w:t>不</w:t>
      </w:r>
      <w:r>
        <w:rPr>
          <w:rFonts w:ascii="Times New Roman" w:cs="Times New Roman"/>
          <w:highlight w:val="none"/>
        </w:rPr>
        <w:t>储</w:t>
      </w:r>
      <w:r>
        <w:rPr>
          <w:rFonts w:hint="eastAsia" w:ascii="Times New Roman" w:cs="Times New Roman"/>
          <w:highlight w:val="none"/>
        </w:rPr>
        <w:t>存</w:t>
      </w:r>
      <w:r>
        <w:rPr>
          <w:rFonts w:ascii="Times New Roman" w:cs="Times New Roman"/>
          <w:highlight w:val="none"/>
        </w:rPr>
        <w:t>。废机油和废</w:t>
      </w:r>
      <w:r>
        <w:rPr>
          <w:rFonts w:hint="eastAsia" w:ascii="Times New Roman" w:cs="Times New Roman"/>
          <w:highlight w:val="none"/>
        </w:rPr>
        <w:t>机油</w:t>
      </w:r>
      <w:r>
        <w:rPr>
          <w:rFonts w:ascii="Times New Roman" w:cs="Times New Roman"/>
          <w:highlight w:val="none"/>
        </w:rPr>
        <w:t>储存位置为危废间。</w:t>
      </w:r>
    </w:p>
    <w:p>
      <w:pPr>
        <w:pStyle w:val="137"/>
        <w:spacing w:line="480" w:lineRule="exact"/>
        <w:ind w:firstLine="480" w:firstLineChars="200"/>
        <w:rPr>
          <w:rFonts w:hint="eastAsia" w:eastAsia="宋体"/>
          <w:spacing w:val="-4"/>
          <w:highlight w:val="none"/>
          <w:lang w:eastAsia="zh-CN"/>
        </w:rPr>
      </w:pPr>
      <w:r>
        <w:rPr>
          <w:rFonts w:ascii="Times New Roman" w:cs="Times New Roman"/>
          <w:highlight w:val="none"/>
        </w:rPr>
        <w:t>根据本次评价第二章第5节“环境风险评价工作级别”，本次环境风险评价级别</w:t>
      </w:r>
      <w:r>
        <w:rPr>
          <w:highlight w:val="none"/>
        </w:rPr>
        <w:t>为</w:t>
      </w:r>
      <w:r>
        <w:rPr>
          <w:rFonts w:hint="eastAsia" w:hAnsi="宋体"/>
          <w:highlight w:val="none"/>
        </w:rPr>
        <w:t>Ⅰ</w:t>
      </w:r>
      <w:r>
        <w:rPr>
          <w:spacing w:val="-4"/>
          <w:highlight w:val="none"/>
        </w:rPr>
        <w:t>级</w:t>
      </w:r>
      <w:r>
        <w:rPr>
          <w:highlight w:val="none"/>
        </w:rPr>
        <w:t>，</w:t>
      </w:r>
      <w:r>
        <w:rPr>
          <w:spacing w:val="-4"/>
          <w:highlight w:val="none"/>
        </w:rPr>
        <w:t>进行简单分析</w:t>
      </w:r>
      <w:r>
        <w:rPr>
          <w:rFonts w:hint="eastAsia"/>
          <w:spacing w:val="-4"/>
          <w:highlight w:val="none"/>
          <w:lang w:eastAsia="zh-CN"/>
        </w:rPr>
        <w:t>。</w:t>
      </w:r>
    </w:p>
    <w:p>
      <w:pPr>
        <w:spacing w:line="480" w:lineRule="exact"/>
        <w:outlineLvl w:val="1"/>
        <w:rPr>
          <w:b/>
          <w:sz w:val="24"/>
          <w:highlight w:val="none"/>
        </w:rPr>
      </w:pPr>
      <w:bookmarkStart w:id="274" w:name="_Toc19675"/>
      <w:r>
        <w:rPr>
          <w:rFonts w:hint="eastAsia"/>
          <w:b/>
          <w:sz w:val="24"/>
          <w:highlight w:val="none"/>
        </w:rPr>
        <w:t>6.4环境敏感目标调查</w:t>
      </w:r>
      <w:bookmarkEnd w:id="274"/>
    </w:p>
    <w:p>
      <w:pPr>
        <w:pStyle w:val="137"/>
        <w:spacing w:line="480" w:lineRule="exact"/>
        <w:ind w:firstLine="480" w:firstLineChars="200"/>
        <w:rPr>
          <w:rFonts w:ascii="Times New Roman" w:cs="Times New Roman"/>
          <w:highlight w:val="none"/>
        </w:rPr>
      </w:pPr>
      <w:r>
        <w:rPr>
          <w:rFonts w:hint="eastAsia" w:ascii="Times New Roman" w:cs="Times New Roman"/>
          <w:highlight w:val="none"/>
        </w:rPr>
        <w:t>环境风险保护目标分别见表6.4-1。</w:t>
      </w:r>
    </w:p>
    <w:p>
      <w:pPr>
        <w:pStyle w:val="137"/>
        <w:spacing w:line="480" w:lineRule="exact"/>
        <w:jc w:val="center"/>
        <w:rPr>
          <w:rFonts w:ascii="Times New Roman" w:cs="Times New Roman"/>
          <w:b/>
          <w:highlight w:val="none"/>
        </w:rPr>
      </w:pPr>
      <w:r>
        <w:rPr>
          <w:rFonts w:hint="eastAsia" w:ascii="Times New Roman" w:cs="Times New Roman"/>
          <w:b/>
          <w:highlight w:val="none"/>
        </w:rPr>
        <w:t xml:space="preserve">表6.4-1 环境风险保护目标 </w:t>
      </w:r>
    </w:p>
    <w:tbl>
      <w:tblPr>
        <w:tblStyle w:val="52"/>
        <w:tblW w:w="83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8"/>
        <w:gridCol w:w="1080"/>
        <w:gridCol w:w="825"/>
        <w:gridCol w:w="1815"/>
        <w:gridCol w:w="39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8" w:type="dxa"/>
            <w:vAlign w:val="center"/>
          </w:tcPr>
          <w:p>
            <w:pPr>
              <w:spacing w:line="300" w:lineRule="exact"/>
              <w:jc w:val="center"/>
              <w:rPr>
                <w:snapToGrid w:val="0"/>
                <w:kern w:val="0"/>
                <w:szCs w:val="21"/>
                <w:highlight w:val="none"/>
              </w:rPr>
            </w:pPr>
            <w:r>
              <w:rPr>
                <w:rFonts w:hint="eastAsia"/>
                <w:snapToGrid w:val="0"/>
                <w:kern w:val="0"/>
                <w:szCs w:val="21"/>
                <w:highlight w:val="none"/>
              </w:rPr>
              <w:t>序号</w:t>
            </w:r>
          </w:p>
        </w:tc>
        <w:tc>
          <w:tcPr>
            <w:tcW w:w="1080" w:type="dxa"/>
            <w:vAlign w:val="center"/>
          </w:tcPr>
          <w:p>
            <w:pPr>
              <w:spacing w:line="300" w:lineRule="exact"/>
              <w:rPr>
                <w:snapToGrid w:val="0"/>
                <w:kern w:val="0"/>
                <w:szCs w:val="21"/>
                <w:highlight w:val="none"/>
              </w:rPr>
            </w:pPr>
            <w:r>
              <w:rPr>
                <w:rFonts w:hint="eastAsia"/>
                <w:snapToGrid w:val="0"/>
                <w:kern w:val="0"/>
                <w:szCs w:val="21"/>
                <w:highlight w:val="none"/>
              </w:rPr>
              <w:t>敏感目标</w:t>
            </w:r>
          </w:p>
        </w:tc>
        <w:tc>
          <w:tcPr>
            <w:tcW w:w="825" w:type="dxa"/>
            <w:vAlign w:val="center"/>
          </w:tcPr>
          <w:p>
            <w:pPr>
              <w:spacing w:line="300" w:lineRule="exact"/>
              <w:jc w:val="center"/>
              <w:rPr>
                <w:snapToGrid w:val="0"/>
                <w:kern w:val="0"/>
                <w:szCs w:val="21"/>
                <w:highlight w:val="none"/>
              </w:rPr>
            </w:pPr>
            <w:r>
              <w:rPr>
                <w:rFonts w:hint="eastAsia"/>
                <w:snapToGrid w:val="0"/>
                <w:kern w:val="0"/>
                <w:szCs w:val="21"/>
                <w:highlight w:val="none"/>
              </w:rPr>
              <w:t>性质</w:t>
            </w:r>
          </w:p>
        </w:tc>
        <w:tc>
          <w:tcPr>
            <w:tcW w:w="1815" w:type="dxa"/>
            <w:vAlign w:val="center"/>
          </w:tcPr>
          <w:p>
            <w:pPr>
              <w:spacing w:line="300" w:lineRule="exact"/>
              <w:jc w:val="center"/>
              <w:rPr>
                <w:snapToGrid w:val="0"/>
                <w:kern w:val="0"/>
                <w:szCs w:val="21"/>
                <w:highlight w:val="none"/>
              </w:rPr>
            </w:pPr>
            <w:r>
              <w:rPr>
                <w:rFonts w:hint="eastAsia"/>
                <w:snapToGrid w:val="0"/>
                <w:kern w:val="0"/>
                <w:szCs w:val="21"/>
                <w:highlight w:val="none"/>
              </w:rPr>
              <w:t>评价范围内规模</w:t>
            </w:r>
          </w:p>
        </w:tc>
        <w:tc>
          <w:tcPr>
            <w:tcW w:w="3912" w:type="dxa"/>
            <w:vAlign w:val="center"/>
          </w:tcPr>
          <w:p>
            <w:pPr>
              <w:spacing w:line="300" w:lineRule="exact"/>
              <w:jc w:val="center"/>
              <w:rPr>
                <w:snapToGrid w:val="0"/>
                <w:kern w:val="0"/>
                <w:szCs w:val="21"/>
                <w:highlight w:val="none"/>
              </w:rPr>
            </w:pPr>
            <w:r>
              <w:rPr>
                <w:rFonts w:hint="eastAsia"/>
                <w:snapToGrid w:val="0"/>
                <w:kern w:val="0"/>
                <w:szCs w:val="21"/>
                <w:highlight w:val="none"/>
              </w:rPr>
              <w:t>保护等级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8" w:type="dxa"/>
            <w:vAlign w:val="center"/>
          </w:tcPr>
          <w:p>
            <w:pPr>
              <w:spacing w:line="300" w:lineRule="exact"/>
              <w:jc w:val="center"/>
              <w:rPr>
                <w:snapToGrid w:val="0"/>
                <w:kern w:val="0"/>
                <w:szCs w:val="21"/>
                <w:highlight w:val="none"/>
              </w:rPr>
            </w:pPr>
            <w:r>
              <w:rPr>
                <w:rFonts w:hint="eastAsia"/>
                <w:snapToGrid w:val="0"/>
                <w:kern w:val="0"/>
                <w:szCs w:val="21"/>
                <w:highlight w:val="none"/>
              </w:rPr>
              <w:t>1</w:t>
            </w:r>
          </w:p>
        </w:tc>
        <w:tc>
          <w:tcPr>
            <w:tcW w:w="1080" w:type="dxa"/>
            <w:vAlign w:val="center"/>
          </w:tcPr>
          <w:p>
            <w:pPr>
              <w:spacing w:line="300" w:lineRule="exact"/>
              <w:rPr>
                <w:snapToGrid w:val="0"/>
                <w:kern w:val="0"/>
                <w:szCs w:val="21"/>
                <w:highlight w:val="none"/>
              </w:rPr>
            </w:pPr>
            <w:r>
              <w:rPr>
                <w:rFonts w:hint="eastAsia"/>
                <w:snapToGrid w:val="0"/>
                <w:kern w:val="0"/>
                <w:szCs w:val="21"/>
                <w:highlight w:val="none"/>
              </w:rPr>
              <w:t>黎河引水</w:t>
            </w:r>
          </w:p>
        </w:tc>
        <w:tc>
          <w:tcPr>
            <w:tcW w:w="825" w:type="dxa"/>
            <w:vAlign w:val="center"/>
          </w:tcPr>
          <w:p>
            <w:pPr>
              <w:spacing w:line="300" w:lineRule="exact"/>
              <w:jc w:val="center"/>
              <w:rPr>
                <w:snapToGrid w:val="0"/>
                <w:kern w:val="0"/>
                <w:szCs w:val="21"/>
                <w:highlight w:val="none"/>
              </w:rPr>
            </w:pPr>
            <w:r>
              <w:rPr>
                <w:rFonts w:hint="eastAsia"/>
                <w:snapToGrid w:val="0"/>
                <w:kern w:val="0"/>
                <w:szCs w:val="21"/>
                <w:highlight w:val="none"/>
              </w:rPr>
              <w:t>引水水质</w:t>
            </w:r>
          </w:p>
        </w:tc>
        <w:tc>
          <w:tcPr>
            <w:tcW w:w="1815" w:type="dxa"/>
            <w:vAlign w:val="center"/>
          </w:tcPr>
          <w:p>
            <w:pPr>
              <w:spacing w:line="300" w:lineRule="exact"/>
              <w:jc w:val="center"/>
              <w:rPr>
                <w:snapToGrid w:val="0"/>
                <w:kern w:val="0"/>
                <w:szCs w:val="21"/>
                <w:highlight w:val="none"/>
              </w:rPr>
            </w:pPr>
            <w:r>
              <w:rPr>
                <w:szCs w:val="21"/>
                <w:highlight w:val="none"/>
              </w:rPr>
              <w:t>尾水渠下游</w:t>
            </w:r>
            <w:r>
              <w:rPr>
                <w:rFonts w:hint="eastAsia"/>
                <w:szCs w:val="21"/>
                <w:highlight w:val="none"/>
              </w:rPr>
              <w:t>900</w:t>
            </w:r>
            <w:r>
              <w:rPr>
                <w:szCs w:val="21"/>
                <w:highlight w:val="none"/>
              </w:rPr>
              <w:t>m</w:t>
            </w:r>
          </w:p>
        </w:tc>
        <w:tc>
          <w:tcPr>
            <w:tcW w:w="3912" w:type="dxa"/>
            <w:vAlign w:val="center"/>
          </w:tcPr>
          <w:p>
            <w:pPr>
              <w:spacing w:line="300" w:lineRule="exact"/>
              <w:jc w:val="left"/>
              <w:rPr>
                <w:snapToGrid w:val="0"/>
                <w:kern w:val="0"/>
                <w:szCs w:val="21"/>
                <w:highlight w:val="none"/>
              </w:rPr>
            </w:pPr>
            <w:r>
              <w:rPr>
                <w:snapToGrid w:val="0"/>
                <w:kern w:val="0"/>
                <w:szCs w:val="21"/>
                <w:highlight w:val="none"/>
              </w:rPr>
              <w:t>《地表水环境质量》（GB</w:t>
            </w:r>
            <w:r>
              <w:rPr>
                <w:rFonts w:hint="eastAsia"/>
                <w:snapToGrid w:val="0"/>
                <w:kern w:val="0"/>
                <w:szCs w:val="21"/>
                <w:highlight w:val="none"/>
              </w:rPr>
              <w:t xml:space="preserve"> </w:t>
            </w:r>
            <w:r>
              <w:rPr>
                <w:snapToGrid w:val="0"/>
                <w:kern w:val="0"/>
                <w:szCs w:val="21"/>
                <w:highlight w:val="none"/>
              </w:rPr>
              <w:t>3838</w:t>
            </w:r>
            <w:r>
              <w:rPr>
                <w:rFonts w:hint="eastAsia"/>
                <w:snapToGrid w:val="0"/>
                <w:kern w:val="0"/>
                <w:szCs w:val="21"/>
                <w:highlight w:val="none"/>
              </w:rPr>
              <w:t xml:space="preserve"> </w:t>
            </w:r>
            <w:r>
              <w:rPr>
                <w:snapToGrid w:val="0"/>
                <w:kern w:val="0"/>
                <w:szCs w:val="21"/>
                <w:highlight w:val="none"/>
              </w:rPr>
              <w:t>-2002）</w:t>
            </w:r>
            <w:r>
              <w:rPr>
                <w:rFonts w:hint="eastAsia"/>
                <w:snapToGrid w:val="0"/>
                <w:kern w:val="0"/>
                <w:szCs w:val="21"/>
                <w:highlight w:val="none"/>
              </w:rPr>
              <w:t>III</w:t>
            </w:r>
            <w:r>
              <w:rPr>
                <w:snapToGrid w:val="0"/>
                <w:kern w:val="0"/>
                <w:szCs w:val="21"/>
                <w:highlight w:val="none"/>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8" w:type="dxa"/>
            <w:vAlign w:val="center"/>
          </w:tcPr>
          <w:p>
            <w:pPr>
              <w:spacing w:line="300" w:lineRule="exact"/>
              <w:jc w:val="center"/>
              <w:rPr>
                <w:snapToGrid w:val="0"/>
                <w:kern w:val="0"/>
                <w:szCs w:val="21"/>
                <w:highlight w:val="none"/>
              </w:rPr>
            </w:pPr>
            <w:r>
              <w:rPr>
                <w:rFonts w:hint="eastAsia"/>
                <w:snapToGrid w:val="0"/>
                <w:kern w:val="0"/>
                <w:szCs w:val="21"/>
                <w:highlight w:val="none"/>
              </w:rPr>
              <w:t>2</w:t>
            </w:r>
          </w:p>
        </w:tc>
        <w:tc>
          <w:tcPr>
            <w:tcW w:w="1080" w:type="dxa"/>
            <w:vAlign w:val="center"/>
          </w:tcPr>
          <w:p>
            <w:pPr>
              <w:spacing w:line="300" w:lineRule="exact"/>
              <w:rPr>
                <w:snapToGrid w:val="0"/>
                <w:kern w:val="0"/>
                <w:szCs w:val="21"/>
                <w:highlight w:val="none"/>
              </w:rPr>
            </w:pPr>
            <w:r>
              <w:rPr>
                <w:rFonts w:hint="eastAsia"/>
                <w:snapToGrid w:val="0"/>
                <w:kern w:val="0"/>
                <w:szCs w:val="21"/>
                <w:highlight w:val="none"/>
              </w:rPr>
              <w:t>地下水</w:t>
            </w:r>
          </w:p>
        </w:tc>
        <w:tc>
          <w:tcPr>
            <w:tcW w:w="825" w:type="dxa"/>
            <w:vAlign w:val="center"/>
          </w:tcPr>
          <w:p>
            <w:pPr>
              <w:spacing w:line="300" w:lineRule="exact"/>
              <w:jc w:val="center"/>
              <w:rPr>
                <w:snapToGrid w:val="0"/>
                <w:kern w:val="0"/>
                <w:szCs w:val="21"/>
                <w:highlight w:val="none"/>
              </w:rPr>
            </w:pPr>
            <w:r>
              <w:rPr>
                <w:rFonts w:hint="eastAsia"/>
                <w:snapToGrid w:val="0"/>
                <w:kern w:val="0"/>
                <w:szCs w:val="21"/>
                <w:highlight w:val="none"/>
              </w:rPr>
              <w:t>地下水</w:t>
            </w:r>
          </w:p>
        </w:tc>
        <w:tc>
          <w:tcPr>
            <w:tcW w:w="1815" w:type="dxa"/>
            <w:vAlign w:val="center"/>
          </w:tcPr>
          <w:p>
            <w:pPr>
              <w:spacing w:line="300" w:lineRule="exact"/>
              <w:jc w:val="center"/>
              <w:rPr>
                <w:color w:val="FF0000"/>
                <w:szCs w:val="21"/>
                <w:highlight w:val="none"/>
              </w:rPr>
            </w:pPr>
            <w:r>
              <w:rPr>
                <w:rFonts w:hint="eastAsia"/>
                <w:snapToGrid w:val="0"/>
                <w:color w:val="auto"/>
                <w:kern w:val="0"/>
                <w:szCs w:val="21"/>
                <w:highlight w:val="none"/>
              </w:rPr>
              <w:t>橡胶坝上游</w:t>
            </w:r>
            <w:r>
              <w:rPr>
                <w:rFonts w:hint="eastAsia"/>
                <w:snapToGrid w:val="0"/>
                <w:color w:val="auto"/>
                <w:kern w:val="0"/>
                <w:szCs w:val="21"/>
                <w:highlight w:val="none"/>
                <w:lang w:val="en-US" w:eastAsia="zh-CN"/>
              </w:rPr>
              <w:t>50</w:t>
            </w:r>
            <w:r>
              <w:rPr>
                <w:rFonts w:hint="eastAsia"/>
                <w:snapToGrid w:val="0"/>
                <w:color w:val="auto"/>
                <w:kern w:val="0"/>
                <w:szCs w:val="21"/>
                <w:highlight w:val="none"/>
              </w:rPr>
              <w:t>0m至电站尾水排放点，</w:t>
            </w:r>
            <w:r>
              <w:rPr>
                <w:rFonts w:hint="eastAsia"/>
                <w:color w:val="auto"/>
                <w:szCs w:val="21"/>
                <w:highlight w:val="none"/>
              </w:rPr>
              <w:t>长约2600m。</w:t>
            </w:r>
          </w:p>
        </w:tc>
        <w:tc>
          <w:tcPr>
            <w:tcW w:w="3912" w:type="dxa"/>
            <w:vAlign w:val="center"/>
          </w:tcPr>
          <w:p>
            <w:pPr>
              <w:pStyle w:val="402"/>
              <w:spacing w:line="320" w:lineRule="exact"/>
              <w:rPr>
                <w:snapToGrid w:val="0"/>
                <w:sz w:val="21"/>
                <w:szCs w:val="21"/>
                <w:highlight w:val="none"/>
              </w:rPr>
            </w:pPr>
            <w:r>
              <w:rPr>
                <w:rFonts w:ascii="Times New Roman" w:hAnsi="Times New Roman"/>
                <w:color w:val="000000"/>
                <w:kern w:val="24"/>
                <w:sz w:val="21"/>
                <w:szCs w:val="21"/>
                <w:highlight w:val="none"/>
              </w:rPr>
              <w:t>《地下水质量标准》（GB/T</w:t>
            </w:r>
            <w:r>
              <w:rPr>
                <w:rFonts w:hint="eastAsia" w:ascii="Times New Roman" w:hAnsi="Times New Roman"/>
                <w:color w:val="000000"/>
                <w:kern w:val="24"/>
                <w:sz w:val="21"/>
                <w:szCs w:val="21"/>
                <w:highlight w:val="none"/>
              </w:rPr>
              <w:t xml:space="preserve"> </w:t>
            </w:r>
            <w:r>
              <w:rPr>
                <w:rFonts w:ascii="Times New Roman" w:hAnsi="Times New Roman"/>
                <w:color w:val="000000"/>
                <w:kern w:val="24"/>
                <w:sz w:val="21"/>
                <w:szCs w:val="21"/>
                <w:highlight w:val="none"/>
              </w:rPr>
              <w:t>14848</w:t>
            </w:r>
            <w:r>
              <w:rPr>
                <w:rFonts w:hint="eastAsia" w:ascii="Times New Roman" w:hAnsi="Times New Roman"/>
                <w:color w:val="000000"/>
                <w:kern w:val="24"/>
                <w:sz w:val="21"/>
                <w:szCs w:val="21"/>
                <w:highlight w:val="none"/>
              </w:rPr>
              <w:t xml:space="preserve"> </w:t>
            </w:r>
            <w:r>
              <w:rPr>
                <w:rFonts w:ascii="Times New Roman" w:hAnsi="Times New Roman"/>
                <w:color w:val="000000"/>
                <w:kern w:val="24"/>
                <w:sz w:val="21"/>
                <w:szCs w:val="21"/>
                <w:highlight w:val="none"/>
              </w:rPr>
              <w:t>-2017）III类标准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8" w:type="dxa"/>
            <w:vAlign w:val="center"/>
          </w:tcPr>
          <w:p>
            <w:pPr>
              <w:spacing w:line="300" w:lineRule="exact"/>
              <w:jc w:val="center"/>
              <w:rPr>
                <w:snapToGrid w:val="0"/>
                <w:kern w:val="0"/>
                <w:szCs w:val="21"/>
                <w:highlight w:val="none"/>
              </w:rPr>
            </w:pPr>
            <w:r>
              <w:rPr>
                <w:rFonts w:hint="eastAsia"/>
                <w:snapToGrid w:val="0"/>
                <w:kern w:val="0"/>
                <w:szCs w:val="21"/>
                <w:highlight w:val="none"/>
              </w:rPr>
              <w:t>3</w:t>
            </w:r>
          </w:p>
        </w:tc>
        <w:tc>
          <w:tcPr>
            <w:tcW w:w="1080" w:type="dxa"/>
            <w:vAlign w:val="center"/>
          </w:tcPr>
          <w:p>
            <w:pPr>
              <w:spacing w:line="300" w:lineRule="exact"/>
              <w:rPr>
                <w:snapToGrid w:val="0"/>
                <w:kern w:val="0"/>
                <w:szCs w:val="21"/>
                <w:highlight w:val="none"/>
              </w:rPr>
            </w:pPr>
            <w:r>
              <w:rPr>
                <w:rFonts w:hint="eastAsia"/>
                <w:snapToGrid w:val="0"/>
                <w:kern w:val="0"/>
                <w:szCs w:val="21"/>
                <w:highlight w:val="none"/>
              </w:rPr>
              <w:t>土壤</w:t>
            </w:r>
          </w:p>
        </w:tc>
        <w:tc>
          <w:tcPr>
            <w:tcW w:w="825" w:type="dxa"/>
            <w:vAlign w:val="center"/>
          </w:tcPr>
          <w:p>
            <w:pPr>
              <w:spacing w:line="300" w:lineRule="exact"/>
              <w:jc w:val="center"/>
              <w:rPr>
                <w:snapToGrid w:val="0"/>
                <w:kern w:val="0"/>
                <w:szCs w:val="21"/>
                <w:highlight w:val="none"/>
              </w:rPr>
            </w:pPr>
            <w:r>
              <w:rPr>
                <w:rFonts w:hint="eastAsia"/>
                <w:snapToGrid w:val="0"/>
                <w:kern w:val="0"/>
                <w:szCs w:val="21"/>
                <w:highlight w:val="none"/>
              </w:rPr>
              <w:t>土壤</w:t>
            </w:r>
          </w:p>
        </w:tc>
        <w:tc>
          <w:tcPr>
            <w:tcW w:w="1815" w:type="dxa"/>
            <w:vAlign w:val="center"/>
          </w:tcPr>
          <w:p>
            <w:pPr>
              <w:spacing w:line="300" w:lineRule="exact"/>
              <w:jc w:val="left"/>
              <w:rPr>
                <w:snapToGrid w:val="0"/>
                <w:kern w:val="0"/>
                <w:szCs w:val="21"/>
                <w:highlight w:val="none"/>
              </w:rPr>
            </w:pPr>
            <w:r>
              <w:rPr>
                <w:rFonts w:hint="eastAsia"/>
                <w:snapToGrid w:val="0"/>
                <w:kern w:val="0"/>
                <w:szCs w:val="21"/>
                <w:highlight w:val="none"/>
              </w:rPr>
              <w:t>水电站占地等受工程影响区域</w:t>
            </w:r>
          </w:p>
        </w:tc>
        <w:tc>
          <w:tcPr>
            <w:tcW w:w="3912" w:type="dxa"/>
            <w:vAlign w:val="center"/>
          </w:tcPr>
          <w:p>
            <w:pPr>
              <w:pStyle w:val="402"/>
              <w:spacing w:line="320" w:lineRule="exact"/>
              <w:rPr>
                <w:rFonts w:ascii="Times New Roman" w:hAnsi="Times New Roman"/>
                <w:snapToGrid w:val="0"/>
                <w:sz w:val="21"/>
                <w:szCs w:val="21"/>
                <w:highlight w:val="none"/>
              </w:rPr>
            </w:pPr>
            <w:r>
              <w:rPr>
                <w:rFonts w:ascii="Times New Roman" w:hAnsi="Times New Roman"/>
                <w:snapToGrid w:val="0"/>
                <w:sz w:val="21"/>
                <w:szCs w:val="21"/>
                <w:highlight w:val="none"/>
              </w:rPr>
              <w:t>《土壤环境质量-建设用地土壤污染风险管控标准（试行）》（GB 36600</w:t>
            </w:r>
            <w:r>
              <w:rPr>
                <w:rFonts w:hint="eastAsia" w:ascii="Times New Roman" w:hAnsi="Times New Roman"/>
                <w:snapToGrid w:val="0"/>
                <w:sz w:val="21"/>
                <w:szCs w:val="21"/>
                <w:highlight w:val="none"/>
              </w:rPr>
              <w:t xml:space="preserve"> </w:t>
            </w:r>
            <w:r>
              <w:rPr>
                <w:rFonts w:ascii="Times New Roman" w:hAnsi="Times New Roman"/>
                <w:snapToGrid w:val="0"/>
                <w:sz w:val="21"/>
                <w:szCs w:val="21"/>
                <w:highlight w:val="none"/>
              </w:rPr>
              <w:t>-2018）中第二类用地筛选值</w:t>
            </w:r>
          </w:p>
        </w:tc>
      </w:tr>
    </w:tbl>
    <w:p>
      <w:pPr>
        <w:spacing w:line="480" w:lineRule="exact"/>
        <w:outlineLvl w:val="1"/>
        <w:rPr>
          <w:b/>
          <w:color w:val="auto"/>
          <w:sz w:val="24"/>
          <w:highlight w:val="none"/>
        </w:rPr>
      </w:pPr>
      <w:bookmarkStart w:id="275" w:name="_Toc46734085"/>
      <w:bookmarkStart w:id="276" w:name="_Toc40196713"/>
      <w:bookmarkStart w:id="277" w:name="_Toc28535"/>
      <w:r>
        <w:rPr>
          <w:rFonts w:hint="eastAsia"/>
          <w:b/>
          <w:sz w:val="24"/>
          <w:highlight w:val="none"/>
        </w:rPr>
        <w:t>6.5</w:t>
      </w:r>
      <w:r>
        <w:rPr>
          <w:b/>
          <w:sz w:val="24"/>
          <w:highlight w:val="none"/>
        </w:rPr>
        <w:t>环境风</w:t>
      </w:r>
      <w:r>
        <w:rPr>
          <w:b/>
          <w:color w:val="auto"/>
          <w:sz w:val="24"/>
          <w:highlight w:val="none"/>
        </w:rPr>
        <w:t>险影响分析</w:t>
      </w:r>
      <w:bookmarkEnd w:id="275"/>
      <w:bookmarkEnd w:id="276"/>
      <w:bookmarkEnd w:id="277"/>
    </w:p>
    <w:p>
      <w:pPr>
        <w:pStyle w:val="420"/>
        <w:spacing w:line="480" w:lineRule="exact"/>
        <w:rPr>
          <w:rFonts w:hint="eastAsia" w:ascii="Times New Roman" w:hAnsi="Times New Roman" w:eastAsia="宋体" w:cs="Times New Roman"/>
          <w:b/>
          <w:bCs/>
          <w:color w:val="auto"/>
          <w:highlight w:val="none"/>
        </w:rPr>
      </w:pPr>
      <w:bookmarkStart w:id="278" w:name="_Toc24008"/>
      <w:bookmarkStart w:id="279" w:name="_Toc9354"/>
      <w:bookmarkStart w:id="280" w:name="_Toc40196715"/>
      <w:bookmarkStart w:id="281" w:name="_Toc40196714"/>
      <w:r>
        <w:rPr>
          <w:rFonts w:hint="eastAsia" w:ascii="Times New Roman" w:hAnsi="Times New Roman" w:eastAsia="宋体" w:cs="Times New Roman"/>
          <w:b/>
          <w:bCs/>
          <w:color w:val="auto"/>
          <w:highlight w:val="none"/>
        </w:rPr>
        <w:t>6.</w:t>
      </w:r>
      <w:r>
        <w:rPr>
          <w:rFonts w:hint="eastAsia" w:ascii="Times New Roman" w:hAnsi="Times New Roman" w:eastAsia="宋体" w:cs="Times New Roman"/>
          <w:b/>
          <w:bCs/>
          <w:color w:val="auto"/>
          <w:highlight w:val="none"/>
          <w:lang w:val="en-US" w:eastAsia="zh-CN"/>
        </w:rPr>
        <w:t>5</w:t>
      </w:r>
      <w:r>
        <w:rPr>
          <w:rFonts w:hint="eastAsia" w:ascii="Times New Roman" w:hAnsi="Times New Roman" w:eastAsia="宋体" w:cs="Times New Roman"/>
          <w:b/>
          <w:bCs/>
          <w:color w:val="auto"/>
          <w:highlight w:val="none"/>
        </w:rPr>
        <w:t>.1 发电机、水轮机</w:t>
      </w:r>
      <w:r>
        <w:rPr>
          <w:rFonts w:hint="eastAsia" w:ascii="Times New Roman" w:hAnsi="Times New Roman" w:eastAsia="宋体" w:cs="Times New Roman"/>
          <w:b/>
          <w:bCs/>
          <w:color w:val="auto"/>
          <w:highlight w:val="none"/>
          <w:lang w:eastAsia="zh-CN"/>
        </w:rPr>
        <w:t>润滑</w:t>
      </w:r>
      <w:r>
        <w:rPr>
          <w:rFonts w:hint="eastAsia" w:ascii="Times New Roman" w:hAnsi="Times New Roman" w:eastAsia="宋体" w:cs="Times New Roman"/>
          <w:b/>
          <w:bCs/>
          <w:color w:val="auto"/>
          <w:highlight w:val="none"/>
        </w:rPr>
        <w:t>油泄漏风险分析</w:t>
      </w:r>
      <w:bookmarkEnd w:id="278"/>
      <w:bookmarkEnd w:id="279"/>
      <w:bookmarkEnd w:id="280"/>
    </w:p>
    <w:p>
      <w:pPr>
        <w:pStyle w:val="420"/>
        <w:spacing w:line="480" w:lineRule="exact"/>
        <w:ind w:firstLine="480" w:firstLineChars="200"/>
        <w:rPr>
          <w:color w:val="auto"/>
          <w:highlight w:val="none"/>
        </w:rPr>
      </w:pPr>
      <w:r>
        <w:rPr>
          <w:rFonts w:hint="eastAsia" w:ascii="Times New Roman" w:hAnsi="Times New Roman" w:eastAsia="宋体" w:cs="Times New Roman"/>
          <w:color w:val="auto"/>
          <w:highlight w:val="none"/>
        </w:rPr>
        <w:t>发电厂房漏</w:t>
      </w:r>
      <w:r>
        <w:rPr>
          <w:rFonts w:hint="eastAsia"/>
          <w:color w:val="auto"/>
          <w:highlight w:val="none"/>
        </w:rPr>
        <w:t>油主要是来自用于发电机、水轮机的轴承和调速系统及操作油压装置等设备的透平油系统；在正常情况下，电站运行严格按照操作规程进行，加强管理，一般不会发生溢油现象。</w:t>
      </w:r>
    </w:p>
    <w:p>
      <w:pPr>
        <w:pStyle w:val="420"/>
        <w:spacing w:line="480" w:lineRule="exact"/>
        <w:ind w:firstLine="480" w:firstLineChars="200"/>
        <w:rPr>
          <w:color w:val="auto"/>
          <w:highlight w:val="none"/>
        </w:rPr>
      </w:pPr>
      <w:r>
        <w:rPr>
          <w:rFonts w:hint="eastAsia"/>
          <w:color w:val="auto"/>
          <w:highlight w:val="none"/>
        </w:rPr>
        <w:t>（1）泄漏油品的物理与化学变化过程</w:t>
      </w:r>
    </w:p>
    <w:p>
      <w:pPr>
        <w:pStyle w:val="420"/>
        <w:spacing w:line="480" w:lineRule="exact"/>
        <w:ind w:firstLine="480" w:firstLineChars="200"/>
        <w:rPr>
          <w:color w:val="auto"/>
          <w:highlight w:val="none"/>
        </w:rPr>
      </w:pPr>
      <w:r>
        <w:rPr>
          <w:rFonts w:hint="eastAsia"/>
          <w:color w:val="auto"/>
          <w:highlight w:val="none"/>
        </w:rPr>
        <w:t>①对流与扩散原理</w:t>
      </w:r>
    </w:p>
    <w:p>
      <w:pPr>
        <w:pStyle w:val="420"/>
        <w:spacing w:line="480" w:lineRule="exact"/>
        <w:ind w:firstLine="480" w:firstLineChars="200"/>
        <w:rPr>
          <w:color w:val="000000"/>
          <w:highlight w:val="none"/>
        </w:rPr>
      </w:pPr>
      <w:r>
        <w:rPr>
          <w:rFonts w:hint="eastAsia"/>
          <w:color w:val="000000"/>
          <w:highlight w:val="none"/>
        </w:rPr>
        <w:t>油品在水面上运动主要是通过对流与扩散进行的。对流主要受制于油膜上方的风与油膜下方的水流。扩散是重力、惯性力、摩擦力、粘性与表面张力之间的动力学平衡导致的现象。风对油膜的影响表现为风所产生的漂流。油膜的扩散(或扩宽)也是极为复杂的过程。油膜的扩散分为三个阶段：惯性阶段、粘性阶段和表面张力阶段。</w:t>
      </w:r>
    </w:p>
    <w:p>
      <w:pPr>
        <w:pStyle w:val="420"/>
        <w:spacing w:line="480" w:lineRule="exact"/>
        <w:ind w:firstLine="480" w:firstLineChars="200"/>
        <w:rPr>
          <w:color w:val="000000"/>
          <w:highlight w:val="none"/>
        </w:rPr>
      </w:pPr>
      <w:r>
        <w:rPr>
          <w:rFonts w:hint="eastAsia"/>
          <w:color w:val="000000"/>
          <w:highlight w:val="none"/>
        </w:rPr>
        <w:t>②蒸发</w:t>
      </w:r>
    </w:p>
    <w:p>
      <w:pPr>
        <w:pStyle w:val="420"/>
        <w:spacing w:line="480" w:lineRule="exact"/>
        <w:ind w:firstLine="480" w:firstLineChars="200"/>
        <w:rPr>
          <w:color w:val="000000"/>
          <w:highlight w:val="none"/>
        </w:rPr>
      </w:pPr>
      <w:r>
        <w:rPr>
          <w:rFonts w:hint="eastAsia"/>
          <w:color w:val="000000"/>
          <w:highlight w:val="none"/>
        </w:rPr>
        <w:t>1/2～2/3 的溢油在几小时与一天的时间内会蒸发掉。由于蒸发，油膜的物理与化学性质将产生重要的变化。由于蒸发依赖于多种因素。而且这些因素又在随时发生变化，要准确地计算蒸发率是困难的。</w:t>
      </w:r>
    </w:p>
    <w:p>
      <w:pPr>
        <w:pStyle w:val="420"/>
        <w:spacing w:line="480" w:lineRule="exact"/>
        <w:ind w:firstLine="360" w:firstLineChars="200"/>
        <w:rPr>
          <w:color w:val="000000"/>
          <w:highlight w:val="none"/>
        </w:rPr>
      </w:pPr>
      <w:r>
        <w:rPr>
          <w:rFonts w:ascii="Calibri" w:hAnsi="Calibri" w:cs="Calibri"/>
          <w:color w:val="000000"/>
          <w:sz w:val="18"/>
          <w:szCs w:val="18"/>
          <w:highlight w:val="none"/>
        </w:rPr>
        <w:t>③</w:t>
      </w:r>
      <w:r>
        <w:rPr>
          <w:rFonts w:hint="eastAsia"/>
          <w:color w:val="000000"/>
          <w:highlight w:val="none"/>
        </w:rPr>
        <w:t>垂直扩散或垂直运输</w:t>
      </w:r>
    </w:p>
    <w:p>
      <w:pPr>
        <w:pStyle w:val="420"/>
        <w:spacing w:line="480" w:lineRule="exact"/>
        <w:ind w:firstLine="480" w:firstLineChars="200"/>
        <w:rPr>
          <w:color w:val="000000"/>
          <w:highlight w:val="none"/>
        </w:rPr>
      </w:pPr>
      <w:r>
        <w:rPr>
          <w:rFonts w:hint="eastAsia"/>
          <w:color w:val="000000"/>
          <w:highlight w:val="none"/>
        </w:rPr>
        <w:t>油膜在水面中的停留时间通常受制于小的油质点向水体内的垂直运输或油在水中乳化。</w:t>
      </w:r>
    </w:p>
    <w:p>
      <w:pPr>
        <w:pStyle w:val="420"/>
        <w:spacing w:line="480" w:lineRule="exact"/>
        <w:ind w:firstLine="480" w:firstLineChars="200"/>
        <w:rPr>
          <w:color w:val="000000"/>
          <w:highlight w:val="none"/>
        </w:rPr>
      </w:pPr>
      <w:r>
        <w:rPr>
          <w:rFonts w:hint="eastAsia"/>
          <w:color w:val="000000"/>
          <w:highlight w:val="none"/>
        </w:rPr>
        <w:t>④乳化乳胶的形成</w:t>
      </w:r>
    </w:p>
    <w:p>
      <w:pPr>
        <w:pStyle w:val="420"/>
        <w:spacing w:line="480" w:lineRule="exact"/>
        <w:ind w:firstLine="480" w:firstLineChars="200"/>
        <w:rPr>
          <w:color w:val="000000"/>
          <w:highlight w:val="none"/>
        </w:rPr>
      </w:pPr>
      <w:r>
        <w:rPr>
          <w:rFonts w:hint="eastAsia"/>
          <w:color w:val="000000"/>
          <w:highlight w:val="none"/>
        </w:rPr>
        <w:t>重质原油具有较高的粘性，一般形成较稳定的乳胶状油，而沥青烯与高分子量蜡的存在乳胶的形成密切相关。</w:t>
      </w:r>
    </w:p>
    <w:p>
      <w:pPr>
        <w:pStyle w:val="420"/>
        <w:spacing w:line="480" w:lineRule="exact"/>
        <w:ind w:firstLine="480" w:firstLineChars="200"/>
        <w:rPr>
          <w:color w:val="000000"/>
          <w:highlight w:val="none"/>
        </w:rPr>
      </w:pPr>
      <w:r>
        <w:rPr>
          <w:rFonts w:hint="eastAsia"/>
          <w:color w:val="000000"/>
          <w:highlight w:val="none"/>
        </w:rPr>
        <w:t>⑤沉积</w:t>
      </w:r>
    </w:p>
    <w:p>
      <w:pPr>
        <w:pStyle w:val="420"/>
        <w:spacing w:line="480" w:lineRule="exact"/>
        <w:ind w:firstLine="480" w:firstLineChars="200"/>
        <w:rPr>
          <w:color w:val="000000"/>
          <w:highlight w:val="none"/>
        </w:rPr>
      </w:pPr>
      <w:r>
        <w:rPr>
          <w:rFonts w:hint="eastAsia"/>
          <w:color w:val="000000"/>
          <w:highlight w:val="none"/>
        </w:rPr>
        <w:t>各种形式的油都有可能被沉积物颗粒吸附沉于水底或粘结在岸边。在淤泥质沉积物中油的渗透是最小的，只有上层几厘米才会受到影响。总的来讲，对流与扩散是影响溢油的最重要的过程，本评价通过溢油的对流与扩散的数值模型给出溢油油膜分布的大致轮廓，从这些轮廓可以预测到溢油的最大危害可能出现在什么地方，以及它所能影响的范围。</w:t>
      </w:r>
    </w:p>
    <w:p>
      <w:pPr>
        <w:pStyle w:val="420"/>
        <w:spacing w:line="480" w:lineRule="exact"/>
        <w:ind w:firstLine="480" w:firstLineChars="200"/>
        <w:rPr>
          <w:color w:val="auto"/>
          <w:highlight w:val="none"/>
        </w:rPr>
      </w:pPr>
      <w:r>
        <w:rPr>
          <w:rFonts w:hint="eastAsia"/>
          <w:color w:val="000000"/>
          <w:highlight w:val="none"/>
        </w:rPr>
        <w:t>（2）事故</w:t>
      </w:r>
      <w:r>
        <w:rPr>
          <w:rFonts w:hint="eastAsia"/>
          <w:color w:val="auto"/>
          <w:highlight w:val="none"/>
        </w:rPr>
        <w:t>状态下泄漏</w:t>
      </w:r>
    </w:p>
    <w:p>
      <w:pPr>
        <w:pStyle w:val="420"/>
        <w:spacing w:line="480" w:lineRule="exact"/>
        <w:ind w:firstLine="480" w:firstLineChars="200"/>
        <w:rPr>
          <w:color w:val="000000"/>
          <w:highlight w:val="none"/>
        </w:rPr>
      </w:pPr>
      <w:r>
        <w:rPr>
          <w:rFonts w:hint="eastAsia"/>
          <w:color w:val="auto"/>
          <w:highlight w:val="none"/>
        </w:rPr>
        <w:t>在事故情况下，本项目每台发电组正常情况下最大装载机油量约为 0.1 t，在事故情况下，发生</w:t>
      </w:r>
      <w:r>
        <w:rPr>
          <w:rFonts w:hint="eastAsia"/>
          <w:color w:val="000000"/>
          <w:highlight w:val="none"/>
        </w:rPr>
        <w:t>溢油到发现尾水油花再采取停机措施，一般控制在20分钟，最大的可信漏油量一般小于0.5%，即泄漏量不会超过 0.5kg。</w:t>
      </w:r>
    </w:p>
    <w:p>
      <w:pPr>
        <w:pStyle w:val="420"/>
        <w:spacing w:line="480" w:lineRule="exact"/>
        <w:ind w:firstLine="480" w:firstLineChars="200"/>
        <w:rPr>
          <w:color w:val="000000"/>
          <w:highlight w:val="none"/>
        </w:rPr>
      </w:pPr>
      <w:r>
        <w:rPr>
          <w:rFonts w:hint="eastAsia"/>
          <w:color w:val="000000"/>
          <w:highlight w:val="none"/>
        </w:rPr>
        <w:t>由于水电工程建成后，运行期对环境的的不利影响较小，但若电站出现油泄漏将对下游水质产生一定的不良影响，因此，电站厂房漏油是运行期的环境风险之一。因此，在发电机房内应设置一个机油泄漏事故收集设施，避免事故溢油直排尾水渠；制订事故应急预案和定期演练制度，综合防范水电站运营过程中的环境风险，油回收处理。</w:t>
      </w:r>
    </w:p>
    <w:p>
      <w:pPr>
        <w:pStyle w:val="420"/>
        <w:spacing w:line="480" w:lineRule="exact"/>
        <w:ind w:firstLine="480" w:firstLineChars="200"/>
        <w:rPr>
          <w:color w:val="000000"/>
          <w:highlight w:val="none"/>
        </w:rPr>
      </w:pPr>
      <w:r>
        <w:rPr>
          <w:rFonts w:hint="eastAsia"/>
          <w:color w:val="000000"/>
          <w:highlight w:val="none"/>
        </w:rPr>
        <w:t>泄漏油品主要受风和表面流速的影响，水面上扩散至最终只剩下一薄层。一般估计泄漏油在水体的扩散污染带范围是根据水面油膜的形态来确定的。一般勉强可见时油膜厚度约</w:t>
      </w:r>
      <w:r>
        <w:rPr>
          <w:color w:val="000000"/>
          <w:highlight w:val="none"/>
        </w:rPr>
        <w:t xml:space="preserve"> 0.038μm</w:t>
      </w:r>
      <w:r>
        <w:rPr>
          <w:rFonts w:hint="eastAsia"/>
          <w:color w:val="000000"/>
          <w:highlight w:val="none"/>
        </w:rPr>
        <w:t>，约为0</w:t>
      </w:r>
      <w:r>
        <w:rPr>
          <w:color w:val="000000"/>
          <w:highlight w:val="none"/>
        </w:rPr>
        <w:t>.1368</w:t>
      </w:r>
      <w:r>
        <w:rPr>
          <w:rFonts w:hint="eastAsia"/>
          <w:color w:val="000000"/>
          <w:highlight w:val="none"/>
        </w:rPr>
        <w:t>kg/m</w:t>
      </w:r>
      <w:r>
        <w:rPr>
          <w:rFonts w:hint="eastAsia"/>
          <w:color w:val="000000"/>
          <w:highlight w:val="none"/>
          <w:vertAlign w:val="superscript"/>
        </w:rPr>
        <w:t>2</w:t>
      </w:r>
      <w:r>
        <w:rPr>
          <w:rFonts w:hint="eastAsia"/>
          <w:color w:val="000000"/>
          <w:highlight w:val="none"/>
        </w:rPr>
        <w:t>油量，38L/km</w:t>
      </w:r>
      <w:r>
        <w:rPr>
          <w:rFonts w:hint="eastAsia"/>
          <w:color w:val="000000"/>
          <w:highlight w:val="none"/>
          <w:vertAlign w:val="superscript"/>
        </w:rPr>
        <w:t>2</w:t>
      </w:r>
      <w:r>
        <w:rPr>
          <w:rFonts w:hint="eastAsia"/>
          <w:color w:val="000000"/>
          <w:highlight w:val="none"/>
        </w:rPr>
        <w:t>。项目泄漏事故主要为机油泄漏，最大泄漏量为 0.5kg，电机定期进行检查，发生破损泄漏的几率低，泄漏的水环境风险影响范围较小，风险可控的</w:t>
      </w:r>
    </w:p>
    <w:p>
      <w:pPr>
        <w:pStyle w:val="420"/>
        <w:spacing w:line="480" w:lineRule="exact"/>
        <w:ind w:firstLine="480" w:firstLineChars="200"/>
        <w:rPr>
          <w:color w:val="000000"/>
          <w:highlight w:val="none"/>
        </w:rPr>
      </w:pPr>
      <w:r>
        <w:rPr>
          <w:color w:val="000000"/>
          <w:highlight w:val="none"/>
        </w:rPr>
        <w:fldChar w:fldCharType="begin"/>
      </w:r>
      <w:r>
        <w:rPr>
          <w:color w:val="000000"/>
          <w:highlight w:val="none"/>
        </w:rPr>
        <w:instrText xml:space="preserve"> </w:instrText>
      </w:r>
      <w:r>
        <w:rPr>
          <w:rFonts w:hint="eastAsia"/>
          <w:color w:val="000000"/>
          <w:highlight w:val="none"/>
        </w:rPr>
        <w:instrText xml:space="preserve">= 1 \* GB3</w:instrText>
      </w:r>
      <w:r>
        <w:rPr>
          <w:color w:val="000000"/>
          <w:highlight w:val="none"/>
        </w:rPr>
        <w:instrText xml:space="preserve"> </w:instrText>
      </w:r>
      <w:r>
        <w:rPr>
          <w:color w:val="000000"/>
          <w:highlight w:val="none"/>
        </w:rPr>
        <w:fldChar w:fldCharType="separate"/>
      </w:r>
      <w:r>
        <w:rPr>
          <w:rFonts w:hint="eastAsia"/>
          <w:color w:val="000000"/>
          <w:highlight w:val="none"/>
        </w:rPr>
        <w:t>①</w:t>
      </w:r>
      <w:r>
        <w:rPr>
          <w:color w:val="000000"/>
          <w:highlight w:val="none"/>
        </w:rPr>
        <w:fldChar w:fldCharType="end"/>
      </w:r>
      <w:r>
        <w:rPr>
          <w:rFonts w:hint="eastAsia"/>
          <w:color w:val="000000"/>
          <w:highlight w:val="none"/>
        </w:rPr>
        <w:t>为防范发电厂房漏油，在发电机房内应设置一个机油泄漏事故收集设施，避免事故溢油直排尾水渠水中；环评要求，应配套防范机油泄漏的截流措施，即确保机油发生泄漏时，减少泄漏机油外流，并配备收集机油的抽油泵或是人工收集的容器等。</w:t>
      </w:r>
    </w:p>
    <w:p>
      <w:pPr>
        <w:pStyle w:val="420"/>
        <w:spacing w:line="480" w:lineRule="exact"/>
        <w:ind w:firstLine="480" w:firstLineChars="200"/>
        <w:rPr>
          <w:color w:val="000000"/>
          <w:highlight w:val="none"/>
        </w:rPr>
      </w:pPr>
      <w:r>
        <w:rPr>
          <w:color w:val="000000"/>
          <w:highlight w:val="none"/>
        </w:rPr>
        <w:fldChar w:fldCharType="begin"/>
      </w:r>
      <w:r>
        <w:rPr>
          <w:color w:val="000000"/>
          <w:highlight w:val="none"/>
        </w:rPr>
        <w:instrText xml:space="preserve"> </w:instrText>
      </w:r>
      <w:r>
        <w:rPr>
          <w:rFonts w:hint="eastAsia"/>
          <w:color w:val="000000"/>
          <w:highlight w:val="none"/>
        </w:rPr>
        <w:instrText xml:space="preserve">= 2 \* GB3</w:instrText>
      </w:r>
      <w:r>
        <w:rPr>
          <w:color w:val="000000"/>
          <w:highlight w:val="none"/>
        </w:rPr>
        <w:instrText xml:space="preserve"> </w:instrText>
      </w:r>
      <w:r>
        <w:rPr>
          <w:color w:val="000000"/>
          <w:highlight w:val="none"/>
        </w:rPr>
        <w:fldChar w:fldCharType="separate"/>
      </w:r>
      <w:r>
        <w:rPr>
          <w:rFonts w:hint="eastAsia"/>
          <w:color w:val="000000"/>
          <w:highlight w:val="none"/>
        </w:rPr>
        <w:t>②</w:t>
      </w:r>
      <w:r>
        <w:rPr>
          <w:color w:val="000000"/>
          <w:highlight w:val="none"/>
        </w:rPr>
        <w:fldChar w:fldCharType="end"/>
      </w:r>
      <w:r>
        <w:rPr>
          <w:rFonts w:hint="eastAsia"/>
          <w:color w:val="000000"/>
          <w:highlight w:val="none"/>
        </w:rPr>
        <w:t>对于设备因铸造留下来的气孔、砂眼，焊缝、焊点出现的虚焊、脱焊、裂纹者，可用电焊进行堵漏。在堵焊前应找准渗漏点，渗漏点较小者可直接用电焊将漏点点死；漏点较大者应先填充石棉绳或金属填料，然后在四周堆焊，再采用小焊条大电流快速引弧补焊。</w:t>
      </w:r>
    </w:p>
    <w:p>
      <w:pPr>
        <w:pStyle w:val="420"/>
        <w:spacing w:line="480" w:lineRule="exact"/>
        <w:ind w:firstLine="480" w:firstLineChars="200"/>
        <w:rPr>
          <w:color w:val="000000"/>
          <w:highlight w:val="none"/>
        </w:rPr>
      </w:pPr>
      <w:r>
        <w:rPr>
          <w:rFonts w:hint="eastAsia"/>
          <w:color w:val="000000"/>
          <w:highlight w:val="none"/>
        </w:rPr>
        <w:t xml:space="preserve">③及时更换损坏或老化的密封元件，任何一种密封件都是有寿命的，其使用寿命与工作条件（工作温度、压力、运动速度、工作液体清洁度等）有关，根据设备的使用工况确定更换密封件的周期，做到及时定期的更换；针对漏油问题，建立更加详尽的检修设备技术台帐，做到有计划、有步骤，逐步更换设备密封圈，保证设备各 </w:t>
      </w:r>
      <w:r>
        <w:rPr>
          <w:rFonts w:hint="eastAsia"/>
          <w:color w:val="000000"/>
          <w:highlight w:val="none"/>
          <w:lang w:eastAsia="zh-CN"/>
        </w:rPr>
        <w:t>密封</w:t>
      </w:r>
      <w:r>
        <w:rPr>
          <w:rFonts w:hint="eastAsia"/>
          <w:color w:val="000000"/>
          <w:highlight w:val="none"/>
        </w:rPr>
        <w:t>圈处在正常状态。为此，对设备密封件应划分故障等级，高等级的密封圈更容易失效而漏油，检修期对高等级易损密封件尽量进行更换。</w:t>
      </w:r>
    </w:p>
    <w:p>
      <w:pPr>
        <w:pStyle w:val="420"/>
        <w:spacing w:line="480" w:lineRule="exact"/>
        <w:ind w:firstLine="480" w:firstLineChars="200"/>
        <w:rPr>
          <w:color w:val="000000"/>
          <w:highlight w:val="none"/>
        </w:rPr>
      </w:pPr>
      <w:r>
        <w:rPr>
          <w:rFonts w:hint="eastAsia"/>
          <w:color w:val="000000"/>
          <w:highlight w:val="none"/>
        </w:rPr>
        <w:t>④采用密封胶、密封垫以及密封带等密封材料对泄漏通道进行填充封堵。其中密封胶对设备进行静密封，堵漏特别方便、有效；密封垫（纸垫、橡胶垫、石棉垫等）用于箱体结合面堵漏方便实用；密封带（聚四氟乙烯、石墨软带等）适用于螺纹密封。</w:t>
      </w:r>
    </w:p>
    <w:p>
      <w:pPr>
        <w:pStyle w:val="420"/>
        <w:spacing w:line="480" w:lineRule="exact"/>
        <w:ind w:firstLine="480" w:firstLineChars="200"/>
        <w:rPr>
          <w:color w:val="auto"/>
          <w:highlight w:val="none"/>
        </w:rPr>
      </w:pPr>
      <w:r>
        <w:rPr>
          <w:color w:val="000000"/>
          <w:highlight w:val="none"/>
        </w:rPr>
        <w:t>综上所述，在落实相应风险事故污水措施的情况下，其地表水环境风险可控，在发生风险事故时，不会造成携带污染物的废水进入外环境，对地表水环境产生不</w:t>
      </w:r>
      <w:r>
        <w:rPr>
          <w:color w:val="auto"/>
          <w:highlight w:val="none"/>
        </w:rPr>
        <w:t>利影响。</w:t>
      </w:r>
    </w:p>
    <w:p>
      <w:pPr>
        <w:pStyle w:val="420"/>
        <w:spacing w:line="480" w:lineRule="exact"/>
        <w:rPr>
          <w:rFonts w:hint="eastAsia"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6.</w:t>
      </w:r>
      <w:r>
        <w:rPr>
          <w:rFonts w:hint="eastAsia" w:ascii="Times New Roman" w:hAnsi="Times New Roman" w:eastAsia="宋体" w:cs="Times New Roman"/>
          <w:b/>
          <w:bCs/>
          <w:color w:val="auto"/>
          <w:highlight w:val="none"/>
          <w:lang w:val="en-US" w:eastAsia="zh-CN"/>
        </w:rPr>
        <w:t>5</w:t>
      </w:r>
      <w:r>
        <w:rPr>
          <w:rFonts w:hint="eastAsia" w:ascii="Times New Roman" w:hAnsi="Times New Roman" w:eastAsia="宋体" w:cs="Times New Roman"/>
          <w:b/>
          <w:bCs/>
          <w:color w:val="auto"/>
          <w:highlight w:val="none"/>
        </w:rPr>
        <w:t>.2危废间暂存废机油泄漏环境风险分析</w:t>
      </w:r>
    </w:p>
    <w:p>
      <w:pPr>
        <w:pStyle w:val="420"/>
        <w:spacing w:line="480" w:lineRule="exact"/>
        <w:ind w:firstLine="480" w:firstLineChars="200"/>
        <w:rPr>
          <w:rFonts w:hint="eastAsia" w:ascii="Times New Roman" w:hAnsi="Times New Roman" w:eastAsia="宋体"/>
          <w:color w:val="auto"/>
          <w:sz w:val="24"/>
          <w:highlight w:val="none"/>
          <w:lang w:eastAsia="zh-CN"/>
        </w:rPr>
      </w:pPr>
      <w:r>
        <w:rPr>
          <w:rFonts w:hint="eastAsia" w:ascii="Times New Roman" w:hAnsi="Times New Roman" w:eastAsia="宋体" w:cs="Times New Roman"/>
          <w:color w:val="auto"/>
          <w:highlight w:val="none"/>
        </w:rPr>
        <w:t>危废间暂</w:t>
      </w:r>
      <w:r>
        <w:rPr>
          <w:rFonts w:hint="eastAsia"/>
          <w:color w:val="auto"/>
          <w:highlight w:val="none"/>
        </w:rPr>
        <w:t>存废</w:t>
      </w:r>
      <w:r>
        <w:rPr>
          <w:rFonts w:hint="eastAsia"/>
          <w:color w:val="auto"/>
          <w:highlight w:val="none"/>
          <w:lang w:eastAsia="zh-CN"/>
        </w:rPr>
        <w:t>润滑</w:t>
      </w:r>
      <w:r>
        <w:rPr>
          <w:rFonts w:hint="eastAsia"/>
          <w:color w:val="auto"/>
          <w:highlight w:val="none"/>
        </w:rPr>
        <w:t>油约</w:t>
      </w:r>
      <w:r>
        <w:rPr>
          <w:bCs/>
          <w:color w:val="auto"/>
          <w:szCs w:val="21"/>
          <w:highlight w:val="none"/>
        </w:rPr>
        <w:t>0.0</w:t>
      </w:r>
      <w:r>
        <w:rPr>
          <w:rFonts w:hint="eastAsia"/>
          <w:bCs/>
          <w:color w:val="auto"/>
          <w:szCs w:val="21"/>
          <w:highlight w:val="none"/>
        </w:rPr>
        <w:t>9t/a，</w:t>
      </w:r>
      <w:bookmarkEnd w:id="281"/>
      <w:r>
        <w:rPr>
          <w:color w:val="auto"/>
          <w:highlight w:val="none"/>
        </w:rPr>
        <w:t>废</w:t>
      </w:r>
      <w:r>
        <w:rPr>
          <w:rFonts w:hint="eastAsia"/>
          <w:color w:val="auto"/>
          <w:highlight w:val="none"/>
          <w:lang w:eastAsia="zh-CN"/>
        </w:rPr>
        <w:t>润滑</w:t>
      </w:r>
      <w:r>
        <w:rPr>
          <w:rFonts w:hint="eastAsia"/>
          <w:color w:val="auto"/>
          <w:highlight w:val="none"/>
        </w:rPr>
        <w:t>油</w:t>
      </w:r>
      <w:r>
        <w:rPr>
          <w:color w:val="auto"/>
          <w:highlight w:val="none"/>
        </w:rPr>
        <w:t>暂存在危废间，交有资质单位</w:t>
      </w:r>
      <w:r>
        <w:rPr>
          <w:rFonts w:hint="eastAsia"/>
          <w:color w:val="auto"/>
          <w:highlight w:val="none"/>
        </w:rPr>
        <w:t>处理。</w:t>
      </w:r>
      <w:r>
        <w:rPr>
          <w:rFonts w:hint="default" w:ascii="Times New Roman" w:hAnsi="Times New Roman"/>
          <w:color w:val="auto"/>
          <w:sz w:val="24"/>
          <w:highlight w:val="none"/>
        </w:rPr>
        <w:t>危废间风险防范措施</w:t>
      </w:r>
      <w:r>
        <w:rPr>
          <w:rFonts w:hint="eastAsia" w:ascii="Times New Roman" w:hAnsi="Times New Roman"/>
          <w:color w:val="auto"/>
          <w:sz w:val="24"/>
          <w:highlight w:val="none"/>
          <w:lang w:eastAsia="zh-CN"/>
        </w:rPr>
        <w:t>：</w:t>
      </w:r>
    </w:p>
    <w:p>
      <w:pPr>
        <w:pStyle w:val="420"/>
        <w:spacing w:line="480" w:lineRule="exact"/>
        <w:ind w:firstLine="480" w:firstLineChars="200"/>
        <w:rPr>
          <w:color w:val="000000"/>
          <w:highlight w:val="none"/>
        </w:rPr>
      </w:pPr>
      <w:r>
        <w:rPr>
          <w:color w:val="auto"/>
          <w:highlight w:val="none"/>
        </w:rPr>
        <w:fldChar w:fldCharType="begin"/>
      </w:r>
      <w:r>
        <w:rPr>
          <w:color w:val="auto"/>
          <w:highlight w:val="none"/>
        </w:rPr>
        <w:instrText xml:space="preserve"> = 1 \* GB3 </w:instrText>
      </w:r>
      <w:r>
        <w:rPr>
          <w:color w:val="auto"/>
          <w:highlight w:val="none"/>
        </w:rPr>
        <w:fldChar w:fldCharType="separate"/>
      </w:r>
      <w:r>
        <w:rPr>
          <w:color w:val="auto"/>
          <w:highlight w:val="none"/>
        </w:rPr>
        <w:t>①</w:t>
      </w:r>
      <w:r>
        <w:rPr>
          <w:color w:val="auto"/>
          <w:highlight w:val="none"/>
        </w:rPr>
        <w:fldChar w:fldCharType="end"/>
      </w:r>
      <w:r>
        <w:rPr>
          <w:rFonts w:hint="eastAsia"/>
          <w:color w:val="auto"/>
          <w:highlight w:val="none"/>
        </w:rPr>
        <w:t>站内设置备用空油桶，</w:t>
      </w:r>
      <w:r>
        <w:rPr>
          <w:color w:val="auto"/>
          <w:highlight w:val="none"/>
        </w:rPr>
        <w:t>如发现废</w:t>
      </w:r>
      <w:r>
        <w:rPr>
          <w:rFonts w:hint="eastAsia"/>
          <w:color w:val="auto"/>
          <w:highlight w:val="none"/>
          <w:lang w:eastAsia="zh-CN"/>
        </w:rPr>
        <w:t>润滑</w:t>
      </w:r>
      <w:r>
        <w:rPr>
          <w:color w:val="auto"/>
          <w:highlight w:val="none"/>
        </w:rPr>
        <w:t>油桶发生泄漏，立即对废</w:t>
      </w:r>
      <w:r>
        <w:rPr>
          <w:rFonts w:hint="eastAsia"/>
          <w:color w:val="auto"/>
          <w:highlight w:val="none"/>
          <w:lang w:eastAsia="zh-CN"/>
        </w:rPr>
        <w:t>润滑</w:t>
      </w:r>
      <w:r>
        <w:rPr>
          <w:color w:val="auto"/>
          <w:highlight w:val="none"/>
        </w:rPr>
        <w:t>油进行倒桶处理，更换完好不泄漏的容器进行储存；</w:t>
      </w:r>
      <w:r>
        <w:rPr>
          <w:rFonts w:hint="eastAsia"/>
          <w:color w:val="auto"/>
          <w:highlight w:val="none"/>
        </w:rPr>
        <w:t>站内配备吸油布，若发生泄漏及时采用砂土或</w:t>
      </w:r>
      <w:r>
        <w:rPr>
          <w:rFonts w:hint="eastAsia"/>
          <w:color w:val="000000"/>
          <w:highlight w:val="none"/>
        </w:rPr>
        <w:t>吸油布覆盖，并将产生的固体废物作为危险废物，送有资质单位处置。</w:t>
      </w:r>
    </w:p>
    <w:p>
      <w:pPr>
        <w:pStyle w:val="21"/>
        <w:adjustRightInd w:val="0"/>
        <w:snapToGrid w:val="0"/>
        <w:spacing w:after="0" w:line="480" w:lineRule="exact"/>
        <w:ind w:firstLine="480" w:firstLineChars="200"/>
        <w:rPr>
          <w:rFonts w:hint="default" w:ascii="Times New Roman" w:hAnsi="Times New Roman"/>
          <w:color w:val="000000"/>
          <w:sz w:val="24"/>
          <w:highlight w:val="none"/>
        </w:rPr>
      </w:pPr>
      <w:r>
        <w:rPr>
          <w:rFonts w:hint="default" w:ascii="Times New Roman" w:hAnsi="Times New Roman"/>
          <w:color w:val="000000"/>
          <w:sz w:val="24"/>
          <w:highlight w:val="none"/>
        </w:rPr>
        <w:fldChar w:fldCharType="begin"/>
      </w:r>
      <w:r>
        <w:rPr>
          <w:rFonts w:hint="default" w:ascii="Times New Roman" w:hAnsi="Times New Roman"/>
          <w:color w:val="000000"/>
          <w:sz w:val="24"/>
          <w:highlight w:val="none"/>
        </w:rPr>
        <w:instrText xml:space="preserve"> = 2 \* GB3 </w:instrText>
      </w:r>
      <w:r>
        <w:rPr>
          <w:rFonts w:hint="default" w:ascii="Times New Roman" w:hAnsi="Times New Roman"/>
          <w:color w:val="000000"/>
          <w:sz w:val="24"/>
          <w:highlight w:val="none"/>
        </w:rPr>
        <w:fldChar w:fldCharType="separate"/>
      </w:r>
      <w:r>
        <w:rPr>
          <w:rFonts w:hint="default" w:ascii="Times New Roman" w:hAnsi="Times New Roman"/>
          <w:color w:val="000000"/>
          <w:sz w:val="24"/>
          <w:highlight w:val="none"/>
        </w:rPr>
        <w:t>②</w:t>
      </w:r>
      <w:r>
        <w:rPr>
          <w:rFonts w:hint="default" w:ascii="Times New Roman" w:hAnsi="Times New Roman"/>
          <w:color w:val="000000"/>
          <w:sz w:val="24"/>
          <w:highlight w:val="none"/>
        </w:rPr>
        <w:fldChar w:fldCharType="end"/>
      </w:r>
      <w:r>
        <w:rPr>
          <w:rFonts w:hint="default" w:ascii="Times New Roman" w:hAnsi="Times New Roman"/>
          <w:color w:val="000000"/>
          <w:sz w:val="24"/>
          <w:highlight w:val="none"/>
        </w:rPr>
        <w:t>根据《危险废物贮存污染控制标准》（GB18597-20</w:t>
      </w:r>
      <w:r>
        <w:rPr>
          <w:rFonts w:hint="eastAsia" w:ascii="Times New Roman" w:hAnsi="Times New Roman"/>
          <w:color w:val="000000"/>
          <w:sz w:val="24"/>
          <w:highlight w:val="none"/>
          <w:lang w:val="en-US" w:eastAsia="zh-CN"/>
        </w:rPr>
        <w:t>23</w:t>
      </w:r>
      <w:r>
        <w:rPr>
          <w:rFonts w:hint="default" w:ascii="Times New Roman" w:hAnsi="Times New Roman"/>
          <w:color w:val="000000"/>
          <w:sz w:val="24"/>
          <w:highlight w:val="none"/>
        </w:rPr>
        <w:t>）关于防渗要求处理：地面及裙角均采取抗渗水泥防渗，地面水泥厚度为20cm；裙角高度1.5m，厚度20cm，地面及四周裙脚均应耐腐蚀，耐热且表面无裂隙，同时设置泄漏液体的收集装置。防渗层渗透系数小于10</w:t>
      </w:r>
      <w:r>
        <w:rPr>
          <w:rFonts w:hint="default" w:ascii="Times New Roman" w:hAnsi="Times New Roman"/>
          <w:color w:val="000000"/>
          <w:sz w:val="24"/>
          <w:highlight w:val="none"/>
          <w:vertAlign w:val="superscript"/>
        </w:rPr>
        <w:t>-10</w:t>
      </w:r>
      <w:r>
        <w:rPr>
          <w:rFonts w:hint="default" w:ascii="Times New Roman" w:hAnsi="Times New Roman"/>
          <w:color w:val="000000"/>
          <w:sz w:val="24"/>
          <w:highlight w:val="none"/>
        </w:rPr>
        <w:t>cm/s。</w:t>
      </w:r>
    </w:p>
    <w:p>
      <w:pPr>
        <w:pStyle w:val="21"/>
        <w:adjustRightInd w:val="0"/>
        <w:snapToGrid w:val="0"/>
        <w:spacing w:after="0" w:line="480" w:lineRule="exact"/>
        <w:ind w:firstLine="480" w:firstLineChars="200"/>
        <w:rPr>
          <w:rFonts w:hint="default" w:ascii="Times New Roman" w:hAnsi="Times New Roman" w:eastAsia="宋体" w:cs="Times New Roman"/>
          <w:color w:val="000000"/>
          <w:sz w:val="24"/>
          <w:highlight w:val="none"/>
        </w:rPr>
      </w:pPr>
      <w:r>
        <w:rPr>
          <w:rFonts w:hint="default" w:ascii="Times New Roman" w:hAnsi="Times New Roman"/>
          <w:color w:val="000000"/>
          <w:sz w:val="24"/>
          <w:highlight w:val="none"/>
        </w:rPr>
        <w:fldChar w:fldCharType="begin"/>
      </w:r>
      <w:r>
        <w:rPr>
          <w:rFonts w:hint="default" w:ascii="Times New Roman" w:hAnsi="Times New Roman"/>
          <w:color w:val="000000"/>
          <w:sz w:val="24"/>
          <w:highlight w:val="none"/>
        </w:rPr>
        <w:instrText xml:space="preserve"> = 3 \* GB3 </w:instrText>
      </w:r>
      <w:r>
        <w:rPr>
          <w:rFonts w:hint="default" w:ascii="Times New Roman" w:hAnsi="Times New Roman"/>
          <w:color w:val="000000"/>
          <w:sz w:val="24"/>
          <w:highlight w:val="none"/>
        </w:rPr>
        <w:fldChar w:fldCharType="separate"/>
      </w:r>
      <w:r>
        <w:rPr>
          <w:rFonts w:hint="default" w:ascii="Times New Roman" w:hAnsi="Times New Roman"/>
          <w:color w:val="000000"/>
          <w:sz w:val="24"/>
          <w:highlight w:val="none"/>
        </w:rPr>
        <w:t>③</w:t>
      </w:r>
      <w:r>
        <w:rPr>
          <w:rFonts w:hint="default" w:ascii="Times New Roman" w:hAnsi="Times New Roman"/>
          <w:color w:val="000000"/>
          <w:sz w:val="24"/>
          <w:highlight w:val="none"/>
        </w:rPr>
        <w:fldChar w:fldCharType="end"/>
      </w:r>
      <w:r>
        <w:rPr>
          <w:rFonts w:hint="default" w:ascii="Times New Roman" w:hAnsi="Times New Roman"/>
          <w:color w:val="000000"/>
          <w:sz w:val="24"/>
          <w:highlight w:val="none"/>
        </w:rPr>
        <w:t>如发现废</w:t>
      </w:r>
      <w:r>
        <w:rPr>
          <w:rFonts w:hint="eastAsia"/>
          <w:color w:val="000000"/>
          <w:highlight w:val="none"/>
          <w:lang w:eastAsia="zh-CN"/>
        </w:rPr>
        <w:t>润滑</w:t>
      </w:r>
      <w:r>
        <w:rPr>
          <w:rFonts w:hint="default" w:ascii="Times New Roman" w:hAnsi="Times New Roman"/>
          <w:color w:val="000000"/>
          <w:sz w:val="24"/>
          <w:highlight w:val="none"/>
        </w:rPr>
        <w:t>油泄漏已对厂区土壤和地下水造成的污染，立即启动应急预案，报当地生</w:t>
      </w:r>
      <w:r>
        <w:rPr>
          <w:rFonts w:hint="default" w:ascii="Times New Roman" w:hAnsi="Times New Roman" w:eastAsia="宋体" w:cs="Times New Roman"/>
          <w:color w:val="000000"/>
          <w:sz w:val="24"/>
          <w:highlight w:val="none"/>
        </w:rPr>
        <w:t>态环境主管部门。</w:t>
      </w:r>
    </w:p>
    <w:p>
      <w:pPr>
        <w:pStyle w:val="21"/>
        <w:adjustRightInd w:val="0"/>
        <w:snapToGrid w:val="0"/>
        <w:spacing w:after="0" w:line="480" w:lineRule="exact"/>
        <w:rPr>
          <w:rFonts w:hint="default" w:ascii="Times New Roman" w:hAnsi="Times New Roman" w:eastAsia="宋体" w:cs="Times New Roman"/>
          <w:b/>
          <w:bCs/>
          <w:color w:val="000000"/>
          <w:sz w:val="24"/>
          <w:highlight w:val="none"/>
        </w:rPr>
      </w:pPr>
      <w:bookmarkStart w:id="282" w:name="_Toc18621"/>
      <w:bookmarkStart w:id="283" w:name="_Toc15715"/>
      <w:r>
        <w:rPr>
          <w:rFonts w:hint="eastAsia" w:ascii="Times New Roman" w:hAnsi="Times New Roman" w:eastAsia="宋体" w:cs="Times New Roman"/>
          <w:b/>
          <w:bCs/>
          <w:color w:val="000000"/>
          <w:sz w:val="24"/>
          <w:highlight w:val="none"/>
        </w:rPr>
        <w:t>6.</w:t>
      </w:r>
      <w:r>
        <w:rPr>
          <w:rFonts w:hint="eastAsia" w:ascii="Times New Roman" w:hAnsi="Times New Roman" w:eastAsia="宋体" w:cs="Times New Roman"/>
          <w:b/>
          <w:bCs/>
          <w:color w:val="000000"/>
          <w:sz w:val="24"/>
          <w:highlight w:val="none"/>
          <w:lang w:val="en-US" w:eastAsia="zh-CN"/>
        </w:rPr>
        <w:t>5</w:t>
      </w:r>
      <w:r>
        <w:rPr>
          <w:rFonts w:hint="default" w:ascii="Times New Roman" w:hAnsi="Times New Roman" w:eastAsia="宋体" w:cs="Times New Roman"/>
          <w:b/>
          <w:bCs/>
          <w:color w:val="000000"/>
          <w:sz w:val="24"/>
          <w:highlight w:val="none"/>
        </w:rPr>
        <w:t>.</w:t>
      </w:r>
      <w:r>
        <w:rPr>
          <w:rFonts w:hint="eastAsia" w:ascii="Times New Roman" w:hAnsi="Times New Roman" w:eastAsia="宋体" w:cs="Times New Roman"/>
          <w:b/>
          <w:bCs/>
          <w:color w:val="000000"/>
          <w:sz w:val="24"/>
          <w:highlight w:val="none"/>
        </w:rPr>
        <w:t>3</w:t>
      </w:r>
      <w:r>
        <w:rPr>
          <w:rFonts w:hint="default" w:ascii="Times New Roman" w:hAnsi="Times New Roman" w:eastAsia="宋体" w:cs="Times New Roman"/>
          <w:b/>
          <w:bCs/>
          <w:color w:val="000000"/>
          <w:sz w:val="24"/>
          <w:highlight w:val="none"/>
        </w:rPr>
        <w:t xml:space="preserve"> </w:t>
      </w:r>
      <w:r>
        <w:rPr>
          <w:rFonts w:hint="eastAsia" w:ascii="Times New Roman" w:hAnsi="Times New Roman" w:eastAsia="宋体" w:cs="Times New Roman"/>
          <w:b/>
          <w:bCs/>
          <w:color w:val="000000"/>
          <w:sz w:val="24"/>
          <w:highlight w:val="none"/>
        </w:rPr>
        <w:t>洪水</w:t>
      </w:r>
      <w:r>
        <w:rPr>
          <w:rFonts w:hint="default" w:ascii="Times New Roman" w:hAnsi="Times New Roman" w:eastAsia="宋体" w:cs="Times New Roman"/>
          <w:b/>
          <w:bCs/>
          <w:color w:val="000000"/>
          <w:sz w:val="24"/>
          <w:highlight w:val="none"/>
        </w:rPr>
        <w:t>风险</w:t>
      </w:r>
      <w:bookmarkEnd w:id="282"/>
      <w:bookmarkEnd w:id="283"/>
    </w:p>
    <w:p>
      <w:pPr>
        <w:pStyle w:val="21"/>
        <w:adjustRightInd w:val="0"/>
        <w:snapToGrid w:val="0"/>
        <w:spacing w:after="0" w:line="480" w:lineRule="exact"/>
        <w:ind w:firstLine="480" w:firstLineChars="200"/>
        <w:rPr>
          <w:rFonts w:hint="default" w:ascii="Times New Roman" w:hAnsi="Times New Roman" w:eastAsia="宋体" w:cs="Times New Roman"/>
          <w:color w:val="000000"/>
          <w:sz w:val="24"/>
          <w:highlight w:val="none"/>
        </w:rPr>
      </w:pPr>
      <w:r>
        <w:rPr>
          <w:rFonts w:hint="eastAsia" w:ascii="Times New Roman" w:hAnsi="Times New Roman" w:eastAsia="宋体" w:cs="Times New Roman"/>
          <w:color w:val="000000"/>
          <w:sz w:val="24"/>
          <w:highlight w:val="none"/>
        </w:rPr>
        <w:t>本项目电站属于“引滦入津工程”引水发电工程，在引水期，橡胶坝充气引水，橡胶坝上游为“引滦入津工程”输水渠，不受洪水影响。</w:t>
      </w:r>
    </w:p>
    <w:p>
      <w:pPr>
        <w:pStyle w:val="21"/>
        <w:adjustRightInd w:val="0"/>
        <w:snapToGrid w:val="0"/>
        <w:spacing w:after="0" w:line="480" w:lineRule="exact"/>
        <w:rPr>
          <w:rFonts w:hint="default" w:ascii="Times New Roman" w:hAnsi="Times New Roman" w:eastAsia="宋体" w:cs="Times New Roman"/>
          <w:b/>
          <w:bCs/>
          <w:color w:val="000000"/>
          <w:sz w:val="24"/>
          <w:highlight w:val="none"/>
        </w:rPr>
      </w:pPr>
      <w:bookmarkStart w:id="284" w:name="_Toc13049"/>
      <w:bookmarkStart w:id="285" w:name="_Toc29169"/>
      <w:r>
        <w:rPr>
          <w:rFonts w:hint="eastAsia" w:ascii="Times New Roman" w:hAnsi="Times New Roman" w:eastAsia="宋体" w:cs="Times New Roman"/>
          <w:b/>
          <w:bCs/>
          <w:color w:val="000000"/>
          <w:sz w:val="24"/>
          <w:highlight w:val="none"/>
        </w:rPr>
        <w:t>6.</w:t>
      </w:r>
      <w:r>
        <w:rPr>
          <w:rFonts w:hint="eastAsia" w:ascii="Times New Roman" w:hAnsi="Times New Roman" w:eastAsia="宋体" w:cs="Times New Roman"/>
          <w:b/>
          <w:bCs/>
          <w:color w:val="000000"/>
          <w:sz w:val="24"/>
          <w:highlight w:val="none"/>
          <w:lang w:val="en-US" w:eastAsia="zh-CN"/>
        </w:rPr>
        <w:t>5</w:t>
      </w:r>
      <w:r>
        <w:rPr>
          <w:rFonts w:hint="default" w:ascii="Times New Roman" w:hAnsi="Times New Roman" w:eastAsia="宋体" w:cs="Times New Roman"/>
          <w:b/>
          <w:bCs/>
          <w:color w:val="000000"/>
          <w:sz w:val="24"/>
          <w:highlight w:val="none"/>
        </w:rPr>
        <w:t>.</w:t>
      </w:r>
      <w:r>
        <w:rPr>
          <w:rFonts w:hint="eastAsia" w:ascii="Times New Roman" w:hAnsi="Times New Roman" w:eastAsia="宋体" w:cs="Times New Roman"/>
          <w:b/>
          <w:bCs/>
          <w:color w:val="000000"/>
          <w:sz w:val="24"/>
          <w:highlight w:val="none"/>
        </w:rPr>
        <w:t>4</w:t>
      </w:r>
      <w:r>
        <w:rPr>
          <w:rFonts w:hint="default" w:ascii="Times New Roman" w:hAnsi="Times New Roman" w:eastAsia="宋体" w:cs="Times New Roman"/>
          <w:b/>
          <w:bCs/>
          <w:color w:val="000000"/>
          <w:sz w:val="24"/>
          <w:highlight w:val="none"/>
        </w:rPr>
        <w:t xml:space="preserve"> </w:t>
      </w:r>
      <w:r>
        <w:rPr>
          <w:rFonts w:hint="eastAsia" w:ascii="Times New Roman" w:hAnsi="Times New Roman" w:eastAsia="宋体" w:cs="Times New Roman"/>
          <w:b/>
          <w:bCs/>
          <w:color w:val="000000"/>
          <w:sz w:val="24"/>
          <w:highlight w:val="none"/>
        </w:rPr>
        <w:t>溃坝风险</w:t>
      </w:r>
      <w:bookmarkEnd w:id="284"/>
      <w:bookmarkEnd w:id="285"/>
    </w:p>
    <w:p>
      <w:pPr>
        <w:pStyle w:val="21"/>
        <w:adjustRightInd w:val="0"/>
        <w:snapToGrid w:val="0"/>
        <w:spacing w:after="0" w:line="480" w:lineRule="exact"/>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rPr>
        <w:t>本项目为橡胶坝，水头超过橡胶坝则自然漫流，无溃坝风险</w:t>
      </w:r>
      <w:r>
        <w:rPr>
          <w:rFonts w:hint="eastAsia" w:ascii="Times New Roman" w:hAnsi="Times New Roman" w:eastAsia="宋体" w:cs="Times New Roman"/>
          <w:color w:val="auto"/>
          <w:sz w:val="24"/>
          <w:highlight w:val="none"/>
          <w:lang w:eastAsia="zh-CN"/>
        </w:rPr>
        <w:t>。</w:t>
      </w:r>
    </w:p>
    <w:p>
      <w:pPr>
        <w:pStyle w:val="21"/>
        <w:adjustRightInd w:val="0"/>
        <w:snapToGrid w:val="0"/>
        <w:spacing w:after="0" w:line="480" w:lineRule="exact"/>
        <w:rPr>
          <w:rFonts w:hint="default" w:ascii="Times New Roman" w:hAnsi="Times New Roman" w:eastAsia="宋体" w:cs="Times New Roman"/>
          <w:b/>
          <w:bCs/>
          <w:color w:val="auto"/>
          <w:sz w:val="24"/>
          <w:highlight w:val="none"/>
          <w:lang w:val="en-US" w:eastAsia="zh-CN"/>
        </w:rPr>
      </w:pPr>
      <w:bookmarkStart w:id="286" w:name="_Toc7777"/>
      <w:r>
        <w:rPr>
          <w:rFonts w:hint="eastAsia" w:ascii="Times New Roman" w:hAnsi="Times New Roman" w:eastAsia="宋体" w:cs="Times New Roman"/>
          <w:b/>
          <w:bCs/>
          <w:color w:val="auto"/>
          <w:sz w:val="24"/>
          <w:highlight w:val="none"/>
        </w:rPr>
        <w:t>6.</w:t>
      </w:r>
      <w:r>
        <w:rPr>
          <w:rFonts w:hint="eastAsia" w:ascii="Times New Roman" w:hAnsi="Times New Roman" w:eastAsia="宋体" w:cs="Times New Roman"/>
          <w:b/>
          <w:bCs/>
          <w:color w:val="auto"/>
          <w:sz w:val="24"/>
          <w:highlight w:val="none"/>
          <w:lang w:val="en-US" w:eastAsia="zh-CN"/>
        </w:rPr>
        <w:t>5</w:t>
      </w:r>
      <w:r>
        <w:rPr>
          <w:rFonts w:hint="default" w:ascii="Times New Roman" w:hAnsi="Times New Roman" w:eastAsia="宋体" w:cs="Times New Roman"/>
          <w:b/>
          <w:bCs/>
          <w:color w:val="auto"/>
          <w:sz w:val="24"/>
          <w:highlight w:val="none"/>
        </w:rPr>
        <w:t>.</w:t>
      </w:r>
      <w:r>
        <w:rPr>
          <w:rFonts w:hint="eastAsia" w:ascii="Times New Roman" w:hAnsi="Times New Roman" w:eastAsia="宋体" w:cs="Times New Roman"/>
          <w:b/>
          <w:bCs/>
          <w:color w:val="auto"/>
          <w:sz w:val="24"/>
          <w:highlight w:val="none"/>
          <w:lang w:val="en-US" w:eastAsia="zh-CN"/>
        </w:rPr>
        <w:t>5</w:t>
      </w:r>
      <w:r>
        <w:rPr>
          <w:rFonts w:hint="default" w:ascii="Times New Roman" w:hAnsi="Times New Roman" w:eastAsia="宋体" w:cs="Times New Roman"/>
          <w:b/>
          <w:bCs/>
          <w:color w:val="auto"/>
          <w:sz w:val="24"/>
          <w:highlight w:val="none"/>
        </w:rPr>
        <w:t xml:space="preserve"> </w:t>
      </w:r>
      <w:r>
        <w:rPr>
          <w:rFonts w:hint="default" w:ascii="Times New Roman" w:hAnsi="Times New Roman" w:eastAsia="宋体" w:cs="Times New Roman"/>
          <w:b/>
          <w:bCs/>
          <w:color w:val="auto"/>
          <w:sz w:val="24"/>
          <w:highlight w:val="none"/>
          <w:lang w:val="en-US" w:eastAsia="zh-CN"/>
        </w:rPr>
        <w:t>水体富营养化风险</w:t>
      </w:r>
      <w:bookmarkEnd w:id="286"/>
    </w:p>
    <w:p>
      <w:pPr>
        <w:pStyle w:val="426"/>
        <w:rPr>
          <w:rFonts w:hint="default" w:ascii="Times New Roman" w:hAnsi="Times New Roman" w:cs="Times New Roman"/>
          <w:color w:val="auto"/>
          <w:spacing w:val="0"/>
          <w:w w:val="100"/>
          <w:kern w:val="0"/>
          <w:position w:val="0"/>
          <w:highlight w:val="none"/>
          <w:lang w:val="en-US"/>
        </w:rPr>
      </w:pPr>
      <w:r>
        <w:rPr>
          <w:rFonts w:hint="default" w:ascii="Times New Roman" w:hAnsi="Times New Roman" w:cs="Times New Roman"/>
          <w:color w:val="auto"/>
          <w:spacing w:val="0"/>
          <w:w w:val="100"/>
          <w:kern w:val="0"/>
          <w:position w:val="0"/>
          <w:highlight w:val="none"/>
          <w:lang w:val="en-US"/>
        </w:rPr>
        <w:t>水体富营养化（eutrophication）指的是水体中N、P等营养盐含量过多而引起的水质污染现象。其实质是由于营养盐的输入输出失去平衡性，从而导致水生态系统物种分布失衡，单一物种疯长，破坏了系统的物质与能量的流动，使整个水生态系统逐渐走向灭亡。对于水电站而言，水库水体富营养化的主要原因是水库筑坝蓄水，形成封闭、半封闭性水体或滞流性河流，使得水库原有营养物质输入输出体系失衡。</w:t>
      </w:r>
    </w:p>
    <w:p>
      <w:pPr>
        <w:pStyle w:val="426"/>
        <w:keepNext w:val="0"/>
        <w:keepLines w:val="0"/>
        <w:pageBreakBefore w:val="0"/>
        <w:widowControl w:val="0"/>
        <w:kinsoku/>
        <w:wordWrap/>
        <w:overflowPunct/>
        <w:topLinePunct w:val="0"/>
        <w:autoSpaceDE/>
        <w:autoSpaceDN/>
        <w:bidi w:val="0"/>
        <w:spacing w:line="480" w:lineRule="exact"/>
        <w:textAlignment w:val="auto"/>
        <w:rPr>
          <w:rFonts w:hint="default" w:ascii="Times New Roman" w:hAnsi="Times New Roman" w:eastAsia="宋体" w:cs="Times New Roman"/>
          <w:color w:val="auto"/>
          <w:sz w:val="24"/>
          <w:szCs w:val="24"/>
          <w:highlight w:val="none"/>
          <w:lang w:val="en-US" w:eastAsia="zh-CN"/>
        </w:rPr>
      </w:pPr>
      <w:r>
        <w:rPr>
          <w:rFonts w:hint="eastAsia"/>
          <w:color w:val="auto"/>
          <w:highlight w:val="none"/>
        </w:rPr>
        <w:t>本项目</w:t>
      </w:r>
      <w:r>
        <w:rPr>
          <w:rFonts w:hint="default" w:ascii="Times New Roman" w:hAnsi="Times New Roman" w:eastAsia="宋体" w:cs="Times New Roman"/>
          <w:color w:val="auto"/>
          <w:sz w:val="24"/>
          <w:szCs w:val="24"/>
          <w:highlight w:val="none"/>
          <w:lang w:val="en-US" w:eastAsia="zh-CN"/>
        </w:rPr>
        <w:t>属于发电为主的小，</w:t>
      </w:r>
      <w:r>
        <w:rPr>
          <w:rFonts w:hint="eastAsia" w:ascii="Times New Roman" w:hAnsi="Times New Roman" w:eastAsia="宋体" w:cs="Times New Roman"/>
          <w:color w:val="auto"/>
          <w:sz w:val="24"/>
          <w:szCs w:val="24"/>
          <w:highlight w:val="none"/>
          <w:lang w:val="en-US" w:eastAsia="zh-CN"/>
        </w:rPr>
        <w:t>橡胶坝</w:t>
      </w:r>
      <w:r>
        <w:rPr>
          <w:rFonts w:hint="default" w:ascii="Times New Roman" w:hAnsi="Times New Roman" w:eastAsia="宋体" w:cs="Times New Roman"/>
          <w:color w:val="auto"/>
          <w:sz w:val="24"/>
          <w:szCs w:val="24"/>
          <w:highlight w:val="none"/>
          <w:lang w:val="en-US" w:eastAsia="zh-CN"/>
        </w:rPr>
        <w:t>为拦河坝式，拦河坝坝长较短，坝高较矮，坝前</w:t>
      </w:r>
      <w:r>
        <w:rPr>
          <w:rFonts w:hint="eastAsia" w:ascii="Times New Roman" w:hAnsi="Times New Roman" w:eastAsia="宋体" w:cs="Times New Roman"/>
          <w:color w:val="auto"/>
          <w:sz w:val="24"/>
          <w:szCs w:val="24"/>
          <w:highlight w:val="none"/>
          <w:lang w:val="en-US" w:eastAsia="zh-CN"/>
        </w:rPr>
        <w:t>在非输水期</w:t>
      </w:r>
      <w:r>
        <w:rPr>
          <w:rFonts w:hint="default" w:ascii="Times New Roman" w:hAnsi="Times New Roman" w:eastAsia="宋体" w:cs="Times New Roman"/>
          <w:color w:val="auto"/>
          <w:sz w:val="24"/>
          <w:szCs w:val="24"/>
          <w:highlight w:val="none"/>
          <w:lang w:val="en-US" w:eastAsia="zh-CN"/>
        </w:rPr>
        <w:t>蓄水量较少，</w:t>
      </w:r>
      <w:r>
        <w:rPr>
          <w:rFonts w:hint="eastAsia" w:ascii="Times New Roman" w:hAnsi="Times New Roman" w:eastAsia="宋体" w:cs="Times New Roman"/>
          <w:color w:val="auto"/>
          <w:sz w:val="24"/>
          <w:szCs w:val="24"/>
          <w:highlight w:val="none"/>
          <w:lang w:val="en-US" w:eastAsia="zh-CN"/>
        </w:rPr>
        <w:t>输水期</w:t>
      </w:r>
      <w:r>
        <w:rPr>
          <w:rFonts w:hint="default" w:ascii="Times New Roman" w:hAnsi="Times New Roman" w:eastAsia="宋体" w:cs="Times New Roman"/>
          <w:color w:val="auto"/>
          <w:sz w:val="24"/>
          <w:szCs w:val="24"/>
          <w:highlight w:val="none"/>
          <w:lang w:val="en-US" w:eastAsia="zh-CN"/>
        </w:rPr>
        <w:t>水体交换较快，营养成分和污染物停留时间较短，因此，因本项目的建设而出现</w:t>
      </w:r>
      <w:r>
        <w:rPr>
          <w:rFonts w:hint="eastAsia" w:ascii="Times New Roman" w:hAnsi="Times New Roman" w:eastAsia="宋体" w:cs="Times New Roman"/>
          <w:color w:val="auto"/>
          <w:sz w:val="24"/>
          <w:szCs w:val="24"/>
          <w:highlight w:val="none"/>
          <w:lang w:val="en-US" w:eastAsia="zh-CN"/>
        </w:rPr>
        <w:t>橡胶坝前雍水区</w:t>
      </w:r>
      <w:r>
        <w:rPr>
          <w:rFonts w:hint="default" w:ascii="Times New Roman" w:hAnsi="Times New Roman" w:eastAsia="宋体" w:cs="Times New Roman"/>
          <w:color w:val="auto"/>
          <w:sz w:val="24"/>
          <w:szCs w:val="24"/>
          <w:highlight w:val="none"/>
          <w:lang w:val="en-US" w:eastAsia="zh-CN"/>
        </w:rPr>
        <w:t>水质出现富营养化的可能性较小。</w:t>
      </w:r>
    </w:p>
    <w:p>
      <w:pPr>
        <w:keepNext w:val="0"/>
        <w:keepLines w:val="0"/>
        <w:pageBreakBefore w:val="0"/>
        <w:widowControl w:val="0"/>
        <w:kinsoku/>
        <w:wordWrap/>
        <w:overflowPunct/>
        <w:topLinePunct w:val="0"/>
        <w:autoSpaceDE/>
        <w:autoSpaceDN/>
        <w:bidi w:val="0"/>
        <w:spacing w:line="480" w:lineRule="exact"/>
        <w:textAlignment w:val="auto"/>
        <w:rPr>
          <w:rFonts w:hint="eastAsia" w:ascii="Times New Roman" w:hAnsi="Times New Roman" w:eastAsia="宋体" w:cs="Times New Roman"/>
          <w:b/>
          <w:bCs w:val="0"/>
          <w:color w:val="auto"/>
          <w:sz w:val="24"/>
          <w:szCs w:val="24"/>
          <w:highlight w:val="none"/>
        </w:rPr>
      </w:pPr>
      <w:bookmarkStart w:id="287" w:name="_Toc12812"/>
      <w:bookmarkStart w:id="288" w:name="_Toc9370"/>
      <w:r>
        <w:rPr>
          <w:rFonts w:hint="eastAsia" w:ascii="Times New Roman" w:hAnsi="Times New Roman" w:eastAsia="宋体" w:cs="Times New Roman"/>
          <w:b/>
          <w:bCs w:val="0"/>
          <w:color w:val="auto"/>
          <w:sz w:val="24"/>
          <w:szCs w:val="24"/>
          <w:highlight w:val="none"/>
        </w:rPr>
        <w:t>6.</w:t>
      </w:r>
      <w:r>
        <w:rPr>
          <w:rFonts w:hint="eastAsia" w:ascii="Times New Roman" w:hAnsi="Times New Roman" w:eastAsia="宋体" w:cs="Times New Roman"/>
          <w:b/>
          <w:bCs w:val="0"/>
          <w:color w:val="auto"/>
          <w:sz w:val="24"/>
          <w:szCs w:val="24"/>
          <w:highlight w:val="none"/>
          <w:lang w:val="en-US" w:eastAsia="zh-CN"/>
        </w:rPr>
        <w:t>5</w:t>
      </w:r>
      <w:r>
        <w:rPr>
          <w:rFonts w:hint="eastAsia" w:ascii="Times New Roman" w:hAnsi="Times New Roman" w:eastAsia="宋体" w:cs="Times New Roman"/>
          <w:b/>
          <w:bCs w:val="0"/>
          <w:color w:val="auto"/>
          <w:sz w:val="24"/>
          <w:szCs w:val="24"/>
          <w:highlight w:val="none"/>
        </w:rPr>
        <w:t>.</w:t>
      </w:r>
      <w:r>
        <w:rPr>
          <w:rFonts w:hint="eastAsia" w:ascii="Times New Roman" w:hAnsi="Times New Roman" w:eastAsia="宋体" w:cs="Times New Roman"/>
          <w:b/>
          <w:bCs w:val="0"/>
          <w:color w:val="auto"/>
          <w:sz w:val="24"/>
          <w:szCs w:val="24"/>
          <w:highlight w:val="none"/>
          <w:lang w:val="en-US" w:eastAsia="zh-CN"/>
        </w:rPr>
        <w:t>6</w:t>
      </w:r>
      <w:r>
        <w:rPr>
          <w:rFonts w:hint="eastAsia" w:ascii="Times New Roman" w:hAnsi="Times New Roman" w:eastAsia="宋体" w:cs="Times New Roman"/>
          <w:b/>
          <w:bCs w:val="0"/>
          <w:color w:val="auto"/>
          <w:sz w:val="24"/>
          <w:szCs w:val="24"/>
          <w:highlight w:val="none"/>
        </w:rPr>
        <w:t xml:space="preserve"> 水质污染风险</w:t>
      </w:r>
      <w:bookmarkEnd w:id="287"/>
      <w:bookmarkEnd w:id="288"/>
    </w:p>
    <w:p>
      <w:pPr>
        <w:keepNext w:val="0"/>
        <w:keepLines w:val="0"/>
        <w:pageBreakBefore w:val="0"/>
        <w:widowControl w:val="0"/>
        <w:kinsoku/>
        <w:wordWrap/>
        <w:overflowPunct/>
        <w:topLinePunct w:val="0"/>
        <w:autoSpaceDE/>
        <w:autoSpaceDN/>
        <w:bidi w:val="0"/>
        <w:spacing w:line="480" w:lineRule="exact"/>
        <w:ind w:firstLine="480"/>
        <w:textAlignment w:val="auto"/>
        <w:rPr>
          <w:rFonts w:hint="eastAsia"/>
          <w:bCs/>
          <w:color w:val="auto"/>
          <w:sz w:val="24"/>
          <w:szCs w:val="24"/>
          <w:highlight w:val="none"/>
        </w:rPr>
      </w:pPr>
      <w:r>
        <w:rPr>
          <w:rFonts w:hint="eastAsia" w:ascii="Times New Roman" w:hAnsi="Times New Roman" w:eastAsia="宋体" w:cs="Times New Roman"/>
          <w:bCs/>
          <w:color w:val="auto"/>
          <w:sz w:val="24"/>
          <w:szCs w:val="24"/>
          <w:highlight w:val="none"/>
        </w:rPr>
        <w:t>水质污染</w:t>
      </w:r>
      <w:r>
        <w:rPr>
          <w:rFonts w:hint="eastAsia"/>
          <w:bCs/>
          <w:color w:val="auto"/>
          <w:sz w:val="24"/>
          <w:szCs w:val="24"/>
          <w:highlight w:val="none"/>
        </w:rPr>
        <w:t>风险主要存在于：①暴雨冲刷使河岸沿线高于河岸、且植被覆盖率低的地区发生水土流失，洪水夹带泥沙及土壤中的污染物质流入河道内，水质受到污染；②运载有毒有害物质的车船发生意外事故，使有毒有害物侵入河道，水质受到污染。</w:t>
      </w:r>
    </w:p>
    <w:p>
      <w:pPr>
        <w:keepNext w:val="0"/>
        <w:keepLines w:val="0"/>
        <w:pageBreakBefore w:val="0"/>
        <w:widowControl w:val="0"/>
        <w:kinsoku/>
        <w:wordWrap/>
        <w:overflowPunct/>
        <w:topLinePunct w:val="0"/>
        <w:autoSpaceDE/>
        <w:autoSpaceDN/>
        <w:bidi w:val="0"/>
        <w:spacing w:line="480" w:lineRule="exact"/>
        <w:ind w:firstLine="480"/>
        <w:textAlignment w:val="auto"/>
        <w:rPr>
          <w:rFonts w:hint="eastAsia"/>
          <w:bCs/>
          <w:color w:val="auto"/>
          <w:sz w:val="24"/>
          <w:szCs w:val="24"/>
          <w:highlight w:val="none"/>
        </w:rPr>
      </w:pPr>
      <w:r>
        <w:rPr>
          <w:rFonts w:hint="eastAsia"/>
          <w:bCs/>
          <w:color w:val="auto"/>
          <w:sz w:val="24"/>
          <w:szCs w:val="24"/>
          <w:highlight w:val="none"/>
        </w:rPr>
        <w:t>在第一种情况下，其主要影响因子为泥沙及土壤浸出物，在耕作、种植地区还包括残留在土壤中的化肥、农药及腐殖质等，当这种情况出现时，沿线生态用水及工农业用水可能会受到影响，无法满足其用水要求。</w:t>
      </w:r>
    </w:p>
    <w:p>
      <w:pPr>
        <w:pStyle w:val="426"/>
        <w:keepNext w:val="0"/>
        <w:keepLines w:val="0"/>
        <w:pageBreakBefore w:val="0"/>
        <w:widowControl w:val="0"/>
        <w:kinsoku/>
        <w:wordWrap/>
        <w:overflowPunct/>
        <w:topLinePunct w:val="0"/>
        <w:autoSpaceDE/>
        <w:autoSpaceDN/>
        <w:bidi w:val="0"/>
        <w:spacing w:line="480" w:lineRule="exact"/>
        <w:textAlignment w:val="auto"/>
        <w:rPr>
          <w:rFonts w:hint="eastAsia" w:ascii="Times New Roman" w:hAnsi="Times New Roman" w:eastAsia="宋体" w:cs="Times New Roman"/>
          <w:color w:val="auto"/>
          <w:sz w:val="24"/>
          <w:szCs w:val="24"/>
          <w:highlight w:val="none"/>
        </w:rPr>
      </w:pPr>
      <w:r>
        <w:rPr>
          <w:rFonts w:hint="eastAsia"/>
          <w:bCs/>
          <w:color w:val="auto"/>
          <w:sz w:val="24"/>
          <w:szCs w:val="24"/>
          <w:highlight w:val="none"/>
        </w:rPr>
        <w:t>当第二种情况出现特别是有毒有害物质倾入河道时，主要污染因子是有毒有害物质，考虑到这类物质大多为不发生分解的无机物及难以分解的有机物，事故点下游水质将会受到较严重污染，水体水质将无法保证使用功能的要求</w:t>
      </w:r>
      <w:r>
        <w:rPr>
          <w:rFonts w:hint="eastAsia"/>
          <w:color w:val="auto"/>
          <w:sz w:val="24"/>
          <w:szCs w:val="24"/>
          <w:highlight w:val="none"/>
        </w:rPr>
        <w:t>本项</w:t>
      </w:r>
      <w:r>
        <w:rPr>
          <w:rFonts w:hint="eastAsia" w:ascii="Times New Roman" w:hAnsi="Times New Roman" w:eastAsia="宋体" w:cs="Times New Roman"/>
          <w:color w:val="auto"/>
          <w:sz w:val="24"/>
          <w:szCs w:val="24"/>
          <w:highlight w:val="none"/>
        </w:rPr>
        <w:t>目</w:t>
      </w:r>
      <w:r>
        <w:rPr>
          <w:rFonts w:hint="eastAsia" w:ascii="Times New Roman" w:hAnsi="Times New Roman" w:eastAsia="宋体" w:cs="Times New Roman"/>
          <w:color w:val="auto"/>
          <w:sz w:val="24"/>
          <w:szCs w:val="24"/>
          <w:highlight w:val="none"/>
          <w:lang w:eastAsia="zh-CN"/>
        </w:rPr>
        <w:t>。</w:t>
      </w:r>
    </w:p>
    <w:p>
      <w:pPr>
        <w:pStyle w:val="426"/>
        <w:keepNext w:val="0"/>
        <w:keepLines w:val="0"/>
        <w:pageBreakBefore w:val="0"/>
        <w:widowControl w:val="0"/>
        <w:kinsoku/>
        <w:wordWrap/>
        <w:overflowPunct/>
        <w:topLinePunct w:val="0"/>
        <w:autoSpaceDE/>
        <w:autoSpaceDN/>
        <w:bidi w:val="0"/>
        <w:spacing w:line="480" w:lineRule="exact"/>
        <w:ind w:left="0" w:leftChars="0" w:firstLine="0" w:firstLineChars="0"/>
        <w:textAlignment w:val="auto"/>
        <w:rPr>
          <w:rFonts w:hint="eastAsia" w:ascii="Times New Roman" w:hAnsi="Times New Roman" w:eastAsia="宋体" w:cs="Times New Roman"/>
          <w:b/>
          <w:bCs/>
          <w:color w:val="auto"/>
          <w:sz w:val="24"/>
          <w:szCs w:val="24"/>
          <w:highlight w:val="none"/>
        </w:rPr>
      </w:pPr>
      <w:bookmarkStart w:id="289" w:name="_Toc40196721"/>
      <w:bookmarkStart w:id="290" w:name="_Toc46734087"/>
      <w:bookmarkStart w:id="291" w:name="_Toc9286"/>
      <w:r>
        <w:rPr>
          <w:rFonts w:hint="eastAsia" w:ascii="Times New Roman" w:hAnsi="Times New Roman" w:eastAsia="宋体" w:cs="Times New Roman"/>
          <w:b/>
          <w:bCs/>
          <w:color w:val="auto"/>
          <w:sz w:val="24"/>
          <w:szCs w:val="24"/>
          <w:highlight w:val="none"/>
          <w:lang w:val="en-US" w:eastAsia="zh-CN"/>
        </w:rPr>
        <w:t>6.5.7</w:t>
      </w:r>
      <w:r>
        <w:rPr>
          <w:rFonts w:hint="eastAsia" w:ascii="Times New Roman" w:hAnsi="Times New Roman" w:eastAsia="宋体" w:cs="Times New Roman"/>
          <w:b/>
          <w:bCs/>
          <w:color w:val="auto"/>
          <w:sz w:val="24"/>
          <w:szCs w:val="24"/>
          <w:highlight w:val="none"/>
        </w:rPr>
        <w:t>环境风险应急预案</w:t>
      </w:r>
      <w:bookmarkEnd w:id="289"/>
      <w:bookmarkEnd w:id="290"/>
      <w:bookmarkEnd w:id="291"/>
    </w:p>
    <w:p>
      <w:pPr>
        <w:pStyle w:val="426"/>
        <w:keepNext w:val="0"/>
        <w:keepLines w:val="0"/>
        <w:pageBreakBefore w:val="0"/>
        <w:widowControl w:val="0"/>
        <w:kinsoku/>
        <w:wordWrap/>
        <w:overflowPunct/>
        <w:topLinePunct w:val="0"/>
        <w:autoSpaceDE/>
        <w:autoSpaceDN/>
        <w:bidi w:val="0"/>
        <w:spacing w:line="480" w:lineRule="exact"/>
        <w:textAlignment w:val="auto"/>
        <w:rPr>
          <w:color w:val="000000"/>
          <w:sz w:val="24"/>
          <w:highlight w:val="none"/>
        </w:rPr>
      </w:pPr>
      <w:r>
        <w:rPr>
          <w:rFonts w:hint="eastAsia" w:ascii="Times New Roman" w:hAnsi="Times New Roman" w:eastAsia="宋体" w:cs="Times New Roman"/>
          <w:color w:val="auto"/>
          <w:sz w:val="24"/>
          <w:szCs w:val="24"/>
          <w:highlight w:val="none"/>
        </w:rPr>
        <w:t>根</w:t>
      </w:r>
      <w:r>
        <w:rPr>
          <w:rFonts w:hint="eastAsia"/>
          <w:color w:val="000000"/>
          <w:sz w:val="24"/>
          <w:highlight w:val="none"/>
        </w:rPr>
        <w:t>据《中华人民共和国环境保护法》第四十七条规定，各级人民政府及其有关部门和企业事业单位，应当依照《中华人民共和国突发事件应对法》的规定，做好突发环境事件的风险控制、应急准备、应急处置和事后恢复等工作。企业事业单位应当按照国家有关规定制定突发环境事件应急预案，报生态环境主管部门和有关部门备案。在发生或者可能发生突发环境事件时，企业事业单位应当立即采取措施处理盟，及时通报可能受到危害的单位和居民，并向生态环境主管部门和有关部门报告。</w:t>
      </w:r>
    </w:p>
    <w:p>
      <w:pPr>
        <w:spacing w:line="480" w:lineRule="exact"/>
        <w:ind w:firstLine="480" w:firstLineChars="200"/>
        <w:rPr>
          <w:color w:val="000000"/>
          <w:sz w:val="24"/>
          <w:highlight w:val="none"/>
        </w:rPr>
      </w:pPr>
      <w:r>
        <w:rPr>
          <w:rFonts w:hint="eastAsia"/>
          <w:color w:val="000000"/>
          <w:sz w:val="24"/>
          <w:highlight w:val="none"/>
        </w:rPr>
        <w:t>（1）信息报告</w:t>
      </w:r>
    </w:p>
    <w:p>
      <w:pPr>
        <w:spacing w:line="480" w:lineRule="exact"/>
        <w:ind w:firstLine="480" w:firstLineChars="200"/>
        <w:rPr>
          <w:color w:val="000000"/>
          <w:sz w:val="24"/>
          <w:highlight w:val="none"/>
        </w:rPr>
      </w:pPr>
      <w:r>
        <w:rPr>
          <w:rFonts w:hint="eastAsia"/>
          <w:color w:val="000000"/>
          <w:sz w:val="24"/>
          <w:highlight w:val="none"/>
        </w:rPr>
        <w:t>特别重大或者重大突发公共事件发生后，要立即报告上级应急指挥机构并通报有关地区和部门，最迟不得超过 4 小时。应急处置过程中，要及时续报有关情况。</w:t>
      </w:r>
    </w:p>
    <w:p>
      <w:pPr>
        <w:spacing w:line="480" w:lineRule="exact"/>
        <w:ind w:firstLine="480" w:firstLineChars="200"/>
        <w:rPr>
          <w:color w:val="000000"/>
          <w:sz w:val="24"/>
          <w:highlight w:val="none"/>
        </w:rPr>
      </w:pPr>
      <w:r>
        <w:rPr>
          <w:rFonts w:hint="eastAsia"/>
          <w:color w:val="000000"/>
          <w:sz w:val="24"/>
          <w:highlight w:val="none"/>
        </w:rPr>
        <w:t>（2）先期处置</w:t>
      </w:r>
    </w:p>
    <w:p>
      <w:pPr>
        <w:spacing w:line="480" w:lineRule="exact"/>
        <w:ind w:firstLine="480" w:firstLineChars="200"/>
        <w:rPr>
          <w:color w:val="000000"/>
          <w:sz w:val="24"/>
          <w:highlight w:val="none"/>
        </w:rPr>
      </w:pPr>
      <w:r>
        <w:rPr>
          <w:rFonts w:hint="eastAsia"/>
          <w:color w:val="000000"/>
          <w:sz w:val="24"/>
          <w:highlight w:val="none"/>
        </w:rPr>
        <w:t>突发公共事件发生后，在报告特别重大、重大突发公共事件信息的同时，要根据职责和规定的权限启动相关应急预案，及时、有效地进行处置，控制事态。</w:t>
      </w:r>
    </w:p>
    <w:p>
      <w:pPr>
        <w:spacing w:line="480" w:lineRule="exact"/>
        <w:ind w:firstLine="480" w:firstLineChars="200"/>
        <w:rPr>
          <w:color w:val="000000"/>
          <w:sz w:val="24"/>
          <w:highlight w:val="none"/>
        </w:rPr>
      </w:pPr>
      <w:r>
        <w:rPr>
          <w:rFonts w:hint="eastAsia"/>
          <w:color w:val="000000"/>
          <w:sz w:val="24"/>
          <w:highlight w:val="none"/>
        </w:rPr>
        <w:t>（3）应急响应</w:t>
      </w:r>
    </w:p>
    <w:p>
      <w:pPr>
        <w:spacing w:line="480" w:lineRule="exact"/>
        <w:ind w:firstLine="480" w:firstLineChars="200"/>
        <w:rPr>
          <w:color w:val="000000"/>
          <w:sz w:val="24"/>
          <w:highlight w:val="none"/>
        </w:rPr>
      </w:pPr>
      <w:r>
        <w:rPr>
          <w:rFonts w:hint="eastAsia"/>
          <w:color w:val="000000"/>
          <w:sz w:val="24"/>
          <w:highlight w:val="none"/>
        </w:rPr>
        <w:t>对于限期处置未能有效控制事态的特别重大突发公共事件，要及时启动有关预案，由上一级应急指挥机构统一指挥或指导有关地区、部门开展处置工作。</w:t>
      </w:r>
    </w:p>
    <w:p>
      <w:pPr>
        <w:spacing w:line="480" w:lineRule="exact"/>
        <w:ind w:firstLine="480" w:firstLineChars="200"/>
        <w:rPr>
          <w:color w:val="000000"/>
          <w:sz w:val="24"/>
          <w:highlight w:val="none"/>
        </w:rPr>
      </w:pPr>
      <w:r>
        <w:rPr>
          <w:rFonts w:hint="eastAsia"/>
          <w:color w:val="000000"/>
          <w:sz w:val="24"/>
          <w:highlight w:val="none"/>
        </w:rPr>
        <w:t>现场应急指挥机构负责现场的应急处置工作。需要多个相关部门共同参与处置的突发公共事件，由该类突发公共事件的业务主管部门牵头，其他部门予以协助。</w:t>
      </w:r>
    </w:p>
    <w:p>
      <w:pPr>
        <w:spacing w:line="480" w:lineRule="exact"/>
        <w:ind w:firstLine="480" w:firstLineChars="200"/>
        <w:rPr>
          <w:color w:val="000000"/>
          <w:sz w:val="24"/>
          <w:highlight w:val="none"/>
        </w:rPr>
      </w:pPr>
      <w:r>
        <w:rPr>
          <w:rFonts w:hint="eastAsia"/>
          <w:color w:val="000000"/>
          <w:sz w:val="24"/>
          <w:highlight w:val="none"/>
        </w:rPr>
        <w:t>（4）应急结束</w:t>
      </w:r>
    </w:p>
    <w:p>
      <w:pPr>
        <w:spacing w:line="480" w:lineRule="exact"/>
        <w:ind w:firstLine="480" w:firstLineChars="200"/>
        <w:rPr>
          <w:color w:val="000000"/>
          <w:sz w:val="24"/>
          <w:highlight w:val="none"/>
        </w:rPr>
      </w:pPr>
      <w:r>
        <w:rPr>
          <w:rFonts w:hint="eastAsia"/>
          <w:color w:val="000000"/>
          <w:sz w:val="24"/>
          <w:highlight w:val="none"/>
        </w:rPr>
        <w:t>特别重大突发公共事件应急处置工作结束，或者相关危险因素清除后，现场应急指挥机构予以撤销。</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color w:val="000000"/>
          <w:sz w:val="24"/>
          <w:highlight w:val="none"/>
        </w:rPr>
      </w:pPr>
      <w:r>
        <w:rPr>
          <w:rFonts w:hint="eastAsia"/>
          <w:color w:val="000000"/>
          <w:sz w:val="24"/>
          <w:highlight w:val="none"/>
        </w:rPr>
        <w:t>为此，本报告提出如下应急预案主要内容和要求建议，供企业修订预案时参考，企业应积极办理和落实应急预案，并到河池市金城江区生态环境主管部门进行备案。环境风险应急预案如下：</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color w:val="000000"/>
          <w:sz w:val="24"/>
          <w:highlight w:val="none"/>
        </w:rPr>
      </w:pPr>
      <w:r>
        <w:rPr>
          <w:rFonts w:hint="eastAsia"/>
          <w:color w:val="000000"/>
          <w:sz w:val="24"/>
          <w:highlight w:val="none"/>
        </w:rPr>
        <w:t>（</w:t>
      </w:r>
      <w:r>
        <w:rPr>
          <w:rFonts w:hint="eastAsia"/>
          <w:color w:val="000000"/>
          <w:sz w:val="24"/>
          <w:highlight w:val="none"/>
          <w:lang w:val="en-US" w:eastAsia="zh-CN"/>
        </w:rPr>
        <w:t>5</w:t>
      </w:r>
      <w:r>
        <w:rPr>
          <w:rFonts w:hint="eastAsia"/>
          <w:color w:val="000000"/>
          <w:sz w:val="24"/>
          <w:highlight w:val="none"/>
        </w:rPr>
        <w:t>）应急计划区</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color w:val="000000"/>
          <w:sz w:val="24"/>
          <w:highlight w:val="none"/>
        </w:rPr>
      </w:pPr>
      <w:r>
        <w:rPr>
          <w:rFonts w:hint="eastAsia"/>
          <w:color w:val="000000"/>
          <w:sz w:val="24"/>
          <w:highlight w:val="none"/>
        </w:rPr>
        <w:t>针对本工程可能出现的各类环境风险的特点，以及周边环境条件，其应急计划区主要包括电站管理人员。</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color w:val="000000"/>
          <w:sz w:val="24"/>
          <w:highlight w:val="none"/>
        </w:rPr>
      </w:pPr>
      <w:r>
        <w:rPr>
          <w:rFonts w:hint="eastAsia"/>
          <w:color w:val="000000"/>
          <w:sz w:val="24"/>
          <w:highlight w:val="none"/>
        </w:rPr>
        <w:t>（</w:t>
      </w:r>
      <w:r>
        <w:rPr>
          <w:rFonts w:hint="eastAsia"/>
          <w:color w:val="000000"/>
          <w:sz w:val="24"/>
          <w:highlight w:val="none"/>
          <w:lang w:val="en-US" w:eastAsia="zh-CN"/>
        </w:rPr>
        <w:t>6</w:t>
      </w:r>
      <w:r>
        <w:rPr>
          <w:rFonts w:hint="eastAsia"/>
          <w:color w:val="000000"/>
          <w:sz w:val="24"/>
          <w:highlight w:val="none"/>
        </w:rPr>
        <w:t>）应急组织机构、人员</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color w:val="000000"/>
          <w:sz w:val="24"/>
          <w:highlight w:val="none"/>
        </w:rPr>
      </w:pPr>
      <w:r>
        <w:rPr>
          <w:rFonts w:hint="eastAsia"/>
          <w:color w:val="000000"/>
          <w:sz w:val="24"/>
          <w:highlight w:val="none"/>
        </w:rPr>
        <w:t>①应急领导机构</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color w:val="000000"/>
          <w:sz w:val="24"/>
          <w:highlight w:val="none"/>
        </w:rPr>
      </w:pPr>
      <w:r>
        <w:rPr>
          <w:rFonts w:hint="eastAsia"/>
          <w:color w:val="000000"/>
          <w:sz w:val="24"/>
          <w:highlight w:val="none"/>
        </w:rPr>
        <w:t>现场应急领导机构由建设单位分管环保的领导负责</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color w:val="000000"/>
          <w:sz w:val="24"/>
          <w:highlight w:val="none"/>
        </w:rPr>
      </w:pPr>
      <w:r>
        <w:rPr>
          <w:rFonts w:hint="eastAsia"/>
          <w:color w:val="000000"/>
          <w:sz w:val="24"/>
          <w:highlight w:val="none"/>
        </w:rPr>
        <w:t>②现场指挥</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color w:val="000000"/>
          <w:sz w:val="24"/>
          <w:highlight w:val="none"/>
        </w:rPr>
      </w:pPr>
      <w:r>
        <w:rPr>
          <w:rFonts w:hint="eastAsia"/>
          <w:color w:val="000000"/>
          <w:sz w:val="24"/>
          <w:highlight w:val="none"/>
        </w:rPr>
        <w:t>由建设单位指定现场指挥。</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color w:val="000000"/>
          <w:sz w:val="24"/>
          <w:highlight w:val="none"/>
        </w:rPr>
      </w:pPr>
      <w:r>
        <w:rPr>
          <w:rFonts w:hint="eastAsia"/>
          <w:color w:val="000000"/>
          <w:sz w:val="24"/>
          <w:highlight w:val="none"/>
        </w:rPr>
        <w:t>③应急救援人员及应急程序</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color w:val="000000"/>
          <w:sz w:val="24"/>
          <w:highlight w:val="none"/>
        </w:rPr>
      </w:pPr>
      <w:r>
        <w:rPr>
          <w:rFonts w:hint="eastAsia"/>
          <w:color w:val="000000"/>
          <w:sz w:val="24"/>
          <w:highlight w:val="none"/>
        </w:rPr>
        <w:t>应急人员包括：</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color w:val="000000"/>
          <w:sz w:val="24"/>
          <w:highlight w:val="none"/>
        </w:rPr>
      </w:pPr>
      <w:r>
        <w:rPr>
          <w:rFonts w:hint="eastAsia"/>
          <w:color w:val="000000"/>
          <w:sz w:val="24"/>
          <w:highlight w:val="none"/>
        </w:rPr>
        <w:t>风险源控制组：主要负责在紧急状态下的现场抢险作业，及时控制风险源。</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color w:val="000000"/>
          <w:sz w:val="24"/>
          <w:highlight w:val="none"/>
        </w:rPr>
      </w:pPr>
      <w:r>
        <w:rPr>
          <w:rFonts w:hint="eastAsia"/>
          <w:color w:val="000000"/>
          <w:sz w:val="24"/>
          <w:highlight w:val="none"/>
        </w:rPr>
        <w:t>伤员抢救组：负责现场伤员的紧急处理，并护送伤员到医疗点救治。</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color w:val="000000"/>
          <w:sz w:val="24"/>
          <w:highlight w:val="none"/>
        </w:rPr>
      </w:pPr>
      <w:r>
        <w:rPr>
          <w:rFonts w:hint="eastAsia"/>
          <w:color w:val="000000"/>
          <w:sz w:val="24"/>
          <w:highlight w:val="none"/>
        </w:rPr>
        <w:t>安全警戒组：负责布置安全警戒，禁止人员、车辆进入危险区域。</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color w:val="000000"/>
          <w:sz w:val="24"/>
          <w:highlight w:val="none"/>
        </w:rPr>
      </w:pPr>
      <w:r>
        <w:rPr>
          <w:rFonts w:hint="eastAsia"/>
          <w:color w:val="000000"/>
          <w:sz w:val="24"/>
          <w:highlight w:val="none"/>
        </w:rPr>
        <w:t>（</w:t>
      </w:r>
      <w:r>
        <w:rPr>
          <w:rFonts w:hint="eastAsia"/>
          <w:color w:val="000000"/>
          <w:sz w:val="24"/>
          <w:highlight w:val="none"/>
          <w:lang w:val="en-US" w:eastAsia="zh-CN"/>
        </w:rPr>
        <w:t>7</w:t>
      </w:r>
      <w:r>
        <w:rPr>
          <w:rFonts w:hint="eastAsia"/>
          <w:color w:val="000000"/>
          <w:sz w:val="24"/>
          <w:highlight w:val="none"/>
        </w:rPr>
        <w:t>）应急救援保障措施</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color w:val="000000"/>
          <w:sz w:val="24"/>
          <w:highlight w:val="none"/>
        </w:rPr>
      </w:pPr>
      <w:r>
        <w:rPr>
          <w:rFonts w:hint="eastAsia"/>
          <w:color w:val="000000"/>
          <w:sz w:val="24"/>
          <w:highlight w:val="none"/>
        </w:rPr>
        <w:t>风险源控制组对事故现场进行调查，对事故类型、发生时间、污染源、主要污染物、影响范围和程度等进行调查分析，形成初步意见，反馈现场指探和应急领导机构。</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color w:val="000000"/>
          <w:sz w:val="24"/>
          <w:highlight w:val="none"/>
        </w:rPr>
      </w:pPr>
      <w:r>
        <w:rPr>
          <w:rFonts w:hint="eastAsia"/>
          <w:color w:val="000000"/>
          <w:sz w:val="24"/>
          <w:highlight w:val="none"/>
        </w:rPr>
        <w:t>安全警戒组在事故区域设置警戒标识，禁止无关人员及车辆出入，各小组协作，由专业人员负责，及时控制风险源，切断传插途径，控制防火、防爆区域，对污染源及时进行处置，防治污染物扩散。</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color w:val="000000"/>
          <w:sz w:val="24"/>
          <w:highlight w:val="none"/>
        </w:rPr>
      </w:pPr>
      <w:r>
        <w:rPr>
          <w:rFonts w:hint="eastAsia"/>
          <w:color w:val="000000"/>
          <w:sz w:val="24"/>
          <w:highlight w:val="none"/>
        </w:rPr>
        <w:t>（</w:t>
      </w:r>
      <w:r>
        <w:rPr>
          <w:rFonts w:hint="eastAsia"/>
          <w:color w:val="000000"/>
          <w:sz w:val="24"/>
          <w:highlight w:val="none"/>
          <w:lang w:val="en-US" w:eastAsia="zh-CN"/>
        </w:rPr>
        <w:t>8</w:t>
      </w:r>
      <w:r>
        <w:rPr>
          <w:rFonts w:hint="eastAsia"/>
          <w:color w:val="000000"/>
          <w:sz w:val="24"/>
          <w:highlight w:val="none"/>
        </w:rPr>
        <w:t>）报警、通讯联络方式</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color w:val="000000"/>
          <w:sz w:val="24"/>
          <w:highlight w:val="none"/>
        </w:rPr>
      </w:pPr>
      <w:r>
        <w:rPr>
          <w:rFonts w:hint="eastAsia"/>
          <w:color w:val="000000"/>
          <w:sz w:val="24"/>
          <w:highlight w:val="none"/>
        </w:rPr>
        <w:t>采用应急状态下的报警通讯方式。</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color w:val="000000"/>
          <w:sz w:val="24"/>
          <w:highlight w:val="none"/>
        </w:rPr>
      </w:pPr>
      <w:r>
        <w:rPr>
          <w:rFonts w:hint="eastAsia"/>
          <w:color w:val="000000"/>
          <w:sz w:val="24"/>
          <w:highlight w:val="none"/>
        </w:rPr>
        <w:t>（</w:t>
      </w:r>
      <w:r>
        <w:rPr>
          <w:rFonts w:hint="eastAsia"/>
          <w:color w:val="000000"/>
          <w:sz w:val="24"/>
          <w:highlight w:val="none"/>
          <w:lang w:val="en-US" w:eastAsia="zh-CN"/>
        </w:rPr>
        <w:t>9</w:t>
      </w:r>
      <w:r>
        <w:rPr>
          <w:rFonts w:hint="eastAsia"/>
          <w:color w:val="000000"/>
          <w:sz w:val="24"/>
          <w:highlight w:val="none"/>
        </w:rPr>
        <w:t>）事故应急培训计划</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color w:val="000000"/>
          <w:sz w:val="24"/>
          <w:highlight w:val="none"/>
        </w:rPr>
      </w:pPr>
      <w:r>
        <w:rPr>
          <w:rFonts w:hint="eastAsia"/>
          <w:color w:val="000000"/>
          <w:sz w:val="24"/>
          <w:highlight w:val="none"/>
        </w:rPr>
        <w:t>为了确保应急计划有效性和可操作性，必须预先对计划中所涉及的人员、设备器材等进行训练和保养，使参加应急行动的每一个人都能做到应知应会、熟练、掌握。</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color w:val="000000"/>
          <w:sz w:val="24"/>
          <w:highlight w:val="none"/>
        </w:rPr>
      </w:pPr>
      <w:r>
        <w:rPr>
          <w:rFonts w:hint="eastAsia"/>
          <w:color w:val="000000"/>
          <w:sz w:val="24"/>
          <w:highlight w:val="none"/>
        </w:rPr>
        <w:t>定期组织应急人员培训，做受培训人员能掌握使用和维护、保养各种应急设备和器材，并具有在指挥人员指导下完成应急反应能力。</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color w:val="000000"/>
          <w:sz w:val="24"/>
          <w:highlight w:val="none"/>
        </w:rPr>
      </w:pPr>
      <w:r>
        <w:rPr>
          <w:rFonts w:hint="eastAsia"/>
          <w:color w:val="000000"/>
          <w:sz w:val="24"/>
          <w:highlight w:val="none"/>
        </w:rPr>
        <w:t>（</w:t>
      </w:r>
      <w:r>
        <w:rPr>
          <w:rFonts w:hint="eastAsia"/>
          <w:color w:val="000000"/>
          <w:sz w:val="24"/>
          <w:highlight w:val="none"/>
          <w:lang w:val="en-US" w:eastAsia="zh-CN"/>
        </w:rPr>
        <w:t>10</w:t>
      </w:r>
      <w:r>
        <w:rPr>
          <w:rFonts w:hint="eastAsia"/>
          <w:color w:val="000000"/>
          <w:sz w:val="24"/>
          <w:highlight w:val="none"/>
        </w:rPr>
        <w:t>）公众教育和信息</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color w:val="000000"/>
          <w:sz w:val="24"/>
          <w:highlight w:val="none"/>
        </w:rPr>
      </w:pPr>
      <w:r>
        <w:rPr>
          <w:rFonts w:hint="eastAsia"/>
          <w:color w:val="000000"/>
          <w:sz w:val="24"/>
          <w:highlight w:val="none"/>
        </w:rPr>
        <w:t>对可能发生事故的附近区域居民和施工人员进行宣传教育</w:t>
      </w:r>
    </w:p>
    <w:p>
      <w:pPr>
        <w:pStyle w:val="420"/>
        <w:keepNext w:val="0"/>
        <w:keepLines w:val="0"/>
        <w:pageBreakBefore w:val="0"/>
        <w:kinsoku/>
        <w:wordWrap/>
        <w:overflowPunct/>
        <w:topLinePunct w:val="0"/>
        <w:autoSpaceDE/>
        <w:autoSpaceDN/>
        <w:bidi w:val="0"/>
        <w:adjustRightInd/>
        <w:snapToGrid/>
        <w:spacing w:line="440" w:lineRule="exact"/>
        <w:textAlignment w:val="auto"/>
        <w:rPr>
          <w:rFonts w:ascii="Times New Roman" w:hAnsi="Times New Roman" w:eastAsia="宋体" w:cs="Times New Roman"/>
          <w:b/>
          <w:bCs/>
          <w:color w:val="000000"/>
          <w:highlight w:val="none"/>
        </w:rPr>
      </w:pPr>
      <w:bookmarkStart w:id="292" w:name="_Toc40196726"/>
      <w:bookmarkStart w:id="293" w:name="_Toc3949"/>
      <w:bookmarkStart w:id="294" w:name="_Toc46734092"/>
      <w:r>
        <w:rPr>
          <w:rFonts w:hint="eastAsia" w:ascii="Times New Roman" w:hAnsi="Times New Roman" w:eastAsia="宋体" w:cs="Times New Roman"/>
          <w:b/>
          <w:bCs/>
          <w:color w:val="000000"/>
          <w:highlight w:val="none"/>
        </w:rPr>
        <w:t>6.5</w:t>
      </w:r>
      <w:r>
        <w:rPr>
          <w:rFonts w:hint="eastAsia" w:ascii="Times New Roman" w:hAnsi="Times New Roman" w:eastAsia="宋体" w:cs="Times New Roman"/>
          <w:b/>
          <w:bCs/>
          <w:color w:val="000000"/>
          <w:highlight w:val="none"/>
          <w:lang w:val="en-US" w:eastAsia="zh-CN"/>
        </w:rPr>
        <w:t>.8</w:t>
      </w:r>
      <w:r>
        <w:rPr>
          <w:rFonts w:hint="eastAsia" w:ascii="Times New Roman" w:hAnsi="Times New Roman" w:eastAsia="宋体" w:cs="Times New Roman"/>
          <w:b/>
          <w:bCs/>
          <w:color w:val="000000"/>
          <w:highlight w:val="none"/>
        </w:rPr>
        <w:t xml:space="preserve"> </w:t>
      </w:r>
      <w:r>
        <w:rPr>
          <w:rFonts w:ascii="Times New Roman" w:hAnsi="Times New Roman" w:eastAsia="宋体" w:cs="Times New Roman"/>
          <w:b/>
          <w:bCs/>
          <w:color w:val="000000"/>
          <w:highlight w:val="none"/>
        </w:rPr>
        <w:t>风险防范设施验收一览表</w:t>
      </w:r>
      <w:bookmarkEnd w:id="292"/>
      <w:bookmarkEnd w:id="293"/>
      <w:bookmarkEnd w:id="294"/>
    </w:p>
    <w:p>
      <w:pPr>
        <w:pStyle w:val="420"/>
        <w:keepNext w:val="0"/>
        <w:keepLines w:val="0"/>
        <w:pageBreakBefore w:val="0"/>
        <w:kinsoku/>
        <w:wordWrap/>
        <w:overflowPunct/>
        <w:topLinePunct w:val="0"/>
        <w:autoSpaceDE/>
        <w:autoSpaceDN/>
        <w:bidi w:val="0"/>
        <w:adjustRightInd/>
        <w:snapToGrid/>
        <w:spacing w:line="440" w:lineRule="exact"/>
        <w:ind w:firstLine="480" w:firstLineChars="200"/>
        <w:textAlignment w:val="auto"/>
        <w:rPr>
          <w:color w:val="000000"/>
          <w:highlight w:val="none"/>
        </w:rPr>
      </w:pPr>
      <w:r>
        <w:rPr>
          <w:rFonts w:ascii="Times New Roman" w:hAnsi="Times New Roman" w:eastAsia="宋体" w:cs="Times New Roman"/>
          <w:color w:val="000000"/>
          <w:highlight w:val="none"/>
        </w:rPr>
        <w:t>项目风险</w:t>
      </w:r>
      <w:r>
        <w:rPr>
          <w:color w:val="000000"/>
          <w:highlight w:val="none"/>
        </w:rPr>
        <w:t>防范设施“三同时”验收一览表见表</w:t>
      </w:r>
      <w:r>
        <w:rPr>
          <w:rFonts w:hint="eastAsia"/>
          <w:color w:val="000000"/>
          <w:highlight w:val="none"/>
        </w:rPr>
        <w:t>6.5-1</w:t>
      </w:r>
      <w:r>
        <w:rPr>
          <w:color w:val="000000"/>
          <w:highlight w:val="none"/>
        </w:rPr>
        <w:t>。</w:t>
      </w:r>
    </w:p>
    <w:p>
      <w:pPr>
        <w:pStyle w:val="420"/>
        <w:keepNext w:val="0"/>
        <w:keepLines w:val="0"/>
        <w:pageBreakBefore w:val="0"/>
        <w:widowControl w:val="0"/>
        <w:kinsoku/>
        <w:wordWrap/>
        <w:overflowPunct/>
        <w:topLinePunct w:val="0"/>
        <w:autoSpaceDE/>
        <w:autoSpaceDN/>
        <w:bidi w:val="0"/>
        <w:adjustRightInd/>
        <w:snapToGrid/>
        <w:spacing w:line="440" w:lineRule="exact"/>
        <w:jc w:val="center"/>
        <w:textAlignment w:val="auto"/>
        <w:rPr>
          <w:b/>
          <w:snapToGrid w:val="0"/>
          <w:color w:val="000000"/>
          <w:highlight w:val="none"/>
        </w:rPr>
      </w:pPr>
      <w:r>
        <w:rPr>
          <w:b/>
          <w:color w:val="000000"/>
          <w:highlight w:val="none"/>
        </w:rPr>
        <w:t>表</w:t>
      </w:r>
      <w:r>
        <w:rPr>
          <w:rFonts w:hint="eastAsia"/>
          <w:b/>
          <w:color w:val="000000"/>
          <w:highlight w:val="none"/>
          <w:lang w:val="en-US" w:eastAsia="zh-CN"/>
        </w:rPr>
        <w:t>6</w:t>
      </w:r>
      <w:r>
        <w:rPr>
          <w:rFonts w:hint="eastAsia"/>
          <w:b/>
          <w:color w:val="000000"/>
          <w:highlight w:val="none"/>
        </w:rPr>
        <w:t>.</w:t>
      </w:r>
      <w:r>
        <w:rPr>
          <w:rFonts w:hint="eastAsia"/>
          <w:b/>
          <w:color w:val="000000"/>
          <w:highlight w:val="none"/>
          <w:lang w:val="en-US" w:eastAsia="zh-CN"/>
        </w:rPr>
        <w:t>5</w:t>
      </w:r>
      <w:r>
        <w:rPr>
          <w:rFonts w:hint="eastAsia"/>
          <w:b/>
          <w:color w:val="000000"/>
          <w:highlight w:val="none"/>
        </w:rPr>
        <w:t>-1</w:t>
      </w:r>
      <w:r>
        <w:rPr>
          <w:b/>
          <w:color w:val="000000"/>
          <w:highlight w:val="none"/>
        </w:rPr>
        <w:t xml:space="preserve">    </w:t>
      </w:r>
      <w:r>
        <w:rPr>
          <w:b/>
          <w:snapToGrid w:val="0"/>
          <w:color w:val="000000"/>
          <w:highlight w:val="none"/>
        </w:rPr>
        <w:t>风险防范设施三同时验收一览表</w:t>
      </w:r>
    </w:p>
    <w:tbl>
      <w:tblPr>
        <w:tblStyle w:val="51"/>
        <w:tblW w:w="81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
        <w:gridCol w:w="5820"/>
        <w:gridCol w:w="14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vAlign w:val="center"/>
          </w:tcPr>
          <w:p>
            <w:pPr>
              <w:keepNext w:val="0"/>
              <w:keepLines w:val="0"/>
              <w:pageBreakBefore w:val="0"/>
              <w:kinsoku/>
              <w:wordWrap/>
              <w:overflowPunct/>
              <w:topLinePunct w:val="0"/>
              <w:autoSpaceDE/>
              <w:autoSpaceDN/>
              <w:bidi w:val="0"/>
              <w:adjustRightInd/>
              <w:snapToGrid/>
              <w:spacing w:line="440" w:lineRule="exact"/>
              <w:jc w:val="center"/>
              <w:textAlignment w:val="auto"/>
              <w:rPr>
                <w:color w:val="000000"/>
                <w:szCs w:val="21"/>
                <w:highlight w:val="none"/>
              </w:rPr>
            </w:pPr>
            <w:r>
              <w:rPr>
                <w:color w:val="000000"/>
                <w:szCs w:val="21"/>
                <w:highlight w:val="none"/>
              </w:rPr>
              <w:t>项目</w:t>
            </w:r>
          </w:p>
        </w:tc>
        <w:tc>
          <w:tcPr>
            <w:tcW w:w="5820" w:type="dxa"/>
            <w:vAlign w:val="center"/>
          </w:tcPr>
          <w:p>
            <w:pPr>
              <w:keepNext w:val="0"/>
              <w:keepLines w:val="0"/>
              <w:pageBreakBefore w:val="0"/>
              <w:kinsoku/>
              <w:wordWrap/>
              <w:overflowPunct/>
              <w:topLinePunct w:val="0"/>
              <w:autoSpaceDE/>
              <w:autoSpaceDN/>
              <w:bidi w:val="0"/>
              <w:adjustRightInd/>
              <w:snapToGrid/>
              <w:spacing w:line="440" w:lineRule="exact"/>
              <w:jc w:val="center"/>
              <w:textAlignment w:val="auto"/>
              <w:rPr>
                <w:color w:val="000000"/>
                <w:szCs w:val="21"/>
                <w:highlight w:val="none"/>
              </w:rPr>
            </w:pPr>
            <w:r>
              <w:rPr>
                <w:color w:val="000000"/>
                <w:szCs w:val="21"/>
                <w:highlight w:val="none"/>
              </w:rPr>
              <w:t>风险防范措施内容</w:t>
            </w:r>
          </w:p>
        </w:tc>
        <w:tc>
          <w:tcPr>
            <w:tcW w:w="1444" w:type="dxa"/>
            <w:vAlign w:val="center"/>
          </w:tcPr>
          <w:p>
            <w:pPr>
              <w:pStyle w:val="420"/>
              <w:keepNext w:val="0"/>
              <w:keepLines w:val="0"/>
              <w:pageBreakBefore w:val="0"/>
              <w:kinsoku/>
              <w:wordWrap/>
              <w:overflowPunct/>
              <w:topLinePunct w:val="0"/>
              <w:autoSpaceDE/>
              <w:autoSpaceDN/>
              <w:bidi w:val="0"/>
              <w:adjustRightInd/>
              <w:snapToGrid/>
              <w:spacing w:line="440" w:lineRule="exact"/>
              <w:jc w:val="center"/>
              <w:textAlignment w:val="auto"/>
              <w:rPr>
                <w:color w:val="000000"/>
                <w:szCs w:val="21"/>
                <w:highlight w:val="none"/>
              </w:rPr>
            </w:pPr>
            <w:r>
              <w:rPr>
                <w:color w:val="000000"/>
                <w:sz w:val="21"/>
                <w:szCs w:val="21"/>
                <w:highlight w:val="none"/>
              </w:rPr>
              <w:t>投资</w:t>
            </w:r>
            <w:r>
              <w:rPr>
                <w:color w:val="000000"/>
                <w:szCs w:val="21"/>
                <w:highlight w:val="none"/>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vAlign w:val="center"/>
          </w:tcPr>
          <w:p>
            <w:pPr>
              <w:keepNext w:val="0"/>
              <w:keepLines w:val="0"/>
              <w:pageBreakBefore w:val="0"/>
              <w:kinsoku/>
              <w:wordWrap/>
              <w:overflowPunct/>
              <w:topLinePunct w:val="0"/>
              <w:autoSpaceDE/>
              <w:autoSpaceDN/>
              <w:bidi w:val="0"/>
              <w:adjustRightInd/>
              <w:snapToGrid/>
              <w:spacing w:line="440" w:lineRule="exact"/>
              <w:jc w:val="center"/>
              <w:textAlignment w:val="auto"/>
              <w:rPr>
                <w:color w:val="000000"/>
                <w:szCs w:val="21"/>
                <w:highlight w:val="none"/>
              </w:rPr>
            </w:pPr>
            <w:r>
              <w:rPr>
                <w:rFonts w:hint="eastAsia"/>
                <w:color w:val="000000"/>
                <w:szCs w:val="21"/>
                <w:highlight w:val="none"/>
              </w:rPr>
              <w:t>发电站房</w:t>
            </w:r>
          </w:p>
        </w:tc>
        <w:tc>
          <w:tcPr>
            <w:tcW w:w="5820" w:type="dxa"/>
            <w:vAlign w:val="center"/>
          </w:tcPr>
          <w:p>
            <w:pPr>
              <w:pStyle w:val="420"/>
              <w:keepNext w:val="0"/>
              <w:keepLines w:val="0"/>
              <w:pageBreakBefore w:val="0"/>
              <w:kinsoku/>
              <w:wordWrap/>
              <w:overflowPunct/>
              <w:topLinePunct w:val="0"/>
              <w:autoSpaceDE/>
              <w:autoSpaceDN/>
              <w:bidi w:val="0"/>
              <w:adjustRightInd/>
              <w:snapToGrid/>
              <w:spacing w:line="440" w:lineRule="exact"/>
              <w:textAlignment w:val="auto"/>
              <w:rPr>
                <w:color w:val="000000"/>
                <w:sz w:val="21"/>
                <w:szCs w:val="21"/>
                <w:highlight w:val="none"/>
              </w:rPr>
            </w:pPr>
            <w:r>
              <w:rPr>
                <w:color w:val="000000"/>
                <w:sz w:val="21"/>
                <w:szCs w:val="21"/>
                <w:highlight w:val="none"/>
              </w:rPr>
              <w:t>厂区设置火灾自动报警系统，主要包括：火灾报警控制器、火灾探测器、手动报警按钮、声光报警器等组成。设置安全警示标志、检测及堵漏器材、消防设施等。</w:t>
            </w:r>
          </w:p>
          <w:p>
            <w:pPr>
              <w:pStyle w:val="420"/>
              <w:keepNext w:val="0"/>
              <w:keepLines w:val="0"/>
              <w:pageBreakBefore w:val="0"/>
              <w:kinsoku/>
              <w:wordWrap/>
              <w:overflowPunct/>
              <w:topLinePunct w:val="0"/>
              <w:autoSpaceDE/>
              <w:autoSpaceDN/>
              <w:bidi w:val="0"/>
              <w:adjustRightInd/>
              <w:snapToGrid/>
              <w:spacing w:line="440" w:lineRule="exact"/>
              <w:textAlignment w:val="auto"/>
              <w:rPr>
                <w:color w:val="000000"/>
                <w:sz w:val="21"/>
                <w:szCs w:val="21"/>
                <w:highlight w:val="none"/>
              </w:rPr>
            </w:pPr>
            <w:r>
              <w:rPr>
                <w:color w:val="000000"/>
                <w:sz w:val="21"/>
                <w:szCs w:val="21"/>
                <w:highlight w:val="none"/>
              </w:rPr>
              <w:t>其他：防护服、防毒面具、自给式空气呼吸器、检测及堵漏器材；119火警电话、120急救电话及及应急通讯装置。</w:t>
            </w:r>
          </w:p>
        </w:tc>
        <w:tc>
          <w:tcPr>
            <w:tcW w:w="1444" w:type="dxa"/>
            <w:vAlign w:val="center"/>
          </w:tcPr>
          <w:p>
            <w:pPr>
              <w:keepNext w:val="0"/>
              <w:keepLines w:val="0"/>
              <w:pageBreakBefore w:val="0"/>
              <w:kinsoku/>
              <w:wordWrap/>
              <w:overflowPunct/>
              <w:topLinePunct w:val="0"/>
              <w:autoSpaceDE/>
              <w:autoSpaceDN/>
              <w:bidi w:val="0"/>
              <w:adjustRightInd/>
              <w:snapToGrid/>
              <w:spacing w:line="440" w:lineRule="exact"/>
              <w:jc w:val="center"/>
              <w:textAlignment w:val="auto"/>
              <w:rPr>
                <w:color w:val="000000"/>
                <w:szCs w:val="21"/>
                <w:highlight w:val="none"/>
              </w:rPr>
            </w:pPr>
            <w:r>
              <w:rPr>
                <w:color w:val="000000"/>
                <w:szCs w:val="21"/>
                <w:highlight w:val="non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vAlign w:val="center"/>
          </w:tcPr>
          <w:p>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eastAsia="宋体"/>
                <w:color w:val="000000"/>
                <w:szCs w:val="21"/>
                <w:highlight w:val="none"/>
                <w:lang w:eastAsia="zh-CN"/>
              </w:rPr>
            </w:pPr>
            <w:r>
              <w:rPr>
                <w:rFonts w:hint="eastAsia"/>
                <w:color w:val="000000"/>
                <w:szCs w:val="21"/>
                <w:highlight w:val="none"/>
                <w:lang w:eastAsia="zh-CN"/>
              </w:rPr>
              <w:t>事故池</w:t>
            </w:r>
          </w:p>
        </w:tc>
        <w:tc>
          <w:tcPr>
            <w:tcW w:w="5820" w:type="dxa"/>
            <w:vAlign w:val="center"/>
          </w:tcPr>
          <w:p>
            <w:pPr>
              <w:pStyle w:val="420"/>
              <w:keepNext w:val="0"/>
              <w:keepLines w:val="0"/>
              <w:pageBreakBefore w:val="0"/>
              <w:kinsoku/>
              <w:wordWrap/>
              <w:overflowPunct/>
              <w:topLinePunct w:val="0"/>
              <w:autoSpaceDE/>
              <w:autoSpaceDN/>
              <w:bidi w:val="0"/>
              <w:adjustRightInd/>
              <w:snapToGrid/>
              <w:spacing w:line="440" w:lineRule="exact"/>
              <w:textAlignment w:val="auto"/>
              <w:rPr>
                <w:color w:val="000000"/>
                <w:sz w:val="21"/>
                <w:szCs w:val="21"/>
                <w:highlight w:val="none"/>
              </w:rPr>
            </w:pPr>
            <w:r>
              <w:rPr>
                <w:color w:val="000000"/>
                <w:sz w:val="21"/>
                <w:szCs w:val="21"/>
                <w:highlight w:val="none"/>
              </w:rPr>
              <w:t>厂区设 1 座事故水池（兼初期雨水池）</w:t>
            </w:r>
          </w:p>
        </w:tc>
        <w:tc>
          <w:tcPr>
            <w:tcW w:w="1444" w:type="dxa"/>
            <w:vAlign w:val="center"/>
          </w:tcPr>
          <w:p>
            <w:pPr>
              <w:keepNext w:val="0"/>
              <w:keepLines w:val="0"/>
              <w:pageBreakBefore w:val="0"/>
              <w:kinsoku/>
              <w:wordWrap/>
              <w:overflowPunct/>
              <w:topLinePunct w:val="0"/>
              <w:autoSpaceDE/>
              <w:autoSpaceDN/>
              <w:bidi w:val="0"/>
              <w:adjustRightInd/>
              <w:snapToGrid/>
              <w:spacing w:line="440" w:lineRule="exact"/>
              <w:jc w:val="center"/>
              <w:textAlignment w:val="auto"/>
              <w:rPr>
                <w:color w:val="000000"/>
                <w:szCs w:val="21"/>
                <w:highlight w:val="none"/>
              </w:rPr>
            </w:pPr>
            <w:r>
              <w:rPr>
                <w:color w:val="000000"/>
                <w:szCs w:val="21"/>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vAlign w:val="center"/>
          </w:tcPr>
          <w:p>
            <w:pPr>
              <w:keepNext w:val="0"/>
              <w:keepLines w:val="0"/>
              <w:pageBreakBefore w:val="0"/>
              <w:kinsoku/>
              <w:wordWrap/>
              <w:overflowPunct/>
              <w:topLinePunct w:val="0"/>
              <w:autoSpaceDE/>
              <w:autoSpaceDN/>
              <w:bidi w:val="0"/>
              <w:adjustRightInd/>
              <w:snapToGrid/>
              <w:spacing w:line="440" w:lineRule="exact"/>
              <w:jc w:val="center"/>
              <w:textAlignment w:val="auto"/>
              <w:rPr>
                <w:color w:val="000000"/>
                <w:szCs w:val="21"/>
                <w:highlight w:val="none"/>
              </w:rPr>
            </w:pPr>
            <w:r>
              <w:rPr>
                <w:color w:val="000000"/>
                <w:szCs w:val="21"/>
                <w:highlight w:val="none"/>
              </w:rPr>
              <w:t>危废间</w:t>
            </w:r>
          </w:p>
        </w:tc>
        <w:tc>
          <w:tcPr>
            <w:tcW w:w="5820" w:type="dxa"/>
            <w:vAlign w:val="center"/>
          </w:tcPr>
          <w:p>
            <w:pPr>
              <w:pStyle w:val="420"/>
              <w:keepNext w:val="0"/>
              <w:keepLines w:val="0"/>
              <w:pageBreakBefore w:val="0"/>
              <w:kinsoku/>
              <w:wordWrap/>
              <w:overflowPunct/>
              <w:topLinePunct w:val="0"/>
              <w:autoSpaceDE/>
              <w:autoSpaceDN/>
              <w:bidi w:val="0"/>
              <w:adjustRightInd/>
              <w:snapToGrid/>
              <w:spacing w:line="440" w:lineRule="exact"/>
              <w:textAlignment w:val="auto"/>
              <w:rPr>
                <w:color w:val="000000"/>
                <w:sz w:val="21"/>
                <w:szCs w:val="21"/>
                <w:highlight w:val="none"/>
              </w:rPr>
            </w:pPr>
            <w:r>
              <w:rPr>
                <w:color w:val="000000"/>
                <w:sz w:val="21"/>
                <w:szCs w:val="21"/>
                <w:highlight w:val="none"/>
              </w:rPr>
              <w:t>重点防治区要求防渗等效黏土防渗层Mb≥6.0m，K≤1×10</w:t>
            </w:r>
            <w:r>
              <w:rPr>
                <w:color w:val="000000"/>
                <w:sz w:val="21"/>
                <w:szCs w:val="21"/>
                <w:highlight w:val="none"/>
                <w:vertAlign w:val="superscript"/>
              </w:rPr>
              <w:t>-7</w:t>
            </w:r>
            <w:r>
              <w:rPr>
                <w:color w:val="000000"/>
                <w:sz w:val="21"/>
                <w:szCs w:val="21"/>
                <w:highlight w:val="none"/>
              </w:rPr>
              <w:t>cm/s，危废间参考GB18598执行；一般防治区防腐防渗措施要求防渗等效黏土防渗层Mb≥1.5m，K≤1×10</w:t>
            </w:r>
            <w:r>
              <w:rPr>
                <w:color w:val="000000"/>
                <w:sz w:val="21"/>
                <w:szCs w:val="21"/>
                <w:highlight w:val="none"/>
                <w:vertAlign w:val="superscript"/>
              </w:rPr>
              <w:t>-7</w:t>
            </w:r>
            <w:r>
              <w:rPr>
                <w:color w:val="000000"/>
                <w:sz w:val="21"/>
                <w:szCs w:val="21"/>
                <w:highlight w:val="none"/>
              </w:rPr>
              <w:t>cm/s，简单防渗区进行地面硬化。</w:t>
            </w:r>
          </w:p>
        </w:tc>
        <w:tc>
          <w:tcPr>
            <w:tcW w:w="1444" w:type="dxa"/>
            <w:vAlign w:val="center"/>
          </w:tcPr>
          <w:p>
            <w:pPr>
              <w:keepNext w:val="0"/>
              <w:keepLines w:val="0"/>
              <w:pageBreakBefore w:val="0"/>
              <w:kinsoku/>
              <w:wordWrap/>
              <w:overflowPunct/>
              <w:topLinePunct w:val="0"/>
              <w:autoSpaceDE/>
              <w:autoSpaceDN/>
              <w:bidi w:val="0"/>
              <w:adjustRightInd/>
              <w:snapToGrid/>
              <w:spacing w:line="440" w:lineRule="exact"/>
              <w:jc w:val="center"/>
              <w:textAlignment w:val="auto"/>
              <w:rPr>
                <w:color w:val="000000"/>
                <w:szCs w:val="21"/>
                <w:highlight w:val="none"/>
              </w:rPr>
            </w:pPr>
            <w:r>
              <w:rPr>
                <w:color w:val="000000"/>
                <w:szCs w:val="21"/>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vAlign w:val="center"/>
          </w:tcPr>
          <w:p>
            <w:pPr>
              <w:keepNext w:val="0"/>
              <w:keepLines w:val="0"/>
              <w:pageBreakBefore w:val="0"/>
              <w:kinsoku/>
              <w:wordWrap/>
              <w:overflowPunct/>
              <w:topLinePunct w:val="0"/>
              <w:autoSpaceDE/>
              <w:autoSpaceDN/>
              <w:bidi w:val="0"/>
              <w:adjustRightInd/>
              <w:snapToGrid/>
              <w:spacing w:line="440" w:lineRule="exact"/>
              <w:jc w:val="center"/>
              <w:textAlignment w:val="auto"/>
              <w:rPr>
                <w:color w:val="000000"/>
                <w:szCs w:val="21"/>
                <w:highlight w:val="none"/>
              </w:rPr>
            </w:pPr>
            <w:r>
              <w:rPr>
                <w:color w:val="000000"/>
                <w:szCs w:val="21"/>
                <w:highlight w:val="none"/>
              </w:rPr>
              <w:t>应急预案</w:t>
            </w:r>
          </w:p>
        </w:tc>
        <w:tc>
          <w:tcPr>
            <w:tcW w:w="5820" w:type="dxa"/>
            <w:vAlign w:val="center"/>
          </w:tcPr>
          <w:p>
            <w:pPr>
              <w:keepNext w:val="0"/>
              <w:keepLines w:val="0"/>
              <w:pageBreakBefore w:val="0"/>
              <w:kinsoku/>
              <w:wordWrap/>
              <w:overflowPunct/>
              <w:topLinePunct w:val="0"/>
              <w:autoSpaceDE/>
              <w:autoSpaceDN/>
              <w:bidi w:val="0"/>
              <w:adjustRightInd/>
              <w:snapToGrid/>
              <w:spacing w:line="440" w:lineRule="exact"/>
              <w:jc w:val="left"/>
              <w:textAlignment w:val="auto"/>
              <w:rPr>
                <w:color w:val="000000"/>
                <w:szCs w:val="21"/>
                <w:highlight w:val="none"/>
              </w:rPr>
            </w:pPr>
            <w:r>
              <w:rPr>
                <w:color w:val="000000"/>
                <w:szCs w:val="21"/>
                <w:highlight w:val="none"/>
              </w:rPr>
              <w:t>编制事故风险应急预案</w:t>
            </w:r>
          </w:p>
        </w:tc>
        <w:tc>
          <w:tcPr>
            <w:tcW w:w="1444" w:type="dxa"/>
            <w:vAlign w:val="center"/>
          </w:tcPr>
          <w:p>
            <w:pPr>
              <w:keepNext w:val="0"/>
              <w:keepLines w:val="0"/>
              <w:pageBreakBefore w:val="0"/>
              <w:kinsoku/>
              <w:wordWrap/>
              <w:overflowPunct/>
              <w:topLinePunct w:val="0"/>
              <w:autoSpaceDE/>
              <w:autoSpaceDN/>
              <w:bidi w:val="0"/>
              <w:adjustRightInd/>
              <w:snapToGrid/>
              <w:spacing w:line="440" w:lineRule="exact"/>
              <w:jc w:val="center"/>
              <w:textAlignment w:val="auto"/>
              <w:rPr>
                <w:color w:val="000000"/>
                <w:szCs w:val="21"/>
                <w:highlight w:val="none"/>
              </w:rPr>
            </w:pPr>
            <w:r>
              <w:rPr>
                <w:color w:val="000000"/>
                <w:szCs w:val="21"/>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44" w:type="dxa"/>
            <w:gridSpan w:val="2"/>
            <w:vAlign w:val="center"/>
          </w:tcPr>
          <w:p>
            <w:pPr>
              <w:keepNext w:val="0"/>
              <w:keepLines w:val="0"/>
              <w:pageBreakBefore w:val="0"/>
              <w:kinsoku/>
              <w:wordWrap/>
              <w:overflowPunct/>
              <w:topLinePunct w:val="0"/>
              <w:autoSpaceDE/>
              <w:autoSpaceDN/>
              <w:bidi w:val="0"/>
              <w:adjustRightInd/>
              <w:snapToGrid/>
              <w:spacing w:line="440" w:lineRule="exact"/>
              <w:jc w:val="center"/>
              <w:textAlignment w:val="auto"/>
              <w:rPr>
                <w:color w:val="000000"/>
                <w:szCs w:val="21"/>
                <w:highlight w:val="none"/>
              </w:rPr>
            </w:pPr>
            <w:r>
              <w:rPr>
                <w:color w:val="000000"/>
                <w:szCs w:val="21"/>
                <w:highlight w:val="none"/>
              </w:rPr>
              <w:t>合   计</w:t>
            </w:r>
          </w:p>
        </w:tc>
        <w:tc>
          <w:tcPr>
            <w:tcW w:w="1444" w:type="dxa"/>
            <w:vAlign w:val="center"/>
          </w:tcPr>
          <w:p>
            <w:pPr>
              <w:keepNext w:val="0"/>
              <w:keepLines w:val="0"/>
              <w:pageBreakBefore w:val="0"/>
              <w:kinsoku/>
              <w:wordWrap/>
              <w:overflowPunct/>
              <w:topLinePunct w:val="0"/>
              <w:autoSpaceDE/>
              <w:autoSpaceDN/>
              <w:bidi w:val="0"/>
              <w:adjustRightInd/>
              <w:snapToGrid/>
              <w:spacing w:line="440" w:lineRule="exact"/>
              <w:jc w:val="center"/>
              <w:textAlignment w:val="auto"/>
              <w:rPr>
                <w:color w:val="000000"/>
                <w:szCs w:val="21"/>
                <w:highlight w:val="none"/>
              </w:rPr>
            </w:pPr>
            <w:r>
              <w:rPr>
                <w:color w:val="000000"/>
                <w:szCs w:val="21"/>
                <w:highlight w:val="none"/>
              </w:rPr>
              <w:t>29</w:t>
            </w:r>
          </w:p>
        </w:tc>
      </w:tr>
    </w:tbl>
    <w:p>
      <w:pPr>
        <w:pStyle w:val="420"/>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Times New Roman" w:hAnsi="Times New Roman" w:eastAsia="宋体" w:cs="Times New Roman"/>
          <w:b/>
          <w:bCs/>
          <w:color w:val="000000"/>
          <w:highlight w:val="none"/>
        </w:rPr>
      </w:pPr>
      <w:bookmarkStart w:id="295" w:name="_Toc40196727"/>
      <w:bookmarkStart w:id="296" w:name="_Toc27619"/>
      <w:bookmarkStart w:id="297" w:name="_Toc46734093"/>
      <w:r>
        <w:rPr>
          <w:rFonts w:hint="eastAsia" w:ascii="Times New Roman" w:hAnsi="Times New Roman" w:eastAsia="宋体" w:cs="Times New Roman"/>
          <w:b/>
          <w:bCs/>
          <w:color w:val="000000"/>
          <w:highlight w:val="none"/>
        </w:rPr>
        <w:t>6.</w:t>
      </w:r>
      <w:r>
        <w:rPr>
          <w:rFonts w:hint="eastAsia" w:ascii="Times New Roman" w:hAnsi="Times New Roman" w:eastAsia="宋体" w:cs="Times New Roman"/>
          <w:b/>
          <w:bCs/>
          <w:color w:val="000000"/>
          <w:highlight w:val="none"/>
          <w:lang w:val="en-US" w:eastAsia="zh-CN"/>
        </w:rPr>
        <w:t>5.9</w:t>
      </w:r>
      <w:r>
        <w:rPr>
          <w:rFonts w:hint="eastAsia" w:ascii="Times New Roman" w:hAnsi="Times New Roman" w:eastAsia="宋体" w:cs="Times New Roman"/>
          <w:b/>
          <w:bCs/>
          <w:color w:val="000000"/>
          <w:highlight w:val="none"/>
        </w:rPr>
        <w:t>风险评价结论</w:t>
      </w:r>
      <w:bookmarkEnd w:id="295"/>
      <w:bookmarkEnd w:id="296"/>
      <w:bookmarkEnd w:id="297"/>
    </w:p>
    <w:p>
      <w:pPr>
        <w:pStyle w:val="420"/>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color w:val="000000"/>
          <w:highlight w:val="none"/>
        </w:rPr>
      </w:pPr>
      <w:r>
        <w:rPr>
          <w:rFonts w:hint="eastAsia" w:ascii="Times New Roman" w:hAnsi="Times New Roman" w:eastAsia="宋体" w:cs="Times New Roman"/>
          <w:color w:val="000000"/>
          <w:highlight w:val="none"/>
        </w:rPr>
        <w:t>通过各</w:t>
      </w:r>
      <w:r>
        <w:rPr>
          <w:rFonts w:hint="eastAsia"/>
          <w:color w:val="000000"/>
          <w:highlight w:val="none"/>
        </w:rPr>
        <w:t>项可靠的安全防范措施，项目在建成后可有效预防油泄露等环境风险发生；若发生油泄露，依靠场内的安全防护设施及事故应急措施也能及时控制，将人员伤亡、财产损失及对环境的不利影响均降至最低。</w:t>
      </w:r>
    </w:p>
    <w:p>
      <w:pPr>
        <w:pStyle w:val="420"/>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color w:val="000000"/>
          <w:highlight w:val="none"/>
          <w:lang w:eastAsia="zh-CN"/>
        </w:rPr>
      </w:pPr>
      <w:r>
        <w:rPr>
          <w:rFonts w:hint="eastAsia"/>
          <w:color w:val="000000"/>
          <w:highlight w:val="none"/>
        </w:rPr>
        <w:t>项目运营期间，只要严格遵守各项安全操作规程及规章制度，加强安全及环境管理，其生产是安全可靠的，其环境风险为可接受水平</w:t>
      </w:r>
      <w:r>
        <w:rPr>
          <w:rFonts w:hint="eastAsia"/>
          <w:color w:val="000000"/>
          <w:highlight w:val="none"/>
          <w:lang w:eastAsia="zh-CN"/>
        </w:rPr>
        <w:t>。</w:t>
      </w:r>
    </w:p>
    <w:p>
      <w:pPr>
        <w:pStyle w:val="420"/>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color w:val="000000"/>
          <w:highlight w:val="none"/>
          <w:lang w:eastAsia="zh-CN"/>
        </w:rPr>
      </w:pPr>
    </w:p>
    <w:p>
      <w:pPr>
        <w:pStyle w:val="420"/>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color w:val="000000"/>
          <w:highlight w:val="none"/>
          <w:lang w:eastAsia="zh-CN"/>
        </w:rPr>
      </w:pPr>
    </w:p>
    <w:p>
      <w:pPr>
        <w:pStyle w:val="420"/>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color w:val="000000"/>
          <w:highlight w:val="none"/>
        </w:rPr>
      </w:pPr>
    </w:p>
    <w:p>
      <w:pPr>
        <w:spacing w:line="480" w:lineRule="exact"/>
        <w:jc w:val="both"/>
        <w:rPr>
          <w:b/>
          <w:color w:val="000000"/>
          <w:sz w:val="24"/>
          <w:highlight w:val="none"/>
        </w:rPr>
      </w:pPr>
    </w:p>
    <w:p>
      <w:pPr>
        <w:spacing w:line="480" w:lineRule="exact"/>
        <w:jc w:val="center"/>
        <w:rPr>
          <w:b/>
          <w:color w:val="000000"/>
          <w:sz w:val="24"/>
          <w:highlight w:val="none"/>
        </w:rPr>
      </w:pPr>
    </w:p>
    <w:p>
      <w:pPr>
        <w:spacing w:line="480" w:lineRule="exact"/>
        <w:jc w:val="center"/>
        <w:rPr>
          <w:b/>
          <w:color w:val="000000"/>
          <w:sz w:val="24"/>
          <w:highlight w:val="none"/>
        </w:rPr>
      </w:pPr>
    </w:p>
    <w:p>
      <w:pPr>
        <w:spacing w:line="480" w:lineRule="exact"/>
        <w:jc w:val="center"/>
        <w:rPr>
          <w:b/>
          <w:color w:val="000000"/>
          <w:sz w:val="24"/>
          <w:highlight w:val="none"/>
        </w:rPr>
      </w:pPr>
    </w:p>
    <w:p>
      <w:pPr>
        <w:spacing w:line="480" w:lineRule="exact"/>
        <w:jc w:val="center"/>
        <w:rPr>
          <w:b/>
          <w:color w:val="000000"/>
          <w:sz w:val="24"/>
          <w:highlight w:val="none"/>
        </w:rPr>
      </w:pPr>
    </w:p>
    <w:p>
      <w:pPr>
        <w:pStyle w:val="50"/>
        <w:rPr>
          <w:b/>
          <w:color w:val="000000"/>
          <w:sz w:val="24"/>
          <w:highlight w:val="none"/>
        </w:rPr>
      </w:pPr>
    </w:p>
    <w:p>
      <w:pPr>
        <w:rPr>
          <w:highlight w:val="none"/>
        </w:rPr>
      </w:pPr>
    </w:p>
    <w:p>
      <w:pPr>
        <w:spacing w:line="480" w:lineRule="exact"/>
        <w:jc w:val="center"/>
        <w:rPr>
          <w:b/>
          <w:color w:val="000000"/>
          <w:sz w:val="24"/>
          <w:highlight w:val="none"/>
        </w:rPr>
      </w:pPr>
      <w:r>
        <w:rPr>
          <w:b/>
          <w:color w:val="000000"/>
          <w:sz w:val="24"/>
          <w:highlight w:val="none"/>
        </w:rPr>
        <w:t>表</w:t>
      </w:r>
      <w:r>
        <w:rPr>
          <w:rFonts w:hint="eastAsia"/>
          <w:b/>
          <w:color w:val="000000"/>
          <w:sz w:val="24"/>
          <w:highlight w:val="none"/>
        </w:rPr>
        <w:t>6.</w:t>
      </w:r>
      <w:r>
        <w:rPr>
          <w:rFonts w:hint="eastAsia"/>
          <w:b/>
          <w:color w:val="000000"/>
          <w:sz w:val="24"/>
          <w:highlight w:val="none"/>
          <w:lang w:val="en-US" w:eastAsia="zh-CN"/>
        </w:rPr>
        <w:t>5</w:t>
      </w:r>
      <w:r>
        <w:rPr>
          <w:rFonts w:hint="eastAsia"/>
          <w:b/>
          <w:color w:val="000000"/>
          <w:sz w:val="24"/>
          <w:highlight w:val="none"/>
        </w:rPr>
        <w:t>-</w:t>
      </w:r>
      <w:r>
        <w:rPr>
          <w:rFonts w:hint="eastAsia"/>
          <w:b/>
          <w:color w:val="000000"/>
          <w:sz w:val="24"/>
          <w:highlight w:val="none"/>
          <w:lang w:val="en-US" w:eastAsia="zh-CN"/>
        </w:rPr>
        <w:t>2</w:t>
      </w:r>
      <w:r>
        <w:rPr>
          <w:b/>
          <w:color w:val="000000"/>
          <w:sz w:val="24"/>
          <w:highlight w:val="none"/>
        </w:rPr>
        <w:t xml:space="preserve">  建设项目环境风险简单分析内容表</w:t>
      </w:r>
    </w:p>
    <w:tbl>
      <w:tblPr>
        <w:tblStyle w:val="51"/>
        <w:tblW w:w="8648" w:type="dxa"/>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11"/>
        <w:gridCol w:w="1417"/>
        <w:gridCol w:w="1699"/>
        <w:gridCol w:w="1389"/>
        <w:gridCol w:w="1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2411" w:type="dxa"/>
            <w:vAlign w:val="center"/>
          </w:tcPr>
          <w:p>
            <w:pPr>
              <w:spacing w:line="300" w:lineRule="exact"/>
              <w:jc w:val="center"/>
              <w:rPr>
                <w:color w:val="000000"/>
                <w:szCs w:val="21"/>
                <w:highlight w:val="none"/>
              </w:rPr>
            </w:pPr>
            <w:r>
              <w:rPr>
                <w:color w:val="000000"/>
                <w:szCs w:val="21"/>
                <w:highlight w:val="none"/>
              </w:rPr>
              <w:t>建设项目名称</w:t>
            </w:r>
          </w:p>
        </w:tc>
        <w:tc>
          <w:tcPr>
            <w:tcW w:w="6237" w:type="dxa"/>
            <w:gridSpan w:val="4"/>
            <w:vAlign w:val="center"/>
          </w:tcPr>
          <w:p>
            <w:pPr>
              <w:spacing w:line="300" w:lineRule="exact"/>
              <w:jc w:val="center"/>
              <w:rPr>
                <w:color w:val="000000"/>
                <w:szCs w:val="21"/>
                <w:highlight w:val="none"/>
              </w:rPr>
            </w:pPr>
            <w:r>
              <w:rPr>
                <w:rFonts w:hint="eastAsia"/>
                <w:color w:val="000000"/>
                <w:szCs w:val="21"/>
                <w:highlight w:val="none"/>
              </w:rPr>
              <w:t>遵化市黎河四级水电站项目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2411" w:type="dxa"/>
            <w:vAlign w:val="center"/>
          </w:tcPr>
          <w:p>
            <w:pPr>
              <w:spacing w:line="300" w:lineRule="exact"/>
              <w:jc w:val="center"/>
              <w:rPr>
                <w:color w:val="000000"/>
                <w:szCs w:val="21"/>
                <w:highlight w:val="none"/>
              </w:rPr>
            </w:pPr>
            <w:r>
              <w:rPr>
                <w:color w:val="000000"/>
                <w:szCs w:val="21"/>
                <w:highlight w:val="none"/>
              </w:rPr>
              <w:t>建设地点</w:t>
            </w:r>
          </w:p>
        </w:tc>
        <w:tc>
          <w:tcPr>
            <w:tcW w:w="6237" w:type="dxa"/>
            <w:gridSpan w:val="4"/>
            <w:vAlign w:val="center"/>
          </w:tcPr>
          <w:p>
            <w:pPr>
              <w:spacing w:line="300" w:lineRule="exact"/>
              <w:jc w:val="center"/>
              <w:rPr>
                <w:color w:val="000000"/>
                <w:szCs w:val="21"/>
                <w:highlight w:val="none"/>
              </w:rPr>
            </w:pPr>
            <w:r>
              <w:rPr>
                <w:color w:val="000000"/>
                <w:szCs w:val="21"/>
                <w:highlight w:val="none"/>
              </w:rPr>
              <w:t>河北省唐山市</w:t>
            </w:r>
            <w:r>
              <w:rPr>
                <w:rFonts w:hint="eastAsia"/>
                <w:color w:val="000000"/>
                <w:szCs w:val="21"/>
                <w:highlight w:val="none"/>
              </w:rPr>
              <w:t>遵化市建明镇西铺村西南1200m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2411" w:type="dxa"/>
            <w:vAlign w:val="center"/>
          </w:tcPr>
          <w:p>
            <w:pPr>
              <w:spacing w:line="300" w:lineRule="exact"/>
              <w:jc w:val="center"/>
              <w:rPr>
                <w:color w:val="000000"/>
                <w:szCs w:val="21"/>
                <w:highlight w:val="none"/>
              </w:rPr>
            </w:pPr>
            <w:r>
              <w:rPr>
                <w:color w:val="000000"/>
                <w:szCs w:val="21"/>
                <w:highlight w:val="none"/>
              </w:rPr>
              <w:t>坐标</w:t>
            </w:r>
          </w:p>
        </w:tc>
        <w:tc>
          <w:tcPr>
            <w:tcW w:w="1417" w:type="dxa"/>
            <w:vAlign w:val="center"/>
          </w:tcPr>
          <w:p>
            <w:pPr>
              <w:spacing w:line="300" w:lineRule="exact"/>
              <w:jc w:val="center"/>
              <w:rPr>
                <w:color w:val="000000"/>
                <w:szCs w:val="21"/>
                <w:highlight w:val="none"/>
              </w:rPr>
            </w:pPr>
            <w:r>
              <w:rPr>
                <w:color w:val="000000"/>
                <w:szCs w:val="21"/>
                <w:highlight w:val="none"/>
              </w:rPr>
              <w:t>经度</w:t>
            </w:r>
          </w:p>
        </w:tc>
        <w:tc>
          <w:tcPr>
            <w:tcW w:w="1699" w:type="dxa"/>
            <w:vAlign w:val="center"/>
          </w:tcPr>
          <w:p>
            <w:pPr>
              <w:spacing w:line="300" w:lineRule="exact"/>
              <w:jc w:val="center"/>
              <w:rPr>
                <w:color w:val="000000"/>
                <w:szCs w:val="21"/>
                <w:highlight w:val="none"/>
              </w:rPr>
            </w:pPr>
            <w:r>
              <w:rPr>
                <w:rFonts w:hint="eastAsia"/>
                <w:color w:val="000000"/>
                <w:szCs w:val="21"/>
                <w:highlight w:val="none"/>
              </w:rPr>
              <w:t>118.119378°</w:t>
            </w:r>
          </w:p>
        </w:tc>
        <w:tc>
          <w:tcPr>
            <w:tcW w:w="1389" w:type="dxa"/>
            <w:vAlign w:val="center"/>
          </w:tcPr>
          <w:p>
            <w:pPr>
              <w:spacing w:line="300" w:lineRule="exact"/>
              <w:jc w:val="center"/>
              <w:rPr>
                <w:color w:val="000000"/>
                <w:szCs w:val="21"/>
                <w:highlight w:val="none"/>
              </w:rPr>
            </w:pPr>
            <w:r>
              <w:rPr>
                <w:color w:val="000000"/>
                <w:szCs w:val="21"/>
                <w:highlight w:val="none"/>
              </w:rPr>
              <w:t>纬度</w:t>
            </w:r>
          </w:p>
        </w:tc>
        <w:tc>
          <w:tcPr>
            <w:tcW w:w="1732" w:type="dxa"/>
            <w:vAlign w:val="center"/>
          </w:tcPr>
          <w:p>
            <w:pPr>
              <w:spacing w:line="300" w:lineRule="exact"/>
              <w:jc w:val="center"/>
              <w:rPr>
                <w:color w:val="000000"/>
                <w:szCs w:val="21"/>
                <w:highlight w:val="none"/>
              </w:rPr>
            </w:pPr>
            <w:r>
              <w:rPr>
                <w:rFonts w:hint="eastAsia"/>
                <w:color w:val="000000"/>
                <w:szCs w:val="21"/>
                <w:highlight w:val="none"/>
              </w:rPr>
              <w:t>40.183881°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trPr>
        <w:tc>
          <w:tcPr>
            <w:tcW w:w="2411" w:type="dxa"/>
            <w:vAlign w:val="center"/>
          </w:tcPr>
          <w:p>
            <w:pPr>
              <w:spacing w:line="300" w:lineRule="exact"/>
              <w:jc w:val="center"/>
              <w:rPr>
                <w:color w:val="000000"/>
                <w:szCs w:val="21"/>
                <w:highlight w:val="none"/>
              </w:rPr>
            </w:pPr>
            <w:r>
              <w:rPr>
                <w:color w:val="000000"/>
                <w:szCs w:val="21"/>
                <w:highlight w:val="none"/>
              </w:rPr>
              <w:t>主要危险物质及分布</w:t>
            </w:r>
          </w:p>
        </w:tc>
        <w:tc>
          <w:tcPr>
            <w:tcW w:w="6237" w:type="dxa"/>
            <w:gridSpan w:val="4"/>
            <w:vAlign w:val="center"/>
          </w:tcPr>
          <w:p>
            <w:pPr>
              <w:spacing w:line="300" w:lineRule="exact"/>
              <w:jc w:val="left"/>
              <w:rPr>
                <w:szCs w:val="21"/>
                <w:highlight w:val="none"/>
              </w:rPr>
            </w:pPr>
            <w:r>
              <w:rPr>
                <w:color w:val="000000"/>
                <w:szCs w:val="21"/>
                <w:highlight w:val="none"/>
              </w:rPr>
              <w:t>主要危险物质为</w:t>
            </w:r>
            <w:r>
              <w:rPr>
                <w:rFonts w:hint="eastAsia"/>
                <w:color w:val="000000"/>
                <w:szCs w:val="21"/>
                <w:highlight w:val="none"/>
              </w:rPr>
              <w:t>废</w:t>
            </w:r>
            <w:r>
              <w:rPr>
                <w:rFonts w:hint="eastAsia"/>
                <w:color w:val="000000"/>
                <w:highlight w:val="none"/>
                <w:lang w:eastAsia="zh-CN"/>
              </w:rPr>
              <w:t>润滑</w:t>
            </w:r>
            <w:r>
              <w:rPr>
                <w:rFonts w:hint="eastAsia"/>
                <w:color w:val="000000"/>
                <w:szCs w:val="21"/>
                <w:highlight w:val="none"/>
              </w:rPr>
              <w:t>油</w:t>
            </w:r>
            <w:r>
              <w:rPr>
                <w:color w:val="000000"/>
                <w:szCs w:val="21"/>
                <w:highlight w:val="none"/>
              </w:rPr>
              <w:t>；主要分布在</w:t>
            </w:r>
            <w:r>
              <w:rPr>
                <w:rFonts w:hint="eastAsia"/>
                <w:color w:val="000000"/>
                <w:szCs w:val="21"/>
                <w:highlight w:val="none"/>
              </w:rPr>
              <w:t>主要分布于发电机、水轮机等设备及</w:t>
            </w:r>
            <w:r>
              <w:rPr>
                <w:color w:val="000000"/>
                <w:szCs w:val="21"/>
                <w:highlight w:val="none"/>
              </w:rPr>
              <w:t>危废间。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5" w:hRule="atLeast"/>
        </w:trPr>
        <w:tc>
          <w:tcPr>
            <w:tcW w:w="2411" w:type="dxa"/>
            <w:vAlign w:val="center"/>
          </w:tcPr>
          <w:p>
            <w:pPr>
              <w:spacing w:line="300" w:lineRule="exact"/>
              <w:jc w:val="left"/>
              <w:rPr>
                <w:color w:val="000000"/>
                <w:szCs w:val="21"/>
                <w:highlight w:val="none"/>
              </w:rPr>
            </w:pPr>
            <w:r>
              <w:rPr>
                <w:color w:val="000000"/>
                <w:szCs w:val="21"/>
                <w:highlight w:val="none"/>
              </w:rPr>
              <w:t>环境影响途径及危害后果（大气、地表水、地下水等）</w:t>
            </w:r>
          </w:p>
        </w:tc>
        <w:tc>
          <w:tcPr>
            <w:tcW w:w="6237" w:type="dxa"/>
            <w:gridSpan w:val="4"/>
            <w:vAlign w:val="center"/>
          </w:tcPr>
          <w:p>
            <w:pPr>
              <w:spacing w:line="300" w:lineRule="exact"/>
              <w:jc w:val="left"/>
              <w:rPr>
                <w:color w:val="auto"/>
                <w:szCs w:val="21"/>
                <w:highlight w:val="none"/>
              </w:rPr>
            </w:pPr>
            <w:r>
              <w:rPr>
                <w:rFonts w:hint="eastAsia"/>
                <w:color w:val="auto"/>
                <w:szCs w:val="21"/>
                <w:highlight w:val="none"/>
              </w:rPr>
              <w:t>地表水：生产废水循环使用过程因事故（如泄漏、满溢、管道破裂）导致的循环水外溢污染地表水体；</w:t>
            </w:r>
          </w:p>
          <w:p>
            <w:pPr>
              <w:spacing w:line="300" w:lineRule="exact"/>
              <w:jc w:val="left"/>
              <w:rPr>
                <w:color w:val="000000"/>
                <w:szCs w:val="21"/>
                <w:highlight w:val="none"/>
              </w:rPr>
            </w:pPr>
            <w:r>
              <w:rPr>
                <w:rFonts w:hint="eastAsia"/>
                <w:color w:val="000000"/>
                <w:szCs w:val="21"/>
                <w:highlight w:val="none"/>
              </w:rPr>
              <w:t>地下水：</w:t>
            </w:r>
            <w:r>
              <w:rPr>
                <w:color w:val="000000"/>
                <w:szCs w:val="21"/>
                <w:highlight w:val="none"/>
              </w:rPr>
              <w:t>危废间存放的废</w:t>
            </w:r>
            <w:r>
              <w:rPr>
                <w:rFonts w:hint="eastAsia"/>
                <w:color w:val="000000"/>
                <w:highlight w:val="none"/>
                <w:lang w:eastAsia="zh-CN"/>
              </w:rPr>
              <w:t>润滑</w:t>
            </w:r>
            <w:r>
              <w:rPr>
                <w:color w:val="000000"/>
                <w:szCs w:val="21"/>
                <w:highlight w:val="none"/>
              </w:rPr>
              <w:t>油类</w:t>
            </w:r>
            <w:r>
              <w:rPr>
                <w:rFonts w:hint="eastAsia"/>
                <w:color w:val="000000"/>
                <w:szCs w:val="21"/>
                <w:highlight w:val="none"/>
              </w:rPr>
              <w:t>发生渗漏</w:t>
            </w:r>
            <w:r>
              <w:rPr>
                <w:color w:val="000000"/>
                <w:szCs w:val="21"/>
                <w:highlight w:val="none"/>
              </w:rPr>
              <w:t>，引起地下水污染</w:t>
            </w:r>
            <w:r>
              <w:rPr>
                <w:rFonts w:hint="eastAsia"/>
                <w:color w:val="00000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11" w:type="dxa"/>
            <w:vAlign w:val="center"/>
          </w:tcPr>
          <w:p>
            <w:pPr>
              <w:spacing w:line="300" w:lineRule="exact"/>
              <w:jc w:val="left"/>
              <w:rPr>
                <w:color w:val="000000"/>
                <w:szCs w:val="21"/>
                <w:highlight w:val="none"/>
              </w:rPr>
            </w:pPr>
            <w:r>
              <w:rPr>
                <w:color w:val="000000"/>
                <w:szCs w:val="21"/>
                <w:highlight w:val="none"/>
              </w:rPr>
              <w:t>风险防范措施要求</w:t>
            </w:r>
          </w:p>
        </w:tc>
        <w:tc>
          <w:tcPr>
            <w:tcW w:w="6237" w:type="dxa"/>
            <w:gridSpan w:val="4"/>
            <w:vAlign w:val="center"/>
          </w:tcPr>
          <w:p>
            <w:pPr>
              <w:spacing w:line="300" w:lineRule="exact"/>
              <w:jc w:val="left"/>
              <w:rPr>
                <w:color w:val="000000"/>
                <w:szCs w:val="21"/>
                <w:highlight w:val="none"/>
              </w:rPr>
            </w:pPr>
            <w:r>
              <w:rPr>
                <w:rFonts w:hint="eastAsia"/>
                <w:color w:val="000000"/>
                <w:szCs w:val="21"/>
                <w:highlight w:val="none"/>
                <w:lang w:val="en-US" w:eastAsia="zh-CN"/>
              </w:rPr>
              <w:t>1</w:t>
            </w:r>
            <w:r>
              <w:rPr>
                <w:rFonts w:hint="eastAsia"/>
                <w:color w:val="000000"/>
                <w:szCs w:val="21"/>
                <w:highlight w:val="none"/>
              </w:rPr>
              <w:t>.危废间进行防渗处理；</w:t>
            </w:r>
          </w:p>
          <w:p>
            <w:pPr>
              <w:spacing w:line="300" w:lineRule="exact"/>
              <w:jc w:val="left"/>
              <w:rPr>
                <w:color w:val="000000"/>
                <w:szCs w:val="21"/>
                <w:highlight w:val="none"/>
              </w:rPr>
            </w:pPr>
            <w:r>
              <w:rPr>
                <w:rFonts w:hint="eastAsia"/>
                <w:color w:val="000000"/>
                <w:szCs w:val="21"/>
                <w:highlight w:val="none"/>
                <w:lang w:val="en-US" w:eastAsia="zh-CN"/>
              </w:rPr>
              <w:t>2</w:t>
            </w:r>
            <w:r>
              <w:rPr>
                <w:rFonts w:hint="eastAsia"/>
                <w:color w:val="000000"/>
                <w:szCs w:val="21"/>
                <w:highlight w:val="none"/>
              </w:rPr>
              <w:t>.制订事故应急预案和定期演练制度，综合防范水电站运营过程中的环境风险。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11" w:type="dxa"/>
            <w:vAlign w:val="center"/>
          </w:tcPr>
          <w:p>
            <w:pPr>
              <w:spacing w:line="300" w:lineRule="exact"/>
              <w:jc w:val="left"/>
              <w:rPr>
                <w:color w:val="000000"/>
                <w:szCs w:val="21"/>
                <w:highlight w:val="none"/>
              </w:rPr>
            </w:pPr>
            <w:r>
              <w:rPr>
                <w:color w:val="000000"/>
                <w:szCs w:val="21"/>
                <w:highlight w:val="none"/>
              </w:rPr>
              <w:t>填表说明（列出项目相关信息及评价说明</w:t>
            </w:r>
          </w:p>
        </w:tc>
        <w:tc>
          <w:tcPr>
            <w:tcW w:w="6237" w:type="dxa"/>
            <w:gridSpan w:val="4"/>
            <w:vAlign w:val="center"/>
          </w:tcPr>
          <w:p>
            <w:pPr>
              <w:spacing w:line="300" w:lineRule="exact"/>
              <w:ind w:hanging="3"/>
              <w:rPr>
                <w:color w:val="000000"/>
                <w:szCs w:val="21"/>
                <w:highlight w:val="none"/>
              </w:rPr>
            </w:pPr>
            <w:r>
              <w:rPr>
                <w:color w:val="000000"/>
                <w:szCs w:val="21"/>
                <w:highlight w:val="none"/>
              </w:rPr>
              <w:t>环境风险潜势为</w:t>
            </w:r>
            <w:r>
              <w:rPr>
                <w:rFonts w:hint="eastAsia" w:ascii="宋体" w:hAnsi="宋体" w:cs="宋体"/>
                <w:color w:val="000000"/>
                <w:szCs w:val="21"/>
                <w:highlight w:val="none"/>
              </w:rPr>
              <w:t>Ⅰ</w:t>
            </w:r>
            <w:r>
              <w:rPr>
                <w:color w:val="000000"/>
                <w:spacing w:val="-4"/>
                <w:szCs w:val="21"/>
                <w:highlight w:val="none"/>
              </w:rPr>
              <w:t>级</w:t>
            </w:r>
            <w:r>
              <w:rPr>
                <w:color w:val="000000"/>
                <w:szCs w:val="21"/>
                <w:highlight w:val="none"/>
              </w:rPr>
              <w:t>，</w:t>
            </w:r>
            <w:r>
              <w:rPr>
                <w:color w:val="000000"/>
                <w:spacing w:val="-4"/>
                <w:szCs w:val="21"/>
                <w:highlight w:val="none"/>
              </w:rPr>
              <w:t>进行简单分析</w:t>
            </w:r>
            <w:r>
              <w:rPr>
                <w:color w:val="000000"/>
                <w:szCs w:val="21"/>
                <w:highlight w:val="none"/>
              </w:rPr>
              <w:t>。</w:t>
            </w:r>
          </w:p>
        </w:tc>
      </w:tr>
    </w:tbl>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color w:val="auto"/>
          <w:sz w:val="24"/>
          <w:highlight w:val="none"/>
        </w:rPr>
      </w:pPr>
      <w:bookmarkStart w:id="298" w:name="_Toc246763552"/>
      <w:bookmarkStart w:id="299" w:name="_Toc296169651"/>
    </w:p>
    <w:p>
      <w:pPr>
        <w:pStyle w:val="21"/>
        <w:rPr>
          <w:rFonts w:hint="eastAsia"/>
          <w:color w:val="auto"/>
          <w:sz w:val="24"/>
          <w:highlight w:val="none"/>
        </w:rPr>
      </w:pPr>
    </w:p>
    <w:p>
      <w:pPr>
        <w:rPr>
          <w:rFonts w:hint="eastAsia"/>
          <w:color w:val="auto"/>
          <w:sz w:val="24"/>
          <w:highlight w:val="none"/>
        </w:rPr>
      </w:pPr>
      <w:r>
        <w:rPr>
          <w:rFonts w:hint="eastAsia"/>
          <w:color w:val="auto"/>
          <w:sz w:val="24"/>
          <w:highlight w:val="none"/>
        </w:rPr>
        <w:br w:type="page"/>
      </w:r>
    </w:p>
    <w:p>
      <w:pPr>
        <w:keepNext w:val="0"/>
        <w:keepLines w:val="0"/>
        <w:pageBreakBefore w:val="0"/>
        <w:widowControl w:val="0"/>
        <w:kinsoku/>
        <w:wordWrap/>
        <w:overflowPunct/>
        <w:topLinePunct w:val="0"/>
        <w:autoSpaceDE/>
        <w:autoSpaceDN/>
        <w:bidi w:val="0"/>
        <w:adjustRightInd/>
        <w:snapToGrid/>
        <w:spacing w:before="160" w:beforeLines="50" w:line="440" w:lineRule="exact"/>
        <w:textAlignment w:val="auto"/>
        <w:outlineLvl w:val="0"/>
        <w:rPr>
          <w:b/>
          <w:sz w:val="24"/>
          <w:highlight w:val="none"/>
        </w:rPr>
      </w:pPr>
      <w:bookmarkStart w:id="300" w:name="_Toc18241"/>
      <w:r>
        <w:rPr>
          <w:rFonts w:hint="eastAsia"/>
          <w:b/>
          <w:sz w:val="24"/>
          <w:highlight w:val="none"/>
        </w:rPr>
        <w:t>7</w:t>
      </w:r>
      <w:r>
        <w:rPr>
          <w:b/>
          <w:sz w:val="28"/>
          <w:szCs w:val="28"/>
          <w:highlight w:val="none"/>
        </w:rPr>
        <w:t>环境保护措施及其可行性</w:t>
      </w:r>
      <w:r>
        <w:rPr>
          <w:rFonts w:hint="eastAsia"/>
          <w:b/>
          <w:sz w:val="28"/>
          <w:szCs w:val="28"/>
          <w:highlight w:val="none"/>
        </w:rPr>
        <w:t>分析</w:t>
      </w:r>
      <w:bookmarkEnd w:id="300"/>
    </w:p>
    <w:p>
      <w:pPr>
        <w:keepNext w:val="0"/>
        <w:keepLines w:val="0"/>
        <w:pageBreakBefore w:val="0"/>
        <w:widowControl w:val="0"/>
        <w:kinsoku/>
        <w:wordWrap/>
        <w:overflowPunct/>
        <w:topLinePunct w:val="0"/>
        <w:autoSpaceDE/>
        <w:autoSpaceDN/>
        <w:bidi w:val="0"/>
        <w:adjustRightInd/>
        <w:snapToGrid/>
        <w:spacing w:line="440" w:lineRule="exact"/>
        <w:textAlignment w:val="auto"/>
        <w:outlineLvl w:val="1"/>
        <w:rPr>
          <w:b/>
          <w:sz w:val="24"/>
          <w:highlight w:val="none"/>
        </w:rPr>
      </w:pPr>
      <w:bookmarkStart w:id="301" w:name="_Toc7222"/>
      <w:r>
        <w:rPr>
          <w:rFonts w:hint="eastAsia"/>
          <w:b/>
          <w:sz w:val="24"/>
          <w:highlight w:val="none"/>
        </w:rPr>
        <w:t>7</w:t>
      </w:r>
      <w:r>
        <w:rPr>
          <w:b/>
          <w:sz w:val="24"/>
          <w:highlight w:val="none"/>
        </w:rPr>
        <w:t xml:space="preserve">.1 </w:t>
      </w:r>
      <w:r>
        <w:rPr>
          <w:rFonts w:hint="eastAsia"/>
          <w:b/>
          <w:sz w:val="24"/>
          <w:highlight w:val="none"/>
        </w:rPr>
        <w:t>施工期环境保护措施落实情况</w:t>
      </w:r>
      <w:bookmarkEnd w:id="301"/>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color w:val="auto"/>
          <w:sz w:val="24"/>
          <w:highlight w:val="none"/>
        </w:rPr>
      </w:pPr>
      <w:r>
        <w:rPr>
          <w:rFonts w:hint="eastAsia"/>
          <w:color w:val="auto"/>
          <w:sz w:val="24"/>
          <w:highlight w:val="none"/>
        </w:rPr>
        <w:t>本项目施工期对环境影响的作用因素主要有施工作业、对外交通、施工机械、施工占地、施工人员活动、弃渣等。工程施工将对水环境、大气环境、声环境、水土流失、人群健康、生态等产生影响。</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color w:val="auto"/>
          <w:sz w:val="24"/>
          <w:highlight w:val="none"/>
        </w:rPr>
      </w:pPr>
      <w:r>
        <w:rPr>
          <w:rFonts w:hint="eastAsia"/>
          <w:color w:val="auto"/>
          <w:sz w:val="24"/>
          <w:highlight w:val="none"/>
        </w:rPr>
        <w:t>根据现场调查，本项目施工期已经结束，施工期的环境影响已经结束。本报告针对施工期遗留问题进行评价。</w:t>
      </w:r>
    </w:p>
    <w:p>
      <w:pPr>
        <w:keepNext w:val="0"/>
        <w:keepLines w:val="0"/>
        <w:pageBreakBefore w:val="0"/>
        <w:widowControl w:val="0"/>
        <w:kinsoku/>
        <w:wordWrap/>
        <w:overflowPunct/>
        <w:topLinePunct w:val="0"/>
        <w:autoSpaceDE/>
        <w:autoSpaceDN/>
        <w:bidi w:val="0"/>
        <w:adjustRightInd/>
        <w:snapToGrid/>
        <w:spacing w:line="440" w:lineRule="exact"/>
        <w:textAlignment w:val="auto"/>
        <w:rPr>
          <w:b/>
          <w:bCs/>
          <w:color w:val="auto"/>
          <w:sz w:val="24"/>
          <w:highlight w:val="none"/>
        </w:rPr>
      </w:pPr>
      <w:r>
        <w:rPr>
          <w:rFonts w:hint="eastAsia"/>
          <w:b/>
          <w:bCs/>
          <w:color w:val="auto"/>
          <w:sz w:val="24"/>
          <w:highlight w:val="none"/>
        </w:rPr>
        <w:t>7.1.1. 生态环境保护措施</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color w:val="auto"/>
          <w:sz w:val="24"/>
          <w:highlight w:val="none"/>
        </w:rPr>
      </w:pPr>
      <w:r>
        <w:rPr>
          <w:rFonts w:hint="eastAsia"/>
          <w:color w:val="auto"/>
          <w:sz w:val="24"/>
          <w:highlight w:val="none"/>
        </w:rPr>
        <w:t>在施工期间对施工人员和附近村民都进行了施工区生态保护的宣传教育，并以公告、宣传标语等形式教育施工人员。公司对工程建设质量进行监督检查，对监理方项目质量检查与验收的过程控制予以督促和检查,并检查了施工单位及质保体系运行情况。主体施工单位为具有相应资质的施工企业。建设过程中未造成较大的水土流失危害。</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color w:val="auto"/>
          <w:sz w:val="24"/>
          <w:highlight w:val="none"/>
        </w:rPr>
      </w:pPr>
      <w:r>
        <w:rPr>
          <w:rFonts w:hint="eastAsia"/>
          <w:color w:val="auto"/>
          <w:sz w:val="24"/>
          <w:highlight w:val="none"/>
        </w:rPr>
        <w:t>根据现场勘查，在厂区周边及橡胶坝周边无土方、建筑垃圾等堆存，无施工设备存放，厂区内地面全部绿化、硬化或铺设透水砖，未发现施工场地污染源。</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bCs/>
          <w:color w:val="auto"/>
          <w:sz w:val="24"/>
          <w:highlight w:val="none"/>
        </w:rPr>
      </w:pPr>
      <w:r>
        <w:rPr>
          <w:rFonts w:hint="eastAsia"/>
          <w:color w:val="auto"/>
          <w:sz w:val="24"/>
          <w:highlight w:val="none"/>
        </w:rPr>
        <w:t>施工场地整治和修复的全面、完整和有效：根据询问调查及现场勘查，项目的施工场地在现厂区内、橡胶坝、引水渠和排水渠南侧，未发现施工遗留痕迹。厂区内地面全部绿化、硬化或铺设透水砖；橡胶坝、引水渠和排水渠南侧现已全部进行绿化，引水渠外南侧铺设透水砖</w:t>
      </w:r>
      <w:r>
        <w:rPr>
          <w:rFonts w:hint="eastAsia"/>
          <w:bCs/>
          <w:color w:val="auto"/>
          <w:sz w:val="24"/>
          <w:highlight w:val="none"/>
        </w:rPr>
        <w:t>。对施工场地的治理和修复较全面，并有效防止了水土流失。</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color w:val="auto"/>
          <w:sz w:val="24"/>
          <w:highlight w:val="none"/>
        </w:rPr>
      </w:pPr>
      <w:r>
        <w:rPr>
          <w:rFonts w:hint="eastAsia"/>
          <w:color w:val="auto"/>
          <w:sz w:val="24"/>
          <w:highlight w:val="none"/>
        </w:rPr>
        <w:t>总体而言，施工期结束后，基本无施工期遗留问题，落实了必要的生态环境保护措施，生态环境恢复较好。</w:t>
      </w:r>
    </w:p>
    <w:p>
      <w:pPr>
        <w:spacing w:line="480" w:lineRule="exact"/>
        <w:outlineLvl w:val="1"/>
        <w:rPr>
          <w:b/>
          <w:sz w:val="24"/>
          <w:highlight w:val="none"/>
        </w:rPr>
      </w:pPr>
      <w:bookmarkStart w:id="302" w:name="_Toc7500"/>
      <w:r>
        <w:rPr>
          <w:rFonts w:hint="eastAsia"/>
          <w:b/>
          <w:sz w:val="24"/>
          <w:highlight w:val="none"/>
        </w:rPr>
        <w:t>7</w:t>
      </w:r>
      <w:r>
        <w:rPr>
          <w:b/>
          <w:sz w:val="24"/>
          <w:highlight w:val="none"/>
        </w:rPr>
        <w:t>.</w:t>
      </w:r>
      <w:r>
        <w:rPr>
          <w:rFonts w:hint="eastAsia"/>
          <w:b/>
          <w:sz w:val="24"/>
          <w:highlight w:val="none"/>
        </w:rPr>
        <w:t>2</w:t>
      </w:r>
      <w:r>
        <w:rPr>
          <w:b/>
          <w:sz w:val="24"/>
          <w:highlight w:val="none"/>
        </w:rPr>
        <w:t xml:space="preserve"> </w:t>
      </w:r>
      <w:r>
        <w:rPr>
          <w:rFonts w:hint="eastAsia"/>
          <w:b/>
          <w:sz w:val="24"/>
          <w:highlight w:val="none"/>
        </w:rPr>
        <w:t>运营期环境保护措施</w:t>
      </w:r>
      <w:bookmarkEnd w:id="302"/>
    </w:p>
    <w:p>
      <w:pPr>
        <w:spacing w:line="480" w:lineRule="exact"/>
        <w:rPr>
          <w:b/>
          <w:sz w:val="24"/>
          <w:highlight w:val="none"/>
        </w:rPr>
      </w:pPr>
      <w:r>
        <w:rPr>
          <w:rFonts w:hint="eastAsia"/>
          <w:b/>
          <w:sz w:val="24"/>
          <w:highlight w:val="none"/>
        </w:rPr>
        <w:t>7.2.1 水环境保护措施</w:t>
      </w:r>
    </w:p>
    <w:p>
      <w:pPr>
        <w:spacing w:line="480" w:lineRule="exact"/>
        <w:ind w:firstLine="480" w:firstLineChars="200"/>
        <w:rPr>
          <w:rFonts w:hint="eastAsia" w:eastAsia="宋体"/>
          <w:sz w:val="24"/>
          <w:highlight w:val="none"/>
          <w:u w:val="none"/>
          <w:lang w:val="en-US" w:eastAsia="zh-CN"/>
        </w:rPr>
      </w:pPr>
      <w:r>
        <w:rPr>
          <w:rFonts w:hint="eastAsia"/>
          <w:sz w:val="24"/>
          <w:highlight w:val="none"/>
          <w:lang w:eastAsia="zh-CN"/>
        </w:rPr>
        <w:t>（</w:t>
      </w:r>
      <w:r>
        <w:rPr>
          <w:rFonts w:hint="eastAsia"/>
          <w:sz w:val="24"/>
          <w:highlight w:val="none"/>
          <w:lang w:val="en-US" w:eastAsia="zh-CN"/>
        </w:rPr>
        <w:t>1</w:t>
      </w:r>
      <w:r>
        <w:rPr>
          <w:rFonts w:hint="eastAsia"/>
          <w:sz w:val="24"/>
          <w:highlight w:val="none"/>
          <w:lang w:eastAsia="zh-CN"/>
        </w:rPr>
        <w:t>）</w:t>
      </w:r>
      <w:r>
        <w:rPr>
          <w:rFonts w:hint="eastAsia"/>
          <w:sz w:val="24"/>
          <w:highlight w:val="none"/>
        </w:rPr>
        <w:t>水电站值班人员均为</w:t>
      </w:r>
      <w:r>
        <w:rPr>
          <w:sz w:val="24"/>
          <w:highlight w:val="none"/>
        </w:rPr>
        <w:t>5人，则日用水量为0.2m</w:t>
      </w:r>
      <w:r>
        <w:rPr>
          <w:sz w:val="24"/>
          <w:highlight w:val="none"/>
          <w:vertAlign w:val="superscript"/>
        </w:rPr>
        <w:t>3</w:t>
      </w:r>
      <w:r>
        <w:rPr>
          <w:sz w:val="24"/>
          <w:highlight w:val="none"/>
        </w:rPr>
        <w:t>/d，全年按1</w:t>
      </w:r>
      <w:r>
        <w:rPr>
          <w:rFonts w:hint="eastAsia"/>
          <w:sz w:val="24"/>
          <w:highlight w:val="none"/>
          <w:lang w:val="en-US" w:eastAsia="zh-CN"/>
        </w:rPr>
        <w:t>12</w:t>
      </w:r>
      <w:r>
        <w:rPr>
          <w:sz w:val="24"/>
          <w:highlight w:val="none"/>
        </w:rPr>
        <w:t>天计算，年生活用水量</w:t>
      </w:r>
      <w:r>
        <w:rPr>
          <w:rFonts w:hint="eastAsia"/>
          <w:sz w:val="24"/>
          <w:highlight w:val="none"/>
          <w:lang w:val="en-US" w:eastAsia="zh-CN"/>
        </w:rPr>
        <w:t>22.4</w:t>
      </w:r>
      <w:r>
        <w:rPr>
          <w:sz w:val="24"/>
          <w:highlight w:val="none"/>
        </w:rPr>
        <w:t>m</w:t>
      </w:r>
      <w:r>
        <w:rPr>
          <w:sz w:val="24"/>
          <w:highlight w:val="none"/>
          <w:vertAlign w:val="superscript"/>
        </w:rPr>
        <w:t>3</w:t>
      </w:r>
      <w:r>
        <w:rPr>
          <w:sz w:val="24"/>
          <w:highlight w:val="none"/>
        </w:rPr>
        <w:t>/a。生活污水量按用水量的80%计算，生活污水产生量为0.16m</w:t>
      </w:r>
      <w:r>
        <w:rPr>
          <w:sz w:val="24"/>
          <w:highlight w:val="none"/>
          <w:vertAlign w:val="superscript"/>
        </w:rPr>
        <w:t>3</w:t>
      </w:r>
      <w:r>
        <w:rPr>
          <w:sz w:val="24"/>
          <w:highlight w:val="none"/>
        </w:rPr>
        <w:t>/d，年生活</w:t>
      </w:r>
      <w:r>
        <w:rPr>
          <w:rFonts w:hint="eastAsia"/>
          <w:sz w:val="24"/>
          <w:highlight w:val="none"/>
          <w:lang w:eastAsia="zh-CN"/>
        </w:rPr>
        <w:t>污</w:t>
      </w:r>
      <w:r>
        <w:rPr>
          <w:sz w:val="24"/>
          <w:highlight w:val="none"/>
        </w:rPr>
        <w:t>水量</w:t>
      </w:r>
      <w:r>
        <w:rPr>
          <w:rFonts w:hint="eastAsia"/>
          <w:sz w:val="24"/>
          <w:highlight w:val="none"/>
          <w:lang w:val="en-US" w:eastAsia="zh-CN"/>
        </w:rPr>
        <w:t>17.92</w:t>
      </w:r>
      <w:r>
        <w:rPr>
          <w:sz w:val="24"/>
          <w:highlight w:val="none"/>
        </w:rPr>
        <w:t>m</w:t>
      </w:r>
      <w:r>
        <w:rPr>
          <w:sz w:val="24"/>
          <w:highlight w:val="none"/>
          <w:vertAlign w:val="superscript"/>
        </w:rPr>
        <w:t>3</w:t>
      </w:r>
      <w:r>
        <w:rPr>
          <w:sz w:val="24"/>
          <w:highlight w:val="none"/>
        </w:rPr>
        <w:t>/a，</w:t>
      </w:r>
      <w:r>
        <w:rPr>
          <w:sz w:val="24"/>
          <w:highlight w:val="none"/>
          <w:u w:val="none"/>
        </w:rPr>
        <w:t>生活污水简单，排入站区化粪池，</w:t>
      </w:r>
      <w:r>
        <w:rPr>
          <w:rFonts w:hint="eastAsia"/>
          <w:sz w:val="24"/>
          <w:highlight w:val="none"/>
          <w:u w:val="none"/>
          <w:lang w:eastAsia="zh-CN"/>
        </w:rPr>
        <w:t>由环卫部门定期清掏。</w:t>
      </w:r>
    </w:p>
    <w:p>
      <w:pPr>
        <w:spacing w:line="480" w:lineRule="exact"/>
        <w:ind w:firstLine="480" w:firstLineChars="200"/>
        <w:rPr>
          <w:rFonts w:hint="eastAsia"/>
          <w:sz w:val="24"/>
          <w:highlight w:val="none"/>
        </w:rPr>
      </w:pPr>
    </w:p>
    <w:p>
      <w:pPr>
        <w:spacing w:line="480" w:lineRule="exact"/>
        <w:ind w:firstLine="480" w:firstLineChars="200"/>
        <w:rPr>
          <w:sz w:val="24"/>
          <w:highlight w:val="none"/>
        </w:rPr>
      </w:pPr>
      <w:r>
        <w:rPr>
          <w:rFonts w:hint="eastAsia"/>
          <w:sz w:val="24"/>
          <w:highlight w:val="none"/>
        </w:rPr>
        <w:t>（2）黎河水环境保护措施</w:t>
      </w:r>
    </w:p>
    <w:p>
      <w:pPr>
        <w:spacing w:line="480" w:lineRule="exact"/>
        <w:ind w:firstLine="480" w:firstLineChars="200"/>
        <w:rPr>
          <w:bCs/>
          <w:sz w:val="24"/>
          <w:highlight w:val="none"/>
        </w:rPr>
      </w:pPr>
      <w:r>
        <w:rPr>
          <w:rFonts w:hint="eastAsia"/>
          <w:bCs/>
          <w:sz w:val="24"/>
          <w:highlight w:val="none"/>
        </w:rPr>
        <w:t>黎河现状水质为III类，为了保证库区水环境不收污染，建设单位应加强环保意识，确保不向黎河排放生产、生活废水。</w:t>
      </w:r>
    </w:p>
    <w:p>
      <w:pPr>
        <w:spacing w:line="480" w:lineRule="exact"/>
        <w:rPr>
          <w:b/>
          <w:sz w:val="24"/>
          <w:highlight w:val="none"/>
        </w:rPr>
      </w:pPr>
      <w:r>
        <w:rPr>
          <w:rFonts w:hint="eastAsia"/>
          <w:b/>
          <w:sz w:val="24"/>
          <w:highlight w:val="none"/>
        </w:rPr>
        <w:t>7.2.2 生态环境保护措施</w:t>
      </w:r>
    </w:p>
    <w:p>
      <w:pPr>
        <w:spacing w:line="480" w:lineRule="exact"/>
        <w:ind w:firstLine="480" w:firstLineChars="200"/>
        <w:rPr>
          <w:bCs/>
          <w:sz w:val="24"/>
          <w:highlight w:val="none"/>
        </w:rPr>
      </w:pPr>
      <w:r>
        <w:rPr>
          <w:rFonts w:hint="eastAsia"/>
          <w:bCs/>
          <w:sz w:val="24"/>
          <w:highlight w:val="none"/>
        </w:rPr>
        <w:t>（1）植物与植被保护措施</w:t>
      </w:r>
    </w:p>
    <w:p>
      <w:pPr>
        <w:spacing w:line="480" w:lineRule="exact"/>
        <w:ind w:firstLine="480" w:firstLineChars="200"/>
        <w:rPr>
          <w:bCs/>
          <w:sz w:val="24"/>
          <w:highlight w:val="none"/>
        </w:rPr>
      </w:pPr>
      <w:r>
        <w:rPr>
          <w:rFonts w:hint="eastAsia"/>
          <w:bCs/>
          <w:sz w:val="24"/>
          <w:highlight w:val="none"/>
        </w:rPr>
        <w:t>制定切实可行的植树造林和幼林抚育规划，合理调整评价区的植被结构。增加林木品种，主要有以下几方面保护措施：</w:t>
      </w:r>
    </w:p>
    <w:p>
      <w:pPr>
        <w:spacing w:line="480" w:lineRule="exact"/>
        <w:ind w:firstLine="480" w:firstLineChars="200"/>
        <w:rPr>
          <w:bCs/>
          <w:sz w:val="24"/>
          <w:highlight w:val="none"/>
        </w:rPr>
      </w:pPr>
      <w:r>
        <w:rPr>
          <w:rFonts w:hint="eastAsia"/>
          <w:bCs/>
          <w:sz w:val="24"/>
          <w:highlight w:val="none"/>
        </w:rPr>
        <w:t>①通过宣传教育和管理，加强电站职工、社会公众的环境保护意识，保护植被。</w:t>
      </w:r>
    </w:p>
    <w:p>
      <w:pPr>
        <w:spacing w:line="480" w:lineRule="exact"/>
        <w:ind w:firstLine="480" w:firstLineChars="200"/>
        <w:rPr>
          <w:bCs/>
          <w:sz w:val="24"/>
          <w:highlight w:val="none"/>
        </w:rPr>
      </w:pPr>
      <w:r>
        <w:rPr>
          <w:rFonts w:hint="eastAsia"/>
          <w:bCs/>
          <w:sz w:val="24"/>
          <w:highlight w:val="none"/>
        </w:rPr>
        <w:t>②水电站建成后对树种组成合理，植树、绿化，恢复植被。</w:t>
      </w:r>
    </w:p>
    <w:p>
      <w:pPr>
        <w:spacing w:line="480" w:lineRule="exact"/>
        <w:ind w:firstLine="480" w:firstLineChars="200"/>
        <w:rPr>
          <w:bCs/>
          <w:sz w:val="24"/>
          <w:highlight w:val="none"/>
        </w:rPr>
      </w:pPr>
      <w:r>
        <w:rPr>
          <w:rFonts w:hint="eastAsia"/>
          <w:bCs/>
          <w:sz w:val="24"/>
          <w:highlight w:val="none"/>
        </w:rPr>
        <w:t>（2）陆生动物保护</w:t>
      </w:r>
    </w:p>
    <w:p>
      <w:pPr>
        <w:spacing w:line="480" w:lineRule="exact"/>
        <w:ind w:firstLine="480" w:firstLineChars="200"/>
        <w:rPr>
          <w:bCs/>
          <w:sz w:val="24"/>
          <w:highlight w:val="none"/>
        </w:rPr>
      </w:pPr>
      <w:r>
        <w:rPr>
          <w:rFonts w:hint="eastAsia"/>
          <w:bCs/>
          <w:sz w:val="24"/>
          <w:highlight w:val="none"/>
        </w:rPr>
        <w:t>随着水电站的建成运行，山、水、林、鸟构成新的景观，人类的活动增加，会带来新的环境污染隐患。必须加强管理，减少污染，保护野生动物。</w:t>
      </w:r>
    </w:p>
    <w:p>
      <w:pPr>
        <w:spacing w:line="480" w:lineRule="exact"/>
        <w:rPr>
          <w:b/>
          <w:sz w:val="24"/>
          <w:highlight w:val="none"/>
        </w:rPr>
      </w:pPr>
      <w:r>
        <w:rPr>
          <w:rFonts w:hint="eastAsia"/>
          <w:b/>
          <w:sz w:val="24"/>
          <w:highlight w:val="none"/>
        </w:rPr>
        <w:t>7.2.</w:t>
      </w:r>
      <w:r>
        <w:rPr>
          <w:rFonts w:hint="eastAsia"/>
          <w:b/>
          <w:sz w:val="24"/>
          <w:highlight w:val="none"/>
          <w:lang w:val="en-US" w:eastAsia="zh-CN"/>
        </w:rPr>
        <w:t>3</w:t>
      </w:r>
      <w:r>
        <w:rPr>
          <w:rFonts w:hint="eastAsia"/>
          <w:b/>
          <w:sz w:val="24"/>
          <w:highlight w:val="none"/>
        </w:rPr>
        <w:t>. 水生生态保护措施</w:t>
      </w:r>
    </w:p>
    <w:p>
      <w:pPr>
        <w:spacing w:line="480" w:lineRule="exact"/>
        <w:ind w:firstLine="480" w:firstLineChars="200"/>
        <w:rPr>
          <w:bCs/>
          <w:sz w:val="24"/>
          <w:highlight w:val="none"/>
        </w:rPr>
      </w:pPr>
      <w:r>
        <w:rPr>
          <w:rFonts w:hint="eastAsia"/>
          <w:bCs/>
          <w:sz w:val="24"/>
          <w:highlight w:val="none"/>
        </w:rPr>
        <w:t>水生生态环境保护措施就是采取适当的方法，尽可能在最大程度上避免和补偿潜在的不利生态影响，具体保护措施如下：</w:t>
      </w:r>
    </w:p>
    <w:p>
      <w:pPr>
        <w:spacing w:line="480" w:lineRule="exact"/>
        <w:ind w:firstLine="480" w:firstLineChars="200"/>
        <w:rPr>
          <w:bCs/>
          <w:sz w:val="24"/>
          <w:highlight w:val="none"/>
        </w:rPr>
      </w:pPr>
      <w:r>
        <w:rPr>
          <w:rFonts w:hint="eastAsia"/>
          <w:bCs/>
          <w:sz w:val="24"/>
          <w:highlight w:val="none"/>
        </w:rPr>
        <w:t>（1）落实生态流量</w:t>
      </w:r>
    </w:p>
    <w:p>
      <w:pPr>
        <w:spacing w:line="480" w:lineRule="exact"/>
        <w:ind w:firstLine="480" w:firstLineChars="200"/>
        <w:rPr>
          <w:bCs/>
          <w:sz w:val="24"/>
          <w:highlight w:val="none"/>
        </w:rPr>
      </w:pPr>
      <w:r>
        <w:rPr>
          <w:rFonts w:hint="eastAsia"/>
          <w:bCs/>
          <w:sz w:val="24"/>
          <w:highlight w:val="none"/>
        </w:rPr>
        <w:t>落实生态流量下泄管理，确保下游河流不存在减脱水情况。建议建设单位建立落实《生态流量下泄管理的方案》，确定具体下泄的时间、频次、流量、条件、人员任务等，并建立台账，及时记录。</w:t>
      </w:r>
    </w:p>
    <w:p>
      <w:pPr>
        <w:spacing w:line="480" w:lineRule="exact"/>
        <w:ind w:firstLine="480" w:firstLineChars="200"/>
        <w:rPr>
          <w:bCs/>
          <w:color w:val="auto"/>
          <w:sz w:val="24"/>
          <w:highlight w:val="none"/>
        </w:rPr>
      </w:pPr>
      <w:r>
        <w:rPr>
          <w:rFonts w:hint="eastAsia"/>
          <w:bCs/>
          <w:sz w:val="24"/>
          <w:highlight w:val="none"/>
        </w:rPr>
        <w:t>（2</w:t>
      </w:r>
      <w:r>
        <w:rPr>
          <w:rFonts w:hint="eastAsia"/>
          <w:bCs/>
          <w:color w:val="auto"/>
          <w:sz w:val="24"/>
          <w:highlight w:val="none"/>
        </w:rPr>
        <w:t>）落实下泄生态流量</w:t>
      </w:r>
    </w:p>
    <w:p>
      <w:pPr>
        <w:spacing w:line="480" w:lineRule="exact"/>
        <w:ind w:firstLine="480" w:firstLineChars="200"/>
        <w:rPr>
          <w:rFonts w:hint="eastAsia" w:ascii="Times New Roman" w:hAnsi="Times New Roman" w:eastAsia="宋体" w:cs="Times New Roman"/>
          <w:color w:val="auto"/>
          <w:sz w:val="24"/>
          <w:highlight w:val="none"/>
        </w:rPr>
      </w:pPr>
      <w:r>
        <w:rPr>
          <w:rFonts w:hint="eastAsia"/>
          <w:bCs/>
          <w:color w:val="auto"/>
          <w:sz w:val="24"/>
          <w:highlight w:val="none"/>
        </w:rPr>
        <w:t>落实下泄生态流量远程在线监控,在下泄生态流量口安装电磁流量计和摄像采集前端。电磁流量计可输出 4~20mA 的模拟量，与通过的流量相匹配，同时将数据传输至闸首控制单元。摄像采集前端图像后，经视频传输网和后台控制处理连接。数据及图像信息通过传输网络传输到中心，中心实时接收监测点报送的各类水资源监测信息，对其进行遥控、遥测，对所采集的数据信息进行处理，并向监测站点发送指令，随时查询数据。</w:t>
      </w:r>
      <w:r>
        <w:rPr>
          <w:rFonts w:hint="eastAsia"/>
          <w:bCs/>
          <w:color w:val="auto"/>
          <w:sz w:val="24"/>
          <w:highlight w:val="none"/>
          <w:lang w:eastAsia="zh-CN"/>
        </w:rPr>
        <w:t>电站在非输水期停止发电，橡胶坝放气不拦水，河道处于建站前自然流量自然状态，发电期间河道水量达</w:t>
      </w:r>
      <w:r>
        <w:rPr>
          <w:rFonts w:hint="eastAsia"/>
          <w:bCs/>
          <w:color w:val="auto"/>
          <w:sz w:val="24"/>
          <w:highlight w:val="none"/>
          <w:lang w:val="en-US" w:eastAsia="zh-CN"/>
        </w:rPr>
        <w:t>60</w:t>
      </w:r>
      <w:r>
        <w:rPr>
          <w:rFonts w:hint="eastAsia"/>
          <w:color w:val="auto"/>
          <w:sz w:val="24"/>
          <w:highlight w:val="none"/>
        </w:rPr>
        <w:t>m</w:t>
      </w:r>
      <w:r>
        <w:rPr>
          <w:color w:val="auto"/>
          <w:sz w:val="24"/>
          <w:highlight w:val="none"/>
          <w:vertAlign w:val="superscript"/>
        </w:rPr>
        <w:t>3</w:t>
      </w:r>
      <w:r>
        <w:rPr>
          <w:color w:val="auto"/>
          <w:sz w:val="24"/>
          <w:highlight w:val="none"/>
        </w:rPr>
        <w:t>/s</w:t>
      </w:r>
      <w:r>
        <w:rPr>
          <w:rFonts w:hint="eastAsia"/>
          <w:color w:val="auto"/>
          <w:sz w:val="24"/>
          <w:highlight w:val="none"/>
          <w:lang w:eastAsia="zh-CN"/>
        </w:rPr>
        <w:t>以上，最小于</w:t>
      </w:r>
      <w:r>
        <w:rPr>
          <w:color w:val="auto"/>
          <w:sz w:val="24"/>
          <w:highlight w:val="none"/>
        </w:rPr>
        <w:t>下泄生态流量</w:t>
      </w:r>
      <w:r>
        <w:rPr>
          <w:rFonts w:hint="eastAsia"/>
          <w:color w:val="auto"/>
          <w:sz w:val="24"/>
          <w:highlight w:val="none"/>
        </w:rPr>
        <w:t>6m</w:t>
      </w:r>
      <w:r>
        <w:rPr>
          <w:color w:val="auto"/>
          <w:sz w:val="24"/>
          <w:highlight w:val="none"/>
          <w:vertAlign w:val="superscript"/>
        </w:rPr>
        <w:t>3</w:t>
      </w:r>
      <w:r>
        <w:rPr>
          <w:color w:val="auto"/>
          <w:sz w:val="24"/>
          <w:highlight w:val="none"/>
        </w:rPr>
        <w:t>/s</w:t>
      </w:r>
      <w:r>
        <w:rPr>
          <w:rFonts w:hint="eastAsia"/>
          <w:color w:val="auto"/>
          <w:sz w:val="24"/>
          <w:highlight w:val="none"/>
          <w:lang w:eastAsia="zh-CN"/>
        </w:rPr>
        <w:t>的要求</w:t>
      </w:r>
      <w:r>
        <w:rPr>
          <w:color w:val="auto"/>
          <w:sz w:val="24"/>
          <w:highlight w:val="none"/>
        </w:rPr>
        <w:t>，</w:t>
      </w:r>
      <w:r>
        <w:rPr>
          <w:rFonts w:hint="eastAsia"/>
          <w:color w:val="auto"/>
          <w:sz w:val="24"/>
          <w:highlight w:val="none"/>
          <w:lang w:eastAsia="zh-CN"/>
        </w:rPr>
        <w:t>坝下至尾水口之间减水段流量在发电期间为</w:t>
      </w:r>
      <w:r>
        <w:rPr>
          <w:rFonts w:hint="eastAsia"/>
          <w:bCs/>
          <w:color w:val="auto"/>
          <w:sz w:val="24"/>
          <w:highlight w:val="none"/>
          <w:lang w:val="en-US" w:eastAsia="zh-CN"/>
        </w:rPr>
        <w:t>4.08</w:t>
      </w:r>
      <w:r>
        <w:rPr>
          <w:rFonts w:hint="eastAsia"/>
          <w:color w:val="auto"/>
          <w:sz w:val="24"/>
          <w:highlight w:val="none"/>
        </w:rPr>
        <w:t>m</w:t>
      </w:r>
      <w:r>
        <w:rPr>
          <w:color w:val="auto"/>
          <w:sz w:val="24"/>
          <w:highlight w:val="none"/>
          <w:vertAlign w:val="superscript"/>
        </w:rPr>
        <w:t>3</w:t>
      </w:r>
      <w:r>
        <w:rPr>
          <w:color w:val="auto"/>
          <w:sz w:val="24"/>
          <w:highlight w:val="none"/>
        </w:rPr>
        <w:t>/s</w:t>
      </w:r>
      <w:r>
        <w:rPr>
          <w:rFonts w:hint="eastAsia"/>
          <w:color w:val="auto"/>
          <w:sz w:val="24"/>
          <w:highlight w:val="none"/>
          <w:lang w:eastAsia="zh-CN"/>
        </w:rPr>
        <w:t>，大于最小生态流量</w:t>
      </w:r>
      <w:r>
        <w:rPr>
          <w:rFonts w:hint="eastAsia"/>
          <w:bCs/>
          <w:color w:val="auto"/>
          <w:sz w:val="24"/>
          <w:highlight w:val="none"/>
          <w:lang w:val="en-US" w:eastAsia="zh-CN"/>
        </w:rPr>
        <w:t>0.44</w:t>
      </w:r>
      <w:r>
        <w:rPr>
          <w:rFonts w:hint="eastAsia"/>
          <w:color w:val="auto"/>
          <w:sz w:val="24"/>
          <w:highlight w:val="none"/>
        </w:rPr>
        <w:t>m</w:t>
      </w:r>
      <w:r>
        <w:rPr>
          <w:color w:val="auto"/>
          <w:sz w:val="24"/>
          <w:highlight w:val="none"/>
          <w:vertAlign w:val="superscript"/>
        </w:rPr>
        <w:t>3</w:t>
      </w:r>
      <w:r>
        <w:rPr>
          <w:color w:val="auto"/>
          <w:sz w:val="24"/>
          <w:highlight w:val="none"/>
        </w:rPr>
        <w:t>/s</w:t>
      </w:r>
      <w:r>
        <w:rPr>
          <w:rFonts w:hint="eastAsia"/>
          <w:color w:val="auto"/>
          <w:sz w:val="24"/>
          <w:highlight w:val="none"/>
          <w:lang w:eastAsia="zh-CN"/>
        </w:rPr>
        <w:t>，因此</w:t>
      </w:r>
      <w:r>
        <w:rPr>
          <w:color w:val="auto"/>
          <w:sz w:val="24"/>
          <w:highlight w:val="none"/>
        </w:rPr>
        <w:t>下游河段生态系统的功能结构、生态环境质量、</w:t>
      </w:r>
      <w:r>
        <w:rPr>
          <w:rFonts w:hint="eastAsia"/>
          <w:color w:val="auto"/>
          <w:sz w:val="24"/>
          <w:highlight w:val="none"/>
        </w:rPr>
        <w:t>引滦入</w:t>
      </w:r>
      <w:r>
        <w:rPr>
          <w:rFonts w:hint="eastAsia" w:ascii="Times New Roman" w:hAnsi="Times New Roman" w:eastAsia="宋体" w:cs="Times New Roman"/>
          <w:color w:val="auto"/>
          <w:sz w:val="24"/>
          <w:highlight w:val="none"/>
        </w:rPr>
        <w:t>津用水不受影响。</w:t>
      </w:r>
    </w:p>
    <w:p>
      <w:pPr>
        <w:spacing w:line="480" w:lineRule="exact"/>
        <w:ind w:firstLine="480" w:firstLineChars="200"/>
        <w:rPr>
          <w:rFonts w:hint="default" w:ascii="Times New Roman" w:hAnsi="Times New Roman" w:eastAsia="宋体" w:cs="Times New Roman"/>
          <w:color w:val="auto"/>
          <w:sz w:val="24"/>
          <w:highlight w:val="none"/>
          <w:lang w:val="en-US"/>
        </w:rPr>
      </w:pPr>
      <w:r>
        <w:rPr>
          <w:rFonts w:hint="eastAsia"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val="en-US"/>
        </w:rPr>
        <w:t>其他保护对策</w:t>
      </w:r>
    </w:p>
    <w:p>
      <w:pPr>
        <w:spacing w:line="480" w:lineRule="exact"/>
        <w:ind w:firstLine="480" w:firstLineChars="200"/>
        <w:rPr>
          <w:rFonts w:hint="eastAsia"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rPr>
        <w:t>禁止生活污水、生活垃圾排入河道。为保护鱼类，应禁止一切具有毁灭性的渔具和捕鱼方法，如炸鱼、电鱼、毒鱼等。建设单位</w:t>
      </w:r>
      <w:r>
        <w:rPr>
          <w:rFonts w:hint="default" w:ascii="Times New Roman" w:hAnsi="Times New Roman" w:eastAsia="宋体" w:cs="Times New Roman"/>
          <w:color w:val="auto"/>
          <w:sz w:val="24"/>
          <w:highlight w:val="none"/>
          <w:lang w:val="en-US" w:eastAsia="zh-CN"/>
        </w:rPr>
        <w:t>定期</w:t>
      </w:r>
      <w:r>
        <w:rPr>
          <w:rFonts w:hint="default" w:ascii="Times New Roman" w:hAnsi="Times New Roman" w:eastAsia="宋体" w:cs="Times New Roman"/>
          <w:color w:val="auto"/>
          <w:sz w:val="24"/>
          <w:highlight w:val="none"/>
          <w:lang w:val="en-US"/>
        </w:rPr>
        <w:t>在项目区加强宣传教育，禁止电站职工电鱼、炸鱼等</w:t>
      </w:r>
      <w:r>
        <w:rPr>
          <w:rFonts w:hint="eastAsia" w:ascii="Times New Roman" w:hAnsi="Times New Roman" w:eastAsia="宋体" w:cs="Times New Roman"/>
          <w:color w:val="auto"/>
          <w:sz w:val="24"/>
          <w:highlight w:val="none"/>
        </w:rPr>
        <w:t>落实下泄生态流量</w:t>
      </w:r>
      <w:r>
        <w:rPr>
          <w:rFonts w:hint="eastAsia" w:ascii="Times New Roman" w:hAnsi="Times New Roman" w:eastAsia="宋体" w:cs="Times New Roman"/>
          <w:color w:val="auto"/>
          <w:sz w:val="24"/>
          <w:highlight w:val="none"/>
          <w:lang w:eastAsia="zh-CN"/>
        </w:rPr>
        <w:t>。</w:t>
      </w:r>
    </w:p>
    <w:p>
      <w:pPr>
        <w:spacing w:line="480" w:lineRule="exact"/>
        <w:ind w:firstLine="480" w:firstLineChars="200"/>
        <w:rPr>
          <w:rFonts w:hint="eastAsia" w:ascii="Times New Roman" w:hAnsi="Times New Roman" w:eastAsia="宋体" w:cs="Times New Roman"/>
          <w:bCs/>
          <w:color w:val="auto"/>
          <w:sz w:val="24"/>
          <w:highlight w:val="none"/>
        </w:rPr>
      </w:pPr>
      <w:r>
        <w:rPr>
          <w:rFonts w:hint="eastAsia"/>
          <w:bCs/>
          <w:color w:val="auto"/>
          <w:sz w:val="24"/>
          <w:highlight w:val="none"/>
        </w:rPr>
        <w:t>采取以上措施后，电站可满足《关于做好河湖生态流量确定和保障工作的指导意见》（水资管[2020]67 号）的</w:t>
      </w:r>
      <w:r>
        <w:rPr>
          <w:rFonts w:hint="eastAsia" w:ascii="Times New Roman" w:hAnsi="Times New Roman" w:eastAsia="宋体" w:cs="Times New Roman"/>
          <w:bCs/>
          <w:color w:val="auto"/>
          <w:sz w:val="24"/>
          <w:highlight w:val="none"/>
        </w:rPr>
        <w:t>要求。</w:t>
      </w:r>
    </w:p>
    <w:p>
      <w:pPr>
        <w:spacing w:line="480" w:lineRule="exact"/>
        <w:rPr>
          <w:rFonts w:hint="default" w:ascii="Times New Roman" w:hAnsi="Times New Roman" w:eastAsia="宋体" w:cs="Times New Roman"/>
          <w:b/>
          <w:bCs w:val="0"/>
          <w:color w:val="auto"/>
          <w:sz w:val="24"/>
          <w:highlight w:val="none"/>
          <w:lang w:val="en-US" w:eastAsia="zh-CN"/>
        </w:rPr>
      </w:pPr>
      <w:r>
        <w:rPr>
          <w:rFonts w:hint="eastAsia" w:ascii="Times New Roman" w:hAnsi="Times New Roman" w:eastAsia="宋体" w:cs="Times New Roman"/>
          <w:b/>
          <w:bCs w:val="0"/>
          <w:color w:val="auto"/>
          <w:sz w:val="24"/>
          <w:highlight w:val="none"/>
        </w:rPr>
        <w:t>7.2.</w:t>
      </w:r>
      <w:r>
        <w:rPr>
          <w:rFonts w:hint="eastAsia" w:cs="Times New Roman"/>
          <w:b/>
          <w:bCs w:val="0"/>
          <w:color w:val="auto"/>
          <w:sz w:val="24"/>
          <w:highlight w:val="none"/>
          <w:lang w:val="en-US" w:eastAsia="zh-CN"/>
        </w:rPr>
        <w:t>4</w:t>
      </w:r>
      <w:r>
        <w:rPr>
          <w:rFonts w:hint="eastAsia" w:ascii="Times New Roman" w:hAnsi="Times New Roman" w:eastAsia="宋体" w:cs="Times New Roman"/>
          <w:b/>
          <w:bCs w:val="0"/>
          <w:color w:val="auto"/>
          <w:sz w:val="24"/>
          <w:highlight w:val="none"/>
        </w:rPr>
        <w:t xml:space="preserve"> </w:t>
      </w:r>
      <w:r>
        <w:rPr>
          <w:rFonts w:hint="default" w:ascii="Times New Roman" w:hAnsi="Times New Roman" w:eastAsia="宋体" w:cs="Times New Roman"/>
          <w:b/>
          <w:bCs w:val="0"/>
          <w:color w:val="auto"/>
          <w:sz w:val="24"/>
          <w:highlight w:val="none"/>
          <w:lang w:val="en-US" w:eastAsia="zh-CN"/>
        </w:rPr>
        <w:t>陆生生态保护措施</w:t>
      </w:r>
    </w:p>
    <w:p>
      <w:pPr>
        <w:spacing w:line="480" w:lineRule="exact"/>
        <w:ind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（1）区域内陆生态环境保护措施</w:t>
      </w:r>
    </w:p>
    <w:p>
      <w:pPr>
        <w:spacing w:line="480" w:lineRule="exact"/>
        <w:ind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发展本地原有的优势植物，评价区域内的植物种类较</w:t>
      </w:r>
      <w:r>
        <w:rPr>
          <w:rFonts w:hint="eastAsia" w:ascii="Times New Roman" w:hAnsi="Times New Roman" w:eastAsia="宋体" w:cs="Times New Roman"/>
          <w:bCs/>
          <w:color w:val="auto"/>
          <w:sz w:val="24"/>
          <w:highlight w:val="none"/>
          <w:lang w:val="en-US" w:eastAsia="zh-CN"/>
        </w:rPr>
        <w:t>少</w:t>
      </w:r>
      <w:r>
        <w:rPr>
          <w:rFonts w:hint="default" w:ascii="Times New Roman" w:hAnsi="Times New Roman" w:eastAsia="宋体" w:cs="Times New Roman"/>
          <w:bCs/>
          <w:color w:val="auto"/>
          <w:sz w:val="24"/>
          <w:highlight w:val="none"/>
          <w:lang w:val="en-US"/>
        </w:rPr>
        <w:t>，</w:t>
      </w:r>
      <w:r>
        <w:rPr>
          <w:rFonts w:hint="eastAsia" w:ascii="Times New Roman" w:hAnsi="Times New Roman" w:eastAsia="宋体" w:cs="Times New Roman"/>
          <w:bCs/>
          <w:color w:val="auto"/>
          <w:sz w:val="24"/>
          <w:highlight w:val="none"/>
          <w:lang w:val="en-US" w:eastAsia="zh-CN"/>
        </w:rPr>
        <w:t>应发展</w:t>
      </w:r>
      <w:r>
        <w:rPr>
          <w:rFonts w:hint="default" w:ascii="Times New Roman" w:hAnsi="Times New Roman" w:eastAsia="宋体" w:cs="Times New Roman"/>
          <w:bCs/>
          <w:color w:val="auto"/>
          <w:sz w:val="24"/>
          <w:highlight w:val="none"/>
          <w:lang w:val="en-US"/>
        </w:rPr>
        <w:t>适宜该区生态环境，且生长良好、种群数量较多、有一定经济价值的优势植物。一方面为扩大区域内植被面积，发挥其保持水土、涵养水源、护岸固沙等方面的生态作用；另一方面，还可以促进地方经济发展。</w:t>
      </w:r>
    </w:p>
    <w:p>
      <w:pPr>
        <w:spacing w:line="480" w:lineRule="exact"/>
        <w:ind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w:t>
      </w:r>
      <w:r>
        <w:rPr>
          <w:rFonts w:hint="default" w:ascii="Times New Roman" w:hAnsi="Times New Roman" w:eastAsia="宋体" w:cs="Times New Roman"/>
          <w:bCs/>
          <w:color w:val="auto"/>
          <w:sz w:val="24"/>
          <w:highlight w:val="none"/>
          <w:lang w:val="en-US" w:eastAsia="zh-CN"/>
        </w:rPr>
        <w:t>2</w:t>
      </w:r>
      <w:r>
        <w:rPr>
          <w:rFonts w:hint="default" w:ascii="Times New Roman" w:hAnsi="Times New Roman" w:eastAsia="宋体" w:cs="Times New Roman"/>
          <w:bCs/>
          <w:color w:val="auto"/>
          <w:sz w:val="24"/>
          <w:highlight w:val="none"/>
          <w:lang w:val="en-US"/>
        </w:rPr>
        <w:t>）植物保护措施</w:t>
      </w:r>
    </w:p>
    <w:p>
      <w:pPr>
        <w:spacing w:line="480" w:lineRule="exact"/>
        <w:ind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本项目已经正常运营多年，故不涉及施工期对生态环境的影响，项目对生态环境的影响为电站运营过程中对生态环境的影响。本项目对植物的保护措施如下：</w:t>
      </w:r>
    </w:p>
    <w:p>
      <w:pPr>
        <w:spacing w:line="480" w:lineRule="exact"/>
        <w:ind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①在工程运行期要做好对周边植物的保护，有效保护生态环境和物种资源。</w:t>
      </w:r>
    </w:p>
    <w:p>
      <w:pPr>
        <w:spacing w:line="480" w:lineRule="exact"/>
        <w:ind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②职工人员和设备的运输可能无意引进外来物种，外来物种的入侵有可能改变当地的生态系统并破坏食物链。要采取有效措施防范和限制外来物种入侵。</w:t>
      </w:r>
    </w:p>
    <w:p>
      <w:pPr>
        <w:spacing w:line="480" w:lineRule="exact"/>
        <w:ind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③进行植物保护知识宣传，提高项目职工的环保意识，做到对周边植物严禁滥砍滥伐，对外来人员破坏植物的行为进行监督和提醒。</w:t>
      </w:r>
    </w:p>
    <w:p>
      <w:pPr>
        <w:spacing w:line="480" w:lineRule="exact"/>
        <w:ind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④明确落实防火责任单位和责任人，在日常工作管理中加强安全用火意识，并在厂区配备消防安全设施。</w:t>
      </w:r>
    </w:p>
    <w:p>
      <w:pPr>
        <w:spacing w:line="480" w:lineRule="exact"/>
        <w:ind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w:t>
      </w:r>
      <w:r>
        <w:rPr>
          <w:rFonts w:hint="default" w:ascii="Times New Roman" w:hAnsi="Times New Roman" w:eastAsia="宋体" w:cs="Times New Roman"/>
          <w:bCs/>
          <w:color w:val="auto"/>
          <w:sz w:val="24"/>
          <w:highlight w:val="none"/>
          <w:lang w:val="en-US" w:eastAsia="zh-CN"/>
        </w:rPr>
        <w:t>3</w:t>
      </w:r>
      <w:r>
        <w:rPr>
          <w:rFonts w:hint="default" w:ascii="Times New Roman" w:hAnsi="Times New Roman" w:eastAsia="宋体" w:cs="Times New Roman"/>
          <w:bCs/>
          <w:color w:val="auto"/>
          <w:sz w:val="24"/>
          <w:highlight w:val="none"/>
          <w:lang w:val="en-US"/>
        </w:rPr>
        <w:t>）动物保护措施</w:t>
      </w:r>
    </w:p>
    <w:p>
      <w:pPr>
        <w:spacing w:line="480" w:lineRule="exact"/>
        <w:ind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应加强管理，特别对电站工作人员应加强教育，对电站日常工作人员明确规定严禁猎杀野生动物，注意野外用火安全，禁止破坏野生动物栖息环境。</w:t>
      </w:r>
    </w:p>
    <w:p>
      <w:pPr>
        <w:spacing w:line="480" w:lineRule="exact"/>
        <w:ind w:firstLine="480" w:firstLineChars="200"/>
        <w:rPr>
          <w:rFonts w:hint="default" w:ascii="Times New Roman" w:hAnsi="Times New Roman" w:eastAsia="宋体" w:cs="Times New Roman"/>
          <w:bCs/>
          <w:color w:val="auto"/>
          <w:sz w:val="24"/>
          <w:highlight w:val="none"/>
          <w:lang w:val="en-US"/>
        </w:rPr>
      </w:pPr>
    </w:p>
    <w:p>
      <w:pPr>
        <w:spacing w:line="480" w:lineRule="exact"/>
        <w:ind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对动物的保护措施如下：</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①对电站工作人员进行广泛宣传和教育，主要了解评价范围内可能出现的野生动物，尤其是重点保护野生动物的基本情况，项目人员在项目区域发现珍稀和濒危动物应对其进行保护，并向相关部门反映。</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②提高职工人员的保护意识，强化职工人员遵守《中华人民共和国野生动物保护法》的意识；</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③加强对加大对该类野生动物的保护力度，严格执法，杜绝乱捕乱猎。</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rPr>
        <w:t>④对植被恢复效果较差的区域需加强此区域的生态恢复力度，为区域内野生动物创造良好的生存环境</w:t>
      </w:r>
      <w:r>
        <w:rPr>
          <w:rFonts w:hint="eastAsia" w:ascii="Times New Roman" w:hAnsi="Times New Roman" w:eastAsia="宋体" w:cs="Times New Roman"/>
          <w:bCs/>
          <w:color w:val="auto"/>
          <w:sz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460" w:lineRule="exact"/>
        <w:textAlignment w:val="auto"/>
        <w:rPr>
          <w:b/>
          <w:color w:val="auto"/>
          <w:sz w:val="24"/>
          <w:highlight w:val="none"/>
        </w:rPr>
      </w:pPr>
      <w:r>
        <w:rPr>
          <w:rFonts w:hint="eastAsia"/>
          <w:b/>
          <w:color w:val="auto"/>
          <w:sz w:val="24"/>
          <w:highlight w:val="none"/>
          <w:lang w:val="en-US" w:eastAsia="zh-CN"/>
        </w:rPr>
        <w:t>7.2.5</w:t>
      </w:r>
      <w:r>
        <w:rPr>
          <w:rFonts w:hint="eastAsia"/>
          <w:b/>
          <w:color w:val="auto"/>
          <w:sz w:val="24"/>
          <w:highlight w:val="none"/>
        </w:rPr>
        <w:t>环境空气保护措施</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bCs/>
          <w:color w:val="auto"/>
          <w:sz w:val="24"/>
          <w:highlight w:val="none"/>
        </w:rPr>
      </w:pPr>
      <w:r>
        <w:rPr>
          <w:rFonts w:hint="eastAsia"/>
          <w:color w:val="auto"/>
          <w:sz w:val="24"/>
          <w:highlight w:val="none"/>
        </w:rPr>
        <w:t>水电站在运营期无生产性废气产生，本项目不需增设废气污染防治措施。</w:t>
      </w:r>
    </w:p>
    <w:p>
      <w:pPr>
        <w:keepNext w:val="0"/>
        <w:keepLines w:val="0"/>
        <w:pageBreakBefore w:val="0"/>
        <w:widowControl w:val="0"/>
        <w:kinsoku/>
        <w:wordWrap/>
        <w:overflowPunct/>
        <w:topLinePunct w:val="0"/>
        <w:autoSpaceDE/>
        <w:autoSpaceDN/>
        <w:bidi w:val="0"/>
        <w:adjustRightInd/>
        <w:snapToGrid/>
        <w:spacing w:line="460" w:lineRule="exact"/>
        <w:textAlignment w:val="auto"/>
        <w:rPr>
          <w:b/>
          <w:color w:val="auto"/>
          <w:sz w:val="24"/>
          <w:highlight w:val="none"/>
        </w:rPr>
      </w:pPr>
      <w:r>
        <w:rPr>
          <w:rFonts w:hint="eastAsia"/>
          <w:b/>
          <w:color w:val="auto"/>
          <w:sz w:val="24"/>
          <w:highlight w:val="none"/>
        </w:rPr>
        <w:t>7.2.</w:t>
      </w:r>
      <w:r>
        <w:rPr>
          <w:rFonts w:hint="eastAsia"/>
          <w:b/>
          <w:color w:val="auto"/>
          <w:sz w:val="24"/>
          <w:highlight w:val="none"/>
          <w:lang w:val="en-US" w:eastAsia="zh-CN"/>
        </w:rPr>
        <w:t>6</w:t>
      </w:r>
      <w:r>
        <w:rPr>
          <w:rFonts w:hint="eastAsia"/>
          <w:b/>
          <w:color w:val="auto"/>
          <w:sz w:val="24"/>
          <w:highlight w:val="none"/>
        </w:rPr>
        <w:t xml:space="preserve"> 声环境保护措施</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color w:val="auto"/>
          <w:sz w:val="24"/>
          <w:highlight w:val="none"/>
        </w:rPr>
      </w:pPr>
      <w:r>
        <w:rPr>
          <w:rFonts w:hint="eastAsia"/>
          <w:color w:val="auto"/>
          <w:sz w:val="24"/>
          <w:highlight w:val="none"/>
        </w:rPr>
        <w:t>水电站在运行过程中，噪声来源主要是发电机、水轮机、各类泵等生产设备产生的机械噪声，声级强度介于于 65~90dB(A)；实际运行过程中，建设单位采取隔声、消声和减振等措施，周边声环境可以达到《声环境质量标准》(GB3096-2008)2 类标准的要求，为了进一步降低噪声,环评建议企业采取以下防治措施。</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color w:val="auto"/>
          <w:sz w:val="24"/>
          <w:highlight w:val="none"/>
        </w:rPr>
      </w:pPr>
      <w:r>
        <w:rPr>
          <w:rFonts w:hint="eastAsia"/>
          <w:color w:val="auto"/>
          <w:sz w:val="24"/>
          <w:highlight w:val="none"/>
        </w:rPr>
        <w:t>（1）对闸门的液压泵组及水轮发电机组采取相应的减振降噪处理，可采用在液压泵进出口两端安装挠性橡皮接头、设备基础安装防振垫等措施，有效减少设备的运行噪声，发电厂房运行时关闭门窗，有效减少噪声外逸。</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sz w:val="24"/>
          <w:highlight w:val="none"/>
        </w:rPr>
      </w:pPr>
      <w:r>
        <w:rPr>
          <w:rFonts w:hint="eastAsia"/>
          <w:color w:val="auto"/>
          <w:sz w:val="24"/>
          <w:highlight w:val="none"/>
        </w:rPr>
        <w:t>（2）设置单独的水轮</w:t>
      </w:r>
      <w:r>
        <w:rPr>
          <w:rFonts w:hint="eastAsia"/>
          <w:sz w:val="24"/>
          <w:highlight w:val="none"/>
        </w:rPr>
        <w:t>发电机房，运行时关闭门窗，有效减少噪声对外传播。</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sz w:val="24"/>
          <w:highlight w:val="none"/>
        </w:rPr>
      </w:pPr>
      <w:r>
        <w:rPr>
          <w:rFonts w:hint="eastAsia"/>
          <w:sz w:val="24"/>
          <w:highlight w:val="none"/>
        </w:rPr>
        <w:t>（3）加强对设备的维护和管理等，减少设备非正常运行所产生的噪声对周边环境的影响。同时加强对设备管理人员的技术培训，避免因管理人员操作不当、或者对某些故障的处理不当而导致设备噪声提高。</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sz w:val="24"/>
          <w:highlight w:val="none"/>
        </w:rPr>
      </w:pPr>
      <w:r>
        <w:rPr>
          <w:rFonts w:hint="eastAsia"/>
          <w:sz w:val="24"/>
          <w:highlight w:val="none"/>
        </w:rPr>
        <w:t>环评还要求企业加强日常生产管理，包括：</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eastAsia="宋体"/>
          <w:sz w:val="24"/>
          <w:highlight w:val="none"/>
          <w:lang w:eastAsia="zh-CN"/>
        </w:rPr>
      </w:pPr>
      <w:r>
        <w:rPr>
          <w:rFonts w:hint="eastAsia"/>
          <w:sz w:val="24"/>
          <w:highlight w:val="none"/>
        </w:rPr>
        <w:t>①加强设备的维护，确保设备处于良好的运转状态，杜绝因设备不正常运转时产生的高噪声现象</w:t>
      </w:r>
      <w:r>
        <w:rPr>
          <w:rFonts w:hint="eastAsia"/>
          <w:sz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eastAsia="宋体"/>
          <w:sz w:val="24"/>
          <w:highlight w:val="none"/>
          <w:lang w:eastAsia="zh-CN"/>
        </w:rPr>
      </w:pPr>
      <w:r>
        <w:rPr>
          <w:rFonts w:hint="eastAsia"/>
          <w:sz w:val="24"/>
          <w:highlight w:val="none"/>
        </w:rPr>
        <w:t>②加强职工环保意识教育，提倡文明生产，防止人为噪声</w:t>
      </w:r>
      <w:r>
        <w:rPr>
          <w:rFonts w:hint="eastAsia"/>
          <w:sz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eastAsia="宋体"/>
          <w:sz w:val="24"/>
          <w:highlight w:val="none"/>
          <w:lang w:eastAsia="zh-CN"/>
        </w:rPr>
      </w:pPr>
      <w:r>
        <w:rPr>
          <w:rFonts w:hint="eastAsia"/>
          <w:sz w:val="24"/>
          <w:highlight w:val="none"/>
        </w:rPr>
        <w:t>③高噪声工位工人佩戴防护用品，如耳塞、耳罩、头盔等，诚少噪声对工人的伤害</w:t>
      </w:r>
      <w:r>
        <w:rPr>
          <w:rFonts w:hint="eastAsia"/>
          <w:sz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sz w:val="24"/>
          <w:highlight w:val="none"/>
        </w:rPr>
      </w:pPr>
      <w:r>
        <w:rPr>
          <w:rFonts w:hint="eastAsia"/>
          <w:sz w:val="24"/>
          <w:highlight w:val="none"/>
        </w:rPr>
        <w:t>通过以上管理措施的落实，本项目对周围声环境的影响程度可降至最低程度。</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sz w:val="24"/>
          <w:highlight w:val="none"/>
        </w:rPr>
      </w:pPr>
      <w:r>
        <w:rPr>
          <w:sz w:val="24"/>
          <w:highlight w:val="none"/>
        </w:rPr>
        <w:t>本项目布置在封闭厂房内，可综合降噪2</w:t>
      </w:r>
      <w:r>
        <w:rPr>
          <w:rFonts w:hint="eastAsia"/>
          <w:sz w:val="24"/>
          <w:highlight w:val="none"/>
        </w:rPr>
        <w:t>5</w:t>
      </w:r>
      <w:r>
        <w:rPr>
          <w:sz w:val="24"/>
          <w:highlight w:val="none"/>
        </w:rPr>
        <w:t>dB(A)，再经距离衰减，经预测，对厂界的噪声昼间预测值为</w:t>
      </w:r>
      <w:r>
        <w:rPr>
          <w:rFonts w:hint="eastAsia"/>
          <w:sz w:val="24"/>
          <w:highlight w:val="none"/>
        </w:rPr>
        <w:t>33.3-48.1</w:t>
      </w:r>
      <w:r>
        <w:rPr>
          <w:sz w:val="24"/>
          <w:highlight w:val="none"/>
        </w:rPr>
        <w:t>dB(A)，满足《工业企业厂界环境噪声排放标准》(GBl2348-2008)2类标准限值要求。</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sz w:val="24"/>
          <w:highlight w:val="none"/>
        </w:rPr>
      </w:pPr>
      <w:r>
        <w:rPr>
          <w:sz w:val="24"/>
          <w:highlight w:val="none"/>
        </w:rPr>
        <w:t>综上所述，项目营运期噪声不会对周边环境及</w:t>
      </w:r>
      <w:r>
        <w:rPr>
          <w:rFonts w:hint="eastAsia"/>
          <w:sz w:val="24"/>
          <w:highlight w:val="none"/>
        </w:rPr>
        <w:t>东南方向180m的庄户沟村</w:t>
      </w:r>
      <w:r>
        <w:rPr>
          <w:sz w:val="24"/>
          <w:highlight w:val="none"/>
        </w:rPr>
        <w:t>居民产生较大影响，项目噪声控制措施可行</w:t>
      </w:r>
    </w:p>
    <w:p>
      <w:pPr>
        <w:spacing w:line="480" w:lineRule="exact"/>
        <w:rPr>
          <w:b/>
          <w:sz w:val="24"/>
          <w:highlight w:val="none"/>
        </w:rPr>
      </w:pPr>
      <w:r>
        <w:rPr>
          <w:rFonts w:hint="eastAsia"/>
          <w:b/>
          <w:sz w:val="24"/>
          <w:highlight w:val="none"/>
        </w:rPr>
        <w:t>7.2.</w:t>
      </w:r>
      <w:r>
        <w:rPr>
          <w:rFonts w:hint="eastAsia"/>
          <w:b/>
          <w:sz w:val="24"/>
          <w:highlight w:val="none"/>
          <w:lang w:val="en-US" w:eastAsia="zh-CN"/>
        </w:rPr>
        <w:t>7</w:t>
      </w:r>
      <w:r>
        <w:rPr>
          <w:rFonts w:hint="eastAsia"/>
          <w:b/>
          <w:sz w:val="24"/>
          <w:highlight w:val="none"/>
        </w:rPr>
        <w:t xml:space="preserve"> 固体废物处置措施</w:t>
      </w:r>
    </w:p>
    <w:p>
      <w:pPr>
        <w:spacing w:line="480" w:lineRule="exact"/>
        <w:ind w:firstLine="480" w:firstLineChars="200"/>
        <w:rPr>
          <w:sz w:val="24"/>
          <w:highlight w:val="none"/>
        </w:rPr>
      </w:pPr>
      <w:r>
        <w:rPr>
          <w:rFonts w:hint="eastAsia"/>
          <w:sz w:val="24"/>
          <w:highlight w:val="none"/>
        </w:rPr>
        <w:t>本项目产生的一般固体废物包括生活垃圾、电站格栅打捞垃圾、废机油废抹布，主要治理对策包括：</w:t>
      </w:r>
    </w:p>
    <w:p>
      <w:pPr>
        <w:spacing w:line="480" w:lineRule="exact"/>
        <w:ind w:firstLine="480" w:firstLineChars="200"/>
        <w:jc w:val="left"/>
        <w:rPr>
          <w:sz w:val="24"/>
          <w:highlight w:val="none"/>
        </w:rPr>
      </w:pPr>
      <w:bookmarkStart w:id="303" w:name="_Toc3043"/>
      <w:bookmarkStart w:id="304" w:name="_Toc296169652"/>
      <w:bookmarkStart w:id="305" w:name="_Toc3343"/>
      <w:bookmarkStart w:id="306" w:name="_Toc246763553"/>
      <w:r>
        <w:rPr>
          <w:rFonts w:hint="eastAsia"/>
          <w:sz w:val="24"/>
          <w:highlight w:val="none"/>
        </w:rPr>
        <w:t>（1）一般固废</w:t>
      </w:r>
    </w:p>
    <w:p>
      <w:pPr>
        <w:spacing w:line="480" w:lineRule="exact"/>
        <w:ind w:firstLine="480" w:firstLineChars="200"/>
        <w:jc w:val="left"/>
        <w:rPr>
          <w:sz w:val="24"/>
          <w:highlight w:val="none"/>
        </w:rPr>
      </w:pPr>
      <w:r>
        <w:rPr>
          <w:rFonts w:hint="eastAsia"/>
          <w:sz w:val="24"/>
          <w:highlight w:val="none"/>
        </w:rPr>
        <w:t>建设单位应配合环卫部门，设置专门的生活垃圾临时收集点，每天及时对临时收集点的生活垃圾进行清运，交由环卫部门统一处理。</w:t>
      </w:r>
    </w:p>
    <w:p>
      <w:pPr>
        <w:spacing w:line="480" w:lineRule="exact"/>
        <w:ind w:firstLine="480" w:firstLineChars="200"/>
        <w:jc w:val="left"/>
        <w:rPr>
          <w:sz w:val="24"/>
          <w:highlight w:val="none"/>
        </w:rPr>
      </w:pPr>
      <w:r>
        <w:rPr>
          <w:rFonts w:hint="eastAsia"/>
          <w:sz w:val="24"/>
          <w:highlight w:val="none"/>
        </w:rPr>
        <w:t>②对垃圾临时收集点进行定时消毒、杀虫、除臭，以免散发恶臭，孽生蚊蝇。拦污格栅拦截的固体废物由人工定期清捞，与生活垃圾一起交由环卫部门处理。</w:t>
      </w:r>
    </w:p>
    <w:p>
      <w:pPr>
        <w:spacing w:line="480" w:lineRule="exact"/>
        <w:ind w:firstLine="480" w:firstLineChars="200"/>
        <w:rPr>
          <w:sz w:val="24"/>
          <w:highlight w:val="none"/>
        </w:rPr>
      </w:pPr>
      <w:r>
        <w:rPr>
          <w:rFonts w:hint="eastAsia"/>
          <w:sz w:val="24"/>
          <w:highlight w:val="none"/>
        </w:rPr>
        <w:t>②打捞垃圾</w:t>
      </w:r>
    </w:p>
    <w:p>
      <w:pPr>
        <w:spacing w:line="480" w:lineRule="exact"/>
        <w:ind w:firstLine="480" w:firstLineChars="200"/>
        <w:rPr>
          <w:sz w:val="24"/>
          <w:highlight w:val="none"/>
        </w:rPr>
      </w:pPr>
      <w:r>
        <w:rPr>
          <w:rFonts w:hint="eastAsia"/>
          <w:sz w:val="24"/>
          <w:highlight w:val="none"/>
        </w:rPr>
        <w:t>针对站格栅打捞垃圾，本项目水电站已配备有相应的打捞工具。打捞搜集的漂浮物</w:t>
      </w:r>
      <w:r>
        <w:rPr>
          <w:rFonts w:hint="eastAsia"/>
          <w:sz w:val="24"/>
          <w:highlight w:val="none"/>
          <w:lang w:eastAsia="zh-CN"/>
        </w:rPr>
        <w:t>有环卫部门进行处置</w:t>
      </w:r>
      <w:r>
        <w:rPr>
          <w:rFonts w:hint="eastAsia"/>
          <w:sz w:val="24"/>
          <w:highlight w:val="none"/>
        </w:rPr>
        <w:t>。</w:t>
      </w:r>
    </w:p>
    <w:p>
      <w:pPr>
        <w:spacing w:line="480" w:lineRule="exact"/>
        <w:ind w:firstLine="480" w:firstLineChars="200"/>
        <w:jc w:val="left"/>
        <w:rPr>
          <w:sz w:val="24"/>
          <w:highlight w:val="none"/>
        </w:rPr>
      </w:pPr>
      <w:r>
        <w:rPr>
          <w:rFonts w:hint="eastAsia"/>
          <w:sz w:val="24"/>
          <w:highlight w:val="none"/>
        </w:rPr>
        <w:t>（2）危险废物</w:t>
      </w:r>
    </w:p>
    <w:p>
      <w:pPr>
        <w:spacing w:line="480" w:lineRule="exact"/>
        <w:ind w:firstLine="480" w:firstLineChars="200"/>
        <w:jc w:val="left"/>
        <w:rPr>
          <w:sz w:val="24"/>
          <w:highlight w:val="none"/>
        </w:rPr>
      </w:pPr>
      <w:r>
        <w:rPr>
          <w:sz w:val="24"/>
          <w:highlight w:val="none"/>
        </w:rPr>
        <w:t>建设单位应将本项目废</w:t>
      </w:r>
      <w:r>
        <w:rPr>
          <w:rFonts w:hint="eastAsia"/>
          <w:sz w:val="24"/>
          <w:highlight w:val="none"/>
          <w:lang w:eastAsia="zh-CN"/>
        </w:rPr>
        <w:t>润滑</w:t>
      </w:r>
      <w:r>
        <w:rPr>
          <w:sz w:val="24"/>
          <w:highlight w:val="none"/>
        </w:rPr>
        <w:t>油采用</w:t>
      </w:r>
      <w:r>
        <w:rPr>
          <w:rFonts w:hint="eastAsia"/>
          <w:sz w:val="24"/>
          <w:highlight w:val="none"/>
          <w:lang w:eastAsia="zh-CN"/>
        </w:rPr>
        <w:t>废</w:t>
      </w:r>
      <w:r>
        <w:rPr>
          <w:sz w:val="24"/>
          <w:highlight w:val="none"/>
        </w:rPr>
        <w:t>油桶盛装，全部暂存在危废暂存间内，并委托有资质的危险废物处置单位定期处理。</w:t>
      </w:r>
    </w:p>
    <w:p>
      <w:pPr>
        <w:spacing w:line="480" w:lineRule="exact"/>
        <w:ind w:firstLine="480" w:firstLineChars="200"/>
        <w:rPr>
          <w:sz w:val="24"/>
          <w:highlight w:val="none"/>
        </w:rPr>
      </w:pPr>
      <w:r>
        <w:rPr>
          <w:rFonts w:hint="eastAsia"/>
          <w:sz w:val="24"/>
          <w:highlight w:val="none"/>
        </w:rPr>
        <w:t>根据现场调查，企业暂未针对机械设备检修过程产生的废</w:t>
      </w:r>
      <w:r>
        <w:rPr>
          <w:rFonts w:hint="eastAsia"/>
          <w:sz w:val="24"/>
          <w:highlight w:val="none"/>
          <w:lang w:eastAsia="zh-CN"/>
        </w:rPr>
        <w:t>润滑</w:t>
      </w:r>
      <w:r>
        <w:rPr>
          <w:rFonts w:hint="eastAsia"/>
          <w:sz w:val="24"/>
          <w:highlight w:val="none"/>
        </w:rPr>
        <w:t>油等设置危险废物收集桶以及危险废物暂存间，暂未建立危险废物处置台账，暂未签订《危险废物处置协议书》，</w:t>
      </w:r>
      <w:r>
        <w:rPr>
          <w:rFonts w:hint="eastAsia"/>
          <w:sz w:val="24"/>
          <w:highlight w:val="none"/>
          <w:lang w:eastAsia="zh-CN"/>
        </w:rPr>
        <w:t>未建设变压器事故溢油池，</w:t>
      </w:r>
      <w:r>
        <w:rPr>
          <w:rFonts w:hint="eastAsia"/>
          <w:sz w:val="24"/>
          <w:highlight w:val="none"/>
        </w:rPr>
        <w:t>需整改。</w:t>
      </w:r>
    </w:p>
    <w:p>
      <w:pPr>
        <w:spacing w:line="480" w:lineRule="exact"/>
        <w:ind w:firstLine="480" w:firstLineChars="200"/>
        <w:rPr>
          <w:sz w:val="24"/>
          <w:highlight w:val="none"/>
        </w:rPr>
      </w:pPr>
      <w:r>
        <w:rPr>
          <w:rFonts w:hint="eastAsia"/>
          <w:sz w:val="24"/>
          <w:highlight w:val="none"/>
        </w:rPr>
        <w:t>建议进行如下整改:</w:t>
      </w:r>
    </w:p>
    <w:p>
      <w:pPr>
        <w:spacing w:line="480" w:lineRule="exact"/>
        <w:ind w:firstLine="480" w:firstLineChars="200"/>
        <w:rPr>
          <w:sz w:val="24"/>
          <w:highlight w:val="none"/>
        </w:rPr>
      </w:pPr>
      <w:r>
        <w:rPr>
          <w:rFonts w:hint="eastAsia"/>
          <w:sz w:val="24"/>
          <w:highlight w:val="none"/>
        </w:rPr>
        <w:t>①设置危险废物临时贮存场所</w:t>
      </w:r>
    </w:p>
    <w:p>
      <w:pPr>
        <w:spacing w:line="480" w:lineRule="exact"/>
        <w:ind w:firstLine="480" w:firstLineChars="200"/>
        <w:rPr>
          <w:sz w:val="24"/>
          <w:highlight w:val="none"/>
        </w:rPr>
      </w:pPr>
      <w:r>
        <w:rPr>
          <w:rFonts w:hint="eastAsia"/>
          <w:sz w:val="24"/>
          <w:highlight w:val="none"/>
        </w:rPr>
        <w:t>要求水电站新建 1 处危险废物临时贮存间</w:t>
      </w:r>
      <w:r>
        <w:rPr>
          <w:rFonts w:hint="eastAsia"/>
          <w:sz w:val="24"/>
          <w:highlight w:val="none"/>
          <w:lang w:eastAsia="zh-CN"/>
        </w:rPr>
        <w:t>和变压器事故溢油池</w:t>
      </w:r>
      <w:r>
        <w:rPr>
          <w:rFonts w:hint="eastAsia"/>
          <w:sz w:val="24"/>
          <w:highlight w:val="none"/>
        </w:rPr>
        <w:t>，危险废物临时贮存间用于全厂危险废物的暂存。必须做好以下要求：</w:t>
      </w:r>
    </w:p>
    <w:p>
      <w:pPr>
        <w:spacing w:line="480" w:lineRule="exact"/>
        <w:ind w:firstLine="480" w:firstLineChars="200"/>
        <w:rPr>
          <w:sz w:val="24"/>
          <w:highlight w:val="none"/>
        </w:rPr>
      </w:pPr>
      <w:r>
        <w:rPr>
          <w:rFonts w:hint="eastAsia"/>
          <w:sz w:val="24"/>
          <w:highlight w:val="none"/>
        </w:rPr>
        <w:t>危废暂存间基础以仓库式的形式建设，库内地面与裙脚要用坚固、防渗的材料建造，建筑材料必须与危险废物相容。基础和裙脚必须防渗，防渗层为至少1米厚粘土层（渗透系数≤10-</w:t>
      </w:r>
      <w:r>
        <w:rPr>
          <w:rFonts w:hint="eastAsia"/>
          <w:sz w:val="24"/>
          <w:highlight w:val="none"/>
          <w:vertAlign w:val="superscript"/>
        </w:rPr>
        <w:t>7</w:t>
      </w:r>
      <w:r>
        <w:rPr>
          <w:rFonts w:hint="eastAsia"/>
          <w:sz w:val="24"/>
          <w:highlight w:val="none"/>
        </w:rPr>
        <w:t xml:space="preserve"> cm/s），或2毫米厚高密度聚乙烯，或至少2毫米厚的其它人工材料，渗透系数≤10</w:t>
      </w:r>
      <w:r>
        <w:rPr>
          <w:rFonts w:hint="eastAsia"/>
          <w:sz w:val="24"/>
          <w:highlight w:val="none"/>
          <w:vertAlign w:val="superscript"/>
        </w:rPr>
        <w:t>-10</w:t>
      </w:r>
      <w:r>
        <w:rPr>
          <w:rFonts w:hint="eastAsia"/>
          <w:sz w:val="24"/>
          <w:highlight w:val="none"/>
        </w:rPr>
        <w:t xml:space="preserve"> cm/s。</w:t>
      </w:r>
      <w:r>
        <w:rPr>
          <w:rFonts w:hint="eastAsia"/>
          <w:sz w:val="24"/>
          <w:highlight w:val="none"/>
          <w:lang w:eastAsia="zh-CN"/>
        </w:rPr>
        <w:t>变压器事故溢油池按《危险废物贮存污染控制标准》要求建设。</w:t>
      </w:r>
      <w:r>
        <w:rPr>
          <w:rFonts w:hint="eastAsia"/>
          <w:sz w:val="24"/>
          <w:highlight w:val="none"/>
        </w:rPr>
        <w:t>存放盛装液体容器的地方，必须要有耐腐蚀的硬化地面，且表面无裂隙。</w:t>
      </w:r>
    </w:p>
    <w:p>
      <w:pPr>
        <w:spacing w:line="480" w:lineRule="exact"/>
        <w:ind w:firstLine="480" w:firstLineChars="200"/>
        <w:rPr>
          <w:rFonts w:hint="eastAsia" w:eastAsia="宋体"/>
          <w:sz w:val="24"/>
          <w:highlight w:val="none"/>
          <w:lang w:eastAsia="zh-CN"/>
        </w:rPr>
      </w:pPr>
      <w:r>
        <w:rPr>
          <w:rFonts w:hint="eastAsia"/>
          <w:sz w:val="24"/>
          <w:highlight w:val="none"/>
        </w:rPr>
        <w:t>建立危险废物处置台账，签订《危险废物处置协议书》建设单位应委托有资质单位回收项目危险固废，并签订《危险废物处置协议书》，建立危险废物台账</w:t>
      </w:r>
      <w:r>
        <w:rPr>
          <w:rFonts w:hint="eastAsia"/>
          <w:sz w:val="24"/>
          <w:highlight w:val="none"/>
          <w:lang w:eastAsia="zh-CN"/>
        </w:rPr>
        <w:t>。</w:t>
      </w:r>
    </w:p>
    <w:p>
      <w:pPr>
        <w:spacing w:line="480" w:lineRule="exact"/>
        <w:jc w:val="center"/>
        <w:rPr>
          <w:b/>
          <w:bCs/>
          <w:sz w:val="24"/>
          <w:highlight w:val="none"/>
        </w:rPr>
      </w:pPr>
      <w:r>
        <w:rPr>
          <w:rFonts w:hint="eastAsia"/>
          <w:b/>
          <w:bCs/>
          <w:sz w:val="24"/>
          <w:highlight w:val="none"/>
        </w:rPr>
        <w:t>表7.2-1 建设项目危险废物贮存场所（设施）基本情况表</w:t>
      </w:r>
    </w:p>
    <w:tbl>
      <w:tblPr>
        <w:tblStyle w:val="5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8"/>
        <w:gridCol w:w="1446"/>
        <w:gridCol w:w="720"/>
        <w:gridCol w:w="1245"/>
        <w:gridCol w:w="810"/>
        <w:gridCol w:w="930"/>
        <w:gridCol w:w="750"/>
        <w:gridCol w:w="720"/>
        <w:gridCol w:w="690"/>
        <w:gridCol w:w="7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dxa"/>
            <w:vAlign w:val="center"/>
          </w:tcPr>
          <w:p>
            <w:pPr>
              <w:spacing w:line="300" w:lineRule="exact"/>
              <w:jc w:val="center"/>
              <w:rPr>
                <w:szCs w:val="21"/>
                <w:highlight w:val="none"/>
              </w:rPr>
            </w:pPr>
            <w:r>
              <w:rPr>
                <w:rFonts w:hint="eastAsia"/>
                <w:szCs w:val="21"/>
                <w:highlight w:val="none"/>
              </w:rPr>
              <w:t>序</w:t>
            </w:r>
          </w:p>
          <w:p>
            <w:pPr>
              <w:spacing w:line="300" w:lineRule="exact"/>
              <w:jc w:val="center"/>
              <w:rPr>
                <w:szCs w:val="21"/>
                <w:highlight w:val="none"/>
              </w:rPr>
            </w:pPr>
            <w:r>
              <w:rPr>
                <w:rFonts w:hint="eastAsia"/>
                <w:szCs w:val="21"/>
                <w:highlight w:val="none"/>
              </w:rPr>
              <w:t>号</w:t>
            </w:r>
          </w:p>
        </w:tc>
        <w:tc>
          <w:tcPr>
            <w:tcW w:w="1446" w:type="dxa"/>
            <w:vAlign w:val="center"/>
          </w:tcPr>
          <w:p>
            <w:pPr>
              <w:spacing w:line="300" w:lineRule="exact"/>
              <w:jc w:val="center"/>
              <w:rPr>
                <w:szCs w:val="21"/>
                <w:highlight w:val="none"/>
              </w:rPr>
            </w:pPr>
            <w:r>
              <w:rPr>
                <w:rFonts w:hint="eastAsia"/>
                <w:szCs w:val="21"/>
                <w:highlight w:val="none"/>
              </w:rPr>
              <w:t>贮存场所（设施）名称</w:t>
            </w:r>
          </w:p>
        </w:tc>
        <w:tc>
          <w:tcPr>
            <w:tcW w:w="720" w:type="dxa"/>
            <w:vAlign w:val="center"/>
          </w:tcPr>
          <w:p>
            <w:pPr>
              <w:spacing w:line="300" w:lineRule="exact"/>
              <w:jc w:val="center"/>
              <w:rPr>
                <w:szCs w:val="21"/>
                <w:highlight w:val="none"/>
              </w:rPr>
            </w:pPr>
            <w:r>
              <w:rPr>
                <w:rFonts w:hint="eastAsia"/>
                <w:szCs w:val="21"/>
                <w:highlight w:val="none"/>
              </w:rPr>
              <w:t>危废名称</w:t>
            </w:r>
          </w:p>
        </w:tc>
        <w:tc>
          <w:tcPr>
            <w:tcW w:w="1245" w:type="dxa"/>
            <w:vAlign w:val="center"/>
          </w:tcPr>
          <w:p>
            <w:pPr>
              <w:spacing w:line="300" w:lineRule="exact"/>
              <w:jc w:val="center"/>
              <w:rPr>
                <w:szCs w:val="21"/>
                <w:highlight w:val="none"/>
              </w:rPr>
            </w:pPr>
            <w:r>
              <w:rPr>
                <w:rFonts w:hint="eastAsia"/>
                <w:szCs w:val="21"/>
                <w:highlight w:val="none"/>
              </w:rPr>
              <w:t>危废类别</w:t>
            </w:r>
          </w:p>
        </w:tc>
        <w:tc>
          <w:tcPr>
            <w:tcW w:w="810" w:type="dxa"/>
            <w:vAlign w:val="center"/>
          </w:tcPr>
          <w:p>
            <w:pPr>
              <w:spacing w:line="300" w:lineRule="exact"/>
              <w:jc w:val="center"/>
              <w:rPr>
                <w:szCs w:val="21"/>
                <w:highlight w:val="none"/>
              </w:rPr>
            </w:pPr>
            <w:r>
              <w:rPr>
                <w:rFonts w:hint="eastAsia"/>
                <w:szCs w:val="21"/>
                <w:highlight w:val="none"/>
              </w:rPr>
              <w:t>危废代码</w:t>
            </w:r>
          </w:p>
        </w:tc>
        <w:tc>
          <w:tcPr>
            <w:tcW w:w="930" w:type="dxa"/>
            <w:vAlign w:val="center"/>
          </w:tcPr>
          <w:p>
            <w:pPr>
              <w:spacing w:line="300" w:lineRule="exact"/>
              <w:jc w:val="center"/>
              <w:rPr>
                <w:szCs w:val="21"/>
                <w:highlight w:val="none"/>
              </w:rPr>
            </w:pPr>
            <w:r>
              <w:rPr>
                <w:rFonts w:hint="eastAsia"/>
                <w:szCs w:val="21"/>
                <w:highlight w:val="none"/>
              </w:rPr>
              <w:t>位置</w:t>
            </w:r>
          </w:p>
        </w:tc>
        <w:tc>
          <w:tcPr>
            <w:tcW w:w="750" w:type="dxa"/>
            <w:vAlign w:val="center"/>
          </w:tcPr>
          <w:p>
            <w:pPr>
              <w:spacing w:line="300" w:lineRule="exact"/>
              <w:jc w:val="center"/>
              <w:rPr>
                <w:szCs w:val="21"/>
                <w:highlight w:val="none"/>
              </w:rPr>
            </w:pPr>
            <w:r>
              <w:rPr>
                <w:rFonts w:hint="eastAsia"/>
                <w:szCs w:val="21"/>
                <w:highlight w:val="none"/>
              </w:rPr>
              <w:t>占地</w:t>
            </w:r>
          </w:p>
          <w:p>
            <w:pPr>
              <w:spacing w:line="300" w:lineRule="exact"/>
              <w:jc w:val="center"/>
              <w:rPr>
                <w:szCs w:val="21"/>
                <w:highlight w:val="none"/>
              </w:rPr>
            </w:pPr>
            <w:r>
              <w:rPr>
                <w:rFonts w:hint="eastAsia"/>
                <w:szCs w:val="21"/>
                <w:highlight w:val="none"/>
              </w:rPr>
              <w:t>面积</w:t>
            </w:r>
          </w:p>
        </w:tc>
        <w:tc>
          <w:tcPr>
            <w:tcW w:w="720" w:type="dxa"/>
            <w:vAlign w:val="center"/>
          </w:tcPr>
          <w:p>
            <w:pPr>
              <w:spacing w:line="300" w:lineRule="exact"/>
              <w:jc w:val="center"/>
              <w:rPr>
                <w:szCs w:val="21"/>
                <w:highlight w:val="none"/>
              </w:rPr>
            </w:pPr>
            <w:r>
              <w:rPr>
                <w:rFonts w:hint="eastAsia"/>
                <w:szCs w:val="21"/>
                <w:highlight w:val="none"/>
              </w:rPr>
              <w:t>贮存</w:t>
            </w:r>
          </w:p>
          <w:p>
            <w:pPr>
              <w:spacing w:line="300" w:lineRule="exact"/>
              <w:jc w:val="center"/>
              <w:rPr>
                <w:szCs w:val="21"/>
                <w:highlight w:val="none"/>
              </w:rPr>
            </w:pPr>
            <w:r>
              <w:rPr>
                <w:rFonts w:hint="eastAsia"/>
                <w:szCs w:val="21"/>
                <w:highlight w:val="none"/>
              </w:rPr>
              <w:t>方式</w:t>
            </w:r>
          </w:p>
        </w:tc>
        <w:tc>
          <w:tcPr>
            <w:tcW w:w="690" w:type="dxa"/>
            <w:vAlign w:val="center"/>
          </w:tcPr>
          <w:p>
            <w:pPr>
              <w:spacing w:line="300" w:lineRule="exact"/>
              <w:jc w:val="center"/>
              <w:rPr>
                <w:szCs w:val="21"/>
                <w:highlight w:val="none"/>
              </w:rPr>
            </w:pPr>
            <w:r>
              <w:rPr>
                <w:rFonts w:hint="eastAsia"/>
                <w:szCs w:val="21"/>
                <w:highlight w:val="none"/>
              </w:rPr>
              <w:t>贮存</w:t>
            </w:r>
          </w:p>
          <w:p>
            <w:pPr>
              <w:spacing w:line="300" w:lineRule="exact"/>
              <w:jc w:val="center"/>
              <w:rPr>
                <w:szCs w:val="21"/>
                <w:highlight w:val="none"/>
              </w:rPr>
            </w:pPr>
            <w:r>
              <w:rPr>
                <w:rFonts w:hint="eastAsia"/>
                <w:szCs w:val="21"/>
                <w:highlight w:val="none"/>
              </w:rPr>
              <w:t>能力</w:t>
            </w:r>
          </w:p>
        </w:tc>
        <w:tc>
          <w:tcPr>
            <w:tcW w:w="710" w:type="dxa"/>
            <w:vAlign w:val="center"/>
          </w:tcPr>
          <w:p>
            <w:pPr>
              <w:spacing w:line="300" w:lineRule="exact"/>
              <w:jc w:val="center"/>
              <w:rPr>
                <w:szCs w:val="21"/>
                <w:highlight w:val="none"/>
              </w:rPr>
            </w:pPr>
            <w:r>
              <w:rPr>
                <w:rFonts w:hint="eastAsia"/>
                <w:szCs w:val="21"/>
                <w:highlight w:val="none"/>
              </w:rPr>
              <w:t>贮存</w:t>
            </w:r>
          </w:p>
          <w:p>
            <w:pPr>
              <w:spacing w:line="300" w:lineRule="exact"/>
              <w:jc w:val="center"/>
              <w:rPr>
                <w:szCs w:val="21"/>
                <w:highlight w:val="none"/>
              </w:rPr>
            </w:pPr>
            <w:r>
              <w:rPr>
                <w:rFonts w:hint="eastAsia"/>
                <w:szCs w:val="21"/>
                <w:highlight w:val="none"/>
              </w:rPr>
              <w:t>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 w:type="dxa"/>
            <w:vAlign w:val="center"/>
          </w:tcPr>
          <w:p>
            <w:pPr>
              <w:spacing w:line="300" w:lineRule="exact"/>
              <w:jc w:val="center"/>
              <w:rPr>
                <w:szCs w:val="21"/>
                <w:highlight w:val="none"/>
              </w:rPr>
            </w:pPr>
            <w:r>
              <w:rPr>
                <w:rFonts w:hint="eastAsia"/>
                <w:szCs w:val="21"/>
                <w:highlight w:val="none"/>
              </w:rPr>
              <w:t>1</w:t>
            </w:r>
          </w:p>
        </w:tc>
        <w:tc>
          <w:tcPr>
            <w:tcW w:w="1446" w:type="dxa"/>
            <w:vAlign w:val="center"/>
          </w:tcPr>
          <w:p>
            <w:pPr>
              <w:spacing w:line="300" w:lineRule="exact"/>
              <w:jc w:val="center"/>
              <w:rPr>
                <w:szCs w:val="21"/>
                <w:highlight w:val="none"/>
              </w:rPr>
            </w:pPr>
            <w:r>
              <w:rPr>
                <w:rFonts w:hint="eastAsia"/>
                <w:szCs w:val="21"/>
                <w:highlight w:val="none"/>
              </w:rPr>
              <w:t>危废暂</w:t>
            </w:r>
          </w:p>
          <w:p>
            <w:pPr>
              <w:spacing w:line="300" w:lineRule="exact"/>
              <w:jc w:val="center"/>
              <w:rPr>
                <w:szCs w:val="21"/>
                <w:highlight w:val="none"/>
              </w:rPr>
            </w:pPr>
            <w:r>
              <w:rPr>
                <w:rFonts w:hint="eastAsia"/>
                <w:szCs w:val="21"/>
                <w:highlight w:val="none"/>
              </w:rPr>
              <w:t>存间</w:t>
            </w:r>
          </w:p>
        </w:tc>
        <w:tc>
          <w:tcPr>
            <w:tcW w:w="720" w:type="dxa"/>
            <w:vAlign w:val="center"/>
          </w:tcPr>
          <w:p>
            <w:pPr>
              <w:spacing w:line="300" w:lineRule="exact"/>
              <w:jc w:val="center"/>
              <w:rPr>
                <w:szCs w:val="21"/>
                <w:highlight w:val="none"/>
              </w:rPr>
            </w:pPr>
            <w:r>
              <w:rPr>
                <w:rFonts w:hint="eastAsia"/>
                <w:szCs w:val="21"/>
                <w:highlight w:val="none"/>
              </w:rPr>
              <w:t>废</w:t>
            </w:r>
            <w:r>
              <w:rPr>
                <w:rFonts w:hint="eastAsia"/>
                <w:szCs w:val="21"/>
                <w:highlight w:val="none"/>
                <w:lang w:eastAsia="zh-CN"/>
              </w:rPr>
              <w:t>润滑</w:t>
            </w:r>
            <w:r>
              <w:rPr>
                <w:rFonts w:hint="eastAsia"/>
                <w:szCs w:val="21"/>
                <w:highlight w:val="none"/>
              </w:rPr>
              <w:t>油</w:t>
            </w:r>
          </w:p>
        </w:tc>
        <w:tc>
          <w:tcPr>
            <w:tcW w:w="1245" w:type="dxa"/>
            <w:vAlign w:val="center"/>
          </w:tcPr>
          <w:p>
            <w:pPr>
              <w:spacing w:line="300" w:lineRule="exact"/>
              <w:jc w:val="center"/>
              <w:rPr>
                <w:szCs w:val="21"/>
                <w:highlight w:val="none"/>
              </w:rPr>
            </w:pPr>
            <w:r>
              <w:rPr>
                <w:rFonts w:hint="eastAsia"/>
                <w:szCs w:val="21"/>
                <w:highlight w:val="none"/>
              </w:rPr>
              <w:t>900-2</w:t>
            </w:r>
            <w:r>
              <w:rPr>
                <w:rFonts w:hint="eastAsia"/>
                <w:szCs w:val="21"/>
                <w:highlight w:val="none"/>
                <w:lang w:val="en-US" w:eastAsia="zh-CN"/>
              </w:rPr>
              <w:t>14</w:t>
            </w:r>
            <w:r>
              <w:rPr>
                <w:rFonts w:hint="eastAsia"/>
                <w:szCs w:val="21"/>
                <w:highlight w:val="none"/>
              </w:rPr>
              <w:t>-08</w:t>
            </w:r>
          </w:p>
        </w:tc>
        <w:tc>
          <w:tcPr>
            <w:tcW w:w="810" w:type="dxa"/>
            <w:vAlign w:val="center"/>
          </w:tcPr>
          <w:p>
            <w:pPr>
              <w:spacing w:line="300" w:lineRule="exact"/>
              <w:jc w:val="center"/>
              <w:rPr>
                <w:szCs w:val="21"/>
                <w:highlight w:val="none"/>
              </w:rPr>
            </w:pPr>
            <w:r>
              <w:rPr>
                <w:rFonts w:hint="eastAsia"/>
                <w:szCs w:val="21"/>
                <w:highlight w:val="none"/>
              </w:rPr>
              <w:t>HW08</w:t>
            </w:r>
          </w:p>
        </w:tc>
        <w:tc>
          <w:tcPr>
            <w:tcW w:w="930" w:type="dxa"/>
            <w:vAlign w:val="center"/>
          </w:tcPr>
          <w:p>
            <w:pPr>
              <w:spacing w:line="300" w:lineRule="exact"/>
              <w:jc w:val="center"/>
              <w:rPr>
                <w:rFonts w:hint="eastAsia" w:eastAsia="宋体"/>
                <w:szCs w:val="21"/>
                <w:highlight w:val="none"/>
                <w:lang w:eastAsia="zh-CN"/>
              </w:rPr>
            </w:pPr>
            <w:r>
              <w:rPr>
                <w:rFonts w:hint="eastAsia"/>
                <w:szCs w:val="21"/>
                <w:highlight w:val="none"/>
                <w:lang w:eastAsia="zh-CN"/>
              </w:rPr>
              <w:t>厂区西侧</w:t>
            </w:r>
          </w:p>
        </w:tc>
        <w:tc>
          <w:tcPr>
            <w:tcW w:w="750" w:type="dxa"/>
            <w:vAlign w:val="center"/>
          </w:tcPr>
          <w:p>
            <w:pPr>
              <w:spacing w:line="300" w:lineRule="exact"/>
              <w:jc w:val="center"/>
              <w:rPr>
                <w:szCs w:val="21"/>
                <w:highlight w:val="none"/>
              </w:rPr>
            </w:pPr>
            <w:r>
              <w:rPr>
                <w:rFonts w:hint="eastAsia"/>
                <w:szCs w:val="21"/>
                <w:highlight w:val="none"/>
                <w:lang w:val="en-US" w:eastAsia="zh-CN"/>
              </w:rPr>
              <w:t>6</w:t>
            </w:r>
            <w:r>
              <w:rPr>
                <w:rFonts w:hint="eastAsia"/>
                <w:szCs w:val="21"/>
                <w:highlight w:val="none"/>
              </w:rPr>
              <w:t>m</w:t>
            </w:r>
            <w:r>
              <w:rPr>
                <w:rFonts w:hint="eastAsia"/>
                <w:szCs w:val="21"/>
                <w:highlight w:val="none"/>
                <w:vertAlign w:val="superscript"/>
              </w:rPr>
              <w:t>2</w:t>
            </w:r>
            <w:r>
              <w:rPr>
                <w:rFonts w:hint="eastAsia"/>
                <w:szCs w:val="21"/>
                <w:highlight w:val="none"/>
              </w:rPr>
              <w:t xml:space="preserve"> </w:t>
            </w:r>
          </w:p>
        </w:tc>
        <w:tc>
          <w:tcPr>
            <w:tcW w:w="720" w:type="dxa"/>
            <w:vAlign w:val="center"/>
          </w:tcPr>
          <w:p>
            <w:pPr>
              <w:spacing w:line="300" w:lineRule="exact"/>
              <w:jc w:val="center"/>
              <w:rPr>
                <w:szCs w:val="21"/>
                <w:highlight w:val="none"/>
              </w:rPr>
            </w:pPr>
            <w:r>
              <w:rPr>
                <w:rFonts w:hint="eastAsia"/>
                <w:szCs w:val="21"/>
                <w:highlight w:val="none"/>
              </w:rPr>
              <w:t>铁桶</w:t>
            </w:r>
          </w:p>
          <w:p>
            <w:pPr>
              <w:spacing w:line="300" w:lineRule="exact"/>
              <w:jc w:val="center"/>
              <w:rPr>
                <w:szCs w:val="21"/>
                <w:highlight w:val="none"/>
              </w:rPr>
            </w:pPr>
            <w:r>
              <w:rPr>
                <w:rFonts w:hint="eastAsia"/>
                <w:szCs w:val="21"/>
                <w:highlight w:val="none"/>
              </w:rPr>
              <w:t>包装</w:t>
            </w:r>
          </w:p>
        </w:tc>
        <w:tc>
          <w:tcPr>
            <w:tcW w:w="690" w:type="dxa"/>
            <w:vAlign w:val="center"/>
          </w:tcPr>
          <w:p>
            <w:pPr>
              <w:spacing w:line="300" w:lineRule="exact"/>
              <w:jc w:val="center"/>
              <w:rPr>
                <w:szCs w:val="21"/>
                <w:highlight w:val="none"/>
              </w:rPr>
            </w:pPr>
            <w:r>
              <w:rPr>
                <w:rFonts w:hint="eastAsia"/>
                <w:szCs w:val="21"/>
                <w:highlight w:val="none"/>
              </w:rPr>
              <w:t>1t</w:t>
            </w:r>
          </w:p>
        </w:tc>
        <w:tc>
          <w:tcPr>
            <w:tcW w:w="710" w:type="dxa"/>
            <w:vAlign w:val="center"/>
          </w:tcPr>
          <w:p>
            <w:pPr>
              <w:spacing w:line="300" w:lineRule="exact"/>
              <w:jc w:val="center"/>
              <w:rPr>
                <w:szCs w:val="21"/>
                <w:highlight w:val="none"/>
              </w:rPr>
            </w:pPr>
            <w:r>
              <w:rPr>
                <w:rFonts w:hint="eastAsia"/>
                <w:szCs w:val="21"/>
                <w:highlight w:val="none"/>
              </w:rPr>
              <w:t>1年</w:t>
            </w:r>
          </w:p>
        </w:tc>
      </w:tr>
    </w:tbl>
    <w:p>
      <w:pPr>
        <w:spacing w:line="480" w:lineRule="exact"/>
        <w:rPr>
          <w:b/>
          <w:sz w:val="24"/>
          <w:highlight w:val="none"/>
        </w:rPr>
      </w:pPr>
      <w:r>
        <w:rPr>
          <w:rFonts w:hint="eastAsia"/>
          <w:b/>
          <w:color w:val="auto"/>
          <w:sz w:val="24"/>
          <w:highlight w:val="none"/>
        </w:rPr>
        <w:t>7.2.</w:t>
      </w:r>
      <w:r>
        <w:rPr>
          <w:rFonts w:hint="eastAsia"/>
          <w:b/>
          <w:color w:val="auto"/>
          <w:sz w:val="24"/>
          <w:highlight w:val="none"/>
          <w:lang w:val="en-US" w:eastAsia="zh-CN"/>
        </w:rPr>
        <w:t>8</w:t>
      </w:r>
      <w:r>
        <w:rPr>
          <w:rFonts w:hint="eastAsia"/>
          <w:b/>
          <w:sz w:val="24"/>
          <w:highlight w:val="none"/>
        </w:rPr>
        <w:t xml:space="preserve"> 地下水环境保护措施</w:t>
      </w:r>
    </w:p>
    <w:p>
      <w:pPr>
        <w:spacing w:line="480" w:lineRule="exact"/>
        <w:ind w:firstLine="480" w:firstLineChars="200"/>
        <w:jc w:val="left"/>
        <w:rPr>
          <w:sz w:val="24"/>
          <w:highlight w:val="none"/>
        </w:rPr>
      </w:pPr>
      <w:r>
        <w:rPr>
          <w:rFonts w:hint="eastAsia"/>
          <w:sz w:val="24"/>
          <w:highlight w:val="none"/>
        </w:rPr>
        <w:t xml:space="preserve"> 项目区域不存在与地下水相关的环境问题，本项目不抽取地下水，项目建设不会引起地下水量的变化。</w:t>
      </w:r>
    </w:p>
    <w:p>
      <w:pPr>
        <w:spacing w:line="480" w:lineRule="exact"/>
        <w:ind w:firstLine="480" w:firstLineChars="200"/>
        <w:jc w:val="left"/>
        <w:rPr>
          <w:sz w:val="24"/>
          <w:highlight w:val="none"/>
        </w:rPr>
      </w:pPr>
      <w:r>
        <w:rPr>
          <w:rFonts w:hint="eastAsia"/>
          <w:sz w:val="24"/>
          <w:highlight w:val="none"/>
        </w:rPr>
        <w:t>为最大限度降低本项目对地下水的影响，项目必须采取完善、有效的厂区防渗处理措施，具体如下：</w:t>
      </w:r>
    </w:p>
    <w:p>
      <w:pPr>
        <w:spacing w:line="480" w:lineRule="exact"/>
        <w:ind w:firstLine="480" w:firstLineChars="200"/>
        <w:jc w:val="left"/>
        <w:rPr>
          <w:sz w:val="24"/>
          <w:highlight w:val="none"/>
        </w:rPr>
      </w:pPr>
      <w:r>
        <w:rPr>
          <w:rFonts w:hint="eastAsia"/>
          <w:sz w:val="24"/>
          <w:highlight w:val="none"/>
        </w:rPr>
        <w:t>（1）企业应按照污染物泄漏的可能性，严格划分为污染区和非污染区。污染区划分为重点污染防治区和一般污染防治区，根据不同的污染防治区采取相应的防渗措施。本项目水电站的防渗分区如下：</w:t>
      </w:r>
    </w:p>
    <w:p>
      <w:pPr>
        <w:spacing w:line="480" w:lineRule="exact"/>
        <w:ind w:firstLine="480" w:firstLineChars="200"/>
        <w:jc w:val="left"/>
        <w:rPr>
          <w:sz w:val="24"/>
          <w:highlight w:val="none"/>
        </w:rPr>
      </w:pPr>
      <w:r>
        <w:rPr>
          <w:rFonts w:hint="eastAsia"/>
          <w:sz w:val="24"/>
          <w:highlight w:val="none"/>
        </w:rPr>
        <w:t>①非污染区：生活区。</w:t>
      </w:r>
    </w:p>
    <w:p>
      <w:pPr>
        <w:spacing w:line="480" w:lineRule="exact"/>
        <w:ind w:firstLine="480" w:firstLineChars="200"/>
        <w:jc w:val="left"/>
        <w:rPr>
          <w:sz w:val="24"/>
          <w:highlight w:val="none"/>
        </w:rPr>
      </w:pPr>
      <w:r>
        <w:rPr>
          <w:rFonts w:hint="eastAsia"/>
          <w:sz w:val="24"/>
          <w:highlight w:val="none"/>
        </w:rPr>
        <w:t>②重点污染防治区：危废间、</w:t>
      </w:r>
      <w:r>
        <w:rPr>
          <w:rFonts w:hint="eastAsia"/>
          <w:sz w:val="24"/>
          <w:highlight w:val="none"/>
          <w:lang w:eastAsia="zh-CN"/>
        </w:rPr>
        <w:t>溢油池、</w:t>
      </w:r>
      <w:r>
        <w:rPr>
          <w:rFonts w:hint="eastAsia"/>
          <w:sz w:val="24"/>
          <w:highlight w:val="none"/>
        </w:rPr>
        <w:t>化粪池。</w:t>
      </w:r>
    </w:p>
    <w:p>
      <w:pPr>
        <w:spacing w:line="480" w:lineRule="exact"/>
        <w:ind w:firstLine="480" w:firstLineChars="200"/>
        <w:jc w:val="left"/>
        <w:rPr>
          <w:sz w:val="24"/>
          <w:highlight w:val="none"/>
        </w:rPr>
      </w:pPr>
      <w:r>
        <w:rPr>
          <w:rFonts w:hint="eastAsia"/>
          <w:sz w:val="24"/>
          <w:highlight w:val="none"/>
        </w:rPr>
        <w:t>重点污染区防渗要求为：等效黏土防渗层 Mb≥6.0m，K≤1×10</w:t>
      </w:r>
      <w:r>
        <w:rPr>
          <w:rFonts w:hint="eastAsia"/>
          <w:sz w:val="24"/>
          <w:highlight w:val="none"/>
          <w:vertAlign w:val="superscript"/>
        </w:rPr>
        <w:t>-7</w:t>
      </w:r>
      <w:r>
        <w:rPr>
          <w:rFonts w:hint="eastAsia"/>
          <w:sz w:val="24"/>
          <w:highlight w:val="none"/>
        </w:rPr>
        <w:t xml:space="preserve"> cm/s，并采用环氧树脂进行防腐。地面可采用双层复合防渗结构，基础防渗层为至少 1 米厚粘土层（渗透系数≤10</w:t>
      </w:r>
      <w:r>
        <w:rPr>
          <w:rFonts w:hint="eastAsia"/>
          <w:sz w:val="24"/>
          <w:highlight w:val="none"/>
          <w:vertAlign w:val="superscript"/>
        </w:rPr>
        <w:t xml:space="preserve"> -7</w:t>
      </w:r>
      <w:r>
        <w:rPr>
          <w:rFonts w:hint="eastAsia"/>
          <w:sz w:val="24"/>
          <w:highlight w:val="none"/>
        </w:rPr>
        <w:t xml:space="preserve"> cm/s），或2毫米厚高密度聚乙烯，或至少2毫米厚的其它人工材料（渗透系数≤10</w:t>
      </w:r>
      <w:r>
        <w:rPr>
          <w:rFonts w:hint="eastAsia"/>
          <w:sz w:val="24"/>
          <w:highlight w:val="none"/>
          <w:vertAlign w:val="superscript"/>
        </w:rPr>
        <w:t xml:space="preserve"> -10</w:t>
      </w:r>
      <w:r>
        <w:rPr>
          <w:rFonts w:hint="eastAsia"/>
          <w:sz w:val="24"/>
          <w:highlight w:val="none"/>
        </w:rPr>
        <w:t xml:space="preserve"> cm/s）；面层可采用防渗涂料面层或防渗钢筋钢纤维混凝土面层（渗透系数≤10</w:t>
      </w:r>
      <w:r>
        <w:rPr>
          <w:rFonts w:hint="eastAsia"/>
          <w:sz w:val="24"/>
          <w:highlight w:val="none"/>
          <w:vertAlign w:val="superscript"/>
        </w:rPr>
        <w:t xml:space="preserve"> -10</w:t>
      </w:r>
      <w:r>
        <w:rPr>
          <w:rFonts w:hint="eastAsia"/>
          <w:sz w:val="24"/>
          <w:highlight w:val="none"/>
        </w:rPr>
        <w:t xml:space="preserve"> cm/s）。池体基础采用双层防渗结构，以压实土（厚度不小于 0.75m，压实后渗透系数≤10 </w:t>
      </w:r>
      <w:r>
        <w:rPr>
          <w:rFonts w:hint="eastAsia"/>
          <w:sz w:val="24"/>
          <w:highlight w:val="none"/>
          <w:vertAlign w:val="superscript"/>
        </w:rPr>
        <w:t xml:space="preserve">-7 </w:t>
      </w:r>
      <w:r>
        <w:rPr>
          <w:rFonts w:hint="eastAsia"/>
          <w:sz w:val="24"/>
          <w:highlight w:val="none"/>
        </w:rPr>
        <w:t>cm/s）+500g/m</w:t>
      </w:r>
      <w:r>
        <w:rPr>
          <w:rFonts w:hint="eastAsia"/>
          <w:sz w:val="24"/>
          <w:highlight w:val="none"/>
          <w:vertAlign w:val="superscript"/>
        </w:rPr>
        <w:t>2</w:t>
      </w:r>
      <w:r>
        <w:rPr>
          <w:rFonts w:hint="eastAsia"/>
          <w:sz w:val="24"/>
          <w:highlight w:val="none"/>
        </w:rPr>
        <w:t xml:space="preserve">无纺土工布复合基础为地基，其上铺设 2mm 厚 HDPE 膜。池体采用防渗钢筋混凝土浇筑，混凝土厚度不小于 250mm，渗透系数≤10 </w:t>
      </w:r>
      <w:r>
        <w:rPr>
          <w:rFonts w:hint="eastAsia"/>
          <w:sz w:val="24"/>
          <w:highlight w:val="none"/>
          <w:vertAlign w:val="superscript"/>
        </w:rPr>
        <w:t>-7</w:t>
      </w:r>
      <w:r>
        <w:rPr>
          <w:rFonts w:hint="eastAsia"/>
          <w:sz w:val="24"/>
          <w:highlight w:val="none"/>
        </w:rPr>
        <w:t xml:space="preserve"> cm/s，池体内表面涂刷水泥基渗透结晶型防渗涂料（厚度不小于 1.0mm，渗透系数≤10</w:t>
      </w:r>
      <w:r>
        <w:rPr>
          <w:rFonts w:hint="eastAsia"/>
          <w:sz w:val="24"/>
          <w:highlight w:val="none"/>
          <w:vertAlign w:val="superscript"/>
        </w:rPr>
        <w:t xml:space="preserve"> -10</w:t>
      </w:r>
      <w:r>
        <w:rPr>
          <w:rFonts w:hint="eastAsia"/>
          <w:sz w:val="24"/>
          <w:highlight w:val="none"/>
        </w:rPr>
        <w:t xml:space="preserve"> cm/s）。</w:t>
      </w:r>
    </w:p>
    <w:p>
      <w:pPr>
        <w:spacing w:line="480" w:lineRule="exact"/>
        <w:ind w:firstLine="480" w:firstLineChars="200"/>
        <w:jc w:val="left"/>
        <w:rPr>
          <w:sz w:val="24"/>
          <w:highlight w:val="none"/>
        </w:rPr>
      </w:pPr>
      <w:r>
        <w:rPr>
          <w:rFonts w:hint="eastAsia"/>
          <w:sz w:val="24"/>
          <w:highlight w:val="none"/>
        </w:rPr>
        <w:t>③一般污染防治区：发电厂房、升压站。</w:t>
      </w:r>
    </w:p>
    <w:p>
      <w:pPr>
        <w:spacing w:line="480" w:lineRule="exact"/>
        <w:ind w:firstLine="480" w:firstLineChars="200"/>
        <w:jc w:val="left"/>
        <w:rPr>
          <w:sz w:val="24"/>
          <w:highlight w:val="none"/>
        </w:rPr>
      </w:pPr>
      <w:r>
        <w:rPr>
          <w:rFonts w:hint="eastAsia"/>
          <w:sz w:val="24"/>
          <w:highlight w:val="none"/>
        </w:rPr>
        <w:t>一般防渗区防渗要求：等效黏土防渗层 Mb≥1.5m，K≤1×10</w:t>
      </w:r>
      <w:r>
        <w:rPr>
          <w:rFonts w:hint="eastAsia"/>
          <w:sz w:val="24"/>
          <w:highlight w:val="none"/>
          <w:vertAlign w:val="superscript"/>
        </w:rPr>
        <w:t>-7</w:t>
      </w:r>
      <w:r>
        <w:rPr>
          <w:rFonts w:hint="eastAsia"/>
          <w:sz w:val="24"/>
          <w:highlight w:val="none"/>
        </w:rPr>
        <w:t xml:space="preserve"> cm/s。可采用刚性防渗结构，地面采用 250mm 厚 C30 防渗混凝土硬化地面，地面下采用防渗性能较好的灰土作垫层（厚度不小于 300mm）。防渗混凝土地面应设置缩缝和变形缝，接缝处等细部构造应做防渗处理。</w:t>
      </w:r>
    </w:p>
    <w:p>
      <w:pPr>
        <w:spacing w:line="480" w:lineRule="exact"/>
        <w:ind w:firstLine="480" w:firstLineChars="200"/>
        <w:jc w:val="left"/>
        <w:rPr>
          <w:sz w:val="24"/>
          <w:highlight w:val="none"/>
        </w:rPr>
      </w:pPr>
      <w:r>
        <w:rPr>
          <w:rFonts w:hint="eastAsia"/>
          <w:sz w:val="24"/>
          <w:highlight w:val="none"/>
        </w:rPr>
        <w:t>（2）对危废要设立专门的危废间，不得随意堆存，危废间地面采用水泥混凝土建造，防止液态危废溢出进而污染地下水。区域内生活垃圾、打捞垃圾应有序收集管理，杜绝随意堆放，若有临时堆放，应做好堆放场所的防渗处理。</w:t>
      </w:r>
    </w:p>
    <w:p>
      <w:pPr>
        <w:spacing w:line="480" w:lineRule="exact"/>
        <w:ind w:firstLine="480" w:firstLineChars="200"/>
        <w:jc w:val="left"/>
        <w:rPr>
          <w:sz w:val="24"/>
          <w:highlight w:val="none"/>
        </w:rPr>
      </w:pPr>
      <w:r>
        <w:rPr>
          <w:rFonts w:hint="eastAsia"/>
          <w:sz w:val="24"/>
          <w:highlight w:val="none"/>
        </w:rPr>
        <w:t>（3）无废水污染的区域增加绿化率、铺设渗水地面，增加地下水的涵养补给量。</w:t>
      </w:r>
    </w:p>
    <w:p>
      <w:pPr>
        <w:spacing w:line="480" w:lineRule="exact"/>
        <w:jc w:val="left"/>
        <w:rPr>
          <w:b/>
          <w:bCs/>
          <w:sz w:val="24"/>
          <w:highlight w:val="none"/>
        </w:rPr>
      </w:pPr>
      <w:r>
        <w:rPr>
          <w:rFonts w:hint="eastAsia"/>
          <w:b/>
          <w:bCs/>
          <w:sz w:val="24"/>
          <w:highlight w:val="none"/>
        </w:rPr>
        <w:t>7.2.</w:t>
      </w:r>
      <w:r>
        <w:rPr>
          <w:rFonts w:hint="eastAsia"/>
          <w:b/>
          <w:bCs/>
          <w:sz w:val="24"/>
          <w:highlight w:val="none"/>
          <w:lang w:val="en-US" w:eastAsia="zh-CN"/>
        </w:rPr>
        <w:t>9</w:t>
      </w:r>
      <w:r>
        <w:rPr>
          <w:rFonts w:hint="eastAsia"/>
          <w:b/>
          <w:bCs/>
          <w:sz w:val="24"/>
          <w:highlight w:val="none"/>
        </w:rPr>
        <w:t xml:space="preserve"> 土壤环境保护措施</w:t>
      </w:r>
    </w:p>
    <w:p>
      <w:pPr>
        <w:spacing w:line="480" w:lineRule="exact"/>
        <w:ind w:firstLine="480" w:firstLineChars="200"/>
        <w:jc w:val="left"/>
        <w:rPr>
          <w:sz w:val="24"/>
          <w:highlight w:val="none"/>
        </w:rPr>
      </w:pPr>
      <w:r>
        <w:rPr>
          <w:rFonts w:hint="eastAsia"/>
          <w:sz w:val="24"/>
          <w:highlight w:val="none"/>
        </w:rPr>
        <w:t>该水电站已运行多年，根据目前周边植被生长状况，项目区土壤未出现盐渍化、酸化或碱化现象。且本项目橡胶坝采取保证生态流量下泄后，其余维持原状为主。针对发电站房可能发生的土壤污染，本项目土壤污染防治措施将按照“源头控制、分区防治、污染监控、应急响应”相结合的原则，从污染物的产生、入渗、扩散、应急响应全方位进行防控。</w:t>
      </w:r>
    </w:p>
    <w:p>
      <w:pPr>
        <w:spacing w:line="480" w:lineRule="exact"/>
        <w:ind w:firstLine="480" w:firstLineChars="200"/>
        <w:jc w:val="left"/>
        <w:rPr>
          <w:sz w:val="24"/>
          <w:highlight w:val="none"/>
        </w:rPr>
      </w:pPr>
      <w:r>
        <w:rPr>
          <w:rFonts w:hint="eastAsia"/>
          <w:sz w:val="24"/>
          <w:highlight w:val="none"/>
        </w:rPr>
        <w:t>（1）源头控制措施</w:t>
      </w:r>
    </w:p>
    <w:p>
      <w:pPr>
        <w:spacing w:line="480" w:lineRule="exact"/>
        <w:ind w:firstLine="480" w:firstLineChars="200"/>
        <w:jc w:val="left"/>
        <w:rPr>
          <w:sz w:val="24"/>
          <w:highlight w:val="none"/>
        </w:rPr>
      </w:pPr>
      <w:r>
        <w:rPr>
          <w:rFonts w:hint="eastAsia"/>
          <w:sz w:val="24"/>
          <w:highlight w:val="none"/>
        </w:rPr>
        <w:t>尽可能从源头上减少污染物排放；严格按照国家相关规范要求，对污水处理构筑物采取相应的防渗措施；厂区道路硬化，注意工作场所地面、排水管道的防腐防渗要求，防止污染物下渗，污染土壤环境。</w:t>
      </w:r>
    </w:p>
    <w:p>
      <w:pPr>
        <w:spacing w:line="480" w:lineRule="exact"/>
        <w:ind w:firstLine="480" w:firstLineChars="200"/>
        <w:jc w:val="left"/>
        <w:rPr>
          <w:sz w:val="24"/>
          <w:highlight w:val="none"/>
        </w:rPr>
      </w:pPr>
      <w:r>
        <w:rPr>
          <w:rFonts w:hint="eastAsia"/>
          <w:sz w:val="24"/>
          <w:highlight w:val="none"/>
        </w:rPr>
        <w:t>（2）过程防控</w:t>
      </w:r>
    </w:p>
    <w:p>
      <w:pPr>
        <w:widowControl/>
        <w:spacing w:line="480" w:lineRule="exact"/>
        <w:ind w:firstLine="480" w:firstLineChars="200"/>
        <w:jc w:val="left"/>
        <w:rPr>
          <w:kern w:val="0"/>
          <w:sz w:val="24"/>
          <w:highlight w:val="none"/>
        </w:rPr>
      </w:pPr>
      <w:r>
        <w:rPr>
          <w:rFonts w:hint="eastAsia"/>
          <w:sz w:val="24"/>
          <w:highlight w:val="none"/>
        </w:rPr>
        <w:t>对厂区可能泄漏污染物的污染区地面进行防渗处理，并及时地将泄漏渗漏的污染物收集起来进行处理，可有效防治洒落地面的污染物渗入地下。根据项目各功能单元是否可能对土壤造成污染及其风险程度，采取与地下水污染防渗的要求原则按照《危险废物贮存污染控制标准》(GB18597-20</w:t>
      </w:r>
      <w:r>
        <w:rPr>
          <w:rFonts w:hint="eastAsia"/>
          <w:sz w:val="24"/>
          <w:highlight w:val="none"/>
          <w:lang w:val="en-US" w:eastAsia="zh-CN"/>
        </w:rPr>
        <w:t>23</w:t>
      </w:r>
      <w:r>
        <w:rPr>
          <w:rFonts w:hint="eastAsia"/>
          <w:sz w:val="24"/>
          <w:highlight w:val="none"/>
        </w:rPr>
        <w:t>)、《一般工业固体废物贮存、处置场污染控制标准》(GB18599-20</w:t>
      </w:r>
      <w:r>
        <w:rPr>
          <w:rFonts w:hint="eastAsia"/>
          <w:sz w:val="24"/>
          <w:highlight w:val="none"/>
          <w:lang w:val="en-US" w:eastAsia="zh-CN"/>
        </w:rPr>
        <w:t>01</w:t>
      </w:r>
      <w:r>
        <w:rPr>
          <w:rFonts w:hint="eastAsia"/>
          <w:sz w:val="24"/>
          <w:highlight w:val="none"/>
        </w:rPr>
        <w:t>)要求。</w:t>
      </w:r>
    </w:p>
    <w:bookmarkEnd w:id="298"/>
    <w:bookmarkEnd w:id="299"/>
    <w:bookmarkEnd w:id="303"/>
    <w:bookmarkEnd w:id="304"/>
    <w:bookmarkEnd w:id="305"/>
    <w:bookmarkEnd w:id="306"/>
    <w:p>
      <w:pPr>
        <w:spacing w:line="480" w:lineRule="exact"/>
        <w:outlineLvl w:val="1"/>
        <w:rPr>
          <w:color w:val="auto"/>
          <w:sz w:val="24"/>
          <w:highlight w:val="none"/>
        </w:rPr>
      </w:pPr>
      <w:bookmarkStart w:id="307" w:name="_Toc8476"/>
      <w:r>
        <w:rPr>
          <w:rFonts w:hint="eastAsia"/>
          <w:b/>
          <w:sz w:val="24"/>
          <w:highlight w:val="none"/>
        </w:rPr>
        <w:t>7</w:t>
      </w:r>
      <w:r>
        <w:rPr>
          <w:b/>
          <w:sz w:val="24"/>
          <w:highlight w:val="none"/>
        </w:rPr>
        <w:t>.</w:t>
      </w:r>
      <w:r>
        <w:rPr>
          <w:rFonts w:hint="eastAsia"/>
          <w:b/>
          <w:sz w:val="24"/>
          <w:highlight w:val="none"/>
        </w:rPr>
        <w:t>3</w:t>
      </w:r>
      <w:r>
        <w:rPr>
          <w:b/>
          <w:sz w:val="24"/>
          <w:highlight w:val="none"/>
        </w:rPr>
        <w:t xml:space="preserve"> </w:t>
      </w:r>
      <w:r>
        <w:rPr>
          <w:rFonts w:hint="eastAsia"/>
          <w:b/>
          <w:sz w:val="24"/>
          <w:highlight w:val="none"/>
        </w:rPr>
        <w:t>污染物排放总</w:t>
      </w:r>
      <w:r>
        <w:rPr>
          <w:rFonts w:hint="eastAsia"/>
          <w:b/>
          <w:color w:val="auto"/>
          <w:sz w:val="24"/>
          <w:highlight w:val="none"/>
        </w:rPr>
        <w:t>量控制分析</w:t>
      </w:r>
      <w:bookmarkEnd w:id="307"/>
    </w:p>
    <w:p>
      <w:pPr>
        <w:spacing w:line="480" w:lineRule="exact"/>
        <w:ind w:firstLine="480" w:firstLineChars="200"/>
        <w:rPr>
          <w:rFonts w:cs="宋体"/>
          <w:color w:val="auto"/>
          <w:sz w:val="24"/>
          <w:szCs w:val="24"/>
          <w:highlight w:val="none"/>
        </w:rPr>
      </w:pPr>
      <w:r>
        <w:rPr>
          <w:rFonts w:hint="eastAsia" w:ascii="Times New Roman" w:hAnsi="Times New Roman" w:eastAsia="宋体" w:cs="宋体"/>
          <w:color w:val="auto"/>
          <w:sz w:val="24"/>
          <w:szCs w:val="24"/>
          <w:highlight w:val="none"/>
        </w:rPr>
        <w:t>总量</w:t>
      </w:r>
      <w:r>
        <w:rPr>
          <w:rFonts w:ascii="Times New Roman" w:hAnsi="Times New Roman" w:eastAsia="宋体" w:cs="宋体"/>
          <w:color w:val="auto"/>
          <w:sz w:val="24"/>
          <w:szCs w:val="24"/>
          <w:highlight w:val="none"/>
        </w:rPr>
        <w:t>控制</w:t>
      </w:r>
      <w:r>
        <w:rPr>
          <w:rFonts w:cs="宋体"/>
          <w:color w:val="auto"/>
          <w:sz w:val="24"/>
          <w:szCs w:val="24"/>
          <w:highlight w:val="none"/>
        </w:rPr>
        <w:t>是一项控制区域污染，保护环境质量的重要举措，也是实现区域经济可持续发展的主要措施</w:t>
      </w:r>
      <w:r>
        <w:rPr>
          <w:rFonts w:hint="eastAsia" w:cs="宋体"/>
          <w:color w:val="auto"/>
          <w:sz w:val="24"/>
          <w:szCs w:val="24"/>
          <w:highlight w:val="none"/>
        </w:rPr>
        <w:t>。</w:t>
      </w:r>
    </w:p>
    <w:p>
      <w:pPr>
        <w:spacing w:line="480" w:lineRule="exact"/>
        <w:ind w:firstLine="480" w:firstLineChars="200"/>
        <w:rPr>
          <w:rFonts w:hint="eastAsia" w:cs="宋体"/>
          <w:color w:val="auto"/>
          <w:sz w:val="24"/>
          <w:szCs w:val="24"/>
          <w:highlight w:val="none"/>
        </w:rPr>
      </w:pPr>
      <w:r>
        <w:rPr>
          <w:rFonts w:hint="eastAsia" w:cs="宋体"/>
          <w:color w:val="auto"/>
          <w:sz w:val="24"/>
          <w:szCs w:val="24"/>
          <w:highlight w:val="none"/>
        </w:rPr>
        <w:t>根据《环保部关于印发</w:t>
      </w:r>
      <w:r>
        <w:rPr>
          <w:color w:val="auto"/>
          <w:sz w:val="24"/>
          <w:szCs w:val="24"/>
          <w:highlight w:val="none"/>
        </w:rPr>
        <w:t>&lt;</w:t>
      </w:r>
      <w:r>
        <w:rPr>
          <w:rFonts w:hint="eastAsia" w:cs="宋体"/>
          <w:color w:val="auto"/>
          <w:sz w:val="24"/>
          <w:szCs w:val="24"/>
          <w:highlight w:val="none"/>
        </w:rPr>
        <w:t>建设项目主要污染物排放总量指标审核及管理暂行办法</w:t>
      </w:r>
      <w:r>
        <w:rPr>
          <w:color w:val="auto"/>
          <w:sz w:val="24"/>
          <w:szCs w:val="24"/>
          <w:highlight w:val="none"/>
        </w:rPr>
        <w:t>&gt;</w:t>
      </w:r>
      <w:r>
        <w:rPr>
          <w:rFonts w:hint="eastAsia" w:cs="宋体"/>
          <w:color w:val="auto"/>
          <w:sz w:val="24"/>
          <w:szCs w:val="24"/>
          <w:highlight w:val="none"/>
        </w:rPr>
        <w:t>的通知》（</w:t>
      </w:r>
      <w:r>
        <w:rPr>
          <w:rFonts w:hint="eastAsia"/>
          <w:color w:val="auto"/>
          <w:sz w:val="24"/>
          <w:szCs w:val="24"/>
          <w:highlight w:val="none"/>
        </w:rPr>
        <w:t>〔</w:t>
      </w:r>
      <w:r>
        <w:rPr>
          <w:color w:val="auto"/>
          <w:sz w:val="24"/>
          <w:szCs w:val="24"/>
          <w:highlight w:val="none"/>
        </w:rPr>
        <w:t>2014</w:t>
      </w:r>
      <w:r>
        <w:rPr>
          <w:rFonts w:hint="eastAsia"/>
          <w:color w:val="auto"/>
          <w:sz w:val="24"/>
          <w:szCs w:val="24"/>
          <w:highlight w:val="none"/>
        </w:rPr>
        <w:t>〕</w:t>
      </w:r>
      <w:r>
        <w:rPr>
          <w:color w:val="auto"/>
          <w:sz w:val="24"/>
          <w:szCs w:val="24"/>
          <w:highlight w:val="none"/>
        </w:rPr>
        <w:t>197</w:t>
      </w:r>
      <w:r>
        <w:rPr>
          <w:rFonts w:hint="eastAsia" w:cs="宋体"/>
          <w:color w:val="auto"/>
          <w:sz w:val="24"/>
          <w:szCs w:val="24"/>
          <w:highlight w:val="none"/>
        </w:rPr>
        <w:t>号）、《关于进一步改革和优化建设项目主要污染物排放总量核定工作的通知》（冀环总</w:t>
      </w:r>
      <w:r>
        <w:rPr>
          <w:rFonts w:hint="eastAsia"/>
          <w:color w:val="auto"/>
          <w:sz w:val="24"/>
          <w:szCs w:val="24"/>
          <w:highlight w:val="none"/>
        </w:rPr>
        <w:t>〔</w:t>
      </w:r>
      <w:r>
        <w:rPr>
          <w:color w:val="auto"/>
          <w:sz w:val="24"/>
          <w:szCs w:val="24"/>
          <w:highlight w:val="none"/>
        </w:rPr>
        <w:t>2014</w:t>
      </w:r>
      <w:r>
        <w:rPr>
          <w:rFonts w:hint="eastAsia"/>
          <w:color w:val="auto"/>
          <w:sz w:val="24"/>
          <w:szCs w:val="24"/>
          <w:highlight w:val="none"/>
        </w:rPr>
        <w:t>〕</w:t>
      </w:r>
      <w:r>
        <w:rPr>
          <w:color w:val="auto"/>
          <w:sz w:val="24"/>
          <w:szCs w:val="24"/>
          <w:highlight w:val="none"/>
        </w:rPr>
        <w:t>283</w:t>
      </w:r>
      <w:r>
        <w:rPr>
          <w:rFonts w:hint="eastAsia" w:cs="宋体"/>
          <w:color w:val="auto"/>
          <w:sz w:val="24"/>
          <w:szCs w:val="24"/>
          <w:highlight w:val="none"/>
        </w:rPr>
        <w:t>号）及《国务院</w:t>
      </w:r>
      <w:r>
        <w:rPr>
          <w:rFonts w:cs="宋体"/>
          <w:color w:val="auto"/>
          <w:sz w:val="24"/>
          <w:szCs w:val="24"/>
          <w:highlight w:val="none"/>
        </w:rPr>
        <w:t>关于印发</w:t>
      </w:r>
      <w:r>
        <w:rPr>
          <w:rFonts w:hint="eastAsia" w:cs="宋体"/>
          <w:color w:val="auto"/>
          <w:sz w:val="24"/>
          <w:szCs w:val="24"/>
          <w:highlight w:val="none"/>
        </w:rPr>
        <w:t>“十三五”节能</w:t>
      </w:r>
      <w:r>
        <w:rPr>
          <w:rFonts w:cs="宋体"/>
          <w:color w:val="auto"/>
          <w:sz w:val="24"/>
          <w:szCs w:val="24"/>
          <w:highlight w:val="none"/>
        </w:rPr>
        <w:t>减排综合工作方案的通知</w:t>
      </w:r>
      <w:r>
        <w:rPr>
          <w:rFonts w:hint="eastAsia" w:cs="宋体"/>
          <w:color w:val="auto"/>
          <w:sz w:val="24"/>
          <w:szCs w:val="24"/>
          <w:highlight w:val="none"/>
        </w:rPr>
        <w:t>》（国发〔</w:t>
      </w:r>
      <w:r>
        <w:rPr>
          <w:rFonts w:cs="宋体"/>
          <w:color w:val="auto"/>
          <w:sz w:val="24"/>
          <w:szCs w:val="24"/>
          <w:highlight w:val="none"/>
        </w:rPr>
        <w:t>2016</w:t>
      </w:r>
      <w:r>
        <w:rPr>
          <w:rFonts w:hint="eastAsia" w:cs="宋体"/>
          <w:color w:val="auto"/>
          <w:sz w:val="24"/>
          <w:szCs w:val="24"/>
          <w:highlight w:val="none"/>
        </w:rPr>
        <w:t>〕</w:t>
      </w:r>
      <w:r>
        <w:rPr>
          <w:rFonts w:cs="宋体"/>
          <w:color w:val="auto"/>
          <w:sz w:val="24"/>
          <w:szCs w:val="24"/>
          <w:highlight w:val="none"/>
        </w:rPr>
        <w:t>74</w:t>
      </w:r>
      <w:r>
        <w:rPr>
          <w:rFonts w:hint="eastAsia" w:cs="宋体"/>
          <w:color w:val="auto"/>
          <w:sz w:val="24"/>
          <w:szCs w:val="24"/>
          <w:highlight w:val="none"/>
        </w:rPr>
        <w:t>号），</w:t>
      </w:r>
      <w:r>
        <w:rPr>
          <w:rFonts w:cs="宋体"/>
          <w:color w:val="auto"/>
          <w:sz w:val="24"/>
          <w:szCs w:val="24"/>
          <w:highlight w:val="none"/>
        </w:rPr>
        <w:t>需要核定主要污染物排放总量指标</w:t>
      </w:r>
      <w:r>
        <w:rPr>
          <w:rFonts w:hint="eastAsia" w:cs="宋体"/>
          <w:color w:val="auto"/>
          <w:sz w:val="24"/>
          <w:szCs w:val="24"/>
          <w:highlight w:val="none"/>
          <w:lang w:eastAsia="zh-CN"/>
        </w:rPr>
        <w:t>的</w:t>
      </w:r>
      <w:r>
        <w:rPr>
          <w:rFonts w:cs="宋体"/>
          <w:color w:val="auto"/>
          <w:sz w:val="24"/>
          <w:szCs w:val="24"/>
          <w:highlight w:val="none"/>
        </w:rPr>
        <w:t>污染因子是：废气中的</w:t>
      </w:r>
      <w:r>
        <w:rPr>
          <w:rFonts w:hint="eastAsia" w:cs="宋体"/>
          <w:color w:val="auto"/>
          <w:sz w:val="24"/>
          <w:szCs w:val="24"/>
          <w:highlight w:val="none"/>
        </w:rPr>
        <w:t>SO</w:t>
      </w:r>
      <w:r>
        <w:rPr>
          <w:rFonts w:hint="eastAsia" w:cs="宋体"/>
          <w:color w:val="auto"/>
          <w:sz w:val="24"/>
          <w:szCs w:val="24"/>
          <w:highlight w:val="none"/>
          <w:vertAlign w:val="subscript"/>
        </w:rPr>
        <w:t>2</w:t>
      </w:r>
      <w:r>
        <w:rPr>
          <w:rFonts w:hint="eastAsia" w:cs="宋体"/>
          <w:color w:val="auto"/>
          <w:sz w:val="24"/>
          <w:szCs w:val="24"/>
          <w:highlight w:val="none"/>
        </w:rPr>
        <w:t>、NO</w:t>
      </w:r>
      <w:r>
        <w:rPr>
          <w:rFonts w:cs="宋体"/>
          <w:color w:val="auto"/>
          <w:sz w:val="24"/>
          <w:szCs w:val="24"/>
          <w:highlight w:val="none"/>
        </w:rPr>
        <w:t>x、烟尘、工业粉尘；</w:t>
      </w:r>
      <w:r>
        <w:rPr>
          <w:rFonts w:hint="eastAsia" w:cs="宋体"/>
          <w:color w:val="auto"/>
          <w:sz w:val="24"/>
          <w:szCs w:val="24"/>
          <w:highlight w:val="none"/>
        </w:rPr>
        <w:t>废水</w:t>
      </w:r>
      <w:r>
        <w:rPr>
          <w:rFonts w:cs="宋体"/>
          <w:color w:val="auto"/>
          <w:sz w:val="24"/>
          <w:szCs w:val="24"/>
          <w:highlight w:val="none"/>
        </w:rPr>
        <w:t>中的</w:t>
      </w:r>
      <w:r>
        <w:rPr>
          <w:rFonts w:hint="eastAsia" w:cs="宋体"/>
          <w:color w:val="auto"/>
          <w:sz w:val="24"/>
          <w:szCs w:val="24"/>
          <w:highlight w:val="none"/>
        </w:rPr>
        <w:t>COD、NH</w:t>
      </w:r>
      <w:r>
        <w:rPr>
          <w:rFonts w:hint="eastAsia" w:cs="宋体"/>
          <w:color w:val="auto"/>
          <w:sz w:val="24"/>
          <w:szCs w:val="24"/>
          <w:highlight w:val="none"/>
          <w:vertAlign w:val="subscript"/>
        </w:rPr>
        <w:t>3</w:t>
      </w:r>
      <w:r>
        <w:rPr>
          <w:rFonts w:hint="eastAsia" w:cs="宋体"/>
          <w:color w:val="auto"/>
          <w:sz w:val="24"/>
          <w:szCs w:val="24"/>
          <w:highlight w:val="none"/>
        </w:rPr>
        <w:t>-N。</w:t>
      </w:r>
    </w:p>
    <w:p>
      <w:pPr>
        <w:spacing w:line="480" w:lineRule="exact"/>
        <w:ind w:firstLine="480" w:firstLineChars="200"/>
        <w:rPr>
          <w:color w:val="auto"/>
          <w:sz w:val="24"/>
          <w:highlight w:val="none"/>
        </w:rPr>
      </w:pPr>
      <w:r>
        <w:rPr>
          <w:rFonts w:hint="default" w:ascii="Times New Roman" w:hAnsi="Times New Roman" w:eastAsia="宋体" w:cs="Times New Roman"/>
          <w:color w:val="auto"/>
          <w:sz w:val="24"/>
          <w:highlight w:val="none"/>
        </w:rPr>
        <w:t>项目为水电开发项目，属于清洁和可再生能源，不属于污染型建设项目，项目运营期不产生废气。因此项目运营过程中不涉及国家污染物控制指标，无需申请总量</w:t>
      </w:r>
      <w:r>
        <w:rPr>
          <w:rFonts w:hint="eastAsia" w:ascii="Times New Roman" w:hAnsi="Times New Roman" w:eastAsia="宋体" w:cs="Times New Roman"/>
          <w:color w:val="auto"/>
          <w:sz w:val="24"/>
          <w:highlight w:val="none"/>
          <w:lang w:eastAsia="zh-CN"/>
        </w:rPr>
        <w:t>。</w:t>
      </w:r>
    </w:p>
    <w:p>
      <w:pPr>
        <w:spacing w:line="480" w:lineRule="exact"/>
        <w:outlineLvl w:val="1"/>
        <w:rPr>
          <w:b/>
          <w:color w:val="auto"/>
          <w:sz w:val="24"/>
          <w:highlight w:val="none"/>
        </w:rPr>
      </w:pPr>
      <w:bookmarkStart w:id="308" w:name="_Toc11176"/>
      <w:r>
        <w:rPr>
          <w:rFonts w:hint="eastAsia"/>
          <w:b/>
          <w:color w:val="auto"/>
          <w:sz w:val="24"/>
          <w:highlight w:val="none"/>
        </w:rPr>
        <w:t>7</w:t>
      </w:r>
      <w:r>
        <w:rPr>
          <w:b/>
          <w:color w:val="auto"/>
          <w:sz w:val="24"/>
          <w:highlight w:val="none"/>
        </w:rPr>
        <w:t>.</w:t>
      </w:r>
      <w:r>
        <w:rPr>
          <w:rFonts w:hint="eastAsia"/>
          <w:b/>
          <w:color w:val="auto"/>
          <w:sz w:val="24"/>
          <w:highlight w:val="none"/>
        </w:rPr>
        <w:t>4</w:t>
      </w:r>
      <w:r>
        <w:rPr>
          <w:b/>
          <w:color w:val="auto"/>
          <w:sz w:val="24"/>
          <w:highlight w:val="none"/>
        </w:rPr>
        <w:t xml:space="preserve"> </w:t>
      </w:r>
      <w:r>
        <w:rPr>
          <w:rFonts w:hint="eastAsia"/>
          <w:b/>
          <w:color w:val="auto"/>
          <w:sz w:val="24"/>
          <w:highlight w:val="none"/>
        </w:rPr>
        <w:t>排污许可申请</w:t>
      </w:r>
      <w:bookmarkEnd w:id="308"/>
    </w:p>
    <w:p>
      <w:pPr>
        <w:spacing w:line="480" w:lineRule="exact"/>
        <w:ind w:firstLine="480" w:firstLineChars="200"/>
        <w:rPr>
          <w:color w:val="auto"/>
          <w:kern w:val="0"/>
          <w:sz w:val="24"/>
          <w:highlight w:val="none"/>
        </w:rPr>
      </w:pPr>
      <w:r>
        <w:rPr>
          <w:rFonts w:hint="eastAsia"/>
          <w:color w:val="auto"/>
          <w:kern w:val="0"/>
          <w:sz w:val="24"/>
          <w:highlight w:val="none"/>
        </w:rPr>
        <w:t>根据《国务院办公厅关于印发控制污染物排放许可制实施方案的通知》（国办发〔2016〕81 号）、《排污许可管理办法（试行）》（原环境保护部令 2017 年第 48 号）和《固定污染源排污许可分类管理名录（2019 年版）》（生态环境部令 2019 年第 11号）等规定，本水电站不在1</w:t>
      </w:r>
      <w:r>
        <w:rPr>
          <w:color w:val="auto"/>
          <w:kern w:val="0"/>
          <w:sz w:val="24"/>
          <w:highlight w:val="none"/>
        </w:rPr>
        <w:t>-107类行业内，不涉及通用工序，且本项目无污染物排放，因此本项目</w:t>
      </w:r>
      <w:r>
        <w:rPr>
          <w:rFonts w:hint="eastAsia"/>
          <w:color w:val="auto"/>
          <w:kern w:val="0"/>
          <w:sz w:val="24"/>
          <w:highlight w:val="none"/>
        </w:rPr>
        <w:t>不需要申请取得排污许可证。</w:t>
      </w:r>
    </w:p>
    <w:p>
      <w:pPr>
        <w:spacing w:line="480" w:lineRule="exact"/>
        <w:outlineLvl w:val="1"/>
        <w:rPr>
          <w:b/>
          <w:color w:val="auto"/>
          <w:sz w:val="24"/>
          <w:highlight w:val="none"/>
        </w:rPr>
      </w:pPr>
      <w:bookmarkStart w:id="309" w:name="_Toc2173"/>
      <w:r>
        <w:rPr>
          <w:rFonts w:hint="eastAsia"/>
          <w:b/>
          <w:color w:val="auto"/>
          <w:sz w:val="24"/>
          <w:highlight w:val="none"/>
        </w:rPr>
        <w:t>7</w:t>
      </w:r>
      <w:r>
        <w:rPr>
          <w:b/>
          <w:color w:val="auto"/>
          <w:sz w:val="24"/>
          <w:highlight w:val="none"/>
        </w:rPr>
        <w:t>.</w:t>
      </w:r>
      <w:r>
        <w:rPr>
          <w:rFonts w:hint="eastAsia"/>
          <w:b/>
          <w:color w:val="auto"/>
          <w:sz w:val="24"/>
          <w:highlight w:val="none"/>
        </w:rPr>
        <w:t>5</w:t>
      </w:r>
      <w:r>
        <w:rPr>
          <w:b/>
          <w:color w:val="auto"/>
          <w:sz w:val="24"/>
          <w:highlight w:val="none"/>
        </w:rPr>
        <w:t xml:space="preserve"> </w:t>
      </w:r>
      <w:r>
        <w:rPr>
          <w:rFonts w:hint="eastAsia"/>
          <w:b/>
          <w:color w:val="auto"/>
          <w:sz w:val="24"/>
          <w:highlight w:val="none"/>
        </w:rPr>
        <w:t>环境保护措施汇总</w:t>
      </w:r>
      <w:bookmarkEnd w:id="309"/>
    </w:p>
    <w:p>
      <w:pPr>
        <w:spacing w:line="480" w:lineRule="exact"/>
        <w:ind w:firstLine="480" w:firstLineChars="200"/>
        <w:rPr>
          <w:sz w:val="24"/>
          <w:highlight w:val="none"/>
        </w:rPr>
      </w:pPr>
      <w:r>
        <w:rPr>
          <w:rFonts w:hint="eastAsia"/>
          <w:sz w:val="24"/>
          <w:highlight w:val="none"/>
        </w:rPr>
        <w:t>水电站工程环境保护汇总一览表详见表 7.5-1。</w:t>
      </w:r>
    </w:p>
    <w:p>
      <w:pPr>
        <w:spacing w:line="480" w:lineRule="exact"/>
        <w:jc w:val="center"/>
        <w:rPr>
          <w:rFonts w:hint="eastAsia"/>
          <w:b/>
          <w:bCs/>
          <w:sz w:val="24"/>
          <w:highlight w:val="none"/>
        </w:rPr>
      </w:pPr>
    </w:p>
    <w:p>
      <w:pPr>
        <w:spacing w:line="480" w:lineRule="exact"/>
        <w:jc w:val="center"/>
        <w:rPr>
          <w:rFonts w:hint="eastAsia"/>
          <w:b/>
          <w:bCs/>
          <w:sz w:val="24"/>
          <w:highlight w:val="none"/>
        </w:rPr>
      </w:pPr>
    </w:p>
    <w:p>
      <w:pPr>
        <w:spacing w:line="480" w:lineRule="exact"/>
        <w:jc w:val="center"/>
        <w:rPr>
          <w:rFonts w:hint="eastAsia"/>
          <w:b/>
          <w:bCs/>
          <w:sz w:val="24"/>
          <w:highlight w:val="none"/>
        </w:rPr>
      </w:pPr>
    </w:p>
    <w:p>
      <w:pPr>
        <w:spacing w:line="480" w:lineRule="exact"/>
        <w:jc w:val="center"/>
        <w:rPr>
          <w:rFonts w:hint="eastAsia"/>
          <w:b/>
          <w:bCs/>
          <w:sz w:val="24"/>
          <w:highlight w:val="none"/>
        </w:rPr>
      </w:pPr>
    </w:p>
    <w:p>
      <w:pPr>
        <w:spacing w:line="480" w:lineRule="exact"/>
        <w:jc w:val="center"/>
        <w:rPr>
          <w:rFonts w:hint="eastAsia"/>
          <w:b/>
          <w:bCs/>
          <w:sz w:val="24"/>
          <w:highlight w:val="none"/>
        </w:rPr>
      </w:pPr>
    </w:p>
    <w:p>
      <w:pPr>
        <w:spacing w:line="480" w:lineRule="exact"/>
        <w:jc w:val="center"/>
        <w:rPr>
          <w:rFonts w:hint="eastAsia"/>
          <w:b/>
          <w:bCs/>
          <w:sz w:val="24"/>
          <w:highlight w:val="none"/>
        </w:rPr>
      </w:pPr>
    </w:p>
    <w:p>
      <w:pPr>
        <w:spacing w:line="480" w:lineRule="exact"/>
        <w:jc w:val="center"/>
        <w:rPr>
          <w:rFonts w:hint="eastAsia"/>
          <w:b/>
          <w:bCs/>
          <w:sz w:val="24"/>
          <w:highlight w:val="none"/>
        </w:rPr>
      </w:pPr>
    </w:p>
    <w:p>
      <w:pPr>
        <w:spacing w:line="480" w:lineRule="exact"/>
        <w:jc w:val="center"/>
        <w:rPr>
          <w:rFonts w:hint="eastAsia"/>
          <w:b/>
          <w:bCs/>
          <w:sz w:val="24"/>
          <w:highlight w:val="none"/>
        </w:rPr>
      </w:pPr>
    </w:p>
    <w:p>
      <w:pPr>
        <w:spacing w:line="480" w:lineRule="exact"/>
        <w:jc w:val="center"/>
        <w:rPr>
          <w:rFonts w:hint="eastAsia"/>
          <w:b/>
          <w:bCs/>
          <w:sz w:val="24"/>
          <w:highlight w:val="none"/>
        </w:rPr>
      </w:pPr>
    </w:p>
    <w:p>
      <w:pPr>
        <w:spacing w:line="480" w:lineRule="exact"/>
        <w:jc w:val="center"/>
        <w:rPr>
          <w:b/>
          <w:bCs/>
          <w:sz w:val="24"/>
          <w:highlight w:val="none"/>
        </w:rPr>
      </w:pPr>
      <w:r>
        <w:rPr>
          <w:rFonts w:hint="eastAsia"/>
          <w:b/>
          <w:bCs/>
          <w:sz w:val="24"/>
          <w:highlight w:val="none"/>
        </w:rPr>
        <w:t>表7.5-1 水电站工程环境保护措施汇总一览表</w:t>
      </w:r>
    </w:p>
    <w:tbl>
      <w:tblPr>
        <w:tblStyle w:val="52"/>
        <w:tblW w:w="855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9"/>
        <w:gridCol w:w="772"/>
        <w:gridCol w:w="848"/>
        <w:gridCol w:w="3505"/>
        <w:gridCol w:w="2160"/>
        <w:gridCol w:w="8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Align w:val="center"/>
          </w:tcPr>
          <w:p>
            <w:pPr>
              <w:spacing w:line="300" w:lineRule="exact"/>
              <w:jc w:val="center"/>
              <w:rPr>
                <w:szCs w:val="21"/>
                <w:highlight w:val="none"/>
              </w:rPr>
            </w:pPr>
            <w:r>
              <w:rPr>
                <w:rFonts w:hint="eastAsia"/>
                <w:szCs w:val="21"/>
                <w:highlight w:val="none"/>
              </w:rPr>
              <w:t>序号</w:t>
            </w:r>
          </w:p>
        </w:tc>
        <w:tc>
          <w:tcPr>
            <w:tcW w:w="772" w:type="dxa"/>
            <w:vAlign w:val="center"/>
          </w:tcPr>
          <w:p>
            <w:pPr>
              <w:spacing w:line="300" w:lineRule="exact"/>
              <w:jc w:val="center"/>
              <w:rPr>
                <w:szCs w:val="21"/>
                <w:highlight w:val="none"/>
              </w:rPr>
            </w:pPr>
            <w:r>
              <w:rPr>
                <w:rFonts w:hint="eastAsia"/>
                <w:szCs w:val="21"/>
                <w:highlight w:val="none"/>
              </w:rPr>
              <w:t>环境因子</w:t>
            </w:r>
          </w:p>
        </w:tc>
        <w:tc>
          <w:tcPr>
            <w:tcW w:w="4353" w:type="dxa"/>
            <w:gridSpan w:val="2"/>
            <w:vAlign w:val="center"/>
          </w:tcPr>
          <w:p>
            <w:pPr>
              <w:spacing w:line="300" w:lineRule="exact"/>
              <w:jc w:val="center"/>
              <w:rPr>
                <w:szCs w:val="21"/>
                <w:highlight w:val="none"/>
              </w:rPr>
            </w:pPr>
            <w:r>
              <w:rPr>
                <w:rFonts w:hint="eastAsia"/>
                <w:szCs w:val="21"/>
                <w:highlight w:val="none"/>
              </w:rPr>
              <w:t>环境保护措施</w:t>
            </w:r>
          </w:p>
        </w:tc>
        <w:tc>
          <w:tcPr>
            <w:tcW w:w="3003" w:type="dxa"/>
            <w:gridSpan w:val="2"/>
            <w:vAlign w:val="center"/>
          </w:tcPr>
          <w:p>
            <w:pPr>
              <w:spacing w:line="300" w:lineRule="exact"/>
              <w:jc w:val="center"/>
              <w:rPr>
                <w:szCs w:val="21"/>
                <w:highlight w:val="none"/>
              </w:rPr>
            </w:pPr>
            <w:r>
              <w:rPr>
                <w:rFonts w:hint="eastAsia"/>
                <w:szCs w:val="21"/>
                <w:highlight w:val="none"/>
              </w:rPr>
              <w:t>预期效果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Merge w:val="restart"/>
            <w:vAlign w:val="center"/>
          </w:tcPr>
          <w:p>
            <w:pPr>
              <w:spacing w:line="300" w:lineRule="exact"/>
              <w:jc w:val="center"/>
              <w:rPr>
                <w:szCs w:val="21"/>
                <w:highlight w:val="none"/>
              </w:rPr>
            </w:pPr>
            <w:r>
              <w:rPr>
                <w:rFonts w:hint="eastAsia"/>
                <w:szCs w:val="21"/>
                <w:highlight w:val="none"/>
              </w:rPr>
              <w:t>1</w:t>
            </w:r>
          </w:p>
        </w:tc>
        <w:tc>
          <w:tcPr>
            <w:tcW w:w="772" w:type="dxa"/>
            <w:vMerge w:val="restart"/>
            <w:vAlign w:val="center"/>
          </w:tcPr>
          <w:p>
            <w:pPr>
              <w:spacing w:line="300" w:lineRule="exact"/>
              <w:jc w:val="center"/>
              <w:rPr>
                <w:szCs w:val="21"/>
                <w:highlight w:val="none"/>
              </w:rPr>
            </w:pPr>
            <w:r>
              <w:rPr>
                <w:rFonts w:hint="eastAsia"/>
                <w:szCs w:val="21"/>
                <w:highlight w:val="none"/>
              </w:rPr>
              <w:t>地表水</w:t>
            </w:r>
          </w:p>
        </w:tc>
        <w:tc>
          <w:tcPr>
            <w:tcW w:w="4353" w:type="dxa"/>
            <w:gridSpan w:val="2"/>
            <w:vAlign w:val="center"/>
          </w:tcPr>
          <w:p>
            <w:pPr>
              <w:spacing w:line="300" w:lineRule="exact"/>
              <w:jc w:val="left"/>
              <w:rPr>
                <w:szCs w:val="21"/>
                <w:highlight w:val="none"/>
              </w:rPr>
            </w:pPr>
            <w:r>
              <w:rPr>
                <w:rFonts w:hint="eastAsia"/>
                <w:bCs/>
                <w:szCs w:val="21"/>
                <w:highlight w:val="none"/>
              </w:rPr>
              <w:t>确保不向黎河排放生活废水</w:t>
            </w:r>
          </w:p>
        </w:tc>
        <w:tc>
          <w:tcPr>
            <w:tcW w:w="2160" w:type="dxa"/>
            <w:vMerge w:val="restart"/>
            <w:vAlign w:val="center"/>
          </w:tcPr>
          <w:p>
            <w:pPr>
              <w:spacing w:line="300" w:lineRule="exact"/>
              <w:jc w:val="left"/>
              <w:rPr>
                <w:szCs w:val="21"/>
                <w:highlight w:val="none"/>
              </w:rPr>
            </w:pPr>
            <w:r>
              <w:rPr>
                <w:rFonts w:hint="eastAsia"/>
                <w:szCs w:val="21"/>
                <w:highlight w:val="none"/>
              </w:rPr>
              <w:t>不对周边水环境产生影响</w:t>
            </w:r>
          </w:p>
        </w:tc>
        <w:tc>
          <w:tcPr>
            <w:tcW w:w="843" w:type="dxa"/>
            <w:vMerge w:val="restart"/>
            <w:vAlign w:val="center"/>
          </w:tcPr>
          <w:p>
            <w:pPr>
              <w:spacing w:line="300" w:lineRule="exact"/>
              <w:jc w:val="center"/>
              <w:rPr>
                <w:szCs w:val="21"/>
                <w:highlight w:val="none"/>
              </w:rPr>
            </w:pPr>
            <w:r>
              <w:rPr>
                <w:rFonts w:hint="eastAsia"/>
                <w:szCs w:val="21"/>
                <w:highlight w:val="none"/>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Merge w:val="continue"/>
            <w:vAlign w:val="center"/>
          </w:tcPr>
          <w:p>
            <w:pPr>
              <w:spacing w:line="300" w:lineRule="exact"/>
              <w:jc w:val="center"/>
              <w:rPr>
                <w:szCs w:val="21"/>
                <w:highlight w:val="none"/>
              </w:rPr>
            </w:pPr>
          </w:p>
        </w:tc>
        <w:tc>
          <w:tcPr>
            <w:tcW w:w="772" w:type="dxa"/>
            <w:vMerge w:val="continue"/>
            <w:vAlign w:val="center"/>
          </w:tcPr>
          <w:p>
            <w:pPr>
              <w:spacing w:line="300" w:lineRule="exact"/>
              <w:jc w:val="center"/>
              <w:rPr>
                <w:szCs w:val="21"/>
                <w:highlight w:val="none"/>
              </w:rPr>
            </w:pPr>
          </w:p>
        </w:tc>
        <w:tc>
          <w:tcPr>
            <w:tcW w:w="4353" w:type="dxa"/>
            <w:gridSpan w:val="2"/>
            <w:vAlign w:val="center"/>
          </w:tcPr>
          <w:p>
            <w:pPr>
              <w:spacing w:line="300" w:lineRule="exact"/>
              <w:jc w:val="left"/>
              <w:rPr>
                <w:szCs w:val="21"/>
                <w:highlight w:val="none"/>
              </w:rPr>
            </w:pPr>
            <w:r>
              <w:rPr>
                <w:rFonts w:hint="eastAsia"/>
                <w:szCs w:val="21"/>
                <w:highlight w:val="none"/>
              </w:rPr>
              <w:t>工作人员生活污水采用化粪池进行处理，</w:t>
            </w:r>
            <w:r>
              <w:rPr>
                <w:rFonts w:hint="eastAsia"/>
                <w:szCs w:val="21"/>
                <w:highlight w:val="none"/>
                <w:lang w:eastAsia="zh-CN"/>
              </w:rPr>
              <w:t>由环卫部门定期清掏</w:t>
            </w:r>
            <w:r>
              <w:rPr>
                <w:rFonts w:hint="eastAsia"/>
                <w:szCs w:val="21"/>
                <w:highlight w:val="none"/>
              </w:rPr>
              <w:t>，不外排。</w:t>
            </w:r>
          </w:p>
        </w:tc>
        <w:tc>
          <w:tcPr>
            <w:tcW w:w="2160" w:type="dxa"/>
            <w:vMerge w:val="continue"/>
            <w:vAlign w:val="center"/>
          </w:tcPr>
          <w:p>
            <w:pPr>
              <w:spacing w:line="300" w:lineRule="exact"/>
              <w:jc w:val="left"/>
              <w:rPr>
                <w:szCs w:val="21"/>
                <w:highlight w:val="none"/>
              </w:rPr>
            </w:pPr>
          </w:p>
        </w:tc>
        <w:tc>
          <w:tcPr>
            <w:tcW w:w="843" w:type="dxa"/>
            <w:vMerge w:val="continue"/>
            <w:vAlign w:val="center"/>
          </w:tcPr>
          <w:p>
            <w:pPr>
              <w:spacing w:line="300" w:lineRule="exact"/>
              <w:jc w:val="center"/>
              <w:rPr>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Merge w:val="restart"/>
            <w:vAlign w:val="center"/>
          </w:tcPr>
          <w:p>
            <w:pPr>
              <w:spacing w:line="300" w:lineRule="exact"/>
              <w:jc w:val="center"/>
              <w:rPr>
                <w:szCs w:val="21"/>
                <w:highlight w:val="none"/>
              </w:rPr>
            </w:pPr>
            <w:r>
              <w:rPr>
                <w:rFonts w:hint="eastAsia"/>
                <w:szCs w:val="21"/>
                <w:highlight w:val="none"/>
              </w:rPr>
              <w:t>2</w:t>
            </w:r>
          </w:p>
        </w:tc>
        <w:tc>
          <w:tcPr>
            <w:tcW w:w="772" w:type="dxa"/>
            <w:vMerge w:val="restart"/>
            <w:vAlign w:val="center"/>
          </w:tcPr>
          <w:p>
            <w:pPr>
              <w:spacing w:line="300" w:lineRule="exact"/>
              <w:jc w:val="center"/>
              <w:rPr>
                <w:szCs w:val="21"/>
                <w:highlight w:val="none"/>
              </w:rPr>
            </w:pPr>
            <w:r>
              <w:rPr>
                <w:rFonts w:hint="eastAsia"/>
                <w:szCs w:val="21"/>
                <w:highlight w:val="none"/>
              </w:rPr>
              <w:t>陆生生态</w:t>
            </w:r>
          </w:p>
        </w:tc>
        <w:tc>
          <w:tcPr>
            <w:tcW w:w="848" w:type="dxa"/>
            <w:vAlign w:val="center"/>
          </w:tcPr>
          <w:p>
            <w:pPr>
              <w:spacing w:line="300" w:lineRule="exact"/>
              <w:jc w:val="center"/>
              <w:rPr>
                <w:szCs w:val="21"/>
                <w:highlight w:val="none"/>
              </w:rPr>
            </w:pPr>
            <w:r>
              <w:rPr>
                <w:rFonts w:hint="eastAsia"/>
                <w:szCs w:val="21"/>
                <w:highlight w:val="none"/>
              </w:rPr>
              <w:t>陆生动物保护</w:t>
            </w:r>
          </w:p>
        </w:tc>
        <w:tc>
          <w:tcPr>
            <w:tcW w:w="3505" w:type="dxa"/>
            <w:vAlign w:val="center"/>
          </w:tcPr>
          <w:p>
            <w:pPr>
              <w:spacing w:line="300" w:lineRule="exact"/>
              <w:jc w:val="left"/>
              <w:rPr>
                <w:szCs w:val="21"/>
                <w:highlight w:val="none"/>
              </w:rPr>
            </w:pPr>
            <w:r>
              <w:rPr>
                <w:rFonts w:hint="eastAsia"/>
                <w:szCs w:val="21"/>
                <w:highlight w:val="none"/>
              </w:rPr>
              <w:t>加强对野生动物保护的宣传教育力度，増强野生动物保护意识、禁止对库区周边野生生物进行捕杀。</w:t>
            </w:r>
          </w:p>
        </w:tc>
        <w:tc>
          <w:tcPr>
            <w:tcW w:w="2160" w:type="dxa"/>
            <w:vMerge w:val="restart"/>
            <w:vAlign w:val="center"/>
          </w:tcPr>
          <w:p>
            <w:pPr>
              <w:spacing w:line="300" w:lineRule="exact"/>
              <w:jc w:val="left"/>
              <w:rPr>
                <w:szCs w:val="21"/>
                <w:highlight w:val="none"/>
              </w:rPr>
            </w:pPr>
            <w:r>
              <w:rPr>
                <w:rFonts w:hint="eastAsia"/>
                <w:szCs w:val="21"/>
                <w:highlight w:val="none"/>
              </w:rPr>
              <w:t>减少施工活动对陆生植被的破坏，减轻工程施工占地对陆生植物的不利影响，防止水土流失和影响水质。</w:t>
            </w:r>
          </w:p>
        </w:tc>
        <w:tc>
          <w:tcPr>
            <w:tcW w:w="843" w:type="dxa"/>
            <w:vMerge w:val="restart"/>
            <w:vAlign w:val="center"/>
          </w:tcPr>
          <w:p>
            <w:pPr>
              <w:spacing w:line="300" w:lineRule="exact"/>
              <w:jc w:val="center"/>
              <w:rPr>
                <w:szCs w:val="21"/>
                <w:highlight w:val="none"/>
              </w:rPr>
            </w:pPr>
            <w:r>
              <w:rPr>
                <w:rFonts w:hint="eastAsia"/>
                <w:szCs w:val="21"/>
                <w:highlight w:val="none"/>
              </w:rPr>
              <w:t>长期</w:t>
            </w:r>
          </w:p>
          <w:p>
            <w:pPr>
              <w:spacing w:line="300" w:lineRule="exact"/>
              <w:jc w:val="center"/>
              <w:rPr>
                <w:szCs w:val="21"/>
                <w:highlight w:val="none"/>
              </w:rPr>
            </w:pPr>
            <w:r>
              <w:rPr>
                <w:rFonts w:hint="eastAsia"/>
                <w:szCs w:val="21"/>
                <w:highlight w:val="none"/>
              </w:rPr>
              <w:t>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Merge w:val="continue"/>
            <w:vAlign w:val="center"/>
          </w:tcPr>
          <w:p>
            <w:pPr>
              <w:spacing w:line="300" w:lineRule="exact"/>
              <w:jc w:val="center"/>
              <w:rPr>
                <w:szCs w:val="21"/>
                <w:highlight w:val="none"/>
              </w:rPr>
            </w:pPr>
          </w:p>
        </w:tc>
        <w:tc>
          <w:tcPr>
            <w:tcW w:w="772" w:type="dxa"/>
            <w:vMerge w:val="continue"/>
            <w:vAlign w:val="center"/>
          </w:tcPr>
          <w:p>
            <w:pPr>
              <w:spacing w:line="300" w:lineRule="exact"/>
              <w:jc w:val="center"/>
              <w:rPr>
                <w:szCs w:val="21"/>
                <w:highlight w:val="none"/>
              </w:rPr>
            </w:pPr>
          </w:p>
        </w:tc>
        <w:tc>
          <w:tcPr>
            <w:tcW w:w="848" w:type="dxa"/>
            <w:vAlign w:val="center"/>
          </w:tcPr>
          <w:p>
            <w:pPr>
              <w:spacing w:line="300" w:lineRule="exact"/>
              <w:jc w:val="center"/>
              <w:rPr>
                <w:szCs w:val="21"/>
                <w:highlight w:val="none"/>
              </w:rPr>
            </w:pPr>
            <w:r>
              <w:rPr>
                <w:rFonts w:hint="eastAsia"/>
                <w:szCs w:val="21"/>
                <w:highlight w:val="none"/>
              </w:rPr>
              <w:t>植被保护</w:t>
            </w:r>
          </w:p>
        </w:tc>
        <w:tc>
          <w:tcPr>
            <w:tcW w:w="3505" w:type="dxa"/>
            <w:vAlign w:val="center"/>
          </w:tcPr>
          <w:p>
            <w:pPr>
              <w:spacing w:line="300" w:lineRule="exact"/>
              <w:jc w:val="left"/>
              <w:rPr>
                <w:szCs w:val="21"/>
                <w:highlight w:val="none"/>
              </w:rPr>
            </w:pPr>
            <w:r>
              <w:rPr>
                <w:rFonts w:hint="eastAsia"/>
                <w:szCs w:val="21"/>
                <w:highlight w:val="none"/>
              </w:rPr>
              <w:t>在进行植被恢复和重建时，选择覆盖性能强的速生草本植物；选择柳树、槐树、杨树等适宜性树种，形成多层次多种结构的人工混交植被类型。</w:t>
            </w:r>
          </w:p>
        </w:tc>
        <w:tc>
          <w:tcPr>
            <w:tcW w:w="2160" w:type="dxa"/>
            <w:vMerge w:val="continue"/>
            <w:vAlign w:val="center"/>
          </w:tcPr>
          <w:p>
            <w:pPr>
              <w:spacing w:line="300" w:lineRule="exact"/>
              <w:jc w:val="center"/>
              <w:rPr>
                <w:szCs w:val="21"/>
                <w:highlight w:val="none"/>
              </w:rPr>
            </w:pPr>
          </w:p>
        </w:tc>
        <w:tc>
          <w:tcPr>
            <w:tcW w:w="843" w:type="dxa"/>
            <w:vMerge w:val="continue"/>
            <w:vAlign w:val="center"/>
          </w:tcPr>
          <w:p>
            <w:pPr>
              <w:spacing w:line="300" w:lineRule="exact"/>
              <w:jc w:val="center"/>
              <w:rPr>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5" w:hRule="atLeast"/>
        </w:trPr>
        <w:tc>
          <w:tcPr>
            <w:tcW w:w="429" w:type="dxa"/>
            <w:vMerge w:val="restart"/>
            <w:vAlign w:val="center"/>
          </w:tcPr>
          <w:p>
            <w:pPr>
              <w:spacing w:line="300" w:lineRule="exact"/>
              <w:jc w:val="center"/>
              <w:rPr>
                <w:szCs w:val="21"/>
                <w:highlight w:val="none"/>
              </w:rPr>
            </w:pPr>
            <w:r>
              <w:rPr>
                <w:rFonts w:hint="eastAsia"/>
                <w:szCs w:val="21"/>
                <w:highlight w:val="none"/>
              </w:rPr>
              <w:t>3</w:t>
            </w:r>
          </w:p>
        </w:tc>
        <w:tc>
          <w:tcPr>
            <w:tcW w:w="772" w:type="dxa"/>
            <w:vMerge w:val="restart"/>
            <w:vAlign w:val="center"/>
          </w:tcPr>
          <w:p>
            <w:pPr>
              <w:spacing w:line="300" w:lineRule="exact"/>
              <w:jc w:val="center"/>
              <w:rPr>
                <w:szCs w:val="21"/>
                <w:highlight w:val="none"/>
              </w:rPr>
            </w:pPr>
            <w:r>
              <w:rPr>
                <w:rFonts w:hint="eastAsia"/>
                <w:szCs w:val="21"/>
                <w:highlight w:val="none"/>
              </w:rPr>
              <w:t>水生生态</w:t>
            </w:r>
          </w:p>
        </w:tc>
        <w:tc>
          <w:tcPr>
            <w:tcW w:w="4353" w:type="dxa"/>
            <w:gridSpan w:val="2"/>
            <w:vAlign w:val="center"/>
          </w:tcPr>
          <w:p>
            <w:pPr>
              <w:spacing w:line="300" w:lineRule="exact"/>
              <w:jc w:val="left"/>
              <w:rPr>
                <w:szCs w:val="21"/>
                <w:highlight w:val="none"/>
              </w:rPr>
            </w:pPr>
            <w:r>
              <w:rPr>
                <w:rFonts w:hint="eastAsia"/>
                <w:szCs w:val="21"/>
                <w:highlight w:val="none"/>
              </w:rPr>
              <w:t>加强施工人员的各类卫生管理(如个人卫生、粪便和生活污水)，避免生活污水的直接排放</w:t>
            </w:r>
          </w:p>
        </w:tc>
        <w:tc>
          <w:tcPr>
            <w:tcW w:w="2160" w:type="dxa"/>
            <w:vMerge w:val="restart"/>
            <w:vAlign w:val="center"/>
          </w:tcPr>
          <w:p>
            <w:pPr>
              <w:spacing w:line="300" w:lineRule="exact"/>
              <w:jc w:val="left"/>
              <w:rPr>
                <w:szCs w:val="21"/>
                <w:highlight w:val="none"/>
              </w:rPr>
            </w:pPr>
            <w:r>
              <w:rPr>
                <w:rFonts w:hint="eastAsia"/>
                <w:szCs w:val="21"/>
                <w:highlight w:val="none"/>
              </w:rPr>
              <w:t>增加水域资源量、养护水生生物资源、保护生物多样性。保护河流生物多样性和物种的遗传多样性</w:t>
            </w:r>
          </w:p>
        </w:tc>
        <w:tc>
          <w:tcPr>
            <w:tcW w:w="843" w:type="dxa"/>
            <w:vMerge w:val="restart"/>
            <w:vAlign w:val="center"/>
          </w:tcPr>
          <w:p>
            <w:pPr>
              <w:spacing w:line="300" w:lineRule="exact"/>
              <w:jc w:val="center"/>
              <w:rPr>
                <w:szCs w:val="21"/>
                <w:highlight w:val="none"/>
              </w:rPr>
            </w:pPr>
            <w:r>
              <w:rPr>
                <w:rFonts w:hint="eastAsia"/>
                <w:szCs w:val="21"/>
                <w:highlight w:val="none"/>
              </w:rPr>
              <w:t>长期落实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Merge w:val="continue"/>
            <w:vAlign w:val="center"/>
          </w:tcPr>
          <w:p>
            <w:pPr>
              <w:spacing w:line="300" w:lineRule="exact"/>
              <w:jc w:val="center"/>
              <w:rPr>
                <w:szCs w:val="21"/>
                <w:highlight w:val="none"/>
              </w:rPr>
            </w:pPr>
          </w:p>
        </w:tc>
        <w:tc>
          <w:tcPr>
            <w:tcW w:w="772" w:type="dxa"/>
            <w:vMerge w:val="continue"/>
            <w:vAlign w:val="center"/>
          </w:tcPr>
          <w:p>
            <w:pPr>
              <w:spacing w:line="300" w:lineRule="exact"/>
              <w:jc w:val="center"/>
              <w:rPr>
                <w:szCs w:val="21"/>
                <w:highlight w:val="none"/>
              </w:rPr>
            </w:pPr>
          </w:p>
        </w:tc>
        <w:tc>
          <w:tcPr>
            <w:tcW w:w="4353" w:type="dxa"/>
            <w:gridSpan w:val="2"/>
            <w:vAlign w:val="center"/>
          </w:tcPr>
          <w:p>
            <w:pPr>
              <w:spacing w:line="300" w:lineRule="exact"/>
              <w:jc w:val="center"/>
              <w:rPr>
                <w:szCs w:val="21"/>
                <w:highlight w:val="none"/>
              </w:rPr>
            </w:pPr>
            <w:r>
              <w:rPr>
                <w:rFonts w:hint="eastAsia"/>
                <w:szCs w:val="21"/>
                <w:highlight w:val="none"/>
              </w:rPr>
              <w:t>应落实下泄生态基流，并建立台账，及时记录</w:t>
            </w:r>
          </w:p>
        </w:tc>
        <w:tc>
          <w:tcPr>
            <w:tcW w:w="2160" w:type="dxa"/>
            <w:vMerge w:val="continue"/>
            <w:vAlign w:val="center"/>
          </w:tcPr>
          <w:p>
            <w:pPr>
              <w:spacing w:line="300" w:lineRule="exact"/>
              <w:jc w:val="center"/>
              <w:rPr>
                <w:szCs w:val="21"/>
                <w:highlight w:val="none"/>
              </w:rPr>
            </w:pPr>
          </w:p>
        </w:tc>
        <w:tc>
          <w:tcPr>
            <w:tcW w:w="843" w:type="dxa"/>
            <w:vMerge w:val="continue"/>
            <w:vAlign w:val="center"/>
          </w:tcPr>
          <w:p>
            <w:pPr>
              <w:spacing w:line="300" w:lineRule="exact"/>
              <w:jc w:val="center"/>
              <w:rPr>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Merge w:val="restart"/>
            <w:vAlign w:val="center"/>
          </w:tcPr>
          <w:p>
            <w:pPr>
              <w:spacing w:line="300" w:lineRule="exact"/>
              <w:jc w:val="center"/>
              <w:rPr>
                <w:szCs w:val="21"/>
                <w:highlight w:val="none"/>
              </w:rPr>
            </w:pPr>
            <w:r>
              <w:rPr>
                <w:rFonts w:hint="eastAsia"/>
                <w:szCs w:val="21"/>
                <w:highlight w:val="none"/>
              </w:rPr>
              <w:t>4</w:t>
            </w:r>
          </w:p>
        </w:tc>
        <w:tc>
          <w:tcPr>
            <w:tcW w:w="772" w:type="dxa"/>
            <w:vMerge w:val="restart"/>
            <w:vAlign w:val="center"/>
          </w:tcPr>
          <w:p>
            <w:pPr>
              <w:spacing w:line="300" w:lineRule="exact"/>
              <w:jc w:val="center"/>
              <w:rPr>
                <w:szCs w:val="21"/>
                <w:highlight w:val="none"/>
              </w:rPr>
            </w:pPr>
            <w:r>
              <w:rPr>
                <w:rFonts w:hint="eastAsia"/>
                <w:szCs w:val="21"/>
                <w:highlight w:val="none"/>
              </w:rPr>
              <w:t>噪声防护</w:t>
            </w:r>
          </w:p>
        </w:tc>
        <w:tc>
          <w:tcPr>
            <w:tcW w:w="4353" w:type="dxa"/>
            <w:gridSpan w:val="2"/>
            <w:vAlign w:val="center"/>
          </w:tcPr>
          <w:p>
            <w:pPr>
              <w:spacing w:line="300" w:lineRule="exact"/>
              <w:jc w:val="left"/>
              <w:rPr>
                <w:szCs w:val="21"/>
                <w:highlight w:val="none"/>
              </w:rPr>
            </w:pPr>
            <w:r>
              <w:rPr>
                <w:rFonts w:hint="eastAsia"/>
                <w:szCs w:val="21"/>
                <w:highlight w:val="none"/>
              </w:rPr>
              <w:t>选用低噪设备和工艺，加强施工机械维修保养，对于振动较大的设备配备减振装置</w:t>
            </w:r>
          </w:p>
        </w:tc>
        <w:tc>
          <w:tcPr>
            <w:tcW w:w="2160" w:type="dxa"/>
            <w:vMerge w:val="restart"/>
            <w:vAlign w:val="center"/>
          </w:tcPr>
          <w:p>
            <w:pPr>
              <w:spacing w:line="300" w:lineRule="exact"/>
              <w:jc w:val="left"/>
              <w:rPr>
                <w:szCs w:val="21"/>
                <w:highlight w:val="none"/>
              </w:rPr>
            </w:pPr>
            <w:r>
              <w:rPr>
                <w:rFonts w:hint="eastAsia"/>
                <w:szCs w:val="21"/>
                <w:highlight w:val="none"/>
              </w:rPr>
              <w:t>厂界满足《工业企业厂界噪声排放标准》（GB 12348 -2008）2 类标准</w:t>
            </w:r>
          </w:p>
        </w:tc>
        <w:tc>
          <w:tcPr>
            <w:tcW w:w="843" w:type="dxa"/>
            <w:vMerge w:val="restart"/>
            <w:vAlign w:val="center"/>
          </w:tcPr>
          <w:p>
            <w:pPr>
              <w:spacing w:line="300" w:lineRule="exact"/>
              <w:jc w:val="center"/>
              <w:rPr>
                <w:szCs w:val="21"/>
                <w:highlight w:val="none"/>
              </w:rPr>
            </w:pPr>
            <w:r>
              <w:rPr>
                <w:rFonts w:hint="eastAsia"/>
                <w:szCs w:val="21"/>
                <w:highlight w:val="none"/>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Merge w:val="continue"/>
            <w:vAlign w:val="center"/>
          </w:tcPr>
          <w:p>
            <w:pPr>
              <w:spacing w:line="300" w:lineRule="exact"/>
              <w:jc w:val="center"/>
              <w:rPr>
                <w:szCs w:val="21"/>
                <w:highlight w:val="none"/>
              </w:rPr>
            </w:pPr>
          </w:p>
        </w:tc>
        <w:tc>
          <w:tcPr>
            <w:tcW w:w="772" w:type="dxa"/>
            <w:vMerge w:val="continue"/>
            <w:vAlign w:val="center"/>
          </w:tcPr>
          <w:p>
            <w:pPr>
              <w:spacing w:line="300" w:lineRule="exact"/>
              <w:jc w:val="center"/>
              <w:rPr>
                <w:szCs w:val="21"/>
                <w:highlight w:val="none"/>
              </w:rPr>
            </w:pPr>
          </w:p>
        </w:tc>
        <w:tc>
          <w:tcPr>
            <w:tcW w:w="4353" w:type="dxa"/>
            <w:gridSpan w:val="2"/>
            <w:vAlign w:val="center"/>
          </w:tcPr>
          <w:p>
            <w:pPr>
              <w:spacing w:line="300" w:lineRule="exact"/>
              <w:jc w:val="center"/>
              <w:rPr>
                <w:szCs w:val="21"/>
                <w:highlight w:val="none"/>
              </w:rPr>
            </w:pPr>
            <w:r>
              <w:rPr>
                <w:rFonts w:hint="eastAsia"/>
                <w:szCs w:val="21"/>
                <w:highlight w:val="none"/>
              </w:rPr>
              <w:t>将各类泵作基础减振等措施</w:t>
            </w:r>
          </w:p>
        </w:tc>
        <w:tc>
          <w:tcPr>
            <w:tcW w:w="2160" w:type="dxa"/>
            <w:vMerge w:val="continue"/>
            <w:vAlign w:val="center"/>
          </w:tcPr>
          <w:p>
            <w:pPr>
              <w:spacing w:line="300" w:lineRule="exact"/>
              <w:jc w:val="center"/>
              <w:rPr>
                <w:szCs w:val="21"/>
                <w:highlight w:val="none"/>
              </w:rPr>
            </w:pPr>
          </w:p>
        </w:tc>
        <w:tc>
          <w:tcPr>
            <w:tcW w:w="843" w:type="dxa"/>
            <w:vMerge w:val="continue"/>
            <w:vAlign w:val="center"/>
          </w:tcPr>
          <w:p>
            <w:pPr>
              <w:spacing w:line="300" w:lineRule="exact"/>
              <w:jc w:val="center"/>
              <w:rPr>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Merge w:val="continue"/>
            <w:vAlign w:val="center"/>
          </w:tcPr>
          <w:p>
            <w:pPr>
              <w:spacing w:line="300" w:lineRule="exact"/>
              <w:jc w:val="center"/>
              <w:rPr>
                <w:szCs w:val="21"/>
                <w:highlight w:val="none"/>
              </w:rPr>
            </w:pPr>
          </w:p>
        </w:tc>
        <w:tc>
          <w:tcPr>
            <w:tcW w:w="772" w:type="dxa"/>
            <w:vMerge w:val="continue"/>
            <w:vAlign w:val="center"/>
          </w:tcPr>
          <w:p>
            <w:pPr>
              <w:spacing w:line="300" w:lineRule="exact"/>
              <w:jc w:val="center"/>
              <w:rPr>
                <w:szCs w:val="21"/>
                <w:highlight w:val="none"/>
              </w:rPr>
            </w:pPr>
          </w:p>
        </w:tc>
        <w:tc>
          <w:tcPr>
            <w:tcW w:w="4353" w:type="dxa"/>
            <w:gridSpan w:val="2"/>
            <w:vAlign w:val="center"/>
          </w:tcPr>
          <w:p>
            <w:pPr>
              <w:spacing w:line="300" w:lineRule="exact"/>
              <w:jc w:val="center"/>
              <w:rPr>
                <w:szCs w:val="21"/>
                <w:highlight w:val="none"/>
              </w:rPr>
            </w:pPr>
            <w:r>
              <w:rPr>
                <w:rFonts w:hint="eastAsia"/>
                <w:szCs w:val="21"/>
                <w:highlight w:val="none"/>
              </w:rPr>
              <w:t>固废设备房做隔声处理</w:t>
            </w:r>
          </w:p>
        </w:tc>
        <w:tc>
          <w:tcPr>
            <w:tcW w:w="2160" w:type="dxa"/>
            <w:vMerge w:val="continue"/>
            <w:vAlign w:val="center"/>
          </w:tcPr>
          <w:p>
            <w:pPr>
              <w:spacing w:line="300" w:lineRule="exact"/>
              <w:jc w:val="center"/>
              <w:rPr>
                <w:szCs w:val="21"/>
                <w:highlight w:val="none"/>
              </w:rPr>
            </w:pPr>
          </w:p>
        </w:tc>
        <w:tc>
          <w:tcPr>
            <w:tcW w:w="843" w:type="dxa"/>
            <w:vMerge w:val="continue"/>
            <w:vAlign w:val="center"/>
          </w:tcPr>
          <w:p>
            <w:pPr>
              <w:spacing w:line="300" w:lineRule="exact"/>
              <w:jc w:val="center"/>
              <w:rPr>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Merge w:val="continue"/>
            <w:vAlign w:val="center"/>
          </w:tcPr>
          <w:p>
            <w:pPr>
              <w:spacing w:line="300" w:lineRule="exact"/>
              <w:jc w:val="center"/>
              <w:rPr>
                <w:szCs w:val="21"/>
                <w:highlight w:val="none"/>
              </w:rPr>
            </w:pPr>
          </w:p>
        </w:tc>
        <w:tc>
          <w:tcPr>
            <w:tcW w:w="772" w:type="dxa"/>
            <w:vMerge w:val="continue"/>
            <w:vAlign w:val="center"/>
          </w:tcPr>
          <w:p>
            <w:pPr>
              <w:spacing w:line="300" w:lineRule="exact"/>
              <w:jc w:val="center"/>
              <w:rPr>
                <w:szCs w:val="21"/>
                <w:highlight w:val="none"/>
              </w:rPr>
            </w:pPr>
          </w:p>
        </w:tc>
        <w:tc>
          <w:tcPr>
            <w:tcW w:w="4353" w:type="dxa"/>
            <w:gridSpan w:val="2"/>
            <w:vAlign w:val="center"/>
          </w:tcPr>
          <w:p>
            <w:pPr>
              <w:spacing w:line="300" w:lineRule="exact"/>
              <w:jc w:val="center"/>
              <w:rPr>
                <w:szCs w:val="21"/>
                <w:highlight w:val="none"/>
              </w:rPr>
            </w:pPr>
            <w:r>
              <w:rPr>
                <w:rFonts w:hint="eastAsia"/>
                <w:szCs w:val="21"/>
                <w:highlight w:val="none"/>
              </w:rPr>
              <w:t>站区四周绿化</w:t>
            </w:r>
          </w:p>
        </w:tc>
        <w:tc>
          <w:tcPr>
            <w:tcW w:w="2160" w:type="dxa"/>
            <w:vMerge w:val="continue"/>
            <w:vAlign w:val="center"/>
          </w:tcPr>
          <w:p>
            <w:pPr>
              <w:spacing w:line="300" w:lineRule="exact"/>
              <w:jc w:val="center"/>
              <w:rPr>
                <w:szCs w:val="21"/>
                <w:highlight w:val="none"/>
              </w:rPr>
            </w:pPr>
          </w:p>
        </w:tc>
        <w:tc>
          <w:tcPr>
            <w:tcW w:w="843" w:type="dxa"/>
            <w:vMerge w:val="continue"/>
            <w:vAlign w:val="center"/>
          </w:tcPr>
          <w:p>
            <w:pPr>
              <w:spacing w:line="300" w:lineRule="exact"/>
              <w:jc w:val="center"/>
              <w:rPr>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Merge w:val="restart"/>
            <w:vAlign w:val="center"/>
          </w:tcPr>
          <w:p>
            <w:pPr>
              <w:spacing w:line="300" w:lineRule="exact"/>
              <w:jc w:val="center"/>
              <w:rPr>
                <w:szCs w:val="21"/>
                <w:highlight w:val="none"/>
              </w:rPr>
            </w:pPr>
            <w:r>
              <w:rPr>
                <w:rFonts w:hint="eastAsia"/>
                <w:szCs w:val="21"/>
                <w:highlight w:val="none"/>
              </w:rPr>
              <w:t>5</w:t>
            </w:r>
          </w:p>
        </w:tc>
        <w:tc>
          <w:tcPr>
            <w:tcW w:w="772" w:type="dxa"/>
            <w:vMerge w:val="restart"/>
            <w:vAlign w:val="center"/>
          </w:tcPr>
          <w:p>
            <w:pPr>
              <w:spacing w:line="300" w:lineRule="exact"/>
              <w:jc w:val="center"/>
              <w:rPr>
                <w:szCs w:val="21"/>
                <w:highlight w:val="none"/>
              </w:rPr>
            </w:pPr>
            <w:r>
              <w:rPr>
                <w:rFonts w:hint="eastAsia"/>
                <w:szCs w:val="21"/>
                <w:highlight w:val="none"/>
              </w:rPr>
              <w:t>固废</w:t>
            </w:r>
          </w:p>
          <w:p>
            <w:pPr>
              <w:spacing w:line="300" w:lineRule="exact"/>
              <w:jc w:val="center"/>
              <w:rPr>
                <w:szCs w:val="21"/>
                <w:highlight w:val="none"/>
              </w:rPr>
            </w:pPr>
            <w:r>
              <w:rPr>
                <w:rFonts w:hint="eastAsia"/>
                <w:szCs w:val="21"/>
                <w:highlight w:val="none"/>
              </w:rPr>
              <w:t>处置</w:t>
            </w:r>
          </w:p>
        </w:tc>
        <w:tc>
          <w:tcPr>
            <w:tcW w:w="4353" w:type="dxa"/>
            <w:gridSpan w:val="2"/>
            <w:vAlign w:val="center"/>
          </w:tcPr>
          <w:p>
            <w:pPr>
              <w:spacing w:line="300" w:lineRule="exact"/>
              <w:jc w:val="left"/>
              <w:rPr>
                <w:szCs w:val="21"/>
                <w:highlight w:val="none"/>
              </w:rPr>
            </w:pPr>
            <w:r>
              <w:rPr>
                <w:szCs w:val="21"/>
                <w:highlight w:val="none"/>
              </w:rPr>
              <w:t>生活垃圾由环境卫生管理所统一收集后填埋；电站格栅打捞垃及每月定期清运交由环卫部门统一处置</w:t>
            </w:r>
          </w:p>
        </w:tc>
        <w:tc>
          <w:tcPr>
            <w:tcW w:w="2160" w:type="dxa"/>
            <w:vAlign w:val="center"/>
          </w:tcPr>
          <w:p>
            <w:pPr>
              <w:spacing w:line="300" w:lineRule="exact"/>
              <w:jc w:val="left"/>
              <w:rPr>
                <w:szCs w:val="21"/>
                <w:highlight w:val="none"/>
              </w:rPr>
            </w:pPr>
            <w:r>
              <w:rPr>
                <w:szCs w:val="21"/>
                <w:highlight w:val="none"/>
              </w:rPr>
              <w:t>《一般工业固体废物贮存、处置场污染控制标准》（GB18599</w:t>
            </w:r>
            <w:r>
              <w:rPr>
                <w:rFonts w:hint="eastAsia"/>
                <w:szCs w:val="21"/>
                <w:highlight w:val="none"/>
              </w:rPr>
              <w:t xml:space="preserve"> </w:t>
            </w:r>
            <w:r>
              <w:rPr>
                <w:szCs w:val="21"/>
                <w:highlight w:val="none"/>
              </w:rPr>
              <w:t>-20</w:t>
            </w:r>
            <w:r>
              <w:rPr>
                <w:rFonts w:hint="eastAsia"/>
                <w:szCs w:val="21"/>
                <w:highlight w:val="none"/>
                <w:lang w:val="en-US" w:eastAsia="zh-CN"/>
              </w:rPr>
              <w:t>20</w:t>
            </w:r>
            <w:r>
              <w:rPr>
                <w:szCs w:val="21"/>
                <w:highlight w:val="none"/>
              </w:rPr>
              <w:t>）</w:t>
            </w:r>
          </w:p>
        </w:tc>
        <w:tc>
          <w:tcPr>
            <w:tcW w:w="843" w:type="dxa"/>
            <w:vAlign w:val="center"/>
          </w:tcPr>
          <w:p>
            <w:pPr>
              <w:spacing w:line="300" w:lineRule="exact"/>
              <w:jc w:val="center"/>
              <w:rPr>
                <w:szCs w:val="21"/>
                <w:highlight w:val="none"/>
              </w:rPr>
            </w:pPr>
            <w:r>
              <w:rPr>
                <w:rFonts w:hint="eastAsia"/>
                <w:szCs w:val="21"/>
                <w:highlight w:val="none"/>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Merge w:val="continue"/>
            <w:vAlign w:val="center"/>
          </w:tcPr>
          <w:p>
            <w:pPr>
              <w:spacing w:line="300" w:lineRule="exact"/>
              <w:jc w:val="center"/>
              <w:rPr>
                <w:szCs w:val="21"/>
                <w:highlight w:val="none"/>
              </w:rPr>
            </w:pPr>
          </w:p>
        </w:tc>
        <w:tc>
          <w:tcPr>
            <w:tcW w:w="772" w:type="dxa"/>
            <w:vMerge w:val="continue"/>
            <w:vAlign w:val="center"/>
          </w:tcPr>
          <w:p>
            <w:pPr>
              <w:spacing w:line="300" w:lineRule="exact"/>
              <w:jc w:val="center"/>
              <w:rPr>
                <w:szCs w:val="21"/>
                <w:highlight w:val="none"/>
              </w:rPr>
            </w:pPr>
          </w:p>
        </w:tc>
        <w:tc>
          <w:tcPr>
            <w:tcW w:w="4353" w:type="dxa"/>
            <w:gridSpan w:val="2"/>
            <w:vAlign w:val="center"/>
          </w:tcPr>
          <w:p>
            <w:pPr>
              <w:spacing w:line="300" w:lineRule="exact"/>
              <w:jc w:val="left"/>
              <w:rPr>
                <w:szCs w:val="21"/>
                <w:highlight w:val="none"/>
              </w:rPr>
            </w:pPr>
            <w:r>
              <w:rPr>
                <w:szCs w:val="21"/>
                <w:highlight w:val="none"/>
              </w:rPr>
              <w:t>危险废物委托有资质单位处置，并设置专门的危险废物贮存场所</w:t>
            </w:r>
          </w:p>
        </w:tc>
        <w:tc>
          <w:tcPr>
            <w:tcW w:w="2160" w:type="dxa"/>
            <w:vAlign w:val="center"/>
          </w:tcPr>
          <w:p>
            <w:pPr>
              <w:spacing w:line="300" w:lineRule="exact"/>
              <w:jc w:val="left"/>
              <w:rPr>
                <w:szCs w:val="21"/>
                <w:highlight w:val="none"/>
              </w:rPr>
            </w:pPr>
            <w:r>
              <w:rPr>
                <w:szCs w:val="21"/>
                <w:highlight w:val="none"/>
              </w:rPr>
              <w:t>《危险废物贮存污染控制标准》（GB</w:t>
            </w:r>
            <w:r>
              <w:rPr>
                <w:rFonts w:hint="eastAsia"/>
                <w:szCs w:val="21"/>
                <w:highlight w:val="none"/>
              </w:rPr>
              <w:t xml:space="preserve"> </w:t>
            </w:r>
            <w:r>
              <w:rPr>
                <w:szCs w:val="21"/>
                <w:highlight w:val="none"/>
              </w:rPr>
              <w:t>18597-20</w:t>
            </w:r>
            <w:r>
              <w:rPr>
                <w:rFonts w:hint="eastAsia"/>
                <w:szCs w:val="21"/>
                <w:highlight w:val="none"/>
                <w:lang w:val="en-US" w:eastAsia="zh-CN"/>
              </w:rPr>
              <w:t>23</w:t>
            </w:r>
            <w:r>
              <w:rPr>
                <w:szCs w:val="21"/>
                <w:highlight w:val="none"/>
              </w:rPr>
              <w:t>）</w:t>
            </w:r>
          </w:p>
        </w:tc>
        <w:tc>
          <w:tcPr>
            <w:tcW w:w="843" w:type="dxa"/>
            <w:vAlign w:val="center"/>
          </w:tcPr>
          <w:p>
            <w:pPr>
              <w:spacing w:line="300" w:lineRule="exact"/>
              <w:jc w:val="center"/>
              <w:rPr>
                <w:szCs w:val="21"/>
                <w:highlight w:val="none"/>
              </w:rPr>
            </w:pPr>
            <w:r>
              <w:rPr>
                <w:rFonts w:hint="eastAsia"/>
                <w:szCs w:val="21"/>
                <w:highlight w:val="none"/>
              </w:rPr>
              <w:t>待落实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Align w:val="center"/>
          </w:tcPr>
          <w:p>
            <w:pPr>
              <w:spacing w:line="300" w:lineRule="exact"/>
              <w:jc w:val="center"/>
              <w:rPr>
                <w:szCs w:val="21"/>
                <w:highlight w:val="none"/>
              </w:rPr>
            </w:pPr>
            <w:r>
              <w:rPr>
                <w:rFonts w:hint="eastAsia"/>
                <w:szCs w:val="21"/>
                <w:highlight w:val="none"/>
              </w:rPr>
              <w:t>6</w:t>
            </w:r>
          </w:p>
        </w:tc>
        <w:tc>
          <w:tcPr>
            <w:tcW w:w="772" w:type="dxa"/>
            <w:vAlign w:val="center"/>
          </w:tcPr>
          <w:p>
            <w:pPr>
              <w:spacing w:line="300" w:lineRule="exact"/>
              <w:jc w:val="center"/>
              <w:rPr>
                <w:szCs w:val="21"/>
                <w:highlight w:val="none"/>
              </w:rPr>
            </w:pPr>
            <w:r>
              <w:rPr>
                <w:szCs w:val="21"/>
                <w:highlight w:val="none"/>
              </w:rPr>
              <w:t>地下水</w:t>
            </w:r>
            <w:r>
              <w:rPr>
                <w:rFonts w:hint="eastAsia"/>
                <w:szCs w:val="21"/>
                <w:highlight w:val="none"/>
              </w:rPr>
              <w:t>保护</w:t>
            </w:r>
          </w:p>
        </w:tc>
        <w:tc>
          <w:tcPr>
            <w:tcW w:w="4353" w:type="dxa"/>
            <w:gridSpan w:val="2"/>
            <w:vAlign w:val="center"/>
          </w:tcPr>
          <w:p>
            <w:pPr>
              <w:spacing w:line="300" w:lineRule="exact"/>
              <w:jc w:val="left"/>
              <w:rPr>
                <w:szCs w:val="21"/>
                <w:highlight w:val="none"/>
              </w:rPr>
            </w:pPr>
            <w:r>
              <w:rPr>
                <w:rFonts w:hint="eastAsia"/>
                <w:szCs w:val="21"/>
                <w:highlight w:val="none"/>
              </w:rPr>
              <w:t>分区防治</w:t>
            </w:r>
            <w:r>
              <w:rPr>
                <w:szCs w:val="21"/>
                <w:highlight w:val="none"/>
              </w:rPr>
              <w:t>，必须尽量减少排入污水和污染物，从而保护地表和地下水资源。</w:t>
            </w:r>
          </w:p>
        </w:tc>
        <w:tc>
          <w:tcPr>
            <w:tcW w:w="2160" w:type="dxa"/>
            <w:vAlign w:val="center"/>
          </w:tcPr>
          <w:p>
            <w:pPr>
              <w:spacing w:line="300" w:lineRule="exact"/>
              <w:jc w:val="center"/>
              <w:rPr>
                <w:szCs w:val="21"/>
                <w:highlight w:val="none"/>
              </w:rPr>
            </w:pPr>
            <w:r>
              <w:rPr>
                <w:szCs w:val="21"/>
                <w:highlight w:val="none"/>
              </w:rPr>
              <w:t>项目建设不会引起的地下水</w:t>
            </w:r>
            <w:r>
              <w:rPr>
                <w:rFonts w:hint="eastAsia"/>
                <w:szCs w:val="21"/>
                <w:highlight w:val="none"/>
              </w:rPr>
              <w:t>质量</w:t>
            </w:r>
            <w:r>
              <w:rPr>
                <w:szCs w:val="21"/>
                <w:highlight w:val="none"/>
              </w:rPr>
              <w:t>变化</w:t>
            </w:r>
          </w:p>
        </w:tc>
        <w:tc>
          <w:tcPr>
            <w:tcW w:w="843" w:type="dxa"/>
            <w:vAlign w:val="center"/>
          </w:tcPr>
          <w:p>
            <w:pPr>
              <w:spacing w:line="300" w:lineRule="exact"/>
              <w:jc w:val="center"/>
              <w:rPr>
                <w:szCs w:val="21"/>
                <w:highlight w:val="none"/>
              </w:rPr>
            </w:pPr>
            <w:r>
              <w:rPr>
                <w:rFonts w:hint="eastAsia"/>
                <w:szCs w:val="21"/>
                <w:highlight w:val="none"/>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Align w:val="center"/>
          </w:tcPr>
          <w:p>
            <w:pPr>
              <w:spacing w:line="300" w:lineRule="exact"/>
              <w:jc w:val="center"/>
              <w:rPr>
                <w:szCs w:val="21"/>
                <w:highlight w:val="none"/>
              </w:rPr>
            </w:pPr>
            <w:r>
              <w:rPr>
                <w:rFonts w:hint="eastAsia"/>
                <w:szCs w:val="21"/>
                <w:highlight w:val="none"/>
              </w:rPr>
              <w:t>7</w:t>
            </w:r>
          </w:p>
        </w:tc>
        <w:tc>
          <w:tcPr>
            <w:tcW w:w="772" w:type="dxa"/>
            <w:vAlign w:val="center"/>
          </w:tcPr>
          <w:p>
            <w:pPr>
              <w:spacing w:line="300" w:lineRule="exact"/>
              <w:jc w:val="center"/>
              <w:rPr>
                <w:szCs w:val="21"/>
                <w:highlight w:val="none"/>
              </w:rPr>
            </w:pPr>
            <w:r>
              <w:rPr>
                <w:rFonts w:hint="eastAsia"/>
                <w:szCs w:val="21"/>
                <w:highlight w:val="none"/>
              </w:rPr>
              <w:t>土壤保护</w:t>
            </w:r>
          </w:p>
        </w:tc>
        <w:tc>
          <w:tcPr>
            <w:tcW w:w="4353" w:type="dxa"/>
            <w:gridSpan w:val="2"/>
            <w:vAlign w:val="center"/>
          </w:tcPr>
          <w:p>
            <w:pPr>
              <w:spacing w:line="300" w:lineRule="exact"/>
              <w:jc w:val="left"/>
              <w:rPr>
                <w:szCs w:val="21"/>
                <w:highlight w:val="none"/>
              </w:rPr>
            </w:pPr>
            <w:r>
              <w:rPr>
                <w:rFonts w:hint="eastAsia"/>
                <w:szCs w:val="21"/>
                <w:highlight w:val="none"/>
              </w:rPr>
              <w:t>从源头上减少污染物排放，厂区道路硬化，注意工作场所地面、排水管道的防腐防渗要求，防止污染物下渗，污染土壤环境；厂区可能泄漏污染物的污染区地面进行防渗处理</w:t>
            </w:r>
          </w:p>
        </w:tc>
        <w:tc>
          <w:tcPr>
            <w:tcW w:w="2160" w:type="dxa"/>
            <w:vAlign w:val="center"/>
          </w:tcPr>
          <w:p>
            <w:pPr>
              <w:spacing w:line="300" w:lineRule="exact"/>
              <w:jc w:val="center"/>
              <w:rPr>
                <w:szCs w:val="21"/>
                <w:highlight w:val="none"/>
              </w:rPr>
            </w:pPr>
            <w:r>
              <w:rPr>
                <w:szCs w:val="21"/>
                <w:highlight w:val="none"/>
              </w:rPr>
              <w:t>项目建设不会引起的</w:t>
            </w:r>
            <w:r>
              <w:rPr>
                <w:rFonts w:hint="eastAsia"/>
                <w:szCs w:val="21"/>
                <w:highlight w:val="none"/>
              </w:rPr>
              <w:t>土壤质量</w:t>
            </w:r>
            <w:r>
              <w:rPr>
                <w:szCs w:val="21"/>
                <w:highlight w:val="none"/>
              </w:rPr>
              <w:t>变化</w:t>
            </w:r>
          </w:p>
        </w:tc>
        <w:tc>
          <w:tcPr>
            <w:tcW w:w="843" w:type="dxa"/>
            <w:vAlign w:val="center"/>
          </w:tcPr>
          <w:p>
            <w:pPr>
              <w:spacing w:line="300" w:lineRule="exact"/>
              <w:jc w:val="center"/>
              <w:rPr>
                <w:szCs w:val="21"/>
                <w:highlight w:val="none"/>
              </w:rPr>
            </w:pPr>
            <w:r>
              <w:rPr>
                <w:rFonts w:hint="eastAsia"/>
                <w:szCs w:val="21"/>
                <w:highlight w:val="none"/>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 w:type="dxa"/>
            <w:vAlign w:val="center"/>
          </w:tcPr>
          <w:p>
            <w:pPr>
              <w:spacing w:line="300" w:lineRule="exact"/>
              <w:jc w:val="center"/>
              <w:rPr>
                <w:szCs w:val="21"/>
                <w:highlight w:val="none"/>
              </w:rPr>
            </w:pPr>
            <w:r>
              <w:rPr>
                <w:rFonts w:hint="eastAsia"/>
                <w:szCs w:val="21"/>
                <w:highlight w:val="none"/>
              </w:rPr>
              <w:t>8</w:t>
            </w:r>
          </w:p>
        </w:tc>
        <w:tc>
          <w:tcPr>
            <w:tcW w:w="772" w:type="dxa"/>
            <w:vAlign w:val="center"/>
          </w:tcPr>
          <w:p>
            <w:pPr>
              <w:spacing w:line="300" w:lineRule="exact"/>
              <w:jc w:val="center"/>
              <w:rPr>
                <w:szCs w:val="21"/>
                <w:highlight w:val="none"/>
              </w:rPr>
            </w:pPr>
            <w:r>
              <w:rPr>
                <w:rFonts w:hint="eastAsia"/>
                <w:szCs w:val="21"/>
                <w:highlight w:val="none"/>
              </w:rPr>
              <w:t>橡胶坝</w:t>
            </w:r>
          </w:p>
        </w:tc>
        <w:tc>
          <w:tcPr>
            <w:tcW w:w="4353" w:type="dxa"/>
            <w:gridSpan w:val="2"/>
            <w:vAlign w:val="center"/>
          </w:tcPr>
          <w:p>
            <w:pPr>
              <w:spacing w:line="300" w:lineRule="exact"/>
              <w:jc w:val="left"/>
              <w:rPr>
                <w:szCs w:val="21"/>
                <w:highlight w:val="none"/>
              </w:rPr>
            </w:pPr>
            <w:r>
              <w:rPr>
                <w:rFonts w:hint="eastAsia"/>
                <w:szCs w:val="21"/>
                <w:highlight w:val="none"/>
              </w:rPr>
              <w:t>建立预警设施。</w:t>
            </w:r>
          </w:p>
        </w:tc>
        <w:tc>
          <w:tcPr>
            <w:tcW w:w="2160" w:type="dxa"/>
            <w:vAlign w:val="center"/>
          </w:tcPr>
          <w:p>
            <w:pPr>
              <w:spacing w:line="300" w:lineRule="exact"/>
              <w:jc w:val="center"/>
              <w:rPr>
                <w:szCs w:val="21"/>
                <w:highlight w:val="none"/>
              </w:rPr>
            </w:pPr>
            <w:r>
              <w:rPr>
                <w:rFonts w:hint="eastAsia"/>
                <w:szCs w:val="21"/>
                <w:highlight w:val="none"/>
              </w:rPr>
              <w:t>/</w:t>
            </w:r>
          </w:p>
        </w:tc>
        <w:tc>
          <w:tcPr>
            <w:tcW w:w="843" w:type="dxa"/>
            <w:vAlign w:val="center"/>
          </w:tcPr>
          <w:p>
            <w:pPr>
              <w:spacing w:line="300" w:lineRule="exact"/>
              <w:jc w:val="center"/>
              <w:rPr>
                <w:szCs w:val="21"/>
                <w:highlight w:val="none"/>
              </w:rPr>
            </w:pPr>
            <w:r>
              <w:rPr>
                <w:rFonts w:hint="eastAsia"/>
                <w:szCs w:val="21"/>
                <w:highlight w:val="none"/>
              </w:rPr>
              <w:t>/</w:t>
            </w:r>
          </w:p>
        </w:tc>
      </w:tr>
      <w:bookmarkEnd w:id="220"/>
    </w:tbl>
    <w:p>
      <w:pPr>
        <w:spacing w:line="480" w:lineRule="exact"/>
        <w:ind w:firstLine="480" w:firstLineChars="200"/>
        <w:rPr>
          <w:sz w:val="24"/>
          <w:highlight w:val="none"/>
        </w:rPr>
      </w:pPr>
      <w:bookmarkStart w:id="310" w:name="_Toc246763561"/>
      <w:bookmarkStart w:id="311" w:name="_Toc157136210"/>
    </w:p>
    <w:p>
      <w:pPr>
        <w:rPr>
          <w:sz w:val="24"/>
          <w:highlight w:val="none"/>
        </w:rPr>
      </w:pPr>
      <w:r>
        <w:rPr>
          <w:sz w:val="24"/>
          <w:highlight w:val="none"/>
        </w:rPr>
        <w:br w:type="page"/>
      </w:r>
    </w:p>
    <w:p>
      <w:pPr>
        <w:pStyle w:val="2"/>
        <w:spacing w:beforeLines="0" w:line="480" w:lineRule="exact"/>
        <w:rPr>
          <w:rFonts w:hint="default" w:ascii="Times New Roman" w:hAnsi="Times New Roman"/>
          <w:bCs/>
          <w:kern w:val="2"/>
          <w:sz w:val="28"/>
          <w:szCs w:val="28"/>
          <w:highlight w:val="none"/>
        </w:rPr>
      </w:pPr>
      <w:bookmarkStart w:id="312" w:name="_Toc246763571"/>
      <w:bookmarkStart w:id="313" w:name="_Toc15750"/>
      <w:bookmarkStart w:id="314" w:name="_Toc20921"/>
      <w:bookmarkStart w:id="315" w:name="_Toc31817"/>
      <w:bookmarkStart w:id="316" w:name="_Toc321"/>
      <w:r>
        <w:rPr>
          <w:rFonts w:ascii="Times New Roman" w:hAnsi="Times New Roman"/>
          <w:bCs/>
          <w:kern w:val="2"/>
          <w:sz w:val="28"/>
          <w:szCs w:val="28"/>
          <w:highlight w:val="none"/>
        </w:rPr>
        <w:t>8</w:t>
      </w:r>
      <w:r>
        <w:rPr>
          <w:rFonts w:hint="default" w:ascii="Times New Roman" w:hAnsi="Times New Roman"/>
          <w:bCs/>
          <w:kern w:val="2"/>
          <w:sz w:val="28"/>
          <w:szCs w:val="28"/>
          <w:highlight w:val="none"/>
        </w:rPr>
        <w:t>环境影响经济损益分析</w:t>
      </w:r>
      <w:bookmarkEnd w:id="312"/>
      <w:bookmarkEnd w:id="313"/>
      <w:bookmarkEnd w:id="314"/>
      <w:bookmarkEnd w:id="315"/>
      <w:bookmarkEnd w:id="316"/>
    </w:p>
    <w:p>
      <w:pPr>
        <w:spacing w:line="480" w:lineRule="exact"/>
        <w:ind w:firstLine="480" w:firstLineChars="200"/>
        <w:rPr>
          <w:sz w:val="24"/>
          <w:highlight w:val="none"/>
        </w:rPr>
      </w:pPr>
      <w:r>
        <w:rPr>
          <w:sz w:val="24"/>
          <w:highlight w:val="none"/>
        </w:rPr>
        <w:t>环境经济损益分析是从经济学的角度来分析，预测该项目的设施应体现的经济效益，社会效益和环境效益。项目的环境经济损益分析内容主要是统计分析环保措施投入的资金，运行费用，并分析项目投产后取得的经济效益、环境效益和社会效益。</w:t>
      </w:r>
    </w:p>
    <w:p>
      <w:pPr>
        <w:pStyle w:val="3"/>
        <w:spacing w:beforeLines="0" w:line="480" w:lineRule="exact"/>
        <w:rPr>
          <w:rFonts w:eastAsia="宋体"/>
          <w:b/>
          <w:bCs/>
          <w:highlight w:val="none"/>
        </w:rPr>
      </w:pPr>
      <w:bookmarkStart w:id="317" w:name="_Toc6937"/>
      <w:bookmarkStart w:id="318" w:name="_Toc25682"/>
      <w:bookmarkStart w:id="319" w:name="_Toc301852827"/>
      <w:bookmarkStart w:id="320" w:name="_Toc282122991"/>
      <w:bookmarkStart w:id="321" w:name="_Toc14511"/>
      <w:bookmarkStart w:id="322" w:name="_Toc13072"/>
      <w:r>
        <w:rPr>
          <w:rFonts w:hint="eastAsia" w:eastAsia="宋体"/>
          <w:b/>
          <w:bCs/>
          <w:highlight w:val="none"/>
        </w:rPr>
        <w:t>8</w:t>
      </w:r>
      <w:r>
        <w:rPr>
          <w:rFonts w:eastAsia="宋体"/>
          <w:b/>
          <w:bCs/>
          <w:highlight w:val="none"/>
        </w:rPr>
        <w:t>.1 经济效益分析</w:t>
      </w:r>
      <w:bookmarkEnd w:id="317"/>
      <w:bookmarkEnd w:id="318"/>
      <w:bookmarkEnd w:id="319"/>
      <w:bookmarkEnd w:id="320"/>
      <w:bookmarkEnd w:id="321"/>
      <w:bookmarkEnd w:id="322"/>
    </w:p>
    <w:p>
      <w:pPr>
        <w:pStyle w:val="28"/>
        <w:spacing w:line="480" w:lineRule="exact"/>
        <w:ind w:left="0" w:firstLine="480" w:firstLineChars="200"/>
        <w:rPr>
          <w:i w:val="0"/>
          <w:sz w:val="24"/>
          <w:highlight w:val="none"/>
        </w:rPr>
      </w:pPr>
      <w:r>
        <w:rPr>
          <w:i w:val="0"/>
          <w:kern w:val="0"/>
          <w:sz w:val="24"/>
          <w:highlight w:val="none"/>
        </w:rPr>
        <w:t>电站装机容量为</w:t>
      </w:r>
      <w:r>
        <w:rPr>
          <w:rFonts w:hint="eastAsia"/>
          <w:i w:val="0"/>
          <w:kern w:val="0"/>
          <w:sz w:val="24"/>
          <w:highlight w:val="none"/>
          <w:lang w:val="en-US" w:eastAsia="zh-CN"/>
        </w:rPr>
        <w:t>5000</w:t>
      </w:r>
      <w:r>
        <w:rPr>
          <w:i w:val="0"/>
          <w:kern w:val="0"/>
          <w:sz w:val="24"/>
          <w:highlight w:val="none"/>
        </w:rPr>
        <w:t>kw，</w:t>
      </w:r>
      <w:r>
        <w:rPr>
          <w:i w:val="0"/>
          <w:sz w:val="24"/>
          <w:highlight w:val="none"/>
        </w:rPr>
        <w:t>年利用小时数</w:t>
      </w:r>
      <w:r>
        <w:rPr>
          <w:rFonts w:hint="eastAsia"/>
          <w:i w:val="0"/>
          <w:sz w:val="24"/>
          <w:highlight w:val="none"/>
          <w:lang w:val="en-US" w:eastAsia="zh-CN"/>
        </w:rPr>
        <w:t>2931</w:t>
      </w:r>
      <w:r>
        <w:rPr>
          <w:i w:val="0"/>
          <w:sz w:val="24"/>
          <w:highlight w:val="none"/>
        </w:rPr>
        <w:t>小时，年发电量</w:t>
      </w:r>
      <w:r>
        <w:rPr>
          <w:rFonts w:hint="eastAsia"/>
          <w:i w:val="0"/>
          <w:sz w:val="24"/>
          <w:highlight w:val="none"/>
          <w:lang w:val="en-US" w:eastAsia="zh-CN"/>
        </w:rPr>
        <w:t>1465.5</w:t>
      </w:r>
      <w:r>
        <w:rPr>
          <w:i w:val="0"/>
          <w:sz w:val="24"/>
          <w:highlight w:val="none"/>
        </w:rPr>
        <w:t>万kw·h，</w:t>
      </w:r>
      <w:r>
        <w:rPr>
          <w:i w:val="0"/>
          <w:kern w:val="0"/>
          <w:sz w:val="24"/>
          <w:highlight w:val="none"/>
        </w:rPr>
        <w:t>上网电量</w:t>
      </w:r>
      <w:r>
        <w:rPr>
          <w:i w:val="0"/>
          <w:sz w:val="24"/>
          <w:highlight w:val="none"/>
        </w:rPr>
        <w:t>1</w:t>
      </w:r>
      <w:r>
        <w:rPr>
          <w:rFonts w:hint="eastAsia"/>
          <w:i w:val="0"/>
          <w:sz w:val="24"/>
          <w:highlight w:val="none"/>
          <w:lang w:val="en-US" w:eastAsia="zh-CN"/>
        </w:rPr>
        <w:t>464</w:t>
      </w:r>
      <w:r>
        <w:rPr>
          <w:i w:val="0"/>
          <w:kern w:val="0"/>
          <w:sz w:val="24"/>
          <w:highlight w:val="none"/>
        </w:rPr>
        <w:t>万kW.h</w:t>
      </w:r>
      <w:r>
        <w:rPr>
          <w:i w:val="0"/>
          <w:sz w:val="24"/>
          <w:highlight w:val="none"/>
        </w:rPr>
        <w:t>。</w:t>
      </w:r>
      <w:r>
        <w:rPr>
          <w:i w:val="0"/>
          <w:kern w:val="0"/>
          <w:sz w:val="24"/>
          <w:highlight w:val="none"/>
        </w:rPr>
        <w:t>工程总投资</w:t>
      </w:r>
      <w:r>
        <w:rPr>
          <w:rFonts w:hint="eastAsia"/>
          <w:i w:val="0"/>
          <w:kern w:val="0"/>
          <w:sz w:val="24"/>
          <w:highlight w:val="none"/>
          <w:lang w:val="en-US" w:eastAsia="zh-CN"/>
        </w:rPr>
        <w:t>3613</w:t>
      </w:r>
      <w:r>
        <w:rPr>
          <w:i w:val="0"/>
          <w:kern w:val="0"/>
          <w:sz w:val="24"/>
          <w:highlight w:val="none"/>
        </w:rPr>
        <w:t>万元，</w:t>
      </w:r>
      <w:r>
        <w:rPr>
          <w:i w:val="0"/>
          <w:snapToGrid w:val="0"/>
          <w:kern w:val="0"/>
          <w:sz w:val="24"/>
          <w:highlight w:val="none"/>
        </w:rPr>
        <w:t>上网电价按0.</w:t>
      </w:r>
      <w:r>
        <w:rPr>
          <w:rFonts w:hint="eastAsia"/>
          <w:i w:val="0"/>
          <w:snapToGrid w:val="0"/>
          <w:kern w:val="0"/>
          <w:sz w:val="24"/>
          <w:highlight w:val="none"/>
          <w:lang w:val="en-US" w:eastAsia="zh-CN"/>
        </w:rPr>
        <w:t>33</w:t>
      </w:r>
      <w:r>
        <w:rPr>
          <w:i w:val="0"/>
          <w:snapToGrid w:val="0"/>
          <w:kern w:val="0"/>
          <w:sz w:val="24"/>
          <w:highlight w:val="none"/>
        </w:rPr>
        <w:t>元/kW·h计，则年发电收入为</w:t>
      </w:r>
      <w:r>
        <w:rPr>
          <w:rFonts w:hint="eastAsia"/>
          <w:i w:val="0"/>
          <w:snapToGrid w:val="0"/>
          <w:kern w:val="0"/>
          <w:sz w:val="24"/>
          <w:highlight w:val="none"/>
          <w:lang w:val="en-US" w:eastAsia="zh-CN"/>
        </w:rPr>
        <w:t>483.12</w:t>
      </w:r>
      <w:r>
        <w:rPr>
          <w:i w:val="0"/>
          <w:snapToGrid w:val="0"/>
          <w:kern w:val="0"/>
          <w:sz w:val="24"/>
          <w:highlight w:val="none"/>
        </w:rPr>
        <w:t>万元/a，经济指标较好，</w:t>
      </w:r>
      <w:r>
        <w:rPr>
          <w:i w:val="0"/>
          <w:sz w:val="24"/>
          <w:highlight w:val="none"/>
        </w:rPr>
        <w:t>本工程在国民经济上是合理的。</w:t>
      </w:r>
    </w:p>
    <w:p>
      <w:pPr>
        <w:pStyle w:val="28"/>
        <w:spacing w:line="480" w:lineRule="exact"/>
        <w:ind w:left="0" w:firstLine="480" w:firstLineChars="200"/>
        <w:rPr>
          <w:i w:val="0"/>
          <w:snapToGrid w:val="0"/>
          <w:kern w:val="0"/>
          <w:sz w:val="24"/>
          <w:highlight w:val="none"/>
        </w:rPr>
      </w:pPr>
      <w:r>
        <w:rPr>
          <w:i w:val="0"/>
          <w:sz w:val="24"/>
          <w:highlight w:val="none"/>
        </w:rPr>
        <w:t>电站建成运行后可为当地电网输送丰富的电能，对改善区域电网结构和运行将起到积极作用，同时可为本企业增加经济收入，为地方政府增加财税收入，对地方经济的发展起到积极推动作用，具有良好的经济效益。</w:t>
      </w:r>
    </w:p>
    <w:p>
      <w:pPr>
        <w:spacing w:line="480" w:lineRule="exact"/>
        <w:ind w:firstLine="480" w:firstLineChars="200"/>
        <w:rPr>
          <w:sz w:val="24"/>
          <w:highlight w:val="none"/>
        </w:rPr>
      </w:pPr>
      <w:r>
        <w:rPr>
          <w:sz w:val="24"/>
          <w:highlight w:val="none"/>
        </w:rPr>
        <w:t>因此，从项目的投资效益分析，本项目是可行的。</w:t>
      </w:r>
      <w:bookmarkStart w:id="323" w:name="_Toc301852828"/>
      <w:bookmarkStart w:id="324" w:name="_Toc282122992"/>
    </w:p>
    <w:p>
      <w:pPr>
        <w:pStyle w:val="3"/>
        <w:spacing w:beforeLines="0" w:line="480" w:lineRule="exact"/>
        <w:rPr>
          <w:rFonts w:eastAsia="宋体"/>
          <w:b/>
          <w:bCs/>
          <w:szCs w:val="22"/>
          <w:highlight w:val="none"/>
        </w:rPr>
      </w:pPr>
      <w:bookmarkStart w:id="325" w:name="_Toc25034"/>
      <w:bookmarkStart w:id="326" w:name="_Toc11081"/>
      <w:bookmarkStart w:id="327" w:name="_Toc27475"/>
      <w:bookmarkStart w:id="328" w:name="_Toc7199"/>
      <w:r>
        <w:rPr>
          <w:rFonts w:hint="eastAsia" w:eastAsia="宋体"/>
          <w:b/>
          <w:bCs/>
          <w:szCs w:val="22"/>
          <w:highlight w:val="none"/>
        </w:rPr>
        <w:t>8</w:t>
      </w:r>
      <w:r>
        <w:rPr>
          <w:rFonts w:eastAsia="宋体"/>
          <w:b/>
          <w:bCs/>
          <w:szCs w:val="22"/>
          <w:highlight w:val="none"/>
        </w:rPr>
        <w:t>.2社会效益分析</w:t>
      </w:r>
      <w:bookmarkEnd w:id="323"/>
      <w:bookmarkEnd w:id="324"/>
      <w:bookmarkEnd w:id="325"/>
      <w:bookmarkEnd w:id="326"/>
      <w:bookmarkEnd w:id="327"/>
      <w:bookmarkEnd w:id="328"/>
    </w:p>
    <w:p>
      <w:pPr>
        <w:spacing w:line="480" w:lineRule="exact"/>
        <w:ind w:firstLine="480" w:firstLineChars="200"/>
        <w:rPr>
          <w:kern w:val="0"/>
          <w:sz w:val="24"/>
          <w:highlight w:val="none"/>
        </w:rPr>
      </w:pPr>
      <w:bookmarkStart w:id="329" w:name="_Toc301852829"/>
      <w:bookmarkStart w:id="330" w:name="_Toc25724"/>
      <w:bookmarkStart w:id="331" w:name="_Toc282122993"/>
      <w:r>
        <w:rPr>
          <w:kern w:val="0"/>
          <w:sz w:val="24"/>
          <w:highlight w:val="none"/>
        </w:rPr>
        <w:t>该工程的社会效益主要表现在：</w:t>
      </w:r>
    </w:p>
    <w:p>
      <w:pPr>
        <w:spacing w:line="480" w:lineRule="exact"/>
        <w:ind w:firstLine="480" w:firstLineChars="200"/>
        <w:rPr>
          <w:kern w:val="0"/>
          <w:sz w:val="24"/>
          <w:highlight w:val="none"/>
        </w:rPr>
      </w:pPr>
      <w:r>
        <w:rPr>
          <w:kern w:val="0"/>
          <w:sz w:val="24"/>
          <w:highlight w:val="none"/>
        </w:rPr>
        <w:t>工程建成后，在企业获得良好经济效益的同时，可带动相关产业的发展，为繁荣当地经济、增加当地财政收入作出积极贡献。</w:t>
      </w:r>
    </w:p>
    <w:p>
      <w:pPr>
        <w:pStyle w:val="7"/>
        <w:spacing w:line="480" w:lineRule="exact"/>
        <w:ind w:firstLine="480" w:firstLineChars="200"/>
        <w:rPr>
          <w:kern w:val="0"/>
          <w:sz w:val="24"/>
          <w:highlight w:val="none"/>
        </w:rPr>
      </w:pPr>
      <w:r>
        <w:rPr>
          <w:sz w:val="24"/>
          <w:highlight w:val="none"/>
        </w:rPr>
        <w:t>运营期电站建成运行后，每年可向社会</w:t>
      </w:r>
      <w:r>
        <w:rPr>
          <w:kern w:val="0"/>
          <w:sz w:val="24"/>
          <w:szCs w:val="24"/>
          <w:highlight w:val="none"/>
        </w:rPr>
        <w:t>提供</w:t>
      </w:r>
      <w:r>
        <w:rPr>
          <w:rFonts w:hint="eastAsia"/>
          <w:sz w:val="24"/>
          <w:highlight w:val="none"/>
          <w:lang w:val="en-US" w:eastAsia="zh-CN"/>
        </w:rPr>
        <w:t>1464</w:t>
      </w:r>
      <w:r>
        <w:rPr>
          <w:kern w:val="0"/>
          <w:sz w:val="24"/>
          <w:szCs w:val="24"/>
          <w:highlight w:val="none"/>
        </w:rPr>
        <w:t>万k</w:t>
      </w:r>
      <w:r>
        <w:rPr>
          <w:rFonts w:hint="eastAsia"/>
          <w:kern w:val="0"/>
          <w:sz w:val="24"/>
          <w:szCs w:val="24"/>
          <w:highlight w:val="none"/>
        </w:rPr>
        <w:t>w</w:t>
      </w:r>
      <w:r>
        <w:rPr>
          <w:kern w:val="0"/>
          <w:sz w:val="24"/>
          <w:szCs w:val="24"/>
          <w:highlight w:val="none"/>
        </w:rPr>
        <w:t>.h的清洁电能，使水能资源优势转化为能源优势，在向社会提供清洁</w:t>
      </w:r>
      <w:r>
        <w:rPr>
          <w:sz w:val="24"/>
          <w:highlight w:val="none"/>
        </w:rPr>
        <w:t>电能的同时，增加地方财政税收，对促进区域社会经济发展发挥重要作用。</w:t>
      </w:r>
    </w:p>
    <w:p>
      <w:pPr>
        <w:pStyle w:val="3"/>
        <w:spacing w:beforeLines="0" w:line="480" w:lineRule="exact"/>
        <w:rPr>
          <w:rFonts w:eastAsia="宋体"/>
          <w:b/>
          <w:bCs/>
          <w:szCs w:val="22"/>
          <w:highlight w:val="none"/>
        </w:rPr>
      </w:pPr>
      <w:bookmarkStart w:id="332" w:name="_Toc8802"/>
      <w:bookmarkStart w:id="333" w:name="_Toc25297"/>
      <w:bookmarkStart w:id="334" w:name="_Toc4166"/>
      <w:r>
        <w:rPr>
          <w:rFonts w:hint="eastAsia" w:eastAsia="宋体"/>
          <w:b/>
          <w:bCs/>
          <w:szCs w:val="22"/>
          <w:highlight w:val="none"/>
        </w:rPr>
        <w:t>8</w:t>
      </w:r>
      <w:r>
        <w:rPr>
          <w:rFonts w:eastAsia="宋体"/>
          <w:b/>
          <w:bCs/>
          <w:szCs w:val="22"/>
          <w:highlight w:val="none"/>
        </w:rPr>
        <w:t>.3 环境经济损益分析</w:t>
      </w:r>
      <w:bookmarkEnd w:id="329"/>
      <w:bookmarkEnd w:id="330"/>
      <w:bookmarkEnd w:id="331"/>
      <w:bookmarkEnd w:id="332"/>
      <w:bookmarkEnd w:id="333"/>
      <w:bookmarkEnd w:id="334"/>
    </w:p>
    <w:p>
      <w:pPr>
        <w:spacing w:line="480" w:lineRule="exact"/>
        <w:ind w:firstLine="480" w:firstLineChars="200"/>
        <w:rPr>
          <w:sz w:val="24"/>
          <w:highlight w:val="none"/>
        </w:rPr>
      </w:pPr>
      <w:r>
        <w:rPr>
          <w:rFonts w:hint="eastAsia"/>
          <w:sz w:val="24"/>
          <w:highlight w:val="none"/>
        </w:rPr>
        <w:t>（1）环保投资</w:t>
      </w:r>
    </w:p>
    <w:p>
      <w:pPr>
        <w:spacing w:line="480" w:lineRule="exact"/>
        <w:ind w:firstLine="480" w:firstLineChars="200"/>
        <w:rPr>
          <w:sz w:val="24"/>
          <w:highlight w:val="none"/>
        </w:rPr>
      </w:pPr>
      <w:r>
        <w:rPr>
          <w:rFonts w:hint="eastAsia"/>
          <w:sz w:val="24"/>
          <w:highlight w:val="none"/>
        </w:rPr>
        <w:t>《建设项目环境保护设计规定》规定：“凡属于污染治理和保护环境所需的装置、设备、监测手段和工程设施等属于环境保护设施”，“凡有环境保护设施的建设项目均应列入环境保护设施的投资概算”。根据工程分析和环境影响预测可知，项目建成投产后，产生的废气、废水、噪声、废渣等将对周围环境造成一定的影响，因此必须投入一定的资金，采取相应的污染治理措施，使工程对环境的影响降到最小程度。经估算，项目总投资为</w:t>
      </w:r>
      <w:r>
        <w:rPr>
          <w:rFonts w:hint="eastAsia"/>
          <w:sz w:val="24"/>
          <w:highlight w:val="none"/>
          <w:lang w:val="en-US" w:eastAsia="zh-CN"/>
        </w:rPr>
        <w:t>3613</w:t>
      </w:r>
      <w:r>
        <w:rPr>
          <w:rFonts w:hint="eastAsia"/>
          <w:sz w:val="24"/>
          <w:highlight w:val="none"/>
        </w:rPr>
        <w:t>万元，本工程环保总投资为79.5万元（其中已投资6</w:t>
      </w:r>
      <w:r>
        <w:rPr>
          <w:rFonts w:hint="eastAsia"/>
          <w:sz w:val="24"/>
          <w:highlight w:val="none"/>
          <w:lang w:val="en-US" w:eastAsia="zh-CN"/>
        </w:rPr>
        <w:t>9</w:t>
      </w:r>
      <w:r>
        <w:rPr>
          <w:rFonts w:hint="eastAsia"/>
          <w:sz w:val="24"/>
          <w:highlight w:val="none"/>
        </w:rPr>
        <w:t>.5万元，新增投资1</w:t>
      </w:r>
      <w:r>
        <w:rPr>
          <w:rFonts w:hint="eastAsia"/>
          <w:sz w:val="24"/>
          <w:highlight w:val="none"/>
          <w:lang w:val="en-US" w:eastAsia="zh-CN"/>
        </w:rPr>
        <w:t>0</w:t>
      </w:r>
      <w:r>
        <w:rPr>
          <w:rFonts w:hint="eastAsia"/>
          <w:sz w:val="24"/>
          <w:highlight w:val="none"/>
        </w:rPr>
        <w:t xml:space="preserve">万元），占工程总投资的 </w:t>
      </w:r>
      <w:r>
        <w:rPr>
          <w:rFonts w:hint="eastAsia"/>
          <w:sz w:val="24"/>
          <w:highlight w:val="none"/>
          <w:lang w:val="en-US" w:eastAsia="zh-CN"/>
        </w:rPr>
        <w:t>2.20</w:t>
      </w:r>
      <w:r>
        <w:rPr>
          <w:rFonts w:hint="eastAsia"/>
          <w:sz w:val="24"/>
          <w:highlight w:val="none"/>
        </w:rPr>
        <w:t>%。建设工程环保投资估算情况如下表。</w:t>
      </w:r>
    </w:p>
    <w:p>
      <w:pPr>
        <w:spacing w:line="480" w:lineRule="exact"/>
        <w:jc w:val="center"/>
        <w:rPr>
          <w:b/>
          <w:bCs/>
          <w:sz w:val="24"/>
          <w:highlight w:val="none"/>
        </w:rPr>
      </w:pPr>
      <w:r>
        <w:rPr>
          <w:rFonts w:hint="eastAsia"/>
          <w:b/>
          <w:bCs/>
          <w:sz w:val="24"/>
          <w:highlight w:val="none"/>
        </w:rPr>
        <w:t>表 8.3-1   环保投资估算一览表</w:t>
      </w:r>
    </w:p>
    <w:tbl>
      <w:tblPr>
        <w:tblStyle w:val="51"/>
        <w:tblW w:w="8430" w:type="dxa"/>
        <w:jc w:val="center"/>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
      <w:tblGrid>
        <w:gridCol w:w="1017"/>
        <w:gridCol w:w="855"/>
        <w:gridCol w:w="1155"/>
        <w:gridCol w:w="2943"/>
        <w:gridCol w:w="1467"/>
        <w:gridCol w:w="993"/>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17" w:hRule="atLeast"/>
          <w:jc w:val="center"/>
        </w:trPr>
        <w:tc>
          <w:tcPr>
            <w:tcW w:w="1017" w:type="dxa"/>
            <w:vAlign w:val="center"/>
          </w:tcPr>
          <w:p>
            <w:pPr>
              <w:spacing w:line="300" w:lineRule="exact"/>
              <w:jc w:val="center"/>
              <w:rPr>
                <w:caps/>
                <w:highlight w:val="none"/>
              </w:rPr>
            </w:pPr>
            <w:r>
              <w:rPr>
                <w:caps/>
                <w:highlight w:val="none"/>
              </w:rPr>
              <w:t>序号</w:t>
            </w:r>
          </w:p>
        </w:tc>
        <w:tc>
          <w:tcPr>
            <w:tcW w:w="855" w:type="dxa"/>
            <w:vAlign w:val="center"/>
          </w:tcPr>
          <w:p>
            <w:pPr>
              <w:spacing w:line="300" w:lineRule="exact"/>
              <w:jc w:val="center"/>
              <w:rPr>
                <w:caps/>
                <w:highlight w:val="none"/>
              </w:rPr>
            </w:pPr>
            <w:r>
              <w:rPr>
                <w:rFonts w:hint="eastAsia"/>
                <w:caps/>
                <w:highlight w:val="none"/>
              </w:rPr>
              <w:t>时期</w:t>
            </w:r>
          </w:p>
        </w:tc>
        <w:tc>
          <w:tcPr>
            <w:tcW w:w="1155" w:type="dxa"/>
            <w:vAlign w:val="center"/>
          </w:tcPr>
          <w:p>
            <w:pPr>
              <w:spacing w:line="300" w:lineRule="exact"/>
              <w:jc w:val="center"/>
              <w:rPr>
                <w:caps/>
                <w:highlight w:val="none"/>
              </w:rPr>
            </w:pPr>
            <w:r>
              <w:rPr>
                <w:rFonts w:hint="eastAsia"/>
                <w:caps/>
                <w:highlight w:val="none"/>
              </w:rPr>
              <w:t>污染类型</w:t>
            </w:r>
          </w:p>
        </w:tc>
        <w:tc>
          <w:tcPr>
            <w:tcW w:w="2943" w:type="dxa"/>
            <w:vAlign w:val="center"/>
          </w:tcPr>
          <w:p>
            <w:pPr>
              <w:spacing w:line="300" w:lineRule="exact"/>
              <w:jc w:val="center"/>
              <w:rPr>
                <w:caps/>
                <w:highlight w:val="none"/>
              </w:rPr>
            </w:pPr>
            <w:r>
              <w:rPr>
                <w:rFonts w:hint="eastAsia"/>
                <w:caps/>
                <w:highlight w:val="none"/>
              </w:rPr>
              <w:t>防治措施</w:t>
            </w:r>
          </w:p>
        </w:tc>
        <w:tc>
          <w:tcPr>
            <w:tcW w:w="1467" w:type="dxa"/>
            <w:vAlign w:val="center"/>
          </w:tcPr>
          <w:p>
            <w:pPr>
              <w:spacing w:line="300" w:lineRule="exact"/>
              <w:jc w:val="center"/>
              <w:rPr>
                <w:caps/>
                <w:highlight w:val="none"/>
              </w:rPr>
            </w:pPr>
            <w:r>
              <w:rPr>
                <w:caps/>
                <w:highlight w:val="none"/>
              </w:rPr>
              <w:t>投资（万元）</w:t>
            </w:r>
          </w:p>
        </w:tc>
        <w:tc>
          <w:tcPr>
            <w:tcW w:w="993" w:type="dxa"/>
            <w:vAlign w:val="center"/>
          </w:tcPr>
          <w:p>
            <w:pPr>
              <w:spacing w:line="300" w:lineRule="exact"/>
              <w:jc w:val="center"/>
              <w:rPr>
                <w:caps/>
                <w:highlight w:val="none"/>
              </w:rPr>
            </w:pPr>
            <w:r>
              <w:rPr>
                <w:rFonts w:hint="eastAsia"/>
                <w:caps/>
                <w:highlight w:val="none"/>
              </w:rPr>
              <w:t>备注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17" w:hRule="atLeast"/>
          <w:jc w:val="center"/>
        </w:trPr>
        <w:tc>
          <w:tcPr>
            <w:tcW w:w="1017" w:type="dxa"/>
            <w:vAlign w:val="center"/>
          </w:tcPr>
          <w:p>
            <w:pPr>
              <w:spacing w:line="300" w:lineRule="exact"/>
              <w:jc w:val="center"/>
              <w:rPr>
                <w:highlight w:val="none"/>
              </w:rPr>
            </w:pPr>
            <w:r>
              <w:rPr>
                <w:highlight w:val="none"/>
              </w:rPr>
              <w:t>1</w:t>
            </w:r>
          </w:p>
        </w:tc>
        <w:tc>
          <w:tcPr>
            <w:tcW w:w="855" w:type="dxa"/>
            <w:vMerge w:val="restart"/>
            <w:vAlign w:val="center"/>
          </w:tcPr>
          <w:p>
            <w:pPr>
              <w:spacing w:line="300" w:lineRule="exact"/>
              <w:jc w:val="center"/>
              <w:rPr>
                <w:highlight w:val="none"/>
              </w:rPr>
            </w:pPr>
            <w:r>
              <w:rPr>
                <w:rFonts w:hint="eastAsia"/>
                <w:highlight w:val="none"/>
              </w:rPr>
              <w:t>施工期</w:t>
            </w:r>
          </w:p>
        </w:tc>
        <w:tc>
          <w:tcPr>
            <w:tcW w:w="1155" w:type="dxa"/>
            <w:vAlign w:val="center"/>
          </w:tcPr>
          <w:p>
            <w:pPr>
              <w:spacing w:line="300" w:lineRule="exact"/>
              <w:jc w:val="center"/>
              <w:rPr>
                <w:highlight w:val="none"/>
              </w:rPr>
            </w:pPr>
            <w:r>
              <w:rPr>
                <w:rFonts w:hint="eastAsia"/>
                <w:highlight w:val="none"/>
              </w:rPr>
              <w:t>废水</w:t>
            </w:r>
          </w:p>
        </w:tc>
        <w:tc>
          <w:tcPr>
            <w:tcW w:w="2943" w:type="dxa"/>
            <w:vAlign w:val="center"/>
          </w:tcPr>
          <w:p>
            <w:pPr>
              <w:spacing w:line="300" w:lineRule="exact"/>
              <w:jc w:val="center"/>
              <w:rPr>
                <w:caps/>
                <w:highlight w:val="none"/>
              </w:rPr>
            </w:pPr>
            <w:r>
              <w:rPr>
                <w:rFonts w:hint="eastAsia"/>
                <w:caps/>
                <w:highlight w:val="none"/>
              </w:rPr>
              <w:t>生活污水不外排</w:t>
            </w:r>
          </w:p>
        </w:tc>
        <w:tc>
          <w:tcPr>
            <w:tcW w:w="1467" w:type="dxa"/>
            <w:vAlign w:val="center"/>
          </w:tcPr>
          <w:p>
            <w:pPr>
              <w:spacing w:line="300" w:lineRule="exact"/>
              <w:jc w:val="center"/>
              <w:rPr>
                <w:caps/>
                <w:highlight w:val="none"/>
              </w:rPr>
            </w:pPr>
            <w:r>
              <w:rPr>
                <w:rFonts w:hint="eastAsia"/>
                <w:caps/>
                <w:highlight w:val="none"/>
              </w:rPr>
              <w:t>0.5</w:t>
            </w:r>
          </w:p>
        </w:tc>
        <w:tc>
          <w:tcPr>
            <w:tcW w:w="993" w:type="dxa"/>
            <w:vAlign w:val="center"/>
          </w:tcPr>
          <w:p>
            <w:pPr>
              <w:spacing w:line="300" w:lineRule="exact"/>
              <w:jc w:val="center"/>
              <w:rPr>
                <w:caps/>
                <w:highlight w:val="none"/>
              </w:rPr>
            </w:pPr>
            <w:r>
              <w:rPr>
                <w:rFonts w:hint="eastAsia"/>
                <w:caps/>
                <w:highlight w:val="none"/>
              </w:rPr>
              <w:t>已投</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03" w:hRule="atLeast"/>
          <w:jc w:val="center"/>
        </w:trPr>
        <w:tc>
          <w:tcPr>
            <w:tcW w:w="1017" w:type="dxa"/>
            <w:vAlign w:val="center"/>
          </w:tcPr>
          <w:p>
            <w:pPr>
              <w:spacing w:line="300" w:lineRule="exact"/>
              <w:jc w:val="center"/>
              <w:rPr>
                <w:highlight w:val="none"/>
              </w:rPr>
            </w:pPr>
            <w:r>
              <w:rPr>
                <w:highlight w:val="none"/>
              </w:rPr>
              <w:t>2</w:t>
            </w:r>
          </w:p>
        </w:tc>
        <w:tc>
          <w:tcPr>
            <w:tcW w:w="855" w:type="dxa"/>
            <w:vMerge w:val="continue"/>
            <w:vAlign w:val="center"/>
          </w:tcPr>
          <w:p>
            <w:pPr>
              <w:spacing w:line="300" w:lineRule="exact"/>
              <w:jc w:val="center"/>
              <w:rPr>
                <w:highlight w:val="none"/>
              </w:rPr>
            </w:pPr>
          </w:p>
        </w:tc>
        <w:tc>
          <w:tcPr>
            <w:tcW w:w="1155" w:type="dxa"/>
            <w:vAlign w:val="center"/>
          </w:tcPr>
          <w:p>
            <w:pPr>
              <w:spacing w:line="300" w:lineRule="exact"/>
              <w:jc w:val="center"/>
              <w:rPr>
                <w:highlight w:val="none"/>
              </w:rPr>
            </w:pPr>
            <w:r>
              <w:rPr>
                <w:rFonts w:hint="eastAsia"/>
                <w:highlight w:val="none"/>
              </w:rPr>
              <w:t>废气</w:t>
            </w:r>
          </w:p>
        </w:tc>
        <w:tc>
          <w:tcPr>
            <w:tcW w:w="2943" w:type="dxa"/>
            <w:vAlign w:val="center"/>
          </w:tcPr>
          <w:p>
            <w:pPr>
              <w:spacing w:line="300" w:lineRule="exact"/>
              <w:jc w:val="center"/>
              <w:rPr>
                <w:highlight w:val="none"/>
              </w:rPr>
            </w:pPr>
            <w:r>
              <w:rPr>
                <w:rFonts w:hint="eastAsia"/>
                <w:highlight w:val="none"/>
              </w:rPr>
              <w:t>电站工地设置围挡、运输车辆冲洗、洒水抑尘</w:t>
            </w:r>
          </w:p>
        </w:tc>
        <w:tc>
          <w:tcPr>
            <w:tcW w:w="1467" w:type="dxa"/>
            <w:vAlign w:val="center"/>
          </w:tcPr>
          <w:p>
            <w:pPr>
              <w:spacing w:line="300" w:lineRule="exact"/>
              <w:jc w:val="center"/>
              <w:rPr>
                <w:highlight w:val="none"/>
              </w:rPr>
            </w:pPr>
            <w:r>
              <w:rPr>
                <w:rFonts w:hint="eastAsia"/>
                <w:highlight w:val="none"/>
              </w:rPr>
              <w:t>3</w:t>
            </w:r>
          </w:p>
        </w:tc>
        <w:tc>
          <w:tcPr>
            <w:tcW w:w="993" w:type="dxa"/>
            <w:vAlign w:val="center"/>
          </w:tcPr>
          <w:p>
            <w:pPr>
              <w:spacing w:line="300" w:lineRule="exact"/>
              <w:jc w:val="center"/>
              <w:rPr>
                <w:highlight w:val="none"/>
              </w:rPr>
            </w:pPr>
            <w:r>
              <w:rPr>
                <w:rFonts w:hint="eastAsia"/>
                <w:highlight w:val="none"/>
              </w:rPr>
              <w:t>已投</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03" w:hRule="atLeast"/>
          <w:jc w:val="center"/>
        </w:trPr>
        <w:tc>
          <w:tcPr>
            <w:tcW w:w="1017" w:type="dxa"/>
            <w:vAlign w:val="center"/>
          </w:tcPr>
          <w:p>
            <w:pPr>
              <w:spacing w:line="300" w:lineRule="exact"/>
              <w:jc w:val="center"/>
              <w:rPr>
                <w:highlight w:val="none"/>
              </w:rPr>
            </w:pPr>
            <w:r>
              <w:rPr>
                <w:highlight w:val="none"/>
              </w:rPr>
              <w:t>3</w:t>
            </w:r>
          </w:p>
        </w:tc>
        <w:tc>
          <w:tcPr>
            <w:tcW w:w="855" w:type="dxa"/>
            <w:vMerge w:val="continue"/>
            <w:vAlign w:val="center"/>
          </w:tcPr>
          <w:p>
            <w:pPr>
              <w:spacing w:line="300" w:lineRule="exact"/>
              <w:jc w:val="center"/>
              <w:rPr>
                <w:highlight w:val="none"/>
              </w:rPr>
            </w:pPr>
          </w:p>
        </w:tc>
        <w:tc>
          <w:tcPr>
            <w:tcW w:w="1155" w:type="dxa"/>
            <w:vAlign w:val="center"/>
          </w:tcPr>
          <w:p>
            <w:pPr>
              <w:spacing w:line="300" w:lineRule="exact"/>
              <w:jc w:val="center"/>
              <w:rPr>
                <w:highlight w:val="none"/>
              </w:rPr>
            </w:pPr>
            <w:r>
              <w:rPr>
                <w:rFonts w:hint="eastAsia"/>
                <w:highlight w:val="none"/>
              </w:rPr>
              <w:t>噪声</w:t>
            </w:r>
          </w:p>
        </w:tc>
        <w:tc>
          <w:tcPr>
            <w:tcW w:w="2943" w:type="dxa"/>
            <w:vAlign w:val="center"/>
          </w:tcPr>
          <w:p>
            <w:pPr>
              <w:spacing w:line="300" w:lineRule="exact"/>
              <w:jc w:val="center"/>
              <w:rPr>
                <w:highlight w:val="none"/>
              </w:rPr>
            </w:pPr>
            <w:r>
              <w:rPr>
                <w:rFonts w:hint="eastAsia"/>
                <w:highlight w:val="none"/>
              </w:rPr>
              <w:t>采用低噪声设备、高噪声设备隔声降噪等</w:t>
            </w:r>
          </w:p>
        </w:tc>
        <w:tc>
          <w:tcPr>
            <w:tcW w:w="1467" w:type="dxa"/>
            <w:vAlign w:val="center"/>
          </w:tcPr>
          <w:p>
            <w:pPr>
              <w:spacing w:line="300" w:lineRule="exact"/>
              <w:jc w:val="center"/>
              <w:rPr>
                <w:highlight w:val="none"/>
              </w:rPr>
            </w:pPr>
            <w:r>
              <w:rPr>
                <w:rFonts w:hint="eastAsia"/>
                <w:highlight w:val="none"/>
              </w:rPr>
              <w:t>1</w:t>
            </w:r>
          </w:p>
        </w:tc>
        <w:tc>
          <w:tcPr>
            <w:tcW w:w="993" w:type="dxa"/>
            <w:vAlign w:val="center"/>
          </w:tcPr>
          <w:p>
            <w:pPr>
              <w:spacing w:line="300" w:lineRule="exact"/>
              <w:jc w:val="center"/>
              <w:rPr>
                <w:highlight w:val="none"/>
              </w:rPr>
            </w:pPr>
            <w:r>
              <w:rPr>
                <w:rFonts w:hint="eastAsia"/>
                <w:highlight w:val="none"/>
              </w:rPr>
              <w:t>已投</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03" w:hRule="atLeast"/>
          <w:jc w:val="center"/>
        </w:trPr>
        <w:tc>
          <w:tcPr>
            <w:tcW w:w="1017" w:type="dxa"/>
            <w:vMerge w:val="restart"/>
            <w:vAlign w:val="center"/>
          </w:tcPr>
          <w:p>
            <w:pPr>
              <w:spacing w:line="300" w:lineRule="exact"/>
              <w:jc w:val="center"/>
              <w:rPr>
                <w:highlight w:val="none"/>
              </w:rPr>
            </w:pPr>
            <w:r>
              <w:rPr>
                <w:highlight w:val="none"/>
              </w:rPr>
              <w:t>4</w:t>
            </w:r>
          </w:p>
        </w:tc>
        <w:tc>
          <w:tcPr>
            <w:tcW w:w="855" w:type="dxa"/>
            <w:vMerge w:val="continue"/>
            <w:vAlign w:val="center"/>
          </w:tcPr>
          <w:p>
            <w:pPr>
              <w:spacing w:line="300" w:lineRule="exact"/>
              <w:jc w:val="center"/>
              <w:rPr>
                <w:highlight w:val="none"/>
              </w:rPr>
            </w:pPr>
          </w:p>
        </w:tc>
        <w:tc>
          <w:tcPr>
            <w:tcW w:w="1155" w:type="dxa"/>
            <w:vMerge w:val="restart"/>
            <w:vAlign w:val="center"/>
          </w:tcPr>
          <w:p>
            <w:pPr>
              <w:spacing w:line="300" w:lineRule="exact"/>
              <w:jc w:val="center"/>
              <w:rPr>
                <w:highlight w:val="none"/>
              </w:rPr>
            </w:pPr>
            <w:r>
              <w:rPr>
                <w:rFonts w:hint="eastAsia"/>
                <w:highlight w:val="none"/>
              </w:rPr>
              <w:t>固废</w:t>
            </w:r>
          </w:p>
        </w:tc>
        <w:tc>
          <w:tcPr>
            <w:tcW w:w="2943" w:type="dxa"/>
            <w:vAlign w:val="center"/>
          </w:tcPr>
          <w:p>
            <w:pPr>
              <w:spacing w:line="300" w:lineRule="exact"/>
              <w:jc w:val="center"/>
              <w:rPr>
                <w:highlight w:val="none"/>
              </w:rPr>
            </w:pPr>
            <w:r>
              <w:rPr>
                <w:rFonts w:hint="eastAsia"/>
                <w:highlight w:val="none"/>
              </w:rPr>
              <w:t>生活垃圾收集与清运</w:t>
            </w:r>
          </w:p>
        </w:tc>
        <w:tc>
          <w:tcPr>
            <w:tcW w:w="1467" w:type="dxa"/>
            <w:vAlign w:val="center"/>
          </w:tcPr>
          <w:p>
            <w:pPr>
              <w:spacing w:line="300" w:lineRule="exact"/>
              <w:jc w:val="center"/>
              <w:rPr>
                <w:highlight w:val="none"/>
              </w:rPr>
            </w:pPr>
            <w:r>
              <w:rPr>
                <w:rFonts w:hint="eastAsia"/>
                <w:highlight w:val="none"/>
              </w:rPr>
              <w:t>0.5</w:t>
            </w:r>
          </w:p>
        </w:tc>
        <w:tc>
          <w:tcPr>
            <w:tcW w:w="993" w:type="dxa"/>
            <w:vAlign w:val="center"/>
          </w:tcPr>
          <w:p>
            <w:pPr>
              <w:spacing w:line="300" w:lineRule="exact"/>
              <w:jc w:val="center"/>
              <w:rPr>
                <w:highlight w:val="none"/>
              </w:rPr>
            </w:pPr>
            <w:r>
              <w:rPr>
                <w:rFonts w:hint="eastAsia"/>
                <w:highlight w:val="none"/>
              </w:rPr>
              <w:t>已投</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03" w:hRule="atLeast"/>
          <w:jc w:val="center"/>
        </w:trPr>
        <w:tc>
          <w:tcPr>
            <w:tcW w:w="1017" w:type="dxa"/>
            <w:vMerge w:val="continue"/>
            <w:vAlign w:val="center"/>
          </w:tcPr>
          <w:p>
            <w:pPr>
              <w:spacing w:line="300" w:lineRule="exact"/>
              <w:jc w:val="center"/>
              <w:rPr>
                <w:highlight w:val="none"/>
              </w:rPr>
            </w:pPr>
          </w:p>
        </w:tc>
        <w:tc>
          <w:tcPr>
            <w:tcW w:w="855" w:type="dxa"/>
            <w:vMerge w:val="continue"/>
            <w:vAlign w:val="center"/>
          </w:tcPr>
          <w:p>
            <w:pPr>
              <w:spacing w:line="300" w:lineRule="exact"/>
              <w:jc w:val="center"/>
              <w:rPr>
                <w:highlight w:val="none"/>
              </w:rPr>
            </w:pPr>
          </w:p>
        </w:tc>
        <w:tc>
          <w:tcPr>
            <w:tcW w:w="1155" w:type="dxa"/>
            <w:vMerge w:val="continue"/>
            <w:vAlign w:val="center"/>
          </w:tcPr>
          <w:p>
            <w:pPr>
              <w:spacing w:line="300" w:lineRule="exact"/>
              <w:jc w:val="center"/>
              <w:rPr>
                <w:highlight w:val="none"/>
              </w:rPr>
            </w:pPr>
          </w:p>
        </w:tc>
        <w:tc>
          <w:tcPr>
            <w:tcW w:w="2943" w:type="dxa"/>
            <w:vAlign w:val="center"/>
          </w:tcPr>
          <w:p>
            <w:pPr>
              <w:spacing w:line="300" w:lineRule="exact"/>
              <w:jc w:val="center"/>
              <w:rPr>
                <w:highlight w:val="none"/>
              </w:rPr>
            </w:pPr>
            <w:r>
              <w:rPr>
                <w:rFonts w:hint="eastAsia"/>
                <w:highlight w:val="none"/>
              </w:rPr>
              <w:t>建筑垃圾运送到指定场所</w:t>
            </w:r>
          </w:p>
        </w:tc>
        <w:tc>
          <w:tcPr>
            <w:tcW w:w="1467" w:type="dxa"/>
            <w:vAlign w:val="center"/>
          </w:tcPr>
          <w:p>
            <w:pPr>
              <w:spacing w:line="300" w:lineRule="exact"/>
              <w:jc w:val="center"/>
              <w:rPr>
                <w:highlight w:val="none"/>
              </w:rPr>
            </w:pPr>
            <w:r>
              <w:rPr>
                <w:rFonts w:hint="eastAsia"/>
                <w:highlight w:val="none"/>
              </w:rPr>
              <w:t>3</w:t>
            </w:r>
          </w:p>
        </w:tc>
        <w:tc>
          <w:tcPr>
            <w:tcW w:w="993" w:type="dxa"/>
            <w:vAlign w:val="center"/>
          </w:tcPr>
          <w:p>
            <w:pPr>
              <w:spacing w:line="300" w:lineRule="exact"/>
              <w:jc w:val="center"/>
              <w:rPr>
                <w:highlight w:val="none"/>
              </w:rPr>
            </w:pPr>
            <w:r>
              <w:rPr>
                <w:rFonts w:hint="eastAsia"/>
                <w:highlight w:val="none"/>
              </w:rPr>
              <w:t>已投</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03" w:hRule="atLeast"/>
          <w:jc w:val="center"/>
        </w:trPr>
        <w:tc>
          <w:tcPr>
            <w:tcW w:w="1017" w:type="dxa"/>
            <w:vAlign w:val="center"/>
          </w:tcPr>
          <w:p>
            <w:pPr>
              <w:spacing w:line="300" w:lineRule="exact"/>
              <w:jc w:val="center"/>
              <w:rPr>
                <w:highlight w:val="none"/>
              </w:rPr>
            </w:pPr>
            <w:r>
              <w:rPr>
                <w:highlight w:val="none"/>
              </w:rPr>
              <w:t>5</w:t>
            </w:r>
          </w:p>
        </w:tc>
        <w:tc>
          <w:tcPr>
            <w:tcW w:w="855" w:type="dxa"/>
            <w:vMerge w:val="continue"/>
            <w:vAlign w:val="center"/>
          </w:tcPr>
          <w:p>
            <w:pPr>
              <w:spacing w:line="300" w:lineRule="exact"/>
              <w:jc w:val="center"/>
              <w:rPr>
                <w:highlight w:val="none"/>
              </w:rPr>
            </w:pPr>
          </w:p>
        </w:tc>
        <w:tc>
          <w:tcPr>
            <w:tcW w:w="1155" w:type="dxa"/>
            <w:vAlign w:val="center"/>
          </w:tcPr>
          <w:p>
            <w:pPr>
              <w:spacing w:line="300" w:lineRule="exact"/>
              <w:jc w:val="center"/>
              <w:rPr>
                <w:highlight w:val="none"/>
              </w:rPr>
            </w:pPr>
            <w:r>
              <w:rPr>
                <w:rFonts w:hint="eastAsia"/>
                <w:highlight w:val="none"/>
              </w:rPr>
              <w:t>生态保护</w:t>
            </w:r>
          </w:p>
        </w:tc>
        <w:tc>
          <w:tcPr>
            <w:tcW w:w="2943" w:type="dxa"/>
            <w:vAlign w:val="center"/>
          </w:tcPr>
          <w:p>
            <w:pPr>
              <w:spacing w:line="300" w:lineRule="exact"/>
              <w:jc w:val="center"/>
              <w:rPr>
                <w:highlight w:val="none"/>
              </w:rPr>
            </w:pPr>
            <w:r>
              <w:rPr>
                <w:rFonts w:hint="eastAsia"/>
                <w:highlight w:val="none"/>
              </w:rPr>
              <w:t>绿化</w:t>
            </w:r>
          </w:p>
        </w:tc>
        <w:tc>
          <w:tcPr>
            <w:tcW w:w="1467" w:type="dxa"/>
            <w:vAlign w:val="center"/>
          </w:tcPr>
          <w:p>
            <w:pPr>
              <w:spacing w:line="300" w:lineRule="exact"/>
              <w:jc w:val="center"/>
              <w:rPr>
                <w:highlight w:val="none"/>
              </w:rPr>
            </w:pPr>
            <w:r>
              <w:rPr>
                <w:rFonts w:hint="eastAsia"/>
                <w:highlight w:val="none"/>
              </w:rPr>
              <w:t>1</w:t>
            </w:r>
          </w:p>
        </w:tc>
        <w:tc>
          <w:tcPr>
            <w:tcW w:w="993" w:type="dxa"/>
            <w:vAlign w:val="center"/>
          </w:tcPr>
          <w:p>
            <w:pPr>
              <w:spacing w:line="300" w:lineRule="exact"/>
              <w:jc w:val="center"/>
              <w:rPr>
                <w:highlight w:val="none"/>
              </w:rPr>
            </w:pPr>
            <w:r>
              <w:rPr>
                <w:rFonts w:hint="eastAsia"/>
                <w:highlight w:val="none"/>
              </w:rPr>
              <w:t>已投</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03" w:hRule="atLeast"/>
          <w:jc w:val="center"/>
        </w:trPr>
        <w:tc>
          <w:tcPr>
            <w:tcW w:w="1017" w:type="dxa"/>
            <w:vAlign w:val="center"/>
          </w:tcPr>
          <w:p>
            <w:pPr>
              <w:spacing w:line="300" w:lineRule="exact"/>
              <w:jc w:val="center"/>
              <w:rPr>
                <w:highlight w:val="none"/>
              </w:rPr>
            </w:pPr>
            <w:r>
              <w:rPr>
                <w:highlight w:val="none"/>
              </w:rPr>
              <w:t>6</w:t>
            </w:r>
          </w:p>
        </w:tc>
        <w:tc>
          <w:tcPr>
            <w:tcW w:w="855" w:type="dxa"/>
            <w:vMerge w:val="restart"/>
            <w:vAlign w:val="center"/>
          </w:tcPr>
          <w:p>
            <w:pPr>
              <w:spacing w:line="300" w:lineRule="exact"/>
              <w:jc w:val="center"/>
              <w:rPr>
                <w:highlight w:val="none"/>
              </w:rPr>
            </w:pPr>
            <w:r>
              <w:rPr>
                <w:rFonts w:hint="eastAsia"/>
                <w:highlight w:val="none"/>
              </w:rPr>
              <w:t>运营期</w:t>
            </w:r>
          </w:p>
        </w:tc>
        <w:tc>
          <w:tcPr>
            <w:tcW w:w="1155" w:type="dxa"/>
            <w:vAlign w:val="center"/>
          </w:tcPr>
          <w:p>
            <w:pPr>
              <w:spacing w:line="300" w:lineRule="exact"/>
              <w:jc w:val="center"/>
              <w:rPr>
                <w:highlight w:val="none"/>
              </w:rPr>
            </w:pPr>
            <w:r>
              <w:rPr>
                <w:rFonts w:hint="eastAsia"/>
                <w:highlight w:val="none"/>
              </w:rPr>
              <w:t>防渗</w:t>
            </w:r>
          </w:p>
        </w:tc>
        <w:tc>
          <w:tcPr>
            <w:tcW w:w="2943" w:type="dxa"/>
            <w:vAlign w:val="center"/>
          </w:tcPr>
          <w:p>
            <w:pPr>
              <w:spacing w:line="300" w:lineRule="exact"/>
              <w:jc w:val="center"/>
              <w:rPr>
                <w:highlight w:val="none"/>
              </w:rPr>
            </w:pPr>
          </w:p>
        </w:tc>
        <w:tc>
          <w:tcPr>
            <w:tcW w:w="1467" w:type="dxa"/>
            <w:vAlign w:val="center"/>
          </w:tcPr>
          <w:p>
            <w:pPr>
              <w:spacing w:line="300" w:lineRule="exact"/>
              <w:jc w:val="center"/>
              <w:rPr>
                <w:highlight w:val="none"/>
              </w:rPr>
            </w:pPr>
            <w:r>
              <w:rPr>
                <w:rFonts w:hint="eastAsia"/>
                <w:highlight w:val="none"/>
              </w:rPr>
              <w:t>50</w:t>
            </w:r>
          </w:p>
        </w:tc>
        <w:tc>
          <w:tcPr>
            <w:tcW w:w="993" w:type="dxa"/>
            <w:vAlign w:val="center"/>
          </w:tcPr>
          <w:p>
            <w:pPr>
              <w:spacing w:line="300" w:lineRule="exact"/>
              <w:jc w:val="center"/>
              <w:rPr>
                <w:highlight w:val="none"/>
              </w:rPr>
            </w:pPr>
            <w:r>
              <w:rPr>
                <w:rFonts w:hint="eastAsia"/>
                <w:highlight w:val="none"/>
              </w:rPr>
              <w:t>已投</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03" w:hRule="atLeast"/>
          <w:jc w:val="center"/>
        </w:trPr>
        <w:tc>
          <w:tcPr>
            <w:tcW w:w="1017" w:type="dxa"/>
            <w:vAlign w:val="center"/>
          </w:tcPr>
          <w:p>
            <w:pPr>
              <w:spacing w:line="300" w:lineRule="exact"/>
              <w:jc w:val="center"/>
              <w:rPr>
                <w:highlight w:val="none"/>
              </w:rPr>
            </w:pPr>
            <w:r>
              <w:rPr>
                <w:rFonts w:hint="eastAsia"/>
                <w:highlight w:val="none"/>
              </w:rPr>
              <w:t>7</w:t>
            </w:r>
          </w:p>
        </w:tc>
        <w:tc>
          <w:tcPr>
            <w:tcW w:w="855" w:type="dxa"/>
            <w:vMerge w:val="continue"/>
            <w:vAlign w:val="center"/>
          </w:tcPr>
          <w:p>
            <w:pPr>
              <w:spacing w:line="300" w:lineRule="exact"/>
              <w:jc w:val="center"/>
              <w:rPr>
                <w:highlight w:val="none"/>
              </w:rPr>
            </w:pPr>
          </w:p>
        </w:tc>
        <w:tc>
          <w:tcPr>
            <w:tcW w:w="1155" w:type="dxa"/>
            <w:vAlign w:val="center"/>
          </w:tcPr>
          <w:p>
            <w:pPr>
              <w:spacing w:line="300" w:lineRule="exact"/>
              <w:jc w:val="center"/>
              <w:rPr>
                <w:highlight w:val="none"/>
              </w:rPr>
            </w:pPr>
            <w:r>
              <w:rPr>
                <w:rFonts w:hint="eastAsia"/>
                <w:highlight w:val="none"/>
              </w:rPr>
              <w:t>废气</w:t>
            </w:r>
          </w:p>
        </w:tc>
        <w:tc>
          <w:tcPr>
            <w:tcW w:w="2943" w:type="dxa"/>
            <w:vAlign w:val="center"/>
          </w:tcPr>
          <w:p>
            <w:pPr>
              <w:spacing w:line="300" w:lineRule="exact"/>
              <w:jc w:val="center"/>
              <w:rPr>
                <w:highlight w:val="none"/>
              </w:rPr>
            </w:pPr>
            <w:r>
              <w:rPr>
                <w:rFonts w:hint="eastAsia"/>
                <w:highlight w:val="none"/>
              </w:rPr>
              <w:t>无废气排放</w:t>
            </w:r>
          </w:p>
        </w:tc>
        <w:tc>
          <w:tcPr>
            <w:tcW w:w="1467" w:type="dxa"/>
            <w:vAlign w:val="center"/>
          </w:tcPr>
          <w:p>
            <w:pPr>
              <w:spacing w:line="300" w:lineRule="exact"/>
              <w:jc w:val="center"/>
              <w:rPr>
                <w:highlight w:val="none"/>
              </w:rPr>
            </w:pPr>
            <w:r>
              <w:rPr>
                <w:rFonts w:hint="eastAsia"/>
                <w:highlight w:val="none"/>
              </w:rPr>
              <w:t>/</w:t>
            </w:r>
          </w:p>
        </w:tc>
        <w:tc>
          <w:tcPr>
            <w:tcW w:w="993" w:type="dxa"/>
            <w:vAlign w:val="center"/>
          </w:tcPr>
          <w:p>
            <w:pPr>
              <w:spacing w:line="300" w:lineRule="exact"/>
              <w:jc w:val="center"/>
              <w:rPr>
                <w:highlight w:val="none"/>
              </w:rPr>
            </w:pPr>
            <w:r>
              <w:rPr>
                <w:rFonts w:hint="eastAsia"/>
                <w:highlight w:val="none"/>
              </w:rPr>
              <w:t>/</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31" w:hRule="atLeast"/>
          <w:jc w:val="center"/>
        </w:trPr>
        <w:tc>
          <w:tcPr>
            <w:tcW w:w="1017" w:type="dxa"/>
            <w:vAlign w:val="center"/>
          </w:tcPr>
          <w:p>
            <w:pPr>
              <w:spacing w:line="300" w:lineRule="exact"/>
              <w:jc w:val="center"/>
              <w:rPr>
                <w:highlight w:val="none"/>
              </w:rPr>
            </w:pPr>
            <w:r>
              <w:rPr>
                <w:rFonts w:hint="eastAsia"/>
                <w:highlight w:val="none"/>
              </w:rPr>
              <w:t>8</w:t>
            </w:r>
          </w:p>
        </w:tc>
        <w:tc>
          <w:tcPr>
            <w:tcW w:w="855" w:type="dxa"/>
            <w:vMerge w:val="continue"/>
            <w:vAlign w:val="center"/>
          </w:tcPr>
          <w:p>
            <w:pPr>
              <w:spacing w:line="300" w:lineRule="exact"/>
              <w:jc w:val="center"/>
              <w:rPr>
                <w:highlight w:val="none"/>
              </w:rPr>
            </w:pPr>
          </w:p>
        </w:tc>
        <w:tc>
          <w:tcPr>
            <w:tcW w:w="1155" w:type="dxa"/>
            <w:vAlign w:val="center"/>
          </w:tcPr>
          <w:p>
            <w:pPr>
              <w:spacing w:line="300" w:lineRule="exact"/>
              <w:jc w:val="center"/>
              <w:rPr>
                <w:highlight w:val="none"/>
              </w:rPr>
            </w:pPr>
            <w:r>
              <w:rPr>
                <w:rFonts w:hint="eastAsia"/>
                <w:highlight w:val="none"/>
              </w:rPr>
              <w:t>废水</w:t>
            </w:r>
          </w:p>
        </w:tc>
        <w:tc>
          <w:tcPr>
            <w:tcW w:w="2943" w:type="dxa"/>
            <w:vAlign w:val="center"/>
          </w:tcPr>
          <w:p>
            <w:pPr>
              <w:spacing w:line="300" w:lineRule="exact"/>
              <w:jc w:val="center"/>
              <w:rPr>
                <w:highlight w:val="none"/>
              </w:rPr>
            </w:pPr>
            <w:r>
              <w:rPr>
                <w:rFonts w:hint="eastAsia"/>
                <w:highlight w:val="none"/>
              </w:rPr>
              <w:t>化粪池</w:t>
            </w:r>
          </w:p>
        </w:tc>
        <w:tc>
          <w:tcPr>
            <w:tcW w:w="1467" w:type="dxa"/>
            <w:vAlign w:val="center"/>
          </w:tcPr>
          <w:p>
            <w:pPr>
              <w:spacing w:line="300" w:lineRule="exact"/>
              <w:jc w:val="center"/>
              <w:rPr>
                <w:highlight w:val="none"/>
              </w:rPr>
            </w:pPr>
            <w:r>
              <w:rPr>
                <w:rFonts w:hint="eastAsia"/>
                <w:highlight w:val="none"/>
              </w:rPr>
              <w:t>4</w:t>
            </w:r>
          </w:p>
        </w:tc>
        <w:tc>
          <w:tcPr>
            <w:tcW w:w="993" w:type="dxa"/>
            <w:vAlign w:val="center"/>
          </w:tcPr>
          <w:p>
            <w:pPr>
              <w:spacing w:line="300" w:lineRule="exact"/>
              <w:jc w:val="center"/>
              <w:rPr>
                <w:highlight w:val="none"/>
              </w:rPr>
            </w:pPr>
            <w:r>
              <w:rPr>
                <w:rFonts w:hint="eastAsia"/>
                <w:highlight w:val="none"/>
              </w:rPr>
              <w:t>已投</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31" w:hRule="atLeast"/>
          <w:jc w:val="center"/>
        </w:trPr>
        <w:tc>
          <w:tcPr>
            <w:tcW w:w="1017" w:type="dxa"/>
            <w:vAlign w:val="center"/>
          </w:tcPr>
          <w:p>
            <w:pPr>
              <w:spacing w:line="300" w:lineRule="exact"/>
              <w:jc w:val="center"/>
              <w:rPr>
                <w:highlight w:val="none"/>
              </w:rPr>
            </w:pPr>
            <w:r>
              <w:rPr>
                <w:rFonts w:hint="eastAsia"/>
                <w:highlight w:val="none"/>
              </w:rPr>
              <w:t>9</w:t>
            </w:r>
          </w:p>
        </w:tc>
        <w:tc>
          <w:tcPr>
            <w:tcW w:w="855" w:type="dxa"/>
            <w:vMerge w:val="continue"/>
            <w:vAlign w:val="center"/>
          </w:tcPr>
          <w:p>
            <w:pPr>
              <w:spacing w:line="300" w:lineRule="exact"/>
              <w:jc w:val="center"/>
              <w:rPr>
                <w:highlight w:val="none"/>
              </w:rPr>
            </w:pPr>
          </w:p>
        </w:tc>
        <w:tc>
          <w:tcPr>
            <w:tcW w:w="1155" w:type="dxa"/>
            <w:vAlign w:val="center"/>
          </w:tcPr>
          <w:p>
            <w:pPr>
              <w:spacing w:line="300" w:lineRule="exact"/>
              <w:jc w:val="center"/>
              <w:rPr>
                <w:highlight w:val="none"/>
              </w:rPr>
            </w:pPr>
            <w:r>
              <w:rPr>
                <w:rFonts w:hint="eastAsia"/>
                <w:highlight w:val="none"/>
              </w:rPr>
              <w:t>噪声</w:t>
            </w:r>
          </w:p>
        </w:tc>
        <w:tc>
          <w:tcPr>
            <w:tcW w:w="2943" w:type="dxa"/>
            <w:vAlign w:val="center"/>
          </w:tcPr>
          <w:p>
            <w:pPr>
              <w:spacing w:line="300" w:lineRule="exact"/>
              <w:jc w:val="center"/>
              <w:rPr>
                <w:highlight w:val="none"/>
              </w:rPr>
            </w:pPr>
            <w:r>
              <w:rPr>
                <w:rFonts w:hint="eastAsia"/>
                <w:highlight w:val="none"/>
              </w:rPr>
              <w:t>减震垫、隔声材料</w:t>
            </w:r>
          </w:p>
        </w:tc>
        <w:tc>
          <w:tcPr>
            <w:tcW w:w="1467" w:type="dxa"/>
            <w:vAlign w:val="center"/>
          </w:tcPr>
          <w:p>
            <w:pPr>
              <w:spacing w:line="300" w:lineRule="exact"/>
              <w:jc w:val="center"/>
              <w:rPr>
                <w:highlight w:val="none"/>
              </w:rPr>
            </w:pPr>
            <w:r>
              <w:rPr>
                <w:rFonts w:hint="eastAsia"/>
                <w:highlight w:val="none"/>
              </w:rPr>
              <w:t>3</w:t>
            </w:r>
          </w:p>
        </w:tc>
        <w:tc>
          <w:tcPr>
            <w:tcW w:w="993" w:type="dxa"/>
            <w:vAlign w:val="center"/>
          </w:tcPr>
          <w:p>
            <w:pPr>
              <w:spacing w:line="300" w:lineRule="exact"/>
              <w:jc w:val="center"/>
              <w:rPr>
                <w:highlight w:val="none"/>
              </w:rPr>
            </w:pPr>
            <w:r>
              <w:rPr>
                <w:rFonts w:hint="eastAsia"/>
                <w:highlight w:val="none"/>
              </w:rPr>
              <w:t>已投</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31" w:hRule="atLeast"/>
          <w:jc w:val="center"/>
        </w:trPr>
        <w:tc>
          <w:tcPr>
            <w:tcW w:w="1017" w:type="dxa"/>
            <w:vAlign w:val="center"/>
          </w:tcPr>
          <w:p>
            <w:pPr>
              <w:spacing w:line="300" w:lineRule="exact"/>
              <w:jc w:val="center"/>
              <w:rPr>
                <w:highlight w:val="none"/>
              </w:rPr>
            </w:pPr>
            <w:r>
              <w:rPr>
                <w:rFonts w:hint="eastAsia"/>
                <w:highlight w:val="none"/>
              </w:rPr>
              <w:t>10</w:t>
            </w:r>
          </w:p>
        </w:tc>
        <w:tc>
          <w:tcPr>
            <w:tcW w:w="855" w:type="dxa"/>
            <w:vMerge w:val="continue"/>
            <w:vAlign w:val="center"/>
          </w:tcPr>
          <w:p>
            <w:pPr>
              <w:spacing w:line="300" w:lineRule="exact"/>
              <w:jc w:val="center"/>
              <w:rPr>
                <w:highlight w:val="none"/>
              </w:rPr>
            </w:pPr>
          </w:p>
        </w:tc>
        <w:tc>
          <w:tcPr>
            <w:tcW w:w="1155" w:type="dxa"/>
            <w:vAlign w:val="center"/>
          </w:tcPr>
          <w:p>
            <w:pPr>
              <w:spacing w:line="300" w:lineRule="exact"/>
              <w:jc w:val="center"/>
              <w:rPr>
                <w:highlight w:val="none"/>
              </w:rPr>
            </w:pPr>
            <w:r>
              <w:rPr>
                <w:rFonts w:hint="eastAsia"/>
                <w:highlight w:val="none"/>
              </w:rPr>
              <w:t>固废</w:t>
            </w:r>
          </w:p>
        </w:tc>
        <w:tc>
          <w:tcPr>
            <w:tcW w:w="2943" w:type="dxa"/>
            <w:vAlign w:val="center"/>
          </w:tcPr>
          <w:p>
            <w:pPr>
              <w:spacing w:line="300" w:lineRule="exact"/>
              <w:jc w:val="center"/>
              <w:rPr>
                <w:highlight w:val="none"/>
              </w:rPr>
            </w:pPr>
            <w:r>
              <w:rPr>
                <w:rFonts w:hint="eastAsia"/>
                <w:highlight w:val="none"/>
              </w:rPr>
              <w:t>垃圾箱</w:t>
            </w:r>
          </w:p>
        </w:tc>
        <w:tc>
          <w:tcPr>
            <w:tcW w:w="1467" w:type="dxa"/>
            <w:vAlign w:val="center"/>
          </w:tcPr>
          <w:p>
            <w:pPr>
              <w:spacing w:line="300" w:lineRule="exact"/>
              <w:jc w:val="center"/>
              <w:rPr>
                <w:highlight w:val="none"/>
              </w:rPr>
            </w:pPr>
            <w:r>
              <w:rPr>
                <w:rFonts w:hint="eastAsia"/>
                <w:highlight w:val="none"/>
              </w:rPr>
              <w:t>0.5</w:t>
            </w:r>
          </w:p>
        </w:tc>
        <w:tc>
          <w:tcPr>
            <w:tcW w:w="993" w:type="dxa"/>
            <w:vAlign w:val="center"/>
          </w:tcPr>
          <w:p>
            <w:pPr>
              <w:spacing w:line="300" w:lineRule="exact"/>
              <w:jc w:val="center"/>
              <w:rPr>
                <w:highlight w:val="none"/>
              </w:rPr>
            </w:pPr>
            <w:r>
              <w:rPr>
                <w:rFonts w:hint="eastAsia"/>
                <w:highlight w:val="none"/>
              </w:rPr>
              <w:t>已投</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31" w:hRule="atLeast"/>
          <w:jc w:val="center"/>
        </w:trPr>
        <w:tc>
          <w:tcPr>
            <w:tcW w:w="1017" w:type="dxa"/>
            <w:vAlign w:val="center"/>
          </w:tcPr>
          <w:p>
            <w:pPr>
              <w:spacing w:line="300" w:lineRule="exact"/>
              <w:jc w:val="center"/>
              <w:rPr>
                <w:highlight w:val="none"/>
              </w:rPr>
            </w:pPr>
            <w:r>
              <w:rPr>
                <w:rFonts w:hint="eastAsia"/>
                <w:highlight w:val="none"/>
              </w:rPr>
              <w:t>11</w:t>
            </w:r>
          </w:p>
        </w:tc>
        <w:tc>
          <w:tcPr>
            <w:tcW w:w="855" w:type="dxa"/>
            <w:vMerge w:val="continue"/>
            <w:vAlign w:val="center"/>
          </w:tcPr>
          <w:p>
            <w:pPr>
              <w:spacing w:line="300" w:lineRule="exact"/>
              <w:jc w:val="center"/>
              <w:rPr>
                <w:highlight w:val="none"/>
              </w:rPr>
            </w:pPr>
          </w:p>
        </w:tc>
        <w:tc>
          <w:tcPr>
            <w:tcW w:w="1155" w:type="dxa"/>
            <w:vAlign w:val="center"/>
          </w:tcPr>
          <w:p>
            <w:pPr>
              <w:spacing w:line="300" w:lineRule="exact"/>
              <w:jc w:val="center"/>
              <w:rPr>
                <w:highlight w:val="none"/>
              </w:rPr>
            </w:pPr>
            <w:r>
              <w:rPr>
                <w:rFonts w:hint="eastAsia"/>
                <w:highlight w:val="none"/>
              </w:rPr>
              <w:t>危险废物</w:t>
            </w:r>
          </w:p>
        </w:tc>
        <w:tc>
          <w:tcPr>
            <w:tcW w:w="2943" w:type="dxa"/>
            <w:vAlign w:val="center"/>
          </w:tcPr>
          <w:p>
            <w:pPr>
              <w:spacing w:line="300" w:lineRule="exact"/>
              <w:jc w:val="center"/>
              <w:rPr>
                <w:highlight w:val="none"/>
              </w:rPr>
            </w:pPr>
            <w:r>
              <w:rPr>
                <w:rFonts w:hint="eastAsia"/>
                <w:highlight w:val="none"/>
              </w:rPr>
              <w:t xml:space="preserve">危废暂存间 </w:t>
            </w:r>
          </w:p>
        </w:tc>
        <w:tc>
          <w:tcPr>
            <w:tcW w:w="1467" w:type="dxa"/>
            <w:vAlign w:val="center"/>
          </w:tcPr>
          <w:p>
            <w:pPr>
              <w:spacing w:line="300" w:lineRule="exact"/>
              <w:jc w:val="center"/>
              <w:rPr>
                <w:highlight w:val="none"/>
              </w:rPr>
            </w:pPr>
            <w:r>
              <w:rPr>
                <w:rFonts w:hint="eastAsia"/>
                <w:highlight w:val="none"/>
              </w:rPr>
              <w:t>6</w:t>
            </w:r>
          </w:p>
        </w:tc>
        <w:tc>
          <w:tcPr>
            <w:tcW w:w="993" w:type="dxa"/>
            <w:vAlign w:val="center"/>
          </w:tcPr>
          <w:p>
            <w:pPr>
              <w:spacing w:line="300" w:lineRule="exact"/>
              <w:jc w:val="center"/>
              <w:rPr>
                <w:highlight w:val="none"/>
              </w:rPr>
            </w:pPr>
            <w:r>
              <w:rPr>
                <w:rFonts w:hint="eastAsia"/>
                <w:highlight w:val="none"/>
              </w:rPr>
              <w:t>新增</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31" w:hRule="atLeast"/>
          <w:jc w:val="center"/>
        </w:trPr>
        <w:tc>
          <w:tcPr>
            <w:tcW w:w="1017" w:type="dxa"/>
            <w:vAlign w:val="center"/>
          </w:tcPr>
          <w:p>
            <w:pPr>
              <w:spacing w:line="300" w:lineRule="exact"/>
              <w:jc w:val="center"/>
              <w:rPr>
                <w:highlight w:val="none"/>
              </w:rPr>
            </w:pPr>
            <w:r>
              <w:rPr>
                <w:rFonts w:hint="eastAsia"/>
                <w:highlight w:val="none"/>
              </w:rPr>
              <w:t>12</w:t>
            </w:r>
          </w:p>
        </w:tc>
        <w:tc>
          <w:tcPr>
            <w:tcW w:w="855" w:type="dxa"/>
            <w:vMerge w:val="continue"/>
            <w:vAlign w:val="center"/>
          </w:tcPr>
          <w:p>
            <w:pPr>
              <w:spacing w:line="300" w:lineRule="exact"/>
              <w:jc w:val="center"/>
              <w:rPr>
                <w:highlight w:val="none"/>
              </w:rPr>
            </w:pPr>
          </w:p>
        </w:tc>
        <w:tc>
          <w:tcPr>
            <w:tcW w:w="1155" w:type="dxa"/>
            <w:vAlign w:val="center"/>
          </w:tcPr>
          <w:p>
            <w:pPr>
              <w:spacing w:line="300" w:lineRule="exact"/>
              <w:jc w:val="center"/>
              <w:rPr>
                <w:highlight w:val="none"/>
              </w:rPr>
            </w:pPr>
            <w:r>
              <w:rPr>
                <w:rFonts w:hint="eastAsia"/>
                <w:highlight w:val="none"/>
              </w:rPr>
              <w:t>风险</w:t>
            </w:r>
          </w:p>
        </w:tc>
        <w:tc>
          <w:tcPr>
            <w:tcW w:w="2943" w:type="dxa"/>
            <w:vAlign w:val="center"/>
          </w:tcPr>
          <w:p>
            <w:pPr>
              <w:spacing w:line="300" w:lineRule="exact"/>
              <w:jc w:val="center"/>
              <w:rPr>
                <w:highlight w:val="none"/>
              </w:rPr>
            </w:pPr>
            <w:r>
              <w:rPr>
                <w:rFonts w:hint="eastAsia"/>
                <w:highlight w:val="none"/>
              </w:rPr>
              <w:t xml:space="preserve">设置溢油事故池 </w:t>
            </w:r>
          </w:p>
        </w:tc>
        <w:tc>
          <w:tcPr>
            <w:tcW w:w="1467" w:type="dxa"/>
            <w:vAlign w:val="center"/>
          </w:tcPr>
          <w:p>
            <w:pPr>
              <w:spacing w:line="300" w:lineRule="exact"/>
              <w:jc w:val="center"/>
              <w:rPr>
                <w:highlight w:val="none"/>
              </w:rPr>
            </w:pPr>
            <w:r>
              <w:rPr>
                <w:rFonts w:hint="eastAsia"/>
                <w:highlight w:val="none"/>
              </w:rPr>
              <w:t>3</w:t>
            </w:r>
          </w:p>
        </w:tc>
        <w:tc>
          <w:tcPr>
            <w:tcW w:w="993" w:type="dxa"/>
            <w:vAlign w:val="center"/>
          </w:tcPr>
          <w:p>
            <w:pPr>
              <w:spacing w:line="300" w:lineRule="exact"/>
              <w:jc w:val="center"/>
              <w:rPr>
                <w:highlight w:val="none"/>
              </w:rPr>
            </w:pPr>
            <w:r>
              <w:rPr>
                <w:rFonts w:hint="eastAsia"/>
                <w:highlight w:val="none"/>
              </w:rPr>
              <w:t>已投</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31" w:hRule="atLeast"/>
          <w:jc w:val="center"/>
        </w:trPr>
        <w:tc>
          <w:tcPr>
            <w:tcW w:w="1017" w:type="dxa"/>
            <w:vAlign w:val="center"/>
          </w:tcPr>
          <w:p>
            <w:pPr>
              <w:spacing w:line="300" w:lineRule="exact"/>
              <w:jc w:val="center"/>
              <w:rPr>
                <w:highlight w:val="none"/>
              </w:rPr>
            </w:pPr>
            <w:r>
              <w:rPr>
                <w:rFonts w:hint="eastAsia"/>
                <w:highlight w:val="none"/>
              </w:rPr>
              <w:t>13</w:t>
            </w:r>
          </w:p>
        </w:tc>
        <w:tc>
          <w:tcPr>
            <w:tcW w:w="855" w:type="dxa"/>
            <w:vMerge w:val="continue"/>
            <w:vAlign w:val="center"/>
          </w:tcPr>
          <w:p>
            <w:pPr>
              <w:spacing w:line="300" w:lineRule="exact"/>
              <w:jc w:val="center"/>
              <w:rPr>
                <w:highlight w:val="none"/>
              </w:rPr>
            </w:pPr>
          </w:p>
        </w:tc>
        <w:tc>
          <w:tcPr>
            <w:tcW w:w="1155" w:type="dxa"/>
            <w:vAlign w:val="center"/>
          </w:tcPr>
          <w:p>
            <w:pPr>
              <w:spacing w:line="300" w:lineRule="exact"/>
              <w:jc w:val="center"/>
              <w:rPr>
                <w:highlight w:val="none"/>
              </w:rPr>
            </w:pPr>
            <w:r>
              <w:rPr>
                <w:rFonts w:hint="eastAsia"/>
                <w:highlight w:val="none"/>
              </w:rPr>
              <w:t>生态</w:t>
            </w:r>
          </w:p>
        </w:tc>
        <w:tc>
          <w:tcPr>
            <w:tcW w:w="2943" w:type="dxa"/>
            <w:vAlign w:val="center"/>
          </w:tcPr>
          <w:p>
            <w:pPr>
              <w:spacing w:line="300" w:lineRule="exact"/>
              <w:jc w:val="center"/>
              <w:rPr>
                <w:highlight w:val="none"/>
              </w:rPr>
            </w:pPr>
            <w:r>
              <w:rPr>
                <w:rFonts w:hint="eastAsia"/>
                <w:highlight w:val="none"/>
              </w:rPr>
              <w:t>设置生态流量在线监测系统</w:t>
            </w:r>
          </w:p>
        </w:tc>
        <w:tc>
          <w:tcPr>
            <w:tcW w:w="1467" w:type="dxa"/>
            <w:vAlign w:val="center"/>
          </w:tcPr>
          <w:p>
            <w:pPr>
              <w:spacing w:line="300" w:lineRule="exact"/>
              <w:jc w:val="center"/>
              <w:rPr>
                <w:highlight w:val="none"/>
              </w:rPr>
            </w:pPr>
            <w:r>
              <w:rPr>
                <w:rFonts w:hint="eastAsia"/>
                <w:highlight w:val="none"/>
              </w:rPr>
              <w:t>4</w:t>
            </w:r>
          </w:p>
        </w:tc>
        <w:tc>
          <w:tcPr>
            <w:tcW w:w="993" w:type="dxa"/>
            <w:vAlign w:val="center"/>
          </w:tcPr>
          <w:p>
            <w:pPr>
              <w:spacing w:line="300" w:lineRule="exact"/>
              <w:jc w:val="center"/>
              <w:rPr>
                <w:highlight w:val="none"/>
              </w:rPr>
            </w:pPr>
            <w:r>
              <w:rPr>
                <w:rFonts w:hint="eastAsia"/>
                <w:highlight w:val="none"/>
              </w:rPr>
              <w:t>新增</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31" w:hRule="atLeast"/>
          <w:jc w:val="center"/>
        </w:trPr>
        <w:tc>
          <w:tcPr>
            <w:tcW w:w="1017" w:type="dxa"/>
            <w:vAlign w:val="center"/>
          </w:tcPr>
          <w:p>
            <w:pPr>
              <w:spacing w:line="300" w:lineRule="exact"/>
              <w:jc w:val="center"/>
              <w:rPr>
                <w:highlight w:val="none"/>
              </w:rPr>
            </w:pPr>
            <w:r>
              <w:rPr>
                <w:rFonts w:hint="eastAsia"/>
                <w:highlight w:val="none"/>
              </w:rPr>
              <w:t>14</w:t>
            </w:r>
          </w:p>
        </w:tc>
        <w:tc>
          <w:tcPr>
            <w:tcW w:w="855" w:type="dxa"/>
            <w:vMerge w:val="continue"/>
            <w:vAlign w:val="center"/>
          </w:tcPr>
          <w:p>
            <w:pPr>
              <w:spacing w:line="300" w:lineRule="exact"/>
              <w:jc w:val="center"/>
              <w:rPr>
                <w:highlight w:val="none"/>
              </w:rPr>
            </w:pPr>
          </w:p>
        </w:tc>
        <w:tc>
          <w:tcPr>
            <w:tcW w:w="1155" w:type="dxa"/>
            <w:vAlign w:val="center"/>
          </w:tcPr>
          <w:p>
            <w:pPr>
              <w:spacing w:line="300" w:lineRule="exact"/>
              <w:jc w:val="center"/>
              <w:rPr>
                <w:highlight w:val="none"/>
              </w:rPr>
            </w:pPr>
            <w:r>
              <w:rPr>
                <w:rFonts w:hint="eastAsia"/>
                <w:highlight w:val="none"/>
              </w:rPr>
              <w:t>地下水</w:t>
            </w:r>
          </w:p>
          <w:p>
            <w:pPr>
              <w:spacing w:line="300" w:lineRule="exact"/>
              <w:jc w:val="center"/>
              <w:rPr>
                <w:highlight w:val="none"/>
              </w:rPr>
            </w:pPr>
            <w:r>
              <w:rPr>
                <w:rFonts w:hint="eastAsia"/>
                <w:highlight w:val="none"/>
              </w:rPr>
              <w:t>土壤</w:t>
            </w:r>
          </w:p>
        </w:tc>
        <w:tc>
          <w:tcPr>
            <w:tcW w:w="2943" w:type="dxa"/>
            <w:vAlign w:val="center"/>
          </w:tcPr>
          <w:p>
            <w:pPr>
              <w:spacing w:line="300" w:lineRule="exact"/>
              <w:jc w:val="center"/>
              <w:rPr>
                <w:highlight w:val="none"/>
              </w:rPr>
            </w:pPr>
            <w:r>
              <w:rPr>
                <w:rFonts w:hint="eastAsia"/>
                <w:highlight w:val="none"/>
              </w:rPr>
              <w:t>生活废水经化粪池处理后送遵化市污水处理厂；设置危废暂存间，按重要防渗区防渗。</w:t>
            </w:r>
          </w:p>
        </w:tc>
        <w:tc>
          <w:tcPr>
            <w:tcW w:w="1467" w:type="dxa"/>
            <w:vAlign w:val="center"/>
          </w:tcPr>
          <w:p>
            <w:pPr>
              <w:spacing w:line="300" w:lineRule="exact"/>
              <w:jc w:val="center"/>
              <w:rPr>
                <w:highlight w:val="none"/>
              </w:rPr>
            </w:pPr>
            <w:r>
              <w:rPr>
                <w:rFonts w:hint="eastAsia"/>
                <w:highlight w:val="none"/>
              </w:rPr>
              <w:t>纳入废水、固废及风险环保投资</w:t>
            </w:r>
          </w:p>
        </w:tc>
        <w:tc>
          <w:tcPr>
            <w:tcW w:w="993" w:type="dxa"/>
            <w:vAlign w:val="center"/>
          </w:tcPr>
          <w:p>
            <w:pPr>
              <w:spacing w:line="300" w:lineRule="exact"/>
              <w:jc w:val="center"/>
              <w:rPr>
                <w:highlight w:val="none"/>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31" w:hRule="atLeast"/>
          <w:jc w:val="center"/>
        </w:trPr>
        <w:tc>
          <w:tcPr>
            <w:tcW w:w="5970" w:type="dxa"/>
            <w:gridSpan w:val="4"/>
            <w:vAlign w:val="center"/>
          </w:tcPr>
          <w:p>
            <w:pPr>
              <w:spacing w:line="300" w:lineRule="exact"/>
              <w:jc w:val="center"/>
              <w:rPr>
                <w:highlight w:val="none"/>
              </w:rPr>
            </w:pPr>
            <w:r>
              <w:rPr>
                <w:rFonts w:hint="eastAsia"/>
                <w:highlight w:val="none"/>
              </w:rPr>
              <w:t>合  计</w:t>
            </w:r>
          </w:p>
        </w:tc>
        <w:tc>
          <w:tcPr>
            <w:tcW w:w="1467" w:type="dxa"/>
            <w:vAlign w:val="center"/>
          </w:tcPr>
          <w:p>
            <w:pPr>
              <w:spacing w:line="300" w:lineRule="exact"/>
              <w:jc w:val="center"/>
              <w:rPr>
                <w:highlight w:val="none"/>
              </w:rPr>
            </w:pPr>
            <w:r>
              <w:rPr>
                <w:rFonts w:hint="eastAsia"/>
                <w:highlight w:val="none"/>
              </w:rPr>
              <w:t>79.5</w:t>
            </w:r>
          </w:p>
        </w:tc>
        <w:tc>
          <w:tcPr>
            <w:tcW w:w="993" w:type="dxa"/>
            <w:vAlign w:val="center"/>
          </w:tcPr>
          <w:p>
            <w:pPr>
              <w:spacing w:line="300" w:lineRule="exact"/>
              <w:jc w:val="center"/>
              <w:rPr>
                <w:highlight w:val="none"/>
              </w:rPr>
            </w:pPr>
          </w:p>
        </w:tc>
      </w:tr>
    </w:tbl>
    <w:p>
      <w:pPr>
        <w:spacing w:line="480" w:lineRule="exact"/>
        <w:ind w:firstLine="480" w:firstLineChars="200"/>
        <w:rPr>
          <w:sz w:val="24"/>
          <w:highlight w:val="none"/>
        </w:rPr>
      </w:pPr>
      <w:r>
        <w:rPr>
          <w:rFonts w:hint="eastAsia"/>
          <w:sz w:val="24"/>
          <w:highlight w:val="none"/>
        </w:rPr>
        <w:t>（2）环境经济损失分析</w:t>
      </w:r>
    </w:p>
    <w:p>
      <w:pPr>
        <w:spacing w:line="480" w:lineRule="exact"/>
        <w:ind w:firstLine="480" w:firstLineChars="200"/>
        <w:rPr>
          <w:sz w:val="24"/>
          <w:highlight w:val="none"/>
        </w:rPr>
      </w:pPr>
      <w:r>
        <w:rPr>
          <w:rFonts w:hint="eastAsia"/>
          <w:sz w:val="24"/>
          <w:highlight w:val="none"/>
        </w:rPr>
        <w:t>本报告采用恢复和防护法、实际设计法等环境经济分析方法，对环境经济损失作简要定量分析。</w:t>
      </w:r>
    </w:p>
    <w:p>
      <w:pPr>
        <w:spacing w:line="480" w:lineRule="exact"/>
        <w:ind w:firstLine="480" w:firstLineChars="200"/>
        <w:rPr>
          <w:sz w:val="24"/>
          <w:highlight w:val="none"/>
        </w:rPr>
      </w:pPr>
      <w:r>
        <w:rPr>
          <w:rFonts w:hint="eastAsia"/>
          <w:sz w:val="24"/>
          <w:highlight w:val="none"/>
        </w:rPr>
        <w:t>落实各类环保措施所发生的费用与效果分析见下表。</w:t>
      </w:r>
    </w:p>
    <w:p>
      <w:pPr>
        <w:spacing w:line="480" w:lineRule="exact"/>
        <w:jc w:val="center"/>
        <w:rPr>
          <w:b/>
          <w:bCs/>
          <w:sz w:val="24"/>
          <w:highlight w:val="none"/>
        </w:rPr>
      </w:pPr>
      <w:r>
        <w:rPr>
          <w:rFonts w:hint="eastAsia"/>
          <w:b/>
          <w:bCs/>
          <w:sz w:val="24"/>
          <w:highlight w:val="none"/>
        </w:rPr>
        <w:t>表 8.3-2 工程环保措施效果分析一览表</w:t>
      </w:r>
    </w:p>
    <w:tbl>
      <w:tblPr>
        <w:tblStyle w:val="51"/>
        <w:tblW w:w="8157" w:type="dxa"/>
        <w:jc w:val="center"/>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
      <w:tblGrid>
        <w:gridCol w:w="484"/>
        <w:gridCol w:w="780"/>
        <w:gridCol w:w="1875"/>
        <w:gridCol w:w="1155"/>
        <w:gridCol w:w="1530"/>
        <w:gridCol w:w="1215"/>
        <w:gridCol w:w="1118"/>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17" w:hRule="atLeast"/>
          <w:jc w:val="center"/>
        </w:trPr>
        <w:tc>
          <w:tcPr>
            <w:tcW w:w="1264" w:type="dxa"/>
            <w:gridSpan w:val="2"/>
            <w:vMerge w:val="restart"/>
            <w:vAlign w:val="center"/>
          </w:tcPr>
          <w:p>
            <w:pPr>
              <w:spacing w:line="300" w:lineRule="exact"/>
              <w:ind w:firstLine="420" w:firstLineChars="200"/>
              <w:rPr>
                <w:szCs w:val="21"/>
                <w:highlight w:val="none"/>
              </w:rPr>
            </w:pPr>
            <w:r>
              <w:rPr>
                <w:rFonts w:hint="eastAsia"/>
                <w:szCs w:val="21"/>
                <w:highlight w:val="none"/>
              </w:rPr>
              <w:t>项目</w:t>
            </w:r>
          </w:p>
          <w:p>
            <w:pPr>
              <w:spacing w:line="300" w:lineRule="exact"/>
              <w:jc w:val="center"/>
              <w:rPr>
                <w:caps/>
                <w:highlight w:val="none"/>
              </w:rPr>
            </w:pPr>
            <w:r>
              <w:rPr>
                <w:rFonts w:hint="eastAsia"/>
                <w:szCs w:val="21"/>
                <w:highlight w:val="none"/>
              </w:rPr>
              <w:t>环境类型</w:t>
            </w:r>
          </w:p>
        </w:tc>
        <w:tc>
          <w:tcPr>
            <w:tcW w:w="3030" w:type="dxa"/>
            <w:gridSpan w:val="2"/>
            <w:vAlign w:val="center"/>
          </w:tcPr>
          <w:p>
            <w:pPr>
              <w:spacing w:line="300" w:lineRule="exact"/>
              <w:jc w:val="center"/>
              <w:rPr>
                <w:caps/>
                <w:highlight w:val="none"/>
              </w:rPr>
            </w:pPr>
            <w:r>
              <w:rPr>
                <w:rFonts w:hint="eastAsia"/>
                <w:szCs w:val="21"/>
                <w:highlight w:val="none"/>
              </w:rPr>
              <w:t>采取措施前环境影响</w:t>
            </w:r>
          </w:p>
        </w:tc>
        <w:tc>
          <w:tcPr>
            <w:tcW w:w="1530" w:type="dxa"/>
            <w:vAlign w:val="center"/>
          </w:tcPr>
          <w:p>
            <w:pPr>
              <w:spacing w:line="300" w:lineRule="exact"/>
              <w:jc w:val="center"/>
              <w:rPr>
                <w:caps/>
                <w:highlight w:val="none"/>
              </w:rPr>
            </w:pPr>
            <w:r>
              <w:rPr>
                <w:rFonts w:hint="eastAsia"/>
                <w:szCs w:val="21"/>
                <w:highlight w:val="none"/>
              </w:rPr>
              <w:t>环保措施</w:t>
            </w:r>
          </w:p>
        </w:tc>
        <w:tc>
          <w:tcPr>
            <w:tcW w:w="2333" w:type="dxa"/>
            <w:gridSpan w:val="2"/>
            <w:vAlign w:val="center"/>
          </w:tcPr>
          <w:p>
            <w:pPr>
              <w:spacing w:line="300" w:lineRule="exact"/>
              <w:jc w:val="center"/>
              <w:rPr>
                <w:caps/>
                <w:highlight w:val="none"/>
              </w:rPr>
            </w:pPr>
            <w:r>
              <w:rPr>
                <w:rFonts w:hint="eastAsia"/>
                <w:szCs w:val="21"/>
                <w:highlight w:val="none"/>
              </w:rPr>
              <w:t>采取措施后环境影响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17" w:hRule="atLeast"/>
          <w:jc w:val="center"/>
        </w:trPr>
        <w:tc>
          <w:tcPr>
            <w:tcW w:w="1264" w:type="dxa"/>
            <w:gridSpan w:val="2"/>
            <w:vMerge w:val="continue"/>
            <w:vAlign w:val="center"/>
          </w:tcPr>
          <w:p>
            <w:pPr>
              <w:spacing w:line="300" w:lineRule="exact"/>
              <w:jc w:val="center"/>
              <w:rPr>
                <w:highlight w:val="none"/>
              </w:rPr>
            </w:pPr>
          </w:p>
        </w:tc>
        <w:tc>
          <w:tcPr>
            <w:tcW w:w="1875" w:type="dxa"/>
            <w:vAlign w:val="center"/>
          </w:tcPr>
          <w:p>
            <w:pPr>
              <w:spacing w:line="300" w:lineRule="exact"/>
              <w:jc w:val="center"/>
              <w:rPr>
                <w:caps/>
                <w:highlight w:val="none"/>
              </w:rPr>
            </w:pPr>
            <w:r>
              <w:rPr>
                <w:rFonts w:hint="eastAsia"/>
                <w:szCs w:val="21"/>
                <w:highlight w:val="none"/>
              </w:rPr>
              <w:t>影响分析</w:t>
            </w:r>
          </w:p>
        </w:tc>
        <w:tc>
          <w:tcPr>
            <w:tcW w:w="1155" w:type="dxa"/>
            <w:vAlign w:val="center"/>
          </w:tcPr>
          <w:p>
            <w:pPr>
              <w:spacing w:line="300" w:lineRule="exact"/>
              <w:jc w:val="center"/>
              <w:rPr>
                <w:caps/>
                <w:highlight w:val="none"/>
              </w:rPr>
            </w:pPr>
            <w:r>
              <w:rPr>
                <w:rFonts w:hint="eastAsia"/>
                <w:szCs w:val="21"/>
                <w:highlight w:val="none"/>
              </w:rPr>
              <w:t>环境效果</w:t>
            </w:r>
          </w:p>
        </w:tc>
        <w:tc>
          <w:tcPr>
            <w:tcW w:w="1530" w:type="dxa"/>
            <w:vAlign w:val="center"/>
          </w:tcPr>
          <w:p>
            <w:pPr>
              <w:spacing w:line="300" w:lineRule="exact"/>
              <w:jc w:val="center"/>
              <w:rPr>
                <w:caps/>
                <w:highlight w:val="none"/>
              </w:rPr>
            </w:pPr>
            <w:r>
              <w:rPr>
                <w:rFonts w:hint="eastAsia"/>
                <w:szCs w:val="21"/>
                <w:highlight w:val="none"/>
              </w:rPr>
              <w:t>措施内容</w:t>
            </w:r>
          </w:p>
        </w:tc>
        <w:tc>
          <w:tcPr>
            <w:tcW w:w="1215" w:type="dxa"/>
            <w:vAlign w:val="center"/>
          </w:tcPr>
          <w:p>
            <w:pPr>
              <w:spacing w:line="300" w:lineRule="exact"/>
              <w:jc w:val="center"/>
              <w:rPr>
                <w:caps/>
                <w:highlight w:val="none"/>
              </w:rPr>
            </w:pPr>
            <w:r>
              <w:rPr>
                <w:rFonts w:hint="eastAsia"/>
                <w:szCs w:val="21"/>
                <w:highlight w:val="none"/>
              </w:rPr>
              <w:t>影响分析</w:t>
            </w:r>
          </w:p>
        </w:tc>
        <w:tc>
          <w:tcPr>
            <w:tcW w:w="1118" w:type="dxa"/>
            <w:vAlign w:val="center"/>
          </w:tcPr>
          <w:p>
            <w:pPr>
              <w:spacing w:line="300" w:lineRule="exact"/>
              <w:jc w:val="center"/>
              <w:rPr>
                <w:caps/>
                <w:highlight w:val="none"/>
              </w:rPr>
            </w:pPr>
            <w:r>
              <w:rPr>
                <w:rFonts w:hint="eastAsia"/>
                <w:szCs w:val="21"/>
                <w:highlight w:val="none"/>
              </w:rPr>
              <w:t>环境效果</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03" w:hRule="atLeast"/>
          <w:jc w:val="center"/>
        </w:trPr>
        <w:tc>
          <w:tcPr>
            <w:tcW w:w="484" w:type="dxa"/>
            <w:vMerge w:val="restart"/>
            <w:vAlign w:val="center"/>
          </w:tcPr>
          <w:p>
            <w:pPr>
              <w:spacing w:line="300" w:lineRule="exact"/>
              <w:jc w:val="center"/>
              <w:rPr>
                <w:highlight w:val="none"/>
              </w:rPr>
            </w:pPr>
            <w:r>
              <w:rPr>
                <w:rFonts w:hint="eastAsia"/>
                <w:highlight w:val="none"/>
              </w:rPr>
              <w:t>水环境</w:t>
            </w:r>
          </w:p>
        </w:tc>
        <w:tc>
          <w:tcPr>
            <w:tcW w:w="780" w:type="dxa"/>
            <w:vAlign w:val="center"/>
          </w:tcPr>
          <w:p>
            <w:pPr>
              <w:spacing w:line="300" w:lineRule="exact"/>
              <w:jc w:val="center"/>
              <w:rPr>
                <w:szCs w:val="21"/>
                <w:highlight w:val="none"/>
              </w:rPr>
            </w:pPr>
            <w:r>
              <w:rPr>
                <w:rFonts w:hint="eastAsia"/>
                <w:szCs w:val="21"/>
                <w:highlight w:val="none"/>
              </w:rPr>
              <w:t>水文</w:t>
            </w:r>
          </w:p>
          <w:p>
            <w:pPr>
              <w:spacing w:line="300" w:lineRule="exact"/>
              <w:jc w:val="center"/>
              <w:rPr>
                <w:szCs w:val="21"/>
                <w:highlight w:val="none"/>
              </w:rPr>
            </w:pPr>
            <w:r>
              <w:rPr>
                <w:rFonts w:hint="eastAsia"/>
                <w:szCs w:val="21"/>
                <w:highlight w:val="none"/>
              </w:rPr>
              <w:t>情势</w:t>
            </w:r>
          </w:p>
        </w:tc>
        <w:tc>
          <w:tcPr>
            <w:tcW w:w="1875" w:type="dxa"/>
            <w:vAlign w:val="center"/>
          </w:tcPr>
          <w:p>
            <w:pPr>
              <w:spacing w:line="300" w:lineRule="exact"/>
              <w:jc w:val="center"/>
              <w:rPr>
                <w:highlight w:val="none"/>
              </w:rPr>
            </w:pPr>
            <w:r>
              <w:rPr>
                <w:rFonts w:hint="eastAsia"/>
                <w:highlight w:val="none"/>
              </w:rPr>
              <w:t>橡胶坝对引滦入津工程水位、流量等变化较小</w:t>
            </w:r>
          </w:p>
        </w:tc>
        <w:tc>
          <w:tcPr>
            <w:tcW w:w="1155" w:type="dxa"/>
            <w:vAlign w:val="center"/>
          </w:tcPr>
          <w:p>
            <w:pPr>
              <w:spacing w:line="300" w:lineRule="exact"/>
              <w:jc w:val="center"/>
              <w:rPr>
                <w:highlight w:val="none"/>
              </w:rPr>
            </w:pPr>
            <w:r>
              <w:rPr>
                <w:rFonts w:hint="eastAsia"/>
                <w:highlight w:val="none"/>
              </w:rPr>
              <w:t>±1C</w:t>
            </w:r>
          </w:p>
        </w:tc>
        <w:tc>
          <w:tcPr>
            <w:tcW w:w="1530" w:type="dxa"/>
            <w:vAlign w:val="center"/>
          </w:tcPr>
          <w:p>
            <w:pPr>
              <w:spacing w:line="300" w:lineRule="exact"/>
              <w:jc w:val="center"/>
              <w:rPr>
                <w:highlight w:val="none"/>
              </w:rPr>
            </w:pPr>
            <w:r>
              <w:rPr>
                <w:rFonts w:hint="eastAsia"/>
                <w:highlight w:val="none"/>
              </w:rPr>
              <w:t>/</w:t>
            </w:r>
          </w:p>
        </w:tc>
        <w:tc>
          <w:tcPr>
            <w:tcW w:w="1215" w:type="dxa"/>
            <w:vAlign w:val="center"/>
          </w:tcPr>
          <w:p>
            <w:pPr>
              <w:spacing w:line="300" w:lineRule="exact"/>
              <w:jc w:val="center"/>
              <w:rPr>
                <w:highlight w:val="none"/>
              </w:rPr>
            </w:pPr>
            <w:r>
              <w:rPr>
                <w:rFonts w:hint="eastAsia"/>
                <w:highlight w:val="none"/>
              </w:rPr>
              <w:t>/</w:t>
            </w:r>
          </w:p>
        </w:tc>
        <w:tc>
          <w:tcPr>
            <w:tcW w:w="1118" w:type="dxa"/>
            <w:vAlign w:val="center"/>
          </w:tcPr>
          <w:p>
            <w:pPr>
              <w:spacing w:line="300" w:lineRule="exact"/>
              <w:jc w:val="center"/>
              <w:rPr>
                <w:highlight w:val="none"/>
              </w:rPr>
            </w:pPr>
            <w:r>
              <w:rPr>
                <w:rFonts w:hint="eastAsia"/>
                <w:highlight w:val="none"/>
              </w:rPr>
              <w:t>±1C</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03" w:hRule="atLeast"/>
          <w:jc w:val="center"/>
        </w:trPr>
        <w:tc>
          <w:tcPr>
            <w:tcW w:w="484" w:type="dxa"/>
            <w:vMerge w:val="continue"/>
            <w:vAlign w:val="center"/>
          </w:tcPr>
          <w:p>
            <w:pPr>
              <w:spacing w:line="300" w:lineRule="exact"/>
              <w:jc w:val="center"/>
              <w:rPr>
                <w:highlight w:val="none"/>
              </w:rPr>
            </w:pPr>
          </w:p>
        </w:tc>
        <w:tc>
          <w:tcPr>
            <w:tcW w:w="780" w:type="dxa"/>
            <w:vAlign w:val="center"/>
          </w:tcPr>
          <w:p>
            <w:pPr>
              <w:spacing w:line="300" w:lineRule="exact"/>
              <w:jc w:val="center"/>
              <w:rPr>
                <w:szCs w:val="21"/>
                <w:highlight w:val="none"/>
              </w:rPr>
            </w:pPr>
            <w:r>
              <w:rPr>
                <w:rFonts w:hint="eastAsia"/>
                <w:szCs w:val="21"/>
                <w:highlight w:val="none"/>
              </w:rPr>
              <w:t>泥沙</w:t>
            </w:r>
          </w:p>
          <w:p>
            <w:pPr>
              <w:spacing w:line="300" w:lineRule="exact"/>
              <w:jc w:val="center"/>
              <w:rPr>
                <w:szCs w:val="21"/>
                <w:highlight w:val="none"/>
              </w:rPr>
            </w:pPr>
            <w:r>
              <w:rPr>
                <w:rFonts w:hint="eastAsia"/>
                <w:szCs w:val="21"/>
                <w:highlight w:val="none"/>
              </w:rPr>
              <w:t>情势</w:t>
            </w:r>
          </w:p>
        </w:tc>
        <w:tc>
          <w:tcPr>
            <w:tcW w:w="1875" w:type="dxa"/>
            <w:vAlign w:val="center"/>
          </w:tcPr>
          <w:p>
            <w:pPr>
              <w:spacing w:line="300" w:lineRule="exact"/>
              <w:jc w:val="left"/>
              <w:rPr>
                <w:highlight w:val="none"/>
              </w:rPr>
            </w:pPr>
            <w:r>
              <w:rPr>
                <w:rFonts w:hint="eastAsia"/>
                <w:highlight w:val="none"/>
              </w:rPr>
              <w:t>橡胶坝上游主要是混凝土输水渠及隧道</w:t>
            </w:r>
          </w:p>
        </w:tc>
        <w:tc>
          <w:tcPr>
            <w:tcW w:w="1155" w:type="dxa"/>
            <w:vAlign w:val="center"/>
          </w:tcPr>
          <w:p>
            <w:pPr>
              <w:spacing w:line="300" w:lineRule="exact"/>
              <w:jc w:val="center"/>
              <w:rPr>
                <w:highlight w:val="none"/>
              </w:rPr>
            </w:pPr>
            <w:r>
              <w:rPr>
                <w:rFonts w:hint="eastAsia"/>
                <w:highlight w:val="none"/>
              </w:rPr>
              <w:t>+1C</w:t>
            </w:r>
          </w:p>
        </w:tc>
        <w:tc>
          <w:tcPr>
            <w:tcW w:w="1530" w:type="dxa"/>
            <w:vAlign w:val="center"/>
          </w:tcPr>
          <w:p>
            <w:pPr>
              <w:spacing w:line="300" w:lineRule="exact"/>
              <w:jc w:val="center"/>
              <w:rPr>
                <w:highlight w:val="none"/>
              </w:rPr>
            </w:pPr>
            <w:r>
              <w:rPr>
                <w:rFonts w:hint="eastAsia"/>
                <w:highlight w:val="none"/>
              </w:rPr>
              <w:t>/</w:t>
            </w:r>
          </w:p>
        </w:tc>
        <w:tc>
          <w:tcPr>
            <w:tcW w:w="1215" w:type="dxa"/>
            <w:vAlign w:val="center"/>
          </w:tcPr>
          <w:p>
            <w:pPr>
              <w:spacing w:line="300" w:lineRule="exact"/>
              <w:jc w:val="center"/>
              <w:rPr>
                <w:highlight w:val="none"/>
              </w:rPr>
            </w:pPr>
            <w:r>
              <w:rPr>
                <w:rFonts w:hint="eastAsia"/>
                <w:highlight w:val="none"/>
              </w:rPr>
              <w:t>下游河道泥</w:t>
            </w:r>
          </w:p>
          <w:p>
            <w:pPr>
              <w:spacing w:line="300" w:lineRule="exact"/>
              <w:jc w:val="center"/>
              <w:rPr>
                <w:highlight w:val="none"/>
              </w:rPr>
            </w:pPr>
            <w:r>
              <w:rPr>
                <w:rFonts w:hint="eastAsia"/>
                <w:highlight w:val="none"/>
              </w:rPr>
              <w:t>沙水减少</w:t>
            </w:r>
          </w:p>
        </w:tc>
        <w:tc>
          <w:tcPr>
            <w:tcW w:w="1118" w:type="dxa"/>
            <w:vAlign w:val="center"/>
          </w:tcPr>
          <w:p>
            <w:pPr>
              <w:spacing w:line="300" w:lineRule="exact"/>
              <w:jc w:val="center"/>
              <w:rPr>
                <w:highlight w:val="none"/>
              </w:rPr>
            </w:pPr>
            <w:r>
              <w:rPr>
                <w:rFonts w:hint="eastAsia"/>
                <w:highlight w:val="none"/>
              </w:rPr>
              <w:t>+1C</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03" w:hRule="atLeast"/>
          <w:jc w:val="center"/>
        </w:trPr>
        <w:tc>
          <w:tcPr>
            <w:tcW w:w="484" w:type="dxa"/>
            <w:vMerge w:val="continue"/>
            <w:vAlign w:val="center"/>
          </w:tcPr>
          <w:p>
            <w:pPr>
              <w:spacing w:line="300" w:lineRule="exact"/>
              <w:jc w:val="center"/>
              <w:rPr>
                <w:highlight w:val="none"/>
              </w:rPr>
            </w:pPr>
          </w:p>
        </w:tc>
        <w:tc>
          <w:tcPr>
            <w:tcW w:w="780" w:type="dxa"/>
            <w:vAlign w:val="center"/>
          </w:tcPr>
          <w:p>
            <w:pPr>
              <w:spacing w:line="300" w:lineRule="exact"/>
              <w:jc w:val="center"/>
              <w:rPr>
                <w:highlight w:val="none"/>
              </w:rPr>
            </w:pPr>
            <w:r>
              <w:rPr>
                <w:rFonts w:hint="eastAsia"/>
                <w:highlight w:val="none"/>
              </w:rPr>
              <w:t>水质</w:t>
            </w:r>
          </w:p>
        </w:tc>
        <w:tc>
          <w:tcPr>
            <w:tcW w:w="1875" w:type="dxa"/>
            <w:vAlign w:val="center"/>
          </w:tcPr>
          <w:p>
            <w:pPr>
              <w:spacing w:line="300" w:lineRule="exact"/>
              <w:jc w:val="center"/>
              <w:rPr>
                <w:highlight w:val="none"/>
              </w:rPr>
            </w:pPr>
            <w:r>
              <w:rPr>
                <w:rFonts w:hint="eastAsia"/>
                <w:highlight w:val="none"/>
              </w:rPr>
              <w:t>影响较小</w:t>
            </w:r>
          </w:p>
        </w:tc>
        <w:tc>
          <w:tcPr>
            <w:tcW w:w="1155" w:type="dxa"/>
            <w:vAlign w:val="center"/>
          </w:tcPr>
          <w:p>
            <w:pPr>
              <w:spacing w:line="300" w:lineRule="exact"/>
              <w:jc w:val="center"/>
              <w:rPr>
                <w:highlight w:val="none"/>
              </w:rPr>
            </w:pPr>
            <w:r>
              <w:rPr>
                <w:rFonts w:hint="eastAsia"/>
                <w:highlight w:val="none"/>
              </w:rPr>
              <w:t>-1D</w:t>
            </w:r>
          </w:p>
        </w:tc>
        <w:tc>
          <w:tcPr>
            <w:tcW w:w="1530" w:type="dxa"/>
            <w:vAlign w:val="center"/>
          </w:tcPr>
          <w:p>
            <w:pPr>
              <w:spacing w:line="300" w:lineRule="exact"/>
              <w:jc w:val="center"/>
              <w:rPr>
                <w:highlight w:val="none"/>
              </w:rPr>
            </w:pPr>
            <w:r>
              <w:rPr>
                <w:rFonts w:hint="eastAsia"/>
                <w:highlight w:val="none"/>
              </w:rPr>
              <w:t>清理水中杂物</w:t>
            </w:r>
          </w:p>
        </w:tc>
        <w:tc>
          <w:tcPr>
            <w:tcW w:w="1215" w:type="dxa"/>
            <w:vAlign w:val="center"/>
          </w:tcPr>
          <w:p>
            <w:pPr>
              <w:spacing w:line="300" w:lineRule="exact"/>
              <w:jc w:val="center"/>
              <w:rPr>
                <w:highlight w:val="none"/>
              </w:rPr>
            </w:pPr>
            <w:r>
              <w:rPr>
                <w:rFonts w:hint="eastAsia"/>
                <w:highlight w:val="none"/>
              </w:rPr>
              <w:t>/</w:t>
            </w:r>
          </w:p>
        </w:tc>
        <w:tc>
          <w:tcPr>
            <w:tcW w:w="1118" w:type="dxa"/>
            <w:vAlign w:val="center"/>
          </w:tcPr>
          <w:p>
            <w:pPr>
              <w:spacing w:line="300" w:lineRule="exact"/>
              <w:jc w:val="center"/>
              <w:rPr>
                <w:highlight w:val="none"/>
              </w:rPr>
            </w:pPr>
            <w:r>
              <w:rPr>
                <w:rFonts w:hint="eastAsia"/>
                <w:highlight w:val="none"/>
              </w:rPr>
              <w:t>0C</w:t>
            </w:r>
          </w:p>
        </w:tc>
      </w:tr>
    </w:tbl>
    <w:p>
      <w:pPr>
        <w:spacing w:line="480" w:lineRule="exact"/>
        <w:jc w:val="both"/>
        <w:rPr>
          <w:rFonts w:hint="eastAsia"/>
          <w:b/>
          <w:bCs/>
          <w:color w:val="auto"/>
          <w:sz w:val="24"/>
          <w:highlight w:val="none"/>
          <w:lang w:eastAsia="zh-CN"/>
        </w:rPr>
      </w:pPr>
    </w:p>
    <w:p>
      <w:pPr>
        <w:spacing w:line="480" w:lineRule="exact"/>
        <w:jc w:val="center"/>
        <w:rPr>
          <w:b/>
          <w:bCs/>
          <w:color w:val="auto"/>
          <w:sz w:val="24"/>
          <w:highlight w:val="none"/>
        </w:rPr>
      </w:pPr>
      <w:r>
        <w:rPr>
          <w:rFonts w:hint="eastAsia"/>
          <w:b/>
          <w:bCs/>
          <w:color w:val="auto"/>
          <w:sz w:val="24"/>
          <w:highlight w:val="none"/>
          <w:lang w:eastAsia="zh-CN"/>
        </w:rPr>
        <w:t>续</w:t>
      </w:r>
      <w:r>
        <w:rPr>
          <w:rFonts w:hint="eastAsia"/>
          <w:b/>
          <w:bCs/>
          <w:color w:val="auto"/>
          <w:sz w:val="24"/>
          <w:highlight w:val="none"/>
        </w:rPr>
        <w:t>表 8.3-2 工程环保措施效果分析一览表</w:t>
      </w:r>
    </w:p>
    <w:tbl>
      <w:tblPr>
        <w:tblStyle w:val="51"/>
        <w:tblW w:w="8157" w:type="dxa"/>
        <w:jc w:val="center"/>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
      <w:tblGrid>
        <w:gridCol w:w="484"/>
        <w:gridCol w:w="780"/>
        <w:gridCol w:w="1875"/>
        <w:gridCol w:w="1155"/>
        <w:gridCol w:w="1530"/>
        <w:gridCol w:w="1215"/>
        <w:gridCol w:w="1118"/>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17" w:hRule="atLeast"/>
          <w:jc w:val="center"/>
        </w:trPr>
        <w:tc>
          <w:tcPr>
            <w:tcW w:w="1264" w:type="dxa"/>
            <w:gridSpan w:val="2"/>
            <w:vMerge w:val="restart"/>
            <w:vAlign w:val="center"/>
          </w:tcPr>
          <w:p>
            <w:pPr>
              <w:spacing w:line="300" w:lineRule="exact"/>
              <w:ind w:firstLine="420" w:firstLineChars="200"/>
              <w:rPr>
                <w:szCs w:val="21"/>
                <w:highlight w:val="none"/>
              </w:rPr>
            </w:pPr>
            <w:r>
              <w:rPr>
                <w:rFonts w:hint="eastAsia"/>
                <w:szCs w:val="21"/>
                <w:highlight w:val="none"/>
              </w:rPr>
              <w:t>项目</w:t>
            </w:r>
          </w:p>
          <w:p>
            <w:pPr>
              <w:spacing w:line="300" w:lineRule="exact"/>
              <w:jc w:val="center"/>
              <w:rPr>
                <w:caps/>
                <w:highlight w:val="none"/>
              </w:rPr>
            </w:pPr>
            <w:r>
              <w:rPr>
                <w:rFonts w:hint="eastAsia"/>
                <w:szCs w:val="21"/>
                <w:highlight w:val="none"/>
              </w:rPr>
              <w:t>环境类型</w:t>
            </w:r>
          </w:p>
        </w:tc>
        <w:tc>
          <w:tcPr>
            <w:tcW w:w="3030" w:type="dxa"/>
            <w:gridSpan w:val="2"/>
            <w:vAlign w:val="center"/>
          </w:tcPr>
          <w:p>
            <w:pPr>
              <w:spacing w:line="300" w:lineRule="exact"/>
              <w:jc w:val="center"/>
              <w:rPr>
                <w:caps/>
                <w:highlight w:val="none"/>
              </w:rPr>
            </w:pPr>
            <w:r>
              <w:rPr>
                <w:rFonts w:hint="eastAsia"/>
                <w:szCs w:val="21"/>
                <w:highlight w:val="none"/>
              </w:rPr>
              <w:t>采取措施前环境影响</w:t>
            </w:r>
          </w:p>
        </w:tc>
        <w:tc>
          <w:tcPr>
            <w:tcW w:w="1530" w:type="dxa"/>
            <w:vAlign w:val="center"/>
          </w:tcPr>
          <w:p>
            <w:pPr>
              <w:spacing w:line="300" w:lineRule="exact"/>
              <w:jc w:val="center"/>
              <w:rPr>
                <w:caps/>
                <w:highlight w:val="none"/>
              </w:rPr>
            </w:pPr>
            <w:r>
              <w:rPr>
                <w:rFonts w:hint="eastAsia"/>
                <w:szCs w:val="21"/>
                <w:highlight w:val="none"/>
              </w:rPr>
              <w:t>环保措施</w:t>
            </w:r>
          </w:p>
        </w:tc>
        <w:tc>
          <w:tcPr>
            <w:tcW w:w="2333" w:type="dxa"/>
            <w:gridSpan w:val="2"/>
            <w:vAlign w:val="center"/>
          </w:tcPr>
          <w:p>
            <w:pPr>
              <w:spacing w:line="300" w:lineRule="exact"/>
              <w:jc w:val="center"/>
              <w:rPr>
                <w:caps/>
                <w:highlight w:val="none"/>
              </w:rPr>
            </w:pPr>
            <w:r>
              <w:rPr>
                <w:rFonts w:hint="eastAsia"/>
                <w:szCs w:val="21"/>
                <w:highlight w:val="none"/>
              </w:rPr>
              <w:t>采取措施后环境影响</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17" w:hRule="atLeast"/>
          <w:jc w:val="center"/>
        </w:trPr>
        <w:tc>
          <w:tcPr>
            <w:tcW w:w="1264" w:type="dxa"/>
            <w:gridSpan w:val="2"/>
            <w:vMerge w:val="continue"/>
            <w:vAlign w:val="center"/>
          </w:tcPr>
          <w:p>
            <w:pPr>
              <w:spacing w:line="300" w:lineRule="exact"/>
              <w:jc w:val="center"/>
              <w:rPr>
                <w:highlight w:val="none"/>
              </w:rPr>
            </w:pPr>
          </w:p>
        </w:tc>
        <w:tc>
          <w:tcPr>
            <w:tcW w:w="1875" w:type="dxa"/>
            <w:vAlign w:val="center"/>
          </w:tcPr>
          <w:p>
            <w:pPr>
              <w:spacing w:line="300" w:lineRule="exact"/>
              <w:jc w:val="center"/>
              <w:rPr>
                <w:caps/>
                <w:highlight w:val="none"/>
              </w:rPr>
            </w:pPr>
            <w:r>
              <w:rPr>
                <w:rFonts w:hint="eastAsia"/>
                <w:szCs w:val="21"/>
                <w:highlight w:val="none"/>
              </w:rPr>
              <w:t>影响分析</w:t>
            </w:r>
          </w:p>
        </w:tc>
        <w:tc>
          <w:tcPr>
            <w:tcW w:w="1155" w:type="dxa"/>
            <w:vAlign w:val="center"/>
          </w:tcPr>
          <w:p>
            <w:pPr>
              <w:spacing w:line="300" w:lineRule="exact"/>
              <w:jc w:val="center"/>
              <w:rPr>
                <w:caps/>
                <w:highlight w:val="none"/>
              </w:rPr>
            </w:pPr>
            <w:r>
              <w:rPr>
                <w:rFonts w:hint="eastAsia"/>
                <w:szCs w:val="21"/>
                <w:highlight w:val="none"/>
              </w:rPr>
              <w:t>环境效果</w:t>
            </w:r>
          </w:p>
        </w:tc>
        <w:tc>
          <w:tcPr>
            <w:tcW w:w="1530" w:type="dxa"/>
            <w:vAlign w:val="center"/>
          </w:tcPr>
          <w:p>
            <w:pPr>
              <w:spacing w:line="300" w:lineRule="exact"/>
              <w:jc w:val="center"/>
              <w:rPr>
                <w:caps/>
                <w:highlight w:val="none"/>
              </w:rPr>
            </w:pPr>
            <w:r>
              <w:rPr>
                <w:rFonts w:hint="eastAsia"/>
                <w:szCs w:val="21"/>
                <w:highlight w:val="none"/>
              </w:rPr>
              <w:t>措施内容</w:t>
            </w:r>
          </w:p>
        </w:tc>
        <w:tc>
          <w:tcPr>
            <w:tcW w:w="1215" w:type="dxa"/>
            <w:vAlign w:val="center"/>
          </w:tcPr>
          <w:p>
            <w:pPr>
              <w:spacing w:line="300" w:lineRule="exact"/>
              <w:jc w:val="center"/>
              <w:rPr>
                <w:caps/>
                <w:highlight w:val="none"/>
              </w:rPr>
            </w:pPr>
            <w:r>
              <w:rPr>
                <w:rFonts w:hint="eastAsia"/>
                <w:szCs w:val="21"/>
                <w:highlight w:val="none"/>
              </w:rPr>
              <w:t>影响分析</w:t>
            </w:r>
          </w:p>
        </w:tc>
        <w:tc>
          <w:tcPr>
            <w:tcW w:w="1118" w:type="dxa"/>
            <w:vAlign w:val="center"/>
          </w:tcPr>
          <w:p>
            <w:pPr>
              <w:spacing w:line="300" w:lineRule="exact"/>
              <w:jc w:val="center"/>
              <w:rPr>
                <w:caps/>
                <w:highlight w:val="none"/>
              </w:rPr>
            </w:pPr>
            <w:r>
              <w:rPr>
                <w:rFonts w:hint="eastAsia"/>
                <w:szCs w:val="21"/>
                <w:highlight w:val="none"/>
              </w:rPr>
              <w:t>环境效果</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03" w:hRule="atLeast"/>
          <w:jc w:val="center"/>
        </w:trPr>
        <w:tc>
          <w:tcPr>
            <w:tcW w:w="1264" w:type="dxa"/>
            <w:gridSpan w:val="2"/>
            <w:vAlign w:val="center"/>
          </w:tcPr>
          <w:p>
            <w:pPr>
              <w:spacing w:line="300" w:lineRule="exact"/>
              <w:jc w:val="center"/>
              <w:rPr>
                <w:highlight w:val="none"/>
              </w:rPr>
            </w:pPr>
            <w:r>
              <w:rPr>
                <w:rFonts w:hint="eastAsia"/>
                <w:highlight w:val="none"/>
              </w:rPr>
              <w:t>大气</w:t>
            </w:r>
          </w:p>
        </w:tc>
        <w:tc>
          <w:tcPr>
            <w:tcW w:w="1875" w:type="dxa"/>
            <w:vAlign w:val="center"/>
          </w:tcPr>
          <w:p>
            <w:pPr>
              <w:spacing w:line="300" w:lineRule="exact"/>
              <w:jc w:val="center"/>
              <w:rPr>
                <w:highlight w:val="none"/>
              </w:rPr>
            </w:pPr>
            <w:r>
              <w:rPr>
                <w:rFonts w:hint="eastAsia"/>
                <w:highlight w:val="none"/>
              </w:rPr>
              <w:t>无废气产生</w:t>
            </w:r>
          </w:p>
        </w:tc>
        <w:tc>
          <w:tcPr>
            <w:tcW w:w="1155" w:type="dxa"/>
            <w:vAlign w:val="center"/>
          </w:tcPr>
          <w:p>
            <w:pPr>
              <w:spacing w:line="300" w:lineRule="exact"/>
              <w:jc w:val="center"/>
              <w:rPr>
                <w:highlight w:val="none"/>
              </w:rPr>
            </w:pPr>
            <w:r>
              <w:rPr>
                <w:rFonts w:hint="eastAsia"/>
                <w:highlight w:val="none"/>
              </w:rPr>
              <w:t>/</w:t>
            </w:r>
          </w:p>
        </w:tc>
        <w:tc>
          <w:tcPr>
            <w:tcW w:w="1530" w:type="dxa"/>
            <w:vAlign w:val="center"/>
          </w:tcPr>
          <w:p>
            <w:pPr>
              <w:spacing w:line="300" w:lineRule="exact"/>
              <w:jc w:val="center"/>
              <w:rPr>
                <w:highlight w:val="none"/>
              </w:rPr>
            </w:pPr>
            <w:r>
              <w:rPr>
                <w:rFonts w:hint="eastAsia"/>
                <w:highlight w:val="none"/>
              </w:rPr>
              <w:t>/</w:t>
            </w:r>
          </w:p>
        </w:tc>
        <w:tc>
          <w:tcPr>
            <w:tcW w:w="1215" w:type="dxa"/>
            <w:vAlign w:val="center"/>
          </w:tcPr>
          <w:p>
            <w:pPr>
              <w:spacing w:line="300" w:lineRule="exact"/>
              <w:jc w:val="center"/>
              <w:rPr>
                <w:highlight w:val="none"/>
              </w:rPr>
            </w:pPr>
            <w:r>
              <w:rPr>
                <w:rFonts w:hint="eastAsia"/>
                <w:highlight w:val="none"/>
              </w:rPr>
              <w:t>/</w:t>
            </w:r>
          </w:p>
        </w:tc>
        <w:tc>
          <w:tcPr>
            <w:tcW w:w="1118" w:type="dxa"/>
            <w:vAlign w:val="center"/>
          </w:tcPr>
          <w:p>
            <w:pPr>
              <w:spacing w:line="300" w:lineRule="exact"/>
              <w:jc w:val="center"/>
              <w:rPr>
                <w:highlight w:val="none"/>
              </w:rPr>
            </w:pPr>
            <w:r>
              <w:rPr>
                <w:rFonts w:hint="eastAsia"/>
                <w:highlight w:val="none"/>
              </w:rPr>
              <w:t>/</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03" w:hRule="atLeast"/>
          <w:jc w:val="center"/>
        </w:trPr>
        <w:tc>
          <w:tcPr>
            <w:tcW w:w="1264" w:type="dxa"/>
            <w:gridSpan w:val="2"/>
            <w:vAlign w:val="center"/>
          </w:tcPr>
          <w:p>
            <w:pPr>
              <w:spacing w:line="300" w:lineRule="exact"/>
              <w:jc w:val="center"/>
              <w:rPr>
                <w:highlight w:val="none"/>
              </w:rPr>
            </w:pPr>
            <w:r>
              <w:rPr>
                <w:rFonts w:hint="eastAsia"/>
                <w:highlight w:val="none"/>
              </w:rPr>
              <w:t>声环境</w:t>
            </w:r>
          </w:p>
        </w:tc>
        <w:tc>
          <w:tcPr>
            <w:tcW w:w="1875" w:type="dxa"/>
            <w:vAlign w:val="center"/>
          </w:tcPr>
          <w:p>
            <w:pPr>
              <w:spacing w:line="300" w:lineRule="exact"/>
              <w:jc w:val="center"/>
              <w:rPr>
                <w:highlight w:val="none"/>
              </w:rPr>
            </w:pPr>
            <w:r>
              <w:rPr>
                <w:rFonts w:hint="eastAsia"/>
                <w:highlight w:val="none"/>
              </w:rPr>
              <w:t>营运期噪声对周围环境影响</w:t>
            </w:r>
          </w:p>
        </w:tc>
        <w:tc>
          <w:tcPr>
            <w:tcW w:w="1155" w:type="dxa"/>
            <w:vAlign w:val="center"/>
          </w:tcPr>
          <w:p>
            <w:pPr>
              <w:spacing w:line="300" w:lineRule="exact"/>
              <w:jc w:val="center"/>
              <w:rPr>
                <w:highlight w:val="none"/>
              </w:rPr>
            </w:pPr>
            <w:r>
              <w:rPr>
                <w:rFonts w:hint="eastAsia"/>
                <w:highlight w:val="none"/>
              </w:rPr>
              <w:t>-2C</w:t>
            </w:r>
          </w:p>
        </w:tc>
        <w:tc>
          <w:tcPr>
            <w:tcW w:w="1530" w:type="dxa"/>
            <w:vAlign w:val="center"/>
          </w:tcPr>
          <w:p>
            <w:pPr>
              <w:spacing w:line="300" w:lineRule="exact"/>
              <w:jc w:val="center"/>
              <w:rPr>
                <w:highlight w:val="none"/>
              </w:rPr>
            </w:pPr>
            <w:r>
              <w:rPr>
                <w:rFonts w:hint="eastAsia"/>
                <w:highlight w:val="none"/>
              </w:rPr>
              <w:t>减震、隔声</w:t>
            </w:r>
          </w:p>
        </w:tc>
        <w:tc>
          <w:tcPr>
            <w:tcW w:w="1215" w:type="dxa"/>
            <w:vAlign w:val="center"/>
          </w:tcPr>
          <w:p>
            <w:pPr>
              <w:spacing w:line="300" w:lineRule="exact"/>
              <w:jc w:val="center"/>
              <w:rPr>
                <w:highlight w:val="none"/>
              </w:rPr>
            </w:pPr>
            <w:r>
              <w:rPr>
                <w:rFonts w:hint="eastAsia"/>
                <w:highlight w:val="none"/>
              </w:rPr>
              <w:t>对声环境 无明显影响</w:t>
            </w:r>
          </w:p>
        </w:tc>
        <w:tc>
          <w:tcPr>
            <w:tcW w:w="1118" w:type="dxa"/>
            <w:vAlign w:val="center"/>
          </w:tcPr>
          <w:p>
            <w:pPr>
              <w:spacing w:line="300" w:lineRule="exact"/>
              <w:jc w:val="center"/>
              <w:rPr>
                <w:highlight w:val="none"/>
              </w:rPr>
            </w:pPr>
            <w:r>
              <w:rPr>
                <w:rFonts w:hint="eastAsia"/>
                <w:highlight w:val="none"/>
              </w:rPr>
              <w:t>0C</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31" w:hRule="atLeast"/>
          <w:jc w:val="center"/>
        </w:trPr>
        <w:tc>
          <w:tcPr>
            <w:tcW w:w="484" w:type="dxa"/>
            <w:vMerge w:val="restart"/>
            <w:vAlign w:val="center"/>
          </w:tcPr>
          <w:p>
            <w:pPr>
              <w:spacing w:line="300" w:lineRule="exact"/>
              <w:jc w:val="center"/>
              <w:rPr>
                <w:highlight w:val="none"/>
              </w:rPr>
            </w:pPr>
            <w:r>
              <w:rPr>
                <w:rFonts w:hint="eastAsia"/>
                <w:highlight w:val="none"/>
              </w:rPr>
              <w:t>生态环境</w:t>
            </w:r>
          </w:p>
        </w:tc>
        <w:tc>
          <w:tcPr>
            <w:tcW w:w="780" w:type="dxa"/>
            <w:vAlign w:val="center"/>
          </w:tcPr>
          <w:p>
            <w:pPr>
              <w:spacing w:line="300" w:lineRule="exact"/>
              <w:jc w:val="center"/>
              <w:rPr>
                <w:highlight w:val="none"/>
              </w:rPr>
            </w:pPr>
            <w:r>
              <w:rPr>
                <w:rFonts w:hint="eastAsia"/>
                <w:highlight w:val="none"/>
              </w:rPr>
              <w:t>水土流失</w:t>
            </w:r>
          </w:p>
        </w:tc>
        <w:tc>
          <w:tcPr>
            <w:tcW w:w="1875" w:type="dxa"/>
            <w:vAlign w:val="center"/>
          </w:tcPr>
          <w:p>
            <w:pPr>
              <w:spacing w:line="300" w:lineRule="exact"/>
              <w:jc w:val="center"/>
              <w:rPr>
                <w:highlight w:val="none"/>
              </w:rPr>
            </w:pPr>
            <w:r>
              <w:rPr>
                <w:rFonts w:hint="eastAsia"/>
                <w:highlight w:val="none"/>
              </w:rPr>
              <w:t>工程占用土地破坏植被，开挖弃渣增大水土流失量</w:t>
            </w:r>
          </w:p>
        </w:tc>
        <w:tc>
          <w:tcPr>
            <w:tcW w:w="1155" w:type="dxa"/>
            <w:vAlign w:val="center"/>
          </w:tcPr>
          <w:p>
            <w:pPr>
              <w:spacing w:line="300" w:lineRule="exact"/>
              <w:jc w:val="center"/>
              <w:rPr>
                <w:highlight w:val="none"/>
              </w:rPr>
            </w:pPr>
            <w:r>
              <w:rPr>
                <w:rFonts w:hint="eastAsia"/>
                <w:highlight w:val="none"/>
              </w:rPr>
              <w:t>-3C</w:t>
            </w:r>
          </w:p>
        </w:tc>
        <w:tc>
          <w:tcPr>
            <w:tcW w:w="1530" w:type="dxa"/>
            <w:vAlign w:val="center"/>
          </w:tcPr>
          <w:p>
            <w:pPr>
              <w:spacing w:line="300" w:lineRule="exact"/>
              <w:jc w:val="center"/>
              <w:rPr>
                <w:highlight w:val="none"/>
              </w:rPr>
            </w:pPr>
            <w:r>
              <w:rPr>
                <w:rFonts w:hint="eastAsia"/>
                <w:highlight w:val="none"/>
              </w:rPr>
              <w:t>工程及植</w:t>
            </w:r>
          </w:p>
          <w:p>
            <w:pPr>
              <w:spacing w:line="300" w:lineRule="exact"/>
              <w:jc w:val="center"/>
              <w:rPr>
                <w:highlight w:val="none"/>
              </w:rPr>
            </w:pPr>
            <w:r>
              <w:rPr>
                <w:rFonts w:hint="eastAsia"/>
                <w:highlight w:val="none"/>
              </w:rPr>
              <w:t>物措施</w:t>
            </w:r>
          </w:p>
        </w:tc>
        <w:tc>
          <w:tcPr>
            <w:tcW w:w="1215" w:type="dxa"/>
            <w:vAlign w:val="center"/>
          </w:tcPr>
          <w:p>
            <w:pPr>
              <w:spacing w:line="300" w:lineRule="exact"/>
              <w:jc w:val="center"/>
              <w:rPr>
                <w:highlight w:val="none"/>
              </w:rPr>
            </w:pPr>
            <w:r>
              <w:rPr>
                <w:rFonts w:hint="eastAsia"/>
                <w:highlight w:val="none"/>
              </w:rPr>
              <w:t>土地进行修复、绿化等</w:t>
            </w:r>
          </w:p>
        </w:tc>
        <w:tc>
          <w:tcPr>
            <w:tcW w:w="1118" w:type="dxa"/>
            <w:vAlign w:val="center"/>
          </w:tcPr>
          <w:p>
            <w:pPr>
              <w:spacing w:line="300" w:lineRule="exact"/>
              <w:jc w:val="center"/>
              <w:rPr>
                <w:highlight w:val="none"/>
              </w:rPr>
            </w:pPr>
            <w:r>
              <w:rPr>
                <w:rFonts w:hint="eastAsia"/>
                <w:highlight w:val="none"/>
              </w:rPr>
              <w:t>+2C</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31" w:hRule="atLeast"/>
          <w:jc w:val="center"/>
        </w:trPr>
        <w:tc>
          <w:tcPr>
            <w:tcW w:w="484" w:type="dxa"/>
            <w:vMerge w:val="continue"/>
            <w:vAlign w:val="center"/>
          </w:tcPr>
          <w:p>
            <w:pPr>
              <w:spacing w:line="300" w:lineRule="exact"/>
              <w:jc w:val="center"/>
              <w:rPr>
                <w:highlight w:val="none"/>
              </w:rPr>
            </w:pPr>
          </w:p>
        </w:tc>
        <w:tc>
          <w:tcPr>
            <w:tcW w:w="780" w:type="dxa"/>
            <w:vAlign w:val="center"/>
          </w:tcPr>
          <w:p>
            <w:pPr>
              <w:spacing w:line="300" w:lineRule="exact"/>
              <w:jc w:val="center"/>
              <w:rPr>
                <w:highlight w:val="none"/>
              </w:rPr>
            </w:pPr>
            <w:r>
              <w:rPr>
                <w:rFonts w:hint="eastAsia"/>
                <w:highlight w:val="none"/>
              </w:rPr>
              <w:t>景观生态体系完整性</w:t>
            </w:r>
          </w:p>
        </w:tc>
        <w:tc>
          <w:tcPr>
            <w:tcW w:w="1875" w:type="dxa"/>
            <w:vAlign w:val="center"/>
          </w:tcPr>
          <w:p>
            <w:pPr>
              <w:spacing w:line="300" w:lineRule="exact"/>
              <w:jc w:val="center"/>
              <w:rPr>
                <w:highlight w:val="none"/>
              </w:rPr>
            </w:pPr>
            <w:r>
              <w:rPr>
                <w:rFonts w:hint="eastAsia"/>
                <w:highlight w:val="none"/>
              </w:rPr>
              <w:t>形成雍水区</w:t>
            </w:r>
          </w:p>
        </w:tc>
        <w:tc>
          <w:tcPr>
            <w:tcW w:w="1155" w:type="dxa"/>
            <w:vAlign w:val="center"/>
          </w:tcPr>
          <w:p>
            <w:pPr>
              <w:spacing w:line="300" w:lineRule="exact"/>
              <w:jc w:val="center"/>
              <w:rPr>
                <w:highlight w:val="none"/>
              </w:rPr>
            </w:pPr>
            <w:r>
              <w:rPr>
                <w:rFonts w:hint="eastAsia"/>
                <w:highlight w:val="none"/>
              </w:rPr>
              <w:t>±2C</w:t>
            </w:r>
          </w:p>
        </w:tc>
        <w:tc>
          <w:tcPr>
            <w:tcW w:w="1530" w:type="dxa"/>
            <w:vAlign w:val="center"/>
          </w:tcPr>
          <w:p>
            <w:pPr>
              <w:spacing w:line="300" w:lineRule="exact"/>
              <w:jc w:val="center"/>
              <w:rPr>
                <w:highlight w:val="none"/>
              </w:rPr>
            </w:pPr>
          </w:p>
        </w:tc>
        <w:tc>
          <w:tcPr>
            <w:tcW w:w="1215" w:type="dxa"/>
            <w:vAlign w:val="center"/>
          </w:tcPr>
          <w:p>
            <w:pPr>
              <w:spacing w:line="300" w:lineRule="exact"/>
              <w:jc w:val="center"/>
              <w:rPr>
                <w:highlight w:val="none"/>
              </w:rPr>
            </w:pPr>
            <w:r>
              <w:rPr>
                <w:rFonts w:hint="eastAsia"/>
                <w:highlight w:val="none"/>
              </w:rPr>
              <w:t>环境影响较小</w:t>
            </w:r>
          </w:p>
        </w:tc>
        <w:tc>
          <w:tcPr>
            <w:tcW w:w="1118" w:type="dxa"/>
            <w:vAlign w:val="center"/>
          </w:tcPr>
          <w:p>
            <w:pPr>
              <w:spacing w:line="300" w:lineRule="exact"/>
              <w:jc w:val="center"/>
              <w:rPr>
                <w:highlight w:val="none"/>
              </w:rPr>
            </w:pPr>
            <w:r>
              <w:rPr>
                <w:rFonts w:hint="eastAsia"/>
                <w:highlight w:val="none"/>
              </w:rPr>
              <w:t>+2C</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31" w:hRule="atLeast"/>
          <w:jc w:val="center"/>
        </w:trPr>
        <w:tc>
          <w:tcPr>
            <w:tcW w:w="484" w:type="dxa"/>
            <w:vMerge w:val="continue"/>
            <w:vAlign w:val="center"/>
          </w:tcPr>
          <w:p>
            <w:pPr>
              <w:spacing w:line="300" w:lineRule="exact"/>
              <w:jc w:val="center"/>
              <w:rPr>
                <w:highlight w:val="none"/>
              </w:rPr>
            </w:pPr>
          </w:p>
        </w:tc>
        <w:tc>
          <w:tcPr>
            <w:tcW w:w="780" w:type="dxa"/>
            <w:vAlign w:val="center"/>
          </w:tcPr>
          <w:p>
            <w:pPr>
              <w:spacing w:line="300" w:lineRule="exact"/>
              <w:jc w:val="center"/>
              <w:rPr>
                <w:highlight w:val="none"/>
              </w:rPr>
            </w:pPr>
            <w:r>
              <w:rPr>
                <w:rFonts w:hint="eastAsia"/>
                <w:highlight w:val="none"/>
              </w:rPr>
              <w:t>生态</w:t>
            </w:r>
          </w:p>
          <w:p>
            <w:pPr>
              <w:spacing w:line="300" w:lineRule="exact"/>
              <w:jc w:val="center"/>
              <w:rPr>
                <w:highlight w:val="none"/>
              </w:rPr>
            </w:pPr>
            <w:r>
              <w:rPr>
                <w:rFonts w:hint="eastAsia"/>
                <w:highlight w:val="none"/>
              </w:rPr>
              <w:t>保护</w:t>
            </w:r>
          </w:p>
        </w:tc>
        <w:tc>
          <w:tcPr>
            <w:tcW w:w="1875" w:type="dxa"/>
            <w:vAlign w:val="center"/>
          </w:tcPr>
          <w:p>
            <w:pPr>
              <w:spacing w:line="300" w:lineRule="exact"/>
              <w:jc w:val="center"/>
              <w:rPr>
                <w:highlight w:val="none"/>
              </w:rPr>
            </w:pPr>
            <w:r>
              <w:rPr>
                <w:rFonts w:hint="eastAsia"/>
                <w:highlight w:val="none"/>
              </w:rPr>
              <w:t>提供清洁能源，减少植被破坏产生不利影响</w:t>
            </w:r>
          </w:p>
        </w:tc>
        <w:tc>
          <w:tcPr>
            <w:tcW w:w="1155" w:type="dxa"/>
            <w:vAlign w:val="center"/>
          </w:tcPr>
          <w:p>
            <w:pPr>
              <w:spacing w:line="300" w:lineRule="exact"/>
              <w:jc w:val="center"/>
              <w:rPr>
                <w:highlight w:val="none"/>
              </w:rPr>
            </w:pPr>
            <w:r>
              <w:rPr>
                <w:highlight w:val="none"/>
              </w:rPr>
              <w:t>+2C</w:t>
            </w:r>
          </w:p>
        </w:tc>
        <w:tc>
          <w:tcPr>
            <w:tcW w:w="1530" w:type="dxa"/>
            <w:vAlign w:val="center"/>
          </w:tcPr>
          <w:p>
            <w:pPr>
              <w:spacing w:line="300" w:lineRule="exact"/>
              <w:jc w:val="center"/>
              <w:rPr>
                <w:highlight w:val="none"/>
              </w:rPr>
            </w:pPr>
            <w:r>
              <w:rPr>
                <w:rFonts w:hint="eastAsia"/>
                <w:highlight w:val="none"/>
              </w:rPr>
              <w:t>设置生态流量放水管</w:t>
            </w:r>
          </w:p>
        </w:tc>
        <w:tc>
          <w:tcPr>
            <w:tcW w:w="1215" w:type="dxa"/>
            <w:vAlign w:val="center"/>
          </w:tcPr>
          <w:p>
            <w:pPr>
              <w:spacing w:line="300" w:lineRule="exact"/>
              <w:jc w:val="center"/>
              <w:rPr>
                <w:highlight w:val="none"/>
              </w:rPr>
            </w:pPr>
            <w:r>
              <w:rPr>
                <w:rFonts w:hint="eastAsia"/>
                <w:highlight w:val="none"/>
              </w:rPr>
              <w:t>环境影响较小</w:t>
            </w:r>
          </w:p>
        </w:tc>
        <w:tc>
          <w:tcPr>
            <w:tcW w:w="1118" w:type="dxa"/>
            <w:vAlign w:val="center"/>
          </w:tcPr>
          <w:p>
            <w:pPr>
              <w:spacing w:line="300" w:lineRule="exact"/>
              <w:jc w:val="center"/>
              <w:rPr>
                <w:highlight w:val="none"/>
              </w:rPr>
            </w:pPr>
            <w:r>
              <w:rPr>
                <w:rFonts w:hint="eastAsia"/>
                <w:highlight w:val="none"/>
              </w:rPr>
              <w:t>+2C</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31" w:hRule="atLeast"/>
          <w:jc w:val="center"/>
        </w:trPr>
        <w:tc>
          <w:tcPr>
            <w:tcW w:w="484" w:type="dxa"/>
            <w:vMerge w:val="continue"/>
            <w:vAlign w:val="center"/>
          </w:tcPr>
          <w:p>
            <w:pPr>
              <w:spacing w:line="300" w:lineRule="exact"/>
              <w:jc w:val="center"/>
              <w:rPr>
                <w:highlight w:val="none"/>
              </w:rPr>
            </w:pPr>
          </w:p>
        </w:tc>
        <w:tc>
          <w:tcPr>
            <w:tcW w:w="780" w:type="dxa"/>
            <w:vAlign w:val="center"/>
          </w:tcPr>
          <w:p>
            <w:pPr>
              <w:spacing w:line="300" w:lineRule="exact"/>
              <w:jc w:val="center"/>
              <w:rPr>
                <w:highlight w:val="none"/>
              </w:rPr>
            </w:pPr>
            <w:r>
              <w:rPr>
                <w:rFonts w:hint="eastAsia"/>
                <w:highlight w:val="none"/>
              </w:rPr>
              <w:t>局地</w:t>
            </w:r>
          </w:p>
          <w:p>
            <w:pPr>
              <w:spacing w:line="300" w:lineRule="exact"/>
              <w:jc w:val="center"/>
              <w:rPr>
                <w:highlight w:val="none"/>
              </w:rPr>
            </w:pPr>
            <w:r>
              <w:rPr>
                <w:rFonts w:hint="eastAsia"/>
                <w:highlight w:val="none"/>
              </w:rPr>
              <w:t>气候</w:t>
            </w:r>
          </w:p>
        </w:tc>
        <w:tc>
          <w:tcPr>
            <w:tcW w:w="1875" w:type="dxa"/>
            <w:vAlign w:val="center"/>
          </w:tcPr>
          <w:p>
            <w:pPr>
              <w:spacing w:line="300" w:lineRule="exact"/>
              <w:jc w:val="center"/>
              <w:rPr>
                <w:highlight w:val="none"/>
              </w:rPr>
            </w:pPr>
            <w:r>
              <w:rPr>
                <w:rFonts w:hint="eastAsia"/>
                <w:highlight w:val="none"/>
              </w:rPr>
              <w:t>/</w:t>
            </w:r>
          </w:p>
        </w:tc>
        <w:tc>
          <w:tcPr>
            <w:tcW w:w="1155" w:type="dxa"/>
            <w:vAlign w:val="center"/>
          </w:tcPr>
          <w:p>
            <w:pPr>
              <w:spacing w:line="300" w:lineRule="exact"/>
              <w:jc w:val="center"/>
              <w:rPr>
                <w:highlight w:val="none"/>
              </w:rPr>
            </w:pPr>
            <w:r>
              <w:rPr>
                <w:rFonts w:hint="eastAsia"/>
                <w:highlight w:val="none"/>
              </w:rPr>
              <w:t>/</w:t>
            </w:r>
          </w:p>
        </w:tc>
        <w:tc>
          <w:tcPr>
            <w:tcW w:w="1530" w:type="dxa"/>
            <w:vAlign w:val="center"/>
          </w:tcPr>
          <w:p>
            <w:pPr>
              <w:spacing w:line="300" w:lineRule="exact"/>
              <w:jc w:val="center"/>
              <w:rPr>
                <w:highlight w:val="none"/>
              </w:rPr>
            </w:pPr>
            <w:r>
              <w:rPr>
                <w:rFonts w:hint="eastAsia"/>
                <w:highlight w:val="none"/>
              </w:rPr>
              <w:t>/</w:t>
            </w:r>
          </w:p>
        </w:tc>
        <w:tc>
          <w:tcPr>
            <w:tcW w:w="1215" w:type="dxa"/>
            <w:vAlign w:val="center"/>
          </w:tcPr>
          <w:p>
            <w:pPr>
              <w:spacing w:line="300" w:lineRule="exact"/>
              <w:jc w:val="center"/>
              <w:rPr>
                <w:highlight w:val="none"/>
              </w:rPr>
            </w:pPr>
            <w:r>
              <w:rPr>
                <w:rFonts w:hint="eastAsia"/>
                <w:highlight w:val="none"/>
              </w:rPr>
              <w:t>/</w:t>
            </w:r>
          </w:p>
        </w:tc>
        <w:tc>
          <w:tcPr>
            <w:tcW w:w="1118" w:type="dxa"/>
            <w:vAlign w:val="center"/>
          </w:tcPr>
          <w:p>
            <w:pPr>
              <w:spacing w:line="300" w:lineRule="exact"/>
              <w:jc w:val="center"/>
              <w:rPr>
                <w:highlight w:val="none"/>
              </w:rPr>
            </w:pPr>
            <w:r>
              <w:rPr>
                <w:rFonts w:hint="eastAsia"/>
                <w:highlight w:val="none"/>
              </w:rPr>
              <w:t>/</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31" w:hRule="atLeast"/>
          <w:jc w:val="center"/>
        </w:trPr>
        <w:tc>
          <w:tcPr>
            <w:tcW w:w="1264" w:type="dxa"/>
            <w:gridSpan w:val="2"/>
            <w:vAlign w:val="center"/>
          </w:tcPr>
          <w:p>
            <w:pPr>
              <w:spacing w:line="300" w:lineRule="exact"/>
              <w:jc w:val="center"/>
              <w:rPr>
                <w:highlight w:val="none"/>
              </w:rPr>
            </w:pPr>
            <w:r>
              <w:rPr>
                <w:rFonts w:hint="eastAsia"/>
                <w:highlight w:val="none"/>
              </w:rPr>
              <w:t>淹没</w:t>
            </w:r>
          </w:p>
        </w:tc>
        <w:tc>
          <w:tcPr>
            <w:tcW w:w="1875" w:type="dxa"/>
            <w:vAlign w:val="center"/>
          </w:tcPr>
          <w:p>
            <w:pPr>
              <w:spacing w:line="300" w:lineRule="exact"/>
              <w:jc w:val="center"/>
              <w:rPr>
                <w:highlight w:val="none"/>
              </w:rPr>
            </w:pPr>
            <w:r>
              <w:rPr>
                <w:rFonts w:hint="eastAsia"/>
                <w:highlight w:val="none"/>
              </w:rPr>
              <w:t>/</w:t>
            </w:r>
          </w:p>
        </w:tc>
        <w:tc>
          <w:tcPr>
            <w:tcW w:w="1155" w:type="dxa"/>
            <w:vAlign w:val="center"/>
          </w:tcPr>
          <w:p>
            <w:pPr>
              <w:spacing w:line="300" w:lineRule="exact"/>
              <w:jc w:val="center"/>
              <w:rPr>
                <w:highlight w:val="none"/>
              </w:rPr>
            </w:pPr>
            <w:r>
              <w:rPr>
                <w:rFonts w:hint="eastAsia"/>
                <w:highlight w:val="none"/>
              </w:rPr>
              <w:t>/</w:t>
            </w:r>
          </w:p>
        </w:tc>
        <w:tc>
          <w:tcPr>
            <w:tcW w:w="1530" w:type="dxa"/>
            <w:vAlign w:val="center"/>
          </w:tcPr>
          <w:p>
            <w:pPr>
              <w:spacing w:line="300" w:lineRule="exact"/>
              <w:jc w:val="center"/>
              <w:rPr>
                <w:highlight w:val="none"/>
              </w:rPr>
            </w:pPr>
            <w:r>
              <w:rPr>
                <w:rFonts w:hint="eastAsia"/>
                <w:highlight w:val="none"/>
              </w:rPr>
              <w:t>/</w:t>
            </w:r>
          </w:p>
        </w:tc>
        <w:tc>
          <w:tcPr>
            <w:tcW w:w="1215" w:type="dxa"/>
            <w:vAlign w:val="center"/>
          </w:tcPr>
          <w:p>
            <w:pPr>
              <w:spacing w:line="300" w:lineRule="exact"/>
              <w:jc w:val="center"/>
              <w:rPr>
                <w:highlight w:val="none"/>
              </w:rPr>
            </w:pPr>
            <w:r>
              <w:rPr>
                <w:rFonts w:hint="eastAsia"/>
                <w:highlight w:val="none"/>
              </w:rPr>
              <w:t>/</w:t>
            </w:r>
          </w:p>
        </w:tc>
        <w:tc>
          <w:tcPr>
            <w:tcW w:w="1118" w:type="dxa"/>
            <w:vAlign w:val="center"/>
          </w:tcPr>
          <w:p>
            <w:pPr>
              <w:spacing w:line="300" w:lineRule="exact"/>
              <w:jc w:val="center"/>
              <w:rPr>
                <w:highlight w:val="none"/>
              </w:rPr>
            </w:pPr>
            <w:r>
              <w:rPr>
                <w:rFonts w:hint="eastAsia"/>
                <w:highlight w:val="none"/>
              </w:rPr>
              <w:t>/</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31" w:hRule="atLeast"/>
          <w:jc w:val="center"/>
        </w:trPr>
        <w:tc>
          <w:tcPr>
            <w:tcW w:w="1264" w:type="dxa"/>
            <w:gridSpan w:val="2"/>
            <w:vAlign w:val="center"/>
          </w:tcPr>
          <w:p>
            <w:pPr>
              <w:spacing w:line="300" w:lineRule="exact"/>
              <w:jc w:val="center"/>
              <w:rPr>
                <w:highlight w:val="none"/>
              </w:rPr>
            </w:pPr>
            <w:r>
              <w:rPr>
                <w:rFonts w:hint="eastAsia"/>
                <w:highlight w:val="none"/>
              </w:rPr>
              <w:t>环境地质</w:t>
            </w:r>
          </w:p>
        </w:tc>
        <w:tc>
          <w:tcPr>
            <w:tcW w:w="1875" w:type="dxa"/>
            <w:vAlign w:val="center"/>
          </w:tcPr>
          <w:p>
            <w:pPr>
              <w:spacing w:line="300" w:lineRule="exact"/>
              <w:jc w:val="center"/>
              <w:rPr>
                <w:highlight w:val="none"/>
              </w:rPr>
            </w:pPr>
            <w:r>
              <w:rPr>
                <w:rFonts w:hint="eastAsia"/>
                <w:highlight w:val="none"/>
              </w:rPr>
              <w:t>/</w:t>
            </w:r>
          </w:p>
        </w:tc>
        <w:tc>
          <w:tcPr>
            <w:tcW w:w="1155" w:type="dxa"/>
            <w:vAlign w:val="center"/>
          </w:tcPr>
          <w:p>
            <w:pPr>
              <w:spacing w:line="300" w:lineRule="exact"/>
              <w:jc w:val="center"/>
              <w:rPr>
                <w:highlight w:val="none"/>
              </w:rPr>
            </w:pPr>
            <w:r>
              <w:rPr>
                <w:rFonts w:hint="eastAsia"/>
                <w:highlight w:val="none"/>
              </w:rPr>
              <w:t>/</w:t>
            </w:r>
          </w:p>
        </w:tc>
        <w:tc>
          <w:tcPr>
            <w:tcW w:w="1530" w:type="dxa"/>
            <w:vAlign w:val="center"/>
          </w:tcPr>
          <w:p>
            <w:pPr>
              <w:spacing w:line="300" w:lineRule="exact"/>
              <w:jc w:val="center"/>
              <w:rPr>
                <w:highlight w:val="none"/>
              </w:rPr>
            </w:pPr>
            <w:r>
              <w:rPr>
                <w:rFonts w:hint="eastAsia"/>
                <w:highlight w:val="none"/>
              </w:rPr>
              <w:t>/</w:t>
            </w:r>
          </w:p>
        </w:tc>
        <w:tc>
          <w:tcPr>
            <w:tcW w:w="1215" w:type="dxa"/>
            <w:vAlign w:val="center"/>
          </w:tcPr>
          <w:p>
            <w:pPr>
              <w:spacing w:line="300" w:lineRule="exact"/>
              <w:jc w:val="center"/>
              <w:rPr>
                <w:highlight w:val="none"/>
              </w:rPr>
            </w:pPr>
            <w:r>
              <w:rPr>
                <w:rFonts w:hint="eastAsia"/>
                <w:highlight w:val="none"/>
              </w:rPr>
              <w:t>/</w:t>
            </w:r>
          </w:p>
        </w:tc>
        <w:tc>
          <w:tcPr>
            <w:tcW w:w="1118" w:type="dxa"/>
            <w:vAlign w:val="center"/>
          </w:tcPr>
          <w:p>
            <w:pPr>
              <w:spacing w:line="300" w:lineRule="exact"/>
              <w:jc w:val="center"/>
              <w:rPr>
                <w:highlight w:val="none"/>
              </w:rPr>
            </w:pPr>
            <w:r>
              <w:rPr>
                <w:rFonts w:hint="eastAsia"/>
                <w:highlight w:val="none"/>
              </w:rPr>
              <w:t>/</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31" w:hRule="atLeast"/>
          <w:jc w:val="center"/>
        </w:trPr>
        <w:tc>
          <w:tcPr>
            <w:tcW w:w="3139" w:type="dxa"/>
            <w:gridSpan w:val="3"/>
            <w:vAlign w:val="center"/>
          </w:tcPr>
          <w:p>
            <w:pPr>
              <w:spacing w:line="300" w:lineRule="exact"/>
              <w:jc w:val="center"/>
              <w:rPr>
                <w:highlight w:val="none"/>
              </w:rPr>
            </w:pPr>
            <w:r>
              <w:rPr>
                <w:rFonts w:hint="eastAsia"/>
                <w:highlight w:val="none"/>
              </w:rPr>
              <w:t>工程对水、大气、声环境及水土流失、景观生态的综合影响</w:t>
            </w:r>
          </w:p>
        </w:tc>
        <w:tc>
          <w:tcPr>
            <w:tcW w:w="1155" w:type="dxa"/>
            <w:vAlign w:val="center"/>
          </w:tcPr>
          <w:p>
            <w:pPr>
              <w:spacing w:line="300" w:lineRule="exact"/>
              <w:jc w:val="center"/>
              <w:rPr>
                <w:highlight w:val="none"/>
              </w:rPr>
            </w:pPr>
          </w:p>
        </w:tc>
        <w:tc>
          <w:tcPr>
            <w:tcW w:w="2745" w:type="dxa"/>
            <w:gridSpan w:val="2"/>
            <w:vAlign w:val="center"/>
          </w:tcPr>
          <w:p>
            <w:pPr>
              <w:spacing w:line="300" w:lineRule="exact"/>
              <w:jc w:val="center"/>
              <w:rPr>
                <w:highlight w:val="none"/>
              </w:rPr>
            </w:pPr>
            <w:r>
              <w:rPr>
                <w:rFonts w:hint="eastAsia"/>
                <w:highlight w:val="none"/>
              </w:rPr>
              <w:t>加强生态环境管理，保持电站周边环境质量的良好状态</w:t>
            </w:r>
          </w:p>
        </w:tc>
        <w:tc>
          <w:tcPr>
            <w:tcW w:w="1118" w:type="dxa"/>
            <w:vAlign w:val="center"/>
          </w:tcPr>
          <w:p>
            <w:pPr>
              <w:spacing w:line="300" w:lineRule="exact"/>
              <w:jc w:val="center"/>
              <w:rPr>
                <w:highlight w:val="none"/>
              </w:rPr>
            </w:pPr>
            <w:r>
              <w:rPr>
                <w:rFonts w:hint="eastAsia"/>
                <w:highlight w:val="none"/>
              </w:rPr>
              <w:t>+3C</w:t>
            </w:r>
          </w:p>
        </w:tc>
      </w:tr>
    </w:tbl>
    <w:p>
      <w:pPr>
        <w:spacing w:line="480" w:lineRule="exact"/>
        <w:ind w:firstLine="480" w:firstLineChars="200"/>
        <w:rPr>
          <w:sz w:val="24"/>
          <w:highlight w:val="none"/>
        </w:rPr>
      </w:pPr>
      <w:r>
        <w:rPr>
          <w:rFonts w:hint="eastAsia"/>
          <w:sz w:val="24"/>
          <w:highlight w:val="none"/>
        </w:rPr>
        <w:t>注：“-、+、±”分别表示环境影响性质为：不利、有利、中性；“C、D”分别表示影响时间为：长期、短期；“0、1、2、3”分别表示影响程度为：无影响、弱、中、强。</w:t>
      </w:r>
    </w:p>
    <w:p>
      <w:pPr>
        <w:pStyle w:val="3"/>
        <w:spacing w:beforeLines="0" w:line="480" w:lineRule="exact"/>
        <w:rPr>
          <w:rFonts w:eastAsia="宋体"/>
          <w:b/>
          <w:bCs/>
          <w:szCs w:val="22"/>
          <w:highlight w:val="none"/>
        </w:rPr>
      </w:pPr>
      <w:r>
        <w:rPr>
          <w:rFonts w:hint="eastAsia"/>
          <w:sz w:val="21"/>
          <w:szCs w:val="21"/>
          <w:highlight w:val="none"/>
        </w:rPr>
        <w:t xml:space="preserve"> </w:t>
      </w:r>
      <w:bookmarkStart w:id="335" w:name="_Toc16262"/>
      <w:r>
        <w:rPr>
          <w:rFonts w:hint="eastAsia" w:eastAsia="宋体"/>
          <w:b/>
          <w:bCs/>
          <w:szCs w:val="22"/>
          <w:highlight w:val="none"/>
        </w:rPr>
        <w:t>8</w:t>
      </w:r>
      <w:r>
        <w:rPr>
          <w:rFonts w:eastAsia="宋体"/>
          <w:b/>
          <w:bCs/>
          <w:szCs w:val="22"/>
          <w:highlight w:val="none"/>
        </w:rPr>
        <w:t>.</w:t>
      </w:r>
      <w:r>
        <w:rPr>
          <w:rFonts w:hint="eastAsia" w:eastAsia="宋体"/>
          <w:b/>
          <w:bCs/>
          <w:szCs w:val="22"/>
          <w:highlight w:val="none"/>
        </w:rPr>
        <w:t>4</w:t>
      </w:r>
      <w:r>
        <w:rPr>
          <w:rFonts w:eastAsia="宋体"/>
          <w:b/>
          <w:bCs/>
          <w:szCs w:val="22"/>
          <w:highlight w:val="none"/>
        </w:rPr>
        <w:t xml:space="preserve"> 环境经济分析</w:t>
      </w:r>
      <w:r>
        <w:rPr>
          <w:rFonts w:hint="eastAsia" w:eastAsia="宋体"/>
          <w:b/>
          <w:bCs/>
          <w:szCs w:val="22"/>
          <w:highlight w:val="none"/>
        </w:rPr>
        <w:t>结论</w:t>
      </w:r>
      <w:bookmarkEnd w:id="335"/>
    </w:p>
    <w:p>
      <w:pPr>
        <w:spacing w:line="480" w:lineRule="exact"/>
        <w:ind w:firstLine="480" w:firstLineChars="200"/>
        <w:rPr>
          <w:rFonts w:hint="eastAsia"/>
          <w:sz w:val="24"/>
          <w:highlight w:val="none"/>
        </w:rPr>
      </w:pPr>
      <w:r>
        <w:rPr>
          <w:rFonts w:hint="eastAsia"/>
          <w:sz w:val="24"/>
          <w:highlight w:val="none"/>
        </w:rPr>
        <w:t>综上所述，工程占地是环境损失的主要来源，但随着工程运行期环境保护措施的落实，将短期受破坏的生态环境得到较大限度的恢复和改善，使工程的社会效益、经济效益远大于环境损失，本工程的建设利大于弊，是可行的。</w:t>
      </w:r>
    </w:p>
    <w:p>
      <w:pPr>
        <w:rPr>
          <w:rFonts w:hint="eastAsia"/>
          <w:sz w:val="24"/>
          <w:highlight w:val="none"/>
        </w:rPr>
      </w:pPr>
      <w:r>
        <w:rPr>
          <w:rFonts w:hint="eastAsia"/>
          <w:sz w:val="24"/>
          <w:highlight w:val="none"/>
        </w:rPr>
        <w:br w:type="page"/>
      </w:r>
    </w:p>
    <w:bookmarkEnd w:id="310"/>
    <w:bookmarkEnd w:id="311"/>
    <w:p>
      <w:pPr>
        <w:spacing w:line="480" w:lineRule="exact"/>
        <w:outlineLvl w:val="0"/>
        <w:rPr>
          <w:rFonts w:hint="default" w:ascii="Times New Roman" w:hAnsi="Times New Roman" w:eastAsia="宋体" w:cs="Times New Roman"/>
          <w:b/>
          <w:sz w:val="24"/>
          <w:highlight w:val="none"/>
        </w:rPr>
      </w:pPr>
      <w:bookmarkStart w:id="336" w:name="_Toc11466"/>
      <w:bookmarkStart w:id="337" w:name="_Toc25117"/>
      <w:bookmarkStart w:id="338" w:name="_Toc502266209"/>
      <w:bookmarkStart w:id="339" w:name="_Toc15738"/>
      <w:bookmarkStart w:id="340" w:name="_Toc246763581"/>
      <w:bookmarkStart w:id="341" w:name="_Toc24774977"/>
      <w:bookmarkStart w:id="342" w:name="_Toc24775091"/>
      <w:bookmarkStart w:id="343" w:name="_Toc23732388"/>
      <w:bookmarkStart w:id="344" w:name="_Toc2851246"/>
      <w:bookmarkStart w:id="345" w:name="_Toc99941188"/>
      <w:bookmarkStart w:id="346" w:name="_Toc1808197"/>
      <w:bookmarkStart w:id="347" w:name="_Toc10953956"/>
      <w:bookmarkStart w:id="348" w:name="_Toc10954048"/>
      <w:bookmarkStart w:id="349" w:name="_Toc32742832"/>
      <w:bookmarkStart w:id="350" w:name="_Toc10953780"/>
      <w:bookmarkStart w:id="351" w:name="_Toc11661902"/>
      <w:bookmarkStart w:id="352" w:name="_Toc24774258"/>
      <w:bookmarkStart w:id="353" w:name="_Toc36967987"/>
      <w:bookmarkStart w:id="354" w:name="_Toc38273073"/>
      <w:bookmarkStart w:id="355" w:name="_Toc2851397"/>
      <w:bookmarkStart w:id="356" w:name="_Toc32742206"/>
      <w:bookmarkStart w:id="357" w:name="_Toc24775222"/>
      <w:bookmarkStart w:id="358" w:name="_Toc34467825"/>
      <w:bookmarkStart w:id="359" w:name="_Toc157136218"/>
      <w:bookmarkStart w:id="360" w:name="_Toc74475028"/>
      <w:bookmarkStart w:id="361" w:name="_Toc36962154"/>
      <w:bookmarkStart w:id="362" w:name="_Toc10954217"/>
      <w:bookmarkStart w:id="363" w:name="_Toc24860581"/>
      <w:bookmarkStart w:id="364" w:name="_Toc533937620"/>
      <w:bookmarkStart w:id="365" w:name="_Toc20104530"/>
      <w:bookmarkStart w:id="366" w:name="_Toc10954543"/>
      <w:bookmarkStart w:id="367" w:name="_Toc24860498"/>
      <w:bookmarkStart w:id="368" w:name="_Toc1807739"/>
      <w:bookmarkStart w:id="369" w:name="_Toc20645425"/>
      <w:r>
        <w:rPr>
          <w:rFonts w:ascii="Times New Roman" w:hAnsi="Times New Roman" w:eastAsia="宋体" w:cs="Times New Roman"/>
          <w:b/>
          <w:sz w:val="24"/>
          <w:highlight w:val="none"/>
        </w:rPr>
        <w:t xml:space="preserve">9 </w:t>
      </w:r>
      <w:r>
        <w:rPr>
          <w:rFonts w:hint="default" w:ascii="Times New Roman" w:hAnsi="Times New Roman" w:eastAsia="宋体" w:cs="Times New Roman"/>
          <w:b/>
          <w:sz w:val="24"/>
          <w:highlight w:val="none"/>
        </w:rPr>
        <w:t>环境管理与环境监测</w:t>
      </w:r>
      <w:bookmarkEnd w:id="336"/>
      <w:bookmarkEnd w:id="337"/>
      <w:bookmarkEnd w:id="338"/>
      <w:bookmarkEnd w:id="339"/>
    </w:p>
    <w:p>
      <w:pPr>
        <w:spacing w:line="480" w:lineRule="exact"/>
        <w:ind w:firstLine="480" w:firstLineChars="200"/>
        <w:rPr>
          <w:sz w:val="24"/>
          <w:highlight w:val="none"/>
        </w:rPr>
      </w:pPr>
      <w:r>
        <w:rPr>
          <w:rFonts w:hint="eastAsia"/>
          <w:sz w:val="24"/>
          <w:highlight w:val="none"/>
        </w:rPr>
        <w:t>建设项目在施工期和运行期，都将对周围环境造成一定的影响，开展项目的环境管理及监测的目的是要全面落实环境保护是我国基本国策的精神；对拟建项目从设计施工到运行阶段的环保问题进行科学管理，对工程设计及实施进行监督管理，同时进行系统的环境监测，及时、准确、全面地了解项目环保措施的落实情况及环境污染状况，掌握污染动态，发现潜在的不利影响，从而及时采取有效的环保措施以减轻和消除不利影响，以便使环保设施发挥最佳效果，使环境不利影响减免到最低限度。使建设项目的经济效益、社会效益和环境效益得到有机的统一。</w:t>
      </w:r>
    </w:p>
    <w:p>
      <w:pPr>
        <w:spacing w:line="480" w:lineRule="exact"/>
        <w:outlineLvl w:val="0"/>
        <w:rPr>
          <w:rFonts w:ascii="Times New Roman" w:hAnsi="Times New Roman" w:eastAsia="宋体" w:cs="Times New Roman"/>
          <w:b/>
          <w:sz w:val="24"/>
          <w:highlight w:val="none"/>
        </w:rPr>
      </w:pPr>
      <w:bookmarkStart w:id="370" w:name="_Toc456279394"/>
      <w:bookmarkStart w:id="371" w:name="_Toc376521012"/>
      <w:bookmarkStart w:id="372" w:name="_Toc376521418"/>
      <w:bookmarkStart w:id="373" w:name="_Toc438285822"/>
      <w:bookmarkStart w:id="374" w:name="_Toc455416291"/>
      <w:bookmarkStart w:id="375" w:name="_Toc21492"/>
      <w:bookmarkStart w:id="376" w:name="_Toc19449"/>
      <w:bookmarkStart w:id="377" w:name="_Toc455416503"/>
      <w:bookmarkStart w:id="378" w:name="_Toc437951385"/>
      <w:bookmarkStart w:id="379" w:name="_Toc361729387"/>
      <w:bookmarkStart w:id="380" w:name="_Toc378345796"/>
      <w:bookmarkStart w:id="381" w:name="_Toc13313"/>
      <w:bookmarkStart w:id="382" w:name="_Toc1187"/>
      <w:bookmarkStart w:id="383" w:name="_Toc378688926"/>
      <w:bookmarkStart w:id="384" w:name="_Toc437618742"/>
      <w:bookmarkStart w:id="385" w:name="_Toc502266210"/>
      <w:bookmarkStart w:id="386" w:name="_Toc455416396"/>
      <w:bookmarkStart w:id="387" w:name="_Toc404353699"/>
      <w:bookmarkStart w:id="388" w:name="_Toc457301615"/>
      <w:bookmarkStart w:id="389" w:name="_Toc377414496"/>
      <w:bookmarkStart w:id="390" w:name="_Toc246763577"/>
      <w:bookmarkStart w:id="391" w:name="_Toc438472858"/>
      <w:bookmarkStart w:id="392" w:name="_Toc438646371"/>
      <w:r>
        <w:rPr>
          <w:rFonts w:hint="eastAsia" w:ascii="Times New Roman" w:hAnsi="Times New Roman" w:eastAsia="宋体" w:cs="Times New Roman"/>
          <w:b/>
          <w:sz w:val="24"/>
          <w:highlight w:val="none"/>
        </w:rPr>
        <w:t>9</w:t>
      </w:r>
      <w:r>
        <w:rPr>
          <w:rFonts w:ascii="Times New Roman" w:hAnsi="Times New Roman" w:eastAsia="宋体" w:cs="Times New Roman"/>
          <w:b/>
          <w:sz w:val="24"/>
          <w:highlight w:val="none"/>
        </w:rPr>
        <w:t>.1环境管理</w:t>
      </w:r>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p>
    <w:p>
      <w:pPr>
        <w:pStyle w:val="309"/>
        <w:rPr>
          <w:rFonts w:ascii="Times New Roman" w:hAnsi="Times New Roman"/>
          <w:highlight w:val="none"/>
        </w:rPr>
      </w:pPr>
      <w:r>
        <w:rPr>
          <w:rFonts w:hint="eastAsia" w:ascii="Times New Roman" w:hAnsi="Times New Roman"/>
          <w:highlight w:val="none"/>
        </w:rPr>
        <w:t>本项目已投入运营，施工期管理已落实，本次评价不对施工期环境管理制度、机构和职责作进一步说明</w:t>
      </w:r>
    </w:p>
    <w:p>
      <w:pPr>
        <w:pStyle w:val="309"/>
        <w:ind w:firstLine="0" w:firstLineChars="0"/>
        <w:rPr>
          <w:rFonts w:ascii="Times New Roman" w:hAnsi="Times New Roman"/>
          <w:b/>
          <w:bCs/>
          <w:highlight w:val="none"/>
        </w:rPr>
      </w:pPr>
      <w:r>
        <w:rPr>
          <w:rFonts w:hint="eastAsia" w:ascii="Times New Roman" w:hAnsi="Times New Roman"/>
          <w:b/>
          <w:bCs/>
          <w:highlight w:val="none"/>
        </w:rPr>
        <w:t>9.1.1 环境管理目标</w:t>
      </w:r>
    </w:p>
    <w:p>
      <w:pPr>
        <w:pStyle w:val="309"/>
        <w:rPr>
          <w:rFonts w:ascii="Times New Roman" w:hAnsi="Times New Roman"/>
          <w:highlight w:val="none"/>
        </w:rPr>
      </w:pPr>
      <w:r>
        <w:rPr>
          <w:rFonts w:hint="eastAsia" w:ascii="Times New Roman" w:hAnsi="Times New Roman"/>
          <w:highlight w:val="none"/>
        </w:rPr>
        <w:t>（1）保证各项环境保护措施按照环境影响报告书及其批复、环境保护设计的要求实施，使各项环境保护设施正常、有效运行。</w:t>
      </w:r>
    </w:p>
    <w:p>
      <w:pPr>
        <w:pStyle w:val="309"/>
        <w:rPr>
          <w:rFonts w:ascii="Times New Roman" w:hAnsi="Times New Roman"/>
          <w:highlight w:val="none"/>
        </w:rPr>
      </w:pPr>
      <w:r>
        <w:rPr>
          <w:rFonts w:hint="eastAsia" w:ascii="Times New Roman" w:hAnsi="Times New Roman"/>
          <w:highlight w:val="none"/>
        </w:rPr>
        <w:t>（2）预防污染事故的发生，保证各类污染物达标排放、合理回用，使工程区及其附近的水环境、环境空气和声环境质量达到环境质量要求的标准。</w:t>
      </w:r>
    </w:p>
    <w:p>
      <w:pPr>
        <w:pStyle w:val="309"/>
        <w:rPr>
          <w:rFonts w:ascii="Times New Roman" w:hAnsi="Times New Roman"/>
          <w:highlight w:val="none"/>
        </w:rPr>
      </w:pPr>
      <w:r>
        <w:rPr>
          <w:rFonts w:hint="eastAsia" w:ascii="Times New Roman" w:hAnsi="Times New Roman"/>
          <w:highlight w:val="none"/>
        </w:rPr>
        <w:t>（3）梳理工程运营与环境保护的关系，加强工程运营的环境管理，促进项目区域环境美化。</w:t>
      </w:r>
    </w:p>
    <w:p>
      <w:pPr>
        <w:pStyle w:val="309"/>
        <w:ind w:firstLine="0" w:firstLineChars="0"/>
        <w:rPr>
          <w:rFonts w:ascii="Times New Roman" w:hAnsi="Times New Roman"/>
          <w:b/>
          <w:bCs/>
          <w:highlight w:val="none"/>
        </w:rPr>
      </w:pPr>
      <w:r>
        <w:rPr>
          <w:rFonts w:hint="eastAsia" w:ascii="Times New Roman" w:hAnsi="Times New Roman"/>
          <w:b/>
          <w:bCs/>
          <w:highlight w:val="none"/>
        </w:rPr>
        <w:t>9.1.2 环境管理体系</w:t>
      </w:r>
    </w:p>
    <w:p>
      <w:pPr>
        <w:pStyle w:val="309"/>
        <w:rPr>
          <w:rFonts w:ascii="Times New Roman" w:hAnsi="Times New Roman"/>
          <w:highlight w:val="none"/>
        </w:rPr>
      </w:pPr>
      <w:r>
        <w:rPr>
          <w:rFonts w:hint="eastAsia" w:ascii="Times New Roman" w:hAnsi="Times New Roman"/>
          <w:highlight w:val="none"/>
        </w:rPr>
        <w:t>（1）水电站环境管理分为外部环境管理和内部环境管理两部分。环保工作由总经理全面负责，电站内设兼职环保员1人.</w:t>
      </w:r>
    </w:p>
    <w:p>
      <w:pPr>
        <w:pStyle w:val="309"/>
        <w:rPr>
          <w:rFonts w:ascii="Times New Roman" w:hAnsi="Times New Roman"/>
          <w:highlight w:val="none"/>
        </w:rPr>
      </w:pPr>
      <w:r>
        <w:rPr>
          <w:rFonts w:hint="eastAsia" w:ascii="Times New Roman" w:hAnsi="Times New Roman"/>
          <w:highlight w:val="none"/>
        </w:rPr>
        <w:t>（2）外部环境管理指国家及各级地方环境保护行政主管部门依据国家相关的法律、法规和政策，按照工程需达到的环境标准与要求，依法对各工程建设阶段进行不定期监督、检查及环境保护竣工验收等活动。</w:t>
      </w:r>
    </w:p>
    <w:p>
      <w:pPr>
        <w:pStyle w:val="309"/>
        <w:rPr>
          <w:rFonts w:ascii="Times New Roman" w:hAnsi="Times New Roman"/>
          <w:highlight w:val="none"/>
        </w:rPr>
      </w:pPr>
      <w:r>
        <w:rPr>
          <w:rFonts w:hint="eastAsia" w:ascii="Times New Roman" w:hAnsi="Times New Roman"/>
          <w:highlight w:val="none"/>
        </w:rPr>
        <w:t>（3）内部环境管理指建设单位执行国家和地方有关环境保护的法律、法规、政策，贯彻环境保护标准：落实环境保护措施，并对工程的过程和活动按环保要求进行管理。运行期由工程运行管理单位负责，对环境保护措施进行优化、组织和实施。</w:t>
      </w:r>
    </w:p>
    <w:p>
      <w:pPr>
        <w:pStyle w:val="309"/>
        <w:ind w:firstLine="0" w:firstLineChars="0"/>
        <w:rPr>
          <w:rFonts w:ascii="Times New Roman" w:hAnsi="Times New Roman"/>
          <w:b/>
          <w:bCs/>
          <w:highlight w:val="none"/>
        </w:rPr>
      </w:pPr>
      <w:r>
        <w:rPr>
          <w:rFonts w:hint="eastAsia" w:ascii="Times New Roman" w:hAnsi="Times New Roman"/>
          <w:b/>
          <w:bCs/>
          <w:highlight w:val="none"/>
        </w:rPr>
        <w:t>9.1.3 环境管理机构及职责</w:t>
      </w:r>
    </w:p>
    <w:p>
      <w:pPr>
        <w:pStyle w:val="309"/>
        <w:rPr>
          <w:rFonts w:ascii="Times New Roman" w:hAnsi="Times New Roman"/>
          <w:highlight w:val="none"/>
        </w:rPr>
      </w:pPr>
      <w:r>
        <w:rPr>
          <w:rFonts w:hint="eastAsia" w:ascii="Times New Roman" w:hAnsi="Times New Roman"/>
          <w:highlight w:val="none"/>
        </w:rPr>
        <w:t>（1）落实环境保护工作经費；</w:t>
      </w:r>
    </w:p>
    <w:p>
      <w:pPr>
        <w:pStyle w:val="309"/>
        <w:rPr>
          <w:rFonts w:ascii="Times New Roman" w:hAnsi="Times New Roman"/>
          <w:highlight w:val="none"/>
        </w:rPr>
      </w:pPr>
      <w:r>
        <w:rPr>
          <w:rFonts w:hint="eastAsia" w:ascii="Times New Roman" w:hAnsi="Times New Roman"/>
          <w:highlight w:val="none"/>
        </w:rPr>
        <w:t>（2）同其它部门协调工作关系，安排环境监测工作；</w:t>
      </w:r>
    </w:p>
    <w:p>
      <w:pPr>
        <w:pStyle w:val="309"/>
        <w:rPr>
          <w:rFonts w:ascii="Times New Roman" w:hAnsi="Times New Roman"/>
          <w:highlight w:val="none"/>
        </w:rPr>
      </w:pPr>
      <w:r>
        <w:rPr>
          <w:rFonts w:hint="eastAsia" w:ascii="Times New Roman" w:hAnsi="Times New Roman"/>
          <w:highlight w:val="none"/>
        </w:rPr>
        <w:t>（3）编写年度环境保护工作阶段报告；</w:t>
      </w:r>
    </w:p>
    <w:p>
      <w:pPr>
        <w:pStyle w:val="309"/>
        <w:rPr>
          <w:rFonts w:ascii="Times New Roman" w:hAnsi="Times New Roman"/>
          <w:highlight w:val="none"/>
        </w:rPr>
      </w:pPr>
      <w:r>
        <w:rPr>
          <w:rFonts w:hint="eastAsia" w:ascii="Times New Roman" w:hAnsi="Times New Roman"/>
          <w:highlight w:val="none"/>
        </w:rPr>
        <w:t>（4）负责环境保护竣工验收工作；</w:t>
      </w:r>
    </w:p>
    <w:p>
      <w:pPr>
        <w:pStyle w:val="309"/>
        <w:rPr>
          <w:rFonts w:ascii="Times New Roman" w:hAnsi="Times New Roman"/>
          <w:highlight w:val="none"/>
        </w:rPr>
      </w:pPr>
      <w:r>
        <w:rPr>
          <w:rFonts w:hint="eastAsia" w:ascii="Times New Roman" w:hAnsi="Times New Roman"/>
          <w:highlight w:val="none"/>
        </w:rPr>
        <w:t>（5）其它事务。</w:t>
      </w:r>
    </w:p>
    <w:p>
      <w:pPr>
        <w:pStyle w:val="309"/>
        <w:ind w:firstLine="0" w:firstLineChars="0"/>
        <w:rPr>
          <w:rFonts w:ascii="Times New Roman" w:hAnsi="Times New Roman"/>
          <w:b/>
          <w:bCs/>
          <w:highlight w:val="none"/>
        </w:rPr>
      </w:pPr>
      <w:r>
        <w:rPr>
          <w:rFonts w:hint="eastAsia" w:ascii="Times New Roman" w:hAnsi="Times New Roman"/>
          <w:b/>
          <w:bCs/>
          <w:highlight w:val="none"/>
        </w:rPr>
        <w:t>9.1.4. 环境管理制度</w:t>
      </w:r>
    </w:p>
    <w:p>
      <w:pPr>
        <w:pStyle w:val="309"/>
        <w:rPr>
          <w:rFonts w:ascii="Times New Roman" w:hAnsi="Times New Roman"/>
          <w:highlight w:val="none"/>
        </w:rPr>
      </w:pPr>
      <w:r>
        <w:rPr>
          <w:rFonts w:hint="eastAsia" w:ascii="Times New Roman" w:hAnsi="Times New Roman"/>
          <w:highlight w:val="none"/>
        </w:rPr>
        <w:t>完善的环境管理制度的建立，有利于环境保护工程的监督、管理、实施和突发事件的处理。水电站的环境管理制度主要包括以下几个方面：</w:t>
      </w:r>
    </w:p>
    <w:p>
      <w:pPr>
        <w:pStyle w:val="309"/>
        <w:rPr>
          <w:rFonts w:ascii="Times New Roman" w:hAnsi="Times New Roman"/>
          <w:highlight w:val="none"/>
        </w:rPr>
      </w:pPr>
      <w:r>
        <w:rPr>
          <w:rFonts w:hint="eastAsia" w:ascii="Times New Roman" w:hAnsi="Times New Roman"/>
          <w:highlight w:val="none"/>
        </w:rPr>
        <w:t>（1）环境保护责任制</w:t>
      </w:r>
    </w:p>
    <w:p>
      <w:pPr>
        <w:pStyle w:val="309"/>
        <w:rPr>
          <w:rFonts w:ascii="Times New Roman" w:hAnsi="Times New Roman"/>
          <w:highlight w:val="none"/>
        </w:rPr>
      </w:pPr>
      <w:r>
        <w:rPr>
          <w:rFonts w:hint="eastAsia" w:ascii="Times New Roman" w:hAnsi="Times New Roman"/>
          <w:highlight w:val="none"/>
        </w:rPr>
        <w:t>在环境保护管理体系中，建立环境保护责任制，明确各环境管理机构的环境保护责任。</w:t>
      </w:r>
    </w:p>
    <w:p>
      <w:pPr>
        <w:pStyle w:val="309"/>
        <w:rPr>
          <w:rFonts w:ascii="Times New Roman" w:hAnsi="Times New Roman"/>
          <w:highlight w:val="none"/>
        </w:rPr>
      </w:pPr>
      <w:r>
        <w:rPr>
          <w:rFonts w:hint="eastAsia" w:ascii="Times New Roman" w:hAnsi="Times New Roman"/>
          <w:highlight w:val="none"/>
        </w:rPr>
        <w:t>（2）“三同时”验收制度</w:t>
      </w:r>
    </w:p>
    <w:p>
      <w:pPr>
        <w:pStyle w:val="309"/>
        <w:rPr>
          <w:rFonts w:ascii="Times New Roman" w:hAnsi="Times New Roman"/>
          <w:highlight w:val="none"/>
        </w:rPr>
      </w:pPr>
      <w:r>
        <w:rPr>
          <w:rFonts w:hint="eastAsia" w:ascii="Times New Roman" w:hAnsi="Times New Roman"/>
          <w:highlight w:val="none"/>
        </w:rPr>
        <w:t>根据《建设项目环境保护“三同时”管理办法》，工程建设过程中的污染防治措施必须与建设项目同时设计、同时施工、同时投入运行。有关“三同时”项目必须按合同规定经有关部门验收合格后才能正式投入运行，防治污染的设施不得擅自拆除或闲置。</w:t>
      </w:r>
    </w:p>
    <w:p>
      <w:pPr>
        <w:pStyle w:val="309"/>
        <w:rPr>
          <w:rFonts w:ascii="Times New Roman" w:hAnsi="Times New Roman"/>
          <w:highlight w:val="none"/>
        </w:rPr>
      </w:pPr>
      <w:r>
        <w:rPr>
          <w:rFonts w:hint="eastAsia" w:ascii="Times New Roman" w:hAnsi="Times New Roman"/>
          <w:highlight w:val="none"/>
        </w:rPr>
        <w:t>（3）报告制度</w:t>
      </w:r>
    </w:p>
    <w:p>
      <w:pPr>
        <w:pStyle w:val="309"/>
        <w:rPr>
          <w:rFonts w:ascii="Times New Roman" w:hAnsi="Times New Roman"/>
          <w:highlight w:val="none"/>
        </w:rPr>
      </w:pPr>
      <w:r>
        <w:rPr>
          <w:rFonts w:hint="eastAsia" w:ascii="Times New Roman" w:hAnsi="Times New Roman"/>
          <w:highlight w:val="none"/>
        </w:rPr>
        <w:t>建设单位应委托有关技术单位进行运营期环境监测，提岀环境监测年报。</w:t>
      </w:r>
    </w:p>
    <w:p>
      <w:pPr>
        <w:pStyle w:val="3"/>
        <w:spacing w:beforeLines="0" w:line="480" w:lineRule="exact"/>
        <w:rPr>
          <w:rFonts w:eastAsia="宋体"/>
          <w:b/>
          <w:bCs/>
          <w:highlight w:val="none"/>
        </w:rPr>
      </w:pPr>
      <w:bookmarkStart w:id="393" w:name="_Toc438472859"/>
      <w:bookmarkStart w:id="394" w:name="_Toc457301616"/>
      <w:bookmarkStart w:id="395" w:name="_Toc438285823"/>
      <w:bookmarkStart w:id="396" w:name="_Toc502266211"/>
      <w:bookmarkStart w:id="397" w:name="_Toc404353700"/>
      <w:bookmarkStart w:id="398" w:name="_Toc438646372"/>
      <w:bookmarkStart w:id="399" w:name="_Toc455416292"/>
      <w:bookmarkStart w:id="400" w:name="_Toc377414497"/>
      <w:bookmarkStart w:id="401" w:name="_Toc437951386"/>
      <w:bookmarkStart w:id="402" w:name="_Toc361729388"/>
      <w:bookmarkStart w:id="403" w:name="_Toc11295"/>
      <w:bookmarkStart w:id="404" w:name="_Toc455416504"/>
      <w:bookmarkStart w:id="405" w:name="_Toc378345797"/>
      <w:bookmarkStart w:id="406" w:name="_Toc456279395"/>
      <w:bookmarkStart w:id="407" w:name="_Toc7769"/>
      <w:bookmarkStart w:id="408" w:name="_Toc378688927"/>
      <w:bookmarkStart w:id="409" w:name="_Toc376521419"/>
      <w:bookmarkStart w:id="410" w:name="_Toc376521013"/>
      <w:bookmarkStart w:id="411" w:name="_Toc246763578"/>
      <w:bookmarkStart w:id="412" w:name="_Toc25988"/>
      <w:bookmarkStart w:id="413" w:name="_Toc455416397"/>
      <w:bookmarkStart w:id="414" w:name="_Toc437618743"/>
      <w:bookmarkStart w:id="415" w:name="_Toc26053"/>
      <w:r>
        <w:rPr>
          <w:rFonts w:hint="eastAsia" w:eastAsia="宋体"/>
          <w:b/>
          <w:bCs/>
          <w:highlight w:val="none"/>
        </w:rPr>
        <w:t>9</w:t>
      </w:r>
      <w:r>
        <w:rPr>
          <w:rFonts w:eastAsia="宋体"/>
          <w:b/>
          <w:bCs/>
          <w:highlight w:val="none"/>
        </w:rPr>
        <w:t>.2</w:t>
      </w:r>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r>
        <w:rPr>
          <w:rFonts w:hint="eastAsia" w:eastAsia="宋体"/>
          <w:b/>
          <w:bCs/>
          <w:highlight w:val="none"/>
        </w:rPr>
        <w:t>监测计划</w:t>
      </w:r>
      <w:bookmarkEnd w:id="415"/>
    </w:p>
    <w:p>
      <w:pPr>
        <w:spacing w:line="480" w:lineRule="exact"/>
        <w:ind w:firstLine="480" w:firstLineChars="200"/>
        <w:rPr>
          <w:color w:val="000000"/>
          <w:sz w:val="24"/>
          <w:highlight w:val="none"/>
        </w:rPr>
      </w:pPr>
      <w:r>
        <w:rPr>
          <w:color w:val="000000"/>
          <w:sz w:val="24"/>
          <w:highlight w:val="none"/>
        </w:rPr>
        <w:t>（</w:t>
      </w:r>
      <w:r>
        <w:rPr>
          <w:rFonts w:hint="eastAsia"/>
          <w:color w:val="000000"/>
          <w:sz w:val="24"/>
          <w:highlight w:val="none"/>
        </w:rPr>
        <w:t>1</w:t>
      </w:r>
      <w:r>
        <w:rPr>
          <w:color w:val="000000"/>
          <w:sz w:val="24"/>
          <w:highlight w:val="none"/>
        </w:rPr>
        <w:t>）环境监测计划</w:t>
      </w:r>
    </w:p>
    <w:p>
      <w:pPr>
        <w:spacing w:line="480" w:lineRule="exact"/>
        <w:ind w:firstLine="480" w:firstLineChars="200"/>
        <w:rPr>
          <w:color w:val="000000"/>
          <w:sz w:val="24"/>
          <w:highlight w:val="none"/>
        </w:rPr>
      </w:pPr>
      <w:r>
        <w:rPr>
          <w:rFonts w:hint="eastAsia"/>
          <w:color w:val="000000"/>
          <w:sz w:val="24"/>
          <w:highlight w:val="none"/>
        </w:rPr>
        <w:t>根据《排污单位自行监测技术指南 总则》（HJ819-2017）企业自行监测的内容主要为污染物排放监测、周边环境质量影响监测、关键工艺参数监测和污染治理设施处理效果监测，非重点排污单位主要排放口主要监测指标的监测最低频次为“半年-年”、主要排放口其他监测指标以及其他排放口监测指标的监测最低频次为“年”。</w:t>
      </w:r>
    </w:p>
    <w:p>
      <w:pPr>
        <w:spacing w:line="480" w:lineRule="exact"/>
        <w:ind w:firstLine="480" w:firstLineChars="200"/>
        <w:rPr>
          <w:color w:val="000000"/>
          <w:sz w:val="24"/>
          <w:highlight w:val="none"/>
        </w:rPr>
      </w:pPr>
      <w:r>
        <w:rPr>
          <w:rFonts w:hint="eastAsia"/>
          <w:color w:val="000000"/>
          <w:sz w:val="24"/>
          <w:highlight w:val="none"/>
        </w:rPr>
        <w:t>当发生环境污染纠纷时，应根据具体情况相应増加监测频率，并进行追踪监测。项目环境监测计划详见表 9.2-1。</w:t>
      </w:r>
    </w:p>
    <w:p>
      <w:pPr>
        <w:spacing w:line="480" w:lineRule="exact"/>
        <w:jc w:val="center"/>
        <w:rPr>
          <w:rFonts w:hint="eastAsia"/>
          <w:b/>
          <w:bCs/>
          <w:color w:val="000000"/>
          <w:sz w:val="24"/>
          <w:highlight w:val="none"/>
        </w:rPr>
      </w:pPr>
    </w:p>
    <w:p>
      <w:pPr>
        <w:spacing w:line="480" w:lineRule="exact"/>
        <w:jc w:val="center"/>
        <w:rPr>
          <w:b/>
          <w:bCs/>
          <w:color w:val="000000"/>
          <w:sz w:val="24"/>
          <w:highlight w:val="none"/>
        </w:rPr>
      </w:pPr>
      <w:r>
        <w:rPr>
          <w:rFonts w:hint="eastAsia"/>
          <w:b/>
          <w:bCs/>
          <w:color w:val="000000"/>
          <w:sz w:val="24"/>
          <w:highlight w:val="none"/>
        </w:rPr>
        <w:t>9.2-1 环境监测计划</w:t>
      </w:r>
    </w:p>
    <w:tbl>
      <w:tblPr>
        <w:tblStyle w:val="51"/>
        <w:tblW w:w="8206"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156"/>
        <w:gridCol w:w="2089"/>
        <w:gridCol w:w="3161"/>
        <w:gridCol w:w="1800"/>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50" w:hRule="atLeast"/>
          <w:jc w:val="center"/>
        </w:trPr>
        <w:tc>
          <w:tcPr>
            <w:tcW w:w="1156" w:type="dxa"/>
            <w:tcBorders>
              <w:tl2br w:val="nil"/>
              <w:tr2bl w:val="nil"/>
            </w:tcBorders>
            <w:vAlign w:val="center"/>
          </w:tcPr>
          <w:p>
            <w:pPr>
              <w:spacing w:line="300" w:lineRule="exact"/>
              <w:jc w:val="center"/>
              <w:rPr>
                <w:bCs/>
                <w:highlight w:val="none"/>
              </w:rPr>
            </w:pPr>
            <w:r>
              <w:rPr>
                <w:rFonts w:hint="eastAsia"/>
                <w:bCs/>
                <w:highlight w:val="none"/>
              </w:rPr>
              <w:t>类别</w:t>
            </w:r>
          </w:p>
        </w:tc>
        <w:tc>
          <w:tcPr>
            <w:tcW w:w="2089" w:type="dxa"/>
            <w:tcBorders>
              <w:tl2br w:val="nil"/>
              <w:tr2bl w:val="nil"/>
            </w:tcBorders>
            <w:vAlign w:val="center"/>
          </w:tcPr>
          <w:p>
            <w:pPr>
              <w:spacing w:line="300" w:lineRule="exact"/>
              <w:jc w:val="center"/>
              <w:rPr>
                <w:bCs/>
                <w:highlight w:val="none"/>
              </w:rPr>
            </w:pPr>
            <w:r>
              <w:rPr>
                <w:bCs/>
                <w:highlight w:val="none"/>
              </w:rPr>
              <w:t>监测点</w:t>
            </w:r>
            <w:r>
              <w:rPr>
                <w:rFonts w:hint="eastAsia"/>
                <w:bCs/>
                <w:highlight w:val="none"/>
              </w:rPr>
              <w:t>位</w:t>
            </w:r>
          </w:p>
        </w:tc>
        <w:tc>
          <w:tcPr>
            <w:tcW w:w="3161" w:type="dxa"/>
            <w:tcBorders>
              <w:tl2br w:val="nil"/>
              <w:tr2bl w:val="nil"/>
            </w:tcBorders>
            <w:vAlign w:val="center"/>
          </w:tcPr>
          <w:p>
            <w:pPr>
              <w:spacing w:line="300" w:lineRule="exact"/>
              <w:jc w:val="center"/>
              <w:rPr>
                <w:bCs/>
                <w:color w:val="auto"/>
                <w:highlight w:val="none"/>
              </w:rPr>
            </w:pPr>
            <w:r>
              <w:rPr>
                <w:bCs/>
                <w:color w:val="auto"/>
                <w:highlight w:val="none"/>
              </w:rPr>
              <w:t>监测因子</w:t>
            </w:r>
          </w:p>
        </w:tc>
        <w:tc>
          <w:tcPr>
            <w:tcW w:w="1800" w:type="dxa"/>
            <w:tcBorders>
              <w:tl2br w:val="nil"/>
              <w:tr2bl w:val="nil"/>
            </w:tcBorders>
            <w:vAlign w:val="center"/>
          </w:tcPr>
          <w:p>
            <w:pPr>
              <w:spacing w:line="300" w:lineRule="exact"/>
              <w:jc w:val="center"/>
              <w:rPr>
                <w:bCs/>
                <w:color w:val="auto"/>
                <w:highlight w:val="none"/>
              </w:rPr>
            </w:pPr>
            <w:r>
              <w:rPr>
                <w:bCs/>
                <w:color w:val="auto"/>
                <w:highlight w:val="none"/>
              </w:rPr>
              <w:t>监测频率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50" w:hRule="atLeast"/>
          <w:jc w:val="center"/>
        </w:trPr>
        <w:tc>
          <w:tcPr>
            <w:tcW w:w="1156" w:type="dxa"/>
            <w:tcBorders>
              <w:tl2br w:val="nil"/>
              <w:tr2bl w:val="nil"/>
            </w:tcBorders>
            <w:vAlign w:val="center"/>
          </w:tcPr>
          <w:p>
            <w:pPr>
              <w:spacing w:line="300" w:lineRule="exact"/>
              <w:jc w:val="center"/>
              <w:rPr>
                <w:bCs/>
                <w:color w:val="auto"/>
                <w:highlight w:val="none"/>
              </w:rPr>
            </w:pPr>
            <w:r>
              <w:rPr>
                <w:rFonts w:hint="eastAsia"/>
                <w:bCs/>
                <w:color w:val="auto"/>
                <w:highlight w:val="none"/>
              </w:rPr>
              <w:t>地表水</w:t>
            </w:r>
          </w:p>
        </w:tc>
        <w:tc>
          <w:tcPr>
            <w:tcW w:w="2089" w:type="dxa"/>
            <w:tcBorders>
              <w:tl2br w:val="nil"/>
              <w:tr2bl w:val="nil"/>
            </w:tcBorders>
            <w:vAlign w:val="center"/>
          </w:tcPr>
          <w:p>
            <w:pPr>
              <w:spacing w:line="300" w:lineRule="exact"/>
              <w:jc w:val="center"/>
              <w:rPr>
                <w:bCs/>
                <w:color w:val="auto"/>
                <w:highlight w:val="none"/>
              </w:rPr>
            </w:pPr>
            <w:r>
              <w:rPr>
                <w:rFonts w:hint="eastAsia"/>
                <w:bCs/>
                <w:color w:val="auto"/>
                <w:highlight w:val="none"/>
              </w:rPr>
              <w:t>橡胶坝上游100m</w:t>
            </w:r>
          </w:p>
          <w:p>
            <w:pPr>
              <w:spacing w:line="300" w:lineRule="exact"/>
              <w:jc w:val="center"/>
              <w:rPr>
                <w:bCs/>
                <w:color w:val="auto"/>
                <w:highlight w:val="none"/>
              </w:rPr>
            </w:pPr>
            <w:r>
              <w:rPr>
                <w:rFonts w:hint="eastAsia"/>
                <w:bCs/>
                <w:color w:val="auto"/>
                <w:highlight w:val="none"/>
              </w:rPr>
              <w:t>电站尾水渠下游 100m</w:t>
            </w:r>
          </w:p>
        </w:tc>
        <w:tc>
          <w:tcPr>
            <w:tcW w:w="3161" w:type="dxa"/>
            <w:tcBorders>
              <w:tl2br w:val="nil"/>
              <w:tr2bl w:val="nil"/>
            </w:tcBorders>
            <w:vAlign w:val="center"/>
          </w:tcPr>
          <w:p>
            <w:pPr>
              <w:spacing w:line="300" w:lineRule="exact"/>
              <w:jc w:val="left"/>
              <w:rPr>
                <w:bCs/>
                <w:color w:val="auto"/>
                <w:highlight w:val="none"/>
              </w:rPr>
            </w:pPr>
            <w:r>
              <w:rPr>
                <w:rFonts w:hint="eastAsia"/>
                <w:bCs/>
                <w:color w:val="auto"/>
                <w:highlight w:val="none"/>
              </w:rPr>
              <w:t>pH、COD、BOD</w:t>
            </w:r>
            <w:r>
              <w:rPr>
                <w:rFonts w:hint="eastAsia"/>
                <w:bCs/>
                <w:color w:val="auto"/>
                <w:highlight w:val="none"/>
                <w:vertAlign w:val="subscript"/>
              </w:rPr>
              <w:t>5</w:t>
            </w:r>
            <w:r>
              <w:rPr>
                <w:rFonts w:hint="eastAsia"/>
                <w:bCs/>
                <w:color w:val="auto"/>
                <w:highlight w:val="none"/>
              </w:rPr>
              <w:t>、NH</w:t>
            </w:r>
            <w:r>
              <w:rPr>
                <w:rFonts w:hint="eastAsia"/>
                <w:bCs/>
                <w:color w:val="auto"/>
                <w:highlight w:val="none"/>
                <w:vertAlign w:val="subscript"/>
              </w:rPr>
              <w:t>3</w:t>
            </w:r>
            <w:r>
              <w:rPr>
                <w:rFonts w:hint="eastAsia"/>
                <w:bCs/>
                <w:color w:val="auto"/>
                <w:highlight w:val="none"/>
              </w:rPr>
              <w:t>-N、石油类、叶绿素a、溶解氧、总氮、总磷；生态调查</w:t>
            </w:r>
          </w:p>
        </w:tc>
        <w:tc>
          <w:tcPr>
            <w:tcW w:w="1800" w:type="dxa"/>
            <w:tcBorders>
              <w:tl2br w:val="nil"/>
              <w:tr2bl w:val="nil"/>
            </w:tcBorders>
            <w:vAlign w:val="center"/>
          </w:tcPr>
          <w:p>
            <w:pPr>
              <w:spacing w:line="300" w:lineRule="exact"/>
              <w:jc w:val="left"/>
              <w:rPr>
                <w:bCs/>
                <w:color w:val="auto"/>
                <w:highlight w:val="none"/>
              </w:rPr>
            </w:pPr>
            <w:r>
              <w:rPr>
                <w:rFonts w:hint="eastAsia"/>
                <w:bCs/>
                <w:color w:val="auto"/>
                <w:highlight w:val="none"/>
              </w:rPr>
              <w:t>引水期各 1 次</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50" w:hRule="atLeast"/>
          <w:jc w:val="center"/>
        </w:trPr>
        <w:tc>
          <w:tcPr>
            <w:tcW w:w="1156" w:type="dxa"/>
            <w:tcBorders>
              <w:tl2br w:val="nil"/>
              <w:tr2bl w:val="nil"/>
            </w:tcBorders>
            <w:vAlign w:val="center"/>
          </w:tcPr>
          <w:p>
            <w:pPr>
              <w:spacing w:line="300" w:lineRule="exact"/>
              <w:jc w:val="center"/>
              <w:rPr>
                <w:bCs/>
                <w:color w:val="auto"/>
                <w:highlight w:val="none"/>
              </w:rPr>
            </w:pPr>
            <w:r>
              <w:rPr>
                <w:rFonts w:hint="eastAsia" w:hAnsi="宋体"/>
                <w:color w:val="auto"/>
                <w:highlight w:val="none"/>
              </w:rPr>
              <w:t>地下水</w:t>
            </w:r>
          </w:p>
        </w:tc>
        <w:tc>
          <w:tcPr>
            <w:tcW w:w="2089" w:type="dxa"/>
            <w:tcBorders>
              <w:tl2br w:val="nil"/>
              <w:tr2bl w:val="nil"/>
            </w:tcBorders>
            <w:vAlign w:val="center"/>
          </w:tcPr>
          <w:p>
            <w:pPr>
              <w:adjustRightInd w:val="0"/>
              <w:snapToGrid w:val="0"/>
              <w:spacing w:line="300" w:lineRule="exact"/>
              <w:jc w:val="center"/>
              <w:rPr>
                <w:rFonts w:hAnsi="宋体"/>
                <w:color w:val="auto"/>
                <w:highlight w:val="none"/>
              </w:rPr>
            </w:pPr>
            <w:r>
              <w:rPr>
                <w:color w:val="auto"/>
                <w:szCs w:val="21"/>
                <w:highlight w:val="none"/>
              </w:rPr>
              <w:t>厂区</w:t>
            </w:r>
            <w:r>
              <w:rPr>
                <w:rFonts w:hint="eastAsia"/>
                <w:color w:val="auto"/>
                <w:szCs w:val="21"/>
                <w:highlight w:val="none"/>
              </w:rPr>
              <w:t>监测点</w:t>
            </w:r>
          </w:p>
        </w:tc>
        <w:tc>
          <w:tcPr>
            <w:tcW w:w="3161" w:type="dxa"/>
            <w:tcBorders>
              <w:tl2br w:val="nil"/>
              <w:tr2bl w:val="nil"/>
            </w:tcBorders>
            <w:vAlign w:val="center"/>
          </w:tcPr>
          <w:p>
            <w:pPr>
              <w:adjustRightInd w:val="0"/>
              <w:snapToGrid w:val="0"/>
              <w:spacing w:line="300" w:lineRule="exact"/>
              <w:jc w:val="left"/>
              <w:rPr>
                <w:color w:val="auto"/>
                <w:szCs w:val="21"/>
                <w:highlight w:val="none"/>
              </w:rPr>
            </w:pPr>
            <w:r>
              <w:rPr>
                <w:rFonts w:hint="eastAsia"/>
                <w:color w:val="auto"/>
                <w:szCs w:val="21"/>
                <w:highlight w:val="none"/>
              </w:rPr>
              <w:t>pH、耗氧量、高锰酸盐指数、硫酸盐、氨氮、硝酸盐、亚硝酸盐、总硬度、细菌总数</w:t>
            </w:r>
          </w:p>
        </w:tc>
        <w:tc>
          <w:tcPr>
            <w:tcW w:w="1800" w:type="dxa"/>
            <w:tcBorders>
              <w:tl2br w:val="nil"/>
              <w:tr2bl w:val="nil"/>
            </w:tcBorders>
            <w:vAlign w:val="center"/>
          </w:tcPr>
          <w:p>
            <w:pPr>
              <w:spacing w:line="300" w:lineRule="exact"/>
              <w:jc w:val="center"/>
              <w:rPr>
                <w:bCs/>
                <w:color w:val="auto"/>
                <w:highlight w:val="none"/>
              </w:rPr>
            </w:pPr>
            <w:r>
              <w:rPr>
                <w:rFonts w:hint="eastAsia"/>
                <w:color w:val="auto"/>
                <w:szCs w:val="21"/>
                <w:highlight w:val="none"/>
              </w:rPr>
              <w:t>1 次/年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50" w:hRule="atLeast"/>
          <w:jc w:val="center"/>
        </w:trPr>
        <w:tc>
          <w:tcPr>
            <w:tcW w:w="1156" w:type="dxa"/>
            <w:tcBorders>
              <w:tl2br w:val="nil"/>
              <w:tr2bl w:val="nil"/>
            </w:tcBorders>
            <w:vAlign w:val="center"/>
          </w:tcPr>
          <w:p>
            <w:pPr>
              <w:spacing w:line="300" w:lineRule="exact"/>
              <w:jc w:val="center"/>
              <w:rPr>
                <w:rFonts w:hAnsi="宋体"/>
                <w:color w:val="auto"/>
                <w:highlight w:val="none"/>
              </w:rPr>
            </w:pPr>
            <w:r>
              <w:rPr>
                <w:rFonts w:hint="eastAsia" w:hAnsi="宋体"/>
                <w:color w:val="auto"/>
                <w:highlight w:val="none"/>
              </w:rPr>
              <w:t>噪声</w:t>
            </w:r>
          </w:p>
        </w:tc>
        <w:tc>
          <w:tcPr>
            <w:tcW w:w="2089" w:type="dxa"/>
            <w:tcBorders>
              <w:tl2br w:val="nil"/>
              <w:tr2bl w:val="nil"/>
            </w:tcBorders>
            <w:vAlign w:val="center"/>
          </w:tcPr>
          <w:p>
            <w:pPr>
              <w:adjustRightInd w:val="0"/>
              <w:snapToGrid w:val="0"/>
              <w:spacing w:line="300" w:lineRule="exact"/>
              <w:jc w:val="center"/>
              <w:rPr>
                <w:color w:val="auto"/>
                <w:szCs w:val="21"/>
                <w:highlight w:val="none"/>
              </w:rPr>
            </w:pPr>
            <w:r>
              <w:rPr>
                <w:color w:val="auto"/>
                <w:highlight w:val="none"/>
              </w:rPr>
              <w:t>厂界</w:t>
            </w:r>
            <w:r>
              <w:rPr>
                <w:rFonts w:hint="eastAsia"/>
                <w:color w:val="auto"/>
                <w:highlight w:val="none"/>
              </w:rPr>
              <w:t>外 1m</w:t>
            </w:r>
          </w:p>
        </w:tc>
        <w:tc>
          <w:tcPr>
            <w:tcW w:w="3161" w:type="dxa"/>
            <w:tcBorders>
              <w:tl2br w:val="nil"/>
              <w:tr2bl w:val="nil"/>
            </w:tcBorders>
            <w:vAlign w:val="center"/>
          </w:tcPr>
          <w:p>
            <w:pPr>
              <w:adjustRightInd w:val="0"/>
              <w:snapToGrid w:val="0"/>
              <w:spacing w:line="300" w:lineRule="exact"/>
              <w:jc w:val="left"/>
              <w:rPr>
                <w:color w:val="auto"/>
                <w:szCs w:val="21"/>
                <w:highlight w:val="none"/>
              </w:rPr>
            </w:pPr>
            <w:r>
              <w:rPr>
                <w:color w:val="auto"/>
                <w:highlight w:val="none"/>
              </w:rPr>
              <w:t>等效A声级</w:t>
            </w:r>
          </w:p>
        </w:tc>
        <w:tc>
          <w:tcPr>
            <w:tcW w:w="1800" w:type="dxa"/>
            <w:tcBorders>
              <w:tl2br w:val="nil"/>
              <w:tr2bl w:val="nil"/>
            </w:tcBorders>
            <w:vAlign w:val="center"/>
          </w:tcPr>
          <w:p>
            <w:pPr>
              <w:spacing w:line="300" w:lineRule="exact"/>
              <w:jc w:val="center"/>
              <w:rPr>
                <w:color w:val="auto"/>
                <w:szCs w:val="21"/>
                <w:highlight w:val="none"/>
              </w:rPr>
            </w:pPr>
            <w:r>
              <w:rPr>
                <w:rFonts w:hint="eastAsia"/>
                <w:color w:val="auto"/>
                <w:highlight w:val="none"/>
                <w:lang w:eastAsia="zh-CN"/>
              </w:rPr>
              <w:t>引水期各</w:t>
            </w:r>
            <w:r>
              <w:rPr>
                <w:rFonts w:hint="eastAsia"/>
                <w:color w:val="auto"/>
                <w:highlight w:val="none"/>
              </w:rPr>
              <w:t>1次</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50" w:hRule="atLeast"/>
          <w:jc w:val="center"/>
        </w:trPr>
        <w:tc>
          <w:tcPr>
            <w:tcW w:w="1156" w:type="dxa"/>
            <w:tcBorders>
              <w:tl2br w:val="nil"/>
              <w:tr2bl w:val="nil"/>
            </w:tcBorders>
            <w:vAlign w:val="center"/>
          </w:tcPr>
          <w:p>
            <w:pPr>
              <w:spacing w:line="300" w:lineRule="exact"/>
              <w:jc w:val="center"/>
              <w:rPr>
                <w:rFonts w:hAnsi="宋体"/>
                <w:color w:val="auto"/>
                <w:highlight w:val="none"/>
              </w:rPr>
            </w:pPr>
            <w:r>
              <w:rPr>
                <w:rFonts w:hint="eastAsia" w:hAnsi="宋体"/>
                <w:color w:val="auto"/>
                <w:highlight w:val="none"/>
              </w:rPr>
              <w:t>土壤</w:t>
            </w:r>
          </w:p>
        </w:tc>
        <w:tc>
          <w:tcPr>
            <w:tcW w:w="2089" w:type="dxa"/>
            <w:tcBorders>
              <w:tl2br w:val="nil"/>
              <w:tr2bl w:val="nil"/>
            </w:tcBorders>
            <w:vAlign w:val="center"/>
          </w:tcPr>
          <w:p>
            <w:pPr>
              <w:adjustRightInd w:val="0"/>
              <w:snapToGrid w:val="0"/>
              <w:spacing w:line="300" w:lineRule="exact"/>
              <w:jc w:val="center"/>
              <w:rPr>
                <w:color w:val="auto"/>
                <w:szCs w:val="21"/>
                <w:highlight w:val="none"/>
              </w:rPr>
            </w:pPr>
            <w:r>
              <w:rPr>
                <w:rFonts w:hint="eastAsia"/>
                <w:color w:val="auto"/>
                <w:szCs w:val="21"/>
                <w:highlight w:val="none"/>
              </w:rPr>
              <w:t>厂区内表层样，0.2m</w:t>
            </w:r>
          </w:p>
        </w:tc>
        <w:tc>
          <w:tcPr>
            <w:tcW w:w="3161" w:type="dxa"/>
            <w:tcBorders>
              <w:tl2br w:val="nil"/>
              <w:tr2bl w:val="nil"/>
            </w:tcBorders>
            <w:vAlign w:val="center"/>
          </w:tcPr>
          <w:p>
            <w:pPr>
              <w:adjustRightInd w:val="0"/>
              <w:snapToGrid w:val="0"/>
              <w:spacing w:line="300" w:lineRule="exact"/>
              <w:jc w:val="center"/>
              <w:rPr>
                <w:color w:val="auto"/>
                <w:szCs w:val="21"/>
                <w:highlight w:val="none"/>
              </w:rPr>
            </w:pPr>
            <w:r>
              <w:rPr>
                <w:rFonts w:hint="eastAsia"/>
                <w:color w:val="auto"/>
                <w:szCs w:val="21"/>
                <w:highlight w:val="none"/>
              </w:rPr>
              <w:t>pH、镉、汞、砷、铅、铬、铜、镍、锌</w:t>
            </w:r>
          </w:p>
        </w:tc>
        <w:tc>
          <w:tcPr>
            <w:tcW w:w="1800" w:type="dxa"/>
            <w:tcBorders>
              <w:tl2br w:val="nil"/>
              <w:tr2bl w:val="nil"/>
            </w:tcBorders>
            <w:vAlign w:val="center"/>
          </w:tcPr>
          <w:p>
            <w:pPr>
              <w:spacing w:line="300" w:lineRule="exact"/>
              <w:jc w:val="center"/>
              <w:rPr>
                <w:bCs/>
                <w:color w:val="auto"/>
                <w:highlight w:val="none"/>
              </w:rPr>
            </w:pPr>
            <w:r>
              <w:rPr>
                <w:rFonts w:hint="eastAsia"/>
                <w:color w:val="auto"/>
                <w:highlight w:val="none"/>
              </w:rPr>
              <w:t>5 年 1 次</w:t>
            </w:r>
          </w:p>
        </w:tc>
      </w:tr>
    </w:tbl>
    <w:p>
      <w:pPr>
        <w:pStyle w:val="309"/>
        <w:rPr>
          <w:color w:val="auto"/>
          <w:highlight w:val="none"/>
        </w:rPr>
      </w:pPr>
      <w:r>
        <w:rPr>
          <w:color w:val="auto"/>
          <w:highlight w:val="none"/>
        </w:rPr>
        <w:t>（</w:t>
      </w:r>
      <w:r>
        <w:rPr>
          <w:rFonts w:hint="eastAsia"/>
          <w:color w:val="auto"/>
          <w:highlight w:val="none"/>
        </w:rPr>
        <w:t>2</w:t>
      </w:r>
      <w:r>
        <w:rPr>
          <w:color w:val="auto"/>
          <w:highlight w:val="none"/>
        </w:rPr>
        <w:t>）生态监测计划</w:t>
      </w:r>
    </w:p>
    <w:p>
      <w:pPr>
        <w:spacing w:line="480" w:lineRule="exact"/>
        <w:jc w:val="center"/>
        <w:rPr>
          <w:b/>
          <w:bCs/>
          <w:color w:val="auto"/>
          <w:sz w:val="24"/>
          <w:highlight w:val="none"/>
        </w:rPr>
      </w:pPr>
      <w:r>
        <w:rPr>
          <w:rFonts w:hint="eastAsia"/>
          <w:b/>
          <w:bCs/>
          <w:color w:val="auto"/>
          <w:sz w:val="24"/>
          <w:highlight w:val="none"/>
        </w:rPr>
        <w:t>9.2-</w:t>
      </w:r>
      <w:r>
        <w:rPr>
          <w:b/>
          <w:bCs/>
          <w:color w:val="auto"/>
          <w:sz w:val="24"/>
          <w:highlight w:val="none"/>
        </w:rPr>
        <w:t>2</w:t>
      </w:r>
      <w:r>
        <w:rPr>
          <w:rFonts w:hint="eastAsia"/>
          <w:b/>
          <w:bCs/>
          <w:color w:val="auto"/>
          <w:sz w:val="24"/>
          <w:highlight w:val="none"/>
        </w:rPr>
        <w:t xml:space="preserve"> 生态监测计划</w:t>
      </w:r>
    </w:p>
    <w:tbl>
      <w:tblPr>
        <w:tblStyle w:val="51"/>
        <w:tblW w:w="4851"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981"/>
        <w:gridCol w:w="1773"/>
        <w:gridCol w:w="2686"/>
        <w:gridCol w:w="1525"/>
        <w:gridCol w:w="1275"/>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50" w:hRule="atLeast"/>
          <w:jc w:val="center"/>
        </w:trPr>
        <w:tc>
          <w:tcPr>
            <w:tcW w:w="595" w:type="pct"/>
            <w:tcBorders>
              <w:tl2br w:val="nil"/>
              <w:tr2bl w:val="nil"/>
            </w:tcBorders>
            <w:vAlign w:val="center"/>
          </w:tcPr>
          <w:p>
            <w:pPr>
              <w:spacing w:line="300" w:lineRule="exact"/>
              <w:jc w:val="center"/>
              <w:rPr>
                <w:bCs/>
                <w:color w:val="auto"/>
                <w:highlight w:val="none"/>
              </w:rPr>
            </w:pPr>
            <w:r>
              <w:rPr>
                <w:rFonts w:hint="eastAsia"/>
                <w:bCs/>
                <w:color w:val="auto"/>
                <w:highlight w:val="none"/>
              </w:rPr>
              <w:t>类别</w:t>
            </w:r>
          </w:p>
        </w:tc>
        <w:tc>
          <w:tcPr>
            <w:tcW w:w="1075" w:type="pct"/>
            <w:tcBorders>
              <w:tl2br w:val="nil"/>
              <w:tr2bl w:val="nil"/>
            </w:tcBorders>
            <w:vAlign w:val="center"/>
          </w:tcPr>
          <w:p>
            <w:pPr>
              <w:spacing w:line="300" w:lineRule="exact"/>
              <w:jc w:val="center"/>
              <w:rPr>
                <w:bCs/>
                <w:color w:val="auto"/>
                <w:highlight w:val="none"/>
              </w:rPr>
            </w:pPr>
            <w:r>
              <w:rPr>
                <w:bCs/>
                <w:color w:val="auto"/>
                <w:highlight w:val="none"/>
              </w:rPr>
              <w:t>监测点</w:t>
            </w:r>
            <w:r>
              <w:rPr>
                <w:rFonts w:hint="eastAsia"/>
                <w:bCs/>
                <w:color w:val="auto"/>
                <w:highlight w:val="none"/>
              </w:rPr>
              <w:t>位</w:t>
            </w:r>
          </w:p>
        </w:tc>
        <w:tc>
          <w:tcPr>
            <w:tcW w:w="1629" w:type="pct"/>
            <w:tcBorders>
              <w:tl2br w:val="nil"/>
              <w:tr2bl w:val="nil"/>
            </w:tcBorders>
            <w:vAlign w:val="center"/>
          </w:tcPr>
          <w:p>
            <w:pPr>
              <w:spacing w:line="300" w:lineRule="exact"/>
              <w:jc w:val="center"/>
              <w:rPr>
                <w:bCs/>
                <w:color w:val="auto"/>
                <w:highlight w:val="none"/>
              </w:rPr>
            </w:pPr>
            <w:r>
              <w:rPr>
                <w:bCs/>
                <w:color w:val="auto"/>
                <w:highlight w:val="none"/>
              </w:rPr>
              <w:t>监测因子</w:t>
            </w:r>
          </w:p>
        </w:tc>
        <w:tc>
          <w:tcPr>
            <w:tcW w:w="925" w:type="pct"/>
            <w:tcBorders>
              <w:tl2br w:val="nil"/>
              <w:tr2bl w:val="nil"/>
            </w:tcBorders>
          </w:tcPr>
          <w:p>
            <w:pPr>
              <w:spacing w:line="300" w:lineRule="exact"/>
              <w:jc w:val="center"/>
              <w:rPr>
                <w:bCs/>
                <w:color w:val="auto"/>
                <w:highlight w:val="none"/>
              </w:rPr>
            </w:pPr>
            <w:r>
              <w:rPr>
                <w:bCs/>
                <w:color w:val="auto"/>
                <w:highlight w:val="none"/>
              </w:rPr>
              <w:t>监测方法</w:t>
            </w:r>
          </w:p>
        </w:tc>
        <w:tc>
          <w:tcPr>
            <w:tcW w:w="773" w:type="pct"/>
            <w:tcBorders>
              <w:tl2br w:val="nil"/>
              <w:tr2bl w:val="nil"/>
            </w:tcBorders>
            <w:vAlign w:val="center"/>
          </w:tcPr>
          <w:p>
            <w:pPr>
              <w:spacing w:line="300" w:lineRule="exact"/>
              <w:jc w:val="center"/>
              <w:rPr>
                <w:bCs/>
                <w:color w:val="auto"/>
                <w:highlight w:val="none"/>
              </w:rPr>
            </w:pPr>
            <w:r>
              <w:rPr>
                <w:bCs/>
                <w:color w:val="auto"/>
                <w:highlight w:val="none"/>
              </w:rPr>
              <w:t>监测频率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50" w:hRule="atLeast"/>
          <w:jc w:val="center"/>
        </w:trPr>
        <w:tc>
          <w:tcPr>
            <w:tcW w:w="595" w:type="pct"/>
            <w:vMerge w:val="restart"/>
            <w:tcBorders>
              <w:tl2br w:val="nil"/>
              <w:tr2bl w:val="nil"/>
            </w:tcBorders>
            <w:vAlign w:val="center"/>
          </w:tcPr>
          <w:p>
            <w:pPr>
              <w:spacing w:line="300" w:lineRule="exact"/>
              <w:jc w:val="center"/>
              <w:rPr>
                <w:bCs/>
                <w:color w:val="auto"/>
                <w:highlight w:val="none"/>
              </w:rPr>
            </w:pPr>
            <w:r>
              <w:rPr>
                <w:rFonts w:hint="eastAsia"/>
                <w:bCs/>
                <w:color w:val="auto"/>
                <w:highlight w:val="none"/>
              </w:rPr>
              <w:t>生态环境</w:t>
            </w:r>
          </w:p>
        </w:tc>
        <w:tc>
          <w:tcPr>
            <w:tcW w:w="1075" w:type="pct"/>
            <w:vMerge w:val="restart"/>
            <w:tcBorders>
              <w:tl2br w:val="nil"/>
              <w:tr2bl w:val="nil"/>
            </w:tcBorders>
            <w:vAlign w:val="center"/>
          </w:tcPr>
          <w:p>
            <w:pPr>
              <w:spacing w:line="300" w:lineRule="exact"/>
              <w:jc w:val="center"/>
              <w:rPr>
                <w:bCs/>
                <w:color w:val="auto"/>
                <w:highlight w:val="none"/>
              </w:rPr>
            </w:pPr>
            <w:r>
              <w:rPr>
                <w:rFonts w:hint="eastAsia"/>
                <w:bCs/>
                <w:color w:val="auto"/>
                <w:highlight w:val="none"/>
              </w:rPr>
              <w:t>橡胶坝上游</w:t>
            </w:r>
            <w:r>
              <w:rPr>
                <w:bCs/>
                <w:color w:val="auto"/>
                <w:highlight w:val="none"/>
              </w:rPr>
              <w:t>5</w:t>
            </w:r>
            <w:r>
              <w:rPr>
                <w:rFonts w:hint="eastAsia"/>
                <w:bCs/>
                <w:color w:val="auto"/>
                <w:highlight w:val="none"/>
              </w:rPr>
              <w:t>00m、</w:t>
            </w:r>
            <w:r>
              <w:rPr>
                <w:rFonts w:hint="eastAsia"/>
                <w:bCs/>
                <w:color w:val="auto"/>
                <w:highlight w:val="none"/>
                <w:lang w:eastAsia="zh-CN"/>
              </w:rPr>
              <w:t>减</w:t>
            </w:r>
            <w:r>
              <w:rPr>
                <w:rFonts w:hint="eastAsia"/>
                <w:bCs/>
                <w:color w:val="auto"/>
                <w:highlight w:val="none"/>
              </w:rPr>
              <w:t>水段、电站尾水渠下游 100m</w:t>
            </w:r>
          </w:p>
        </w:tc>
        <w:tc>
          <w:tcPr>
            <w:tcW w:w="1629" w:type="pct"/>
            <w:tcBorders>
              <w:tl2br w:val="nil"/>
              <w:tr2bl w:val="nil"/>
            </w:tcBorders>
            <w:vAlign w:val="center"/>
          </w:tcPr>
          <w:p>
            <w:pPr>
              <w:spacing w:line="300" w:lineRule="exact"/>
              <w:jc w:val="center"/>
              <w:rPr>
                <w:bCs/>
                <w:color w:val="auto"/>
                <w:highlight w:val="none"/>
              </w:rPr>
            </w:pPr>
            <w:r>
              <w:rPr>
                <w:rFonts w:hint="eastAsia"/>
                <w:caps/>
                <w:color w:val="auto"/>
                <w:szCs w:val="21"/>
                <w:highlight w:val="none"/>
              </w:rPr>
              <w:t>分布范围</w:t>
            </w:r>
          </w:p>
        </w:tc>
        <w:tc>
          <w:tcPr>
            <w:tcW w:w="925" w:type="pct"/>
            <w:tcBorders>
              <w:tl2br w:val="nil"/>
              <w:tr2bl w:val="nil"/>
            </w:tcBorders>
          </w:tcPr>
          <w:p>
            <w:pPr>
              <w:spacing w:line="300" w:lineRule="exact"/>
              <w:jc w:val="center"/>
              <w:rPr>
                <w:bCs/>
                <w:color w:val="auto"/>
                <w:highlight w:val="none"/>
              </w:rPr>
            </w:pPr>
            <w:r>
              <w:rPr>
                <w:bCs/>
                <w:color w:val="auto"/>
                <w:highlight w:val="none"/>
              </w:rPr>
              <w:t>现场调查</w:t>
            </w:r>
          </w:p>
        </w:tc>
        <w:tc>
          <w:tcPr>
            <w:tcW w:w="773" w:type="pct"/>
            <w:vMerge w:val="restart"/>
            <w:tcBorders>
              <w:tl2br w:val="nil"/>
              <w:tr2bl w:val="nil"/>
            </w:tcBorders>
            <w:vAlign w:val="center"/>
          </w:tcPr>
          <w:p>
            <w:pPr>
              <w:spacing w:line="300" w:lineRule="exact"/>
              <w:jc w:val="center"/>
              <w:rPr>
                <w:bCs/>
                <w:color w:val="auto"/>
                <w:highlight w:val="none"/>
              </w:rPr>
            </w:pPr>
            <w:r>
              <w:rPr>
                <w:rFonts w:hint="eastAsia"/>
                <w:color w:val="auto"/>
                <w:highlight w:val="none"/>
                <w:lang w:val="en-US" w:eastAsia="zh-CN"/>
              </w:rPr>
              <w:t>3</w:t>
            </w:r>
            <w:r>
              <w:rPr>
                <w:rFonts w:hint="eastAsia"/>
                <w:color w:val="auto"/>
                <w:highlight w:val="none"/>
              </w:rPr>
              <w:t>年1次</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50" w:hRule="atLeast"/>
          <w:jc w:val="center"/>
        </w:trPr>
        <w:tc>
          <w:tcPr>
            <w:tcW w:w="595" w:type="pct"/>
            <w:vMerge w:val="continue"/>
            <w:tcBorders>
              <w:tl2br w:val="nil"/>
              <w:tr2bl w:val="nil"/>
            </w:tcBorders>
            <w:vAlign w:val="center"/>
          </w:tcPr>
          <w:p>
            <w:pPr>
              <w:spacing w:line="300" w:lineRule="exact"/>
              <w:jc w:val="center"/>
              <w:rPr>
                <w:bCs/>
                <w:color w:val="auto"/>
                <w:highlight w:val="none"/>
              </w:rPr>
            </w:pPr>
          </w:p>
        </w:tc>
        <w:tc>
          <w:tcPr>
            <w:tcW w:w="1075" w:type="pct"/>
            <w:vMerge w:val="continue"/>
            <w:tcBorders>
              <w:tl2br w:val="nil"/>
              <w:tr2bl w:val="nil"/>
            </w:tcBorders>
            <w:vAlign w:val="center"/>
          </w:tcPr>
          <w:p>
            <w:pPr>
              <w:adjustRightInd w:val="0"/>
              <w:snapToGrid w:val="0"/>
              <w:spacing w:line="300" w:lineRule="exact"/>
              <w:jc w:val="center"/>
              <w:rPr>
                <w:rFonts w:hAnsi="宋体"/>
                <w:color w:val="auto"/>
                <w:highlight w:val="none"/>
              </w:rPr>
            </w:pPr>
          </w:p>
        </w:tc>
        <w:tc>
          <w:tcPr>
            <w:tcW w:w="1629" w:type="pct"/>
            <w:tcBorders>
              <w:tl2br w:val="nil"/>
              <w:tr2bl w:val="nil"/>
            </w:tcBorders>
            <w:vAlign w:val="center"/>
          </w:tcPr>
          <w:p>
            <w:pPr>
              <w:adjustRightInd w:val="0"/>
              <w:snapToGrid w:val="0"/>
              <w:spacing w:line="300" w:lineRule="exact"/>
              <w:jc w:val="center"/>
              <w:rPr>
                <w:color w:val="auto"/>
                <w:szCs w:val="21"/>
                <w:highlight w:val="none"/>
              </w:rPr>
            </w:pPr>
            <w:r>
              <w:rPr>
                <w:rFonts w:hint="eastAsia"/>
                <w:caps/>
                <w:color w:val="auto"/>
                <w:szCs w:val="21"/>
                <w:highlight w:val="none"/>
              </w:rPr>
              <w:t>种群数量</w:t>
            </w:r>
          </w:p>
        </w:tc>
        <w:tc>
          <w:tcPr>
            <w:tcW w:w="925" w:type="pct"/>
            <w:tcBorders>
              <w:tl2br w:val="nil"/>
              <w:tr2bl w:val="nil"/>
            </w:tcBorders>
          </w:tcPr>
          <w:p>
            <w:pPr>
              <w:spacing w:line="300" w:lineRule="exact"/>
              <w:jc w:val="center"/>
              <w:rPr>
                <w:bCs/>
                <w:color w:val="auto"/>
                <w:highlight w:val="none"/>
              </w:rPr>
            </w:pPr>
            <w:r>
              <w:rPr>
                <w:bCs/>
                <w:color w:val="auto"/>
                <w:highlight w:val="none"/>
              </w:rPr>
              <w:t>现场调查</w:t>
            </w:r>
          </w:p>
        </w:tc>
        <w:tc>
          <w:tcPr>
            <w:tcW w:w="773" w:type="pct"/>
            <w:vMerge w:val="continue"/>
            <w:tcBorders>
              <w:tl2br w:val="nil"/>
              <w:tr2bl w:val="nil"/>
            </w:tcBorders>
            <w:vAlign w:val="center"/>
          </w:tcPr>
          <w:p>
            <w:pPr>
              <w:spacing w:line="300" w:lineRule="exact"/>
              <w:jc w:val="center"/>
              <w:rPr>
                <w:bCs/>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50" w:hRule="atLeast"/>
          <w:jc w:val="center"/>
        </w:trPr>
        <w:tc>
          <w:tcPr>
            <w:tcW w:w="595" w:type="pct"/>
            <w:vMerge w:val="continue"/>
            <w:tcBorders>
              <w:tl2br w:val="nil"/>
              <w:tr2bl w:val="nil"/>
            </w:tcBorders>
            <w:vAlign w:val="center"/>
          </w:tcPr>
          <w:p>
            <w:pPr>
              <w:spacing w:line="300" w:lineRule="exact"/>
              <w:jc w:val="center"/>
              <w:rPr>
                <w:rFonts w:hAnsi="宋体"/>
                <w:color w:val="auto"/>
                <w:highlight w:val="none"/>
              </w:rPr>
            </w:pPr>
          </w:p>
        </w:tc>
        <w:tc>
          <w:tcPr>
            <w:tcW w:w="1075" w:type="pct"/>
            <w:vMerge w:val="continue"/>
            <w:tcBorders>
              <w:tl2br w:val="nil"/>
              <w:tr2bl w:val="nil"/>
            </w:tcBorders>
            <w:vAlign w:val="center"/>
          </w:tcPr>
          <w:p>
            <w:pPr>
              <w:adjustRightInd w:val="0"/>
              <w:snapToGrid w:val="0"/>
              <w:spacing w:line="300" w:lineRule="exact"/>
              <w:jc w:val="center"/>
              <w:rPr>
                <w:color w:val="auto"/>
                <w:szCs w:val="21"/>
                <w:highlight w:val="none"/>
              </w:rPr>
            </w:pPr>
          </w:p>
        </w:tc>
        <w:tc>
          <w:tcPr>
            <w:tcW w:w="1629" w:type="pct"/>
            <w:tcBorders>
              <w:tl2br w:val="nil"/>
              <w:tr2bl w:val="nil"/>
            </w:tcBorders>
            <w:vAlign w:val="center"/>
          </w:tcPr>
          <w:p>
            <w:pPr>
              <w:adjustRightInd w:val="0"/>
              <w:snapToGrid w:val="0"/>
              <w:spacing w:line="300" w:lineRule="exact"/>
              <w:jc w:val="center"/>
              <w:rPr>
                <w:color w:val="auto"/>
                <w:szCs w:val="21"/>
                <w:highlight w:val="none"/>
              </w:rPr>
            </w:pPr>
            <w:r>
              <w:rPr>
                <w:rFonts w:hint="eastAsia"/>
                <w:caps/>
                <w:color w:val="auto"/>
                <w:szCs w:val="21"/>
                <w:highlight w:val="none"/>
              </w:rPr>
              <w:t>种群结构</w:t>
            </w:r>
          </w:p>
        </w:tc>
        <w:tc>
          <w:tcPr>
            <w:tcW w:w="925" w:type="pct"/>
            <w:tcBorders>
              <w:tl2br w:val="nil"/>
              <w:tr2bl w:val="nil"/>
            </w:tcBorders>
          </w:tcPr>
          <w:p>
            <w:pPr>
              <w:spacing w:line="300" w:lineRule="exact"/>
              <w:jc w:val="center"/>
              <w:rPr>
                <w:color w:val="auto"/>
                <w:szCs w:val="21"/>
                <w:highlight w:val="none"/>
              </w:rPr>
            </w:pPr>
            <w:r>
              <w:rPr>
                <w:bCs/>
                <w:color w:val="auto"/>
                <w:highlight w:val="none"/>
              </w:rPr>
              <w:t>现场调查</w:t>
            </w:r>
          </w:p>
        </w:tc>
        <w:tc>
          <w:tcPr>
            <w:tcW w:w="773" w:type="pct"/>
            <w:vMerge w:val="continue"/>
            <w:tcBorders>
              <w:tl2br w:val="nil"/>
              <w:tr2bl w:val="nil"/>
            </w:tcBorders>
            <w:vAlign w:val="center"/>
          </w:tcPr>
          <w:p>
            <w:pPr>
              <w:spacing w:line="300" w:lineRule="exact"/>
              <w:jc w:val="center"/>
              <w:rPr>
                <w:color w:val="auto"/>
                <w:szCs w:val="21"/>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50" w:hRule="atLeast"/>
          <w:jc w:val="center"/>
        </w:trPr>
        <w:tc>
          <w:tcPr>
            <w:tcW w:w="595" w:type="pct"/>
            <w:vMerge w:val="continue"/>
            <w:tcBorders>
              <w:tl2br w:val="nil"/>
              <w:tr2bl w:val="nil"/>
            </w:tcBorders>
            <w:vAlign w:val="center"/>
          </w:tcPr>
          <w:p>
            <w:pPr>
              <w:spacing w:line="300" w:lineRule="exact"/>
              <w:jc w:val="center"/>
              <w:rPr>
                <w:rFonts w:hAnsi="宋体"/>
                <w:color w:val="auto"/>
                <w:highlight w:val="none"/>
              </w:rPr>
            </w:pPr>
          </w:p>
        </w:tc>
        <w:tc>
          <w:tcPr>
            <w:tcW w:w="1075" w:type="pct"/>
            <w:vMerge w:val="continue"/>
            <w:tcBorders>
              <w:tl2br w:val="nil"/>
              <w:tr2bl w:val="nil"/>
            </w:tcBorders>
            <w:vAlign w:val="center"/>
          </w:tcPr>
          <w:p>
            <w:pPr>
              <w:adjustRightInd w:val="0"/>
              <w:snapToGrid w:val="0"/>
              <w:spacing w:line="300" w:lineRule="exact"/>
              <w:jc w:val="center"/>
              <w:rPr>
                <w:color w:val="auto"/>
                <w:szCs w:val="21"/>
                <w:highlight w:val="none"/>
              </w:rPr>
            </w:pPr>
          </w:p>
        </w:tc>
        <w:tc>
          <w:tcPr>
            <w:tcW w:w="1629" w:type="pct"/>
            <w:tcBorders>
              <w:tl2br w:val="nil"/>
              <w:tr2bl w:val="nil"/>
            </w:tcBorders>
            <w:vAlign w:val="center"/>
          </w:tcPr>
          <w:p>
            <w:pPr>
              <w:adjustRightInd w:val="0"/>
              <w:snapToGrid w:val="0"/>
              <w:spacing w:line="300" w:lineRule="exact"/>
              <w:jc w:val="center"/>
              <w:rPr>
                <w:color w:val="auto"/>
                <w:szCs w:val="21"/>
                <w:highlight w:val="none"/>
              </w:rPr>
            </w:pPr>
            <w:r>
              <w:rPr>
                <w:rFonts w:hint="eastAsia"/>
                <w:caps/>
                <w:color w:val="auto"/>
                <w:szCs w:val="21"/>
                <w:highlight w:val="none"/>
              </w:rPr>
              <w:t>植被覆盖度</w:t>
            </w:r>
          </w:p>
        </w:tc>
        <w:tc>
          <w:tcPr>
            <w:tcW w:w="925" w:type="pct"/>
            <w:tcBorders>
              <w:tl2br w:val="nil"/>
              <w:tr2bl w:val="nil"/>
            </w:tcBorders>
          </w:tcPr>
          <w:p>
            <w:pPr>
              <w:spacing w:line="300" w:lineRule="exact"/>
              <w:jc w:val="center"/>
              <w:rPr>
                <w:bCs/>
                <w:color w:val="auto"/>
                <w:highlight w:val="none"/>
              </w:rPr>
            </w:pPr>
            <w:r>
              <w:rPr>
                <w:bCs/>
                <w:color w:val="auto"/>
                <w:highlight w:val="none"/>
              </w:rPr>
              <w:t>现场调查</w:t>
            </w:r>
          </w:p>
        </w:tc>
        <w:tc>
          <w:tcPr>
            <w:tcW w:w="773" w:type="pct"/>
            <w:vMerge w:val="continue"/>
            <w:tcBorders>
              <w:tl2br w:val="nil"/>
              <w:tr2bl w:val="nil"/>
            </w:tcBorders>
            <w:vAlign w:val="center"/>
          </w:tcPr>
          <w:p>
            <w:pPr>
              <w:spacing w:line="300" w:lineRule="exact"/>
              <w:jc w:val="center"/>
              <w:rPr>
                <w:bCs/>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50" w:hRule="atLeast"/>
          <w:jc w:val="center"/>
        </w:trPr>
        <w:tc>
          <w:tcPr>
            <w:tcW w:w="595" w:type="pct"/>
            <w:vMerge w:val="continue"/>
            <w:tcBorders>
              <w:tl2br w:val="nil"/>
              <w:tr2bl w:val="nil"/>
            </w:tcBorders>
            <w:vAlign w:val="center"/>
          </w:tcPr>
          <w:p>
            <w:pPr>
              <w:spacing w:line="300" w:lineRule="exact"/>
              <w:jc w:val="center"/>
              <w:rPr>
                <w:rFonts w:hAnsi="宋体"/>
                <w:color w:val="auto"/>
                <w:highlight w:val="none"/>
              </w:rPr>
            </w:pPr>
          </w:p>
        </w:tc>
        <w:tc>
          <w:tcPr>
            <w:tcW w:w="1075" w:type="pct"/>
            <w:vMerge w:val="continue"/>
            <w:tcBorders>
              <w:tl2br w:val="nil"/>
              <w:tr2bl w:val="nil"/>
            </w:tcBorders>
            <w:vAlign w:val="center"/>
          </w:tcPr>
          <w:p>
            <w:pPr>
              <w:adjustRightInd w:val="0"/>
              <w:snapToGrid w:val="0"/>
              <w:spacing w:line="300" w:lineRule="exact"/>
              <w:jc w:val="center"/>
              <w:rPr>
                <w:color w:val="auto"/>
                <w:szCs w:val="21"/>
                <w:highlight w:val="none"/>
              </w:rPr>
            </w:pPr>
          </w:p>
        </w:tc>
        <w:tc>
          <w:tcPr>
            <w:tcW w:w="1629" w:type="pct"/>
            <w:tcBorders>
              <w:tl2br w:val="nil"/>
              <w:tr2bl w:val="nil"/>
            </w:tcBorders>
            <w:vAlign w:val="center"/>
          </w:tcPr>
          <w:p>
            <w:pPr>
              <w:adjustRightInd w:val="0"/>
              <w:snapToGrid w:val="0"/>
              <w:spacing w:line="300" w:lineRule="exact"/>
              <w:jc w:val="center"/>
              <w:rPr>
                <w:caps/>
                <w:color w:val="auto"/>
                <w:szCs w:val="21"/>
                <w:highlight w:val="none"/>
              </w:rPr>
            </w:pPr>
            <w:r>
              <w:rPr>
                <w:rFonts w:hint="eastAsia"/>
                <w:caps/>
                <w:color w:val="auto"/>
                <w:szCs w:val="21"/>
                <w:highlight w:val="none"/>
              </w:rPr>
              <w:t>生产力、生物量、</w:t>
            </w:r>
          </w:p>
        </w:tc>
        <w:tc>
          <w:tcPr>
            <w:tcW w:w="925" w:type="pct"/>
            <w:tcBorders>
              <w:tl2br w:val="nil"/>
              <w:tr2bl w:val="nil"/>
            </w:tcBorders>
          </w:tcPr>
          <w:p>
            <w:pPr>
              <w:spacing w:line="300" w:lineRule="exact"/>
              <w:jc w:val="center"/>
              <w:rPr>
                <w:bCs/>
                <w:color w:val="auto"/>
                <w:highlight w:val="none"/>
              </w:rPr>
            </w:pPr>
            <w:r>
              <w:rPr>
                <w:bCs/>
                <w:color w:val="auto"/>
                <w:highlight w:val="none"/>
              </w:rPr>
              <w:t>现场调查</w:t>
            </w:r>
          </w:p>
        </w:tc>
        <w:tc>
          <w:tcPr>
            <w:tcW w:w="773" w:type="pct"/>
            <w:vMerge w:val="continue"/>
            <w:tcBorders>
              <w:tl2br w:val="nil"/>
              <w:tr2bl w:val="nil"/>
            </w:tcBorders>
            <w:vAlign w:val="center"/>
          </w:tcPr>
          <w:p>
            <w:pPr>
              <w:spacing w:line="300" w:lineRule="exact"/>
              <w:jc w:val="center"/>
              <w:rPr>
                <w:bCs/>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50" w:hRule="atLeast"/>
          <w:jc w:val="center"/>
        </w:trPr>
        <w:tc>
          <w:tcPr>
            <w:tcW w:w="595" w:type="pct"/>
            <w:vMerge w:val="continue"/>
            <w:tcBorders>
              <w:tl2br w:val="nil"/>
              <w:tr2bl w:val="nil"/>
            </w:tcBorders>
            <w:vAlign w:val="center"/>
          </w:tcPr>
          <w:p>
            <w:pPr>
              <w:spacing w:line="300" w:lineRule="exact"/>
              <w:jc w:val="center"/>
              <w:rPr>
                <w:rFonts w:hAnsi="宋体"/>
                <w:color w:val="auto"/>
                <w:highlight w:val="none"/>
              </w:rPr>
            </w:pPr>
          </w:p>
        </w:tc>
        <w:tc>
          <w:tcPr>
            <w:tcW w:w="1075" w:type="pct"/>
            <w:vMerge w:val="continue"/>
            <w:tcBorders>
              <w:tl2br w:val="nil"/>
              <w:tr2bl w:val="nil"/>
            </w:tcBorders>
            <w:vAlign w:val="center"/>
          </w:tcPr>
          <w:p>
            <w:pPr>
              <w:adjustRightInd w:val="0"/>
              <w:snapToGrid w:val="0"/>
              <w:spacing w:line="300" w:lineRule="exact"/>
              <w:jc w:val="center"/>
              <w:rPr>
                <w:color w:val="auto"/>
                <w:szCs w:val="21"/>
                <w:highlight w:val="none"/>
              </w:rPr>
            </w:pPr>
          </w:p>
        </w:tc>
        <w:tc>
          <w:tcPr>
            <w:tcW w:w="1629" w:type="pct"/>
            <w:tcBorders>
              <w:tl2br w:val="nil"/>
              <w:tr2bl w:val="nil"/>
            </w:tcBorders>
            <w:vAlign w:val="center"/>
          </w:tcPr>
          <w:p>
            <w:pPr>
              <w:adjustRightInd w:val="0"/>
              <w:snapToGrid w:val="0"/>
              <w:spacing w:line="300" w:lineRule="exact"/>
              <w:jc w:val="center"/>
              <w:rPr>
                <w:caps/>
                <w:color w:val="auto"/>
                <w:szCs w:val="21"/>
                <w:highlight w:val="none"/>
              </w:rPr>
            </w:pPr>
            <w:r>
              <w:rPr>
                <w:rFonts w:hint="eastAsia"/>
                <w:caps/>
                <w:color w:val="auto"/>
                <w:szCs w:val="21"/>
                <w:highlight w:val="none"/>
              </w:rPr>
              <w:t>物种丰富度、均匀度</w:t>
            </w:r>
          </w:p>
        </w:tc>
        <w:tc>
          <w:tcPr>
            <w:tcW w:w="925" w:type="pct"/>
            <w:tcBorders>
              <w:tl2br w:val="nil"/>
              <w:tr2bl w:val="nil"/>
            </w:tcBorders>
          </w:tcPr>
          <w:p>
            <w:pPr>
              <w:spacing w:line="300" w:lineRule="exact"/>
              <w:jc w:val="center"/>
              <w:rPr>
                <w:bCs/>
                <w:color w:val="auto"/>
                <w:highlight w:val="none"/>
              </w:rPr>
            </w:pPr>
            <w:r>
              <w:rPr>
                <w:bCs/>
                <w:color w:val="auto"/>
                <w:highlight w:val="none"/>
              </w:rPr>
              <w:t>现场调查</w:t>
            </w:r>
          </w:p>
        </w:tc>
        <w:tc>
          <w:tcPr>
            <w:tcW w:w="773" w:type="pct"/>
            <w:vMerge w:val="continue"/>
            <w:tcBorders>
              <w:tl2br w:val="nil"/>
              <w:tr2bl w:val="nil"/>
            </w:tcBorders>
            <w:vAlign w:val="center"/>
          </w:tcPr>
          <w:p>
            <w:pPr>
              <w:spacing w:line="300" w:lineRule="exact"/>
              <w:jc w:val="center"/>
              <w:rPr>
                <w:bCs/>
                <w:color w:val="auto"/>
                <w:highlight w:val="none"/>
              </w:rPr>
            </w:pPr>
          </w:p>
        </w:tc>
      </w:tr>
    </w:tbl>
    <w:p>
      <w:pPr>
        <w:pStyle w:val="3"/>
        <w:spacing w:beforeLines="0" w:line="480" w:lineRule="exact"/>
        <w:rPr>
          <w:rFonts w:eastAsia="宋体"/>
          <w:b/>
          <w:bCs/>
          <w:color w:val="auto"/>
          <w:highlight w:val="none"/>
        </w:rPr>
      </w:pPr>
      <w:bookmarkStart w:id="416" w:name="_Toc7407"/>
      <w:r>
        <w:rPr>
          <w:rFonts w:hint="eastAsia" w:eastAsia="宋体"/>
          <w:b/>
          <w:bCs/>
          <w:color w:val="auto"/>
          <w:highlight w:val="none"/>
        </w:rPr>
        <w:t>9</w:t>
      </w:r>
      <w:r>
        <w:rPr>
          <w:rFonts w:eastAsia="宋体"/>
          <w:b/>
          <w:bCs/>
          <w:color w:val="auto"/>
          <w:highlight w:val="none"/>
        </w:rPr>
        <w:t>.</w:t>
      </w:r>
      <w:r>
        <w:rPr>
          <w:rFonts w:hint="eastAsia" w:eastAsia="宋体"/>
          <w:b/>
          <w:bCs/>
          <w:color w:val="auto"/>
          <w:highlight w:val="none"/>
        </w:rPr>
        <w:t>3 环境信息公开</w:t>
      </w:r>
      <w:bookmarkEnd w:id="416"/>
    </w:p>
    <w:p>
      <w:pPr>
        <w:spacing w:line="480" w:lineRule="exact"/>
        <w:ind w:firstLine="482"/>
        <w:rPr>
          <w:sz w:val="24"/>
          <w:highlight w:val="none"/>
        </w:rPr>
      </w:pPr>
      <w:r>
        <w:rPr>
          <w:color w:val="auto"/>
          <w:sz w:val="24"/>
          <w:szCs w:val="20"/>
          <w:highlight w:val="none"/>
        </w:rPr>
        <w:t>遵化市黎河水利发电有限公司</w:t>
      </w:r>
      <w:r>
        <w:rPr>
          <w:color w:val="auto"/>
          <w:sz w:val="24"/>
          <w:highlight w:val="none"/>
        </w:rPr>
        <w:t>应按照《企业事业单位环境信息公开办法》（环保部令第31号）相关</w:t>
      </w:r>
      <w:r>
        <w:rPr>
          <w:sz w:val="24"/>
          <w:highlight w:val="none"/>
        </w:rPr>
        <w:t>要求公开企业环境信息，具体要求如下：</w:t>
      </w:r>
    </w:p>
    <w:p>
      <w:pPr>
        <w:pStyle w:val="284"/>
        <w:numPr>
          <w:ilvl w:val="0"/>
          <w:numId w:val="3"/>
        </w:numPr>
        <w:autoSpaceDE w:val="0"/>
        <w:spacing w:line="480" w:lineRule="exact"/>
        <w:ind w:firstLineChars="0"/>
        <w:rPr>
          <w:color w:val="000000"/>
          <w:sz w:val="24"/>
          <w:highlight w:val="none"/>
        </w:rPr>
      </w:pPr>
      <w:r>
        <w:rPr>
          <w:color w:val="000000"/>
          <w:sz w:val="24"/>
          <w:highlight w:val="none"/>
        </w:rPr>
        <w:t>基础信息</w:t>
      </w:r>
    </w:p>
    <w:p>
      <w:pPr>
        <w:tabs>
          <w:tab w:val="left" w:pos="253"/>
          <w:tab w:val="center" w:pos="4138"/>
        </w:tabs>
        <w:spacing w:line="480" w:lineRule="exact"/>
        <w:jc w:val="left"/>
        <w:rPr>
          <w:b/>
          <w:color w:val="000000"/>
          <w:sz w:val="24"/>
          <w:highlight w:val="none"/>
        </w:rPr>
      </w:pPr>
      <w:r>
        <w:rPr>
          <w:b/>
          <w:bCs/>
          <w:color w:val="000000"/>
          <w:sz w:val="24"/>
          <w:highlight w:val="none"/>
        </w:rPr>
        <w:tab/>
      </w:r>
      <w:r>
        <w:rPr>
          <w:b/>
          <w:bCs/>
          <w:color w:val="000000"/>
          <w:sz w:val="24"/>
          <w:highlight w:val="none"/>
        </w:rPr>
        <w:tab/>
      </w:r>
      <w:r>
        <w:rPr>
          <w:b/>
          <w:bCs/>
          <w:color w:val="000000"/>
          <w:sz w:val="24"/>
          <w:highlight w:val="none"/>
        </w:rPr>
        <w:t>表</w:t>
      </w:r>
      <w:r>
        <w:rPr>
          <w:rFonts w:hint="eastAsia"/>
          <w:b/>
          <w:bCs/>
          <w:color w:val="000000"/>
          <w:sz w:val="24"/>
          <w:highlight w:val="none"/>
          <w:lang w:val="en-US" w:eastAsia="zh-CN"/>
        </w:rPr>
        <w:t>9</w:t>
      </w:r>
      <w:r>
        <w:rPr>
          <w:b/>
          <w:bCs/>
          <w:color w:val="000000"/>
          <w:sz w:val="24"/>
          <w:highlight w:val="none"/>
        </w:rPr>
        <w:t>.</w:t>
      </w:r>
      <w:r>
        <w:rPr>
          <w:rFonts w:hint="eastAsia"/>
          <w:b/>
          <w:bCs/>
          <w:color w:val="000000"/>
          <w:sz w:val="24"/>
          <w:highlight w:val="none"/>
          <w:lang w:val="en-US" w:eastAsia="zh-CN"/>
        </w:rPr>
        <w:t>3</w:t>
      </w:r>
      <w:r>
        <w:rPr>
          <w:b/>
          <w:bCs/>
          <w:color w:val="000000"/>
          <w:sz w:val="24"/>
          <w:highlight w:val="none"/>
        </w:rPr>
        <w:t>-</w:t>
      </w:r>
      <w:r>
        <w:rPr>
          <w:rFonts w:hint="eastAsia"/>
          <w:b/>
          <w:bCs/>
          <w:color w:val="000000"/>
          <w:sz w:val="24"/>
          <w:highlight w:val="none"/>
          <w:lang w:val="en-US" w:eastAsia="zh-CN"/>
        </w:rPr>
        <w:t>1</w:t>
      </w:r>
      <w:r>
        <w:rPr>
          <w:b/>
          <w:bCs/>
          <w:color w:val="000000"/>
          <w:sz w:val="24"/>
          <w:highlight w:val="none"/>
        </w:rPr>
        <w:t xml:space="preserve">  环境信息公开一览表</w:t>
      </w:r>
    </w:p>
    <w:tbl>
      <w:tblPr>
        <w:tblStyle w:val="5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1986"/>
        <w:gridCol w:w="58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vAlign w:val="center"/>
          </w:tcPr>
          <w:p>
            <w:pPr>
              <w:spacing w:line="360" w:lineRule="exact"/>
              <w:jc w:val="center"/>
              <w:rPr>
                <w:color w:val="000000"/>
                <w:szCs w:val="21"/>
                <w:highlight w:val="none"/>
              </w:rPr>
            </w:pPr>
            <w:r>
              <w:rPr>
                <w:color w:val="000000"/>
                <w:szCs w:val="21"/>
                <w:highlight w:val="none"/>
              </w:rPr>
              <w:t>序号</w:t>
            </w:r>
          </w:p>
        </w:tc>
        <w:tc>
          <w:tcPr>
            <w:tcW w:w="1169" w:type="pct"/>
            <w:vAlign w:val="center"/>
          </w:tcPr>
          <w:p>
            <w:pPr>
              <w:spacing w:line="360" w:lineRule="exact"/>
              <w:jc w:val="center"/>
              <w:rPr>
                <w:color w:val="000000"/>
                <w:szCs w:val="21"/>
                <w:highlight w:val="none"/>
              </w:rPr>
            </w:pPr>
            <w:r>
              <w:rPr>
                <w:color w:val="000000"/>
                <w:szCs w:val="21"/>
                <w:highlight w:val="none"/>
              </w:rPr>
              <w:t>项目</w:t>
            </w:r>
          </w:p>
        </w:tc>
        <w:tc>
          <w:tcPr>
            <w:tcW w:w="3434" w:type="pct"/>
            <w:vAlign w:val="center"/>
          </w:tcPr>
          <w:p>
            <w:pPr>
              <w:spacing w:line="360" w:lineRule="exact"/>
              <w:jc w:val="center"/>
              <w:rPr>
                <w:color w:val="000000"/>
                <w:szCs w:val="21"/>
                <w:highlight w:val="none"/>
              </w:rPr>
            </w:pPr>
            <w:r>
              <w:rPr>
                <w:color w:val="000000"/>
                <w:szCs w:val="21"/>
                <w:highlight w:val="none"/>
              </w:rPr>
              <w:t>信息公开内容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vAlign w:val="center"/>
          </w:tcPr>
          <w:p>
            <w:pPr>
              <w:spacing w:line="360" w:lineRule="exact"/>
              <w:jc w:val="center"/>
              <w:rPr>
                <w:bCs/>
                <w:color w:val="000000"/>
                <w:szCs w:val="21"/>
                <w:highlight w:val="none"/>
              </w:rPr>
            </w:pPr>
            <w:r>
              <w:rPr>
                <w:bCs/>
                <w:color w:val="000000"/>
                <w:szCs w:val="21"/>
                <w:highlight w:val="none"/>
              </w:rPr>
              <w:t>1</w:t>
            </w:r>
          </w:p>
        </w:tc>
        <w:tc>
          <w:tcPr>
            <w:tcW w:w="1169" w:type="pct"/>
            <w:vAlign w:val="center"/>
          </w:tcPr>
          <w:p>
            <w:pPr>
              <w:spacing w:line="360" w:lineRule="exact"/>
              <w:jc w:val="center"/>
              <w:rPr>
                <w:color w:val="000000"/>
                <w:szCs w:val="21"/>
                <w:highlight w:val="none"/>
              </w:rPr>
            </w:pPr>
            <w:r>
              <w:rPr>
                <w:color w:val="000000"/>
                <w:szCs w:val="21"/>
                <w:highlight w:val="none"/>
              </w:rPr>
              <w:t>单位名称</w:t>
            </w:r>
          </w:p>
        </w:tc>
        <w:tc>
          <w:tcPr>
            <w:tcW w:w="3434" w:type="pct"/>
            <w:vAlign w:val="center"/>
          </w:tcPr>
          <w:p>
            <w:pPr>
              <w:spacing w:line="360" w:lineRule="exact"/>
              <w:jc w:val="center"/>
              <w:rPr>
                <w:color w:val="000000"/>
                <w:szCs w:val="21"/>
                <w:highlight w:val="none"/>
              </w:rPr>
            </w:pPr>
            <w:r>
              <w:rPr>
                <w:rFonts w:hint="eastAsia"/>
                <w:color w:val="000000"/>
                <w:szCs w:val="21"/>
                <w:highlight w:val="none"/>
              </w:rPr>
              <w:t>遵化市昌明水力发电有限公司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vAlign w:val="center"/>
          </w:tcPr>
          <w:p>
            <w:pPr>
              <w:spacing w:line="360" w:lineRule="exact"/>
              <w:jc w:val="center"/>
              <w:rPr>
                <w:bCs/>
                <w:color w:val="000000"/>
                <w:szCs w:val="21"/>
                <w:highlight w:val="none"/>
              </w:rPr>
            </w:pPr>
            <w:r>
              <w:rPr>
                <w:bCs/>
                <w:color w:val="000000"/>
                <w:szCs w:val="21"/>
                <w:highlight w:val="none"/>
              </w:rPr>
              <w:t>2</w:t>
            </w:r>
          </w:p>
        </w:tc>
        <w:tc>
          <w:tcPr>
            <w:tcW w:w="1169" w:type="pct"/>
            <w:vAlign w:val="center"/>
          </w:tcPr>
          <w:p>
            <w:pPr>
              <w:spacing w:line="360" w:lineRule="exact"/>
              <w:jc w:val="center"/>
              <w:rPr>
                <w:color w:val="000000"/>
                <w:szCs w:val="21"/>
                <w:highlight w:val="none"/>
              </w:rPr>
            </w:pPr>
            <w:r>
              <w:rPr>
                <w:color w:val="000000"/>
                <w:szCs w:val="21"/>
                <w:highlight w:val="none"/>
              </w:rPr>
              <w:t>统一社会信用代码</w:t>
            </w:r>
          </w:p>
        </w:tc>
        <w:tc>
          <w:tcPr>
            <w:tcW w:w="3434" w:type="pct"/>
            <w:vAlign w:val="center"/>
          </w:tcPr>
          <w:p>
            <w:pPr>
              <w:spacing w:line="360" w:lineRule="exact"/>
              <w:jc w:val="center"/>
              <w:rPr>
                <w:rFonts w:hint="default" w:eastAsia="宋体"/>
                <w:bCs/>
                <w:color w:val="000000"/>
                <w:szCs w:val="21"/>
                <w:highlight w:val="none"/>
                <w:lang w:val="en-US" w:eastAsia="zh-CN"/>
              </w:rPr>
            </w:pPr>
            <w:r>
              <w:rPr>
                <w:rFonts w:hint="eastAsia"/>
                <w:bCs/>
                <w:color w:val="000000"/>
                <w:szCs w:val="21"/>
                <w:highlight w:val="none"/>
              </w:rPr>
              <w:t>911302817</w:t>
            </w:r>
            <w:r>
              <w:rPr>
                <w:rFonts w:hint="eastAsia"/>
                <w:bCs/>
                <w:color w:val="000000"/>
                <w:szCs w:val="21"/>
                <w:highlight w:val="none"/>
                <w:lang w:val="en-US" w:eastAsia="zh-CN"/>
              </w:rPr>
              <w:t>72772078C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vAlign w:val="center"/>
          </w:tcPr>
          <w:p>
            <w:pPr>
              <w:spacing w:line="360" w:lineRule="exact"/>
              <w:jc w:val="center"/>
              <w:rPr>
                <w:bCs/>
                <w:color w:val="000000"/>
                <w:szCs w:val="21"/>
                <w:highlight w:val="none"/>
              </w:rPr>
            </w:pPr>
            <w:r>
              <w:rPr>
                <w:bCs/>
                <w:color w:val="000000"/>
                <w:szCs w:val="21"/>
                <w:highlight w:val="none"/>
              </w:rPr>
              <w:t>3</w:t>
            </w:r>
          </w:p>
        </w:tc>
        <w:tc>
          <w:tcPr>
            <w:tcW w:w="1169" w:type="pct"/>
            <w:vAlign w:val="center"/>
          </w:tcPr>
          <w:p>
            <w:pPr>
              <w:spacing w:line="360" w:lineRule="exact"/>
              <w:jc w:val="center"/>
              <w:rPr>
                <w:color w:val="000000"/>
                <w:szCs w:val="21"/>
                <w:highlight w:val="none"/>
              </w:rPr>
            </w:pPr>
            <w:r>
              <w:rPr>
                <w:color w:val="000000"/>
                <w:szCs w:val="21"/>
                <w:highlight w:val="none"/>
              </w:rPr>
              <w:t>法定代表人</w:t>
            </w:r>
          </w:p>
        </w:tc>
        <w:tc>
          <w:tcPr>
            <w:tcW w:w="3434" w:type="pct"/>
            <w:vAlign w:val="center"/>
          </w:tcPr>
          <w:p>
            <w:pPr>
              <w:spacing w:line="360" w:lineRule="exact"/>
              <w:jc w:val="center"/>
              <w:rPr>
                <w:rFonts w:hint="eastAsia" w:eastAsia="宋体"/>
                <w:bCs/>
                <w:color w:val="000000"/>
                <w:szCs w:val="21"/>
                <w:highlight w:val="none"/>
                <w:lang w:eastAsia="zh-CN"/>
              </w:rPr>
            </w:pPr>
            <w:r>
              <w:rPr>
                <w:rFonts w:hint="eastAsia"/>
                <w:bCs/>
                <w:color w:val="000000"/>
                <w:szCs w:val="21"/>
                <w:highlight w:val="none"/>
                <w:lang w:eastAsia="zh-CN"/>
              </w:rPr>
              <w:t>董凤理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vAlign w:val="center"/>
          </w:tcPr>
          <w:p>
            <w:pPr>
              <w:spacing w:line="360" w:lineRule="exact"/>
              <w:jc w:val="center"/>
              <w:rPr>
                <w:bCs/>
                <w:color w:val="000000"/>
                <w:szCs w:val="21"/>
                <w:highlight w:val="none"/>
              </w:rPr>
            </w:pPr>
            <w:r>
              <w:rPr>
                <w:bCs/>
                <w:color w:val="000000"/>
                <w:szCs w:val="21"/>
                <w:highlight w:val="none"/>
              </w:rPr>
              <w:t>4</w:t>
            </w:r>
          </w:p>
        </w:tc>
        <w:tc>
          <w:tcPr>
            <w:tcW w:w="1169" w:type="pct"/>
            <w:vAlign w:val="center"/>
          </w:tcPr>
          <w:p>
            <w:pPr>
              <w:spacing w:line="360" w:lineRule="exact"/>
              <w:jc w:val="center"/>
              <w:rPr>
                <w:color w:val="000000"/>
                <w:szCs w:val="21"/>
                <w:highlight w:val="none"/>
              </w:rPr>
            </w:pPr>
            <w:r>
              <w:rPr>
                <w:color w:val="000000"/>
                <w:szCs w:val="21"/>
                <w:highlight w:val="none"/>
              </w:rPr>
              <w:t>地址</w:t>
            </w:r>
          </w:p>
        </w:tc>
        <w:tc>
          <w:tcPr>
            <w:tcW w:w="3434" w:type="pct"/>
            <w:vAlign w:val="center"/>
          </w:tcPr>
          <w:p>
            <w:pPr>
              <w:spacing w:line="360" w:lineRule="exact"/>
              <w:jc w:val="center"/>
              <w:rPr>
                <w:bCs/>
                <w:color w:val="000000"/>
                <w:szCs w:val="21"/>
                <w:highlight w:val="none"/>
              </w:rPr>
            </w:pPr>
            <w:r>
              <w:rPr>
                <w:rFonts w:hint="eastAsia"/>
                <w:bCs/>
                <w:color w:val="000000"/>
                <w:szCs w:val="21"/>
                <w:highlight w:val="none"/>
              </w:rPr>
              <w:t>遵化市建明镇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vAlign w:val="center"/>
          </w:tcPr>
          <w:p>
            <w:pPr>
              <w:spacing w:line="360" w:lineRule="exact"/>
              <w:jc w:val="center"/>
              <w:rPr>
                <w:bCs/>
                <w:color w:val="000000"/>
                <w:szCs w:val="21"/>
                <w:highlight w:val="none"/>
              </w:rPr>
            </w:pPr>
            <w:r>
              <w:rPr>
                <w:bCs/>
                <w:color w:val="000000"/>
                <w:szCs w:val="21"/>
                <w:highlight w:val="none"/>
              </w:rPr>
              <w:t>5</w:t>
            </w:r>
          </w:p>
        </w:tc>
        <w:tc>
          <w:tcPr>
            <w:tcW w:w="1169" w:type="pct"/>
            <w:vAlign w:val="center"/>
          </w:tcPr>
          <w:p>
            <w:pPr>
              <w:spacing w:line="360" w:lineRule="exact"/>
              <w:jc w:val="center"/>
              <w:rPr>
                <w:color w:val="000000"/>
                <w:szCs w:val="21"/>
                <w:highlight w:val="none"/>
              </w:rPr>
            </w:pPr>
            <w:r>
              <w:rPr>
                <w:color w:val="000000"/>
                <w:szCs w:val="21"/>
                <w:highlight w:val="none"/>
              </w:rPr>
              <w:t>联系人及联系方式</w:t>
            </w:r>
          </w:p>
        </w:tc>
        <w:tc>
          <w:tcPr>
            <w:tcW w:w="3434" w:type="pct"/>
            <w:vAlign w:val="center"/>
          </w:tcPr>
          <w:p>
            <w:pPr>
              <w:spacing w:line="360" w:lineRule="exact"/>
              <w:jc w:val="center"/>
              <w:rPr>
                <w:bCs/>
                <w:color w:val="000000"/>
                <w:szCs w:val="21"/>
                <w:highlight w:val="none"/>
              </w:rPr>
            </w:pPr>
            <w:r>
              <w:rPr>
                <w:rFonts w:hint="eastAsia"/>
                <w:bCs/>
                <w:color w:val="000000"/>
                <w:szCs w:val="21"/>
                <w:highlight w:val="none"/>
                <w:lang w:eastAsia="zh-CN"/>
              </w:rPr>
              <w:t>陈爱军</w:t>
            </w:r>
            <w:r>
              <w:rPr>
                <w:rFonts w:hint="eastAsia"/>
                <w:bCs/>
                <w:color w:val="000000"/>
                <w:szCs w:val="21"/>
                <w:highlight w:val="none"/>
              </w:rPr>
              <w:t xml:space="preserve">  18631598893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vAlign w:val="center"/>
          </w:tcPr>
          <w:p>
            <w:pPr>
              <w:spacing w:line="360" w:lineRule="exact"/>
              <w:jc w:val="center"/>
              <w:rPr>
                <w:bCs/>
                <w:color w:val="000000"/>
                <w:szCs w:val="21"/>
                <w:highlight w:val="none"/>
              </w:rPr>
            </w:pPr>
            <w:r>
              <w:rPr>
                <w:bCs/>
                <w:color w:val="000000"/>
                <w:szCs w:val="21"/>
                <w:highlight w:val="none"/>
              </w:rPr>
              <w:t>6</w:t>
            </w:r>
          </w:p>
        </w:tc>
        <w:tc>
          <w:tcPr>
            <w:tcW w:w="1169" w:type="pct"/>
            <w:vAlign w:val="center"/>
          </w:tcPr>
          <w:p>
            <w:pPr>
              <w:spacing w:line="360" w:lineRule="exact"/>
              <w:jc w:val="center"/>
              <w:rPr>
                <w:color w:val="000000"/>
                <w:szCs w:val="21"/>
                <w:highlight w:val="none"/>
              </w:rPr>
            </w:pPr>
            <w:r>
              <w:rPr>
                <w:color w:val="000000"/>
                <w:szCs w:val="21"/>
                <w:highlight w:val="none"/>
              </w:rPr>
              <w:t>项目的主要内容</w:t>
            </w:r>
          </w:p>
        </w:tc>
        <w:tc>
          <w:tcPr>
            <w:tcW w:w="3434" w:type="pct"/>
            <w:vAlign w:val="center"/>
          </w:tcPr>
          <w:p>
            <w:pPr>
              <w:spacing w:line="360" w:lineRule="exact"/>
              <w:jc w:val="center"/>
              <w:rPr>
                <w:bCs/>
                <w:color w:val="000000"/>
                <w:szCs w:val="21"/>
                <w:highlight w:val="none"/>
              </w:rPr>
            </w:pPr>
            <w:r>
              <w:rPr>
                <w:rFonts w:hint="eastAsia"/>
                <w:bCs/>
                <w:color w:val="000000"/>
                <w:szCs w:val="21"/>
                <w:highlight w:val="none"/>
              </w:rPr>
              <w:t>包括拦河橡胶坝、引水节制闸、引水渠、前池、压力管道、厂房、尾水渠、升压站、并网线路、厂区及附属设施和生活区等。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vAlign w:val="center"/>
          </w:tcPr>
          <w:p>
            <w:pPr>
              <w:spacing w:line="360" w:lineRule="exact"/>
              <w:jc w:val="center"/>
              <w:rPr>
                <w:bCs/>
                <w:color w:val="000000"/>
                <w:szCs w:val="21"/>
                <w:highlight w:val="none"/>
              </w:rPr>
            </w:pPr>
            <w:r>
              <w:rPr>
                <w:bCs/>
                <w:color w:val="000000"/>
                <w:szCs w:val="21"/>
                <w:highlight w:val="none"/>
              </w:rPr>
              <w:t>7</w:t>
            </w:r>
          </w:p>
        </w:tc>
        <w:tc>
          <w:tcPr>
            <w:tcW w:w="1169" w:type="pct"/>
            <w:vAlign w:val="center"/>
          </w:tcPr>
          <w:p>
            <w:pPr>
              <w:spacing w:line="360" w:lineRule="exact"/>
              <w:jc w:val="center"/>
              <w:rPr>
                <w:color w:val="000000"/>
                <w:szCs w:val="21"/>
                <w:highlight w:val="none"/>
              </w:rPr>
            </w:pPr>
            <w:r>
              <w:rPr>
                <w:color w:val="000000"/>
                <w:szCs w:val="21"/>
                <w:highlight w:val="none"/>
              </w:rPr>
              <w:t>产品及规模</w:t>
            </w:r>
          </w:p>
        </w:tc>
        <w:tc>
          <w:tcPr>
            <w:tcW w:w="3434" w:type="pct"/>
            <w:vAlign w:val="center"/>
          </w:tcPr>
          <w:p>
            <w:pPr>
              <w:spacing w:line="360" w:lineRule="exact"/>
              <w:jc w:val="left"/>
              <w:rPr>
                <w:bCs/>
                <w:color w:val="000000"/>
                <w:szCs w:val="21"/>
                <w:highlight w:val="none"/>
              </w:rPr>
            </w:pPr>
            <w:r>
              <w:rPr>
                <w:rFonts w:hint="eastAsia"/>
                <w:bCs/>
                <w:color w:val="000000"/>
                <w:szCs w:val="21"/>
                <w:highlight w:val="none"/>
              </w:rPr>
              <w:t>总装机容量</w:t>
            </w:r>
            <w:r>
              <w:rPr>
                <w:rFonts w:hint="eastAsia"/>
                <w:bCs/>
                <w:color w:val="000000"/>
                <w:szCs w:val="21"/>
                <w:highlight w:val="none"/>
                <w:lang w:val="en-US" w:eastAsia="zh-CN"/>
              </w:rPr>
              <w:t>1</w:t>
            </w:r>
            <w:r>
              <w:rPr>
                <w:rFonts w:hint="eastAsia"/>
                <w:bCs/>
                <w:color w:val="000000"/>
                <w:szCs w:val="21"/>
                <w:highlight w:val="none"/>
              </w:rPr>
              <w:t>×</w:t>
            </w:r>
            <w:r>
              <w:rPr>
                <w:rFonts w:hint="eastAsia"/>
                <w:bCs/>
                <w:color w:val="000000"/>
                <w:szCs w:val="21"/>
                <w:highlight w:val="none"/>
                <w:lang w:val="en-US" w:eastAsia="zh-CN"/>
              </w:rPr>
              <w:t>5000</w:t>
            </w:r>
            <w:r>
              <w:rPr>
                <w:rFonts w:hint="eastAsia"/>
                <w:bCs/>
                <w:color w:val="000000"/>
                <w:szCs w:val="21"/>
                <w:highlight w:val="none"/>
              </w:rPr>
              <w:t>kW，年利用小时数</w:t>
            </w:r>
            <w:r>
              <w:rPr>
                <w:rFonts w:hint="eastAsia"/>
                <w:bCs/>
                <w:color w:val="000000"/>
                <w:szCs w:val="21"/>
                <w:highlight w:val="none"/>
                <w:lang w:val="en-US" w:eastAsia="zh-CN"/>
              </w:rPr>
              <w:t>2931</w:t>
            </w:r>
            <w:r>
              <w:rPr>
                <w:rFonts w:hint="eastAsia"/>
                <w:bCs/>
                <w:color w:val="000000"/>
                <w:szCs w:val="21"/>
                <w:highlight w:val="none"/>
              </w:rPr>
              <w:t>小时，年发电量1465.5万kw•h</w:t>
            </w:r>
          </w:p>
        </w:tc>
      </w:tr>
    </w:tbl>
    <w:p>
      <w:pPr>
        <w:autoSpaceDE w:val="0"/>
        <w:spacing w:line="480" w:lineRule="exact"/>
        <w:ind w:firstLine="480" w:firstLineChars="200"/>
        <w:rPr>
          <w:rFonts w:hint="eastAsia" w:ascii="宋体" w:hAnsi="宋体" w:cs="宋体"/>
          <w:sz w:val="24"/>
          <w:highlight w:val="none"/>
        </w:rPr>
      </w:pPr>
    </w:p>
    <w:p>
      <w:pPr>
        <w:autoSpaceDE w:val="0"/>
        <w:spacing w:line="480" w:lineRule="exact"/>
        <w:ind w:firstLine="480" w:firstLineChars="200"/>
        <w:rPr>
          <w:sz w:val="24"/>
          <w:highlight w:val="none"/>
        </w:rPr>
      </w:pPr>
      <w:r>
        <w:rPr>
          <w:rFonts w:hint="eastAsia" w:ascii="宋体" w:hAnsi="宋体" w:cs="宋体"/>
          <w:sz w:val="24"/>
          <w:highlight w:val="none"/>
        </w:rPr>
        <w:t>⑵</w:t>
      </w:r>
      <w:r>
        <w:rPr>
          <w:sz w:val="24"/>
          <w:highlight w:val="none"/>
        </w:rPr>
        <w:t>排污单位应当公开下列信息：</w:t>
      </w:r>
    </w:p>
    <w:p>
      <w:pPr>
        <w:autoSpaceDE w:val="0"/>
        <w:spacing w:line="480" w:lineRule="exact"/>
        <w:ind w:firstLine="480" w:firstLineChars="200"/>
        <w:rPr>
          <w:sz w:val="24"/>
          <w:highlight w:val="none"/>
        </w:rPr>
      </w:pPr>
      <w:r>
        <w:rPr>
          <w:rFonts w:hint="eastAsia" w:ascii="宋体" w:hAnsi="宋体" w:cs="宋体"/>
          <w:sz w:val="24"/>
          <w:highlight w:val="none"/>
        </w:rPr>
        <w:t>①</w:t>
      </w:r>
      <w:r>
        <w:rPr>
          <w:sz w:val="24"/>
          <w:highlight w:val="none"/>
        </w:rPr>
        <w:t>基础信息，包括单位名称、组织机构代码、法定代表人、生产地址、联系方式，以及生产经营和管理服务的主要内容、产品及规模；</w:t>
      </w:r>
    </w:p>
    <w:p>
      <w:pPr>
        <w:autoSpaceDE w:val="0"/>
        <w:spacing w:line="480" w:lineRule="exact"/>
        <w:ind w:firstLine="482"/>
        <w:rPr>
          <w:sz w:val="24"/>
          <w:highlight w:val="none"/>
        </w:rPr>
      </w:pPr>
      <w:r>
        <w:rPr>
          <w:rFonts w:hint="eastAsia" w:ascii="宋体" w:hAnsi="宋体" w:cs="宋体"/>
          <w:sz w:val="24"/>
          <w:highlight w:val="none"/>
        </w:rPr>
        <w:t>②</w:t>
      </w:r>
      <w:r>
        <w:rPr>
          <w:sz w:val="24"/>
          <w:highlight w:val="none"/>
        </w:rPr>
        <w:t>排污信息，包括主要污染物及特征污染物的名称、排放方式、排放口数</w:t>
      </w:r>
      <w:r>
        <w:rPr>
          <w:rFonts w:eastAsia="黑体"/>
          <w:kern w:val="0"/>
          <w:szCs w:val="21"/>
          <w:highlight w:val="none"/>
        </w:rPr>
        <mc:AlternateContent>
          <mc:Choice Requires="wps">
            <w:drawing>
              <wp:anchor distT="0" distB="0" distL="114300" distR="114300" simplePos="0" relativeHeight="251694080" behindDoc="0" locked="0" layoutInCell="1" allowOverlap="1">
                <wp:simplePos x="0" y="0"/>
                <wp:positionH relativeFrom="column">
                  <wp:posOffset>0</wp:posOffset>
                </wp:positionH>
                <wp:positionV relativeFrom="paragraph">
                  <wp:posOffset>8999855</wp:posOffset>
                </wp:positionV>
                <wp:extent cx="5259705" cy="0"/>
                <wp:effectExtent l="11430" t="8255" r="5715" b="10795"/>
                <wp:wrapNone/>
                <wp:docPr id="156" name="直线 1063"/>
                <wp:cNvGraphicFramePr/>
                <a:graphic xmlns:a="http://schemas.openxmlformats.org/drawingml/2006/main">
                  <a:graphicData uri="http://schemas.microsoft.com/office/word/2010/wordprocessingShape">
                    <wps:wsp>
                      <wps:cNvCnPr>
                        <a:cxnSpLocks noChangeShapeType="1"/>
                      </wps:cNvCnPr>
                      <wps:spPr bwMode="auto">
                        <a:xfrm>
                          <a:off x="0" y="0"/>
                          <a:ext cx="5259705" cy="0"/>
                        </a:xfrm>
                        <a:prstGeom prst="line">
                          <a:avLst/>
                        </a:prstGeom>
                        <a:noFill/>
                        <a:ln w="9525">
                          <a:solidFill>
                            <a:srgbClr val="000000"/>
                          </a:solidFill>
                          <a:round/>
                        </a:ln>
                      </wps:spPr>
                      <wps:bodyPr/>
                    </wps:wsp>
                  </a:graphicData>
                </a:graphic>
              </wp:anchor>
            </w:drawing>
          </mc:Choice>
          <mc:Fallback>
            <w:pict>
              <v:line id="直线 1063" o:spid="_x0000_s1026" o:spt="20" style="position:absolute;left:0pt;margin-left:0pt;margin-top:708.65pt;height:0pt;width:414.15pt;z-index:251694080;mso-width-relative:page;mso-height-relative:page;" filled="f" stroked="t" coordsize="21600,21600" o:gfxdata="UEsDBAoAAAAAAIdO4kAAAAAAAAAAAAAAAAAEAAAAZHJzL1BLAwQUAAAACACHTuJArh+D9tUAAAAK&#10;AQAADwAAAGRycy9kb3ducmV2LnhtbE2PzU7DQAyE70i8w8pIXKp2kxTRKGTTA5AbF1oQVzdrkois&#10;N81uf+DpMQcEN3vGGn9Trs9uUEeaQu/ZQLpIQBE33vbcGnjZ1vMcVIjIFgfPZOCTAqyry4sSC+tP&#10;/EzHTWyVhHAo0EAX41hoHZqOHIaFH4nFe/eTwyjr1Go74UnC3aCzJLnVDnuWDx2OdN9R87E5OAOh&#10;fqV9/TVrZsnbsvWU7R+eHtGY66s0uQMV6Rz/juEHX9ChEqadP7ANajAgRaKoN+lqCUr8PMtl2P1K&#10;uir1/wrVN1BLAwQUAAAACACHTuJAVEKWstsBAACmAwAADgAAAGRycy9lMm9Eb2MueG1srVPNbtsw&#10;DL4P2DsIui92MiRbjTg9JOgu3Rag7QMwsmwLk0RBUuLkWfYaO+2yx+lrjFJ+1rWXHuqDIIrkR34f&#10;6fn13mi2kz4otDUfj0rOpBXYKNvV/OH+5sNnzkIE24BGK2t+kIFfL96/mw+ukhPsUTfSMwKxoRpc&#10;zfsYXVUUQfTSQBihk5acLXoDkUzfFY2HgdCNLiZlOSsG9I3zKGQI9Lo6OvkJ0b8GENtWCblCsTXS&#10;xiOqlxoiUQq9coEvcrdtK0X83rZBRqZrTkxjPqkI3TfpLBZzqDoPrlfi1AK8poVnnAwoS0UvUCuI&#10;wLZevYAySngM2MaRQFMciWRFiMW4fKbNXQ9OZi4kdXAX0cPbwYpvu7VnqqFNmM44s2Bo5I8/fz3+&#10;/sPG5exjEmhwoaK4pV37RFHs7Z27RfEjMIvLHmwnc6P3B0e545RR/JeSjOCozGb4ig3FwDZiVmvf&#10;epMgSQe2z0M5XIYi95EJepxOplefyiln4uwroDonOh/iF4mGpUvNtbJJL6hgdxtiagSqc0h6tnij&#10;tM4z15YNNb8i9JwQUKsmOVNY8N1mqT3bQdqa/GVW5Hka5nFrm2MRbU+kE8+jYhtsDmt/FoPGl7s5&#10;rVraj6d2zv73ey3+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K4fg/bVAAAACgEAAA8AAAAAAAAA&#10;AQAgAAAAIgAAAGRycy9kb3ducmV2LnhtbFBLAQIUABQAAAAIAIdO4kBUQpay2wEAAKYDAAAOAAAA&#10;AAAAAAEAIAAAACQBAABkcnMvZTJvRG9jLnhtbFBLBQYAAAAABgAGAFkBAABxBQAAAAA=&#10;">
                <v:fill on="f" focussize="0,0"/>
                <v:stroke color="#000000" joinstyle="round"/>
                <v:imagedata o:title=""/>
                <o:lock v:ext="edit" aspectratio="f"/>
              </v:line>
            </w:pict>
          </mc:Fallback>
        </mc:AlternateContent>
      </w:r>
      <w:r>
        <w:rPr>
          <w:sz w:val="24"/>
          <w:highlight w:val="none"/>
        </w:rPr>
        <w:t>量和分布情况、排放浓度和总量情况，以及执行的污染物排放标准、核定的排放总量；</w:t>
      </w:r>
    </w:p>
    <w:p>
      <w:pPr>
        <w:autoSpaceDE w:val="0"/>
        <w:spacing w:line="480" w:lineRule="exact"/>
        <w:ind w:firstLine="482"/>
        <w:rPr>
          <w:sz w:val="24"/>
          <w:highlight w:val="none"/>
        </w:rPr>
      </w:pPr>
      <w:r>
        <w:rPr>
          <w:rFonts w:hint="eastAsia" w:ascii="宋体" w:hAnsi="宋体" w:cs="宋体"/>
          <w:sz w:val="24"/>
          <w:highlight w:val="none"/>
        </w:rPr>
        <w:t>③</w:t>
      </w:r>
      <w:r>
        <w:rPr>
          <w:sz w:val="24"/>
          <w:highlight w:val="none"/>
        </w:rPr>
        <w:t>防治污染设施的建设和运行情况；</w:t>
      </w:r>
    </w:p>
    <w:p>
      <w:pPr>
        <w:autoSpaceDE w:val="0"/>
        <w:spacing w:line="480" w:lineRule="exact"/>
        <w:ind w:firstLine="482"/>
        <w:rPr>
          <w:sz w:val="24"/>
          <w:highlight w:val="none"/>
        </w:rPr>
      </w:pPr>
      <w:r>
        <w:rPr>
          <w:rFonts w:hint="eastAsia" w:ascii="宋体" w:hAnsi="宋体" w:cs="宋体"/>
          <w:sz w:val="24"/>
          <w:highlight w:val="none"/>
        </w:rPr>
        <w:t>④</w:t>
      </w:r>
      <w:r>
        <w:rPr>
          <w:sz w:val="24"/>
          <w:highlight w:val="none"/>
        </w:rPr>
        <w:t>建设项目环境影响评价及其他环境保护行政许可情况；</w:t>
      </w:r>
    </w:p>
    <w:p>
      <w:pPr>
        <w:autoSpaceDE w:val="0"/>
        <w:spacing w:line="480" w:lineRule="exact"/>
        <w:ind w:firstLine="482"/>
        <w:rPr>
          <w:sz w:val="24"/>
          <w:highlight w:val="none"/>
        </w:rPr>
      </w:pPr>
      <w:r>
        <w:rPr>
          <w:rFonts w:hint="eastAsia" w:ascii="宋体" w:hAnsi="宋体" w:cs="宋体"/>
          <w:sz w:val="24"/>
          <w:highlight w:val="none"/>
        </w:rPr>
        <w:t>⑤</w:t>
      </w:r>
      <w:r>
        <w:rPr>
          <w:sz w:val="24"/>
          <w:highlight w:val="none"/>
        </w:rPr>
        <w:t>突发环境事件应急预案；</w:t>
      </w:r>
    </w:p>
    <w:p>
      <w:pPr>
        <w:autoSpaceDE w:val="0"/>
        <w:spacing w:line="480" w:lineRule="exact"/>
        <w:ind w:firstLine="482"/>
        <w:rPr>
          <w:sz w:val="24"/>
          <w:highlight w:val="none"/>
        </w:rPr>
      </w:pPr>
      <w:r>
        <w:rPr>
          <w:rFonts w:hint="eastAsia" w:ascii="宋体" w:hAnsi="宋体" w:cs="宋体"/>
          <w:sz w:val="24"/>
          <w:highlight w:val="none"/>
        </w:rPr>
        <w:t>⑥</w:t>
      </w:r>
      <w:r>
        <w:rPr>
          <w:sz w:val="24"/>
          <w:highlight w:val="none"/>
        </w:rPr>
        <w:t>其他应当公开的环境信息。</w:t>
      </w:r>
    </w:p>
    <w:p>
      <w:pPr>
        <w:autoSpaceDE w:val="0"/>
        <w:spacing w:line="480" w:lineRule="exact"/>
        <w:ind w:firstLine="482"/>
        <w:rPr>
          <w:sz w:val="24"/>
          <w:highlight w:val="none"/>
        </w:rPr>
      </w:pPr>
      <w:r>
        <w:rPr>
          <w:sz w:val="24"/>
          <w:highlight w:val="none"/>
        </w:rPr>
        <w:t>列入国家重点监控企业名单的重点排污单位还应当公开其环境自行监测方案。</w:t>
      </w:r>
    </w:p>
    <w:p>
      <w:pPr>
        <w:autoSpaceDE w:val="0"/>
        <w:spacing w:line="480" w:lineRule="exact"/>
        <w:ind w:firstLine="482"/>
        <w:rPr>
          <w:sz w:val="24"/>
          <w:highlight w:val="none"/>
        </w:rPr>
      </w:pPr>
      <w:r>
        <w:rPr>
          <w:rFonts w:hint="eastAsia" w:ascii="宋体" w:hAnsi="宋体" w:cs="宋体"/>
          <w:sz w:val="24"/>
          <w:highlight w:val="none"/>
        </w:rPr>
        <w:t>⑶</w:t>
      </w:r>
      <w:r>
        <w:rPr>
          <w:sz w:val="24"/>
          <w:highlight w:val="none"/>
        </w:rPr>
        <w:t>排污单位应当通过其网站、企业事业单位环境信息公开平台或者当地报刊等便于公众知晓的方式公开环境信息，同时可以采取以下一种或者几种方式予以公开：</w:t>
      </w:r>
    </w:p>
    <w:p>
      <w:pPr>
        <w:autoSpaceDE w:val="0"/>
        <w:spacing w:line="480" w:lineRule="exact"/>
        <w:ind w:firstLine="482"/>
        <w:rPr>
          <w:sz w:val="24"/>
          <w:highlight w:val="none"/>
        </w:rPr>
      </w:pPr>
      <w:r>
        <w:rPr>
          <w:rFonts w:hint="eastAsia" w:ascii="宋体" w:hAnsi="宋体" w:cs="宋体"/>
          <w:sz w:val="24"/>
          <w:highlight w:val="none"/>
        </w:rPr>
        <w:t>①</w:t>
      </w:r>
      <w:r>
        <w:rPr>
          <w:sz w:val="24"/>
          <w:highlight w:val="none"/>
        </w:rPr>
        <w:t>公告或者公开发行的信息专刊；</w:t>
      </w:r>
    </w:p>
    <w:p>
      <w:pPr>
        <w:autoSpaceDE w:val="0"/>
        <w:spacing w:line="480" w:lineRule="exact"/>
        <w:ind w:firstLine="482"/>
        <w:rPr>
          <w:sz w:val="24"/>
          <w:highlight w:val="none"/>
        </w:rPr>
      </w:pPr>
      <w:r>
        <w:rPr>
          <w:rFonts w:hint="eastAsia" w:ascii="宋体" w:hAnsi="宋体" w:cs="宋体"/>
          <w:sz w:val="24"/>
          <w:highlight w:val="none"/>
        </w:rPr>
        <w:t>②</w:t>
      </w:r>
      <w:r>
        <w:rPr>
          <w:sz w:val="24"/>
          <w:highlight w:val="none"/>
        </w:rPr>
        <w:t>广播、电视等新闻媒体；</w:t>
      </w:r>
    </w:p>
    <w:p>
      <w:pPr>
        <w:autoSpaceDE w:val="0"/>
        <w:spacing w:line="480" w:lineRule="exact"/>
        <w:ind w:firstLine="482"/>
        <w:rPr>
          <w:sz w:val="24"/>
          <w:highlight w:val="none"/>
        </w:rPr>
      </w:pPr>
      <w:r>
        <w:rPr>
          <w:rFonts w:hint="eastAsia" w:ascii="宋体" w:hAnsi="宋体" w:cs="宋体"/>
          <w:sz w:val="24"/>
          <w:highlight w:val="none"/>
        </w:rPr>
        <w:t>③</w:t>
      </w:r>
      <w:r>
        <w:rPr>
          <w:sz w:val="24"/>
          <w:highlight w:val="none"/>
        </w:rPr>
        <w:t>信息公开服务、监督热线电话；</w:t>
      </w:r>
    </w:p>
    <w:p>
      <w:pPr>
        <w:autoSpaceDE w:val="0"/>
        <w:spacing w:line="480" w:lineRule="exact"/>
        <w:ind w:firstLine="482"/>
        <w:rPr>
          <w:sz w:val="24"/>
          <w:highlight w:val="none"/>
        </w:rPr>
      </w:pPr>
      <w:r>
        <w:rPr>
          <w:rFonts w:hint="eastAsia" w:ascii="宋体" w:hAnsi="宋体" w:cs="宋体"/>
          <w:sz w:val="24"/>
          <w:highlight w:val="none"/>
        </w:rPr>
        <w:t>④</w:t>
      </w:r>
      <w:r>
        <w:rPr>
          <w:sz w:val="24"/>
          <w:highlight w:val="none"/>
        </w:rPr>
        <w:t>本单位的资料索取点、信息公开栏、信息亭、电子屏幕、电子触摸屏等场所或者设施；</w:t>
      </w:r>
    </w:p>
    <w:p>
      <w:pPr>
        <w:autoSpaceDE w:val="0"/>
        <w:spacing w:line="480" w:lineRule="exact"/>
        <w:ind w:firstLine="482"/>
        <w:rPr>
          <w:sz w:val="24"/>
          <w:highlight w:val="none"/>
        </w:rPr>
      </w:pPr>
      <w:r>
        <w:rPr>
          <w:rFonts w:hint="eastAsia" w:ascii="宋体" w:hAnsi="宋体" w:cs="宋体"/>
          <w:sz w:val="24"/>
          <w:highlight w:val="none"/>
        </w:rPr>
        <w:t>⑤</w:t>
      </w:r>
      <w:r>
        <w:rPr>
          <w:sz w:val="24"/>
          <w:highlight w:val="none"/>
        </w:rPr>
        <w:t>其他便于公众及时、准确获得信息的方式。</w:t>
      </w:r>
    </w:p>
    <w:p>
      <w:pPr>
        <w:autoSpaceDE w:val="0"/>
        <w:spacing w:line="480" w:lineRule="exact"/>
        <w:ind w:firstLine="482"/>
        <w:rPr>
          <w:sz w:val="24"/>
          <w:highlight w:val="none"/>
        </w:rPr>
      </w:pPr>
      <w:r>
        <w:rPr>
          <w:rFonts w:hint="eastAsia"/>
          <w:sz w:val="24"/>
          <w:highlight w:val="none"/>
        </w:rPr>
        <w:t>⑷</w:t>
      </w:r>
      <w:r>
        <w:rPr>
          <w:sz w:val="24"/>
          <w:highlight w:val="none"/>
        </w:rPr>
        <w:t>自愿公开有利于保护生态、防治污染、履行社会环境责任的相关信息</w:t>
      </w:r>
      <w:bookmarkStart w:id="417" w:name="_Toc40196758"/>
    </w:p>
    <w:p>
      <w:pPr>
        <w:pStyle w:val="3"/>
        <w:spacing w:beforeLines="0" w:line="480" w:lineRule="exact"/>
        <w:rPr>
          <w:rFonts w:eastAsia="宋体"/>
          <w:b/>
          <w:bCs/>
          <w:highlight w:val="none"/>
        </w:rPr>
      </w:pPr>
      <w:bookmarkStart w:id="418" w:name="_Toc27137"/>
      <w:r>
        <w:rPr>
          <w:rFonts w:hint="eastAsia" w:eastAsia="宋体"/>
          <w:b/>
          <w:bCs/>
          <w:highlight w:val="none"/>
        </w:rPr>
        <w:t>9.4排污口规范化管理</w:t>
      </w:r>
      <w:bookmarkEnd w:id="417"/>
      <w:bookmarkEnd w:id="418"/>
    </w:p>
    <w:p>
      <w:pPr>
        <w:spacing w:line="480" w:lineRule="exact"/>
        <w:ind w:firstLine="480" w:firstLineChars="200"/>
        <w:rPr>
          <w:color w:val="000000"/>
          <w:kern w:val="0"/>
          <w:sz w:val="24"/>
          <w:highlight w:val="none"/>
        </w:rPr>
      </w:pPr>
      <w:r>
        <w:rPr>
          <w:color w:val="000000"/>
          <w:kern w:val="0"/>
          <w:sz w:val="24"/>
          <w:highlight w:val="none"/>
        </w:rPr>
        <w:t>废水排放口、固定噪声源、固体废物贮存和排气筒必须按照国家和河北省的有关规定进行建设，应符合“一明显、二合理、三便于”的要求，即环保标志明显，排污口设置合理，便于采集样品、便于监测计量、便于公众参与和监督管理。同时要求按照国家环保总局制定的《环境保护图形标志实施细则（试行）》的规定，设置与排污口相应的图形标志牌。</w:t>
      </w:r>
    </w:p>
    <w:p>
      <w:pPr>
        <w:spacing w:line="480" w:lineRule="exact"/>
        <w:ind w:firstLine="480" w:firstLineChars="200"/>
        <w:rPr>
          <w:color w:val="000000"/>
          <w:kern w:val="0"/>
          <w:sz w:val="24"/>
          <w:highlight w:val="none"/>
        </w:rPr>
      </w:pPr>
      <w:r>
        <w:rPr>
          <w:color w:val="000000"/>
          <w:kern w:val="0"/>
          <w:sz w:val="24"/>
          <w:highlight w:val="none"/>
        </w:rPr>
        <w:t>在厂区的</w:t>
      </w:r>
      <w:r>
        <w:rPr>
          <w:rFonts w:hint="eastAsia"/>
          <w:color w:val="000000"/>
          <w:kern w:val="0"/>
          <w:sz w:val="24"/>
          <w:highlight w:val="none"/>
        </w:rPr>
        <w:t>废水</w:t>
      </w:r>
      <w:r>
        <w:rPr>
          <w:color w:val="000000"/>
          <w:kern w:val="0"/>
          <w:sz w:val="24"/>
          <w:highlight w:val="none"/>
        </w:rPr>
        <w:t>排放源、固体废物贮存处置场应设置环境保护图形标志，</w:t>
      </w:r>
    </w:p>
    <w:p>
      <w:pPr>
        <w:spacing w:line="480" w:lineRule="exact"/>
        <w:ind w:firstLine="480" w:firstLineChars="200"/>
        <w:rPr>
          <w:color w:val="000000"/>
          <w:kern w:val="0"/>
          <w:sz w:val="24"/>
          <w:highlight w:val="none"/>
        </w:rPr>
      </w:pPr>
      <w:r>
        <w:rPr>
          <w:color w:val="000000"/>
          <w:kern w:val="0"/>
          <w:sz w:val="24"/>
          <w:highlight w:val="none"/>
        </w:rPr>
        <w:t>图形符号分为提示图形和警告图形符号两种，分别按GB15562.1-1995、</w:t>
      </w:r>
      <w:r>
        <w:rPr>
          <w:rFonts w:hint="eastAsia"/>
          <w:color w:val="000000"/>
          <w:kern w:val="0"/>
          <w:sz w:val="24"/>
          <w:highlight w:val="none"/>
          <w:lang w:val="en-US" w:eastAsia="zh-CN"/>
        </w:rPr>
        <w:t>G</w:t>
      </w:r>
      <w:r>
        <w:rPr>
          <w:color w:val="000000"/>
          <w:kern w:val="0"/>
          <w:sz w:val="24"/>
          <w:highlight w:val="none"/>
        </w:rPr>
        <w:t>B15562.2-1995</w:t>
      </w:r>
      <w:r>
        <w:rPr>
          <w:rFonts w:hint="eastAsia"/>
          <w:color w:val="000000"/>
          <w:kern w:val="0"/>
          <w:sz w:val="24"/>
          <w:highlight w:val="none"/>
          <w:lang w:eastAsia="zh-CN"/>
        </w:rPr>
        <w:t>（含</w:t>
      </w:r>
      <w:r>
        <w:rPr>
          <w:rFonts w:hint="eastAsia"/>
          <w:color w:val="000000"/>
          <w:kern w:val="0"/>
          <w:sz w:val="24"/>
          <w:highlight w:val="none"/>
          <w:lang w:val="en-US" w:eastAsia="zh-CN"/>
        </w:rPr>
        <w:t>2023</w:t>
      </w:r>
      <w:r>
        <w:rPr>
          <w:rFonts w:hint="eastAsia"/>
          <w:color w:val="000000"/>
          <w:kern w:val="0"/>
          <w:sz w:val="24"/>
          <w:highlight w:val="none"/>
          <w:lang w:eastAsia="zh-CN"/>
        </w:rPr>
        <w:t>修改单）</w:t>
      </w:r>
      <w:r>
        <w:rPr>
          <w:color w:val="000000"/>
          <w:kern w:val="0"/>
          <w:sz w:val="24"/>
          <w:highlight w:val="none"/>
        </w:rPr>
        <w:t>执行。环境保护图形标志的形状及颜色见表</w:t>
      </w:r>
      <w:r>
        <w:rPr>
          <w:rFonts w:hint="eastAsia"/>
          <w:color w:val="000000"/>
          <w:kern w:val="0"/>
          <w:sz w:val="24"/>
          <w:highlight w:val="none"/>
        </w:rPr>
        <w:t>9.4</w:t>
      </w:r>
      <w:r>
        <w:rPr>
          <w:color w:val="000000"/>
          <w:kern w:val="0"/>
          <w:sz w:val="24"/>
          <w:highlight w:val="none"/>
        </w:rPr>
        <w:t>-</w:t>
      </w:r>
      <w:r>
        <w:rPr>
          <w:rFonts w:hint="eastAsia"/>
          <w:color w:val="000000"/>
          <w:kern w:val="0"/>
          <w:sz w:val="24"/>
          <w:highlight w:val="none"/>
        </w:rPr>
        <w:t>1</w:t>
      </w:r>
      <w:r>
        <w:rPr>
          <w:color w:val="000000"/>
          <w:kern w:val="0"/>
          <w:sz w:val="24"/>
          <w:highlight w:val="none"/>
        </w:rPr>
        <w:t>，环境保护图形符号见表</w:t>
      </w:r>
      <w:r>
        <w:rPr>
          <w:rFonts w:hint="eastAsia"/>
          <w:color w:val="000000"/>
          <w:kern w:val="0"/>
          <w:sz w:val="24"/>
          <w:highlight w:val="none"/>
        </w:rPr>
        <w:t>94-2</w:t>
      </w:r>
      <w:r>
        <w:rPr>
          <w:color w:val="000000"/>
          <w:kern w:val="0"/>
          <w:sz w:val="24"/>
          <w:highlight w:val="none"/>
        </w:rPr>
        <w:t>。</w:t>
      </w:r>
    </w:p>
    <w:p>
      <w:pPr>
        <w:spacing w:line="480" w:lineRule="exact"/>
        <w:jc w:val="center"/>
        <w:rPr>
          <w:b/>
          <w:color w:val="000000"/>
          <w:kern w:val="0"/>
          <w:sz w:val="24"/>
          <w:highlight w:val="none"/>
        </w:rPr>
      </w:pPr>
      <w:r>
        <w:rPr>
          <w:b/>
          <w:color w:val="000000"/>
          <w:kern w:val="0"/>
          <w:sz w:val="24"/>
          <w:highlight w:val="none"/>
        </w:rPr>
        <w:t>表</w:t>
      </w:r>
      <w:r>
        <w:rPr>
          <w:rFonts w:hint="eastAsia"/>
          <w:b/>
          <w:color w:val="000000"/>
          <w:kern w:val="0"/>
          <w:sz w:val="24"/>
          <w:highlight w:val="none"/>
        </w:rPr>
        <w:t>9.4-1</w:t>
      </w:r>
      <w:r>
        <w:rPr>
          <w:b/>
          <w:color w:val="000000"/>
          <w:kern w:val="0"/>
          <w:sz w:val="24"/>
          <w:highlight w:val="none"/>
        </w:rPr>
        <w:t xml:space="preserve">    环境保护图形标志的形状及颜色</w:t>
      </w:r>
    </w:p>
    <w:tbl>
      <w:tblPr>
        <w:tblStyle w:val="5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2"/>
        <w:gridCol w:w="2123"/>
        <w:gridCol w:w="2124"/>
        <w:gridCol w:w="21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vAlign w:val="center"/>
          </w:tcPr>
          <w:p>
            <w:pPr>
              <w:pStyle w:val="137"/>
              <w:spacing w:line="300" w:lineRule="exact"/>
              <w:jc w:val="center"/>
              <w:rPr>
                <w:rFonts w:ascii="Times New Roman" w:cs="Times New Roman"/>
                <w:sz w:val="21"/>
                <w:szCs w:val="21"/>
                <w:highlight w:val="none"/>
              </w:rPr>
            </w:pPr>
            <w:r>
              <w:rPr>
                <w:rFonts w:ascii="Times New Roman" w:cs="Times New Roman"/>
                <w:sz w:val="21"/>
                <w:szCs w:val="21"/>
                <w:highlight w:val="none"/>
              </w:rPr>
              <w:t>标志名称</w:t>
            </w:r>
          </w:p>
        </w:tc>
        <w:tc>
          <w:tcPr>
            <w:tcW w:w="2130" w:type="dxa"/>
            <w:vAlign w:val="center"/>
          </w:tcPr>
          <w:p>
            <w:pPr>
              <w:pStyle w:val="137"/>
              <w:spacing w:line="300" w:lineRule="exact"/>
              <w:jc w:val="center"/>
              <w:rPr>
                <w:rFonts w:ascii="Times New Roman" w:cs="Times New Roman"/>
                <w:sz w:val="21"/>
                <w:szCs w:val="21"/>
                <w:highlight w:val="none"/>
              </w:rPr>
            </w:pPr>
            <w:r>
              <w:rPr>
                <w:rFonts w:ascii="Times New Roman" w:cs="Times New Roman"/>
                <w:sz w:val="21"/>
                <w:szCs w:val="21"/>
                <w:highlight w:val="none"/>
              </w:rPr>
              <w:t>形状</w:t>
            </w:r>
          </w:p>
        </w:tc>
        <w:tc>
          <w:tcPr>
            <w:tcW w:w="2131" w:type="dxa"/>
            <w:vAlign w:val="center"/>
          </w:tcPr>
          <w:p>
            <w:pPr>
              <w:pStyle w:val="137"/>
              <w:spacing w:line="300" w:lineRule="exact"/>
              <w:jc w:val="center"/>
              <w:rPr>
                <w:rFonts w:ascii="Times New Roman" w:cs="Times New Roman"/>
                <w:sz w:val="21"/>
                <w:szCs w:val="21"/>
                <w:highlight w:val="none"/>
              </w:rPr>
            </w:pPr>
            <w:r>
              <w:rPr>
                <w:rFonts w:ascii="Times New Roman" w:cs="Times New Roman"/>
                <w:sz w:val="21"/>
                <w:szCs w:val="21"/>
                <w:highlight w:val="none"/>
              </w:rPr>
              <w:t>背景颜色</w:t>
            </w:r>
          </w:p>
        </w:tc>
        <w:tc>
          <w:tcPr>
            <w:tcW w:w="2131" w:type="dxa"/>
            <w:vAlign w:val="center"/>
          </w:tcPr>
          <w:p>
            <w:pPr>
              <w:pStyle w:val="137"/>
              <w:jc w:val="center"/>
              <w:rPr>
                <w:rFonts w:ascii="Times New Roman" w:cs="Times New Roman"/>
                <w:sz w:val="21"/>
                <w:szCs w:val="21"/>
                <w:highlight w:val="none"/>
              </w:rPr>
            </w:pPr>
            <w:r>
              <w:rPr>
                <w:rFonts w:ascii="Times New Roman" w:cs="Times New Roman"/>
                <w:sz w:val="21"/>
                <w:szCs w:val="21"/>
                <w:highlight w:val="none"/>
              </w:rPr>
              <w:t>图形颜色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vAlign w:val="center"/>
          </w:tcPr>
          <w:p>
            <w:pPr>
              <w:pStyle w:val="137"/>
              <w:spacing w:line="300" w:lineRule="exact"/>
              <w:jc w:val="center"/>
              <w:rPr>
                <w:rFonts w:ascii="Times New Roman" w:cs="Times New Roman"/>
                <w:sz w:val="21"/>
                <w:szCs w:val="21"/>
                <w:highlight w:val="none"/>
              </w:rPr>
            </w:pPr>
            <w:r>
              <w:rPr>
                <w:rFonts w:ascii="Times New Roman" w:cs="Times New Roman"/>
                <w:sz w:val="21"/>
                <w:szCs w:val="21"/>
                <w:highlight w:val="none"/>
              </w:rPr>
              <w:t>警示标志</w:t>
            </w:r>
          </w:p>
        </w:tc>
        <w:tc>
          <w:tcPr>
            <w:tcW w:w="2130" w:type="dxa"/>
            <w:vAlign w:val="center"/>
          </w:tcPr>
          <w:p>
            <w:pPr>
              <w:pStyle w:val="137"/>
              <w:spacing w:line="300" w:lineRule="exact"/>
              <w:jc w:val="center"/>
              <w:rPr>
                <w:rFonts w:ascii="Times New Roman" w:cs="Times New Roman"/>
                <w:sz w:val="21"/>
                <w:szCs w:val="21"/>
                <w:highlight w:val="none"/>
              </w:rPr>
            </w:pPr>
            <w:r>
              <w:rPr>
                <w:rFonts w:ascii="Times New Roman" w:cs="Times New Roman"/>
                <w:sz w:val="21"/>
                <w:szCs w:val="21"/>
                <w:highlight w:val="none"/>
              </w:rPr>
              <w:t>三角形边框</w:t>
            </w:r>
          </w:p>
        </w:tc>
        <w:tc>
          <w:tcPr>
            <w:tcW w:w="2131" w:type="dxa"/>
            <w:vAlign w:val="center"/>
          </w:tcPr>
          <w:p>
            <w:pPr>
              <w:pStyle w:val="137"/>
              <w:spacing w:line="300" w:lineRule="exact"/>
              <w:jc w:val="center"/>
              <w:rPr>
                <w:rFonts w:ascii="Times New Roman" w:cs="Times New Roman"/>
                <w:sz w:val="21"/>
                <w:szCs w:val="21"/>
                <w:highlight w:val="none"/>
              </w:rPr>
            </w:pPr>
            <w:r>
              <w:rPr>
                <w:rFonts w:ascii="Times New Roman" w:cs="Times New Roman"/>
                <w:sz w:val="21"/>
                <w:szCs w:val="21"/>
                <w:highlight w:val="none"/>
              </w:rPr>
              <w:t>黄色绿色</w:t>
            </w:r>
          </w:p>
        </w:tc>
        <w:tc>
          <w:tcPr>
            <w:tcW w:w="2131" w:type="dxa"/>
            <w:vAlign w:val="center"/>
          </w:tcPr>
          <w:p>
            <w:pPr>
              <w:pStyle w:val="137"/>
              <w:jc w:val="center"/>
              <w:rPr>
                <w:rFonts w:ascii="Times New Roman" w:cs="Times New Roman"/>
                <w:sz w:val="21"/>
                <w:szCs w:val="21"/>
                <w:highlight w:val="none"/>
              </w:rPr>
            </w:pPr>
            <w:r>
              <w:rPr>
                <w:rFonts w:ascii="Times New Roman" w:cs="Times New Roman"/>
                <w:sz w:val="21"/>
                <w:szCs w:val="21"/>
                <w:highlight w:val="none"/>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vAlign w:val="center"/>
          </w:tcPr>
          <w:p>
            <w:pPr>
              <w:pStyle w:val="137"/>
              <w:spacing w:line="300" w:lineRule="exact"/>
              <w:jc w:val="center"/>
              <w:rPr>
                <w:rFonts w:ascii="Times New Roman" w:cs="Times New Roman"/>
                <w:sz w:val="21"/>
                <w:szCs w:val="21"/>
                <w:highlight w:val="none"/>
              </w:rPr>
            </w:pPr>
            <w:r>
              <w:rPr>
                <w:rFonts w:ascii="Times New Roman" w:cs="Times New Roman"/>
                <w:sz w:val="21"/>
                <w:szCs w:val="21"/>
                <w:highlight w:val="none"/>
              </w:rPr>
              <w:t>提示标志</w:t>
            </w:r>
          </w:p>
        </w:tc>
        <w:tc>
          <w:tcPr>
            <w:tcW w:w="2130" w:type="dxa"/>
            <w:vAlign w:val="center"/>
          </w:tcPr>
          <w:p>
            <w:pPr>
              <w:pStyle w:val="137"/>
              <w:spacing w:line="300" w:lineRule="exact"/>
              <w:jc w:val="center"/>
              <w:rPr>
                <w:rFonts w:ascii="Times New Roman" w:cs="Times New Roman"/>
                <w:sz w:val="21"/>
                <w:szCs w:val="21"/>
                <w:highlight w:val="none"/>
              </w:rPr>
            </w:pPr>
            <w:r>
              <w:rPr>
                <w:rFonts w:ascii="Times New Roman" w:cs="Times New Roman"/>
                <w:sz w:val="21"/>
                <w:szCs w:val="21"/>
                <w:highlight w:val="none"/>
              </w:rPr>
              <w:t>正方形边框</w:t>
            </w:r>
          </w:p>
        </w:tc>
        <w:tc>
          <w:tcPr>
            <w:tcW w:w="2131" w:type="dxa"/>
            <w:vAlign w:val="center"/>
          </w:tcPr>
          <w:p>
            <w:pPr>
              <w:pStyle w:val="137"/>
              <w:spacing w:line="300" w:lineRule="exact"/>
              <w:jc w:val="center"/>
              <w:rPr>
                <w:rFonts w:ascii="Times New Roman" w:cs="Times New Roman"/>
                <w:sz w:val="21"/>
                <w:szCs w:val="21"/>
                <w:highlight w:val="none"/>
              </w:rPr>
            </w:pPr>
          </w:p>
        </w:tc>
        <w:tc>
          <w:tcPr>
            <w:tcW w:w="2131" w:type="dxa"/>
            <w:vAlign w:val="center"/>
          </w:tcPr>
          <w:p>
            <w:pPr>
              <w:pStyle w:val="137"/>
              <w:jc w:val="center"/>
              <w:rPr>
                <w:rFonts w:ascii="Times New Roman" w:cs="Times New Roman"/>
                <w:sz w:val="21"/>
                <w:szCs w:val="21"/>
                <w:highlight w:val="none"/>
              </w:rPr>
            </w:pPr>
            <w:r>
              <w:rPr>
                <w:rFonts w:ascii="Times New Roman" w:cs="Times New Roman"/>
                <w:sz w:val="21"/>
                <w:szCs w:val="21"/>
                <w:highlight w:val="none"/>
              </w:rPr>
              <w:t>白色</w:t>
            </w:r>
          </w:p>
        </w:tc>
      </w:tr>
    </w:tbl>
    <w:p>
      <w:pPr>
        <w:pStyle w:val="137"/>
        <w:spacing w:line="480" w:lineRule="exact"/>
        <w:jc w:val="center"/>
        <w:rPr>
          <w:rFonts w:ascii="Times New Roman" w:cs="Times New Roman"/>
          <w:b/>
          <w:highlight w:val="none"/>
        </w:rPr>
      </w:pPr>
      <w:r>
        <w:rPr>
          <w:rFonts w:ascii="Times New Roman" w:cs="Times New Roman"/>
          <w:b/>
          <w:highlight w:val="none"/>
        </w:rPr>
        <w:t>表</w:t>
      </w:r>
      <w:r>
        <w:rPr>
          <w:rFonts w:hint="eastAsia" w:ascii="Times New Roman" w:cs="Times New Roman"/>
          <w:b/>
          <w:highlight w:val="none"/>
        </w:rPr>
        <w:t>9.4-</w:t>
      </w:r>
      <w:r>
        <w:rPr>
          <w:rFonts w:hint="eastAsia" w:ascii="Times New Roman" w:cs="Times New Roman"/>
          <w:b/>
          <w:highlight w:val="none"/>
          <w:lang w:val="en-US" w:eastAsia="zh-CN"/>
        </w:rPr>
        <w:t>2</w:t>
      </w:r>
      <w:r>
        <w:rPr>
          <w:rFonts w:ascii="Times New Roman" w:cs="Times New Roman"/>
          <w:b/>
          <w:highlight w:val="none"/>
        </w:rPr>
        <w:t xml:space="preserve">  环境保护图形符号一览表</w:t>
      </w:r>
    </w:p>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1"/>
        <w:gridCol w:w="1806"/>
        <w:gridCol w:w="1880"/>
        <w:gridCol w:w="2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1" w:type="dxa"/>
            <w:vAlign w:val="center"/>
          </w:tcPr>
          <w:p>
            <w:pPr>
              <w:pStyle w:val="137"/>
              <w:jc w:val="center"/>
              <w:rPr>
                <w:rFonts w:ascii="Times New Roman" w:cs="Times New Roman"/>
                <w:b/>
                <w:highlight w:val="none"/>
              </w:rPr>
            </w:pPr>
            <w:r>
              <w:rPr>
                <w:rFonts w:ascii="Times New Roman" w:cs="Times New Roman"/>
                <w:sz w:val="21"/>
                <w:szCs w:val="21"/>
                <w:highlight w:val="none"/>
              </w:rPr>
              <w:t>提示图形符号</w:t>
            </w:r>
          </w:p>
        </w:tc>
        <w:tc>
          <w:tcPr>
            <w:tcW w:w="1806" w:type="dxa"/>
            <w:vAlign w:val="center"/>
          </w:tcPr>
          <w:p>
            <w:pPr>
              <w:pStyle w:val="137"/>
              <w:jc w:val="center"/>
              <w:rPr>
                <w:rFonts w:ascii="Times New Roman" w:cs="Times New Roman"/>
                <w:b/>
                <w:highlight w:val="none"/>
              </w:rPr>
            </w:pPr>
            <w:r>
              <w:rPr>
                <w:rFonts w:ascii="Times New Roman" w:cs="Times New Roman"/>
                <w:sz w:val="21"/>
                <w:szCs w:val="21"/>
                <w:highlight w:val="none"/>
              </w:rPr>
              <w:t>警告图形符号</w:t>
            </w:r>
          </w:p>
        </w:tc>
        <w:tc>
          <w:tcPr>
            <w:tcW w:w="1880" w:type="dxa"/>
            <w:vAlign w:val="center"/>
          </w:tcPr>
          <w:p>
            <w:pPr>
              <w:pStyle w:val="137"/>
              <w:jc w:val="center"/>
              <w:rPr>
                <w:rFonts w:ascii="Times New Roman" w:cs="Times New Roman"/>
                <w:b/>
                <w:highlight w:val="none"/>
              </w:rPr>
            </w:pPr>
            <w:r>
              <w:rPr>
                <w:rFonts w:ascii="Times New Roman" w:cs="Times New Roman"/>
                <w:sz w:val="21"/>
                <w:szCs w:val="21"/>
                <w:highlight w:val="none"/>
              </w:rPr>
              <w:t>名称</w:t>
            </w:r>
          </w:p>
        </w:tc>
        <w:tc>
          <w:tcPr>
            <w:tcW w:w="2835" w:type="dxa"/>
            <w:vAlign w:val="center"/>
          </w:tcPr>
          <w:p>
            <w:pPr>
              <w:pStyle w:val="137"/>
              <w:jc w:val="center"/>
              <w:rPr>
                <w:rFonts w:ascii="Times New Roman" w:cs="Times New Roman"/>
                <w:b/>
                <w:highlight w:val="none"/>
              </w:rPr>
            </w:pPr>
            <w:r>
              <w:rPr>
                <w:rFonts w:ascii="Times New Roman" w:cs="Times New Roman"/>
                <w:sz w:val="21"/>
                <w:szCs w:val="21"/>
                <w:highlight w:val="none"/>
              </w:rPr>
              <w:t>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1" w:type="dxa"/>
            <w:vAlign w:val="center"/>
          </w:tcPr>
          <w:p>
            <w:pPr>
              <w:pStyle w:val="137"/>
              <w:jc w:val="center"/>
              <w:rPr>
                <w:rFonts w:ascii="Times New Roman" w:cs="Times New Roman"/>
                <w:b/>
                <w:highlight w:val="none"/>
              </w:rPr>
            </w:pPr>
            <w:r>
              <w:rPr>
                <w:rFonts w:ascii="Times New Roman" w:cs="Times New Roman"/>
                <w:b/>
                <w:highlight w:val="none"/>
              </w:rPr>
              <w:drawing>
                <wp:inline distT="0" distB="0" distL="0" distR="0">
                  <wp:extent cx="779145" cy="779145"/>
                  <wp:effectExtent l="0" t="0" r="1905" b="1905"/>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noChangeArrowheads="1"/>
                          </pic:cNvPicPr>
                        </pic:nvPicPr>
                        <pic:blipFill>
                          <a:blip r:embed="rId85" cstate="print"/>
                          <a:srcRect/>
                          <a:stretch>
                            <a:fillRect/>
                          </a:stretch>
                        </pic:blipFill>
                        <pic:spPr>
                          <a:xfrm>
                            <a:off x="0" y="0"/>
                            <a:ext cx="779145" cy="779145"/>
                          </a:xfrm>
                          <a:prstGeom prst="rect">
                            <a:avLst/>
                          </a:prstGeom>
                          <a:noFill/>
                          <a:ln w="9525">
                            <a:noFill/>
                            <a:miter lim="800000"/>
                            <a:headEnd/>
                            <a:tailEnd/>
                          </a:ln>
                        </pic:spPr>
                      </pic:pic>
                    </a:graphicData>
                  </a:graphic>
                </wp:inline>
              </w:drawing>
            </w:r>
          </w:p>
        </w:tc>
        <w:tc>
          <w:tcPr>
            <w:tcW w:w="1806" w:type="dxa"/>
            <w:vAlign w:val="center"/>
          </w:tcPr>
          <w:p>
            <w:pPr>
              <w:pStyle w:val="137"/>
              <w:jc w:val="center"/>
              <w:rPr>
                <w:rFonts w:ascii="Times New Roman" w:cs="Times New Roman"/>
                <w:b/>
                <w:highlight w:val="none"/>
              </w:rPr>
            </w:pPr>
            <w:r>
              <w:rPr>
                <w:rFonts w:ascii="Times New Roman" w:cs="Times New Roman"/>
                <w:b/>
                <w:highlight w:val="none"/>
              </w:rPr>
              <w:drawing>
                <wp:inline distT="0" distB="0" distL="0" distR="0">
                  <wp:extent cx="819150" cy="668020"/>
                  <wp:effectExtent l="0" t="0" r="0" b="17780"/>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noChangeArrowheads="1"/>
                          </pic:cNvPicPr>
                        </pic:nvPicPr>
                        <pic:blipFill>
                          <a:blip r:embed="rId86" cstate="print"/>
                          <a:srcRect/>
                          <a:stretch>
                            <a:fillRect/>
                          </a:stretch>
                        </pic:blipFill>
                        <pic:spPr>
                          <a:xfrm>
                            <a:off x="0" y="0"/>
                            <a:ext cx="819150" cy="668020"/>
                          </a:xfrm>
                          <a:prstGeom prst="rect">
                            <a:avLst/>
                          </a:prstGeom>
                          <a:noFill/>
                          <a:ln w="9525">
                            <a:noFill/>
                            <a:miter lim="800000"/>
                            <a:headEnd/>
                            <a:tailEnd/>
                          </a:ln>
                        </pic:spPr>
                      </pic:pic>
                    </a:graphicData>
                  </a:graphic>
                </wp:inline>
              </w:drawing>
            </w:r>
          </w:p>
        </w:tc>
        <w:tc>
          <w:tcPr>
            <w:tcW w:w="1880" w:type="dxa"/>
            <w:vAlign w:val="center"/>
          </w:tcPr>
          <w:p>
            <w:pPr>
              <w:pStyle w:val="137"/>
              <w:jc w:val="center"/>
              <w:rPr>
                <w:rFonts w:ascii="Times New Roman" w:cs="Times New Roman"/>
                <w:b/>
                <w:highlight w:val="none"/>
              </w:rPr>
            </w:pPr>
            <w:r>
              <w:rPr>
                <w:rFonts w:ascii="Times New Roman" w:cs="Times New Roman"/>
                <w:sz w:val="21"/>
                <w:szCs w:val="21"/>
                <w:highlight w:val="none"/>
              </w:rPr>
              <w:t>污水排放口</w:t>
            </w:r>
          </w:p>
        </w:tc>
        <w:tc>
          <w:tcPr>
            <w:tcW w:w="2835" w:type="dxa"/>
            <w:vAlign w:val="center"/>
          </w:tcPr>
          <w:p>
            <w:pPr>
              <w:pStyle w:val="137"/>
              <w:rPr>
                <w:rFonts w:ascii="Times New Roman" w:cs="Times New Roman"/>
                <w:b/>
                <w:highlight w:val="none"/>
              </w:rPr>
            </w:pPr>
            <w:r>
              <w:rPr>
                <w:rFonts w:ascii="Times New Roman" w:cs="Times New Roman"/>
                <w:sz w:val="21"/>
                <w:szCs w:val="21"/>
                <w:highlight w:val="none"/>
              </w:rPr>
              <w:t>表示污水向水体排放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1" w:type="dxa"/>
            <w:vAlign w:val="center"/>
          </w:tcPr>
          <w:p>
            <w:pPr>
              <w:pStyle w:val="137"/>
              <w:jc w:val="center"/>
              <w:rPr>
                <w:rFonts w:ascii="Times New Roman" w:cs="Times New Roman"/>
                <w:b/>
                <w:highlight w:val="none"/>
              </w:rPr>
            </w:pPr>
            <w:r>
              <w:rPr>
                <w:rFonts w:ascii="Times New Roman" w:cs="Times New Roman"/>
                <w:b/>
                <w:highlight w:val="none"/>
              </w:rPr>
              <w:drawing>
                <wp:inline distT="0" distB="0" distL="0" distR="0">
                  <wp:extent cx="779145" cy="779145"/>
                  <wp:effectExtent l="0" t="0" r="1905" b="1905"/>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noChangeArrowheads="1"/>
                          </pic:cNvPicPr>
                        </pic:nvPicPr>
                        <pic:blipFill>
                          <a:blip r:embed="rId87" cstate="print"/>
                          <a:srcRect/>
                          <a:stretch>
                            <a:fillRect/>
                          </a:stretch>
                        </pic:blipFill>
                        <pic:spPr>
                          <a:xfrm>
                            <a:off x="0" y="0"/>
                            <a:ext cx="779145" cy="779145"/>
                          </a:xfrm>
                          <a:prstGeom prst="rect">
                            <a:avLst/>
                          </a:prstGeom>
                          <a:noFill/>
                          <a:ln w="9525">
                            <a:noFill/>
                            <a:miter lim="800000"/>
                            <a:headEnd/>
                            <a:tailEnd/>
                          </a:ln>
                        </pic:spPr>
                      </pic:pic>
                    </a:graphicData>
                  </a:graphic>
                </wp:inline>
              </w:drawing>
            </w:r>
          </w:p>
        </w:tc>
        <w:tc>
          <w:tcPr>
            <w:tcW w:w="1806" w:type="dxa"/>
            <w:vAlign w:val="center"/>
          </w:tcPr>
          <w:p>
            <w:pPr>
              <w:pStyle w:val="137"/>
              <w:jc w:val="center"/>
              <w:rPr>
                <w:rFonts w:ascii="Times New Roman" w:cs="Times New Roman"/>
                <w:b/>
                <w:highlight w:val="none"/>
              </w:rPr>
            </w:pPr>
            <w:r>
              <w:rPr>
                <w:rFonts w:ascii="Times New Roman" w:cs="Times New Roman"/>
                <w:b/>
                <w:highlight w:val="none"/>
              </w:rPr>
              <w:drawing>
                <wp:inline distT="0" distB="0" distL="0" distR="0">
                  <wp:extent cx="771525" cy="723265"/>
                  <wp:effectExtent l="0" t="0" r="9525" b="635"/>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noChangeArrowheads="1"/>
                          </pic:cNvPicPr>
                        </pic:nvPicPr>
                        <pic:blipFill>
                          <a:blip r:embed="rId88" cstate="print"/>
                          <a:srcRect/>
                          <a:stretch>
                            <a:fillRect/>
                          </a:stretch>
                        </pic:blipFill>
                        <pic:spPr>
                          <a:xfrm>
                            <a:off x="0" y="0"/>
                            <a:ext cx="771525" cy="723265"/>
                          </a:xfrm>
                          <a:prstGeom prst="rect">
                            <a:avLst/>
                          </a:prstGeom>
                          <a:noFill/>
                          <a:ln w="9525">
                            <a:noFill/>
                            <a:miter lim="800000"/>
                            <a:headEnd/>
                            <a:tailEnd/>
                          </a:ln>
                        </pic:spPr>
                      </pic:pic>
                    </a:graphicData>
                  </a:graphic>
                </wp:inline>
              </w:drawing>
            </w:r>
          </w:p>
        </w:tc>
        <w:tc>
          <w:tcPr>
            <w:tcW w:w="1880" w:type="dxa"/>
            <w:vAlign w:val="center"/>
          </w:tcPr>
          <w:p>
            <w:pPr>
              <w:pStyle w:val="137"/>
              <w:jc w:val="center"/>
              <w:rPr>
                <w:rFonts w:ascii="Times New Roman" w:cs="Times New Roman"/>
                <w:b/>
                <w:highlight w:val="none"/>
              </w:rPr>
            </w:pPr>
            <w:r>
              <w:rPr>
                <w:rFonts w:ascii="Times New Roman" w:cs="Times New Roman"/>
                <w:sz w:val="21"/>
                <w:szCs w:val="21"/>
                <w:highlight w:val="none"/>
              </w:rPr>
              <w:t>一般固体废物</w:t>
            </w:r>
          </w:p>
        </w:tc>
        <w:tc>
          <w:tcPr>
            <w:tcW w:w="2835" w:type="dxa"/>
            <w:vAlign w:val="center"/>
          </w:tcPr>
          <w:p>
            <w:pPr>
              <w:pStyle w:val="137"/>
              <w:rPr>
                <w:rFonts w:ascii="Times New Roman" w:cs="Times New Roman"/>
                <w:b/>
                <w:highlight w:val="none"/>
              </w:rPr>
            </w:pPr>
            <w:r>
              <w:rPr>
                <w:rFonts w:ascii="Times New Roman" w:cs="Times New Roman"/>
                <w:sz w:val="21"/>
                <w:szCs w:val="21"/>
                <w:highlight w:val="none"/>
              </w:rPr>
              <w:t>表示一般固体废物贮存、处置场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1" w:type="dxa"/>
            <w:vAlign w:val="center"/>
          </w:tcPr>
          <w:p>
            <w:pPr>
              <w:pStyle w:val="137"/>
              <w:jc w:val="center"/>
              <w:rPr>
                <w:rFonts w:ascii="Times New Roman" w:cs="Times New Roman"/>
                <w:b/>
                <w:highlight w:val="none"/>
              </w:rPr>
            </w:pPr>
            <w:r>
              <w:rPr>
                <w:rFonts w:ascii="Times New Roman" w:cs="Times New Roman"/>
                <w:b/>
                <w:highlight w:val="none"/>
              </w:rPr>
              <w:drawing>
                <wp:inline distT="0" distB="0" distL="0" distR="0">
                  <wp:extent cx="787400" cy="779145"/>
                  <wp:effectExtent l="0" t="0" r="12700" b="1905"/>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noChangeArrowheads="1"/>
                          </pic:cNvPicPr>
                        </pic:nvPicPr>
                        <pic:blipFill>
                          <a:blip r:embed="rId89" cstate="print"/>
                          <a:srcRect/>
                          <a:stretch>
                            <a:fillRect/>
                          </a:stretch>
                        </pic:blipFill>
                        <pic:spPr>
                          <a:xfrm>
                            <a:off x="0" y="0"/>
                            <a:ext cx="787400" cy="779145"/>
                          </a:xfrm>
                          <a:prstGeom prst="rect">
                            <a:avLst/>
                          </a:prstGeom>
                          <a:noFill/>
                          <a:ln w="9525">
                            <a:noFill/>
                            <a:miter lim="800000"/>
                            <a:headEnd/>
                            <a:tailEnd/>
                          </a:ln>
                        </pic:spPr>
                      </pic:pic>
                    </a:graphicData>
                  </a:graphic>
                </wp:inline>
              </w:drawing>
            </w:r>
          </w:p>
        </w:tc>
        <w:tc>
          <w:tcPr>
            <w:tcW w:w="1806" w:type="dxa"/>
            <w:vAlign w:val="center"/>
          </w:tcPr>
          <w:p>
            <w:pPr>
              <w:pStyle w:val="137"/>
              <w:jc w:val="center"/>
              <w:rPr>
                <w:rFonts w:ascii="Times New Roman" w:cs="Times New Roman"/>
                <w:b/>
                <w:highlight w:val="none"/>
              </w:rPr>
            </w:pPr>
            <w:r>
              <w:rPr>
                <w:rFonts w:ascii="Times New Roman" w:cs="Times New Roman"/>
                <w:b/>
                <w:highlight w:val="none"/>
              </w:rPr>
              <w:drawing>
                <wp:inline distT="0" distB="0" distL="0" distR="0">
                  <wp:extent cx="858520" cy="779145"/>
                  <wp:effectExtent l="0" t="0" r="17780" b="1905"/>
                  <wp:docPr id="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pic:cNvPicPr>
                            <a:picLocks noChangeAspect="1" noChangeArrowheads="1"/>
                          </pic:cNvPicPr>
                        </pic:nvPicPr>
                        <pic:blipFill>
                          <a:blip r:embed="rId90" cstate="print"/>
                          <a:srcRect/>
                          <a:stretch>
                            <a:fillRect/>
                          </a:stretch>
                        </pic:blipFill>
                        <pic:spPr>
                          <a:xfrm>
                            <a:off x="0" y="0"/>
                            <a:ext cx="858520" cy="779145"/>
                          </a:xfrm>
                          <a:prstGeom prst="rect">
                            <a:avLst/>
                          </a:prstGeom>
                          <a:noFill/>
                          <a:ln w="9525">
                            <a:noFill/>
                            <a:miter lim="800000"/>
                            <a:headEnd/>
                            <a:tailEnd/>
                          </a:ln>
                        </pic:spPr>
                      </pic:pic>
                    </a:graphicData>
                  </a:graphic>
                </wp:inline>
              </w:drawing>
            </w:r>
          </w:p>
        </w:tc>
        <w:tc>
          <w:tcPr>
            <w:tcW w:w="1880" w:type="dxa"/>
            <w:vAlign w:val="center"/>
          </w:tcPr>
          <w:p>
            <w:pPr>
              <w:pStyle w:val="137"/>
              <w:jc w:val="center"/>
              <w:rPr>
                <w:rFonts w:ascii="Times New Roman" w:cs="Times New Roman"/>
                <w:b/>
                <w:highlight w:val="none"/>
              </w:rPr>
            </w:pPr>
            <w:r>
              <w:rPr>
                <w:rFonts w:ascii="Times New Roman" w:cs="Times New Roman"/>
                <w:sz w:val="21"/>
                <w:szCs w:val="21"/>
                <w:highlight w:val="none"/>
              </w:rPr>
              <w:t>噪声排放源</w:t>
            </w:r>
          </w:p>
        </w:tc>
        <w:tc>
          <w:tcPr>
            <w:tcW w:w="2835" w:type="dxa"/>
            <w:vAlign w:val="center"/>
          </w:tcPr>
          <w:p>
            <w:pPr>
              <w:pStyle w:val="137"/>
              <w:rPr>
                <w:rFonts w:ascii="Times New Roman" w:cs="Times New Roman"/>
                <w:b/>
                <w:highlight w:val="none"/>
              </w:rPr>
            </w:pPr>
            <w:r>
              <w:rPr>
                <w:rFonts w:ascii="Times New Roman" w:cs="Times New Roman"/>
                <w:sz w:val="21"/>
                <w:szCs w:val="21"/>
                <w:highlight w:val="none"/>
              </w:rPr>
              <w:t>表示噪声向外环境排放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1" w:type="dxa"/>
            <w:vAlign w:val="center"/>
          </w:tcPr>
          <w:p>
            <w:pPr>
              <w:pStyle w:val="137"/>
              <w:jc w:val="center"/>
              <w:rPr>
                <w:rFonts w:ascii="Times New Roman" w:cs="Times New Roman"/>
                <w:b/>
                <w:highlight w:val="none"/>
              </w:rPr>
            </w:pPr>
            <w:r>
              <w:rPr>
                <w:rFonts w:ascii="Times New Roman" w:cs="Times New Roman"/>
                <w:b/>
                <w:highlight w:val="none"/>
              </w:rPr>
              <w:t>/</w:t>
            </w:r>
          </w:p>
        </w:tc>
        <w:tc>
          <w:tcPr>
            <w:tcW w:w="1806" w:type="dxa"/>
            <w:vAlign w:val="center"/>
          </w:tcPr>
          <w:p>
            <w:pPr>
              <w:pStyle w:val="137"/>
              <w:jc w:val="center"/>
              <w:rPr>
                <w:rFonts w:ascii="Times New Roman" w:cs="Times New Roman"/>
                <w:b/>
                <w:highlight w:val="none"/>
              </w:rPr>
            </w:pPr>
            <w:r>
              <w:rPr>
                <w:highlight w:val="none"/>
              </w:rPr>
              <w:drawing>
                <wp:inline distT="0" distB="0" distL="114300" distR="114300">
                  <wp:extent cx="816610" cy="810260"/>
                  <wp:effectExtent l="0" t="0" r="2540" b="8890"/>
                  <wp:docPr id="8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
                          <pic:cNvPicPr>
                            <a:picLocks noChangeAspect="1"/>
                          </pic:cNvPicPr>
                        </pic:nvPicPr>
                        <pic:blipFill>
                          <a:blip r:embed="rId91"/>
                          <a:stretch>
                            <a:fillRect/>
                          </a:stretch>
                        </pic:blipFill>
                        <pic:spPr>
                          <a:xfrm>
                            <a:off x="0" y="0"/>
                            <a:ext cx="816610" cy="810260"/>
                          </a:xfrm>
                          <a:prstGeom prst="rect">
                            <a:avLst/>
                          </a:prstGeom>
                          <a:noFill/>
                          <a:ln>
                            <a:noFill/>
                          </a:ln>
                        </pic:spPr>
                      </pic:pic>
                    </a:graphicData>
                  </a:graphic>
                </wp:inline>
              </w:drawing>
            </w:r>
          </w:p>
        </w:tc>
        <w:tc>
          <w:tcPr>
            <w:tcW w:w="1880" w:type="dxa"/>
            <w:vAlign w:val="center"/>
          </w:tcPr>
          <w:p>
            <w:pPr>
              <w:pStyle w:val="137"/>
              <w:jc w:val="center"/>
              <w:rPr>
                <w:rFonts w:ascii="Times New Roman" w:cs="Times New Roman"/>
                <w:b/>
                <w:highlight w:val="none"/>
              </w:rPr>
            </w:pPr>
            <w:r>
              <w:rPr>
                <w:rFonts w:ascii="Times New Roman" w:cs="Times New Roman"/>
                <w:sz w:val="21"/>
                <w:szCs w:val="21"/>
                <w:highlight w:val="none"/>
              </w:rPr>
              <w:t>危险废物</w:t>
            </w:r>
          </w:p>
        </w:tc>
        <w:tc>
          <w:tcPr>
            <w:tcW w:w="2835" w:type="dxa"/>
            <w:vAlign w:val="center"/>
          </w:tcPr>
          <w:p>
            <w:pPr>
              <w:pStyle w:val="137"/>
              <w:rPr>
                <w:rFonts w:ascii="Times New Roman" w:cs="Times New Roman"/>
                <w:b/>
                <w:highlight w:val="none"/>
              </w:rPr>
            </w:pPr>
            <w:r>
              <w:rPr>
                <w:rFonts w:ascii="Times New Roman" w:cs="Times New Roman"/>
                <w:sz w:val="21"/>
                <w:szCs w:val="21"/>
                <w:highlight w:val="none"/>
              </w:rPr>
              <w:t>表示危险废物贮存、处置场</w:t>
            </w:r>
          </w:p>
        </w:tc>
      </w:tr>
    </w:tbl>
    <w:p>
      <w:pPr>
        <w:pStyle w:val="3"/>
        <w:spacing w:beforeLines="0" w:line="480" w:lineRule="exact"/>
        <w:rPr>
          <w:rFonts w:eastAsia="宋体"/>
          <w:b/>
          <w:bCs/>
          <w:highlight w:val="none"/>
        </w:rPr>
      </w:pPr>
      <w:bookmarkStart w:id="419" w:name="_Toc25417"/>
      <w:r>
        <w:rPr>
          <w:rFonts w:hint="eastAsia" w:eastAsia="宋体"/>
          <w:b/>
          <w:bCs/>
          <w:highlight w:val="none"/>
        </w:rPr>
        <w:t>9</w:t>
      </w:r>
      <w:r>
        <w:rPr>
          <w:rFonts w:eastAsia="宋体"/>
          <w:b/>
          <w:bCs/>
          <w:highlight w:val="none"/>
        </w:rPr>
        <w:t>.</w:t>
      </w:r>
      <w:r>
        <w:rPr>
          <w:rFonts w:hint="eastAsia" w:eastAsia="宋体"/>
          <w:b/>
          <w:bCs/>
          <w:highlight w:val="none"/>
        </w:rPr>
        <w:t xml:space="preserve">5 </w:t>
      </w:r>
      <w:r>
        <w:rPr>
          <w:rFonts w:eastAsia="宋体"/>
          <w:b/>
          <w:bCs/>
          <w:highlight w:val="none"/>
        </w:rPr>
        <w:t>项目污染物排放清单</w:t>
      </w:r>
      <w:bookmarkEnd w:id="419"/>
    </w:p>
    <w:p>
      <w:pPr>
        <w:spacing w:line="480" w:lineRule="exact"/>
        <w:ind w:firstLine="480" w:firstLineChars="200"/>
        <w:rPr>
          <w:sz w:val="24"/>
          <w:highlight w:val="none"/>
        </w:rPr>
      </w:pPr>
      <w:r>
        <w:rPr>
          <w:rFonts w:hint="eastAsia"/>
          <w:color w:val="000000"/>
          <w:sz w:val="24"/>
          <w:highlight w:val="none"/>
        </w:rPr>
        <w:t>本</w:t>
      </w:r>
      <w:r>
        <w:rPr>
          <w:color w:val="000000"/>
          <w:sz w:val="24"/>
          <w:highlight w:val="none"/>
        </w:rPr>
        <w:t>项目污染物管理清单见表</w:t>
      </w:r>
      <w:r>
        <w:rPr>
          <w:rFonts w:hint="eastAsia"/>
          <w:color w:val="000000"/>
          <w:sz w:val="24"/>
          <w:highlight w:val="none"/>
        </w:rPr>
        <w:t>9.5-1</w:t>
      </w:r>
      <w:r>
        <w:rPr>
          <w:sz w:val="24"/>
          <w:highlight w:val="none"/>
        </w:rPr>
        <w:t xml:space="preserve">。 </w:t>
      </w:r>
    </w:p>
    <w:p>
      <w:pPr>
        <w:pStyle w:val="3"/>
        <w:spacing w:beforeLines="0" w:line="480" w:lineRule="exact"/>
        <w:rPr>
          <w:rFonts w:eastAsia="宋体"/>
          <w:b/>
          <w:highlight w:val="none"/>
        </w:rPr>
      </w:pPr>
      <w:bookmarkStart w:id="420" w:name="_Toc26426"/>
      <w:bookmarkStart w:id="421" w:name="_Toc502266213"/>
      <w:bookmarkStart w:id="422" w:name="_Toc26927"/>
      <w:bookmarkStart w:id="423" w:name="_Toc31620"/>
      <w:bookmarkStart w:id="424" w:name="_Toc28005"/>
      <w:r>
        <w:rPr>
          <w:rFonts w:eastAsia="宋体"/>
          <w:b/>
          <w:highlight w:val="none"/>
        </w:rPr>
        <w:t>9.6环保措施</w:t>
      </w:r>
      <w:bookmarkEnd w:id="420"/>
      <w:bookmarkEnd w:id="421"/>
      <w:bookmarkEnd w:id="422"/>
      <w:bookmarkEnd w:id="423"/>
      <w:r>
        <w:rPr>
          <w:rFonts w:eastAsia="宋体"/>
          <w:b/>
          <w:highlight w:val="none"/>
        </w:rPr>
        <w:t>“三同时”验收</w:t>
      </w:r>
      <w:bookmarkEnd w:id="424"/>
    </w:p>
    <w:p>
      <w:pPr>
        <w:spacing w:line="480" w:lineRule="exact"/>
        <w:ind w:firstLine="482"/>
        <w:rPr>
          <w:b/>
          <w:sz w:val="24"/>
          <w:highlight w:val="none"/>
        </w:rPr>
      </w:pPr>
      <w:r>
        <w:rPr>
          <w:sz w:val="24"/>
          <w:highlight w:val="none"/>
        </w:rPr>
        <w:t>根据项目工程分析和环保措施可行性论证，项目环保设施“三同时”验收一览表见表</w:t>
      </w:r>
      <w:r>
        <w:rPr>
          <w:rFonts w:hint="eastAsia"/>
          <w:sz w:val="24"/>
          <w:highlight w:val="none"/>
        </w:rPr>
        <w:t>9.6</w:t>
      </w:r>
      <w:r>
        <w:rPr>
          <w:sz w:val="24"/>
          <w:highlight w:val="none"/>
        </w:rPr>
        <w:t>-1。</w:t>
      </w:r>
    </w:p>
    <w:p>
      <w:pPr>
        <w:spacing w:line="480" w:lineRule="exact"/>
        <w:ind w:firstLine="480" w:firstLineChars="200"/>
        <w:rPr>
          <w:color w:val="000000"/>
          <w:sz w:val="24"/>
          <w:highlight w:val="none"/>
        </w:rPr>
      </w:pPr>
    </w:p>
    <w:p>
      <w:pPr>
        <w:spacing w:line="480" w:lineRule="exact"/>
        <w:ind w:firstLine="480" w:firstLineChars="200"/>
        <w:rPr>
          <w:sz w:val="24"/>
          <w:highlight w:val="none"/>
        </w:rPr>
      </w:pPr>
    </w:p>
    <w:p>
      <w:pPr>
        <w:spacing w:line="480" w:lineRule="exact"/>
        <w:ind w:firstLine="480" w:firstLineChars="200"/>
        <w:rPr>
          <w:sz w:val="24"/>
          <w:highlight w:val="none"/>
        </w:rPr>
        <w:sectPr>
          <w:headerReference r:id="rId23" w:type="default"/>
          <w:pgSz w:w="11906" w:h="16838"/>
          <w:pgMar w:top="1440" w:right="1826" w:bottom="1440" w:left="1803" w:header="851" w:footer="992" w:gutter="0"/>
          <w:pgBorders>
            <w:top w:val="none" w:sz="0" w:space="0"/>
            <w:left w:val="none" w:sz="0" w:space="0"/>
            <w:bottom w:val="none" w:sz="0" w:space="0"/>
            <w:right w:val="none" w:sz="0" w:space="0"/>
          </w:pgBorders>
          <w:pgNumType w:fmt="decimal"/>
          <w:cols w:space="720" w:num="1"/>
          <w:docGrid w:type="lines" w:linePitch="318" w:charSpace="0"/>
        </w:sectPr>
      </w:pPr>
    </w:p>
    <w:p>
      <w:pPr>
        <w:spacing w:line="480" w:lineRule="exact"/>
        <w:jc w:val="center"/>
        <w:rPr>
          <w:b/>
          <w:sz w:val="24"/>
          <w:highlight w:val="none"/>
        </w:rPr>
      </w:pPr>
      <w:r>
        <w:rPr>
          <w:b/>
          <w:sz w:val="24"/>
          <w:highlight w:val="none"/>
        </w:rPr>
        <w:t>表</w:t>
      </w:r>
      <w:r>
        <w:rPr>
          <w:rFonts w:hint="eastAsia"/>
          <w:b/>
          <w:sz w:val="24"/>
          <w:highlight w:val="none"/>
        </w:rPr>
        <w:t>9.</w:t>
      </w:r>
      <w:r>
        <w:rPr>
          <w:rFonts w:hint="eastAsia"/>
          <w:b/>
          <w:sz w:val="24"/>
          <w:highlight w:val="none"/>
          <w:lang w:val="en-US" w:eastAsia="zh-CN"/>
        </w:rPr>
        <w:t>5</w:t>
      </w:r>
      <w:r>
        <w:rPr>
          <w:b/>
          <w:sz w:val="24"/>
          <w:highlight w:val="none"/>
        </w:rPr>
        <w:t>-1  项目污染物排放清单</w:t>
      </w:r>
    </w:p>
    <w:tbl>
      <w:tblPr>
        <w:tblStyle w:val="51"/>
        <w:tblW w:w="13595"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02"/>
        <w:gridCol w:w="724"/>
        <w:gridCol w:w="471"/>
        <w:gridCol w:w="370"/>
        <w:gridCol w:w="983"/>
        <w:gridCol w:w="714"/>
        <w:gridCol w:w="1669"/>
        <w:gridCol w:w="810"/>
        <w:gridCol w:w="426"/>
        <w:gridCol w:w="417"/>
        <w:gridCol w:w="819"/>
        <w:gridCol w:w="591"/>
        <w:gridCol w:w="295"/>
        <w:gridCol w:w="79"/>
        <w:gridCol w:w="1236"/>
        <w:gridCol w:w="3489"/>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226" w:type="dxa"/>
            <w:gridSpan w:val="2"/>
            <w:tcBorders>
              <w:bottom w:val="single" w:color="auto" w:sz="4" w:space="0"/>
            </w:tcBorders>
            <w:vAlign w:val="center"/>
          </w:tcPr>
          <w:p>
            <w:pPr>
              <w:autoSpaceDE w:val="0"/>
              <w:autoSpaceDN w:val="0"/>
              <w:spacing w:line="240" w:lineRule="exact"/>
              <w:jc w:val="center"/>
              <w:rPr>
                <w:kern w:val="0"/>
                <w:highlight w:val="none"/>
                <w:lang w:val="zh-CN"/>
              </w:rPr>
            </w:pPr>
            <w:r>
              <w:rPr>
                <w:kern w:val="0"/>
                <w:highlight w:val="none"/>
                <w:lang w:val="zh-CN"/>
              </w:rPr>
              <w:t>工程类别</w:t>
            </w:r>
          </w:p>
        </w:tc>
        <w:tc>
          <w:tcPr>
            <w:tcW w:w="2538" w:type="dxa"/>
            <w:gridSpan w:val="4"/>
            <w:vAlign w:val="center"/>
          </w:tcPr>
          <w:p>
            <w:pPr>
              <w:autoSpaceDE w:val="0"/>
              <w:autoSpaceDN w:val="0"/>
              <w:spacing w:line="240" w:lineRule="exact"/>
              <w:jc w:val="center"/>
              <w:rPr>
                <w:kern w:val="0"/>
                <w:highlight w:val="none"/>
                <w:lang w:val="zh-CN"/>
              </w:rPr>
            </w:pPr>
            <w:r>
              <w:rPr>
                <w:kern w:val="0"/>
                <w:highlight w:val="none"/>
                <w:lang w:val="zh-CN"/>
              </w:rPr>
              <w:t>工程名称</w:t>
            </w:r>
          </w:p>
        </w:tc>
        <w:tc>
          <w:tcPr>
            <w:tcW w:w="9831" w:type="dxa"/>
            <w:gridSpan w:val="10"/>
            <w:vAlign w:val="center"/>
          </w:tcPr>
          <w:p>
            <w:pPr>
              <w:autoSpaceDE w:val="0"/>
              <w:autoSpaceDN w:val="0"/>
              <w:spacing w:line="240" w:lineRule="exact"/>
              <w:jc w:val="center"/>
              <w:rPr>
                <w:kern w:val="0"/>
                <w:highlight w:val="none"/>
                <w:lang w:val="zh-CN"/>
              </w:rPr>
            </w:pPr>
            <w:r>
              <w:rPr>
                <w:kern w:val="0"/>
                <w:highlight w:val="none"/>
                <w:lang w:val="zh-CN"/>
              </w:rPr>
              <w:t>工程内容</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226" w:type="dxa"/>
            <w:gridSpan w:val="2"/>
            <w:tcBorders>
              <w:top w:val="single" w:color="auto" w:sz="4" w:space="0"/>
              <w:bottom w:val="single" w:color="auto" w:sz="4" w:space="0"/>
            </w:tcBorders>
            <w:vAlign w:val="center"/>
          </w:tcPr>
          <w:p>
            <w:pPr>
              <w:autoSpaceDE w:val="0"/>
              <w:autoSpaceDN w:val="0"/>
              <w:spacing w:line="240" w:lineRule="exact"/>
              <w:jc w:val="center"/>
              <w:rPr>
                <w:kern w:val="0"/>
                <w:highlight w:val="none"/>
                <w:lang w:val="zh-CN"/>
              </w:rPr>
            </w:pPr>
            <w:r>
              <w:rPr>
                <w:kern w:val="0"/>
                <w:highlight w:val="none"/>
                <w:lang w:val="zh-CN"/>
              </w:rPr>
              <w:t>主体工程</w:t>
            </w:r>
          </w:p>
        </w:tc>
        <w:tc>
          <w:tcPr>
            <w:tcW w:w="2538" w:type="dxa"/>
            <w:gridSpan w:val="4"/>
            <w:vAlign w:val="center"/>
          </w:tcPr>
          <w:p>
            <w:pPr>
              <w:autoSpaceDE w:val="0"/>
              <w:autoSpaceDN w:val="0"/>
              <w:spacing w:line="240" w:lineRule="exact"/>
              <w:jc w:val="center"/>
              <w:rPr>
                <w:kern w:val="0"/>
                <w:highlight w:val="none"/>
                <w:lang w:val="zh-CN"/>
              </w:rPr>
            </w:pPr>
            <w:r>
              <w:rPr>
                <w:kern w:val="0"/>
                <w:highlight w:val="none"/>
                <w:lang w:val="zh-CN"/>
              </w:rPr>
              <w:t>发电机组厂房</w:t>
            </w:r>
          </w:p>
        </w:tc>
        <w:tc>
          <w:tcPr>
            <w:tcW w:w="9831" w:type="dxa"/>
            <w:gridSpan w:val="10"/>
            <w:vAlign w:val="center"/>
          </w:tcPr>
          <w:p>
            <w:pPr>
              <w:autoSpaceDE w:val="0"/>
              <w:autoSpaceDN w:val="0"/>
              <w:spacing w:line="240" w:lineRule="exact"/>
              <w:jc w:val="center"/>
              <w:rPr>
                <w:kern w:val="0"/>
                <w:highlight w:val="none"/>
                <w:lang w:val="zh-CN"/>
              </w:rPr>
            </w:pPr>
            <w:r>
              <w:rPr>
                <w:rFonts w:hint="eastAsia"/>
                <w:kern w:val="0"/>
                <w:highlight w:val="none"/>
                <w:lang w:val="zh-CN"/>
              </w:rPr>
              <w:t>砖混结构，</w:t>
            </w:r>
            <w:r>
              <w:rPr>
                <w:kern w:val="0"/>
                <w:highlight w:val="none"/>
                <w:lang w:val="zh-CN"/>
              </w:rPr>
              <w:t>彩钢</w:t>
            </w:r>
            <w:r>
              <w:rPr>
                <w:rFonts w:hint="eastAsia"/>
                <w:kern w:val="0"/>
                <w:highlight w:val="none"/>
                <w:lang w:val="zh-CN"/>
              </w:rPr>
              <w:t>顶</w:t>
            </w:r>
            <w:r>
              <w:rPr>
                <w:kern w:val="0"/>
                <w:highlight w:val="none"/>
                <w:lang w:val="zh-CN"/>
              </w:rPr>
              <w:t>，建筑面积</w:t>
            </w:r>
            <w:r>
              <w:rPr>
                <w:rFonts w:hint="eastAsia"/>
                <w:kern w:val="0"/>
                <w:highlight w:val="none"/>
                <w:lang w:val="zh-CN"/>
              </w:rPr>
              <w:t>536.928</w:t>
            </w:r>
            <w:r>
              <w:rPr>
                <w:kern w:val="0"/>
                <w:highlight w:val="none"/>
                <w:lang w:val="zh-CN"/>
              </w:rPr>
              <w:t>m</w:t>
            </w:r>
            <w:r>
              <w:rPr>
                <w:kern w:val="0"/>
                <w:highlight w:val="none"/>
                <w:vertAlign w:val="superscript"/>
                <w:lang w:val="zh-CN"/>
              </w:rPr>
              <w:t>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226" w:type="dxa"/>
            <w:gridSpan w:val="2"/>
            <w:vMerge w:val="restart"/>
            <w:tcBorders>
              <w:top w:val="single" w:color="auto" w:sz="4" w:space="0"/>
            </w:tcBorders>
            <w:vAlign w:val="center"/>
          </w:tcPr>
          <w:p>
            <w:pPr>
              <w:autoSpaceDE w:val="0"/>
              <w:autoSpaceDN w:val="0"/>
              <w:spacing w:line="240" w:lineRule="exact"/>
              <w:jc w:val="center"/>
              <w:rPr>
                <w:kern w:val="0"/>
                <w:highlight w:val="none"/>
                <w:lang w:val="zh-CN"/>
              </w:rPr>
            </w:pPr>
            <w:r>
              <w:rPr>
                <w:kern w:val="0"/>
                <w:highlight w:val="none"/>
                <w:lang w:val="zh-CN"/>
              </w:rPr>
              <w:t>辅助工程</w:t>
            </w:r>
          </w:p>
        </w:tc>
        <w:tc>
          <w:tcPr>
            <w:tcW w:w="2538" w:type="dxa"/>
            <w:gridSpan w:val="4"/>
            <w:vAlign w:val="center"/>
          </w:tcPr>
          <w:p>
            <w:pPr>
              <w:spacing w:line="240" w:lineRule="exact"/>
              <w:jc w:val="center"/>
              <w:rPr>
                <w:rFonts w:hint="eastAsia" w:eastAsia="宋体"/>
                <w:kern w:val="0"/>
                <w:highlight w:val="none"/>
                <w:lang w:val="zh-CN" w:eastAsia="zh-CN"/>
              </w:rPr>
            </w:pPr>
            <w:r>
              <w:rPr>
                <w:szCs w:val="21"/>
                <w:highlight w:val="none"/>
              </w:rPr>
              <w:t>办公</w:t>
            </w:r>
            <w:r>
              <w:rPr>
                <w:rFonts w:hint="eastAsia"/>
                <w:szCs w:val="21"/>
                <w:highlight w:val="none"/>
                <w:lang w:eastAsia="zh-CN"/>
              </w:rPr>
              <w:t>房</w:t>
            </w:r>
          </w:p>
        </w:tc>
        <w:tc>
          <w:tcPr>
            <w:tcW w:w="9831" w:type="dxa"/>
            <w:gridSpan w:val="10"/>
            <w:vAlign w:val="center"/>
          </w:tcPr>
          <w:p>
            <w:pPr>
              <w:spacing w:line="240" w:lineRule="exact"/>
              <w:jc w:val="center"/>
              <w:rPr>
                <w:kern w:val="0"/>
                <w:highlight w:val="none"/>
                <w:lang w:val="zh-CN"/>
              </w:rPr>
            </w:pPr>
            <w:r>
              <w:rPr>
                <w:kern w:val="0"/>
                <w:highlight w:val="none"/>
                <w:lang w:val="zh-CN"/>
              </w:rPr>
              <w:t>砖混结构，建筑面积</w:t>
            </w:r>
            <w:r>
              <w:rPr>
                <w:rFonts w:hint="eastAsia"/>
                <w:kern w:val="0"/>
                <w:highlight w:val="none"/>
                <w:lang w:val="zh-CN"/>
              </w:rPr>
              <w:t>314</w:t>
            </w:r>
            <w:r>
              <w:rPr>
                <w:kern w:val="0"/>
                <w:highlight w:val="none"/>
                <w:lang w:val="zh-CN"/>
              </w:rPr>
              <w:t>m</w:t>
            </w:r>
            <w:r>
              <w:rPr>
                <w:kern w:val="0"/>
                <w:highlight w:val="none"/>
                <w:vertAlign w:val="superscript"/>
                <w:lang w:val="zh-CN"/>
              </w:rPr>
              <w:t>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226" w:type="dxa"/>
            <w:gridSpan w:val="2"/>
            <w:vMerge w:val="continue"/>
            <w:tcBorders>
              <w:bottom w:val="single" w:color="auto" w:sz="4" w:space="0"/>
            </w:tcBorders>
            <w:vAlign w:val="center"/>
          </w:tcPr>
          <w:p>
            <w:pPr>
              <w:autoSpaceDE w:val="0"/>
              <w:autoSpaceDN w:val="0"/>
              <w:spacing w:line="240" w:lineRule="exact"/>
              <w:jc w:val="center"/>
              <w:rPr>
                <w:kern w:val="0"/>
                <w:highlight w:val="none"/>
                <w:lang w:val="zh-CN"/>
              </w:rPr>
            </w:pPr>
          </w:p>
        </w:tc>
        <w:tc>
          <w:tcPr>
            <w:tcW w:w="2538" w:type="dxa"/>
            <w:gridSpan w:val="4"/>
            <w:tcBorders>
              <w:bottom w:val="single" w:color="auto" w:sz="4" w:space="0"/>
            </w:tcBorders>
            <w:vAlign w:val="center"/>
          </w:tcPr>
          <w:p>
            <w:pPr>
              <w:spacing w:line="240" w:lineRule="exact"/>
              <w:jc w:val="center"/>
              <w:rPr>
                <w:rFonts w:hint="eastAsia" w:eastAsia="宋体"/>
                <w:kern w:val="0"/>
                <w:highlight w:val="none"/>
                <w:lang w:val="zh-CN" w:eastAsia="zh-CN"/>
              </w:rPr>
            </w:pPr>
            <w:r>
              <w:rPr>
                <w:szCs w:val="21"/>
                <w:highlight w:val="none"/>
              </w:rPr>
              <w:t>危废间</w:t>
            </w:r>
            <w:r>
              <w:rPr>
                <w:rFonts w:hint="eastAsia"/>
                <w:szCs w:val="21"/>
                <w:highlight w:val="none"/>
                <w:lang w:eastAsia="zh-CN"/>
              </w:rPr>
              <w:t>、溢油池</w:t>
            </w:r>
          </w:p>
        </w:tc>
        <w:tc>
          <w:tcPr>
            <w:tcW w:w="9831" w:type="dxa"/>
            <w:gridSpan w:val="10"/>
            <w:vAlign w:val="center"/>
          </w:tcPr>
          <w:p>
            <w:pPr>
              <w:spacing w:line="240" w:lineRule="exact"/>
              <w:jc w:val="center"/>
              <w:rPr>
                <w:rFonts w:hint="default" w:eastAsia="宋体"/>
                <w:kern w:val="0"/>
                <w:highlight w:val="none"/>
                <w:vertAlign w:val="baseline"/>
                <w:lang w:val="en-US" w:eastAsia="zh-CN"/>
              </w:rPr>
            </w:pPr>
            <w:r>
              <w:rPr>
                <w:rFonts w:hint="eastAsia"/>
                <w:szCs w:val="21"/>
                <w:highlight w:val="none"/>
                <w:lang w:val="en-US" w:eastAsia="zh-CN"/>
              </w:rPr>
              <w:t>危废间6</w:t>
            </w:r>
            <w:r>
              <w:rPr>
                <w:kern w:val="0"/>
                <w:highlight w:val="none"/>
              </w:rPr>
              <w:t>m</w:t>
            </w:r>
            <w:r>
              <w:rPr>
                <w:kern w:val="0"/>
                <w:highlight w:val="none"/>
                <w:vertAlign w:val="superscript"/>
              </w:rPr>
              <w:t>2</w:t>
            </w:r>
            <w:r>
              <w:rPr>
                <w:kern w:val="0"/>
                <w:highlight w:val="none"/>
              </w:rPr>
              <w:t>，用于存放危险废物</w:t>
            </w:r>
            <w:r>
              <w:rPr>
                <w:rFonts w:hint="eastAsia"/>
                <w:kern w:val="0"/>
                <w:highlight w:val="none"/>
                <w:lang w:eastAsia="zh-CN"/>
              </w:rPr>
              <w:t>；溢油池</w:t>
            </w:r>
            <w:r>
              <w:rPr>
                <w:rFonts w:hint="eastAsia"/>
                <w:kern w:val="0"/>
                <w:highlight w:val="none"/>
                <w:vertAlign w:val="baseline"/>
                <w:lang w:val="en-US" w:eastAsia="zh-CN"/>
              </w:rPr>
              <w:t>，变压器事故油临时储存</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226" w:type="dxa"/>
            <w:gridSpan w:val="2"/>
            <w:vMerge w:val="restart"/>
            <w:vAlign w:val="center"/>
          </w:tcPr>
          <w:p>
            <w:pPr>
              <w:autoSpaceDE w:val="0"/>
              <w:autoSpaceDN w:val="0"/>
              <w:spacing w:line="240" w:lineRule="exact"/>
              <w:jc w:val="center"/>
              <w:rPr>
                <w:kern w:val="0"/>
                <w:highlight w:val="none"/>
                <w:lang w:val="zh-CN"/>
              </w:rPr>
            </w:pPr>
            <w:r>
              <w:rPr>
                <w:kern w:val="0"/>
                <w:highlight w:val="none"/>
                <w:lang w:val="zh-CN"/>
              </w:rPr>
              <w:t>公用工程</w:t>
            </w:r>
          </w:p>
        </w:tc>
        <w:tc>
          <w:tcPr>
            <w:tcW w:w="2538" w:type="dxa"/>
            <w:gridSpan w:val="4"/>
            <w:vAlign w:val="center"/>
          </w:tcPr>
          <w:p>
            <w:pPr>
              <w:autoSpaceDE w:val="0"/>
              <w:autoSpaceDN w:val="0"/>
              <w:spacing w:line="240" w:lineRule="exact"/>
              <w:jc w:val="center"/>
              <w:rPr>
                <w:kern w:val="0"/>
                <w:highlight w:val="none"/>
                <w:lang w:val="zh-CN"/>
              </w:rPr>
            </w:pPr>
            <w:r>
              <w:rPr>
                <w:kern w:val="0"/>
                <w:highlight w:val="none"/>
                <w:lang w:val="zh-CN"/>
              </w:rPr>
              <w:t>供水</w:t>
            </w:r>
          </w:p>
        </w:tc>
        <w:tc>
          <w:tcPr>
            <w:tcW w:w="9831" w:type="dxa"/>
            <w:gridSpan w:val="10"/>
            <w:vAlign w:val="center"/>
          </w:tcPr>
          <w:p>
            <w:pPr>
              <w:autoSpaceDE w:val="0"/>
              <w:autoSpaceDN w:val="0"/>
              <w:spacing w:line="240" w:lineRule="exact"/>
              <w:jc w:val="center"/>
              <w:rPr>
                <w:kern w:val="0"/>
                <w:highlight w:val="none"/>
                <w:lang w:val="zh-CN"/>
              </w:rPr>
            </w:pPr>
            <w:r>
              <w:rPr>
                <w:kern w:val="0"/>
                <w:highlight w:val="none"/>
                <w:lang w:val="zh-CN"/>
              </w:rPr>
              <w:t>饮用水外购桶装水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226" w:type="dxa"/>
            <w:gridSpan w:val="2"/>
            <w:vMerge w:val="continue"/>
            <w:vAlign w:val="center"/>
          </w:tcPr>
          <w:p>
            <w:pPr>
              <w:autoSpaceDE w:val="0"/>
              <w:autoSpaceDN w:val="0"/>
              <w:spacing w:line="240" w:lineRule="exact"/>
              <w:jc w:val="center"/>
              <w:rPr>
                <w:kern w:val="0"/>
                <w:highlight w:val="none"/>
                <w:lang w:val="zh-CN"/>
              </w:rPr>
            </w:pPr>
          </w:p>
        </w:tc>
        <w:tc>
          <w:tcPr>
            <w:tcW w:w="2538" w:type="dxa"/>
            <w:gridSpan w:val="4"/>
            <w:vAlign w:val="center"/>
          </w:tcPr>
          <w:p>
            <w:pPr>
              <w:autoSpaceDE w:val="0"/>
              <w:autoSpaceDN w:val="0"/>
              <w:spacing w:line="240" w:lineRule="exact"/>
              <w:jc w:val="center"/>
              <w:rPr>
                <w:kern w:val="0"/>
                <w:highlight w:val="none"/>
                <w:lang w:val="zh-CN"/>
              </w:rPr>
            </w:pPr>
            <w:r>
              <w:rPr>
                <w:kern w:val="0"/>
                <w:highlight w:val="none"/>
                <w:lang w:val="zh-CN"/>
              </w:rPr>
              <w:t>供电</w:t>
            </w:r>
          </w:p>
        </w:tc>
        <w:tc>
          <w:tcPr>
            <w:tcW w:w="9831" w:type="dxa"/>
            <w:gridSpan w:val="10"/>
            <w:vAlign w:val="center"/>
          </w:tcPr>
          <w:p>
            <w:pPr>
              <w:autoSpaceDE w:val="0"/>
              <w:autoSpaceDN w:val="0"/>
              <w:spacing w:line="240" w:lineRule="exact"/>
              <w:jc w:val="center"/>
              <w:rPr>
                <w:kern w:val="0"/>
                <w:highlight w:val="none"/>
                <w:lang w:val="zh-CN"/>
              </w:rPr>
            </w:pPr>
            <w:r>
              <w:rPr>
                <w:kern w:val="0"/>
                <w:highlight w:val="none"/>
                <w:lang w:val="zh-CN"/>
              </w:rPr>
              <w:t>自供</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226" w:type="dxa"/>
            <w:gridSpan w:val="2"/>
            <w:vMerge w:val="continue"/>
            <w:vAlign w:val="center"/>
          </w:tcPr>
          <w:p>
            <w:pPr>
              <w:autoSpaceDE w:val="0"/>
              <w:autoSpaceDN w:val="0"/>
              <w:spacing w:line="240" w:lineRule="exact"/>
              <w:jc w:val="center"/>
              <w:rPr>
                <w:kern w:val="0"/>
                <w:highlight w:val="none"/>
                <w:lang w:val="zh-CN"/>
              </w:rPr>
            </w:pPr>
          </w:p>
        </w:tc>
        <w:tc>
          <w:tcPr>
            <w:tcW w:w="2538" w:type="dxa"/>
            <w:gridSpan w:val="4"/>
            <w:vAlign w:val="center"/>
          </w:tcPr>
          <w:p>
            <w:pPr>
              <w:autoSpaceDE w:val="0"/>
              <w:autoSpaceDN w:val="0"/>
              <w:spacing w:line="240" w:lineRule="exact"/>
              <w:jc w:val="center"/>
              <w:rPr>
                <w:kern w:val="0"/>
                <w:highlight w:val="none"/>
                <w:lang w:val="zh-CN"/>
              </w:rPr>
            </w:pPr>
            <w:r>
              <w:rPr>
                <w:kern w:val="0"/>
                <w:highlight w:val="none"/>
                <w:lang w:val="zh-CN"/>
              </w:rPr>
              <w:t>供热</w:t>
            </w:r>
          </w:p>
        </w:tc>
        <w:tc>
          <w:tcPr>
            <w:tcW w:w="9831" w:type="dxa"/>
            <w:gridSpan w:val="10"/>
            <w:vAlign w:val="center"/>
          </w:tcPr>
          <w:p>
            <w:pPr>
              <w:autoSpaceDE w:val="0"/>
              <w:autoSpaceDN w:val="0"/>
              <w:spacing w:line="240" w:lineRule="exact"/>
              <w:jc w:val="center"/>
              <w:rPr>
                <w:szCs w:val="21"/>
                <w:highlight w:val="none"/>
              </w:rPr>
            </w:pPr>
            <w:r>
              <w:rPr>
                <w:szCs w:val="21"/>
                <w:highlight w:val="none"/>
              </w:rPr>
              <w:t>项目无需供热</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226" w:type="dxa"/>
            <w:gridSpan w:val="2"/>
            <w:vMerge w:val="continue"/>
            <w:vAlign w:val="center"/>
          </w:tcPr>
          <w:p>
            <w:pPr>
              <w:autoSpaceDE w:val="0"/>
              <w:autoSpaceDN w:val="0"/>
              <w:spacing w:line="240" w:lineRule="exact"/>
              <w:jc w:val="center"/>
              <w:rPr>
                <w:kern w:val="0"/>
                <w:highlight w:val="none"/>
                <w:lang w:val="zh-CN"/>
              </w:rPr>
            </w:pPr>
          </w:p>
        </w:tc>
        <w:tc>
          <w:tcPr>
            <w:tcW w:w="2538" w:type="dxa"/>
            <w:gridSpan w:val="4"/>
            <w:vAlign w:val="center"/>
          </w:tcPr>
          <w:p>
            <w:pPr>
              <w:autoSpaceDE w:val="0"/>
              <w:autoSpaceDN w:val="0"/>
              <w:spacing w:line="240" w:lineRule="exact"/>
              <w:jc w:val="center"/>
              <w:rPr>
                <w:kern w:val="0"/>
                <w:highlight w:val="none"/>
                <w:lang w:val="zh-CN"/>
              </w:rPr>
            </w:pPr>
            <w:r>
              <w:rPr>
                <w:kern w:val="0"/>
                <w:highlight w:val="none"/>
                <w:lang w:val="zh-CN"/>
              </w:rPr>
              <w:t>消防</w:t>
            </w:r>
          </w:p>
        </w:tc>
        <w:tc>
          <w:tcPr>
            <w:tcW w:w="9831" w:type="dxa"/>
            <w:gridSpan w:val="10"/>
            <w:vAlign w:val="center"/>
          </w:tcPr>
          <w:p>
            <w:pPr>
              <w:spacing w:line="240" w:lineRule="exact"/>
              <w:jc w:val="center"/>
              <w:rPr>
                <w:kern w:val="0"/>
                <w:highlight w:val="none"/>
              </w:rPr>
            </w:pPr>
            <w:r>
              <w:rPr>
                <w:szCs w:val="21"/>
                <w:highlight w:val="none"/>
              </w:rPr>
              <w:t>厂区内设置消防栓、灭火器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3595" w:type="dxa"/>
            <w:gridSpan w:val="16"/>
            <w:vAlign w:val="center"/>
          </w:tcPr>
          <w:p>
            <w:pPr>
              <w:spacing w:line="240" w:lineRule="exact"/>
              <w:jc w:val="center"/>
              <w:rPr>
                <w:kern w:val="0"/>
                <w:highlight w:val="none"/>
                <w:lang w:val="zh-CN"/>
              </w:rPr>
            </w:pPr>
            <w:r>
              <w:rPr>
                <w:kern w:val="0"/>
                <w:highlight w:val="none"/>
                <w:lang w:val="zh-CN"/>
              </w:rPr>
              <w:t>产品及产能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764" w:type="dxa"/>
            <w:gridSpan w:val="6"/>
            <w:vAlign w:val="center"/>
          </w:tcPr>
          <w:p>
            <w:pPr>
              <w:autoSpaceDE w:val="0"/>
              <w:autoSpaceDN w:val="0"/>
              <w:spacing w:line="240" w:lineRule="exact"/>
              <w:jc w:val="center"/>
              <w:rPr>
                <w:kern w:val="0"/>
                <w:highlight w:val="none"/>
                <w:lang w:val="zh-CN"/>
              </w:rPr>
            </w:pPr>
            <w:r>
              <w:rPr>
                <w:kern w:val="0"/>
                <w:highlight w:val="none"/>
                <w:lang w:val="zh-CN"/>
              </w:rPr>
              <w:t>产品名称</w:t>
            </w:r>
          </w:p>
        </w:tc>
        <w:tc>
          <w:tcPr>
            <w:tcW w:w="3322" w:type="dxa"/>
            <w:gridSpan w:val="4"/>
            <w:vAlign w:val="center"/>
          </w:tcPr>
          <w:p>
            <w:pPr>
              <w:spacing w:line="240" w:lineRule="exact"/>
              <w:jc w:val="center"/>
              <w:rPr>
                <w:kern w:val="0"/>
                <w:highlight w:val="none"/>
                <w:lang w:val="zh-CN"/>
              </w:rPr>
            </w:pPr>
            <w:r>
              <w:rPr>
                <w:kern w:val="0"/>
                <w:highlight w:val="none"/>
                <w:lang w:val="zh-CN"/>
              </w:rPr>
              <w:t>产量</w:t>
            </w:r>
          </w:p>
        </w:tc>
        <w:tc>
          <w:tcPr>
            <w:tcW w:w="1705" w:type="dxa"/>
            <w:gridSpan w:val="3"/>
            <w:vAlign w:val="center"/>
          </w:tcPr>
          <w:p>
            <w:pPr>
              <w:spacing w:line="240" w:lineRule="exact"/>
              <w:jc w:val="center"/>
              <w:rPr>
                <w:kern w:val="0"/>
                <w:highlight w:val="none"/>
                <w:lang w:val="zh-CN"/>
              </w:rPr>
            </w:pPr>
            <w:r>
              <w:rPr>
                <w:kern w:val="0"/>
                <w:highlight w:val="none"/>
              </w:rPr>
              <w:t>计量单位</w:t>
            </w:r>
          </w:p>
        </w:tc>
        <w:tc>
          <w:tcPr>
            <w:tcW w:w="4804" w:type="dxa"/>
            <w:gridSpan w:val="3"/>
            <w:vAlign w:val="center"/>
          </w:tcPr>
          <w:p>
            <w:pPr>
              <w:spacing w:line="240" w:lineRule="exact"/>
              <w:jc w:val="center"/>
              <w:rPr>
                <w:kern w:val="0"/>
                <w:highlight w:val="none"/>
                <w:lang w:val="zh-CN"/>
              </w:rPr>
            </w:pPr>
            <w:r>
              <w:rPr>
                <w:kern w:val="0"/>
                <w:highlight w:val="none"/>
                <w:lang w:val="zh-CN"/>
              </w:rPr>
              <w:t>设计年生产的时间（</w:t>
            </w:r>
            <w:r>
              <w:rPr>
                <w:kern w:val="0"/>
                <w:highlight w:val="none"/>
              </w:rPr>
              <w:t>h</w:t>
            </w:r>
            <w:r>
              <w:rPr>
                <w:kern w:val="0"/>
                <w:highlight w:val="none"/>
                <w:lang w:val="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764" w:type="dxa"/>
            <w:gridSpan w:val="6"/>
            <w:vAlign w:val="center"/>
          </w:tcPr>
          <w:p>
            <w:pPr>
              <w:spacing w:line="240" w:lineRule="exact"/>
              <w:jc w:val="center"/>
              <w:rPr>
                <w:kern w:val="0"/>
                <w:highlight w:val="none"/>
                <w:lang w:val="zh-CN"/>
              </w:rPr>
            </w:pPr>
            <w:r>
              <w:rPr>
                <w:kern w:val="0"/>
                <w:highlight w:val="none"/>
                <w:lang w:val="zh-CN"/>
              </w:rPr>
              <w:t>水力发电</w:t>
            </w:r>
          </w:p>
        </w:tc>
        <w:tc>
          <w:tcPr>
            <w:tcW w:w="3322" w:type="dxa"/>
            <w:gridSpan w:val="4"/>
            <w:vAlign w:val="center"/>
          </w:tcPr>
          <w:p>
            <w:pPr>
              <w:spacing w:line="240" w:lineRule="exact"/>
              <w:jc w:val="center"/>
              <w:rPr>
                <w:kern w:val="0"/>
                <w:szCs w:val="21"/>
                <w:highlight w:val="none"/>
              </w:rPr>
            </w:pPr>
            <w:r>
              <w:rPr>
                <w:rFonts w:hint="eastAsia"/>
                <w:szCs w:val="21"/>
                <w:highlight w:val="none"/>
                <w:lang w:val="en-US" w:eastAsia="zh-CN"/>
              </w:rPr>
              <w:t>1465.5</w:t>
            </w:r>
            <w:r>
              <w:rPr>
                <w:szCs w:val="21"/>
                <w:highlight w:val="none"/>
              </w:rPr>
              <w:t>万</w:t>
            </w:r>
          </w:p>
        </w:tc>
        <w:tc>
          <w:tcPr>
            <w:tcW w:w="1705" w:type="dxa"/>
            <w:gridSpan w:val="3"/>
            <w:vAlign w:val="center"/>
          </w:tcPr>
          <w:p>
            <w:pPr>
              <w:spacing w:line="240" w:lineRule="exact"/>
              <w:jc w:val="center"/>
              <w:rPr>
                <w:kern w:val="0"/>
                <w:szCs w:val="21"/>
                <w:highlight w:val="none"/>
              </w:rPr>
            </w:pPr>
            <w:r>
              <w:rPr>
                <w:szCs w:val="21"/>
                <w:highlight w:val="none"/>
              </w:rPr>
              <w:t>kw·h</w:t>
            </w:r>
          </w:p>
        </w:tc>
        <w:tc>
          <w:tcPr>
            <w:tcW w:w="4804" w:type="dxa"/>
            <w:gridSpan w:val="3"/>
            <w:vAlign w:val="center"/>
          </w:tcPr>
          <w:p>
            <w:pPr>
              <w:spacing w:line="240" w:lineRule="exact"/>
              <w:jc w:val="center"/>
              <w:rPr>
                <w:rFonts w:hint="default" w:eastAsia="宋体"/>
                <w:kern w:val="0"/>
                <w:szCs w:val="21"/>
                <w:highlight w:val="none"/>
                <w:lang w:val="en-US" w:eastAsia="zh-CN"/>
              </w:rPr>
            </w:pPr>
            <w:r>
              <w:rPr>
                <w:rFonts w:hint="eastAsia"/>
                <w:szCs w:val="21"/>
                <w:highlight w:val="none"/>
                <w:lang w:val="en-US" w:eastAsia="zh-CN"/>
              </w:rPr>
              <w:t>2931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3595" w:type="dxa"/>
            <w:gridSpan w:val="16"/>
            <w:vAlign w:val="center"/>
          </w:tcPr>
          <w:p>
            <w:pPr>
              <w:spacing w:line="240" w:lineRule="exact"/>
              <w:jc w:val="center"/>
              <w:rPr>
                <w:kern w:val="0"/>
                <w:highlight w:val="none"/>
                <w:lang w:val="zh-CN"/>
              </w:rPr>
            </w:pPr>
            <w:r>
              <w:rPr>
                <w:kern w:val="0"/>
                <w:highlight w:val="none"/>
                <w:lang w:val="zh-CN"/>
              </w:rPr>
              <w:t>环境保护措施及主要运行参数</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02" w:type="dxa"/>
            <w:vMerge w:val="restart"/>
            <w:vAlign w:val="center"/>
          </w:tcPr>
          <w:p>
            <w:pPr>
              <w:autoSpaceDE w:val="0"/>
              <w:autoSpaceDN w:val="0"/>
              <w:spacing w:line="240" w:lineRule="exact"/>
              <w:jc w:val="center"/>
              <w:rPr>
                <w:kern w:val="0"/>
                <w:highlight w:val="none"/>
                <w:lang w:val="zh-CN"/>
              </w:rPr>
            </w:pPr>
            <w:r>
              <w:rPr>
                <w:kern w:val="0"/>
                <w:highlight w:val="none"/>
                <w:lang w:val="zh-CN"/>
              </w:rPr>
              <w:t>废水</w:t>
            </w:r>
          </w:p>
        </w:tc>
        <w:tc>
          <w:tcPr>
            <w:tcW w:w="1565" w:type="dxa"/>
            <w:gridSpan w:val="3"/>
            <w:vAlign w:val="center"/>
          </w:tcPr>
          <w:p>
            <w:pPr>
              <w:autoSpaceDE w:val="0"/>
              <w:autoSpaceDN w:val="0"/>
              <w:spacing w:line="240" w:lineRule="exact"/>
              <w:jc w:val="center"/>
              <w:rPr>
                <w:kern w:val="0"/>
                <w:szCs w:val="21"/>
                <w:highlight w:val="none"/>
                <w:lang w:val="zh-CN"/>
              </w:rPr>
            </w:pPr>
            <w:r>
              <w:rPr>
                <w:kern w:val="0"/>
                <w:szCs w:val="21"/>
                <w:highlight w:val="none"/>
                <w:lang w:val="zh-CN"/>
              </w:rPr>
              <w:t>类别</w:t>
            </w:r>
          </w:p>
        </w:tc>
        <w:tc>
          <w:tcPr>
            <w:tcW w:w="1697" w:type="dxa"/>
            <w:gridSpan w:val="2"/>
            <w:vAlign w:val="center"/>
          </w:tcPr>
          <w:p>
            <w:pPr>
              <w:autoSpaceDE w:val="0"/>
              <w:autoSpaceDN w:val="0"/>
              <w:spacing w:line="240" w:lineRule="exact"/>
              <w:jc w:val="center"/>
              <w:rPr>
                <w:kern w:val="0"/>
                <w:szCs w:val="21"/>
                <w:highlight w:val="none"/>
                <w:lang w:val="zh-CN"/>
              </w:rPr>
            </w:pPr>
            <w:r>
              <w:rPr>
                <w:kern w:val="0"/>
                <w:szCs w:val="21"/>
                <w:highlight w:val="none"/>
                <w:lang w:val="zh-CN"/>
              </w:rPr>
              <w:t>污染物种类</w:t>
            </w:r>
          </w:p>
        </w:tc>
        <w:tc>
          <w:tcPr>
            <w:tcW w:w="1669" w:type="dxa"/>
            <w:tcBorders>
              <w:top w:val="single" w:color="auto" w:sz="4" w:space="0"/>
            </w:tcBorders>
            <w:vAlign w:val="center"/>
          </w:tcPr>
          <w:p>
            <w:pPr>
              <w:spacing w:line="240" w:lineRule="exact"/>
              <w:jc w:val="center"/>
              <w:rPr>
                <w:kern w:val="0"/>
                <w:szCs w:val="21"/>
                <w:highlight w:val="none"/>
                <w:lang w:val="zh-CN"/>
              </w:rPr>
            </w:pPr>
            <w:r>
              <w:rPr>
                <w:kern w:val="0"/>
                <w:szCs w:val="21"/>
                <w:highlight w:val="none"/>
                <w:lang w:val="zh-CN"/>
              </w:rPr>
              <w:t>排放去向</w:t>
            </w:r>
          </w:p>
        </w:tc>
        <w:tc>
          <w:tcPr>
            <w:tcW w:w="1236" w:type="dxa"/>
            <w:gridSpan w:val="2"/>
            <w:vAlign w:val="center"/>
          </w:tcPr>
          <w:p>
            <w:pPr>
              <w:spacing w:line="240" w:lineRule="exact"/>
              <w:jc w:val="center"/>
              <w:rPr>
                <w:kern w:val="0"/>
                <w:szCs w:val="21"/>
                <w:highlight w:val="none"/>
                <w:lang w:val="zh-CN"/>
              </w:rPr>
            </w:pPr>
            <w:r>
              <w:rPr>
                <w:kern w:val="0"/>
                <w:szCs w:val="21"/>
                <w:highlight w:val="none"/>
                <w:lang w:val="zh-CN"/>
              </w:rPr>
              <w:t>排放规律</w:t>
            </w:r>
          </w:p>
        </w:tc>
        <w:tc>
          <w:tcPr>
            <w:tcW w:w="1236" w:type="dxa"/>
            <w:gridSpan w:val="2"/>
            <w:vAlign w:val="center"/>
          </w:tcPr>
          <w:p>
            <w:pPr>
              <w:spacing w:line="240" w:lineRule="exact"/>
              <w:jc w:val="center"/>
              <w:rPr>
                <w:kern w:val="0"/>
                <w:szCs w:val="21"/>
                <w:highlight w:val="none"/>
                <w:lang w:val="zh-CN"/>
              </w:rPr>
            </w:pPr>
            <w:r>
              <w:rPr>
                <w:kern w:val="0"/>
                <w:szCs w:val="21"/>
                <w:highlight w:val="none"/>
                <w:lang w:val="zh-CN"/>
              </w:rPr>
              <w:t>治理措施</w:t>
            </w:r>
          </w:p>
        </w:tc>
        <w:tc>
          <w:tcPr>
            <w:tcW w:w="965" w:type="dxa"/>
            <w:gridSpan w:val="3"/>
            <w:tcBorders>
              <w:top w:val="single" w:color="auto" w:sz="4" w:space="0"/>
            </w:tcBorders>
            <w:vAlign w:val="center"/>
          </w:tcPr>
          <w:p>
            <w:pPr>
              <w:spacing w:line="240" w:lineRule="exact"/>
              <w:jc w:val="center"/>
              <w:rPr>
                <w:kern w:val="0"/>
                <w:szCs w:val="21"/>
                <w:highlight w:val="none"/>
                <w:lang w:val="zh-CN"/>
              </w:rPr>
            </w:pPr>
            <w:r>
              <w:rPr>
                <w:kern w:val="0"/>
                <w:szCs w:val="21"/>
                <w:highlight w:val="none"/>
                <w:lang w:val="zh-CN"/>
              </w:rPr>
              <w:t>排放浓度</w:t>
            </w:r>
            <w:r>
              <w:rPr>
                <w:kern w:val="0"/>
                <w:szCs w:val="21"/>
                <w:highlight w:val="none"/>
              </w:rPr>
              <w:t>mg/L</w:t>
            </w:r>
          </w:p>
        </w:tc>
        <w:tc>
          <w:tcPr>
            <w:tcW w:w="1236" w:type="dxa"/>
            <w:tcBorders>
              <w:top w:val="single" w:color="auto" w:sz="4" w:space="0"/>
            </w:tcBorders>
            <w:vAlign w:val="center"/>
          </w:tcPr>
          <w:p>
            <w:pPr>
              <w:spacing w:line="240" w:lineRule="exact"/>
              <w:jc w:val="center"/>
              <w:rPr>
                <w:kern w:val="0"/>
                <w:szCs w:val="21"/>
                <w:highlight w:val="none"/>
                <w:lang w:val="zh-CN"/>
              </w:rPr>
            </w:pPr>
            <w:r>
              <w:rPr>
                <w:kern w:val="0"/>
                <w:szCs w:val="21"/>
                <w:highlight w:val="none"/>
                <w:lang w:val="zh-CN"/>
              </w:rPr>
              <w:t>排放量</w:t>
            </w:r>
            <w:r>
              <w:rPr>
                <w:kern w:val="0"/>
                <w:szCs w:val="21"/>
                <w:highlight w:val="none"/>
              </w:rPr>
              <w:t>t/a</w:t>
            </w:r>
          </w:p>
        </w:tc>
        <w:tc>
          <w:tcPr>
            <w:tcW w:w="3489" w:type="dxa"/>
            <w:tcBorders>
              <w:top w:val="single" w:color="auto" w:sz="4" w:space="0"/>
            </w:tcBorders>
            <w:vAlign w:val="center"/>
          </w:tcPr>
          <w:p>
            <w:pPr>
              <w:spacing w:line="240" w:lineRule="exact"/>
              <w:jc w:val="center"/>
              <w:rPr>
                <w:kern w:val="0"/>
                <w:szCs w:val="21"/>
                <w:highlight w:val="none"/>
                <w:lang w:val="zh-CN"/>
              </w:rPr>
            </w:pPr>
            <w:r>
              <w:rPr>
                <w:kern w:val="0"/>
                <w:szCs w:val="21"/>
                <w:highlight w:val="none"/>
              </w:rPr>
              <w:t>执行标准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02" w:type="dxa"/>
            <w:vMerge w:val="continue"/>
            <w:vAlign w:val="center"/>
          </w:tcPr>
          <w:p>
            <w:pPr>
              <w:autoSpaceDE w:val="0"/>
              <w:autoSpaceDN w:val="0"/>
              <w:spacing w:line="240" w:lineRule="exact"/>
              <w:jc w:val="center"/>
              <w:rPr>
                <w:kern w:val="0"/>
                <w:highlight w:val="none"/>
                <w:lang w:val="zh-CN"/>
              </w:rPr>
            </w:pPr>
          </w:p>
        </w:tc>
        <w:tc>
          <w:tcPr>
            <w:tcW w:w="1565" w:type="dxa"/>
            <w:gridSpan w:val="3"/>
            <w:vAlign w:val="center"/>
          </w:tcPr>
          <w:p>
            <w:pPr>
              <w:autoSpaceDE w:val="0"/>
              <w:autoSpaceDN w:val="0"/>
              <w:spacing w:line="240" w:lineRule="exact"/>
              <w:jc w:val="center"/>
              <w:rPr>
                <w:kern w:val="0"/>
                <w:szCs w:val="21"/>
                <w:highlight w:val="none"/>
                <w:lang w:val="zh-CN"/>
              </w:rPr>
            </w:pPr>
            <w:r>
              <w:rPr>
                <w:szCs w:val="21"/>
                <w:highlight w:val="none"/>
              </w:rPr>
              <w:t>职工生活污水</w:t>
            </w:r>
          </w:p>
        </w:tc>
        <w:tc>
          <w:tcPr>
            <w:tcW w:w="1697" w:type="dxa"/>
            <w:gridSpan w:val="2"/>
            <w:vAlign w:val="center"/>
          </w:tcPr>
          <w:p>
            <w:pPr>
              <w:autoSpaceDE w:val="0"/>
              <w:autoSpaceDN w:val="0"/>
              <w:spacing w:line="240" w:lineRule="exact"/>
              <w:ind w:right="31" w:rightChars="15"/>
              <w:jc w:val="center"/>
              <w:rPr>
                <w:kern w:val="0"/>
                <w:szCs w:val="21"/>
                <w:highlight w:val="none"/>
              </w:rPr>
            </w:pPr>
            <w:r>
              <w:rPr>
                <w:kern w:val="0"/>
                <w:szCs w:val="21"/>
                <w:highlight w:val="none"/>
              </w:rPr>
              <w:t>COD、SS、氨氮</w:t>
            </w:r>
          </w:p>
        </w:tc>
        <w:tc>
          <w:tcPr>
            <w:tcW w:w="1669" w:type="dxa"/>
            <w:vAlign w:val="center"/>
          </w:tcPr>
          <w:p>
            <w:pPr>
              <w:spacing w:line="240" w:lineRule="exact"/>
              <w:jc w:val="center"/>
              <w:rPr>
                <w:kern w:val="0"/>
                <w:szCs w:val="21"/>
                <w:highlight w:val="none"/>
                <w:lang w:val="zh-CN"/>
              </w:rPr>
            </w:pPr>
            <w:r>
              <w:rPr>
                <w:kern w:val="0"/>
                <w:szCs w:val="21"/>
                <w:highlight w:val="none"/>
                <w:lang w:val="zh-CN"/>
              </w:rPr>
              <w:t>排入化粪池</w:t>
            </w:r>
          </w:p>
        </w:tc>
        <w:tc>
          <w:tcPr>
            <w:tcW w:w="1236" w:type="dxa"/>
            <w:gridSpan w:val="2"/>
            <w:vAlign w:val="center"/>
          </w:tcPr>
          <w:p>
            <w:pPr>
              <w:spacing w:line="240" w:lineRule="exact"/>
              <w:jc w:val="center"/>
              <w:rPr>
                <w:kern w:val="0"/>
                <w:szCs w:val="21"/>
                <w:highlight w:val="none"/>
                <w:lang w:val="zh-CN"/>
              </w:rPr>
            </w:pPr>
            <w:r>
              <w:rPr>
                <w:kern w:val="0"/>
                <w:szCs w:val="21"/>
                <w:highlight w:val="none"/>
                <w:lang w:val="zh-CN"/>
              </w:rPr>
              <w:t>间断</w:t>
            </w:r>
          </w:p>
        </w:tc>
        <w:tc>
          <w:tcPr>
            <w:tcW w:w="1236" w:type="dxa"/>
            <w:gridSpan w:val="2"/>
            <w:vAlign w:val="center"/>
          </w:tcPr>
          <w:p>
            <w:pPr>
              <w:spacing w:line="240" w:lineRule="exact"/>
              <w:jc w:val="center"/>
              <w:rPr>
                <w:kern w:val="0"/>
                <w:szCs w:val="21"/>
                <w:highlight w:val="none"/>
              </w:rPr>
            </w:pPr>
            <w:r>
              <w:rPr>
                <w:rFonts w:hint="eastAsia"/>
                <w:kern w:val="0"/>
                <w:szCs w:val="21"/>
                <w:highlight w:val="none"/>
                <w:lang w:val="zh-CN"/>
              </w:rPr>
              <w:t>由环卫部门定期清掏</w:t>
            </w:r>
          </w:p>
        </w:tc>
        <w:tc>
          <w:tcPr>
            <w:tcW w:w="965" w:type="dxa"/>
            <w:gridSpan w:val="3"/>
            <w:vAlign w:val="center"/>
          </w:tcPr>
          <w:p>
            <w:pPr>
              <w:spacing w:line="240" w:lineRule="exact"/>
              <w:jc w:val="center"/>
              <w:rPr>
                <w:kern w:val="0"/>
                <w:szCs w:val="21"/>
                <w:highlight w:val="none"/>
              </w:rPr>
            </w:pPr>
            <w:r>
              <w:rPr>
                <w:rFonts w:hint="eastAsia"/>
                <w:kern w:val="0"/>
                <w:szCs w:val="21"/>
                <w:highlight w:val="none"/>
              </w:rPr>
              <w:t>/</w:t>
            </w:r>
          </w:p>
        </w:tc>
        <w:tc>
          <w:tcPr>
            <w:tcW w:w="1236" w:type="dxa"/>
            <w:vAlign w:val="center"/>
          </w:tcPr>
          <w:p>
            <w:pPr>
              <w:spacing w:line="240" w:lineRule="exact"/>
              <w:jc w:val="center"/>
              <w:rPr>
                <w:rFonts w:hint="default" w:eastAsia="宋体"/>
                <w:kern w:val="0"/>
                <w:szCs w:val="21"/>
                <w:highlight w:val="none"/>
                <w:lang w:val="en-US" w:eastAsia="zh-CN"/>
              </w:rPr>
            </w:pPr>
            <w:r>
              <w:rPr>
                <w:rFonts w:hint="eastAsia"/>
                <w:kern w:val="0"/>
                <w:szCs w:val="21"/>
                <w:highlight w:val="none"/>
                <w:lang w:val="en-US" w:eastAsia="zh-CN"/>
              </w:rPr>
              <w:t>17.92</w:t>
            </w:r>
          </w:p>
        </w:tc>
        <w:tc>
          <w:tcPr>
            <w:tcW w:w="3489" w:type="dxa"/>
            <w:vAlign w:val="center"/>
          </w:tcPr>
          <w:p>
            <w:pPr>
              <w:spacing w:line="240" w:lineRule="exact"/>
              <w:jc w:val="center"/>
              <w:rPr>
                <w:rFonts w:hint="eastAsia" w:eastAsia="宋体"/>
                <w:kern w:val="0"/>
                <w:highlight w:val="none"/>
                <w:lang w:eastAsia="zh-CN"/>
              </w:rPr>
            </w:pPr>
            <w:r>
              <w:rPr>
                <w:rFonts w:hint="eastAsia"/>
                <w:color w:val="000000" w:themeColor="text1"/>
                <w:highlight w:val="no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02" w:type="dxa"/>
            <w:vMerge w:val="restart"/>
            <w:vAlign w:val="center"/>
          </w:tcPr>
          <w:p>
            <w:pPr>
              <w:autoSpaceDE w:val="0"/>
              <w:autoSpaceDN w:val="0"/>
              <w:spacing w:line="240" w:lineRule="exact"/>
              <w:jc w:val="center"/>
              <w:rPr>
                <w:kern w:val="0"/>
                <w:highlight w:val="none"/>
                <w:lang w:val="zh-CN"/>
              </w:rPr>
            </w:pPr>
            <w:r>
              <w:rPr>
                <w:kern w:val="0"/>
                <w:highlight w:val="none"/>
                <w:lang w:val="zh-CN"/>
              </w:rPr>
              <w:t>噪声</w:t>
            </w:r>
          </w:p>
        </w:tc>
        <w:tc>
          <w:tcPr>
            <w:tcW w:w="2548" w:type="dxa"/>
            <w:gridSpan w:val="4"/>
            <w:vAlign w:val="center"/>
          </w:tcPr>
          <w:p>
            <w:pPr>
              <w:spacing w:line="240" w:lineRule="exact"/>
              <w:jc w:val="center"/>
              <w:rPr>
                <w:kern w:val="0"/>
                <w:highlight w:val="none"/>
                <w:lang w:val="zh-CN"/>
              </w:rPr>
            </w:pPr>
            <w:r>
              <w:rPr>
                <w:kern w:val="0"/>
                <w:highlight w:val="none"/>
                <w:lang w:val="zh-CN"/>
              </w:rPr>
              <w:t>产噪设备</w:t>
            </w:r>
          </w:p>
        </w:tc>
        <w:tc>
          <w:tcPr>
            <w:tcW w:w="2383" w:type="dxa"/>
            <w:gridSpan w:val="2"/>
            <w:vAlign w:val="center"/>
          </w:tcPr>
          <w:p>
            <w:pPr>
              <w:spacing w:line="240" w:lineRule="exact"/>
              <w:jc w:val="center"/>
              <w:rPr>
                <w:kern w:val="0"/>
                <w:highlight w:val="none"/>
                <w:lang w:val="zh-CN"/>
              </w:rPr>
            </w:pPr>
            <w:r>
              <w:rPr>
                <w:kern w:val="0"/>
                <w:highlight w:val="none"/>
                <w:lang w:val="zh-CN"/>
              </w:rPr>
              <w:t>污染物种类</w:t>
            </w:r>
          </w:p>
        </w:tc>
        <w:tc>
          <w:tcPr>
            <w:tcW w:w="1236" w:type="dxa"/>
            <w:gridSpan w:val="2"/>
            <w:vAlign w:val="center"/>
          </w:tcPr>
          <w:p>
            <w:pPr>
              <w:spacing w:line="240" w:lineRule="exact"/>
              <w:jc w:val="center"/>
              <w:rPr>
                <w:kern w:val="0"/>
                <w:highlight w:val="none"/>
                <w:lang w:val="zh-CN"/>
              </w:rPr>
            </w:pPr>
            <w:r>
              <w:rPr>
                <w:kern w:val="0"/>
                <w:highlight w:val="none"/>
                <w:lang w:val="zh-CN"/>
              </w:rPr>
              <w:t>运行情况</w:t>
            </w:r>
          </w:p>
        </w:tc>
        <w:tc>
          <w:tcPr>
            <w:tcW w:w="1236" w:type="dxa"/>
            <w:gridSpan w:val="2"/>
            <w:vAlign w:val="center"/>
          </w:tcPr>
          <w:p>
            <w:pPr>
              <w:spacing w:line="240" w:lineRule="exact"/>
              <w:jc w:val="center"/>
              <w:rPr>
                <w:kern w:val="0"/>
                <w:highlight w:val="none"/>
                <w:lang w:val="zh-CN"/>
              </w:rPr>
            </w:pPr>
            <w:r>
              <w:rPr>
                <w:kern w:val="0"/>
                <w:highlight w:val="none"/>
                <w:lang w:val="zh-CN"/>
              </w:rPr>
              <w:t>治理措施</w:t>
            </w:r>
          </w:p>
        </w:tc>
        <w:tc>
          <w:tcPr>
            <w:tcW w:w="2201" w:type="dxa"/>
            <w:gridSpan w:val="4"/>
            <w:vAlign w:val="center"/>
          </w:tcPr>
          <w:p>
            <w:pPr>
              <w:spacing w:line="240" w:lineRule="exact"/>
              <w:jc w:val="center"/>
              <w:rPr>
                <w:kern w:val="0"/>
                <w:highlight w:val="none"/>
                <w:lang w:val="zh-CN"/>
              </w:rPr>
            </w:pPr>
            <w:r>
              <w:rPr>
                <w:kern w:val="0"/>
                <w:highlight w:val="none"/>
                <w:lang w:val="zh-CN"/>
              </w:rPr>
              <w:t>预测厂界噪声贡献值</w:t>
            </w:r>
          </w:p>
        </w:tc>
        <w:tc>
          <w:tcPr>
            <w:tcW w:w="3489" w:type="dxa"/>
            <w:vAlign w:val="center"/>
          </w:tcPr>
          <w:p>
            <w:pPr>
              <w:spacing w:line="240" w:lineRule="exact"/>
              <w:jc w:val="center"/>
              <w:rPr>
                <w:kern w:val="0"/>
                <w:highlight w:val="none"/>
                <w:lang w:val="zh-CN"/>
              </w:rPr>
            </w:pPr>
            <w:r>
              <w:rPr>
                <w:kern w:val="0"/>
                <w:highlight w:val="none"/>
              </w:rPr>
              <w:t>执行标准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02" w:type="dxa"/>
            <w:vMerge w:val="continue"/>
            <w:vAlign w:val="center"/>
          </w:tcPr>
          <w:p>
            <w:pPr>
              <w:autoSpaceDE w:val="0"/>
              <w:autoSpaceDN w:val="0"/>
              <w:spacing w:line="240" w:lineRule="exact"/>
              <w:jc w:val="center"/>
              <w:rPr>
                <w:kern w:val="0"/>
                <w:szCs w:val="21"/>
                <w:highlight w:val="none"/>
                <w:lang w:val="zh-CN"/>
              </w:rPr>
            </w:pPr>
          </w:p>
        </w:tc>
        <w:tc>
          <w:tcPr>
            <w:tcW w:w="2548" w:type="dxa"/>
            <w:gridSpan w:val="4"/>
            <w:vAlign w:val="center"/>
          </w:tcPr>
          <w:p>
            <w:pPr>
              <w:spacing w:line="240" w:lineRule="exact"/>
              <w:jc w:val="center"/>
              <w:rPr>
                <w:kern w:val="0"/>
                <w:highlight w:val="none"/>
                <w:lang w:val="zh-CN"/>
              </w:rPr>
            </w:pPr>
            <w:r>
              <w:rPr>
                <w:kern w:val="0"/>
                <w:highlight w:val="none"/>
                <w:lang w:val="zh-CN"/>
              </w:rPr>
              <w:t>发电机组</w:t>
            </w:r>
          </w:p>
        </w:tc>
        <w:tc>
          <w:tcPr>
            <w:tcW w:w="2383" w:type="dxa"/>
            <w:gridSpan w:val="2"/>
            <w:vAlign w:val="center"/>
          </w:tcPr>
          <w:p>
            <w:pPr>
              <w:spacing w:line="240" w:lineRule="exact"/>
              <w:jc w:val="center"/>
              <w:rPr>
                <w:kern w:val="0"/>
                <w:highlight w:val="none"/>
                <w:lang w:val="zh-CN"/>
              </w:rPr>
            </w:pPr>
            <w:r>
              <w:rPr>
                <w:kern w:val="0"/>
                <w:highlight w:val="none"/>
                <w:lang w:val="zh-CN"/>
              </w:rPr>
              <w:t xml:space="preserve"> 噪声</w:t>
            </w:r>
          </w:p>
        </w:tc>
        <w:tc>
          <w:tcPr>
            <w:tcW w:w="1236" w:type="dxa"/>
            <w:gridSpan w:val="2"/>
            <w:vAlign w:val="center"/>
          </w:tcPr>
          <w:p>
            <w:pPr>
              <w:spacing w:line="240" w:lineRule="exact"/>
              <w:jc w:val="center"/>
              <w:rPr>
                <w:kern w:val="0"/>
                <w:szCs w:val="21"/>
                <w:highlight w:val="none"/>
                <w:lang w:val="zh-CN"/>
              </w:rPr>
            </w:pPr>
            <w:r>
              <w:rPr>
                <w:kern w:val="0"/>
                <w:szCs w:val="21"/>
                <w:highlight w:val="none"/>
                <w:lang w:val="zh-CN"/>
              </w:rPr>
              <w:t>连续</w:t>
            </w:r>
          </w:p>
        </w:tc>
        <w:tc>
          <w:tcPr>
            <w:tcW w:w="1236" w:type="dxa"/>
            <w:gridSpan w:val="2"/>
            <w:vAlign w:val="center"/>
          </w:tcPr>
          <w:p>
            <w:pPr>
              <w:spacing w:line="240" w:lineRule="exact"/>
              <w:jc w:val="center"/>
              <w:rPr>
                <w:kern w:val="0"/>
                <w:szCs w:val="21"/>
                <w:highlight w:val="none"/>
                <w:lang w:val="zh-CN"/>
              </w:rPr>
            </w:pPr>
            <w:r>
              <w:rPr>
                <w:kern w:val="0"/>
                <w:szCs w:val="21"/>
                <w:highlight w:val="none"/>
                <w:lang w:val="zh-CN"/>
              </w:rPr>
              <w:t>封闭车间</w:t>
            </w:r>
          </w:p>
        </w:tc>
        <w:tc>
          <w:tcPr>
            <w:tcW w:w="2201" w:type="dxa"/>
            <w:gridSpan w:val="4"/>
            <w:vAlign w:val="center"/>
          </w:tcPr>
          <w:p>
            <w:pPr>
              <w:spacing w:line="240" w:lineRule="exact"/>
              <w:jc w:val="center"/>
              <w:rPr>
                <w:kern w:val="0"/>
                <w:szCs w:val="21"/>
                <w:highlight w:val="none"/>
              </w:rPr>
            </w:pPr>
            <w:r>
              <w:rPr>
                <w:highlight w:val="none"/>
              </w:rPr>
              <w:t>昼间</w:t>
            </w:r>
            <w:r>
              <w:rPr>
                <w:rFonts w:hint="eastAsia"/>
                <w:highlight w:val="none"/>
              </w:rPr>
              <w:t>33.3</w:t>
            </w:r>
            <w:r>
              <w:rPr>
                <w:highlight w:val="none"/>
              </w:rPr>
              <w:t>-4</w:t>
            </w:r>
            <w:r>
              <w:rPr>
                <w:rFonts w:hint="eastAsia"/>
                <w:highlight w:val="none"/>
              </w:rPr>
              <w:t>8.1</w:t>
            </w:r>
            <w:r>
              <w:rPr>
                <w:highlight w:val="none"/>
              </w:rPr>
              <w:t>dB(A) 夜间</w:t>
            </w:r>
            <w:r>
              <w:rPr>
                <w:rFonts w:hint="eastAsia"/>
                <w:highlight w:val="none"/>
              </w:rPr>
              <w:t>33.3</w:t>
            </w:r>
            <w:r>
              <w:rPr>
                <w:highlight w:val="none"/>
              </w:rPr>
              <w:t>-4</w:t>
            </w:r>
            <w:r>
              <w:rPr>
                <w:rFonts w:hint="eastAsia"/>
                <w:highlight w:val="none"/>
              </w:rPr>
              <w:t>8.1</w:t>
            </w:r>
            <w:r>
              <w:rPr>
                <w:highlight w:val="none"/>
              </w:rPr>
              <w:t>dB(A)</w:t>
            </w:r>
          </w:p>
        </w:tc>
        <w:tc>
          <w:tcPr>
            <w:tcW w:w="3489" w:type="dxa"/>
            <w:vAlign w:val="center"/>
          </w:tcPr>
          <w:p>
            <w:pPr>
              <w:spacing w:line="240" w:lineRule="exact"/>
              <w:jc w:val="center"/>
              <w:rPr>
                <w:kern w:val="0"/>
                <w:szCs w:val="21"/>
                <w:highlight w:val="none"/>
                <w:lang w:val="zh-CN"/>
              </w:rPr>
            </w:pPr>
            <w:r>
              <w:rPr>
                <w:szCs w:val="21"/>
                <w:highlight w:val="none"/>
              </w:rPr>
              <w:t>《工业企业厂界环境噪声排放标准》(GB12348-2008)中2类标准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02" w:type="dxa"/>
            <w:vMerge w:val="restart"/>
            <w:vAlign w:val="center"/>
          </w:tcPr>
          <w:p>
            <w:pPr>
              <w:autoSpaceDE w:val="0"/>
              <w:autoSpaceDN w:val="0"/>
              <w:spacing w:line="240" w:lineRule="exact"/>
              <w:jc w:val="center"/>
              <w:rPr>
                <w:kern w:val="0"/>
                <w:highlight w:val="none"/>
                <w:lang w:val="zh-CN"/>
              </w:rPr>
            </w:pPr>
            <w:r>
              <w:rPr>
                <w:kern w:val="0"/>
                <w:highlight w:val="none"/>
                <w:lang w:val="zh-CN"/>
              </w:rPr>
              <w:t>固废</w:t>
            </w:r>
          </w:p>
        </w:tc>
        <w:tc>
          <w:tcPr>
            <w:tcW w:w="1195" w:type="dxa"/>
            <w:gridSpan w:val="2"/>
            <w:vAlign w:val="center"/>
          </w:tcPr>
          <w:p>
            <w:pPr>
              <w:spacing w:line="240" w:lineRule="exact"/>
              <w:jc w:val="center"/>
              <w:rPr>
                <w:kern w:val="0"/>
                <w:highlight w:val="none"/>
                <w:lang w:val="zh-CN"/>
              </w:rPr>
            </w:pPr>
            <w:r>
              <w:rPr>
                <w:kern w:val="0"/>
                <w:highlight w:val="none"/>
                <w:lang w:val="zh-CN"/>
              </w:rPr>
              <w:t>产污工序</w:t>
            </w:r>
          </w:p>
        </w:tc>
        <w:tc>
          <w:tcPr>
            <w:tcW w:w="2067" w:type="dxa"/>
            <w:gridSpan w:val="3"/>
            <w:vAlign w:val="center"/>
          </w:tcPr>
          <w:p>
            <w:pPr>
              <w:spacing w:line="240" w:lineRule="exact"/>
              <w:jc w:val="center"/>
              <w:rPr>
                <w:kern w:val="0"/>
                <w:highlight w:val="none"/>
                <w:lang w:val="zh-CN"/>
              </w:rPr>
            </w:pPr>
            <w:r>
              <w:rPr>
                <w:kern w:val="0"/>
                <w:highlight w:val="none"/>
                <w:lang w:val="zh-CN"/>
              </w:rPr>
              <w:t>装置</w:t>
            </w:r>
          </w:p>
        </w:tc>
        <w:tc>
          <w:tcPr>
            <w:tcW w:w="2479" w:type="dxa"/>
            <w:gridSpan w:val="2"/>
            <w:vAlign w:val="center"/>
          </w:tcPr>
          <w:p>
            <w:pPr>
              <w:spacing w:line="240" w:lineRule="exact"/>
              <w:jc w:val="center"/>
              <w:rPr>
                <w:kern w:val="0"/>
                <w:highlight w:val="none"/>
                <w:lang w:val="zh-CN"/>
              </w:rPr>
            </w:pPr>
            <w:r>
              <w:rPr>
                <w:kern w:val="0"/>
                <w:highlight w:val="none"/>
                <w:lang w:val="zh-CN"/>
              </w:rPr>
              <w:t>污染物名称</w:t>
            </w:r>
          </w:p>
        </w:tc>
        <w:tc>
          <w:tcPr>
            <w:tcW w:w="2253" w:type="dxa"/>
            <w:gridSpan w:val="4"/>
            <w:vAlign w:val="center"/>
          </w:tcPr>
          <w:p>
            <w:pPr>
              <w:spacing w:line="240" w:lineRule="exact"/>
              <w:jc w:val="center"/>
              <w:rPr>
                <w:kern w:val="0"/>
                <w:highlight w:val="none"/>
                <w:lang w:val="zh-CN"/>
              </w:rPr>
            </w:pPr>
            <w:r>
              <w:rPr>
                <w:kern w:val="0"/>
                <w:highlight w:val="none"/>
                <w:lang w:val="zh-CN"/>
              </w:rPr>
              <w:t>治理措施</w:t>
            </w:r>
          </w:p>
        </w:tc>
        <w:tc>
          <w:tcPr>
            <w:tcW w:w="1610" w:type="dxa"/>
            <w:gridSpan w:val="3"/>
            <w:vAlign w:val="center"/>
          </w:tcPr>
          <w:p>
            <w:pPr>
              <w:spacing w:line="240" w:lineRule="exact"/>
              <w:jc w:val="center"/>
              <w:rPr>
                <w:kern w:val="0"/>
                <w:highlight w:val="none"/>
                <w:lang w:val="zh-CN"/>
              </w:rPr>
            </w:pPr>
            <w:r>
              <w:rPr>
                <w:kern w:val="0"/>
                <w:highlight w:val="none"/>
                <w:lang w:val="zh-CN"/>
              </w:rPr>
              <w:t>最终去向</w:t>
            </w:r>
          </w:p>
        </w:tc>
        <w:tc>
          <w:tcPr>
            <w:tcW w:w="3489" w:type="dxa"/>
            <w:vAlign w:val="center"/>
          </w:tcPr>
          <w:p>
            <w:pPr>
              <w:spacing w:line="240" w:lineRule="exact"/>
              <w:jc w:val="center"/>
              <w:rPr>
                <w:kern w:val="0"/>
                <w:highlight w:val="none"/>
                <w:lang w:val="zh-CN"/>
              </w:rPr>
            </w:pPr>
            <w:r>
              <w:rPr>
                <w:kern w:val="0"/>
                <w:highlight w:val="none"/>
                <w:lang w:val="zh-CN"/>
              </w:rPr>
              <w:t>执行标准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35" w:hRule="atLeast"/>
          <w:jc w:val="center"/>
        </w:trPr>
        <w:tc>
          <w:tcPr>
            <w:tcW w:w="502" w:type="dxa"/>
            <w:vMerge w:val="continue"/>
            <w:vAlign w:val="center"/>
          </w:tcPr>
          <w:p>
            <w:pPr>
              <w:autoSpaceDE w:val="0"/>
              <w:autoSpaceDN w:val="0"/>
              <w:spacing w:line="240" w:lineRule="exact"/>
              <w:jc w:val="center"/>
              <w:rPr>
                <w:kern w:val="0"/>
                <w:highlight w:val="none"/>
                <w:lang w:val="zh-CN"/>
              </w:rPr>
            </w:pPr>
          </w:p>
        </w:tc>
        <w:tc>
          <w:tcPr>
            <w:tcW w:w="1195" w:type="dxa"/>
            <w:gridSpan w:val="2"/>
            <w:vAlign w:val="center"/>
          </w:tcPr>
          <w:p>
            <w:pPr>
              <w:spacing w:line="240" w:lineRule="exact"/>
              <w:jc w:val="center"/>
              <w:rPr>
                <w:sz w:val="24"/>
                <w:highlight w:val="none"/>
              </w:rPr>
            </w:pPr>
            <w:r>
              <w:rPr>
                <w:rFonts w:hint="eastAsia"/>
                <w:bCs/>
                <w:szCs w:val="21"/>
                <w:highlight w:val="none"/>
              </w:rPr>
              <w:t>发电</w:t>
            </w:r>
            <w:r>
              <w:rPr>
                <w:bCs/>
                <w:szCs w:val="21"/>
                <w:highlight w:val="none"/>
              </w:rPr>
              <w:t>机组</w:t>
            </w:r>
            <w:r>
              <w:rPr>
                <w:rFonts w:hint="eastAsia"/>
                <w:bCs/>
                <w:szCs w:val="21"/>
                <w:highlight w:val="none"/>
              </w:rPr>
              <w:t>及其他设备</w:t>
            </w:r>
            <w:r>
              <w:rPr>
                <w:bCs/>
                <w:szCs w:val="21"/>
                <w:highlight w:val="none"/>
              </w:rPr>
              <w:t>检修</w:t>
            </w:r>
          </w:p>
        </w:tc>
        <w:tc>
          <w:tcPr>
            <w:tcW w:w="2067" w:type="dxa"/>
            <w:gridSpan w:val="3"/>
            <w:vAlign w:val="center"/>
          </w:tcPr>
          <w:p>
            <w:pPr>
              <w:spacing w:line="240" w:lineRule="exact"/>
              <w:jc w:val="center"/>
              <w:rPr>
                <w:kern w:val="0"/>
                <w:highlight w:val="none"/>
                <w:lang w:val="zh-CN"/>
              </w:rPr>
            </w:pPr>
            <w:r>
              <w:rPr>
                <w:kern w:val="0"/>
                <w:highlight w:val="none"/>
                <w:lang w:val="zh-CN"/>
              </w:rPr>
              <w:t>发电机</w:t>
            </w:r>
            <w:r>
              <w:rPr>
                <w:rFonts w:hint="eastAsia"/>
                <w:kern w:val="0"/>
                <w:highlight w:val="none"/>
                <w:lang w:val="zh-CN"/>
              </w:rPr>
              <w:t>、水轮机、天车</w:t>
            </w:r>
          </w:p>
        </w:tc>
        <w:tc>
          <w:tcPr>
            <w:tcW w:w="2479" w:type="dxa"/>
            <w:gridSpan w:val="2"/>
            <w:vAlign w:val="center"/>
          </w:tcPr>
          <w:p>
            <w:pPr>
              <w:spacing w:line="240" w:lineRule="exact"/>
              <w:jc w:val="center"/>
              <w:rPr>
                <w:rFonts w:hint="eastAsia" w:eastAsia="宋体"/>
                <w:kern w:val="0"/>
                <w:highlight w:val="none"/>
                <w:lang w:val="zh-CN" w:eastAsia="zh-CN"/>
              </w:rPr>
            </w:pPr>
            <w:r>
              <w:rPr>
                <w:bCs/>
                <w:szCs w:val="21"/>
                <w:highlight w:val="none"/>
              </w:rPr>
              <w:t>废</w:t>
            </w:r>
            <w:r>
              <w:rPr>
                <w:rFonts w:hint="eastAsia"/>
                <w:bCs/>
                <w:szCs w:val="21"/>
                <w:highlight w:val="none"/>
                <w:lang w:eastAsia="zh-CN"/>
              </w:rPr>
              <w:t>润滑</w:t>
            </w:r>
            <w:r>
              <w:rPr>
                <w:bCs/>
                <w:szCs w:val="21"/>
                <w:highlight w:val="none"/>
              </w:rPr>
              <w:t>油</w:t>
            </w:r>
            <w:r>
              <w:rPr>
                <w:rFonts w:hint="eastAsia"/>
                <w:bCs/>
                <w:szCs w:val="21"/>
                <w:highlight w:val="none"/>
              </w:rPr>
              <w:t>、废油桶</w:t>
            </w:r>
            <w:r>
              <w:rPr>
                <w:rFonts w:hint="eastAsia"/>
                <w:bCs/>
                <w:szCs w:val="21"/>
                <w:highlight w:val="none"/>
                <w:lang w:eastAsia="zh-CN"/>
              </w:rPr>
              <w:t>、含油废棉丝、废变压器油</w:t>
            </w:r>
          </w:p>
        </w:tc>
        <w:tc>
          <w:tcPr>
            <w:tcW w:w="2253" w:type="dxa"/>
            <w:gridSpan w:val="4"/>
            <w:vAlign w:val="center"/>
          </w:tcPr>
          <w:p>
            <w:pPr>
              <w:spacing w:line="240" w:lineRule="exact"/>
              <w:jc w:val="center"/>
              <w:rPr>
                <w:rFonts w:hint="eastAsia" w:eastAsia="宋体"/>
                <w:kern w:val="0"/>
                <w:highlight w:val="none"/>
                <w:lang w:eastAsia="zh-CN"/>
              </w:rPr>
            </w:pPr>
            <w:r>
              <w:rPr>
                <w:kern w:val="0"/>
                <w:highlight w:val="none"/>
              </w:rPr>
              <w:t>暂存危废间</w:t>
            </w:r>
            <w:r>
              <w:rPr>
                <w:rFonts w:hint="eastAsia"/>
                <w:kern w:val="0"/>
                <w:highlight w:val="none"/>
                <w:lang w:eastAsia="zh-CN"/>
              </w:rPr>
              <w:t>（废变压器油由更换单位带走）</w:t>
            </w:r>
          </w:p>
        </w:tc>
        <w:tc>
          <w:tcPr>
            <w:tcW w:w="1610" w:type="dxa"/>
            <w:gridSpan w:val="3"/>
            <w:vAlign w:val="center"/>
          </w:tcPr>
          <w:p>
            <w:pPr>
              <w:spacing w:line="240" w:lineRule="exact"/>
              <w:jc w:val="center"/>
              <w:rPr>
                <w:kern w:val="0"/>
                <w:highlight w:val="none"/>
                <w:lang w:val="zh-CN"/>
              </w:rPr>
            </w:pPr>
            <w:r>
              <w:rPr>
                <w:bCs/>
                <w:szCs w:val="21"/>
                <w:highlight w:val="none"/>
              </w:rPr>
              <w:t>委托有资质单位处置</w:t>
            </w:r>
          </w:p>
        </w:tc>
        <w:tc>
          <w:tcPr>
            <w:tcW w:w="3489" w:type="dxa"/>
            <w:vAlign w:val="center"/>
          </w:tcPr>
          <w:p>
            <w:pPr>
              <w:spacing w:line="240" w:lineRule="exact"/>
              <w:jc w:val="center"/>
              <w:rPr>
                <w:kern w:val="0"/>
                <w:highlight w:val="none"/>
              </w:rPr>
            </w:pPr>
            <w:r>
              <w:rPr>
                <w:szCs w:val="21"/>
                <w:highlight w:val="none"/>
              </w:rPr>
              <w:t>《危险废物贮存污染控制标准》（GB18597-20</w:t>
            </w:r>
            <w:r>
              <w:rPr>
                <w:rFonts w:hint="eastAsia"/>
                <w:szCs w:val="21"/>
                <w:highlight w:val="none"/>
                <w:lang w:val="en-US" w:eastAsia="zh-CN"/>
              </w:rPr>
              <w:t>23</w:t>
            </w:r>
            <w:r>
              <w:rPr>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02" w:type="dxa"/>
            <w:vMerge w:val="continue"/>
            <w:vAlign w:val="center"/>
          </w:tcPr>
          <w:p>
            <w:pPr>
              <w:autoSpaceDE w:val="0"/>
              <w:autoSpaceDN w:val="0"/>
              <w:spacing w:line="240" w:lineRule="exact"/>
              <w:jc w:val="center"/>
              <w:rPr>
                <w:kern w:val="0"/>
                <w:highlight w:val="none"/>
                <w:lang w:val="zh-CN"/>
              </w:rPr>
            </w:pPr>
          </w:p>
        </w:tc>
        <w:tc>
          <w:tcPr>
            <w:tcW w:w="1195" w:type="dxa"/>
            <w:gridSpan w:val="2"/>
            <w:vAlign w:val="center"/>
          </w:tcPr>
          <w:p>
            <w:pPr>
              <w:spacing w:line="240" w:lineRule="exact"/>
              <w:jc w:val="center"/>
              <w:rPr>
                <w:bCs/>
                <w:szCs w:val="21"/>
                <w:highlight w:val="none"/>
              </w:rPr>
            </w:pPr>
            <w:r>
              <w:rPr>
                <w:bCs/>
                <w:szCs w:val="21"/>
                <w:highlight w:val="none"/>
              </w:rPr>
              <w:t>职工生活</w:t>
            </w:r>
          </w:p>
        </w:tc>
        <w:tc>
          <w:tcPr>
            <w:tcW w:w="2067" w:type="dxa"/>
            <w:gridSpan w:val="3"/>
            <w:vAlign w:val="center"/>
          </w:tcPr>
          <w:p>
            <w:pPr>
              <w:spacing w:line="240" w:lineRule="exact"/>
              <w:jc w:val="center"/>
              <w:rPr>
                <w:bCs/>
                <w:szCs w:val="21"/>
                <w:highlight w:val="none"/>
              </w:rPr>
            </w:pPr>
            <w:r>
              <w:rPr>
                <w:bCs/>
                <w:szCs w:val="21"/>
                <w:highlight w:val="none"/>
              </w:rPr>
              <w:t>/</w:t>
            </w:r>
          </w:p>
        </w:tc>
        <w:tc>
          <w:tcPr>
            <w:tcW w:w="2479" w:type="dxa"/>
            <w:gridSpan w:val="2"/>
            <w:vAlign w:val="center"/>
          </w:tcPr>
          <w:p>
            <w:pPr>
              <w:spacing w:line="240" w:lineRule="exact"/>
              <w:jc w:val="center"/>
              <w:rPr>
                <w:szCs w:val="21"/>
                <w:highlight w:val="none"/>
              </w:rPr>
            </w:pPr>
            <w:r>
              <w:rPr>
                <w:bCs/>
                <w:szCs w:val="21"/>
                <w:highlight w:val="none"/>
              </w:rPr>
              <w:t>生活垃圾</w:t>
            </w:r>
          </w:p>
        </w:tc>
        <w:tc>
          <w:tcPr>
            <w:tcW w:w="2253" w:type="dxa"/>
            <w:gridSpan w:val="4"/>
            <w:vAlign w:val="center"/>
          </w:tcPr>
          <w:p>
            <w:pPr>
              <w:spacing w:line="240" w:lineRule="exact"/>
              <w:jc w:val="center"/>
              <w:rPr>
                <w:kern w:val="0"/>
                <w:highlight w:val="none"/>
              </w:rPr>
            </w:pPr>
            <w:r>
              <w:rPr>
                <w:kern w:val="0"/>
                <w:highlight w:val="none"/>
              </w:rPr>
              <w:t>袋装，日产日清</w:t>
            </w:r>
          </w:p>
        </w:tc>
        <w:tc>
          <w:tcPr>
            <w:tcW w:w="1610" w:type="dxa"/>
            <w:gridSpan w:val="3"/>
            <w:vAlign w:val="center"/>
          </w:tcPr>
          <w:p>
            <w:pPr>
              <w:spacing w:line="240" w:lineRule="exact"/>
              <w:jc w:val="center"/>
              <w:rPr>
                <w:bCs/>
                <w:szCs w:val="21"/>
                <w:highlight w:val="none"/>
              </w:rPr>
            </w:pPr>
            <w:r>
              <w:rPr>
                <w:bCs/>
                <w:szCs w:val="21"/>
                <w:highlight w:val="none"/>
              </w:rPr>
              <w:t>交由环卫部门处置</w:t>
            </w:r>
          </w:p>
        </w:tc>
        <w:tc>
          <w:tcPr>
            <w:tcW w:w="3489" w:type="dxa"/>
            <w:tcBorders>
              <w:top w:val="single" w:color="auto" w:sz="4" w:space="0"/>
              <w:bottom w:val="single" w:color="auto" w:sz="4" w:space="0"/>
            </w:tcBorders>
            <w:vAlign w:val="center"/>
          </w:tcPr>
          <w:p>
            <w:pPr>
              <w:spacing w:line="240" w:lineRule="exact"/>
              <w:jc w:val="center"/>
              <w:rPr>
                <w:kern w:val="0"/>
                <w:highlight w:val="none"/>
                <w:lang w:val="zh-CN"/>
              </w:rPr>
            </w:pPr>
            <w:r>
              <w:rPr>
                <w:highlight w:val="none"/>
              </w:rPr>
              <w:t>《</w:t>
            </w:r>
            <w:r>
              <w:rPr>
                <w:kern w:val="0"/>
                <w:highlight w:val="none"/>
                <w:lang w:val="zh-CN"/>
              </w:rPr>
              <w:t>一般工业固体废物贮存、处置场污染控制标准》(GB18599-20</w:t>
            </w:r>
            <w:r>
              <w:rPr>
                <w:rFonts w:hint="eastAsia"/>
                <w:kern w:val="0"/>
                <w:highlight w:val="none"/>
                <w:lang w:val="en-US" w:eastAsia="zh-CN"/>
              </w:rPr>
              <w:t>20</w:t>
            </w:r>
            <w:r>
              <w:rPr>
                <w:kern w:val="0"/>
                <w:highlight w:val="none"/>
                <w:lang w:val="zh-CN"/>
              </w:rPr>
              <w:t>)及修改单</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88" w:hRule="atLeast"/>
          <w:jc w:val="center"/>
        </w:trPr>
        <w:tc>
          <w:tcPr>
            <w:tcW w:w="1697" w:type="dxa"/>
            <w:gridSpan w:val="3"/>
            <w:vAlign w:val="center"/>
          </w:tcPr>
          <w:p>
            <w:pPr>
              <w:autoSpaceDE w:val="0"/>
              <w:autoSpaceDN w:val="0"/>
              <w:spacing w:line="240" w:lineRule="exact"/>
              <w:jc w:val="center"/>
              <w:rPr>
                <w:kern w:val="0"/>
                <w:highlight w:val="none"/>
                <w:lang w:val="zh-CN"/>
              </w:rPr>
            </w:pPr>
            <w:r>
              <w:rPr>
                <w:kern w:val="0"/>
                <w:highlight w:val="none"/>
                <w:lang w:val="zh-CN"/>
              </w:rPr>
              <w:t>总量控制指标</w:t>
            </w:r>
          </w:p>
        </w:tc>
        <w:tc>
          <w:tcPr>
            <w:tcW w:w="11898" w:type="dxa"/>
            <w:gridSpan w:val="13"/>
            <w:vAlign w:val="center"/>
          </w:tcPr>
          <w:p>
            <w:pPr>
              <w:spacing w:line="240" w:lineRule="exact"/>
              <w:rPr>
                <w:kern w:val="0"/>
                <w:highlight w:val="none"/>
                <w:lang w:val="zh-CN"/>
              </w:rPr>
            </w:pPr>
            <w:r>
              <w:rPr>
                <w:szCs w:val="21"/>
                <w:highlight w:val="none"/>
              </w:rPr>
              <w:t>SO</w:t>
            </w:r>
            <w:r>
              <w:rPr>
                <w:szCs w:val="21"/>
                <w:highlight w:val="none"/>
                <w:vertAlign w:val="subscript"/>
              </w:rPr>
              <w:t>2</w:t>
            </w:r>
            <w:r>
              <w:rPr>
                <w:szCs w:val="21"/>
                <w:highlight w:val="none"/>
              </w:rPr>
              <w:t>：0t/a；NO</w:t>
            </w:r>
            <w:r>
              <w:rPr>
                <w:szCs w:val="21"/>
                <w:highlight w:val="none"/>
                <w:vertAlign w:val="subscript"/>
              </w:rPr>
              <w:t>x</w:t>
            </w:r>
            <w:r>
              <w:rPr>
                <w:szCs w:val="21"/>
                <w:highlight w:val="none"/>
              </w:rPr>
              <w:t>：0t/a；COD：0t/a；氨氮：0t/a。</w:t>
            </w:r>
          </w:p>
        </w:tc>
      </w:tr>
    </w:tbl>
    <w:p>
      <w:pPr>
        <w:spacing w:line="480" w:lineRule="exact"/>
        <w:ind w:firstLine="480" w:firstLineChars="200"/>
        <w:rPr>
          <w:sz w:val="24"/>
          <w:highlight w:val="none"/>
        </w:rPr>
      </w:pPr>
    </w:p>
    <w:p>
      <w:pPr>
        <w:jc w:val="center"/>
        <w:rPr>
          <w:b/>
          <w:sz w:val="24"/>
          <w:highlight w:val="none"/>
        </w:rPr>
      </w:pPr>
      <w:r>
        <w:rPr>
          <w:b/>
          <w:sz w:val="24"/>
          <w:highlight w:val="none"/>
        </w:rPr>
        <w:t>表</w:t>
      </w:r>
      <w:r>
        <w:rPr>
          <w:rFonts w:hint="eastAsia"/>
          <w:b/>
          <w:sz w:val="24"/>
          <w:highlight w:val="none"/>
        </w:rPr>
        <w:t>9.6</w:t>
      </w:r>
      <w:r>
        <w:rPr>
          <w:b/>
          <w:sz w:val="24"/>
          <w:highlight w:val="none"/>
        </w:rPr>
        <w:t>-1 环境保护措施“三同时”验收一览表</w:t>
      </w:r>
    </w:p>
    <w:tbl>
      <w:tblPr>
        <w:tblStyle w:val="51"/>
        <w:tblW w:w="13780" w:type="dxa"/>
        <w:tblInd w:w="5"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0" w:type="dxa"/>
          <w:bottom w:w="0" w:type="dxa"/>
          <w:right w:w="0" w:type="dxa"/>
        </w:tblCellMar>
      </w:tblPr>
      <w:tblGrid>
        <w:gridCol w:w="637"/>
        <w:gridCol w:w="1698"/>
        <w:gridCol w:w="1572"/>
        <w:gridCol w:w="1079"/>
        <w:gridCol w:w="709"/>
        <w:gridCol w:w="954"/>
        <w:gridCol w:w="285"/>
        <w:gridCol w:w="765"/>
        <w:gridCol w:w="1814"/>
        <w:gridCol w:w="4267"/>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23" w:hRule="atLeast"/>
        </w:trPr>
        <w:tc>
          <w:tcPr>
            <w:tcW w:w="2335" w:type="dxa"/>
            <w:gridSpan w:val="2"/>
            <w:vAlign w:val="center"/>
          </w:tcPr>
          <w:p>
            <w:pPr>
              <w:autoSpaceDE w:val="0"/>
              <w:autoSpaceDN w:val="0"/>
              <w:adjustRightInd w:val="0"/>
              <w:snapToGrid w:val="0"/>
              <w:spacing w:line="0" w:lineRule="atLeast"/>
              <w:ind w:right="6"/>
              <w:jc w:val="center"/>
              <w:rPr>
                <w:kern w:val="0"/>
                <w:szCs w:val="21"/>
                <w:highlight w:val="none"/>
              </w:rPr>
            </w:pPr>
            <w:r>
              <w:rPr>
                <w:kern w:val="0"/>
                <w:szCs w:val="21"/>
                <w:highlight w:val="none"/>
              </w:rPr>
              <w:t>污染源</w:t>
            </w:r>
          </w:p>
        </w:tc>
        <w:tc>
          <w:tcPr>
            <w:tcW w:w="1572" w:type="dxa"/>
            <w:vAlign w:val="center"/>
          </w:tcPr>
          <w:p>
            <w:pPr>
              <w:autoSpaceDE w:val="0"/>
              <w:autoSpaceDN w:val="0"/>
              <w:adjustRightInd w:val="0"/>
              <w:snapToGrid w:val="0"/>
              <w:spacing w:line="0" w:lineRule="atLeast"/>
              <w:ind w:right="6"/>
              <w:jc w:val="center"/>
              <w:rPr>
                <w:kern w:val="0"/>
                <w:szCs w:val="21"/>
                <w:highlight w:val="none"/>
              </w:rPr>
            </w:pPr>
            <w:r>
              <w:rPr>
                <w:kern w:val="0"/>
                <w:szCs w:val="21"/>
                <w:highlight w:val="none"/>
              </w:rPr>
              <w:t>治理措施</w:t>
            </w:r>
          </w:p>
        </w:tc>
        <w:tc>
          <w:tcPr>
            <w:tcW w:w="1079" w:type="dxa"/>
            <w:vAlign w:val="center"/>
          </w:tcPr>
          <w:p>
            <w:pPr>
              <w:autoSpaceDE w:val="0"/>
              <w:autoSpaceDN w:val="0"/>
              <w:adjustRightInd w:val="0"/>
              <w:snapToGrid w:val="0"/>
              <w:spacing w:line="0" w:lineRule="atLeast"/>
              <w:ind w:right="6"/>
              <w:jc w:val="center"/>
              <w:rPr>
                <w:kern w:val="0"/>
                <w:szCs w:val="21"/>
                <w:highlight w:val="none"/>
              </w:rPr>
            </w:pPr>
            <w:r>
              <w:rPr>
                <w:kern w:val="0"/>
                <w:szCs w:val="21"/>
                <w:highlight w:val="none"/>
              </w:rPr>
              <w:t>治理对象</w:t>
            </w:r>
          </w:p>
        </w:tc>
        <w:tc>
          <w:tcPr>
            <w:tcW w:w="709" w:type="dxa"/>
            <w:vAlign w:val="center"/>
          </w:tcPr>
          <w:p>
            <w:pPr>
              <w:autoSpaceDE w:val="0"/>
              <w:autoSpaceDN w:val="0"/>
              <w:adjustRightInd w:val="0"/>
              <w:snapToGrid w:val="0"/>
              <w:spacing w:line="0" w:lineRule="atLeast"/>
              <w:ind w:right="6"/>
              <w:jc w:val="center"/>
              <w:rPr>
                <w:kern w:val="0"/>
                <w:szCs w:val="21"/>
                <w:highlight w:val="none"/>
              </w:rPr>
            </w:pPr>
            <w:r>
              <w:rPr>
                <w:kern w:val="0"/>
                <w:szCs w:val="21"/>
                <w:highlight w:val="none"/>
              </w:rPr>
              <w:t>数量</w:t>
            </w:r>
          </w:p>
        </w:tc>
        <w:tc>
          <w:tcPr>
            <w:tcW w:w="954" w:type="dxa"/>
            <w:vAlign w:val="center"/>
          </w:tcPr>
          <w:p>
            <w:pPr>
              <w:autoSpaceDE w:val="0"/>
              <w:autoSpaceDN w:val="0"/>
              <w:adjustRightInd w:val="0"/>
              <w:snapToGrid w:val="0"/>
              <w:spacing w:line="0" w:lineRule="atLeast"/>
              <w:ind w:right="6"/>
              <w:jc w:val="center"/>
              <w:rPr>
                <w:kern w:val="0"/>
                <w:szCs w:val="21"/>
                <w:highlight w:val="none"/>
              </w:rPr>
            </w:pPr>
            <w:r>
              <w:rPr>
                <w:kern w:val="0"/>
                <w:szCs w:val="21"/>
                <w:highlight w:val="none"/>
              </w:rPr>
              <w:t>处理能力</w:t>
            </w:r>
          </w:p>
        </w:tc>
        <w:tc>
          <w:tcPr>
            <w:tcW w:w="1050" w:type="dxa"/>
            <w:gridSpan w:val="2"/>
            <w:vAlign w:val="center"/>
          </w:tcPr>
          <w:p>
            <w:pPr>
              <w:autoSpaceDE w:val="0"/>
              <w:autoSpaceDN w:val="0"/>
              <w:adjustRightInd w:val="0"/>
              <w:snapToGrid w:val="0"/>
              <w:spacing w:line="0" w:lineRule="atLeast"/>
              <w:ind w:right="6"/>
              <w:jc w:val="center"/>
              <w:rPr>
                <w:kern w:val="0"/>
                <w:szCs w:val="21"/>
                <w:highlight w:val="none"/>
              </w:rPr>
            </w:pPr>
            <w:r>
              <w:rPr>
                <w:kern w:val="0"/>
                <w:szCs w:val="21"/>
                <w:highlight w:val="none"/>
              </w:rPr>
              <w:t>处理效率</w:t>
            </w:r>
          </w:p>
        </w:tc>
        <w:tc>
          <w:tcPr>
            <w:tcW w:w="1814" w:type="dxa"/>
            <w:tcBorders>
              <w:bottom w:val="single" w:color="auto" w:sz="4" w:space="0"/>
            </w:tcBorders>
            <w:vAlign w:val="center"/>
          </w:tcPr>
          <w:p>
            <w:pPr>
              <w:autoSpaceDE w:val="0"/>
              <w:autoSpaceDN w:val="0"/>
              <w:adjustRightInd w:val="0"/>
              <w:snapToGrid w:val="0"/>
              <w:spacing w:line="0" w:lineRule="atLeast"/>
              <w:ind w:right="6"/>
              <w:jc w:val="center"/>
              <w:rPr>
                <w:kern w:val="0"/>
                <w:szCs w:val="21"/>
                <w:highlight w:val="none"/>
              </w:rPr>
            </w:pPr>
            <w:r>
              <w:rPr>
                <w:kern w:val="0"/>
                <w:szCs w:val="21"/>
                <w:highlight w:val="none"/>
              </w:rPr>
              <w:t>处理效果</w:t>
            </w:r>
          </w:p>
        </w:tc>
        <w:tc>
          <w:tcPr>
            <w:tcW w:w="4267" w:type="dxa"/>
            <w:tcBorders>
              <w:bottom w:val="single" w:color="auto" w:sz="4" w:space="0"/>
            </w:tcBorders>
            <w:vAlign w:val="center"/>
          </w:tcPr>
          <w:p>
            <w:pPr>
              <w:autoSpaceDE w:val="0"/>
              <w:autoSpaceDN w:val="0"/>
              <w:adjustRightInd w:val="0"/>
              <w:snapToGrid w:val="0"/>
              <w:spacing w:line="0" w:lineRule="atLeast"/>
              <w:ind w:right="6"/>
              <w:jc w:val="center"/>
              <w:rPr>
                <w:kern w:val="0"/>
                <w:szCs w:val="21"/>
                <w:highlight w:val="none"/>
              </w:rPr>
            </w:pPr>
            <w:r>
              <w:rPr>
                <w:kern w:val="0"/>
                <w:szCs w:val="21"/>
                <w:highlight w:val="none"/>
              </w:rPr>
              <w:t>验收标准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23" w:hRule="atLeast"/>
        </w:trPr>
        <w:tc>
          <w:tcPr>
            <w:tcW w:w="637" w:type="dxa"/>
            <w:tcBorders>
              <w:top w:val="single" w:color="auto" w:sz="4" w:space="0"/>
            </w:tcBorders>
            <w:vAlign w:val="center"/>
          </w:tcPr>
          <w:p>
            <w:pPr>
              <w:autoSpaceDE w:val="0"/>
              <w:autoSpaceDN w:val="0"/>
              <w:adjustRightInd w:val="0"/>
              <w:snapToGrid w:val="0"/>
              <w:spacing w:line="0" w:lineRule="atLeast"/>
              <w:ind w:right="6"/>
              <w:jc w:val="center"/>
              <w:rPr>
                <w:kern w:val="0"/>
                <w:szCs w:val="21"/>
                <w:highlight w:val="none"/>
              </w:rPr>
            </w:pPr>
            <w:r>
              <w:rPr>
                <w:kern w:val="0"/>
                <w:szCs w:val="21"/>
                <w:highlight w:val="none"/>
              </w:rPr>
              <w:t>废水</w:t>
            </w:r>
          </w:p>
        </w:tc>
        <w:tc>
          <w:tcPr>
            <w:tcW w:w="1698" w:type="dxa"/>
            <w:tcBorders>
              <w:top w:val="single" w:color="auto" w:sz="4" w:space="0"/>
            </w:tcBorders>
            <w:vAlign w:val="center"/>
          </w:tcPr>
          <w:p>
            <w:pPr>
              <w:autoSpaceDE w:val="0"/>
              <w:autoSpaceDN w:val="0"/>
              <w:spacing w:line="300" w:lineRule="exact"/>
              <w:jc w:val="center"/>
              <w:rPr>
                <w:szCs w:val="21"/>
                <w:highlight w:val="none"/>
              </w:rPr>
            </w:pPr>
            <w:r>
              <w:rPr>
                <w:szCs w:val="21"/>
                <w:highlight w:val="none"/>
              </w:rPr>
              <w:t>生活废水</w:t>
            </w:r>
          </w:p>
        </w:tc>
        <w:tc>
          <w:tcPr>
            <w:tcW w:w="1572" w:type="dxa"/>
            <w:vAlign w:val="center"/>
          </w:tcPr>
          <w:p>
            <w:pPr>
              <w:autoSpaceDE w:val="0"/>
              <w:autoSpaceDN w:val="0"/>
              <w:adjustRightInd w:val="0"/>
              <w:snapToGrid w:val="0"/>
              <w:spacing w:line="0" w:lineRule="atLeast"/>
              <w:jc w:val="center"/>
              <w:rPr>
                <w:szCs w:val="21"/>
                <w:highlight w:val="none"/>
              </w:rPr>
            </w:pPr>
            <w:r>
              <w:rPr>
                <w:szCs w:val="21"/>
                <w:highlight w:val="none"/>
              </w:rPr>
              <w:t>化粪池</w:t>
            </w:r>
          </w:p>
        </w:tc>
        <w:tc>
          <w:tcPr>
            <w:tcW w:w="1079" w:type="dxa"/>
            <w:vAlign w:val="center"/>
          </w:tcPr>
          <w:p>
            <w:pPr>
              <w:autoSpaceDE w:val="0"/>
              <w:autoSpaceDN w:val="0"/>
              <w:spacing w:line="300" w:lineRule="exact"/>
              <w:jc w:val="center"/>
              <w:rPr>
                <w:szCs w:val="21"/>
                <w:highlight w:val="none"/>
              </w:rPr>
            </w:pPr>
            <w:r>
              <w:rPr>
                <w:szCs w:val="21"/>
                <w:highlight w:val="none"/>
              </w:rPr>
              <w:t>/</w:t>
            </w:r>
          </w:p>
        </w:tc>
        <w:tc>
          <w:tcPr>
            <w:tcW w:w="1663" w:type="dxa"/>
            <w:gridSpan w:val="2"/>
            <w:vAlign w:val="center"/>
          </w:tcPr>
          <w:p>
            <w:pPr>
              <w:autoSpaceDE w:val="0"/>
              <w:autoSpaceDN w:val="0"/>
              <w:adjustRightInd w:val="0"/>
              <w:snapToGrid w:val="0"/>
              <w:spacing w:line="0" w:lineRule="atLeast"/>
              <w:ind w:right="6"/>
              <w:jc w:val="center"/>
              <w:rPr>
                <w:kern w:val="0"/>
                <w:szCs w:val="21"/>
                <w:highlight w:val="none"/>
              </w:rPr>
            </w:pPr>
            <w:r>
              <w:rPr>
                <w:kern w:val="0"/>
                <w:szCs w:val="21"/>
                <w:highlight w:val="none"/>
              </w:rPr>
              <w:t>/</w:t>
            </w:r>
          </w:p>
        </w:tc>
        <w:tc>
          <w:tcPr>
            <w:tcW w:w="1050" w:type="dxa"/>
            <w:gridSpan w:val="2"/>
            <w:vAlign w:val="center"/>
          </w:tcPr>
          <w:p>
            <w:pPr>
              <w:autoSpaceDE w:val="0"/>
              <w:autoSpaceDN w:val="0"/>
              <w:adjustRightInd w:val="0"/>
              <w:snapToGrid w:val="0"/>
              <w:spacing w:line="0" w:lineRule="atLeast"/>
              <w:ind w:right="6"/>
              <w:jc w:val="center"/>
              <w:rPr>
                <w:kern w:val="0"/>
                <w:szCs w:val="21"/>
                <w:highlight w:val="none"/>
              </w:rPr>
            </w:pPr>
            <w:r>
              <w:rPr>
                <w:kern w:val="0"/>
                <w:szCs w:val="21"/>
                <w:highlight w:val="none"/>
              </w:rPr>
              <w:t>/</w:t>
            </w:r>
          </w:p>
        </w:tc>
        <w:tc>
          <w:tcPr>
            <w:tcW w:w="1814" w:type="dxa"/>
            <w:tcBorders>
              <w:right w:val="single" w:color="auto" w:sz="4" w:space="0"/>
            </w:tcBorders>
            <w:vAlign w:val="center"/>
          </w:tcPr>
          <w:p>
            <w:pPr>
              <w:autoSpaceDE w:val="0"/>
              <w:autoSpaceDN w:val="0"/>
              <w:adjustRightInd w:val="0"/>
              <w:snapToGrid w:val="0"/>
              <w:spacing w:line="0" w:lineRule="atLeast"/>
              <w:jc w:val="center"/>
              <w:rPr>
                <w:bCs/>
                <w:szCs w:val="21"/>
                <w:highlight w:val="none"/>
              </w:rPr>
            </w:pPr>
            <w:r>
              <w:rPr>
                <w:bCs/>
                <w:szCs w:val="21"/>
                <w:highlight w:val="none"/>
              </w:rPr>
              <w:t>不外排</w:t>
            </w:r>
          </w:p>
        </w:tc>
        <w:tc>
          <w:tcPr>
            <w:tcW w:w="4267" w:type="dxa"/>
            <w:tcBorders>
              <w:left w:val="single" w:color="auto" w:sz="4" w:space="0"/>
            </w:tcBorders>
            <w:vAlign w:val="center"/>
          </w:tcPr>
          <w:p>
            <w:pPr>
              <w:autoSpaceDE w:val="0"/>
              <w:autoSpaceDN w:val="0"/>
              <w:adjustRightInd w:val="0"/>
              <w:snapToGrid w:val="0"/>
              <w:spacing w:line="0" w:lineRule="atLeast"/>
              <w:jc w:val="center"/>
              <w:rPr>
                <w:szCs w:val="21"/>
                <w:highlight w:val="none"/>
              </w:rPr>
            </w:pPr>
            <w:r>
              <w:rPr>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23" w:hRule="atLeast"/>
        </w:trPr>
        <w:tc>
          <w:tcPr>
            <w:tcW w:w="637" w:type="dxa"/>
            <w:vAlign w:val="center"/>
          </w:tcPr>
          <w:p>
            <w:pPr>
              <w:autoSpaceDE w:val="0"/>
              <w:autoSpaceDN w:val="0"/>
              <w:adjustRightInd w:val="0"/>
              <w:snapToGrid w:val="0"/>
              <w:spacing w:line="0" w:lineRule="atLeast"/>
              <w:ind w:right="6"/>
              <w:jc w:val="center"/>
              <w:rPr>
                <w:kern w:val="0"/>
                <w:szCs w:val="21"/>
                <w:highlight w:val="none"/>
              </w:rPr>
            </w:pPr>
            <w:r>
              <w:rPr>
                <w:kern w:val="0"/>
                <w:szCs w:val="21"/>
                <w:highlight w:val="none"/>
              </w:rPr>
              <w:t>噪声</w:t>
            </w:r>
          </w:p>
        </w:tc>
        <w:tc>
          <w:tcPr>
            <w:tcW w:w="1698" w:type="dxa"/>
            <w:vAlign w:val="center"/>
          </w:tcPr>
          <w:p>
            <w:pPr>
              <w:autoSpaceDE w:val="0"/>
              <w:autoSpaceDN w:val="0"/>
              <w:adjustRightInd w:val="0"/>
              <w:snapToGrid w:val="0"/>
              <w:spacing w:line="0" w:lineRule="atLeast"/>
              <w:ind w:right="6"/>
              <w:jc w:val="center"/>
              <w:rPr>
                <w:szCs w:val="21"/>
                <w:highlight w:val="none"/>
              </w:rPr>
            </w:pPr>
            <w:r>
              <w:rPr>
                <w:szCs w:val="21"/>
                <w:highlight w:val="none"/>
              </w:rPr>
              <w:t>发电机组</w:t>
            </w:r>
            <w:r>
              <w:rPr>
                <w:rFonts w:hint="eastAsia"/>
                <w:szCs w:val="21"/>
                <w:highlight w:val="none"/>
              </w:rPr>
              <w:t>、发电机、天车</w:t>
            </w:r>
          </w:p>
        </w:tc>
        <w:tc>
          <w:tcPr>
            <w:tcW w:w="1572" w:type="dxa"/>
            <w:vAlign w:val="center"/>
          </w:tcPr>
          <w:p>
            <w:pPr>
              <w:autoSpaceDE w:val="0"/>
              <w:autoSpaceDN w:val="0"/>
              <w:adjustRightInd w:val="0"/>
              <w:snapToGrid w:val="0"/>
              <w:spacing w:line="0" w:lineRule="atLeast"/>
              <w:ind w:right="6"/>
              <w:jc w:val="center"/>
              <w:rPr>
                <w:szCs w:val="21"/>
                <w:highlight w:val="none"/>
              </w:rPr>
            </w:pPr>
            <w:r>
              <w:rPr>
                <w:szCs w:val="21"/>
                <w:highlight w:val="none"/>
              </w:rPr>
              <w:t>发电机组设备置于封闭车间内</w:t>
            </w:r>
          </w:p>
        </w:tc>
        <w:tc>
          <w:tcPr>
            <w:tcW w:w="1079" w:type="dxa"/>
            <w:tcBorders>
              <w:top w:val="single" w:color="auto" w:sz="6" w:space="0"/>
              <w:bottom w:val="single" w:color="auto" w:sz="6" w:space="0"/>
            </w:tcBorders>
            <w:vAlign w:val="center"/>
          </w:tcPr>
          <w:p>
            <w:pPr>
              <w:autoSpaceDE w:val="0"/>
              <w:autoSpaceDN w:val="0"/>
              <w:adjustRightInd w:val="0"/>
              <w:snapToGrid w:val="0"/>
              <w:spacing w:line="0" w:lineRule="atLeast"/>
              <w:ind w:right="6"/>
              <w:jc w:val="center"/>
              <w:rPr>
                <w:kern w:val="0"/>
                <w:szCs w:val="21"/>
                <w:highlight w:val="none"/>
              </w:rPr>
            </w:pPr>
            <w:r>
              <w:rPr>
                <w:kern w:val="0"/>
                <w:szCs w:val="21"/>
                <w:highlight w:val="none"/>
              </w:rPr>
              <w:t>噪声</w:t>
            </w:r>
          </w:p>
        </w:tc>
        <w:tc>
          <w:tcPr>
            <w:tcW w:w="1663" w:type="dxa"/>
            <w:gridSpan w:val="2"/>
            <w:tcBorders>
              <w:top w:val="single" w:color="auto" w:sz="6" w:space="0"/>
              <w:bottom w:val="single" w:color="auto" w:sz="6" w:space="0"/>
            </w:tcBorders>
            <w:vAlign w:val="center"/>
          </w:tcPr>
          <w:p>
            <w:pPr>
              <w:autoSpaceDE w:val="0"/>
              <w:autoSpaceDN w:val="0"/>
              <w:adjustRightInd w:val="0"/>
              <w:snapToGrid w:val="0"/>
              <w:spacing w:line="0" w:lineRule="atLeast"/>
              <w:ind w:right="6"/>
              <w:jc w:val="center"/>
              <w:rPr>
                <w:kern w:val="0"/>
                <w:szCs w:val="21"/>
                <w:highlight w:val="none"/>
              </w:rPr>
            </w:pPr>
            <w:r>
              <w:rPr>
                <w:kern w:val="0"/>
                <w:szCs w:val="21"/>
                <w:highlight w:val="none"/>
              </w:rPr>
              <w:t>/</w:t>
            </w:r>
          </w:p>
        </w:tc>
        <w:tc>
          <w:tcPr>
            <w:tcW w:w="1050" w:type="dxa"/>
            <w:gridSpan w:val="2"/>
            <w:vAlign w:val="center"/>
          </w:tcPr>
          <w:p>
            <w:pPr>
              <w:autoSpaceDE w:val="0"/>
              <w:autoSpaceDN w:val="0"/>
              <w:adjustRightInd w:val="0"/>
              <w:snapToGrid w:val="0"/>
              <w:spacing w:line="0" w:lineRule="atLeast"/>
              <w:ind w:right="6"/>
              <w:jc w:val="center"/>
              <w:rPr>
                <w:kern w:val="0"/>
                <w:szCs w:val="21"/>
                <w:highlight w:val="none"/>
              </w:rPr>
            </w:pPr>
            <w:r>
              <w:rPr>
                <w:kern w:val="0"/>
                <w:szCs w:val="21"/>
                <w:highlight w:val="none"/>
              </w:rPr>
              <w:t>/</w:t>
            </w:r>
          </w:p>
        </w:tc>
        <w:tc>
          <w:tcPr>
            <w:tcW w:w="1814" w:type="dxa"/>
            <w:vAlign w:val="center"/>
          </w:tcPr>
          <w:p>
            <w:pPr>
              <w:autoSpaceDE w:val="0"/>
              <w:autoSpaceDN w:val="0"/>
              <w:adjustRightInd w:val="0"/>
              <w:snapToGrid w:val="0"/>
              <w:spacing w:line="0" w:lineRule="atLeast"/>
              <w:ind w:right="6"/>
              <w:jc w:val="center"/>
              <w:rPr>
                <w:kern w:val="0"/>
                <w:szCs w:val="21"/>
                <w:highlight w:val="none"/>
              </w:rPr>
            </w:pPr>
            <w:r>
              <w:rPr>
                <w:kern w:val="0"/>
                <w:szCs w:val="21"/>
                <w:highlight w:val="none"/>
              </w:rPr>
              <w:t>综合降噪25dB(A)</w:t>
            </w:r>
          </w:p>
        </w:tc>
        <w:tc>
          <w:tcPr>
            <w:tcW w:w="4267" w:type="dxa"/>
            <w:vAlign w:val="center"/>
          </w:tcPr>
          <w:p>
            <w:pPr>
              <w:autoSpaceDE w:val="0"/>
              <w:autoSpaceDN w:val="0"/>
              <w:adjustRightInd w:val="0"/>
              <w:snapToGrid w:val="0"/>
              <w:spacing w:line="0" w:lineRule="atLeast"/>
              <w:ind w:right="6"/>
              <w:jc w:val="center"/>
              <w:rPr>
                <w:kern w:val="24"/>
                <w:szCs w:val="21"/>
                <w:highlight w:val="none"/>
              </w:rPr>
            </w:pPr>
            <w:r>
              <w:rPr>
                <w:kern w:val="24"/>
                <w:szCs w:val="21"/>
                <w:highlight w:val="none"/>
              </w:rPr>
              <w:t>《</w:t>
            </w:r>
            <w:r>
              <w:rPr>
                <w:szCs w:val="21"/>
                <w:highlight w:val="none"/>
              </w:rPr>
              <w:t>工业企业厂界环境噪声排放标准</w:t>
            </w:r>
            <w:r>
              <w:rPr>
                <w:kern w:val="24"/>
                <w:szCs w:val="21"/>
                <w:highlight w:val="none"/>
              </w:rPr>
              <w:t>》(GB12348-2008)2类标准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23" w:hRule="atLeast"/>
        </w:trPr>
        <w:tc>
          <w:tcPr>
            <w:tcW w:w="637" w:type="dxa"/>
            <w:vMerge w:val="restart"/>
            <w:tcBorders>
              <w:top w:val="single" w:color="auto" w:sz="4" w:space="0"/>
            </w:tcBorders>
            <w:vAlign w:val="center"/>
          </w:tcPr>
          <w:p>
            <w:pPr>
              <w:autoSpaceDE w:val="0"/>
              <w:autoSpaceDN w:val="0"/>
              <w:adjustRightInd w:val="0"/>
              <w:snapToGrid w:val="0"/>
              <w:spacing w:line="0" w:lineRule="atLeast"/>
              <w:ind w:right="6"/>
              <w:jc w:val="center"/>
              <w:rPr>
                <w:kern w:val="0"/>
                <w:szCs w:val="21"/>
                <w:highlight w:val="none"/>
              </w:rPr>
            </w:pPr>
            <w:r>
              <w:rPr>
                <w:kern w:val="0"/>
                <w:szCs w:val="21"/>
                <w:highlight w:val="none"/>
              </w:rPr>
              <w:t>固废</w:t>
            </w:r>
          </w:p>
        </w:tc>
        <w:tc>
          <w:tcPr>
            <w:tcW w:w="1698" w:type="dxa"/>
            <w:tcBorders>
              <w:top w:val="single" w:color="auto" w:sz="4" w:space="0"/>
              <w:bottom w:val="single" w:color="auto" w:sz="4" w:space="0"/>
            </w:tcBorders>
            <w:vAlign w:val="center"/>
          </w:tcPr>
          <w:p>
            <w:pPr>
              <w:jc w:val="center"/>
              <w:rPr>
                <w:rFonts w:hint="eastAsia" w:eastAsia="宋体"/>
                <w:bCs/>
                <w:szCs w:val="21"/>
                <w:highlight w:val="none"/>
                <w:lang w:eastAsia="zh-CN"/>
              </w:rPr>
            </w:pPr>
            <w:r>
              <w:rPr>
                <w:bCs/>
                <w:szCs w:val="21"/>
                <w:highlight w:val="none"/>
              </w:rPr>
              <w:t>检修废油</w:t>
            </w:r>
            <w:r>
              <w:rPr>
                <w:rFonts w:hint="eastAsia"/>
                <w:bCs/>
                <w:szCs w:val="21"/>
                <w:highlight w:val="none"/>
                <w:lang w:eastAsia="zh-CN"/>
              </w:rPr>
              <w:t>、含油废棉丝、废变压器油</w:t>
            </w:r>
          </w:p>
        </w:tc>
        <w:tc>
          <w:tcPr>
            <w:tcW w:w="1572" w:type="dxa"/>
            <w:tcBorders>
              <w:top w:val="single" w:color="auto" w:sz="4" w:space="0"/>
              <w:bottom w:val="single" w:color="auto" w:sz="4" w:space="0"/>
            </w:tcBorders>
            <w:vAlign w:val="center"/>
          </w:tcPr>
          <w:p>
            <w:pPr>
              <w:spacing w:line="240" w:lineRule="atLeast"/>
              <w:jc w:val="center"/>
              <w:rPr>
                <w:rFonts w:hint="eastAsia" w:eastAsia="宋体"/>
                <w:bCs/>
                <w:szCs w:val="21"/>
                <w:highlight w:val="none"/>
                <w:lang w:eastAsia="zh-CN"/>
              </w:rPr>
            </w:pPr>
            <w:r>
              <w:rPr>
                <w:kern w:val="0"/>
                <w:highlight w:val="none"/>
              </w:rPr>
              <w:t>暂存危废间</w:t>
            </w:r>
            <w:r>
              <w:rPr>
                <w:rFonts w:hint="eastAsia"/>
                <w:kern w:val="0"/>
                <w:highlight w:val="none"/>
                <w:lang w:eastAsia="zh-CN"/>
              </w:rPr>
              <w:t>（废变压器油由更换单位带走）</w:t>
            </w:r>
          </w:p>
        </w:tc>
        <w:tc>
          <w:tcPr>
            <w:tcW w:w="2742" w:type="dxa"/>
            <w:gridSpan w:val="3"/>
            <w:tcBorders>
              <w:top w:val="single" w:color="auto" w:sz="4" w:space="0"/>
              <w:bottom w:val="single" w:color="auto" w:sz="4" w:space="0"/>
            </w:tcBorders>
            <w:vAlign w:val="center"/>
          </w:tcPr>
          <w:p>
            <w:pPr>
              <w:spacing w:line="240" w:lineRule="atLeast"/>
              <w:jc w:val="center"/>
              <w:rPr>
                <w:rFonts w:hint="eastAsia" w:eastAsia="宋体"/>
                <w:szCs w:val="21"/>
                <w:highlight w:val="none"/>
                <w:lang w:eastAsia="zh-CN"/>
              </w:rPr>
            </w:pPr>
            <w:r>
              <w:rPr>
                <w:bCs/>
                <w:szCs w:val="21"/>
                <w:highlight w:val="none"/>
              </w:rPr>
              <w:t>废</w:t>
            </w:r>
            <w:r>
              <w:rPr>
                <w:rFonts w:hint="eastAsia"/>
                <w:bCs/>
                <w:szCs w:val="21"/>
                <w:highlight w:val="none"/>
                <w:lang w:eastAsia="zh-CN"/>
              </w:rPr>
              <w:t>润滑</w:t>
            </w:r>
            <w:r>
              <w:rPr>
                <w:bCs/>
                <w:szCs w:val="21"/>
                <w:highlight w:val="none"/>
              </w:rPr>
              <w:t>油</w:t>
            </w:r>
            <w:r>
              <w:rPr>
                <w:rFonts w:hint="eastAsia"/>
                <w:bCs/>
                <w:szCs w:val="21"/>
                <w:highlight w:val="none"/>
              </w:rPr>
              <w:t>、废油桶</w:t>
            </w:r>
            <w:r>
              <w:rPr>
                <w:rFonts w:hint="eastAsia"/>
                <w:bCs/>
                <w:szCs w:val="21"/>
                <w:highlight w:val="none"/>
                <w:lang w:eastAsia="zh-CN"/>
              </w:rPr>
              <w:t>、含油废棉丝、废变压器油</w:t>
            </w:r>
          </w:p>
        </w:tc>
        <w:tc>
          <w:tcPr>
            <w:tcW w:w="1050" w:type="dxa"/>
            <w:gridSpan w:val="2"/>
            <w:tcBorders>
              <w:top w:val="single" w:color="auto" w:sz="4" w:space="0"/>
            </w:tcBorders>
            <w:vAlign w:val="center"/>
          </w:tcPr>
          <w:p>
            <w:pPr>
              <w:autoSpaceDE w:val="0"/>
              <w:autoSpaceDN w:val="0"/>
              <w:adjustRightInd w:val="0"/>
              <w:snapToGrid w:val="0"/>
              <w:spacing w:line="0" w:lineRule="atLeast"/>
              <w:ind w:right="6"/>
              <w:jc w:val="center"/>
              <w:rPr>
                <w:kern w:val="0"/>
                <w:szCs w:val="21"/>
                <w:highlight w:val="none"/>
              </w:rPr>
            </w:pPr>
          </w:p>
        </w:tc>
        <w:tc>
          <w:tcPr>
            <w:tcW w:w="1814" w:type="dxa"/>
            <w:tcBorders>
              <w:top w:val="single" w:color="auto" w:sz="4" w:space="0"/>
              <w:bottom w:val="single" w:color="auto" w:sz="4" w:space="0"/>
            </w:tcBorders>
            <w:vAlign w:val="center"/>
          </w:tcPr>
          <w:p>
            <w:pPr>
              <w:autoSpaceDE w:val="0"/>
              <w:autoSpaceDN w:val="0"/>
              <w:adjustRightInd w:val="0"/>
              <w:snapToGrid w:val="0"/>
              <w:spacing w:line="0" w:lineRule="atLeast"/>
              <w:ind w:right="6"/>
              <w:jc w:val="center"/>
              <w:rPr>
                <w:kern w:val="0"/>
                <w:szCs w:val="21"/>
                <w:highlight w:val="none"/>
              </w:rPr>
            </w:pPr>
            <w:r>
              <w:rPr>
                <w:kern w:val="0"/>
                <w:szCs w:val="21"/>
                <w:highlight w:val="none"/>
              </w:rPr>
              <w:t>委托有资质单位处置</w:t>
            </w:r>
          </w:p>
        </w:tc>
        <w:tc>
          <w:tcPr>
            <w:tcW w:w="4267" w:type="dxa"/>
            <w:tcBorders>
              <w:top w:val="single" w:color="auto" w:sz="4" w:space="0"/>
              <w:bottom w:val="single" w:color="auto" w:sz="4" w:space="0"/>
            </w:tcBorders>
            <w:vAlign w:val="center"/>
          </w:tcPr>
          <w:p>
            <w:pPr>
              <w:autoSpaceDE w:val="0"/>
              <w:autoSpaceDN w:val="0"/>
              <w:adjustRightInd w:val="0"/>
              <w:snapToGrid w:val="0"/>
              <w:spacing w:line="0" w:lineRule="atLeast"/>
              <w:jc w:val="center"/>
              <w:rPr>
                <w:kern w:val="0"/>
                <w:szCs w:val="21"/>
                <w:highlight w:val="none"/>
              </w:rPr>
            </w:pPr>
            <w:r>
              <w:rPr>
                <w:szCs w:val="21"/>
                <w:highlight w:val="none"/>
                <w:lang w:val="zh-CN"/>
              </w:rPr>
              <w:t>《危险废物贮存污染控制标准》</w:t>
            </w:r>
            <w:r>
              <w:rPr>
                <w:szCs w:val="21"/>
                <w:highlight w:val="none"/>
              </w:rPr>
              <w:t>（GB18597-20</w:t>
            </w:r>
            <w:r>
              <w:rPr>
                <w:rFonts w:hint="eastAsia"/>
                <w:szCs w:val="21"/>
                <w:highlight w:val="none"/>
                <w:lang w:val="en-US" w:eastAsia="zh-CN"/>
              </w:rPr>
              <w:t>23</w:t>
            </w:r>
            <w:r>
              <w:rPr>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23" w:hRule="atLeast"/>
        </w:trPr>
        <w:tc>
          <w:tcPr>
            <w:tcW w:w="637" w:type="dxa"/>
            <w:vMerge w:val="continue"/>
            <w:vAlign w:val="center"/>
          </w:tcPr>
          <w:p>
            <w:pPr>
              <w:autoSpaceDE w:val="0"/>
              <w:autoSpaceDN w:val="0"/>
              <w:adjustRightInd w:val="0"/>
              <w:snapToGrid w:val="0"/>
              <w:spacing w:line="0" w:lineRule="atLeast"/>
              <w:ind w:right="6"/>
              <w:jc w:val="center"/>
              <w:rPr>
                <w:kern w:val="0"/>
                <w:szCs w:val="21"/>
                <w:highlight w:val="none"/>
              </w:rPr>
            </w:pPr>
          </w:p>
        </w:tc>
        <w:tc>
          <w:tcPr>
            <w:tcW w:w="1698" w:type="dxa"/>
            <w:tcBorders>
              <w:top w:val="single" w:color="auto" w:sz="4" w:space="0"/>
            </w:tcBorders>
            <w:vAlign w:val="center"/>
          </w:tcPr>
          <w:p>
            <w:pPr>
              <w:jc w:val="center"/>
              <w:rPr>
                <w:bCs/>
                <w:szCs w:val="21"/>
                <w:highlight w:val="none"/>
              </w:rPr>
            </w:pPr>
            <w:r>
              <w:rPr>
                <w:bCs/>
                <w:szCs w:val="21"/>
                <w:highlight w:val="none"/>
              </w:rPr>
              <w:t>生活垃圾</w:t>
            </w:r>
          </w:p>
        </w:tc>
        <w:tc>
          <w:tcPr>
            <w:tcW w:w="1572" w:type="dxa"/>
            <w:tcBorders>
              <w:top w:val="single" w:color="auto" w:sz="4" w:space="0"/>
              <w:bottom w:val="single" w:color="auto" w:sz="4" w:space="0"/>
            </w:tcBorders>
            <w:vAlign w:val="center"/>
          </w:tcPr>
          <w:p>
            <w:pPr>
              <w:spacing w:line="240" w:lineRule="atLeast"/>
              <w:jc w:val="center"/>
              <w:rPr>
                <w:szCs w:val="21"/>
                <w:highlight w:val="none"/>
              </w:rPr>
            </w:pPr>
            <w:r>
              <w:rPr>
                <w:szCs w:val="21"/>
                <w:highlight w:val="none"/>
              </w:rPr>
              <w:t>集中收集</w:t>
            </w:r>
          </w:p>
        </w:tc>
        <w:tc>
          <w:tcPr>
            <w:tcW w:w="2742" w:type="dxa"/>
            <w:gridSpan w:val="3"/>
            <w:tcBorders>
              <w:top w:val="single" w:color="auto" w:sz="4" w:space="0"/>
              <w:bottom w:val="single" w:color="auto" w:sz="4" w:space="0"/>
            </w:tcBorders>
            <w:vAlign w:val="center"/>
          </w:tcPr>
          <w:p>
            <w:pPr>
              <w:spacing w:line="240" w:lineRule="atLeast"/>
              <w:jc w:val="center"/>
              <w:rPr>
                <w:szCs w:val="21"/>
                <w:highlight w:val="none"/>
              </w:rPr>
            </w:pPr>
            <w:r>
              <w:rPr>
                <w:bCs/>
                <w:szCs w:val="21"/>
                <w:highlight w:val="none"/>
              </w:rPr>
              <w:t>生活垃圾</w:t>
            </w:r>
          </w:p>
        </w:tc>
        <w:tc>
          <w:tcPr>
            <w:tcW w:w="1050" w:type="dxa"/>
            <w:gridSpan w:val="2"/>
            <w:vAlign w:val="center"/>
          </w:tcPr>
          <w:p>
            <w:pPr>
              <w:autoSpaceDE w:val="0"/>
              <w:autoSpaceDN w:val="0"/>
              <w:adjustRightInd w:val="0"/>
              <w:snapToGrid w:val="0"/>
              <w:spacing w:line="0" w:lineRule="atLeast"/>
              <w:ind w:right="6"/>
              <w:jc w:val="center"/>
              <w:rPr>
                <w:kern w:val="0"/>
                <w:szCs w:val="21"/>
                <w:highlight w:val="none"/>
              </w:rPr>
            </w:pPr>
            <w:r>
              <w:rPr>
                <w:kern w:val="0"/>
                <w:szCs w:val="21"/>
                <w:highlight w:val="none"/>
              </w:rPr>
              <w:t>/</w:t>
            </w:r>
          </w:p>
        </w:tc>
        <w:tc>
          <w:tcPr>
            <w:tcW w:w="1814" w:type="dxa"/>
            <w:tcBorders>
              <w:top w:val="single" w:color="auto" w:sz="4" w:space="0"/>
            </w:tcBorders>
            <w:vAlign w:val="center"/>
          </w:tcPr>
          <w:p>
            <w:pPr>
              <w:autoSpaceDE w:val="0"/>
              <w:autoSpaceDN w:val="0"/>
              <w:adjustRightInd w:val="0"/>
              <w:snapToGrid w:val="0"/>
              <w:spacing w:line="0" w:lineRule="atLeast"/>
              <w:ind w:right="6"/>
              <w:jc w:val="center"/>
              <w:rPr>
                <w:kern w:val="0"/>
                <w:szCs w:val="21"/>
                <w:highlight w:val="none"/>
              </w:rPr>
            </w:pPr>
            <w:r>
              <w:rPr>
                <w:kern w:val="0"/>
                <w:szCs w:val="21"/>
                <w:highlight w:val="none"/>
              </w:rPr>
              <w:t>交由环卫部门处置</w:t>
            </w:r>
          </w:p>
        </w:tc>
        <w:tc>
          <w:tcPr>
            <w:tcW w:w="4267" w:type="dxa"/>
            <w:tcBorders>
              <w:top w:val="single" w:color="auto" w:sz="4" w:space="0"/>
              <w:bottom w:val="single" w:color="auto" w:sz="4" w:space="0"/>
            </w:tcBorders>
            <w:vAlign w:val="center"/>
          </w:tcPr>
          <w:p>
            <w:pPr>
              <w:autoSpaceDE w:val="0"/>
              <w:autoSpaceDN w:val="0"/>
              <w:adjustRightInd w:val="0"/>
              <w:snapToGrid w:val="0"/>
              <w:spacing w:line="0" w:lineRule="atLeast"/>
              <w:jc w:val="center"/>
              <w:rPr>
                <w:kern w:val="0"/>
                <w:szCs w:val="21"/>
                <w:highlight w:val="none"/>
              </w:rPr>
            </w:pPr>
            <w:r>
              <w:rPr>
                <w:highlight w:val="none"/>
              </w:rPr>
              <w:t>《</w:t>
            </w:r>
            <w:r>
              <w:rPr>
                <w:kern w:val="0"/>
                <w:highlight w:val="none"/>
                <w:lang w:val="zh-CN"/>
              </w:rPr>
              <w:t>一般工业固体废物贮存、处置场污染控制标准》(GB18599-2001)及修改单</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23" w:hRule="atLeast"/>
        </w:trPr>
        <w:tc>
          <w:tcPr>
            <w:tcW w:w="2335" w:type="dxa"/>
            <w:gridSpan w:val="2"/>
            <w:vAlign w:val="center"/>
          </w:tcPr>
          <w:p>
            <w:pPr>
              <w:autoSpaceDE w:val="0"/>
              <w:autoSpaceDN w:val="0"/>
              <w:adjustRightInd w:val="0"/>
              <w:snapToGrid w:val="0"/>
              <w:spacing w:line="0" w:lineRule="atLeast"/>
              <w:jc w:val="center"/>
              <w:rPr>
                <w:snapToGrid w:val="0"/>
                <w:kern w:val="0"/>
                <w:szCs w:val="21"/>
                <w:highlight w:val="none"/>
              </w:rPr>
            </w:pPr>
            <w:r>
              <w:rPr>
                <w:snapToGrid w:val="0"/>
                <w:kern w:val="0"/>
                <w:szCs w:val="21"/>
                <w:highlight w:val="none"/>
              </w:rPr>
              <w:t>防渗</w:t>
            </w:r>
          </w:p>
          <w:p>
            <w:pPr>
              <w:autoSpaceDE w:val="0"/>
              <w:autoSpaceDN w:val="0"/>
              <w:adjustRightInd w:val="0"/>
              <w:snapToGrid w:val="0"/>
              <w:spacing w:line="0" w:lineRule="atLeast"/>
              <w:jc w:val="center"/>
              <w:rPr>
                <w:snapToGrid w:val="0"/>
                <w:kern w:val="0"/>
                <w:szCs w:val="21"/>
                <w:highlight w:val="none"/>
              </w:rPr>
            </w:pPr>
            <w:r>
              <w:rPr>
                <w:snapToGrid w:val="0"/>
                <w:kern w:val="0"/>
                <w:szCs w:val="21"/>
                <w:highlight w:val="none"/>
              </w:rPr>
              <w:t>（以施工监理报告为依据）</w:t>
            </w:r>
          </w:p>
        </w:tc>
        <w:tc>
          <w:tcPr>
            <w:tcW w:w="11445" w:type="dxa"/>
            <w:gridSpan w:val="8"/>
            <w:vAlign w:val="center"/>
          </w:tcPr>
          <w:p>
            <w:pPr>
              <w:spacing w:line="320" w:lineRule="exact"/>
              <w:rPr>
                <w:szCs w:val="21"/>
                <w:highlight w:val="none"/>
              </w:rPr>
            </w:pPr>
            <w:r>
              <w:rPr>
                <w:rFonts w:hint="eastAsia"/>
                <w:szCs w:val="21"/>
                <w:highlight w:val="none"/>
              </w:rPr>
              <w:t>（1）</w:t>
            </w:r>
            <w:r>
              <w:rPr>
                <w:szCs w:val="21"/>
                <w:highlight w:val="none"/>
              </w:rPr>
              <w:t>化粪池防渗</w:t>
            </w:r>
          </w:p>
          <w:p>
            <w:pPr>
              <w:spacing w:line="320" w:lineRule="exact"/>
              <w:ind w:firstLine="420" w:firstLineChars="200"/>
              <w:rPr>
                <w:szCs w:val="21"/>
                <w:highlight w:val="none"/>
              </w:rPr>
            </w:pPr>
            <w:r>
              <w:rPr>
                <w:szCs w:val="21"/>
                <w:highlight w:val="none"/>
              </w:rPr>
              <w:t>化粪池尺寸2m×1.5m×1m，</w:t>
            </w:r>
            <w:r>
              <w:rPr>
                <w:szCs w:val="21"/>
                <w:highlight w:val="none"/>
                <w:lang w:val="zh-CN"/>
              </w:rPr>
              <w:t>防渗使用三七灰土夯实后，铺设200mm厚抗渗混凝土，上面玻璃纤维防水材料。防渗层渗透系数小于1×10</w:t>
            </w:r>
            <w:r>
              <w:rPr>
                <w:szCs w:val="21"/>
                <w:highlight w:val="none"/>
                <w:vertAlign w:val="superscript"/>
                <w:lang w:val="zh-CN"/>
              </w:rPr>
              <w:t>-10</w:t>
            </w:r>
            <w:r>
              <w:rPr>
                <w:szCs w:val="21"/>
                <w:highlight w:val="none"/>
                <w:lang w:val="zh-CN"/>
              </w:rPr>
              <w:t>cm/s。</w:t>
            </w:r>
          </w:p>
          <w:p>
            <w:pPr>
              <w:spacing w:line="320" w:lineRule="exact"/>
              <w:rPr>
                <w:szCs w:val="21"/>
                <w:highlight w:val="none"/>
              </w:rPr>
            </w:pPr>
            <w:r>
              <w:rPr>
                <w:rFonts w:hint="eastAsia"/>
                <w:szCs w:val="21"/>
                <w:highlight w:val="none"/>
              </w:rPr>
              <w:t>（2）危</w:t>
            </w:r>
            <w:r>
              <w:rPr>
                <w:szCs w:val="21"/>
                <w:highlight w:val="none"/>
              </w:rPr>
              <w:t>废暂存间</w:t>
            </w:r>
            <w:r>
              <w:rPr>
                <w:rFonts w:hint="eastAsia"/>
                <w:szCs w:val="21"/>
                <w:highlight w:val="none"/>
                <w:lang w:eastAsia="zh-CN"/>
              </w:rPr>
              <w:t>、溢油池</w:t>
            </w:r>
            <w:r>
              <w:rPr>
                <w:szCs w:val="21"/>
                <w:highlight w:val="none"/>
              </w:rPr>
              <w:t>防腐防渗</w:t>
            </w:r>
          </w:p>
          <w:p>
            <w:pPr>
              <w:spacing w:line="320" w:lineRule="exact"/>
              <w:ind w:firstLine="420" w:firstLineChars="200"/>
              <w:rPr>
                <w:szCs w:val="21"/>
                <w:highlight w:val="none"/>
              </w:rPr>
            </w:pPr>
            <w:r>
              <w:rPr>
                <w:szCs w:val="21"/>
                <w:highlight w:val="none"/>
              </w:rPr>
              <w:t>本项目危废暂存间占地面积为</w:t>
            </w:r>
            <w:r>
              <w:rPr>
                <w:rFonts w:hint="eastAsia"/>
                <w:szCs w:val="21"/>
                <w:highlight w:val="none"/>
                <w:lang w:val="en-US" w:eastAsia="zh-CN"/>
              </w:rPr>
              <w:t>6</w:t>
            </w:r>
            <w:r>
              <w:rPr>
                <w:szCs w:val="21"/>
                <w:highlight w:val="none"/>
              </w:rPr>
              <w:t>m</w:t>
            </w:r>
            <w:r>
              <w:rPr>
                <w:szCs w:val="21"/>
                <w:highlight w:val="none"/>
                <w:vertAlign w:val="superscript"/>
              </w:rPr>
              <w:t>2</w:t>
            </w:r>
            <w:r>
              <w:rPr>
                <w:szCs w:val="21"/>
                <w:highlight w:val="none"/>
              </w:rPr>
              <w:t>，为一层砖混结构。危废暂存间</w:t>
            </w:r>
            <w:r>
              <w:rPr>
                <w:rFonts w:hint="eastAsia"/>
                <w:szCs w:val="21"/>
                <w:highlight w:val="none"/>
                <w:lang w:eastAsia="zh-CN"/>
              </w:rPr>
              <w:t>、溢油池</w:t>
            </w:r>
            <w:r>
              <w:rPr>
                <w:szCs w:val="21"/>
                <w:highlight w:val="none"/>
              </w:rPr>
              <w:t>按《危险废物贮存污染控制标准》（GB18597-2001）关于防渗要求处理。具体防渗措施如下：最底层采用夯实黏土，地面底层为水泥砂浆，防渗层为2mm厚高密度聚乙烯防渗布，最后以防渗混凝土做地，上方涂环氧乙烯基酯树脂进行处理，表面无裂隙，裙角涂环氧乙烯基酯树脂高度50cm，并设置30cm的防渗围堰，渗透系数≤1×10</w:t>
            </w:r>
            <w:r>
              <w:rPr>
                <w:szCs w:val="21"/>
                <w:highlight w:val="none"/>
                <w:vertAlign w:val="superscript"/>
              </w:rPr>
              <w:t xml:space="preserve">-10 </w:t>
            </w:r>
            <w:r>
              <w:rPr>
                <w:szCs w:val="21"/>
                <w:highlight w:val="none"/>
              </w:rPr>
              <w:t>cm/s。危险固体废物暂存间须设立危险物警示标志，由专人进行管理，并做好危险废物排放量及处置记录。</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23" w:hRule="atLeast"/>
        </w:trPr>
        <w:tc>
          <w:tcPr>
            <w:tcW w:w="2335" w:type="dxa"/>
            <w:gridSpan w:val="2"/>
            <w:vAlign w:val="center"/>
          </w:tcPr>
          <w:p>
            <w:pPr>
              <w:autoSpaceDE w:val="0"/>
              <w:autoSpaceDN w:val="0"/>
              <w:adjustRightInd w:val="0"/>
              <w:snapToGrid w:val="0"/>
              <w:spacing w:line="0" w:lineRule="atLeast"/>
              <w:jc w:val="center"/>
              <w:rPr>
                <w:bCs/>
                <w:szCs w:val="21"/>
                <w:highlight w:val="none"/>
                <w:lang w:val="zh-CN"/>
              </w:rPr>
            </w:pPr>
            <w:r>
              <w:rPr>
                <w:bCs/>
                <w:szCs w:val="21"/>
                <w:highlight w:val="none"/>
                <w:lang w:val="zh-CN"/>
              </w:rPr>
              <w:t>硬化</w:t>
            </w:r>
          </w:p>
        </w:tc>
        <w:tc>
          <w:tcPr>
            <w:tcW w:w="11445" w:type="dxa"/>
            <w:gridSpan w:val="8"/>
            <w:vAlign w:val="center"/>
          </w:tcPr>
          <w:p>
            <w:pPr>
              <w:autoSpaceDE w:val="0"/>
              <w:autoSpaceDN w:val="0"/>
              <w:adjustRightInd w:val="0"/>
              <w:snapToGrid w:val="0"/>
              <w:spacing w:line="0" w:lineRule="atLeast"/>
              <w:jc w:val="center"/>
              <w:rPr>
                <w:kern w:val="0"/>
                <w:szCs w:val="21"/>
                <w:highlight w:val="none"/>
              </w:rPr>
            </w:pPr>
            <w:r>
              <w:rPr>
                <w:kern w:val="0"/>
                <w:szCs w:val="21"/>
                <w:highlight w:val="none"/>
              </w:rPr>
              <w:t>厂区地面全部硬化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23" w:hRule="atLeast"/>
        </w:trPr>
        <w:tc>
          <w:tcPr>
            <w:tcW w:w="2335" w:type="dxa"/>
            <w:gridSpan w:val="2"/>
            <w:vAlign w:val="center"/>
          </w:tcPr>
          <w:p>
            <w:pPr>
              <w:autoSpaceDE w:val="0"/>
              <w:autoSpaceDN w:val="0"/>
              <w:adjustRightInd w:val="0"/>
              <w:snapToGrid w:val="0"/>
              <w:spacing w:line="0" w:lineRule="atLeast"/>
              <w:jc w:val="center"/>
              <w:rPr>
                <w:szCs w:val="21"/>
                <w:highlight w:val="none"/>
              </w:rPr>
            </w:pPr>
            <w:r>
              <w:rPr>
                <w:szCs w:val="21"/>
                <w:highlight w:val="none"/>
              </w:rPr>
              <w:t>危废间</w:t>
            </w:r>
            <w:r>
              <w:rPr>
                <w:rFonts w:hint="eastAsia"/>
                <w:szCs w:val="21"/>
                <w:highlight w:val="none"/>
                <w:lang w:eastAsia="zh-CN"/>
              </w:rPr>
              <w:t>、溢油池</w:t>
            </w:r>
          </w:p>
        </w:tc>
        <w:tc>
          <w:tcPr>
            <w:tcW w:w="4599" w:type="dxa"/>
            <w:gridSpan w:val="5"/>
            <w:tcBorders>
              <w:right w:val="single" w:color="auto" w:sz="4" w:space="0"/>
            </w:tcBorders>
            <w:vAlign w:val="center"/>
          </w:tcPr>
          <w:p>
            <w:pPr>
              <w:autoSpaceDE w:val="0"/>
              <w:autoSpaceDN w:val="0"/>
              <w:adjustRightInd w:val="0"/>
              <w:snapToGrid w:val="0"/>
              <w:spacing w:line="0" w:lineRule="atLeast"/>
              <w:jc w:val="center"/>
              <w:rPr>
                <w:szCs w:val="21"/>
                <w:highlight w:val="none"/>
              </w:rPr>
            </w:pPr>
            <w:r>
              <w:rPr>
                <w:szCs w:val="21"/>
                <w:highlight w:val="none"/>
              </w:rPr>
              <w:t>设立危废环保标志</w:t>
            </w:r>
          </w:p>
        </w:tc>
        <w:tc>
          <w:tcPr>
            <w:tcW w:w="6846" w:type="dxa"/>
            <w:gridSpan w:val="3"/>
            <w:tcBorders>
              <w:left w:val="single" w:color="auto" w:sz="4" w:space="0"/>
            </w:tcBorders>
            <w:vAlign w:val="center"/>
          </w:tcPr>
          <w:p>
            <w:pPr>
              <w:rPr>
                <w:szCs w:val="21"/>
                <w:highlight w:val="none"/>
              </w:rPr>
            </w:pPr>
            <w:r>
              <w:rPr>
                <w:szCs w:val="21"/>
                <w:highlight w:val="none"/>
              </w:rPr>
              <w:t>《关于进一步明确危险废物标识设置有关事宜的通知》(冀环办发〔2012〕241号)</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23" w:hRule="atLeast"/>
        </w:trPr>
        <w:tc>
          <w:tcPr>
            <w:tcW w:w="2335" w:type="dxa"/>
            <w:gridSpan w:val="2"/>
            <w:vAlign w:val="center"/>
          </w:tcPr>
          <w:p>
            <w:pPr>
              <w:autoSpaceDE w:val="0"/>
              <w:autoSpaceDN w:val="0"/>
              <w:adjustRightInd w:val="0"/>
              <w:snapToGrid w:val="0"/>
              <w:spacing w:line="0" w:lineRule="atLeast"/>
              <w:jc w:val="center"/>
              <w:rPr>
                <w:szCs w:val="21"/>
                <w:highlight w:val="none"/>
              </w:rPr>
            </w:pPr>
            <w:r>
              <w:rPr>
                <w:szCs w:val="21"/>
                <w:highlight w:val="none"/>
              </w:rPr>
              <w:t>环境管理</w:t>
            </w:r>
          </w:p>
        </w:tc>
        <w:tc>
          <w:tcPr>
            <w:tcW w:w="4599" w:type="dxa"/>
            <w:gridSpan w:val="5"/>
            <w:tcBorders>
              <w:right w:val="single" w:color="auto" w:sz="4" w:space="0"/>
            </w:tcBorders>
            <w:vAlign w:val="center"/>
          </w:tcPr>
          <w:p>
            <w:pPr>
              <w:autoSpaceDE w:val="0"/>
              <w:autoSpaceDN w:val="0"/>
              <w:adjustRightInd w:val="0"/>
              <w:snapToGrid w:val="0"/>
              <w:spacing w:line="0" w:lineRule="atLeast"/>
              <w:jc w:val="center"/>
              <w:rPr>
                <w:bCs/>
                <w:szCs w:val="21"/>
                <w:highlight w:val="none"/>
              </w:rPr>
            </w:pPr>
            <w:r>
              <w:rPr>
                <w:bCs/>
                <w:szCs w:val="21"/>
                <w:highlight w:val="none"/>
              </w:rPr>
              <w:t>建立安全环保办公室，配置环保专（兼）职人员，</w:t>
            </w:r>
          </w:p>
          <w:p>
            <w:pPr>
              <w:autoSpaceDE w:val="0"/>
              <w:autoSpaceDN w:val="0"/>
              <w:adjustRightInd w:val="0"/>
              <w:snapToGrid w:val="0"/>
              <w:spacing w:line="0" w:lineRule="atLeast"/>
              <w:jc w:val="center"/>
              <w:rPr>
                <w:bCs/>
                <w:szCs w:val="21"/>
                <w:highlight w:val="none"/>
              </w:rPr>
            </w:pPr>
            <w:r>
              <w:rPr>
                <w:bCs/>
                <w:szCs w:val="21"/>
                <w:highlight w:val="none"/>
              </w:rPr>
              <w:t>编制工程环境监理报告</w:t>
            </w:r>
          </w:p>
        </w:tc>
        <w:tc>
          <w:tcPr>
            <w:tcW w:w="6846" w:type="dxa"/>
            <w:gridSpan w:val="3"/>
            <w:tcBorders>
              <w:left w:val="single" w:color="auto" w:sz="4" w:space="0"/>
            </w:tcBorders>
            <w:vAlign w:val="center"/>
          </w:tcPr>
          <w:p>
            <w:pPr>
              <w:rPr>
                <w:szCs w:val="21"/>
                <w:highlight w:val="none"/>
                <w:lang w:val="en-GB"/>
              </w:rPr>
            </w:pPr>
            <w:r>
              <w:rPr>
                <w:rFonts w:hint="eastAsia" w:ascii="宋体" w:hAnsi="宋体" w:cs="宋体"/>
                <w:szCs w:val="21"/>
                <w:highlight w:val="none"/>
                <w:lang w:val="en-GB"/>
              </w:rPr>
              <w:t>⑴</w:t>
            </w:r>
            <w:r>
              <w:rPr>
                <w:szCs w:val="21"/>
                <w:highlight w:val="none"/>
                <w:lang w:val="en-GB"/>
              </w:rPr>
              <w:t>检查执行环境影响评价制度“三同时”制度和验收制度情况；</w:t>
            </w:r>
          </w:p>
          <w:p>
            <w:pPr>
              <w:autoSpaceDE w:val="0"/>
              <w:autoSpaceDN w:val="0"/>
              <w:adjustRightInd w:val="0"/>
              <w:snapToGrid w:val="0"/>
              <w:spacing w:line="0" w:lineRule="atLeast"/>
              <w:jc w:val="center"/>
              <w:rPr>
                <w:szCs w:val="21"/>
                <w:highlight w:val="none"/>
              </w:rPr>
            </w:pPr>
            <w:r>
              <w:rPr>
                <w:rFonts w:hint="eastAsia" w:ascii="宋体" w:hAnsi="宋体" w:cs="宋体"/>
                <w:szCs w:val="21"/>
                <w:highlight w:val="none"/>
                <w:lang w:val="en-GB"/>
              </w:rPr>
              <w:t>⑵</w:t>
            </w:r>
            <w:r>
              <w:rPr>
                <w:szCs w:val="21"/>
                <w:highlight w:val="none"/>
                <w:lang w:val="en-GB"/>
              </w:rPr>
              <w:t>检查环境管理工作，是否根据环评文件及批复提出的要求，落实污染防治措施及其配套设备。</w:t>
            </w:r>
          </w:p>
        </w:tc>
      </w:tr>
    </w:tbl>
    <w:p>
      <w:pPr>
        <w:pStyle w:val="26"/>
        <w:ind w:left="1470" w:right="1470"/>
        <w:rPr>
          <w:sz w:val="24"/>
          <w:highlight w:val="none"/>
        </w:rPr>
      </w:pPr>
    </w:p>
    <w:p>
      <w:pPr>
        <w:rPr>
          <w:highlight w:val="none"/>
        </w:rPr>
        <w:sectPr>
          <w:headerReference r:id="rId24" w:type="default"/>
          <w:pgSz w:w="16838" w:h="11906" w:orient="landscape"/>
          <w:pgMar w:top="1803" w:right="1440" w:bottom="1826" w:left="1440" w:header="851" w:footer="992" w:gutter="0"/>
          <w:pgBorders>
            <w:top w:val="none" w:sz="0" w:space="0"/>
            <w:left w:val="none" w:sz="0" w:space="0"/>
            <w:bottom w:val="none" w:sz="0" w:space="0"/>
            <w:right w:val="none" w:sz="0" w:space="0"/>
          </w:pgBorders>
          <w:pgNumType w:fmt="decimal"/>
          <w:cols w:space="720" w:num="1"/>
          <w:docGrid w:type="lines" w:linePitch="318" w:charSpace="0"/>
        </w:sectPr>
      </w:pPr>
    </w:p>
    <w:p>
      <w:pPr>
        <w:spacing w:line="480" w:lineRule="exact"/>
        <w:outlineLvl w:val="0"/>
        <w:rPr>
          <w:b/>
          <w:sz w:val="24"/>
          <w:highlight w:val="none"/>
        </w:rPr>
      </w:pPr>
      <w:bookmarkStart w:id="425" w:name="_Toc26346"/>
      <w:bookmarkStart w:id="426" w:name="_Toc27911"/>
      <w:bookmarkStart w:id="427" w:name="_Toc19968"/>
      <w:r>
        <w:rPr>
          <w:b/>
          <w:sz w:val="24"/>
          <w:highlight w:val="none"/>
        </w:rPr>
        <w:t>10结论与建议</w:t>
      </w:r>
      <w:bookmarkEnd w:id="340"/>
      <w:bookmarkEnd w:id="425"/>
      <w:bookmarkEnd w:id="426"/>
      <w:bookmarkEnd w:id="427"/>
    </w:p>
    <w:p>
      <w:pPr>
        <w:spacing w:line="480" w:lineRule="exact"/>
        <w:outlineLvl w:val="1"/>
        <w:rPr>
          <w:b/>
          <w:sz w:val="24"/>
          <w:highlight w:val="none"/>
        </w:rPr>
      </w:pPr>
      <w:bookmarkStart w:id="428" w:name="_Toc13614"/>
      <w:bookmarkStart w:id="429" w:name="_Toc1475"/>
      <w:bookmarkStart w:id="430" w:name="_Toc9706"/>
      <w:bookmarkStart w:id="431" w:name="_Toc246763582"/>
      <w:bookmarkStart w:id="432" w:name="_Toc246763583"/>
      <w:r>
        <w:rPr>
          <w:b/>
          <w:sz w:val="24"/>
          <w:highlight w:val="none"/>
        </w:rPr>
        <w:t>10.1建设项目情况</w:t>
      </w:r>
      <w:bookmarkEnd w:id="428"/>
      <w:bookmarkEnd w:id="429"/>
      <w:bookmarkEnd w:id="430"/>
      <w:bookmarkEnd w:id="431"/>
    </w:p>
    <w:p>
      <w:pPr>
        <w:spacing w:line="520" w:lineRule="exact"/>
        <w:ind w:firstLine="482"/>
        <w:rPr>
          <w:sz w:val="24"/>
          <w:highlight w:val="none"/>
        </w:rPr>
      </w:pPr>
      <w:r>
        <w:rPr>
          <w:rFonts w:hint="eastAsia"/>
          <w:snapToGrid w:val="0"/>
          <w:color w:val="000000" w:themeColor="text1"/>
          <w:kern w:val="0"/>
          <w:sz w:val="24"/>
          <w:highlight w:val="none"/>
          <w14:textFill>
            <w14:solidFill>
              <w14:schemeClr w14:val="tx1"/>
            </w14:solidFill>
          </w14:textFill>
        </w:rPr>
        <w:t>遵化市黎河四级水电站</w:t>
      </w:r>
      <w:r>
        <w:rPr>
          <w:rFonts w:hint="eastAsia"/>
          <w:bCs/>
          <w:sz w:val="24"/>
          <w:highlight w:val="none"/>
        </w:rPr>
        <w:t>是一座已建工程，</w:t>
      </w:r>
      <w:r>
        <w:rPr>
          <w:rFonts w:hint="eastAsia"/>
          <w:sz w:val="24"/>
          <w:highlight w:val="none"/>
        </w:rPr>
        <w:t>位于遵化市建明镇西铺村西南1200m</w:t>
      </w:r>
      <w:r>
        <w:rPr>
          <w:snapToGrid w:val="0"/>
          <w:kern w:val="0"/>
          <w:sz w:val="24"/>
          <w:highlight w:val="none"/>
        </w:rPr>
        <w:t>，厂区中心地理坐标</w:t>
      </w:r>
      <w:r>
        <w:rPr>
          <w:rFonts w:hint="eastAsia"/>
          <w:snapToGrid w:val="0"/>
          <w:kern w:val="0"/>
          <w:sz w:val="24"/>
          <w:highlight w:val="none"/>
        </w:rPr>
        <w:t>北纬40.183881°，东经118.119378°</w:t>
      </w:r>
      <w:r>
        <w:rPr>
          <w:sz w:val="24"/>
          <w:highlight w:val="none"/>
          <w:lang w:val="zh-CN"/>
        </w:rPr>
        <w:t>，</w:t>
      </w:r>
      <w:r>
        <w:rPr>
          <w:rFonts w:hint="eastAsia"/>
          <w:sz w:val="24"/>
          <w:highlight w:val="none"/>
          <w:lang w:val="zh-CN"/>
        </w:rPr>
        <w:t>厂址北侧为引水渠、南侧为排水渠，东侧为黎河，西侧为进厂道路，隔路为农田</w:t>
      </w:r>
      <w:r>
        <w:rPr>
          <w:sz w:val="24"/>
          <w:highlight w:val="none"/>
          <w:lang w:val="zh-CN"/>
        </w:rPr>
        <w:t>。距项目最近环境敏感点为</w:t>
      </w:r>
      <w:r>
        <w:rPr>
          <w:rFonts w:hint="eastAsia"/>
          <w:sz w:val="24"/>
          <w:highlight w:val="none"/>
          <w:lang w:val="zh-CN"/>
        </w:rPr>
        <w:t>该电站东南方向180m的庄户沟村、东北方向1200m的西铺村、西北方向740m的闫家屯村、西南方向1100m的大安乐庄村</w:t>
      </w:r>
      <w:r>
        <w:rPr>
          <w:sz w:val="24"/>
          <w:highlight w:val="none"/>
          <w:lang w:val="zh-CN"/>
        </w:rPr>
        <w:t>。</w:t>
      </w:r>
    </w:p>
    <w:p>
      <w:pPr>
        <w:spacing w:line="480" w:lineRule="exact"/>
        <w:ind w:right="28" w:firstLine="480" w:firstLineChars="200"/>
        <w:rPr>
          <w:snapToGrid w:val="0"/>
          <w:kern w:val="0"/>
          <w:sz w:val="24"/>
          <w:highlight w:val="none"/>
        </w:rPr>
      </w:pPr>
      <w:r>
        <w:rPr>
          <w:rFonts w:hint="eastAsia"/>
          <w:snapToGrid w:val="0"/>
          <w:kern w:val="0"/>
          <w:sz w:val="24"/>
          <w:highlight w:val="none"/>
        </w:rPr>
        <w:t>本项目于</w:t>
      </w:r>
      <w:r>
        <w:rPr>
          <w:rFonts w:hint="eastAsia"/>
          <w:snapToGrid w:val="0"/>
          <w:kern w:val="0"/>
          <w:sz w:val="24"/>
          <w:highlight w:val="none"/>
          <w:lang w:val="en-US" w:eastAsia="zh-CN"/>
        </w:rPr>
        <w:t>1992年开始筹建，</w:t>
      </w:r>
      <w:r>
        <w:rPr>
          <w:snapToGrid w:val="0"/>
          <w:kern w:val="0"/>
          <w:sz w:val="24"/>
          <w:highlight w:val="none"/>
        </w:rPr>
        <w:t>199</w:t>
      </w:r>
      <w:r>
        <w:rPr>
          <w:rFonts w:hint="eastAsia"/>
          <w:snapToGrid w:val="0"/>
          <w:kern w:val="0"/>
          <w:sz w:val="24"/>
          <w:highlight w:val="none"/>
          <w:lang w:val="en-US" w:eastAsia="zh-CN"/>
        </w:rPr>
        <w:t>9</w:t>
      </w:r>
      <w:r>
        <w:rPr>
          <w:snapToGrid w:val="0"/>
          <w:kern w:val="0"/>
          <w:sz w:val="24"/>
          <w:highlight w:val="none"/>
        </w:rPr>
        <w:t>年</w:t>
      </w:r>
      <w:r>
        <w:rPr>
          <w:rFonts w:hint="eastAsia"/>
          <w:snapToGrid w:val="0"/>
          <w:kern w:val="0"/>
          <w:sz w:val="24"/>
          <w:highlight w:val="none"/>
          <w:lang w:val="en-US" w:eastAsia="zh-CN"/>
        </w:rPr>
        <w:t>3</w:t>
      </w:r>
      <w:r>
        <w:rPr>
          <w:snapToGrid w:val="0"/>
          <w:kern w:val="0"/>
          <w:sz w:val="24"/>
          <w:highlight w:val="none"/>
        </w:rPr>
        <w:t>月河北省水利厅以冀水电字[1996]20号文批复了</w:t>
      </w:r>
      <w:r>
        <w:rPr>
          <w:rFonts w:hint="eastAsia"/>
          <w:snapToGrid w:val="0"/>
          <w:kern w:val="0"/>
          <w:sz w:val="24"/>
          <w:highlight w:val="none"/>
        </w:rPr>
        <w:t>《遵化市黎河第四～七级水电站可行性研究报告》，同意本项目建设。2008年11月通过机组启动验收，2012年8月，河北省水利厅以冀水电【2012】27号批复遵化市黎河四级水电站通过竣工验收，同意电站投产发电。</w:t>
      </w:r>
    </w:p>
    <w:p>
      <w:pPr>
        <w:pStyle w:val="167"/>
        <w:spacing w:line="480" w:lineRule="exact"/>
        <w:ind w:firstLine="480"/>
        <w:rPr>
          <w:sz w:val="24"/>
          <w:szCs w:val="24"/>
          <w:highlight w:val="none"/>
        </w:rPr>
      </w:pPr>
      <w:r>
        <w:rPr>
          <w:rFonts w:hint="eastAsia"/>
          <w:snapToGrid w:val="0"/>
          <w:kern w:val="0"/>
          <w:sz w:val="24"/>
          <w:highlight w:val="none"/>
        </w:rPr>
        <w:t>本项目</w:t>
      </w:r>
      <w:r>
        <w:rPr>
          <w:rFonts w:hint="eastAsia"/>
          <w:sz w:val="24"/>
          <w:highlight w:val="none"/>
        </w:rPr>
        <w:t>总投资</w:t>
      </w:r>
      <w:r>
        <w:rPr>
          <w:rFonts w:hint="eastAsia"/>
          <w:sz w:val="24"/>
          <w:highlight w:val="none"/>
          <w:lang w:val="en-US" w:eastAsia="zh-CN"/>
        </w:rPr>
        <w:t>3613</w:t>
      </w:r>
      <w:r>
        <w:rPr>
          <w:rFonts w:hint="eastAsia"/>
          <w:sz w:val="24"/>
          <w:highlight w:val="none"/>
        </w:rPr>
        <w:t xml:space="preserve"> 万元，其中环保投资79.5万元（其中已投资6</w:t>
      </w:r>
      <w:r>
        <w:rPr>
          <w:rFonts w:hint="eastAsia"/>
          <w:sz w:val="24"/>
          <w:highlight w:val="none"/>
          <w:lang w:val="en-US" w:eastAsia="zh-CN"/>
        </w:rPr>
        <w:t>9</w:t>
      </w:r>
      <w:r>
        <w:rPr>
          <w:rFonts w:hint="eastAsia"/>
          <w:sz w:val="24"/>
          <w:highlight w:val="none"/>
        </w:rPr>
        <w:t>.5万元，新增投资1</w:t>
      </w:r>
      <w:r>
        <w:rPr>
          <w:rFonts w:hint="eastAsia"/>
          <w:sz w:val="24"/>
          <w:highlight w:val="none"/>
          <w:lang w:val="en-US" w:eastAsia="zh-CN"/>
        </w:rPr>
        <w:t>0</w:t>
      </w:r>
      <w:r>
        <w:rPr>
          <w:rFonts w:hint="eastAsia"/>
          <w:sz w:val="24"/>
          <w:highlight w:val="none"/>
        </w:rPr>
        <w:t>万元），占工程总投资的</w:t>
      </w:r>
      <w:r>
        <w:rPr>
          <w:rFonts w:hint="eastAsia"/>
          <w:sz w:val="24"/>
          <w:highlight w:val="none"/>
          <w:lang w:val="en-US" w:eastAsia="zh-CN"/>
        </w:rPr>
        <w:t>2.20</w:t>
      </w:r>
      <w:r>
        <w:rPr>
          <w:rFonts w:hint="eastAsia"/>
          <w:sz w:val="24"/>
          <w:highlight w:val="none"/>
        </w:rPr>
        <w:t>%。</w:t>
      </w:r>
      <w:r>
        <w:rPr>
          <w:sz w:val="24"/>
          <w:szCs w:val="24"/>
          <w:highlight w:val="none"/>
        </w:rPr>
        <w:t>项目总占地面积</w:t>
      </w:r>
      <w:r>
        <w:rPr>
          <w:rFonts w:hint="eastAsia"/>
          <w:sz w:val="24"/>
          <w:szCs w:val="24"/>
          <w:highlight w:val="none"/>
        </w:rPr>
        <w:t>22786</w:t>
      </w:r>
      <w:r>
        <w:rPr>
          <w:sz w:val="24"/>
          <w:szCs w:val="24"/>
          <w:highlight w:val="none"/>
        </w:rPr>
        <w:t>m</w:t>
      </w:r>
      <w:r>
        <w:rPr>
          <w:sz w:val="24"/>
          <w:szCs w:val="24"/>
          <w:highlight w:val="none"/>
          <w:vertAlign w:val="superscript"/>
        </w:rPr>
        <w:t>2</w:t>
      </w:r>
      <w:r>
        <w:rPr>
          <w:sz w:val="24"/>
          <w:szCs w:val="24"/>
          <w:highlight w:val="none"/>
        </w:rPr>
        <w:t>（折合</w:t>
      </w:r>
      <w:r>
        <w:rPr>
          <w:rFonts w:hint="eastAsia"/>
          <w:sz w:val="24"/>
          <w:szCs w:val="24"/>
          <w:highlight w:val="none"/>
          <w:lang w:val="en-US" w:eastAsia="zh-CN"/>
        </w:rPr>
        <w:t>34.18</w:t>
      </w:r>
      <w:r>
        <w:rPr>
          <w:sz w:val="24"/>
          <w:szCs w:val="24"/>
          <w:highlight w:val="none"/>
        </w:rPr>
        <w:t>亩），</w:t>
      </w:r>
      <w:r>
        <w:rPr>
          <w:rFonts w:hint="eastAsia"/>
          <w:sz w:val="24"/>
          <w:szCs w:val="24"/>
          <w:highlight w:val="none"/>
          <w:lang w:eastAsia="zh-CN"/>
        </w:rPr>
        <w:t>总建筑</w:t>
      </w:r>
      <w:r>
        <w:rPr>
          <w:sz w:val="24"/>
          <w:szCs w:val="24"/>
          <w:highlight w:val="none"/>
        </w:rPr>
        <w:t>面积为</w:t>
      </w:r>
      <w:r>
        <w:rPr>
          <w:rFonts w:hint="eastAsia"/>
          <w:sz w:val="24"/>
          <w:szCs w:val="24"/>
          <w:highlight w:val="none"/>
          <w:lang w:val="en-US" w:eastAsia="zh-CN"/>
        </w:rPr>
        <w:t>6</w:t>
      </w:r>
      <w:r>
        <w:rPr>
          <w:sz w:val="24"/>
          <w:szCs w:val="24"/>
          <w:highlight w:val="none"/>
        </w:rPr>
        <w:t>00m</w:t>
      </w:r>
      <w:r>
        <w:rPr>
          <w:sz w:val="24"/>
          <w:szCs w:val="24"/>
          <w:highlight w:val="none"/>
          <w:vertAlign w:val="superscript"/>
        </w:rPr>
        <w:t>2</w:t>
      </w:r>
      <w:r>
        <w:rPr>
          <w:sz w:val="24"/>
          <w:szCs w:val="24"/>
          <w:highlight w:val="none"/>
        </w:rPr>
        <w:t>，办公</w:t>
      </w:r>
      <w:r>
        <w:rPr>
          <w:rFonts w:hint="eastAsia"/>
          <w:sz w:val="24"/>
          <w:szCs w:val="24"/>
          <w:highlight w:val="none"/>
          <w:lang w:eastAsia="zh-CN"/>
        </w:rPr>
        <w:t>房</w:t>
      </w:r>
      <w:r>
        <w:rPr>
          <w:rFonts w:hint="eastAsia"/>
          <w:sz w:val="24"/>
          <w:szCs w:val="24"/>
          <w:highlight w:val="none"/>
          <w:lang w:val="en-US" w:eastAsia="zh-CN"/>
        </w:rPr>
        <w:t>314</w:t>
      </w:r>
      <w:r>
        <w:rPr>
          <w:sz w:val="24"/>
          <w:szCs w:val="24"/>
          <w:highlight w:val="none"/>
        </w:rPr>
        <w:t>m</w:t>
      </w:r>
      <w:r>
        <w:rPr>
          <w:sz w:val="24"/>
          <w:szCs w:val="24"/>
          <w:highlight w:val="none"/>
          <w:vertAlign w:val="superscript"/>
        </w:rPr>
        <w:t>2</w:t>
      </w:r>
      <w:r>
        <w:rPr>
          <w:sz w:val="24"/>
          <w:szCs w:val="24"/>
          <w:highlight w:val="none"/>
        </w:rPr>
        <w:t>。</w:t>
      </w:r>
    </w:p>
    <w:p>
      <w:pPr>
        <w:pStyle w:val="167"/>
        <w:spacing w:line="480" w:lineRule="exact"/>
        <w:ind w:firstLine="480"/>
        <w:rPr>
          <w:sz w:val="24"/>
          <w:szCs w:val="24"/>
          <w:highlight w:val="none"/>
        </w:rPr>
      </w:pPr>
      <w:r>
        <w:rPr>
          <w:sz w:val="24"/>
          <w:szCs w:val="24"/>
          <w:highlight w:val="none"/>
        </w:rPr>
        <w:t>劳动定员：定员1</w:t>
      </w:r>
      <w:r>
        <w:rPr>
          <w:rFonts w:hint="eastAsia"/>
          <w:sz w:val="24"/>
          <w:szCs w:val="24"/>
          <w:highlight w:val="none"/>
          <w:lang w:val="en-US" w:eastAsia="zh-CN"/>
        </w:rPr>
        <w:t>0</w:t>
      </w:r>
      <w:r>
        <w:rPr>
          <w:sz w:val="24"/>
          <w:szCs w:val="24"/>
          <w:highlight w:val="none"/>
        </w:rPr>
        <w:t>人，其中管理人员</w:t>
      </w:r>
      <w:r>
        <w:rPr>
          <w:rFonts w:hint="eastAsia"/>
          <w:sz w:val="24"/>
          <w:szCs w:val="24"/>
          <w:highlight w:val="none"/>
          <w:lang w:val="en-US" w:eastAsia="zh-CN"/>
        </w:rPr>
        <w:t>2</w:t>
      </w:r>
      <w:r>
        <w:rPr>
          <w:sz w:val="24"/>
          <w:szCs w:val="24"/>
          <w:highlight w:val="none"/>
        </w:rPr>
        <w:t>人，年工作时间1</w:t>
      </w:r>
      <w:r>
        <w:rPr>
          <w:rFonts w:hint="eastAsia"/>
          <w:sz w:val="24"/>
          <w:szCs w:val="24"/>
          <w:highlight w:val="none"/>
          <w:lang w:val="en-US" w:eastAsia="zh-CN"/>
        </w:rPr>
        <w:t>12</w:t>
      </w:r>
      <w:r>
        <w:rPr>
          <w:sz w:val="24"/>
          <w:szCs w:val="24"/>
          <w:highlight w:val="none"/>
        </w:rPr>
        <w:t>天/年（</w:t>
      </w:r>
      <w:r>
        <w:rPr>
          <w:rFonts w:hint="eastAsia"/>
          <w:sz w:val="24"/>
          <w:szCs w:val="24"/>
          <w:highlight w:val="none"/>
          <w:lang w:val="en-US" w:eastAsia="zh-CN"/>
        </w:rPr>
        <w:t>2688</w:t>
      </w:r>
      <w:r>
        <w:rPr>
          <w:sz w:val="24"/>
          <w:szCs w:val="24"/>
          <w:highlight w:val="none"/>
        </w:rPr>
        <w:t>h），每天</w:t>
      </w:r>
      <w:r>
        <w:rPr>
          <w:rFonts w:hint="eastAsia"/>
          <w:sz w:val="24"/>
          <w:szCs w:val="24"/>
          <w:highlight w:val="none"/>
          <w:lang w:eastAsia="zh-CN"/>
        </w:rPr>
        <w:t>三班</w:t>
      </w:r>
      <w:r>
        <w:rPr>
          <w:sz w:val="24"/>
          <w:szCs w:val="24"/>
          <w:highlight w:val="none"/>
        </w:rPr>
        <w:t>，一班8小时。</w:t>
      </w:r>
    </w:p>
    <w:p>
      <w:pPr>
        <w:spacing w:line="480" w:lineRule="exact"/>
        <w:ind w:firstLine="480" w:firstLineChars="200"/>
        <w:jc w:val="left"/>
        <w:rPr>
          <w:sz w:val="24"/>
          <w:highlight w:val="none"/>
        </w:rPr>
      </w:pPr>
      <w:r>
        <w:rPr>
          <w:sz w:val="24"/>
          <w:highlight w:val="none"/>
        </w:rPr>
        <w:t>本项目</w:t>
      </w:r>
      <w:r>
        <w:rPr>
          <w:rFonts w:hint="eastAsia"/>
          <w:snapToGrid w:val="0"/>
          <w:kern w:val="0"/>
          <w:sz w:val="24"/>
          <w:highlight w:val="none"/>
        </w:rPr>
        <w:t>电站采用引水式布置方式，设计流量5</w:t>
      </w:r>
      <w:r>
        <w:rPr>
          <w:rFonts w:hint="eastAsia"/>
          <w:snapToGrid w:val="0"/>
          <w:kern w:val="0"/>
          <w:sz w:val="24"/>
          <w:highlight w:val="none"/>
          <w:lang w:val="en-US" w:eastAsia="zh-CN"/>
        </w:rPr>
        <w:t>5.92</w:t>
      </w:r>
      <w:r>
        <w:rPr>
          <w:rFonts w:hint="eastAsia"/>
          <w:snapToGrid w:val="0"/>
          <w:kern w:val="0"/>
          <w:sz w:val="24"/>
          <w:highlight w:val="none"/>
        </w:rPr>
        <w:t>m</w:t>
      </w:r>
      <w:r>
        <w:rPr>
          <w:rFonts w:hint="eastAsia"/>
          <w:snapToGrid w:val="0"/>
          <w:kern w:val="0"/>
          <w:sz w:val="24"/>
          <w:highlight w:val="none"/>
          <w:vertAlign w:val="superscript"/>
        </w:rPr>
        <w:t>3</w:t>
      </w:r>
      <w:r>
        <w:rPr>
          <w:rFonts w:hint="eastAsia"/>
          <w:snapToGrid w:val="0"/>
          <w:kern w:val="0"/>
          <w:sz w:val="24"/>
          <w:highlight w:val="none"/>
        </w:rPr>
        <w:t>/s，设计水头</w:t>
      </w:r>
      <w:r>
        <w:rPr>
          <w:rFonts w:hint="eastAsia"/>
          <w:snapToGrid w:val="0"/>
          <w:kern w:val="0"/>
          <w:sz w:val="24"/>
          <w:highlight w:val="none"/>
          <w:lang w:val="en-US" w:eastAsia="zh-CN"/>
        </w:rPr>
        <w:t>10.1</w:t>
      </w:r>
      <w:r>
        <w:rPr>
          <w:rFonts w:hint="eastAsia"/>
          <w:snapToGrid w:val="0"/>
          <w:kern w:val="0"/>
          <w:sz w:val="24"/>
          <w:highlight w:val="none"/>
        </w:rPr>
        <w:t>m，总装机容量</w:t>
      </w:r>
      <w:r>
        <w:rPr>
          <w:rFonts w:hint="eastAsia"/>
          <w:snapToGrid w:val="0"/>
          <w:kern w:val="0"/>
          <w:sz w:val="24"/>
          <w:highlight w:val="none"/>
          <w:lang w:val="en-US" w:eastAsia="zh-CN"/>
        </w:rPr>
        <w:t>1</w:t>
      </w:r>
      <w:r>
        <w:rPr>
          <w:rFonts w:hint="eastAsia"/>
          <w:snapToGrid w:val="0"/>
          <w:kern w:val="0"/>
          <w:sz w:val="24"/>
          <w:highlight w:val="none"/>
        </w:rPr>
        <w:t>×</w:t>
      </w:r>
      <w:r>
        <w:rPr>
          <w:rFonts w:hint="eastAsia"/>
          <w:snapToGrid w:val="0"/>
          <w:kern w:val="0"/>
          <w:sz w:val="24"/>
          <w:highlight w:val="none"/>
          <w:lang w:val="en-US" w:eastAsia="zh-CN"/>
        </w:rPr>
        <w:t>5000</w:t>
      </w:r>
      <w:r>
        <w:rPr>
          <w:rFonts w:hint="eastAsia"/>
          <w:snapToGrid w:val="0"/>
          <w:kern w:val="0"/>
          <w:sz w:val="24"/>
          <w:highlight w:val="none"/>
        </w:rPr>
        <w:t>kw。平均发电量约</w:t>
      </w:r>
      <w:r>
        <w:rPr>
          <w:rFonts w:hint="eastAsia"/>
          <w:snapToGrid w:val="0"/>
          <w:kern w:val="0"/>
          <w:sz w:val="24"/>
          <w:highlight w:val="none"/>
          <w:lang w:val="en-US" w:eastAsia="zh-CN"/>
        </w:rPr>
        <w:t>1465.5</w:t>
      </w:r>
      <w:r>
        <w:rPr>
          <w:rFonts w:hint="eastAsia"/>
          <w:snapToGrid w:val="0"/>
          <w:kern w:val="0"/>
          <w:sz w:val="24"/>
          <w:highlight w:val="none"/>
        </w:rPr>
        <w:t>万kwh，年利用小时数约</w:t>
      </w:r>
      <w:r>
        <w:rPr>
          <w:rFonts w:hint="eastAsia"/>
          <w:snapToGrid w:val="0"/>
          <w:kern w:val="0"/>
          <w:sz w:val="24"/>
          <w:highlight w:val="none"/>
          <w:lang w:val="en-US" w:eastAsia="zh-CN"/>
        </w:rPr>
        <w:t>2931</w:t>
      </w:r>
      <w:r>
        <w:rPr>
          <w:rFonts w:hint="eastAsia"/>
          <w:snapToGrid w:val="0"/>
          <w:kern w:val="0"/>
          <w:sz w:val="24"/>
          <w:highlight w:val="none"/>
        </w:rPr>
        <w:t>h。电站以</w:t>
      </w:r>
      <w:r>
        <w:rPr>
          <w:rFonts w:hint="eastAsia"/>
          <w:snapToGrid w:val="0"/>
          <w:kern w:val="0"/>
          <w:sz w:val="24"/>
          <w:highlight w:val="none"/>
          <w:lang w:val="en-US" w:eastAsia="zh-CN"/>
        </w:rPr>
        <w:t>11</w:t>
      </w:r>
      <w:r>
        <w:rPr>
          <w:rFonts w:hint="eastAsia"/>
          <w:snapToGrid w:val="0"/>
          <w:kern w:val="0"/>
          <w:sz w:val="24"/>
          <w:highlight w:val="none"/>
        </w:rPr>
        <w:t>kv线路接入崔家庄35kv变电站。</w:t>
      </w:r>
    </w:p>
    <w:p>
      <w:pPr>
        <w:pStyle w:val="233"/>
        <w:spacing w:line="480" w:lineRule="exact"/>
        <w:ind w:firstLine="514"/>
        <w:rPr>
          <w:rFonts w:ascii="Times New Roman" w:hAnsi="Times New Roman" w:cs="Times New Roman"/>
          <w:bCs/>
          <w:szCs w:val="24"/>
          <w:highlight w:val="none"/>
        </w:rPr>
      </w:pPr>
      <w:r>
        <w:rPr>
          <w:rFonts w:ascii="Times New Roman" w:hAnsi="Times New Roman" w:cs="Times New Roman"/>
          <w:bCs/>
          <w:szCs w:val="24"/>
          <w:highlight w:val="none"/>
        </w:rPr>
        <w:t>本项目主要建筑物有：</w:t>
      </w:r>
      <w:r>
        <w:rPr>
          <w:rFonts w:ascii="Times New Roman" w:hAnsi="Times New Roman" w:cs="Times New Roman"/>
          <w:snapToGrid w:val="0"/>
          <w:highlight w:val="none"/>
        </w:rPr>
        <w:t>拦</w:t>
      </w:r>
      <w:r>
        <w:rPr>
          <w:rFonts w:hint="eastAsia" w:ascii="Times New Roman" w:hAnsi="Times New Roman" w:cs="Times New Roman"/>
          <w:snapToGrid w:val="0"/>
          <w:highlight w:val="none"/>
        </w:rPr>
        <w:t>水</w:t>
      </w:r>
      <w:r>
        <w:rPr>
          <w:rFonts w:ascii="Times New Roman" w:hAnsi="Times New Roman" w:cs="Times New Roman"/>
          <w:snapToGrid w:val="0"/>
          <w:highlight w:val="none"/>
        </w:rPr>
        <w:t>橡胶坝、引水节制闸、引水渠、前池、压力管道、厂房、尾水渠、升压站、并网线路、厂区及附属设施和</w:t>
      </w:r>
      <w:r>
        <w:rPr>
          <w:rFonts w:hint="eastAsia" w:ascii="Times New Roman" w:hAnsi="Times New Roman" w:cs="Times New Roman"/>
          <w:snapToGrid w:val="0"/>
          <w:highlight w:val="none"/>
          <w:lang w:eastAsia="zh-CN"/>
        </w:rPr>
        <w:t>办公设施</w:t>
      </w:r>
      <w:r>
        <w:rPr>
          <w:rFonts w:ascii="Times New Roman" w:hAnsi="Times New Roman" w:cs="Times New Roman"/>
          <w:bCs/>
          <w:szCs w:val="24"/>
          <w:highlight w:val="none"/>
        </w:rPr>
        <w:t>等，具体如下：</w:t>
      </w:r>
    </w:p>
    <w:p>
      <w:pPr>
        <w:pStyle w:val="233"/>
        <w:spacing w:line="480" w:lineRule="exact"/>
        <w:ind w:firstLine="360" w:firstLineChars="150"/>
        <w:rPr>
          <w:rFonts w:ascii="Times New Roman" w:hAnsi="Times New Roman" w:cs="Times New Roman"/>
          <w:bCs/>
          <w:szCs w:val="24"/>
          <w:highlight w:val="none"/>
        </w:rPr>
      </w:pPr>
      <w:r>
        <w:rPr>
          <w:rFonts w:ascii="Times New Roman" w:hAnsi="Times New Roman" w:cs="Times New Roman"/>
          <w:bCs/>
          <w:szCs w:val="24"/>
          <w:highlight w:val="none"/>
        </w:rPr>
        <w:t>（1）拦水橡胶坝</w:t>
      </w:r>
    </w:p>
    <w:p>
      <w:pPr>
        <w:pStyle w:val="233"/>
        <w:spacing w:line="480" w:lineRule="exact"/>
        <w:ind w:firstLine="514"/>
        <w:rPr>
          <w:rFonts w:ascii="Times New Roman" w:hAnsi="Times New Roman" w:cs="Times New Roman"/>
          <w:bCs/>
          <w:szCs w:val="24"/>
          <w:highlight w:val="none"/>
        </w:rPr>
      </w:pPr>
      <w:r>
        <w:rPr>
          <w:rFonts w:ascii="Times New Roman" w:hAnsi="Times New Roman" w:cs="Times New Roman"/>
          <w:highlight w:val="none"/>
          <w:lang w:val="zh-CN"/>
        </w:rPr>
        <w:t>在引滦入津黎河布设拦水橡胶坝，</w:t>
      </w:r>
      <w:r>
        <w:rPr>
          <w:rFonts w:ascii="Times New Roman"/>
          <w:color w:val="000000"/>
          <w:highlight w:val="none"/>
        </w:rPr>
        <w:t>布置在本站上游</w:t>
      </w:r>
      <w:r>
        <w:rPr>
          <w:rFonts w:ascii="Times New Roman" w:hAnsi="Times New Roman"/>
          <w:color w:val="000000"/>
          <w:highlight w:val="none"/>
        </w:rPr>
        <w:t>540m</w:t>
      </w:r>
      <w:r>
        <w:rPr>
          <w:rFonts w:ascii="Times New Roman"/>
          <w:color w:val="000000"/>
          <w:highlight w:val="none"/>
        </w:rPr>
        <w:t>处（</w:t>
      </w:r>
      <w:r>
        <w:rPr>
          <w:rFonts w:ascii="Times New Roman" w:hAnsi="Times New Roman"/>
          <w:color w:val="000000"/>
          <w:highlight w:val="none"/>
        </w:rPr>
        <w:t>地理坐标</w:t>
      </w:r>
      <w:r>
        <w:rPr>
          <w:rFonts w:hint="eastAsia" w:ascii="Times New Roman" w:hAnsi="Times New Roman"/>
          <w:color w:val="000000"/>
          <w:highlight w:val="none"/>
        </w:rPr>
        <w:t>北纬40.187225°、东经118.129978°</w:t>
      </w:r>
      <w:r>
        <w:rPr>
          <w:rFonts w:ascii="Times New Roman"/>
          <w:color w:val="000000"/>
          <w:highlight w:val="none"/>
        </w:rPr>
        <w:t>）。</w:t>
      </w:r>
      <w:r>
        <w:rPr>
          <w:rFonts w:hint="eastAsia"/>
          <w:bCs/>
          <w:color w:val="000000"/>
          <w:highlight w:val="none"/>
        </w:rPr>
        <w:t>拦水橡</w:t>
      </w:r>
      <w:r>
        <w:rPr>
          <w:rFonts w:ascii="Times New Roman"/>
          <w:bCs/>
          <w:color w:val="000000"/>
          <w:highlight w:val="none"/>
        </w:rPr>
        <w:t>胶坝</w:t>
      </w:r>
      <w:r>
        <w:rPr>
          <w:rFonts w:hint="eastAsia" w:ascii="Times New Roman"/>
          <w:bCs/>
          <w:color w:val="000000"/>
          <w:highlight w:val="none"/>
        </w:rPr>
        <w:t>为充水型，坝高2m，坝长87m</w:t>
      </w:r>
      <w:r>
        <w:rPr>
          <w:rFonts w:ascii="Times New Roman" w:hAnsi="Times New Roman" w:cs="Times New Roman"/>
          <w:highlight w:val="none"/>
        </w:rPr>
        <w:t>。</w:t>
      </w:r>
    </w:p>
    <w:p>
      <w:pPr>
        <w:pStyle w:val="233"/>
        <w:spacing w:line="480" w:lineRule="exact"/>
        <w:ind w:firstLine="360" w:firstLineChars="150"/>
        <w:rPr>
          <w:rFonts w:ascii="Times New Roman" w:hAnsi="Times New Roman" w:cs="Times New Roman"/>
          <w:bCs/>
          <w:szCs w:val="24"/>
          <w:highlight w:val="none"/>
        </w:rPr>
      </w:pPr>
      <w:r>
        <w:rPr>
          <w:rFonts w:ascii="Times New Roman" w:hAnsi="Times New Roman" w:cs="Times New Roman"/>
          <w:bCs/>
          <w:szCs w:val="24"/>
          <w:highlight w:val="none"/>
        </w:rPr>
        <w:t>（2）进口节制闸</w:t>
      </w:r>
    </w:p>
    <w:p>
      <w:pPr>
        <w:snapToGrid w:val="0"/>
        <w:spacing w:line="480" w:lineRule="exact"/>
        <w:ind w:firstLine="560"/>
        <w:rPr>
          <w:bCs/>
          <w:kern w:val="0"/>
          <w:sz w:val="24"/>
          <w:highlight w:val="none"/>
        </w:rPr>
      </w:pPr>
      <w:r>
        <w:rPr>
          <w:rFonts w:hint="eastAsia"/>
          <w:bCs/>
          <w:kern w:val="0"/>
          <w:sz w:val="24"/>
          <w:highlight w:val="none"/>
        </w:rPr>
        <w:t>进口节制闸设计引水流量62m</w:t>
      </w:r>
      <w:r>
        <w:rPr>
          <w:rFonts w:hint="eastAsia"/>
          <w:bCs/>
          <w:kern w:val="0"/>
          <w:sz w:val="24"/>
          <w:highlight w:val="none"/>
          <w:vertAlign w:val="superscript"/>
        </w:rPr>
        <w:t>3</w:t>
      </w:r>
      <w:r>
        <w:rPr>
          <w:rFonts w:hint="eastAsia"/>
          <w:bCs/>
          <w:kern w:val="0"/>
          <w:sz w:val="24"/>
          <w:highlight w:val="none"/>
        </w:rPr>
        <w:t>/s，闸前设计水位87.00m。闸室为钢筋混凝土结构，长8.0m，底板高程83.20m，墩顶高程88.06m，孔口尺寸5.0m×4.6m，共2孔</w:t>
      </w:r>
      <w:r>
        <w:rPr>
          <w:bCs/>
          <w:kern w:val="0"/>
          <w:sz w:val="24"/>
          <w:highlight w:val="none"/>
        </w:rPr>
        <w:t>。</w:t>
      </w:r>
    </w:p>
    <w:p>
      <w:pPr>
        <w:pStyle w:val="233"/>
        <w:spacing w:line="480" w:lineRule="exact"/>
        <w:ind w:firstLine="360" w:firstLineChars="150"/>
        <w:rPr>
          <w:rFonts w:ascii="Times New Roman" w:hAnsi="Times New Roman" w:cs="Times New Roman"/>
          <w:bCs/>
          <w:szCs w:val="24"/>
          <w:highlight w:val="none"/>
        </w:rPr>
      </w:pPr>
      <w:r>
        <w:rPr>
          <w:rFonts w:ascii="Times New Roman" w:hAnsi="Times New Roman" w:cs="Times New Roman"/>
          <w:bCs/>
          <w:szCs w:val="24"/>
          <w:highlight w:val="none"/>
        </w:rPr>
        <w:t>（3）引水渠</w:t>
      </w:r>
    </w:p>
    <w:p>
      <w:pPr>
        <w:pStyle w:val="233"/>
        <w:spacing w:line="480" w:lineRule="exact"/>
        <w:ind w:firstLine="480" w:firstLineChars="200"/>
        <w:rPr>
          <w:rFonts w:ascii="Times New Roman" w:hAnsi="Times New Roman" w:cs="Times New Roman"/>
          <w:bCs/>
          <w:szCs w:val="24"/>
          <w:highlight w:val="none"/>
        </w:rPr>
      </w:pPr>
      <w:r>
        <w:rPr>
          <w:rFonts w:hint="eastAsia" w:ascii="Times New Roman" w:hAnsi="Times New Roman" w:cs="Times New Roman"/>
          <w:bCs/>
          <w:szCs w:val="24"/>
          <w:highlight w:val="none"/>
        </w:rPr>
        <w:t>引水渠总长996.67m，梯形断面，纵坡为1/4000，分为上、下两段，上段设计水深3.8m，底宽5.4m，边坡1：1；下段设计水深3.5m，底宽2.5m，边坡1：2</w:t>
      </w:r>
      <w:r>
        <w:rPr>
          <w:rFonts w:ascii="Times New Roman" w:hAnsi="Times New Roman" w:cs="Times New Roman"/>
          <w:bCs/>
          <w:szCs w:val="24"/>
          <w:highlight w:val="none"/>
        </w:rPr>
        <w:t>。</w:t>
      </w:r>
    </w:p>
    <w:p>
      <w:pPr>
        <w:pStyle w:val="233"/>
        <w:spacing w:line="480" w:lineRule="exact"/>
        <w:ind w:firstLine="360" w:firstLineChars="150"/>
        <w:rPr>
          <w:rFonts w:ascii="Times New Roman" w:hAnsi="Times New Roman" w:cs="Times New Roman"/>
          <w:bCs/>
          <w:szCs w:val="24"/>
          <w:highlight w:val="none"/>
        </w:rPr>
      </w:pPr>
      <w:r>
        <w:rPr>
          <w:rFonts w:ascii="Times New Roman" w:hAnsi="Times New Roman" w:cs="Times New Roman"/>
          <w:bCs/>
          <w:szCs w:val="24"/>
          <w:highlight w:val="none"/>
        </w:rPr>
        <w:t>（4）前池</w:t>
      </w:r>
    </w:p>
    <w:p>
      <w:pPr>
        <w:pStyle w:val="33"/>
        <w:snapToGrid w:val="0"/>
        <w:spacing w:after="0" w:line="480" w:lineRule="exact"/>
        <w:ind w:left="0" w:leftChars="0" w:firstLine="480" w:firstLineChars="200"/>
        <w:rPr>
          <w:bCs/>
          <w:kern w:val="0"/>
          <w:sz w:val="24"/>
          <w:highlight w:val="none"/>
        </w:rPr>
      </w:pPr>
      <w:r>
        <w:rPr>
          <w:rFonts w:hint="eastAsia"/>
          <w:bCs/>
          <w:kern w:val="0"/>
          <w:sz w:val="24"/>
          <w:highlight w:val="none"/>
        </w:rPr>
        <w:t>前池采用钢筋混凝土护底，边墙为扶臂式钢筋混凝土挡土墙，迎水面采用0.5m厚钢筋混凝土护面，设计水位86.69m，最高溢流水位87.51m，最低水位86.19m。进水室采用快速闸门控制，前设拦污栅一道。前池左侧布置长30m的溢流堰，下设长70.0m、宽12.0m的钢筋混凝土护面的浆砌石泄水渠</w:t>
      </w:r>
      <w:r>
        <w:rPr>
          <w:bCs/>
          <w:kern w:val="0"/>
          <w:sz w:val="24"/>
          <w:highlight w:val="none"/>
        </w:rPr>
        <w:t>。</w:t>
      </w:r>
    </w:p>
    <w:p>
      <w:pPr>
        <w:pStyle w:val="33"/>
        <w:snapToGrid w:val="0"/>
        <w:spacing w:after="0" w:line="480" w:lineRule="exact"/>
        <w:ind w:leftChars="0"/>
        <w:rPr>
          <w:bCs/>
          <w:kern w:val="0"/>
          <w:sz w:val="24"/>
          <w:highlight w:val="none"/>
        </w:rPr>
      </w:pPr>
      <w:r>
        <w:rPr>
          <w:bCs/>
          <w:kern w:val="0"/>
          <w:sz w:val="24"/>
          <w:highlight w:val="none"/>
        </w:rPr>
        <w:t>（5）压力管道</w:t>
      </w:r>
    </w:p>
    <w:p>
      <w:pPr>
        <w:pStyle w:val="33"/>
        <w:snapToGrid w:val="0"/>
        <w:spacing w:after="0" w:line="480" w:lineRule="exact"/>
        <w:ind w:left="0" w:leftChars="0" w:firstLine="480" w:firstLineChars="200"/>
        <w:rPr>
          <w:bCs/>
          <w:kern w:val="0"/>
          <w:sz w:val="24"/>
          <w:highlight w:val="none"/>
        </w:rPr>
      </w:pPr>
      <w:r>
        <w:rPr>
          <w:rFonts w:hint="eastAsia"/>
          <w:bCs/>
          <w:kern w:val="0"/>
          <w:sz w:val="24"/>
          <w:highlight w:val="none"/>
        </w:rPr>
        <w:t>设计流量55.92m</w:t>
      </w:r>
      <w:r>
        <w:rPr>
          <w:rFonts w:hint="eastAsia"/>
          <w:bCs/>
          <w:kern w:val="0"/>
          <w:sz w:val="24"/>
          <w:highlight w:val="none"/>
          <w:vertAlign w:val="superscript"/>
        </w:rPr>
        <w:t>3</w:t>
      </w:r>
      <w:r>
        <w:rPr>
          <w:rFonts w:hint="eastAsia"/>
          <w:bCs/>
          <w:kern w:val="0"/>
          <w:sz w:val="24"/>
          <w:highlight w:val="none"/>
        </w:rPr>
        <w:t>/s，长26m，矩形钢筋混凝土结构，断面尺寸5.735×5.305m</w:t>
      </w:r>
      <w:r>
        <w:rPr>
          <w:bCs/>
          <w:kern w:val="0"/>
          <w:sz w:val="24"/>
          <w:highlight w:val="none"/>
        </w:rPr>
        <w:t>。</w:t>
      </w:r>
    </w:p>
    <w:p>
      <w:pPr>
        <w:pStyle w:val="233"/>
        <w:spacing w:line="480" w:lineRule="exact"/>
        <w:ind w:firstLine="360" w:firstLineChars="150"/>
        <w:rPr>
          <w:rFonts w:ascii="Times New Roman" w:hAnsi="Times New Roman" w:cs="Times New Roman"/>
          <w:szCs w:val="24"/>
          <w:highlight w:val="none"/>
        </w:rPr>
      </w:pPr>
      <w:r>
        <w:rPr>
          <w:rFonts w:ascii="Times New Roman" w:hAnsi="Times New Roman" w:cs="Times New Roman"/>
          <w:bCs/>
          <w:szCs w:val="24"/>
          <w:highlight w:val="none"/>
        </w:rPr>
        <w:t>（6）</w:t>
      </w:r>
      <w:r>
        <w:rPr>
          <w:rFonts w:ascii="Times New Roman" w:hAnsi="Times New Roman" w:cs="Times New Roman"/>
          <w:szCs w:val="24"/>
          <w:highlight w:val="none"/>
        </w:rPr>
        <w:t>厂房</w:t>
      </w:r>
    </w:p>
    <w:p>
      <w:pPr>
        <w:pStyle w:val="33"/>
        <w:snapToGrid w:val="0"/>
        <w:spacing w:after="0" w:line="480" w:lineRule="exact"/>
        <w:ind w:left="0" w:leftChars="0" w:firstLine="420" w:firstLineChars="175"/>
        <w:rPr>
          <w:bCs/>
          <w:kern w:val="0"/>
          <w:sz w:val="24"/>
          <w:highlight w:val="none"/>
        </w:rPr>
      </w:pPr>
      <w:r>
        <w:rPr>
          <w:rFonts w:hint="eastAsia"/>
          <w:bCs/>
          <w:kern w:val="0"/>
          <w:sz w:val="24"/>
          <w:highlight w:val="none"/>
        </w:rPr>
        <w:t>电站主副厂房位于黎河右堤外侧，厂房平面尺寸26.32m×20.4m(长×宽)。其中主厂房26.32×13.15m，设有1台水轮发电机组，水轮机安装高程72.10m，安装间位于发电机下游侧，地面高程80.86m。副厂房26.32m×7.25m，位于主厂房左侧。升压站位于厂房上游，平面尺寸20×10m。主变压器安装在升压站内，安装高程81.16m。厂区地面高程80.36m</w:t>
      </w:r>
      <w:r>
        <w:rPr>
          <w:bCs/>
          <w:kern w:val="0"/>
          <w:sz w:val="24"/>
          <w:highlight w:val="none"/>
        </w:rPr>
        <w:t>。</w:t>
      </w:r>
    </w:p>
    <w:p>
      <w:pPr>
        <w:snapToGrid w:val="0"/>
        <w:spacing w:line="480" w:lineRule="exact"/>
        <w:ind w:firstLine="360" w:firstLineChars="150"/>
        <w:rPr>
          <w:bCs/>
          <w:kern w:val="0"/>
          <w:sz w:val="24"/>
          <w:highlight w:val="none"/>
        </w:rPr>
      </w:pPr>
      <w:r>
        <w:rPr>
          <w:sz w:val="24"/>
          <w:highlight w:val="none"/>
        </w:rPr>
        <w:t>（</w:t>
      </w:r>
      <w:r>
        <w:rPr>
          <w:rFonts w:hint="eastAsia"/>
          <w:sz w:val="24"/>
          <w:highlight w:val="none"/>
          <w:lang w:val="en-US" w:eastAsia="zh-CN"/>
        </w:rPr>
        <w:t>7</w:t>
      </w:r>
      <w:r>
        <w:rPr>
          <w:sz w:val="24"/>
          <w:highlight w:val="none"/>
        </w:rPr>
        <w:t>）</w:t>
      </w:r>
      <w:r>
        <w:rPr>
          <w:bCs/>
          <w:kern w:val="0"/>
          <w:sz w:val="24"/>
          <w:highlight w:val="none"/>
        </w:rPr>
        <w:t>升压站</w:t>
      </w:r>
    </w:p>
    <w:p>
      <w:pPr>
        <w:pStyle w:val="33"/>
        <w:snapToGrid w:val="0"/>
        <w:spacing w:after="0" w:line="480" w:lineRule="exact"/>
        <w:ind w:left="0" w:leftChars="0" w:firstLine="480" w:firstLineChars="200"/>
        <w:rPr>
          <w:bCs/>
          <w:kern w:val="0"/>
          <w:sz w:val="24"/>
          <w:highlight w:val="none"/>
        </w:rPr>
      </w:pPr>
      <w:r>
        <w:rPr>
          <w:rFonts w:hint="eastAsia"/>
          <w:bCs/>
          <w:kern w:val="0"/>
          <w:sz w:val="24"/>
          <w:highlight w:val="none"/>
        </w:rPr>
        <w:t>位于厂房下上游侧</w:t>
      </w:r>
      <w:r>
        <w:rPr>
          <w:rFonts w:hint="eastAsia"/>
          <w:bCs/>
          <w:kern w:val="0"/>
          <w:sz w:val="24"/>
          <w:highlight w:val="none"/>
          <w:lang w:eastAsia="zh-CN"/>
        </w:rPr>
        <w:t>。长20m，宽10m，地面高程为80.36m，安装高程81.16m，户外露天布置。并网线路长6，5km，电压等级为11kv，接入崔家庄35kv变电站</w:t>
      </w:r>
      <w:r>
        <w:rPr>
          <w:bCs/>
          <w:kern w:val="0"/>
          <w:sz w:val="24"/>
          <w:highlight w:val="none"/>
        </w:rPr>
        <w:t>。</w:t>
      </w:r>
    </w:p>
    <w:p>
      <w:pPr>
        <w:snapToGrid w:val="0"/>
        <w:spacing w:line="480" w:lineRule="exact"/>
        <w:ind w:firstLine="360" w:firstLineChars="150"/>
        <w:rPr>
          <w:sz w:val="24"/>
          <w:highlight w:val="none"/>
        </w:rPr>
      </w:pPr>
      <w:r>
        <w:rPr>
          <w:bCs/>
          <w:kern w:val="0"/>
          <w:sz w:val="24"/>
          <w:highlight w:val="none"/>
        </w:rPr>
        <w:t>（</w:t>
      </w:r>
      <w:r>
        <w:rPr>
          <w:rFonts w:hint="eastAsia"/>
          <w:bCs/>
          <w:kern w:val="0"/>
          <w:sz w:val="24"/>
          <w:highlight w:val="none"/>
          <w:lang w:val="en-US" w:eastAsia="zh-CN"/>
        </w:rPr>
        <w:t>8</w:t>
      </w:r>
      <w:r>
        <w:rPr>
          <w:bCs/>
          <w:kern w:val="0"/>
          <w:sz w:val="24"/>
          <w:highlight w:val="none"/>
        </w:rPr>
        <w:t>）</w:t>
      </w:r>
      <w:r>
        <w:rPr>
          <w:sz w:val="24"/>
          <w:highlight w:val="none"/>
        </w:rPr>
        <w:t>尾水渠</w:t>
      </w:r>
    </w:p>
    <w:p>
      <w:pPr>
        <w:snapToGrid w:val="0"/>
        <w:spacing w:line="480" w:lineRule="exact"/>
        <w:ind w:firstLine="360" w:firstLineChars="150"/>
        <w:rPr>
          <w:sz w:val="24"/>
          <w:highlight w:val="none"/>
        </w:rPr>
      </w:pPr>
      <w:r>
        <w:rPr>
          <w:rFonts w:hint="eastAsia"/>
          <w:sz w:val="24"/>
          <w:highlight w:val="none"/>
        </w:rPr>
        <w:t>尾水渠上段位于河道右堤外，为矩形过水断面，底宽15m，下游位于河床内,为梯形过水断面，底宽53.5m，边坡1：3。渠底首端高程74.30m, 最大挖深11.4m,设计流量60m</w:t>
      </w:r>
      <w:r>
        <w:rPr>
          <w:rFonts w:hint="eastAsia"/>
          <w:sz w:val="24"/>
          <w:highlight w:val="none"/>
          <w:vertAlign w:val="superscript"/>
        </w:rPr>
        <w:t>3</w:t>
      </w:r>
      <w:r>
        <w:rPr>
          <w:rFonts w:hint="eastAsia"/>
          <w:sz w:val="24"/>
          <w:highlight w:val="none"/>
        </w:rPr>
        <w:t>/s，渠底末端高程74.92m,设计水深1.00m,边坡1:3.0,设计纵坡1/2000,长度440.76m</w:t>
      </w:r>
      <w:r>
        <w:rPr>
          <w:sz w:val="24"/>
          <w:highlight w:val="none"/>
        </w:rPr>
        <w:t>。</w:t>
      </w:r>
    </w:p>
    <w:p>
      <w:pPr>
        <w:spacing w:line="480" w:lineRule="exact"/>
        <w:outlineLvl w:val="1"/>
        <w:rPr>
          <w:b/>
          <w:sz w:val="24"/>
          <w:highlight w:val="none"/>
        </w:rPr>
      </w:pPr>
      <w:bookmarkStart w:id="433" w:name="_Toc20014"/>
      <w:r>
        <w:rPr>
          <w:b/>
          <w:sz w:val="24"/>
          <w:highlight w:val="none"/>
        </w:rPr>
        <w:t xml:space="preserve">10.2 </w:t>
      </w:r>
      <w:r>
        <w:rPr>
          <w:rFonts w:hint="eastAsia"/>
          <w:b/>
          <w:sz w:val="24"/>
          <w:highlight w:val="none"/>
        </w:rPr>
        <w:t>产业政策符合性</w:t>
      </w:r>
      <w:bookmarkEnd w:id="433"/>
    </w:p>
    <w:p>
      <w:pPr>
        <w:spacing w:line="480" w:lineRule="exact"/>
        <w:ind w:firstLine="480" w:firstLineChars="200"/>
        <w:rPr>
          <w:sz w:val="24"/>
          <w:highlight w:val="none"/>
        </w:rPr>
      </w:pPr>
      <w:r>
        <w:rPr>
          <w:rFonts w:hint="eastAsia"/>
          <w:sz w:val="24"/>
          <w:highlight w:val="none"/>
        </w:rPr>
        <w:t xml:space="preserve">本项目为水电站建设项目，行业类别属于 D4413 水力发电（指通过建设水电站将水能转换成电能的生产活动）。对照《产业结构调整指导目录》（2019 年，本项目水电站装机容量为 </w:t>
      </w:r>
      <w:r>
        <w:rPr>
          <w:rFonts w:hint="eastAsia"/>
          <w:snapToGrid w:val="0"/>
          <w:kern w:val="0"/>
          <w:sz w:val="24"/>
          <w:highlight w:val="none"/>
        </w:rPr>
        <w:t>3750kw</w:t>
      </w:r>
      <w:r>
        <w:rPr>
          <w:rFonts w:hint="eastAsia"/>
          <w:sz w:val="24"/>
          <w:highlight w:val="none"/>
        </w:rPr>
        <w:t>，属于小型水利发电项目。不属于限制类的无下泄生态流量的引水式水力发电，所采用发电机组不属于国家限制淘汰设备，因此本项目属于允许类。符合产业政策。</w:t>
      </w:r>
    </w:p>
    <w:p>
      <w:pPr>
        <w:spacing w:line="480" w:lineRule="exact"/>
        <w:outlineLvl w:val="1"/>
        <w:rPr>
          <w:b/>
          <w:sz w:val="24"/>
          <w:highlight w:val="none"/>
        </w:rPr>
      </w:pPr>
      <w:bookmarkStart w:id="434" w:name="_Toc14702"/>
      <w:bookmarkStart w:id="435" w:name="_Toc10899"/>
      <w:bookmarkStart w:id="436" w:name="_Toc28791"/>
      <w:r>
        <w:rPr>
          <w:b/>
          <w:sz w:val="24"/>
          <w:highlight w:val="none"/>
        </w:rPr>
        <w:t>10.</w:t>
      </w:r>
      <w:r>
        <w:rPr>
          <w:rFonts w:hint="eastAsia"/>
          <w:b/>
          <w:sz w:val="24"/>
          <w:highlight w:val="none"/>
        </w:rPr>
        <w:t>3</w:t>
      </w:r>
      <w:r>
        <w:rPr>
          <w:b/>
          <w:sz w:val="24"/>
          <w:highlight w:val="none"/>
        </w:rPr>
        <w:t xml:space="preserve"> 环境现状</w:t>
      </w:r>
      <w:bookmarkEnd w:id="432"/>
      <w:bookmarkEnd w:id="434"/>
      <w:bookmarkEnd w:id="435"/>
      <w:r>
        <w:rPr>
          <w:b/>
          <w:sz w:val="24"/>
          <w:highlight w:val="none"/>
        </w:rPr>
        <w:t>结论</w:t>
      </w:r>
      <w:bookmarkEnd w:id="436"/>
    </w:p>
    <w:p>
      <w:pPr>
        <w:pStyle w:val="295"/>
        <w:ind w:firstLine="464"/>
        <w:rPr>
          <w:spacing w:val="-4"/>
          <w:highlight w:val="none"/>
        </w:rPr>
      </w:pPr>
      <w:r>
        <w:rPr>
          <w:rFonts w:hint="eastAsia" w:ascii="宋体" w:hAnsi="宋体" w:cs="宋体"/>
          <w:spacing w:val="-4"/>
          <w:highlight w:val="none"/>
        </w:rPr>
        <w:t>（1）</w:t>
      </w:r>
      <w:r>
        <w:rPr>
          <w:spacing w:val="-4"/>
          <w:highlight w:val="none"/>
        </w:rPr>
        <w:t>大气环境质量现状</w:t>
      </w:r>
    </w:p>
    <w:p>
      <w:pPr>
        <w:pStyle w:val="29"/>
        <w:tabs>
          <w:tab w:val="left" w:pos="4148"/>
        </w:tabs>
        <w:adjustRightInd w:val="0"/>
        <w:snapToGrid w:val="0"/>
        <w:spacing w:line="480" w:lineRule="exact"/>
        <w:ind w:firstLine="480" w:firstLineChars="200"/>
        <w:rPr>
          <w:rFonts w:ascii="Times New Roman" w:hAnsi="Times New Roman"/>
          <w:sz w:val="24"/>
          <w:szCs w:val="24"/>
          <w:highlight w:val="none"/>
        </w:rPr>
      </w:pPr>
      <w:r>
        <w:rPr>
          <w:rFonts w:ascii="Times New Roman" w:hAnsi="Times New Roman"/>
          <w:sz w:val="24"/>
          <w:szCs w:val="24"/>
          <w:highlight w:val="none"/>
        </w:rPr>
        <w:t>根据《20</w:t>
      </w:r>
      <w:r>
        <w:rPr>
          <w:rFonts w:hint="eastAsia" w:ascii="Times New Roman" w:hAnsi="Times New Roman"/>
          <w:sz w:val="24"/>
          <w:szCs w:val="24"/>
          <w:highlight w:val="none"/>
        </w:rPr>
        <w:t>2</w:t>
      </w:r>
      <w:r>
        <w:rPr>
          <w:rFonts w:hint="eastAsia" w:ascii="Times New Roman" w:hAnsi="Times New Roman"/>
          <w:sz w:val="24"/>
          <w:szCs w:val="24"/>
          <w:highlight w:val="none"/>
          <w:lang w:val="en-US" w:eastAsia="zh-CN"/>
        </w:rPr>
        <w:t>2</w:t>
      </w:r>
      <w:r>
        <w:rPr>
          <w:rFonts w:ascii="Times New Roman" w:hAnsi="Times New Roman"/>
          <w:sz w:val="24"/>
          <w:szCs w:val="24"/>
          <w:highlight w:val="none"/>
        </w:rPr>
        <w:t xml:space="preserve"> 唐山市环境状况公报》质量浓度统计数据，</w:t>
      </w:r>
      <w:r>
        <w:rPr>
          <w:rFonts w:hint="eastAsia" w:ascii="Times New Roman" w:hAnsi="Times New Roman"/>
          <w:sz w:val="24"/>
          <w:szCs w:val="24"/>
          <w:highlight w:val="none"/>
        </w:rPr>
        <w:t>本项目</w:t>
      </w:r>
      <w:r>
        <w:rPr>
          <w:rFonts w:ascii="Times New Roman" w:hAnsi="Times New Roman"/>
          <w:sz w:val="24"/>
          <w:szCs w:val="24"/>
          <w:highlight w:val="none"/>
        </w:rPr>
        <w:t>所在区域</w:t>
      </w:r>
      <w:r>
        <w:rPr>
          <w:rFonts w:hint="eastAsia" w:ascii="Times New Roman" w:hAnsi="Times New Roman"/>
          <w:sz w:val="24"/>
          <w:szCs w:val="24"/>
          <w:highlight w:val="none"/>
        </w:rPr>
        <w:t>本项目所在区域CO日均浓度值、SO</w:t>
      </w:r>
      <w:r>
        <w:rPr>
          <w:rFonts w:hint="eastAsia" w:ascii="Times New Roman" w:hAnsi="Times New Roman"/>
          <w:sz w:val="24"/>
          <w:szCs w:val="24"/>
          <w:highlight w:val="none"/>
          <w:vertAlign w:val="subscript"/>
        </w:rPr>
        <w:t>2</w:t>
      </w:r>
      <w:r>
        <w:rPr>
          <w:rFonts w:hint="eastAsia" w:ascii="Times New Roman" w:hAnsi="Times New Roman"/>
          <w:sz w:val="24"/>
          <w:szCs w:val="24"/>
          <w:highlight w:val="none"/>
        </w:rPr>
        <w:t>、NO</w:t>
      </w:r>
      <w:r>
        <w:rPr>
          <w:rFonts w:hint="eastAsia" w:ascii="Times New Roman" w:hAnsi="Times New Roman"/>
          <w:sz w:val="24"/>
          <w:szCs w:val="24"/>
          <w:highlight w:val="none"/>
          <w:vertAlign w:val="subscript"/>
        </w:rPr>
        <w:t>2</w:t>
      </w:r>
      <w:r>
        <w:rPr>
          <w:rFonts w:hint="eastAsia" w:ascii="Times New Roman" w:hAnsi="Times New Roman"/>
          <w:sz w:val="24"/>
          <w:szCs w:val="24"/>
          <w:highlight w:val="none"/>
        </w:rPr>
        <w:t>、PM</w:t>
      </w:r>
      <w:r>
        <w:rPr>
          <w:rFonts w:hint="eastAsia" w:ascii="Times New Roman" w:hAnsi="Times New Roman"/>
          <w:sz w:val="24"/>
          <w:szCs w:val="24"/>
          <w:highlight w:val="none"/>
          <w:vertAlign w:val="subscript"/>
        </w:rPr>
        <w:t>10</w:t>
      </w:r>
      <w:r>
        <w:rPr>
          <w:rFonts w:hint="eastAsia" w:ascii="Times New Roman" w:hAnsi="Times New Roman"/>
          <w:sz w:val="24"/>
          <w:szCs w:val="24"/>
          <w:highlight w:val="none"/>
        </w:rPr>
        <w:t>、PM</w:t>
      </w:r>
      <w:r>
        <w:rPr>
          <w:rFonts w:hint="eastAsia" w:ascii="Times New Roman" w:hAnsi="Times New Roman"/>
          <w:sz w:val="24"/>
          <w:szCs w:val="24"/>
          <w:highlight w:val="none"/>
          <w:vertAlign w:val="subscript"/>
        </w:rPr>
        <w:t>2.5</w:t>
      </w:r>
      <w:r>
        <w:rPr>
          <w:rFonts w:hint="eastAsia" w:ascii="Times New Roman" w:hAnsi="Times New Roman"/>
          <w:sz w:val="24"/>
          <w:szCs w:val="24"/>
          <w:highlight w:val="none"/>
        </w:rPr>
        <w:t>年均浓度值满足环境空气质量标准要求；O</w:t>
      </w:r>
      <w:r>
        <w:rPr>
          <w:rFonts w:hint="eastAsia" w:ascii="Times New Roman" w:hAnsi="Times New Roman"/>
          <w:sz w:val="24"/>
          <w:szCs w:val="24"/>
          <w:highlight w:val="none"/>
          <w:vertAlign w:val="subscript"/>
        </w:rPr>
        <w:t>3</w:t>
      </w:r>
      <w:r>
        <w:rPr>
          <w:rFonts w:hint="eastAsia" w:ascii="Times New Roman" w:hAnsi="Times New Roman"/>
          <w:sz w:val="24"/>
          <w:szCs w:val="24"/>
          <w:highlight w:val="none"/>
        </w:rPr>
        <w:t>浓度值超过环境空气质量标准要求。因此，项目所在区域属于不达标区</w:t>
      </w:r>
      <w:r>
        <w:rPr>
          <w:rFonts w:ascii="Times New Roman" w:hAnsi="Times New Roman"/>
          <w:sz w:val="24"/>
          <w:szCs w:val="24"/>
          <w:highlight w:val="none"/>
        </w:rPr>
        <w:t>。</w:t>
      </w:r>
    </w:p>
    <w:p>
      <w:pPr>
        <w:pStyle w:val="420"/>
        <w:spacing w:line="480" w:lineRule="exact"/>
        <w:ind w:firstLine="480" w:firstLineChars="200"/>
        <w:rPr>
          <w:highlight w:val="none"/>
        </w:rPr>
      </w:pPr>
      <w:r>
        <w:rPr>
          <w:rFonts w:hint="eastAsia"/>
          <w:highlight w:val="none"/>
        </w:rPr>
        <w:t>根据</w:t>
      </w:r>
      <w:r>
        <w:rPr>
          <w:highlight w:val="none"/>
        </w:rPr>
        <w:t>遵化市例行监测点位202</w:t>
      </w:r>
      <w:r>
        <w:rPr>
          <w:rFonts w:hint="eastAsia"/>
          <w:highlight w:val="none"/>
          <w:lang w:val="en-US" w:eastAsia="zh-CN"/>
        </w:rPr>
        <w:t>2</w:t>
      </w:r>
      <w:r>
        <w:rPr>
          <w:highlight w:val="none"/>
        </w:rPr>
        <w:t>年全年例行监测数据，</w:t>
      </w:r>
      <w:r>
        <w:rPr>
          <w:rFonts w:hint="eastAsia" w:ascii="Times New Roman" w:hAnsi="Times New Roman"/>
          <w:sz w:val="24"/>
          <w:szCs w:val="24"/>
          <w:highlight w:val="none"/>
        </w:rPr>
        <w:t>本项目</w:t>
      </w:r>
      <w:r>
        <w:rPr>
          <w:rFonts w:ascii="Times New Roman" w:hAnsi="Times New Roman"/>
          <w:sz w:val="24"/>
          <w:szCs w:val="24"/>
          <w:highlight w:val="none"/>
        </w:rPr>
        <w:t>所在区域</w:t>
      </w:r>
      <w:r>
        <w:rPr>
          <w:rFonts w:hint="eastAsia" w:ascii="Times New Roman" w:hAnsi="Times New Roman"/>
          <w:sz w:val="24"/>
          <w:szCs w:val="24"/>
          <w:highlight w:val="none"/>
        </w:rPr>
        <w:t>本项目所在区域CO日均浓度值、SO</w:t>
      </w:r>
      <w:r>
        <w:rPr>
          <w:rFonts w:hint="eastAsia" w:ascii="Times New Roman" w:hAnsi="Times New Roman"/>
          <w:sz w:val="24"/>
          <w:szCs w:val="24"/>
          <w:highlight w:val="none"/>
          <w:vertAlign w:val="subscript"/>
        </w:rPr>
        <w:t>2</w:t>
      </w:r>
      <w:r>
        <w:rPr>
          <w:rFonts w:hint="eastAsia" w:ascii="Times New Roman" w:hAnsi="Times New Roman"/>
          <w:sz w:val="24"/>
          <w:szCs w:val="24"/>
          <w:highlight w:val="none"/>
        </w:rPr>
        <w:t>、NO</w:t>
      </w:r>
      <w:r>
        <w:rPr>
          <w:rFonts w:hint="eastAsia" w:ascii="Times New Roman" w:hAnsi="Times New Roman"/>
          <w:sz w:val="24"/>
          <w:szCs w:val="24"/>
          <w:highlight w:val="none"/>
          <w:vertAlign w:val="subscript"/>
        </w:rPr>
        <w:t>2</w:t>
      </w:r>
      <w:r>
        <w:rPr>
          <w:rFonts w:hint="eastAsia" w:ascii="Times New Roman" w:hAnsi="Times New Roman"/>
          <w:sz w:val="24"/>
          <w:szCs w:val="24"/>
          <w:highlight w:val="none"/>
        </w:rPr>
        <w:t>、PM</w:t>
      </w:r>
      <w:r>
        <w:rPr>
          <w:rFonts w:hint="eastAsia" w:ascii="Times New Roman" w:hAnsi="Times New Roman"/>
          <w:sz w:val="24"/>
          <w:szCs w:val="24"/>
          <w:highlight w:val="none"/>
          <w:vertAlign w:val="subscript"/>
        </w:rPr>
        <w:t>10</w:t>
      </w:r>
      <w:r>
        <w:rPr>
          <w:rFonts w:hint="eastAsia" w:ascii="Times New Roman" w:hAnsi="Times New Roman"/>
          <w:sz w:val="24"/>
          <w:szCs w:val="24"/>
          <w:highlight w:val="none"/>
        </w:rPr>
        <w:t>、PM</w:t>
      </w:r>
      <w:r>
        <w:rPr>
          <w:rFonts w:hint="eastAsia" w:ascii="Times New Roman" w:hAnsi="Times New Roman"/>
          <w:sz w:val="24"/>
          <w:szCs w:val="24"/>
          <w:highlight w:val="none"/>
          <w:vertAlign w:val="subscript"/>
        </w:rPr>
        <w:t>2.5</w:t>
      </w:r>
      <w:r>
        <w:rPr>
          <w:rFonts w:hint="eastAsia" w:ascii="Times New Roman" w:hAnsi="Times New Roman"/>
          <w:sz w:val="24"/>
          <w:szCs w:val="24"/>
          <w:highlight w:val="none"/>
        </w:rPr>
        <w:t>年均浓度值满足环境空气质量标准要求；O</w:t>
      </w:r>
      <w:r>
        <w:rPr>
          <w:rFonts w:hint="eastAsia" w:ascii="Times New Roman" w:hAnsi="Times New Roman"/>
          <w:sz w:val="24"/>
          <w:szCs w:val="24"/>
          <w:highlight w:val="none"/>
          <w:vertAlign w:val="subscript"/>
        </w:rPr>
        <w:t>3</w:t>
      </w:r>
      <w:r>
        <w:rPr>
          <w:rFonts w:hint="eastAsia" w:ascii="Times New Roman" w:hAnsi="Times New Roman"/>
          <w:sz w:val="24"/>
          <w:szCs w:val="24"/>
          <w:highlight w:val="none"/>
        </w:rPr>
        <w:t>浓度值超过环境空气质量标准要求。因此，项目所在区域属于不达标区</w:t>
      </w:r>
      <w:r>
        <w:rPr>
          <w:highlight w:val="none"/>
        </w:rPr>
        <w:t>。</w:t>
      </w:r>
    </w:p>
    <w:p>
      <w:pPr>
        <w:pStyle w:val="420"/>
        <w:spacing w:line="480" w:lineRule="exact"/>
        <w:ind w:firstLine="480" w:firstLineChars="200"/>
        <w:rPr>
          <w:highlight w:val="none"/>
          <w:lang w:val="zh-CN"/>
        </w:rPr>
      </w:pPr>
      <w:r>
        <w:rPr>
          <w:rFonts w:hint="eastAsia"/>
          <w:highlight w:val="none"/>
        </w:rPr>
        <w:t>（2）地表水环境</w:t>
      </w:r>
    </w:p>
    <w:p>
      <w:pPr>
        <w:autoSpaceDE w:val="0"/>
        <w:autoSpaceDN w:val="0"/>
        <w:adjustRightInd w:val="0"/>
        <w:spacing w:line="480" w:lineRule="exact"/>
        <w:ind w:firstLine="480" w:firstLineChars="200"/>
        <w:rPr>
          <w:kern w:val="0"/>
          <w:sz w:val="24"/>
          <w:highlight w:val="none"/>
          <w:lang w:val="zh-CN"/>
        </w:rPr>
      </w:pPr>
      <w:r>
        <w:rPr>
          <w:rFonts w:hint="eastAsia"/>
          <w:snapToGrid w:val="0"/>
          <w:kern w:val="0"/>
          <w:sz w:val="24"/>
          <w:highlight w:val="none"/>
        </w:rPr>
        <w:t>根据河北浩瀚环保科技有限公司监测，</w:t>
      </w:r>
      <w:r>
        <w:rPr>
          <w:kern w:val="0"/>
          <w:sz w:val="24"/>
          <w:highlight w:val="none"/>
        </w:rPr>
        <w:t>从上表可以看出，黎河输送水所测的各项指标均能达到《地表水环境质量标准》（GB3838-2002）</w:t>
      </w:r>
      <w:r>
        <w:rPr>
          <w:rFonts w:hint="eastAsia"/>
          <w:sz w:val="24"/>
          <w:highlight w:val="none"/>
        </w:rPr>
        <w:t>Ⅲ</w:t>
      </w:r>
      <w:r>
        <w:rPr>
          <w:kern w:val="0"/>
          <w:sz w:val="24"/>
          <w:highlight w:val="none"/>
        </w:rPr>
        <w:t>类标准要求，地表水环境质量良好</w:t>
      </w:r>
    </w:p>
    <w:p>
      <w:pPr>
        <w:autoSpaceDE w:val="0"/>
        <w:autoSpaceDN w:val="0"/>
        <w:adjustRightInd w:val="0"/>
        <w:spacing w:line="480" w:lineRule="exact"/>
        <w:ind w:firstLine="480" w:firstLineChars="200"/>
        <w:rPr>
          <w:kern w:val="0"/>
          <w:sz w:val="24"/>
          <w:highlight w:val="none"/>
        </w:rPr>
      </w:pPr>
      <w:r>
        <w:rPr>
          <w:rFonts w:hint="eastAsia"/>
          <w:kern w:val="0"/>
          <w:sz w:val="24"/>
          <w:highlight w:val="none"/>
        </w:rPr>
        <w:t>（3）</w:t>
      </w:r>
      <w:r>
        <w:rPr>
          <w:kern w:val="0"/>
          <w:sz w:val="24"/>
          <w:highlight w:val="none"/>
        </w:rPr>
        <w:t>地下水环境</w:t>
      </w:r>
    </w:p>
    <w:p>
      <w:pPr>
        <w:snapToGrid w:val="0"/>
        <w:spacing w:line="480" w:lineRule="exact"/>
        <w:ind w:firstLine="480" w:firstLineChars="200"/>
        <w:outlineLvl w:val="2"/>
        <w:rPr>
          <w:sz w:val="24"/>
          <w:highlight w:val="none"/>
        </w:rPr>
      </w:pPr>
      <w:r>
        <w:rPr>
          <w:rFonts w:hint="eastAsia"/>
          <w:sz w:val="24"/>
          <w:highlight w:val="none"/>
        </w:rPr>
        <w:t>根据监测，</w:t>
      </w:r>
      <w:r>
        <w:rPr>
          <w:sz w:val="24"/>
          <w:highlight w:val="none"/>
        </w:rPr>
        <w:t>本项目区域内地下水潜水水质总体较好，各地下水监测点各项监测因子中，监测结果满足《地下水环境质量标准》（GB1484-2017）</w:t>
      </w:r>
      <w:r>
        <w:rPr>
          <w:rFonts w:hint="eastAsia"/>
          <w:sz w:val="24"/>
          <w:highlight w:val="none"/>
        </w:rPr>
        <w:t>Ⅲ</w:t>
      </w:r>
      <w:r>
        <w:rPr>
          <w:sz w:val="24"/>
          <w:highlight w:val="none"/>
        </w:rPr>
        <w:t>类标准要求。</w:t>
      </w:r>
    </w:p>
    <w:p>
      <w:pPr>
        <w:snapToGrid w:val="0"/>
        <w:spacing w:line="480" w:lineRule="exact"/>
        <w:ind w:firstLine="480" w:firstLineChars="200"/>
        <w:outlineLvl w:val="2"/>
        <w:rPr>
          <w:sz w:val="24"/>
          <w:highlight w:val="none"/>
        </w:rPr>
      </w:pPr>
      <w:r>
        <w:rPr>
          <w:rFonts w:hint="eastAsia"/>
          <w:sz w:val="24"/>
          <w:highlight w:val="none"/>
        </w:rPr>
        <w:t>（3）</w:t>
      </w:r>
      <w:r>
        <w:rPr>
          <w:sz w:val="24"/>
          <w:highlight w:val="none"/>
        </w:rPr>
        <w:t>声环境</w:t>
      </w:r>
    </w:p>
    <w:p>
      <w:pPr>
        <w:spacing w:line="480" w:lineRule="exact"/>
        <w:ind w:firstLine="425"/>
        <w:rPr>
          <w:sz w:val="24"/>
          <w:highlight w:val="none"/>
          <w:lang w:val="zh-CN"/>
        </w:rPr>
      </w:pPr>
      <w:r>
        <w:rPr>
          <w:rFonts w:hint="eastAsia"/>
          <w:color w:val="000000"/>
          <w:sz w:val="24"/>
          <w:highlight w:val="none"/>
        </w:rPr>
        <w:t>根据</w:t>
      </w:r>
      <w:r>
        <w:rPr>
          <w:color w:val="000000"/>
          <w:sz w:val="24"/>
          <w:highlight w:val="none"/>
        </w:rPr>
        <w:t>监测</w:t>
      </w:r>
      <w:r>
        <w:rPr>
          <w:rFonts w:hint="eastAsia"/>
          <w:color w:val="000000"/>
          <w:sz w:val="24"/>
          <w:highlight w:val="none"/>
        </w:rPr>
        <w:t>，</w:t>
      </w:r>
      <w:r>
        <w:rPr>
          <w:sz w:val="24"/>
          <w:highlight w:val="none"/>
          <w:lang w:val="zh-CN"/>
        </w:rPr>
        <w:t>厂界四周声环境满足国家《声环境质量标准》（GB3096-2008）2类标准限值要求。</w:t>
      </w:r>
    </w:p>
    <w:p>
      <w:pPr>
        <w:spacing w:line="480" w:lineRule="exact"/>
        <w:ind w:firstLine="425"/>
        <w:rPr>
          <w:sz w:val="24"/>
          <w:highlight w:val="none"/>
          <w:lang w:val="zh-CN"/>
        </w:rPr>
      </w:pPr>
      <w:r>
        <w:rPr>
          <w:rFonts w:hint="eastAsia"/>
          <w:sz w:val="24"/>
          <w:highlight w:val="none"/>
        </w:rPr>
        <w:t>（4）</w:t>
      </w:r>
      <w:r>
        <w:rPr>
          <w:sz w:val="24"/>
          <w:highlight w:val="none"/>
          <w:lang w:val="zh-CN"/>
        </w:rPr>
        <w:t>土壤环境</w:t>
      </w:r>
    </w:p>
    <w:p>
      <w:pPr>
        <w:pStyle w:val="420"/>
        <w:widowControl w:val="0"/>
        <w:spacing w:line="480" w:lineRule="exact"/>
        <w:ind w:firstLine="480" w:firstLineChars="200"/>
        <w:jc w:val="both"/>
        <w:rPr>
          <w:highlight w:val="none"/>
        </w:rPr>
      </w:pPr>
      <w:r>
        <w:rPr>
          <w:color w:val="000000"/>
          <w:highlight w:val="none"/>
        </w:rPr>
        <w:t>通过检测结果可知</w:t>
      </w:r>
      <w:r>
        <w:rPr>
          <w:rFonts w:hint="eastAsia"/>
          <w:color w:val="000000"/>
          <w:highlight w:val="none"/>
        </w:rPr>
        <w:t>：</w:t>
      </w:r>
      <w:r>
        <w:rPr>
          <w:color w:val="000000"/>
          <w:highlight w:val="none"/>
        </w:rPr>
        <w:t>项目厂区范围内以及厂外200m范围内土壤环境质量现状均满足《土壤环境质量建设用地土壤污染风险管控标准（试行）》（GB36600</w:t>
      </w:r>
      <w:r>
        <w:rPr>
          <w:rFonts w:hint="eastAsia"/>
          <w:color w:val="000000"/>
          <w:highlight w:val="none"/>
        </w:rPr>
        <w:t xml:space="preserve"> </w:t>
      </w:r>
      <w:r>
        <w:rPr>
          <w:color w:val="000000"/>
          <w:highlight w:val="none"/>
        </w:rPr>
        <w:t>-2018）第二类用地筛选值标准要求，区域土壤环境较好</w:t>
      </w:r>
      <w:r>
        <w:rPr>
          <w:rFonts w:hint="eastAsia"/>
          <w:color w:val="000000"/>
          <w:highlight w:val="none"/>
        </w:rPr>
        <w:t>。本次所选取的各土壤监测点的pH值均处于 5.5≤pH＜8.5 之间，现状土壤无酸化或碱化。</w:t>
      </w:r>
    </w:p>
    <w:p>
      <w:pPr>
        <w:spacing w:line="480" w:lineRule="exact"/>
        <w:outlineLvl w:val="1"/>
        <w:rPr>
          <w:b/>
          <w:sz w:val="24"/>
          <w:highlight w:val="none"/>
          <w:lang w:val="zh-CN"/>
        </w:rPr>
      </w:pPr>
      <w:bookmarkStart w:id="437" w:name="_Toc6067"/>
      <w:r>
        <w:rPr>
          <w:b/>
          <w:sz w:val="24"/>
          <w:highlight w:val="none"/>
        </w:rPr>
        <w:t>10.</w:t>
      </w:r>
      <w:r>
        <w:rPr>
          <w:rFonts w:hint="eastAsia"/>
          <w:b/>
          <w:sz w:val="24"/>
          <w:highlight w:val="none"/>
        </w:rPr>
        <w:t>4</w:t>
      </w:r>
      <w:r>
        <w:rPr>
          <w:b/>
          <w:sz w:val="24"/>
          <w:highlight w:val="none"/>
        </w:rPr>
        <w:t xml:space="preserve"> </w:t>
      </w:r>
      <w:r>
        <w:rPr>
          <w:rFonts w:hint="eastAsia"/>
          <w:b/>
          <w:sz w:val="24"/>
          <w:highlight w:val="none"/>
          <w:lang w:val="zh-CN"/>
        </w:rPr>
        <w:t>环境保护目标</w:t>
      </w:r>
      <w:bookmarkEnd w:id="437"/>
    </w:p>
    <w:p>
      <w:pPr>
        <w:spacing w:line="480" w:lineRule="exact"/>
        <w:ind w:firstLine="480" w:firstLineChars="200"/>
        <w:rPr>
          <w:color w:val="auto"/>
          <w:sz w:val="24"/>
          <w:highlight w:val="none"/>
        </w:rPr>
      </w:pPr>
      <w:r>
        <w:rPr>
          <w:rFonts w:hint="eastAsia"/>
          <w:snapToGrid w:val="0"/>
          <w:kern w:val="0"/>
          <w:sz w:val="24"/>
          <w:highlight w:val="none"/>
        </w:rPr>
        <w:t>根据拟建工程特点及周围环境特征，地表水为橡胶坝上游至电站尾水排放点的黎河，地下水环境保护目标确保不明显影响地下水水位和流向，本工程不涉及自然保护区、风景名胜区、湿地公园和饮用水水源保护区等环境敏感区。无重点保护目标和名贵树种、野生动物。</w:t>
      </w:r>
      <w:r>
        <w:rPr>
          <w:rFonts w:hint="eastAsia"/>
          <w:snapToGrid w:val="0"/>
          <w:kern w:val="0"/>
          <w:sz w:val="24"/>
          <w:highlight w:val="none"/>
          <w:lang w:val="zh-CN"/>
        </w:rPr>
        <w:t>本项目运营期无大气污染物排放，不需要设置环境空气保护目标。噪声主要考虑</w:t>
      </w:r>
      <w:r>
        <w:rPr>
          <w:rFonts w:hint="eastAsia"/>
          <w:snapToGrid w:val="0"/>
          <w:color w:val="auto"/>
          <w:kern w:val="0"/>
          <w:sz w:val="24"/>
          <w:highlight w:val="none"/>
          <w:lang w:val="zh-CN"/>
        </w:rPr>
        <w:t>水轮机与发电机运行噪声对周围环境的影响。</w:t>
      </w:r>
      <w:r>
        <w:rPr>
          <w:rFonts w:hint="eastAsia"/>
          <w:snapToGrid w:val="0"/>
          <w:color w:val="auto"/>
          <w:kern w:val="0"/>
          <w:sz w:val="24"/>
          <w:highlight w:val="none"/>
        </w:rPr>
        <w:t>土壤评价范围内水电站占地等受工程影响区域，保证受工程影响区域土壤基本维持现状。</w:t>
      </w:r>
    </w:p>
    <w:p>
      <w:pPr>
        <w:pStyle w:val="3"/>
        <w:spacing w:beforeLines="0" w:line="480" w:lineRule="exact"/>
        <w:rPr>
          <w:rFonts w:eastAsia="宋体"/>
          <w:b/>
          <w:color w:val="auto"/>
          <w:highlight w:val="none"/>
        </w:rPr>
      </w:pPr>
      <w:bookmarkStart w:id="438" w:name="_Toc4425"/>
      <w:bookmarkStart w:id="439" w:name="_Toc13737"/>
      <w:bookmarkStart w:id="440" w:name="_Toc25101"/>
      <w:bookmarkStart w:id="441" w:name="_Toc246763584"/>
      <w:r>
        <w:rPr>
          <w:rFonts w:eastAsia="宋体"/>
          <w:b/>
          <w:color w:val="auto"/>
          <w:highlight w:val="none"/>
        </w:rPr>
        <w:t>10.</w:t>
      </w:r>
      <w:r>
        <w:rPr>
          <w:rFonts w:hint="eastAsia" w:eastAsia="宋体"/>
          <w:b/>
          <w:color w:val="auto"/>
          <w:highlight w:val="none"/>
        </w:rPr>
        <w:t>5</w:t>
      </w:r>
      <w:r>
        <w:rPr>
          <w:rFonts w:eastAsia="宋体"/>
          <w:b/>
          <w:color w:val="auto"/>
          <w:highlight w:val="none"/>
        </w:rPr>
        <w:t xml:space="preserve"> 拟采取环保措施的可行性</w:t>
      </w:r>
      <w:bookmarkEnd w:id="438"/>
      <w:bookmarkEnd w:id="439"/>
      <w:bookmarkEnd w:id="440"/>
      <w:bookmarkEnd w:id="441"/>
    </w:p>
    <w:p>
      <w:pPr>
        <w:spacing w:line="480" w:lineRule="exact"/>
        <w:rPr>
          <w:b/>
          <w:bCs/>
          <w:color w:val="auto"/>
          <w:sz w:val="24"/>
          <w:highlight w:val="none"/>
        </w:rPr>
      </w:pPr>
      <w:r>
        <w:rPr>
          <w:b/>
          <w:bCs/>
          <w:color w:val="auto"/>
          <w:sz w:val="24"/>
          <w:highlight w:val="none"/>
        </w:rPr>
        <w:t>10.</w:t>
      </w:r>
      <w:r>
        <w:rPr>
          <w:rFonts w:hint="eastAsia"/>
          <w:b/>
          <w:bCs/>
          <w:color w:val="auto"/>
          <w:sz w:val="24"/>
          <w:highlight w:val="none"/>
        </w:rPr>
        <w:t>5</w:t>
      </w:r>
      <w:r>
        <w:rPr>
          <w:b/>
          <w:bCs/>
          <w:color w:val="auto"/>
          <w:sz w:val="24"/>
          <w:highlight w:val="none"/>
        </w:rPr>
        <w:t>.1 厂址选择可行性</w:t>
      </w:r>
    </w:p>
    <w:p>
      <w:pPr>
        <w:spacing w:line="480" w:lineRule="exact"/>
        <w:ind w:firstLine="480"/>
        <w:rPr>
          <w:rFonts w:hint="eastAsia" w:eastAsia="宋体"/>
          <w:color w:val="auto"/>
          <w:sz w:val="24"/>
          <w:highlight w:val="none"/>
          <w:lang w:val="en-US" w:eastAsia="zh-CN"/>
        </w:rPr>
      </w:pPr>
      <w:r>
        <w:rPr>
          <w:color w:val="auto"/>
          <w:sz w:val="24"/>
          <w:highlight w:val="none"/>
        </w:rPr>
        <w:t>本项目位于：唐山市</w:t>
      </w:r>
      <w:r>
        <w:rPr>
          <w:rFonts w:hint="eastAsia"/>
          <w:color w:val="auto"/>
          <w:sz w:val="24"/>
          <w:highlight w:val="none"/>
        </w:rPr>
        <w:t>遵化市建明镇西铺村西南1200m</w:t>
      </w:r>
      <w:r>
        <w:rPr>
          <w:snapToGrid w:val="0"/>
          <w:color w:val="auto"/>
          <w:kern w:val="0"/>
          <w:sz w:val="24"/>
          <w:highlight w:val="none"/>
        </w:rPr>
        <w:t>，</w:t>
      </w:r>
      <w:r>
        <w:rPr>
          <w:snapToGrid w:val="0"/>
          <w:kern w:val="0"/>
          <w:sz w:val="24"/>
          <w:highlight w:val="none"/>
        </w:rPr>
        <w:t>厂区中心地理坐标</w:t>
      </w:r>
      <w:r>
        <w:rPr>
          <w:rFonts w:hint="eastAsia"/>
          <w:snapToGrid w:val="0"/>
          <w:kern w:val="0"/>
          <w:sz w:val="24"/>
          <w:highlight w:val="none"/>
        </w:rPr>
        <w:t>北纬40.183881°，东经118.119378°</w:t>
      </w:r>
      <w:r>
        <w:rPr>
          <w:snapToGrid w:val="0"/>
          <w:color w:val="auto"/>
          <w:kern w:val="0"/>
          <w:sz w:val="24"/>
          <w:highlight w:val="none"/>
        </w:rPr>
        <w:t>。</w:t>
      </w:r>
      <w:r>
        <w:rPr>
          <w:color w:val="auto"/>
          <w:sz w:val="24"/>
          <w:highlight w:val="none"/>
        </w:rPr>
        <w:t>本项目符合国家产业政策，项目选址符合规划；根据《</w:t>
      </w:r>
      <w:r>
        <w:rPr>
          <w:rFonts w:hint="eastAsia"/>
          <w:color w:val="auto"/>
          <w:sz w:val="24"/>
          <w:highlight w:val="none"/>
          <w:lang w:eastAsia="zh-CN"/>
        </w:rPr>
        <w:t>天津市引滦工程黎河管理处</w:t>
      </w:r>
      <w:r>
        <w:rPr>
          <w:color w:val="auto"/>
          <w:sz w:val="24"/>
          <w:highlight w:val="none"/>
        </w:rPr>
        <w:t>土地证》[</w:t>
      </w:r>
      <w:r>
        <w:rPr>
          <w:rFonts w:hint="eastAsia"/>
          <w:color w:val="auto"/>
          <w:sz w:val="24"/>
          <w:highlight w:val="none"/>
          <w:lang w:eastAsia="zh-CN"/>
        </w:rPr>
        <w:t>遵国用</w:t>
      </w:r>
      <w:r>
        <w:rPr>
          <w:color w:val="auto"/>
          <w:sz w:val="24"/>
          <w:highlight w:val="none"/>
        </w:rPr>
        <w:t>（</w:t>
      </w:r>
      <w:r>
        <w:rPr>
          <w:rFonts w:hint="eastAsia"/>
          <w:color w:val="auto"/>
          <w:sz w:val="24"/>
          <w:highlight w:val="none"/>
          <w:lang w:val="en-US" w:eastAsia="zh-CN"/>
        </w:rPr>
        <w:t>99</w:t>
      </w:r>
      <w:r>
        <w:rPr>
          <w:color w:val="auto"/>
          <w:sz w:val="24"/>
          <w:highlight w:val="none"/>
        </w:rPr>
        <w:t>）</w:t>
      </w:r>
      <w:r>
        <w:rPr>
          <w:rFonts w:hint="eastAsia"/>
          <w:color w:val="auto"/>
          <w:sz w:val="24"/>
          <w:highlight w:val="none"/>
          <w:lang w:eastAsia="zh-CN"/>
        </w:rPr>
        <w:t>字第</w:t>
      </w:r>
      <w:r>
        <w:rPr>
          <w:rFonts w:hint="eastAsia"/>
          <w:color w:val="auto"/>
          <w:sz w:val="24"/>
          <w:highlight w:val="none"/>
          <w:lang w:val="en-US" w:eastAsia="zh-CN"/>
        </w:rPr>
        <w:t>316号</w:t>
      </w:r>
      <w:r>
        <w:rPr>
          <w:color w:val="auto"/>
          <w:sz w:val="24"/>
          <w:highlight w:val="none"/>
        </w:rPr>
        <w:t>]</w:t>
      </w:r>
      <w:r>
        <w:rPr>
          <w:rFonts w:hint="eastAsia"/>
          <w:color w:val="auto"/>
          <w:sz w:val="24"/>
          <w:highlight w:val="none"/>
          <w:lang w:eastAsia="zh-CN"/>
        </w:rPr>
        <w:t>、遵化市昌明水力发电有限公司与天津市引滦工程黎河管理处的用地协议书</w:t>
      </w:r>
      <w:r>
        <w:rPr>
          <w:color w:val="auto"/>
          <w:sz w:val="24"/>
          <w:highlight w:val="none"/>
        </w:rPr>
        <w:t>，本项目用地属于国有建设用地，本项目</w:t>
      </w:r>
      <w:r>
        <w:rPr>
          <w:color w:val="auto"/>
          <w:sz w:val="24"/>
          <w:highlight w:val="none"/>
          <w:lang w:val="en-GB"/>
        </w:rPr>
        <w:t>选址合理</w:t>
      </w:r>
      <w:r>
        <w:rPr>
          <w:rFonts w:hint="eastAsia"/>
          <w:color w:val="auto"/>
          <w:sz w:val="24"/>
          <w:highlight w:val="none"/>
          <w:lang w:val="en-GB" w:eastAsia="zh-CN"/>
        </w:rPr>
        <w:t>。</w:t>
      </w:r>
    </w:p>
    <w:p>
      <w:pPr>
        <w:spacing w:line="480" w:lineRule="exact"/>
        <w:rPr>
          <w:b/>
          <w:bCs/>
          <w:color w:val="auto"/>
          <w:sz w:val="24"/>
          <w:highlight w:val="none"/>
        </w:rPr>
      </w:pPr>
      <w:r>
        <w:rPr>
          <w:b/>
          <w:bCs/>
          <w:color w:val="auto"/>
          <w:sz w:val="24"/>
          <w:highlight w:val="none"/>
        </w:rPr>
        <w:t>10.</w:t>
      </w:r>
      <w:r>
        <w:rPr>
          <w:rFonts w:hint="eastAsia"/>
          <w:b/>
          <w:bCs/>
          <w:color w:val="auto"/>
          <w:sz w:val="24"/>
          <w:highlight w:val="none"/>
        </w:rPr>
        <w:t>5</w:t>
      </w:r>
      <w:r>
        <w:rPr>
          <w:b/>
          <w:bCs/>
          <w:color w:val="auto"/>
          <w:sz w:val="24"/>
          <w:highlight w:val="none"/>
        </w:rPr>
        <w:t>.2 项目污染物排放和污染物防治措施</w:t>
      </w:r>
    </w:p>
    <w:p>
      <w:pPr>
        <w:spacing w:line="480" w:lineRule="exact"/>
        <w:ind w:firstLine="480" w:firstLineChars="200"/>
        <w:rPr>
          <w:color w:val="auto"/>
          <w:sz w:val="24"/>
          <w:highlight w:val="none"/>
        </w:rPr>
      </w:pPr>
      <w:r>
        <w:rPr>
          <w:rFonts w:hint="eastAsia"/>
          <w:color w:val="auto"/>
          <w:sz w:val="24"/>
          <w:highlight w:val="none"/>
        </w:rPr>
        <w:t>（1）</w:t>
      </w:r>
      <w:r>
        <w:rPr>
          <w:color w:val="auto"/>
          <w:sz w:val="24"/>
          <w:highlight w:val="none"/>
        </w:rPr>
        <w:t>废水污染源</w:t>
      </w:r>
    </w:p>
    <w:p>
      <w:pPr>
        <w:pStyle w:val="295"/>
        <w:ind w:firstLine="464"/>
        <w:rPr>
          <w:color w:val="auto"/>
          <w:spacing w:val="10"/>
          <w:highlight w:val="none"/>
        </w:rPr>
      </w:pPr>
      <w:r>
        <w:rPr>
          <w:color w:val="auto"/>
          <w:spacing w:val="-4"/>
          <w:highlight w:val="none"/>
        </w:rPr>
        <w:t>本项目发电无废水外排。</w:t>
      </w:r>
      <w:r>
        <w:rPr>
          <w:color w:val="auto"/>
          <w:highlight w:val="none"/>
        </w:rPr>
        <w:t>职工生活产生少量废水，排入厂区化粪池，</w:t>
      </w:r>
      <w:r>
        <w:rPr>
          <w:rFonts w:hint="eastAsia"/>
          <w:color w:val="auto"/>
          <w:highlight w:val="none"/>
          <w:lang w:eastAsia="zh-CN"/>
        </w:rPr>
        <w:t>由环卫部门定期清掏</w:t>
      </w:r>
      <w:r>
        <w:rPr>
          <w:color w:val="auto"/>
          <w:highlight w:val="none"/>
        </w:rPr>
        <w:t>。</w:t>
      </w:r>
      <w:r>
        <w:rPr>
          <w:rFonts w:hint="eastAsia"/>
          <w:color w:val="auto"/>
          <w:highlight w:val="none"/>
        </w:rPr>
        <w:t>措施可行。</w:t>
      </w:r>
    </w:p>
    <w:p>
      <w:pPr>
        <w:spacing w:line="480" w:lineRule="exact"/>
        <w:ind w:firstLine="480" w:firstLineChars="200"/>
        <w:rPr>
          <w:color w:val="auto"/>
          <w:sz w:val="24"/>
          <w:highlight w:val="none"/>
        </w:rPr>
      </w:pPr>
      <w:r>
        <w:rPr>
          <w:rFonts w:hint="eastAsia"/>
          <w:color w:val="auto"/>
          <w:sz w:val="24"/>
          <w:highlight w:val="none"/>
        </w:rPr>
        <w:t>（2）</w:t>
      </w:r>
      <w:r>
        <w:rPr>
          <w:color w:val="auto"/>
          <w:sz w:val="24"/>
          <w:highlight w:val="none"/>
        </w:rPr>
        <w:t xml:space="preserve"> 噪声污染源</w:t>
      </w:r>
    </w:p>
    <w:p>
      <w:pPr>
        <w:autoSpaceDE w:val="0"/>
        <w:autoSpaceDN w:val="0"/>
        <w:adjustRightInd w:val="0"/>
        <w:spacing w:line="480" w:lineRule="exact"/>
        <w:ind w:firstLine="480" w:firstLineChars="200"/>
        <w:textAlignment w:val="center"/>
        <w:rPr>
          <w:color w:val="auto"/>
          <w:kern w:val="0"/>
          <w:sz w:val="24"/>
          <w:highlight w:val="none"/>
        </w:rPr>
      </w:pPr>
      <w:r>
        <w:rPr>
          <w:color w:val="auto"/>
          <w:sz w:val="24"/>
          <w:highlight w:val="none"/>
        </w:rPr>
        <w:t>本项目主要噪声源为发电机组、水轮机等设备，经厂房隔声，地下安装，基础减震等措施后</w:t>
      </w:r>
      <w:r>
        <w:rPr>
          <w:color w:val="auto"/>
          <w:kern w:val="0"/>
          <w:sz w:val="24"/>
          <w:highlight w:val="none"/>
        </w:rPr>
        <w:t>。</w:t>
      </w:r>
      <w:r>
        <w:rPr>
          <w:rFonts w:hint="eastAsia"/>
          <w:color w:val="auto"/>
          <w:kern w:val="0"/>
          <w:sz w:val="24"/>
          <w:highlight w:val="none"/>
        </w:rPr>
        <w:t>经检测</w:t>
      </w:r>
      <w:r>
        <w:rPr>
          <w:color w:val="auto"/>
          <w:sz w:val="24"/>
          <w:highlight w:val="none"/>
        </w:rPr>
        <w:t>，均可满足《工业企业厂界环境噪声排放标准》(GBl2348-2008)2类标准限值要求。</w:t>
      </w:r>
      <w:r>
        <w:rPr>
          <w:rFonts w:hint="eastAsia"/>
          <w:color w:val="auto"/>
          <w:sz w:val="24"/>
          <w:highlight w:val="none"/>
        </w:rPr>
        <w:t>因此，本项目各项降噪措施可行。</w:t>
      </w:r>
    </w:p>
    <w:p>
      <w:pPr>
        <w:spacing w:line="480" w:lineRule="exact"/>
        <w:ind w:firstLine="480" w:firstLineChars="200"/>
        <w:rPr>
          <w:color w:val="auto"/>
          <w:sz w:val="24"/>
          <w:highlight w:val="none"/>
        </w:rPr>
      </w:pPr>
      <w:r>
        <w:rPr>
          <w:rFonts w:hint="eastAsia"/>
          <w:color w:val="auto"/>
          <w:sz w:val="24"/>
          <w:highlight w:val="none"/>
        </w:rPr>
        <w:t>（3）</w:t>
      </w:r>
      <w:r>
        <w:rPr>
          <w:color w:val="auto"/>
          <w:sz w:val="24"/>
          <w:highlight w:val="none"/>
        </w:rPr>
        <w:t>固体废物</w:t>
      </w:r>
    </w:p>
    <w:p>
      <w:pPr>
        <w:pStyle w:val="202"/>
        <w:spacing w:after="0" w:line="480" w:lineRule="exact"/>
        <w:ind w:firstLine="480" w:firstLineChars="200"/>
        <w:rPr>
          <w:rFonts w:ascii="Times New Roman" w:eastAsia="宋体"/>
          <w:bCs/>
          <w:highlight w:val="none"/>
        </w:rPr>
      </w:pPr>
      <w:bookmarkStart w:id="442" w:name="_Toc246763585"/>
      <w:r>
        <w:rPr>
          <w:rFonts w:hint="eastAsia" w:ascii="Times New Roman" w:eastAsia="宋体"/>
          <w:bCs/>
          <w:highlight w:val="none"/>
        </w:rPr>
        <w:t>一般固废：主要来自水电站工作人员生活垃圾、水电站格栅打捞垃圾。</w:t>
      </w:r>
      <w:r>
        <w:rPr>
          <w:rFonts w:hint="eastAsia" w:ascii="Times New Roman" w:eastAsia="宋体"/>
          <w:bCs/>
          <w:highlight w:val="none"/>
          <w:lang w:eastAsia="zh-CN"/>
        </w:rPr>
        <w:t>由</w:t>
      </w:r>
      <w:r>
        <w:rPr>
          <w:rFonts w:hint="eastAsia" w:ascii="Times New Roman" w:eastAsia="宋体"/>
          <w:bCs/>
          <w:highlight w:val="none"/>
        </w:rPr>
        <w:t>环卫部门</w:t>
      </w:r>
      <w:r>
        <w:rPr>
          <w:rFonts w:hint="eastAsia" w:ascii="Times New Roman" w:eastAsia="宋体"/>
          <w:bCs/>
          <w:highlight w:val="none"/>
          <w:lang w:eastAsia="zh-CN"/>
        </w:rPr>
        <w:t>进行</w:t>
      </w:r>
      <w:r>
        <w:rPr>
          <w:rFonts w:hint="eastAsia" w:ascii="Times New Roman" w:eastAsia="宋体"/>
          <w:bCs/>
          <w:highlight w:val="none"/>
        </w:rPr>
        <w:t>处理。</w:t>
      </w:r>
    </w:p>
    <w:p>
      <w:pPr>
        <w:spacing w:line="480" w:lineRule="exact"/>
        <w:ind w:firstLine="480" w:firstLineChars="200"/>
        <w:outlineLvl w:val="3"/>
        <w:rPr>
          <w:rFonts w:hint="eastAsia" w:eastAsia="宋体"/>
          <w:bCs/>
          <w:sz w:val="24"/>
          <w:highlight w:val="none"/>
          <w:lang w:eastAsia="zh-CN"/>
        </w:rPr>
      </w:pPr>
      <w:r>
        <w:rPr>
          <w:rFonts w:hint="eastAsia"/>
          <w:bCs/>
          <w:sz w:val="24"/>
          <w:highlight w:val="none"/>
        </w:rPr>
        <w:t>危险废物：</w:t>
      </w:r>
      <w:r>
        <w:rPr>
          <w:rFonts w:hint="eastAsia" w:ascii="宋体" w:hAnsi="宋体" w:cs="宋体"/>
          <w:color w:val="000000"/>
          <w:sz w:val="24"/>
          <w:highlight w:val="none"/>
        </w:rPr>
        <w:t>废机油、</w:t>
      </w:r>
      <w:r>
        <w:rPr>
          <w:rFonts w:hint="eastAsia"/>
          <w:bCs/>
          <w:sz w:val="24"/>
          <w:highlight w:val="none"/>
        </w:rPr>
        <w:t>废油桶</w:t>
      </w:r>
      <w:r>
        <w:rPr>
          <w:rFonts w:hint="eastAsia"/>
          <w:bCs/>
          <w:sz w:val="24"/>
          <w:highlight w:val="none"/>
          <w:lang w:eastAsia="zh-CN"/>
        </w:rPr>
        <w:t>、含油废棉丝</w:t>
      </w:r>
      <w:r>
        <w:rPr>
          <w:rFonts w:hint="eastAsia"/>
          <w:bCs/>
          <w:sz w:val="24"/>
          <w:highlight w:val="none"/>
        </w:rPr>
        <w:t>暂存于危废</w:t>
      </w:r>
      <w:r>
        <w:rPr>
          <w:bCs/>
          <w:sz w:val="24"/>
          <w:highlight w:val="none"/>
        </w:rPr>
        <w:t>暂存间，并严格按照《危险废物贮存污染控制标准》（GB</w:t>
      </w:r>
      <w:r>
        <w:rPr>
          <w:rFonts w:hint="eastAsia"/>
          <w:bCs/>
          <w:sz w:val="24"/>
          <w:highlight w:val="none"/>
        </w:rPr>
        <w:t xml:space="preserve"> </w:t>
      </w:r>
      <w:r>
        <w:rPr>
          <w:bCs/>
          <w:sz w:val="24"/>
          <w:highlight w:val="none"/>
        </w:rPr>
        <w:t>18597</w:t>
      </w:r>
      <w:r>
        <w:rPr>
          <w:rFonts w:hint="eastAsia"/>
          <w:bCs/>
          <w:sz w:val="24"/>
          <w:highlight w:val="none"/>
        </w:rPr>
        <w:t xml:space="preserve"> </w:t>
      </w:r>
      <w:r>
        <w:rPr>
          <w:bCs/>
          <w:sz w:val="24"/>
          <w:highlight w:val="none"/>
        </w:rPr>
        <w:t>-20</w:t>
      </w:r>
      <w:r>
        <w:rPr>
          <w:rFonts w:hint="eastAsia"/>
          <w:bCs/>
          <w:sz w:val="24"/>
          <w:highlight w:val="none"/>
          <w:lang w:val="en-US" w:eastAsia="zh-CN"/>
        </w:rPr>
        <w:t>23</w:t>
      </w:r>
      <w:r>
        <w:rPr>
          <w:bCs/>
          <w:sz w:val="24"/>
          <w:highlight w:val="none"/>
        </w:rPr>
        <w:t>）进行贮存和处置，保证危废不进入环境，并委托有资质单位处置</w:t>
      </w:r>
      <w:r>
        <w:rPr>
          <w:rFonts w:hint="eastAsia"/>
          <w:bCs/>
          <w:sz w:val="24"/>
          <w:highlight w:val="none"/>
        </w:rPr>
        <w:t>，</w:t>
      </w:r>
      <w:r>
        <w:rPr>
          <w:bCs/>
          <w:sz w:val="24"/>
          <w:highlight w:val="none"/>
        </w:rPr>
        <w:t>对环境影响很小</w:t>
      </w:r>
      <w:r>
        <w:rPr>
          <w:rFonts w:hint="eastAsia"/>
          <w:bCs/>
          <w:sz w:val="24"/>
          <w:highlight w:val="none"/>
        </w:rPr>
        <w:t>。</w:t>
      </w:r>
      <w:r>
        <w:rPr>
          <w:rFonts w:hint="eastAsia"/>
          <w:bCs/>
          <w:sz w:val="24"/>
          <w:highlight w:val="none"/>
          <w:lang w:eastAsia="zh-CN"/>
        </w:rPr>
        <w:t>变压器油更换后由厂家直接带走不储存。</w:t>
      </w:r>
    </w:p>
    <w:p>
      <w:pPr>
        <w:pStyle w:val="3"/>
        <w:spacing w:beforeLines="0" w:line="480" w:lineRule="exact"/>
        <w:rPr>
          <w:rFonts w:eastAsia="宋体"/>
          <w:b/>
          <w:highlight w:val="none"/>
        </w:rPr>
      </w:pPr>
      <w:bookmarkStart w:id="443" w:name="_Toc9971"/>
      <w:r>
        <w:rPr>
          <w:rFonts w:eastAsia="宋体"/>
          <w:b/>
          <w:highlight w:val="none"/>
        </w:rPr>
        <w:t>10.</w:t>
      </w:r>
      <w:r>
        <w:rPr>
          <w:rFonts w:hint="eastAsia" w:eastAsia="宋体"/>
          <w:b/>
          <w:highlight w:val="none"/>
        </w:rPr>
        <w:t>6</w:t>
      </w:r>
      <w:r>
        <w:rPr>
          <w:rFonts w:eastAsia="宋体"/>
          <w:b/>
          <w:highlight w:val="none"/>
        </w:rPr>
        <w:t xml:space="preserve"> </w:t>
      </w:r>
      <w:r>
        <w:rPr>
          <w:rFonts w:hint="eastAsia" w:eastAsia="宋体"/>
          <w:b/>
          <w:highlight w:val="none"/>
        </w:rPr>
        <w:t>项目对环境的影响</w:t>
      </w:r>
      <w:bookmarkEnd w:id="443"/>
    </w:p>
    <w:p>
      <w:pPr>
        <w:spacing w:line="480" w:lineRule="exact"/>
        <w:ind w:firstLine="480" w:firstLineChars="200"/>
        <w:outlineLvl w:val="3"/>
        <w:rPr>
          <w:sz w:val="24"/>
          <w:highlight w:val="none"/>
        </w:rPr>
      </w:pPr>
      <w:r>
        <w:rPr>
          <w:rFonts w:hint="eastAsia"/>
          <w:sz w:val="24"/>
          <w:highlight w:val="none"/>
        </w:rPr>
        <w:t>（1）大气环境影响</w:t>
      </w:r>
    </w:p>
    <w:p>
      <w:pPr>
        <w:spacing w:line="480" w:lineRule="exact"/>
        <w:ind w:firstLine="480" w:firstLineChars="200"/>
        <w:outlineLvl w:val="3"/>
        <w:rPr>
          <w:bCs/>
          <w:sz w:val="24"/>
          <w:highlight w:val="none"/>
        </w:rPr>
      </w:pPr>
      <w:r>
        <w:rPr>
          <w:rFonts w:hint="eastAsia"/>
          <w:sz w:val="24"/>
          <w:highlight w:val="none"/>
        </w:rPr>
        <w:t>项目无大气产生，对大气环境无影响。</w:t>
      </w:r>
    </w:p>
    <w:p>
      <w:pPr>
        <w:spacing w:line="480" w:lineRule="exact"/>
        <w:ind w:firstLine="480" w:firstLineChars="200"/>
        <w:outlineLvl w:val="3"/>
        <w:rPr>
          <w:bCs/>
          <w:sz w:val="24"/>
          <w:highlight w:val="none"/>
        </w:rPr>
      </w:pPr>
      <w:r>
        <w:rPr>
          <w:rFonts w:hint="eastAsia"/>
          <w:bCs/>
          <w:sz w:val="24"/>
          <w:highlight w:val="none"/>
        </w:rPr>
        <w:t>（2）地面水环境影响</w:t>
      </w:r>
    </w:p>
    <w:p>
      <w:pPr>
        <w:spacing w:line="480" w:lineRule="exact"/>
        <w:ind w:firstLine="480" w:firstLineChars="200"/>
        <w:outlineLvl w:val="3"/>
        <w:rPr>
          <w:color w:val="000000" w:themeColor="text1"/>
          <w:kern w:val="0"/>
          <w:sz w:val="24"/>
          <w:highlight w:val="none"/>
          <w:lang w:val="zh-CN"/>
          <w14:textFill>
            <w14:solidFill>
              <w14:schemeClr w14:val="tx1"/>
            </w14:solidFill>
          </w14:textFill>
        </w:rPr>
      </w:pPr>
      <w:r>
        <w:rPr>
          <w:rFonts w:hint="eastAsia"/>
          <w:bCs/>
          <w:sz w:val="24"/>
          <w:highlight w:val="none"/>
          <w:lang w:val="zh-CN"/>
        </w:rPr>
        <w:t>本项目在“引滦入津工程”输水期间，采用橡胶坝拦水，</w:t>
      </w:r>
      <w:r>
        <w:rPr>
          <w:color w:val="000000" w:themeColor="text1"/>
          <w:sz w:val="24"/>
          <w:highlight w:val="none"/>
          <w:lang w:val="zh-CN"/>
          <w14:textFill>
            <w14:solidFill>
              <w14:schemeClr w14:val="tx1"/>
            </w14:solidFill>
          </w14:textFill>
        </w:rPr>
        <w:t>引水经发电后尾水直接排入</w:t>
      </w:r>
      <w:r>
        <w:rPr>
          <w:rFonts w:hint="eastAsia"/>
          <w:color w:val="000000" w:themeColor="text1"/>
          <w:sz w:val="24"/>
          <w:highlight w:val="none"/>
          <w:lang w:val="zh-CN"/>
          <w14:textFill>
            <w14:solidFill>
              <w14:schemeClr w14:val="tx1"/>
            </w14:solidFill>
          </w14:textFill>
        </w:rPr>
        <w:t>黎河</w:t>
      </w:r>
      <w:r>
        <w:rPr>
          <w:color w:val="000000" w:themeColor="text1"/>
          <w:sz w:val="24"/>
          <w:highlight w:val="none"/>
          <w:lang w:val="zh-CN"/>
          <w14:textFill>
            <w14:solidFill>
              <w14:schemeClr w14:val="tx1"/>
            </w14:solidFill>
          </w14:textFill>
        </w:rPr>
        <w:t>，上游引水渠道在非引水期间干枯，</w:t>
      </w:r>
      <w:r>
        <w:rPr>
          <w:rFonts w:hint="eastAsia"/>
          <w:color w:val="000000" w:themeColor="text1"/>
          <w:sz w:val="24"/>
          <w:highlight w:val="none"/>
          <w:lang w:val="zh-CN"/>
          <w14:textFill>
            <w14:solidFill>
              <w14:schemeClr w14:val="tx1"/>
            </w14:solidFill>
          </w14:textFill>
        </w:rPr>
        <w:t>对黎河水文情势影响较小。</w:t>
      </w:r>
      <w:r>
        <w:rPr>
          <w:rFonts w:hint="eastAsia"/>
          <w:color w:val="000000" w:themeColor="text1"/>
          <w:kern w:val="0"/>
          <w:sz w:val="24"/>
          <w:highlight w:val="none"/>
          <w:lang w:val="zh-CN"/>
          <w14:textFill>
            <w14:solidFill>
              <w14:schemeClr w14:val="tx1"/>
            </w14:solidFill>
          </w14:textFill>
        </w:rPr>
        <w:t>输水来自大黑汀水库，输水线路全部为钢筋混凝土输水渠及穿山隧道，无自然河流注水。非输水期不引水，故</w:t>
      </w:r>
      <w:r>
        <w:rPr>
          <w:color w:val="000000" w:themeColor="text1"/>
          <w:kern w:val="0"/>
          <w:sz w:val="24"/>
          <w:highlight w:val="none"/>
          <w:lang w:val="zh-CN"/>
          <w14:textFill>
            <w14:solidFill>
              <w14:schemeClr w14:val="tx1"/>
            </w14:solidFill>
          </w14:textFill>
        </w:rPr>
        <w:t>不会产生水土流失现象。</w:t>
      </w:r>
      <w:r>
        <w:rPr>
          <w:rFonts w:hint="eastAsia"/>
          <w:color w:val="000000" w:themeColor="text1"/>
          <w:kern w:val="0"/>
          <w:sz w:val="24"/>
          <w:highlight w:val="none"/>
          <w:lang w:val="zh-CN"/>
          <w14:textFill>
            <w14:solidFill>
              <w14:schemeClr w14:val="tx1"/>
            </w14:solidFill>
          </w14:textFill>
        </w:rPr>
        <w:t>无</w:t>
      </w:r>
      <w:r>
        <w:rPr>
          <w:color w:val="000000" w:themeColor="text1"/>
          <w:kern w:val="0"/>
          <w:sz w:val="24"/>
          <w:highlight w:val="none"/>
          <w:lang w:val="zh-CN"/>
          <w14:textFill>
            <w14:solidFill>
              <w14:schemeClr w14:val="tx1"/>
            </w14:solidFill>
          </w14:textFill>
        </w:rPr>
        <w:t>泥沙</w:t>
      </w:r>
      <w:r>
        <w:rPr>
          <w:rFonts w:hint="eastAsia"/>
          <w:color w:val="000000" w:themeColor="text1"/>
          <w:kern w:val="0"/>
          <w:sz w:val="24"/>
          <w:highlight w:val="none"/>
          <w:lang w:val="zh-CN"/>
          <w14:textFill>
            <w14:solidFill>
              <w14:schemeClr w14:val="tx1"/>
            </w14:solidFill>
          </w14:textFill>
        </w:rPr>
        <w:t>淤积</w:t>
      </w:r>
      <w:r>
        <w:rPr>
          <w:color w:val="000000" w:themeColor="text1"/>
          <w:kern w:val="0"/>
          <w:sz w:val="24"/>
          <w:highlight w:val="none"/>
          <w:lang w:val="zh-CN"/>
          <w14:textFill>
            <w14:solidFill>
              <w14:schemeClr w14:val="tx1"/>
            </w14:solidFill>
          </w14:textFill>
        </w:rPr>
        <w:t>。</w:t>
      </w:r>
    </w:p>
    <w:p>
      <w:pPr>
        <w:spacing w:line="480" w:lineRule="exact"/>
        <w:ind w:firstLine="480" w:firstLineChars="200"/>
        <w:outlineLvl w:val="3"/>
        <w:rPr>
          <w:color w:val="auto"/>
          <w:kern w:val="0"/>
          <w:sz w:val="24"/>
          <w:highlight w:val="none"/>
          <w:lang w:val="zh-CN"/>
        </w:rPr>
      </w:pPr>
      <w:r>
        <w:rPr>
          <w:rFonts w:hint="eastAsia"/>
          <w:color w:val="auto"/>
          <w:kern w:val="0"/>
          <w:sz w:val="24"/>
          <w:highlight w:val="none"/>
          <w:lang w:val="zh-CN"/>
        </w:rPr>
        <w:t>本项目为引水式水电站，雍水区不会存在水温分层现象，因此下泄水温与天然河道水温变化不大，对下游的水生生物不会产生影响。</w:t>
      </w:r>
    </w:p>
    <w:p>
      <w:pPr>
        <w:autoSpaceDE w:val="0"/>
        <w:autoSpaceDN w:val="0"/>
        <w:adjustRightInd w:val="0"/>
        <w:spacing w:line="480" w:lineRule="exact"/>
        <w:ind w:firstLine="480"/>
        <w:jc w:val="left"/>
        <w:rPr>
          <w:color w:val="auto"/>
          <w:kern w:val="0"/>
          <w:sz w:val="24"/>
          <w:highlight w:val="none"/>
          <w:lang w:val="zh-CN"/>
        </w:rPr>
      </w:pPr>
      <w:r>
        <w:rPr>
          <w:rFonts w:hint="eastAsia"/>
          <w:color w:val="auto"/>
          <w:kern w:val="0"/>
          <w:sz w:val="24"/>
          <w:highlight w:val="none"/>
          <w:lang w:val="zh-CN"/>
        </w:rPr>
        <w:t>本项目营运期不产生生产废水，废水主要是职工生活污水。运营期电站只有少量值班人员（每班</w:t>
      </w:r>
      <w:r>
        <w:rPr>
          <w:rFonts w:hint="eastAsia"/>
          <w:color w:val="auto"/>
          <w:kern w:val="0"/>
          <w:sz w:val="24"/>
          <w:highlight w:val="none"/>
        </w:rPr>
        <w:t>5人</w:t>
      </w:r>
      <w:r>
        <w:rPr>
          <w:rFonts w:hint="eastAsia"/>
          <w:color w:val="auto"/>
          <w:kern w:val="0"/>
          <w:sz w:val="24"/>
          <w:highlight w:val="none"/>
          <w:lang w:val="zh-CN"/>
        </w:rPr>
        <w:t>），生活污水产生量约</w:t>
      </w:r>
      <w:r>
        <w:rPr>
          <w:rFonts w:hint="eastAsia"/>
          <w:color w:val="auto"/>
          <w:kern w:val="0"/>
          <w:sz w:val="24"/>
          <w:highlight w:val="none"/>
        </w:rPr>
        <w:t>0.</w:t>
      </w:r>
      <w:r>
        <w:rPr>
          <w:rFonts w:hint="eastAsia"/>
          <w:color w:val="auto"/>
          <w:kern w:val="0"/>
          <w:sz w:val="24"/>
          <w:highlight w:val="none"/>
          <w:lang w:val="en-US" w:eastAsia="zh-CN"/>
        </w:rPr>
        <w:t>16</w:t>
      </w:r>
      <w:r>
        <w:rPr>
          <w:rFonts w:hint="eastAsia"/>
          <w:color w:val="auto"/>
          <w:kern w:val="0"/>
          <w:sz w:val="24"/>
          <w:highlight w:val="none"/>
          <w:lang w:val="zh-CN"/>
        </w:rPr>
        <w:t>m</w:t>
      </w:r>
      <w:r>
        <w:rPr>
          <w:rFonts w:hint="eastAsia"/>
          <w:color w:val="auto"/>
          <w:kern w:val="0"/>
          <w:sz w:val="24"/>
          <w:highlight w:val="none"/>
          <w:vertAlign w:val="superscript"/>
          <w:lang w:val="zh-CN"/>
        </w:rPr>
        <w:t>3</w:t>
      </w:r>
      <w:r>
        <w:rPr>
          <w:rFonts w:hint="eastAsia"/>
          <w:color w:val="auto"/>
          <w:kern w:val="0"/>
          <w:sz w:val="24"/>
          <w:highlight w:val="none"/>
          <w:lang w:val="zh-CN"/>
        </w:rPr>
        <w:t>/d（</w:t>
      </w:r>
      <w:r>
        <w:rPr>
          <w:rFonts w:hint="eastAsia"/>
          <w:color w:val="auto"/>
          <w:kern w:val="0"/>
          <w:sz w:val="24"/>
          <w:highlight w:val="none"/>
          <w:lang w:val="en-US" w:eastAsia="zh-CN"/>
        </w:rPr>
        <w:t>17.92</w:t>
      </w:r>
      <w:r>
        <w:rPr>
          <w:rFonts w:hint="eastAsia"/>
          <w:color w:val="auto"/>
          <w:kern w:val="0"/>
          <w:sz w:val="24"/>
          <w:highlight w:val="none"/>
          <w:lang w:val="zh-CN"/>
        </w:rPr>
        <w:t>m</w:t>
      </w:r>
      <w:r>
        <w:rPr>
          <w:rFonts w:hint="eastAsia"/>
          <w:color w:val="auto"/>
          <w:kern w:val="0"/>
          <w:sz w:val="24"/>
          <w:highlight w:val="none"/>
          <w:vertAlign w:val="superscript"/>
          <w:lang w:val="zh-CN"/>
        </w:rPr>
        <w:t>3</w:t>
      </w:r>
      <w:r>
        <w:rPr>
          <w:rFonts w:hint="eastAsia"/>
          <w:color w:val="auto"/>
          <w:kern w:val="0"/>
          <w:sz w:val="24"/>
          <w:highlight w:val="none"/>
          <w:lang w:val="zh-CN"/>
        </w:rPr>
        <w:t>/a），经化粪池处理，由环卫部门定期清掏，不外排，对黎河水环境无影响。</w:t>
      </w:r>
    </w:p>
    <w:p>
      <w:pPr>
        <w:autoSpaceDE w:val="0"/>
        <w:autoSpaceDN w:val="0"/>
        <w:adjustRightInd w:val="0"/>
        <w:spacing w:line="480" w:lineRule="exact"/>
        <w:ind w:firstLine="480" w:firstLineChars="200"/>
        <w:rPr>
          <w:color w:val="auto"/>
          <w:sz w:val="24"/>
          <w:highlight w:val="none"/>
        </w:rPr>
      </w:pPr>
      <w:r>
        <w:rPr>
          <w:rFonts w:hint="eastAsia"/>
          <w:color w:val="auto"/>
          <w:kern w:val="0"/>
          <w:sz w:val="24"/>
          <w:highlight w:val="none"/>
          <w:lang w:val="zh-CN"/>
        </w:rPr>
        <w:t>本项目</w:t>
      </w:r>
      <w:r>
        <w:rPr>
          <w:color w:val="auto"/>
          <w:kern w:val="0"/>
          <w:sz w:val="24"/>
          <w:highlight w:val="none"/>
          <w:lang w:val="zh-CN"/>
        </w:rPr>
        <w:t>通过引水渠道引</w:t>
      </w:r>
      <w:r>
        <w:rPr>
          <w:rFonts w:hint="eastAsia"/>
          <w:color w:val="auto"/>
          <w:kern w:val="0"/>
          <w:sz w:val="24"/>
          <w:highlight w:val="none"/>
          <w:lang w:val="zh-CN"/>
        </w:rPr>
        <w:t>“引滦入津工程”输水</w:t>
      </w:r>
      <w:r>
        <w:rPr>
          <w:color w:val="auto"/>
          <w:kern w:val="0"/>
          <w:sz w:val="24"/>
          <w:highlight w:val="none"/>
          <w:lang w:val="zh-CN"/>
        </w:rPr>
        <w:t>发电，尾水最终流入</w:t>
      </w:r>
      <w:r>
        <w:rPr>
          <w:rFonts w:hint="eastAsia"/>
          <w:color w:val="auto"/>
          <w:kern w:val="0"/>
          <w:sz w:val="24"/>
          <w:highlight w:val="none"/>
          <w:lang w:val="zh-CN"/>
        </w:rPr>
        <w:t>黎河</w:t>
      </w:r>
      <w:r>
        <w:rPr>
          <w:color w:val="auto"/>
          <w:kern w:val="0"/>
          <w:sz w:val="24"/>
          <w:highlight w:val="none"/>
          <w:lang w:val="zh-CN"/>
        </w:rPr>
        <w:t>，水力发电站属于清洁能源。电站建成后，水体经过水轮机及发电机组发电后产生的尾水，不含污染物，河道水质基本保持原有状态，对原引水河道的水质影响较小。此外，壅水区蓄水量较小，对水质的影响并不显著，壅水区水质将基本维持引水状况，电站运行对引滦入津水质影响</w:t>
      </w:r>
      <w:r>
        <w:rPr>
          <w:rFonts w:hint="eastAsia"/>
          <w:color w:val="auto"/>
          <w:kern w:val="0"/>
          <w:sz w:val="24"/>
          <w:highlight w:val="none"/>
          <w:lang w:val="zh-CN"/>
        </w:rPr>
        <w:t>甚微</w:t>
      </w:r>
      <w:r>
        <w:rPr>
          <w:color w:val="auto"/>
          <w:kern w:val="0"/>
          <w:sz w:val="24"/>
          <w:highlight w:val="none"/>
          <w:lang w:val="zh-CN"/>
        </w:rPr>
        <w:t>。</w:t>
      </w:r>
    </w:p>
    <w:p>
      <w:pPr>
        <w:autoSpaceDE w:val="0"/>
        <w:autoSpaceDN w:val="0"/>
        <w:adjustRightInd w:val="0"/>
        <w:spacing w:line="480" w:lineRule="exact"/>
        <w:ind w:firstLine="480" w:firstLineChars="200"/>
        <w:rPr>
          <w:color w:val="000000"/>
          <w:sz w:val="24"/>
          <w:highlight w:val="none"/>
        </w:rPr>
      </w:pPr>
      <w:r>
        <w:rPr>
          <w:rFonts w:hint="eastAsia"/>
          <w:color w:val="000000"/>
          <w:sz w:val="24"/>
          <w:highlight w:val="none"/>
        </w:rPr>
        <w:t xml:space="preserve"> （3）声环境影响</w:t>
      </w:r>
    </w:p>
    <w:p>
      <w:pPr>
        <w:autoSpaceDE w:val="0"/>
        <w:autoSpaceDN w:val="0"/>
        <w:adjustRightInd w:val="0"/>
        <w:spacing w:line="480" w:lineRule="exact"/>
        <w:ind w:firstLine="480" w:firstLineChars="200"/>
        <w:rPr>
          <w:color w:val="000000"/>
          <w:sz w:val="24"/>
          <w:highlight w:val="none"/>
        </w:rPr>
      </w:pPr>
      <w:r>
        <w:rPr>
          <w:rFonts w:hint="eastAsia"/>
          <w:color w:val="000000"/>
          <w:sz w:val="24"/>
          <w:highlight w:val="none"/>
        </w:rPr>
        <w:t>本项目噪声源对厂界的噪声贡献值与现有工程现状值叠加后的预测值均满足《声环境质量标准》(GB3096-2008)2类标准要求。</w:t>
      </w:r>
    </w:p>
    <w:p>
      <w:pPr>
        <w:spacing w:line="480" w:lineRule="exact"/>
        <w:ind w:firstLine="480" w:firstLineChars="200"/>
        <w:outlineLvl w:val="3"/>
        <w:rPr>
          <w:bCs/>
          <w:sz w:val="24"/>
          <w:highlight w:val="none"/>
        </w:rPr>
      </w:pPr>
      <w:r>
        <w:rPr>
          <w:rFonts w:hint="eastAsia"/>
          <w:bCs/>
          <w:sz w:val="24"/>
          <w:highlight w:val="none"/>
        </w:rPr>
        <w:t>（4）固体废物影响</w:t>
      </w:r>
    </w:p>
    <w:p>
      <w:pPr>
        <w:spacing w:line="480" w:lineRule="exact"/>
        <w:ind w:firstLine="480" w:firstLineChars="200"/>
        <w:outlineLvl w:val="3"/>
        <w:rPr>
          <w:bCs/>
          <w:sz w:val="24"/>
          <w:highlight w:val="none"/>
        </w:rPr>
      </w:pPr>
      <w:r>
        <w:rPr>
          <w:rFonts w:hint="eastAsia"/>
          <w:bCs/>
          <w:sz w:val="24"/>
          <w:highlight w:val="none"/>
        </w:rPr>
        <w:t>本项目产生固体废物全部妥善处置，不会对周围环境产生明显影响。</w:t>
      </w:r>
    </w:p>
    <w:p>
      <w:pPr>
        <w:spacing w:line="480" w:lineRule="exact"/>
        <w:ind w:firstLine="480" w:firstLineChars="200"/>
        <w:outlineLvl w:val="3"/>
        <w:rPr>
          <w:bCs/>
          <w:sz w:val="24"/>
          <w:highlight w:val="none"/>
        </w:rPr>
      </w:pPr>
      <w:r>
        <w:rPr>
          <w:rFonts w:hint="eastAsia"/>
          <w:bCs/>
          <w:sz w:val="24"/>
          <w:highlight w:val="none"/>
        </w:rPr>
        <w:t>（5）土壤环境影响</w:t>
      </w:r>
    </w:p>
    <w:p>
      <w:pPr>
        <w:spacing w:line="480" w:lineRule="exact"/>
        <w:ind w:firstLine="480" w:firstLineChars="200"/>
        <w:outlineLvl w:val="3"/>
        <w:rPr>
          <w:bCs/>
          <w:sz w:val="24"/>
          <w:highlight w:val="none"/>
        </w:rPr>
      </w:pPr>
      <w:r>
        <w:rPr>
          <w:rFonts w:hint="eastAsia"/>
          <w:bCs/>
          <w:sz w:val="24"/>
          <w:highlight w:val="none"/>
        </w:rPr>
        <w:t>采取了源头控制措施和过程防控措施，从源头上减少了污染物的排放量，同时通过采取严格的防渗措施，切断了垂直入渗进入土壤的途径。同时，结合项目特征，在厂区内外共设置了3个土壤跟踪监测点，及时掌握土壤环境质量状况和土壤中污染物动态变化。</w:t>
      </w:r>
    </w:p>
    <w:p>
      <w:pPr>
        <w:spacing w:line="480" w:lineRule="exact"/>
        <w:ind w:firstLine="480" w:firstLineChars="200"/>
        <w:outlineLvl w:val="3"/>
        <w:rPr>
          <w:bCs/>
          <w:sz w:val="24"/>
          <w:highlight w:val="none"/>
        </w:rPr>
      </w:pPr>
      <w:r>
        <w:rPr>
          <w:rFonts w:hint="eastAsia"/>
          <w:bCs/>
          <w:sz w:val="24"/>
          <w:highlight w:val="none"/>
        </w:rPr>
        <w:t>（6）生态环境影响</w:t>
      </w:r>
    </w:p>
    <w:p>
      <w:pPr>
        <w:spacing w:line="480" w:lineRule="exact"/>
        <w:ind w:firstLine="480" w:firstLineChars="200"/>
        <w:outlineLvl w:val="3"/>
        <w:rPr>
          <w:bCs/>
          <w:sz w:val="24"/>
          <w:highlight w:val="none"/>
        </w:rPr>
      </w:pPr>
      <w:r>
        <w:rPr>
          <w:rFonts w:hint="eastAsia"/>
          <w:bCs/>
          <w:sz w:val="24"/>
          <w:highlight w:val="none"/>
        </w:rPr>
        <w:t>本项目占地区域现为未利用荒地，项目实施后，使现有的土地现状发生变化，但项目占地面积相对较小，且采取厂区绿化等生态恢复措施，可减轻项目占地影响。项目区域内的地表植被主要为杂草，无国家、地方重点保护植物物种。项目区域不涉及特殊生态敏感区和重要生态敏感区等生态敏感区，项目营运过程中，采取适当绿化等修复措施后，不会对周围生态环境造成明显污染影响</w:t>
      </w:r>
    </w:p>
    <w:p>
      <w:pPr>
        <w:spacing w:line="480" w:lineRule="exact"/>
        <w:ind w:firstLine="480" w:firstLineChars="200"/>
        <w:outlineLvl w:val="3"/>
        <w:rPr>
          <w:bCs/>
          <w:sz w:val="24"/>
          <w:highlight w:val="none"/>
        </w:rPr>
      </w:pPr>
      <w:r>
        <w:rPr>
          <w:rFonts w:hint="eastAsia"/>
          <w:bCs/>
          <w:sz w:val="24"/>
          <w:highlight w:val="none"/>
        </w:rPr>
        <w:t>（7）环境风险评价</w:t>
      </w:r>
    </w:p>
    <w:p>
      <w:pPr>
        <w:spacing w:line="480" w:lineRule="exact"/>
        <w:ind w:firstLine="480" w:firstLineChars="200"/>
        <w:outlineLvl w:val="3"/>
        <w:rPr>
          <w:sz w:val="24"/>
          <w:highlight w:val="none"/>
        </w:rPr>
      </w:pPr>
      <w:r>
        <w:rPr>
          <w:rFonts w:hint="eastAsia"/>
          <w:bCs/>
          <w:sz w:val="24"/>
          <w:highlight w:val="none"/>
        </w:rPr>
        <w:t>根据环境风险评价内容，提出了环境风险保护措施及要求，提出了编制突发环境事件应急预案编制要求。本项目环境风险是可防控的。</w:t>
      </w:r>
      <w:bookmarkEnd w:id="442"/>
      <w:bookmarkStart w:id="444" w:name="_Toc246763587"/>
    </w:p>
    <w:p>
      <w:pPr>
        <w:pStyle w:val="3"/>
        <w:spacing w:beforeLines="0" w:line="480" w:lineRule="exact"/>
        <w:rPr>
          <w:rFonts w:eastAsia="宋体"/>
          <w:b/>
          <w:highlight w:val="none"/>
        </w:rPr>
      </w:pPr>
      <w:bookmarkStart w:id="445" w:name="_Toc7936"/>
      <w:bookmarkStart w:id="446" w:name="_Toc11756"/>
      <w:bookmarkStart w:id="447" w:name="_Toc6528"/>
      <w:r>
        <w:rPr>
          <w:rFonts w:eastAsia="宋体"/>
          <w:b/>
          <w:highlight w:val="none"/>
        </w:rPr>
        <w:t>10.</w:t>
      </w:r>
      <w:r>
        <w:rPr>
          <w:rFonts w:hint="eastAsia" w:eastAsia="宋体"/>
          <w:b/>
          <w:highlight w:val="none"/>
        </w:rPr>
        <w:t>7</w:t>
      </w:r>
      <w:r>
        <w:rPr>
          <w:rFonts w:eastAsia="宋体"/>
          <w:b/>
          <w:highlight w:val="none"/>
        </w:rPr>
        <w:t xml:space="preserve"> 总量控制分析</w:t>
      </w:r>
      <w:bookmarkEnd w:id="444"/>
      <w:bookmarkEnd w:id="445"/>
      <w:bookmarkEnd w:id="446"/>
      <w:bookmarkEnd w:id="447"/>
    </w:p>
    <w:p>
      <w:pPr>
        <w:spacing w:line="480" w:lineRule="exact"/>
        <w:ind w:firstLine="480" w:firstLineChars="200"/>
        <w:rPr>
          <w:sz w:val="24"/>
          <w:highlight w:val="none"/>
        </w:rPr>
      </w:pPr>
      <w:bookmarkStart w:id="448" w:name="_Toc30800"/>
      <w:bookmarkStart w:id="449" w:name="_Toc14979"/>
      <w:bookmarkStart w:id="450" w:name="_Toc246763588"/>
      <w:r>
        <w:rPr>
          <w:sz w:val="24"/>
          <w:highlight w:val="none"/>
        </w:rPr>
        <w:t>因此，本项目建议总量控制指标为：SO</w:t>
      </w:r>
      <w:r>
        <w:rPr>
          <w:sz w:val="24"/>
          <w:highlight w:val="none"/>
          <w:vertAlign w:val="subscript"/>
        </w:rPr>
        <w:t>2</w:t>
      </w:r>
      <w:r>
        <w:rPr>
          <w:sz w:val="24"/>
          <w:highlight w:val="none"/>
        </w:rPr>
        <w:t>：0t/a；NO</w:t>
      </w:r>
      <w:r>
        <w:rPr>
          <w:sz w:val="28"/>
          <w:highlight w:val="none"/>
          <w:vertAlign w:val="subscript"/>
        </w:rPr>
        <w:t>x</w:t>
      </w:r>
      <w:r>
        <w:rPr>
          <w:sz w:val="24"/>
          <w:highlight w:val="none"/>
        </w:rPr>
        <w:t>：0t/a；COD：0</w:t>
      </w:r>
      <w:r>
        <w:rPr>
          <w:rFonts w:hint="eastAsia"/>
          <w:sz w:val="24"/>
          <w:highlight w:val="none"/>
        </w:rPr>
        <w:t>.0</w:t>
      </w:r>
      <w:r>
        <w:rPr>
          <w:sz w:val="24"/>
          <w:highlight w:val="none"/>
        </w:rPr>
        <w:t>t/a；氨氮：0</w:t>
      </w:r>
      <w:r>
        <w:rPr>
          <w:rFonts w:hint="eastAsia"/>
          <w:sz w:val="24"/>
          <w:highlight w:val="none"/>
        </w:rPr>
        <w:t>.0</w:t>
      </w:r>
      <w:r>
        <w:rPr>
          <w:sz w:val="24"/>
          <w:highlight w:val="none"/>
        </w:rPr>
        <w:t>t/a。</w:t>
      </w:r>
    </w:p>
    <w:p>
      <w:pPr>
        <w:pStyle w:val="3"/>
        <w:spacing w:beforeLines="0" w:line="480" w:lineRule="exact"/>
        <w:rPr>
          <w:rFonts w:eastAsia="宋体"/>
          <w:b/>
          <w:highlight w:val="none"/>
        </w:rPr>
      </w:pPr>
      <w:bookmarkStart w:id="451" w:name="_Toc2763"/>
      <w:r>
        <w:rPr>
          <w:rFonts w:eastAsia="宋体"/>
          <w:b/>
          <w:highlight w:val="none"/>
        </w:rPr>
        <w:t>10.</w:t>
      </w:r>
      <w:r>
        <w:rPr>
          <w:rFonts w:hint="eastAsia" w:eastAsia="宋体"/>
          <w:b/>
          <w:highlight w:val="none"/>
        </w:rPr>
        <w:t>8</w:t>
      </w:r>
      <w:r>
        <w:rPr>
          <w:rFonts w:eastAsia="宋体"/>
          <w:b/>
          <w:highlight w:val="none"/>
        </w:rPr>
        <w:t xml:space="preserve"> </w:t>
      </w:r>
      <w:bookmarkEnd w:id="448"/>
      <w:bookmarkEnd w:id="449"/>
      <w:r>
        <w:rPr>
          <w:rFonts w:hint="eastAsia" w:eastAsia="宋体"/>
          <w:b/>
          <w:highlight w:val="none"/>
        </w:rPr>
        <w:t>环境影响经济损益分析</w:t>
      </w:r>
      <w:bookmarkEnd w:id="451"/>
    </w:p>
    <w:p>
      <w:pPr>
        <w:spacing w:line="480" w:lineRule="exact"/>
        <w:ind w:firstLine="480" w:firstLineChars="200"/>
        <w:rPr>
          <w:sz w:val="24"/>
          <w:highlight w:val="none"/>
        </w:rPr>
      </w:pPr>
      <w:bookmarkStart w:id="452" w:name="_Toc376521427"/>
      <w:bookmarkStart w:id="453" w:name="_Toc246763586"/>
      <w:bookmarkStart w:id="454" w:name="_Toc378345805"/>
      <w:bookmarkStart w:id="455" w:name="_Toc377414505"/>
      <w:bookmarkStart w:id="456" w:name="_Toc376521021"/>
      <w:bookmarkStart w:id="457" w:name="_Toc378688935"/>
      <w:bookmarkStart w:id="458" w:name="_Toc361729396"/>
      <w:r>
        <w:rPr>
          <w:rFonts w:hint="eastAsia"/>
          <w:bCs/>
          <w:snapToGrid w:val="0"/>
          <w:kern w:val="0"/>
          <w:sz w:val="24"/>
          <w:highlight w:val="none"/>
          <w:lang w:val="zh-CN"/>
        </w:rPr>
        <w:t>经综合分析，本项目的实施具有明显的经济效益和社会效益，项目采取了较为完善的环保治理措施，不会对当地环境产生明显影响，做到了社会效益、经济效益和环境效益。</w:t>
      </w:r>
    </w:p>
    <w:p>
      <w:pPr>
        <w:pStyle w:val="3"/>
        <w:spacing w:beforeLines="0" w:line="480" w:lineRule="exact"/>
        <w:rPr>
          <w:rFonts w:eastAsia="宋体"/>
          <w:b/>
          <w:highlight w:val="none"/>
          <w:lang w:val="zh-CN"/>
        </w:rPr>
      </w:pPr>
      <w:bookmarkStart w:id="459" w:name="_Toc25734"/>
      <w:r>
        <w:rPr>
          <w:rFonts w:eastAsia="宋体"/>
          <w:b/>
          <w:highlight w:val="none"/>
        </w:rPr>
        <w:t>10.</w:t>
      </w:r>
      <w:r>
        <w:rPr>
          <w:rFonts w:hint="eastAsia" w:eastAsia="宋体"/>
          <w:b/>
          <w:highlight w:val="none"/>
        </w:rPr>
        <w:t>9</w:t>
      </w:r>
      <w:r>
        <w:rPr>
          <w:rFonts w:eastAsia="宋体"/>
          <w:b/>
          <w:highlight w:val="none"/>
        </w:rPr>
        <w:t xml:space="preserve"> </w:t>
      </w:r>
      <w:r>
        <w:rPr>
          <w:rFonts w:hint="eastAsia" w:eastAsia="宋体"/>
          <w:b/>
          <w:highlight w:val="none"/>
          <w:lang w:val="zh-CN"/>
        </w:rPr>
        <w:t>环境管理与监测计划</w:t>
      </w:r>
      <w:bookmarkEnd w:id="459"/>
    </w:p>
    <w:p>
      <w:pPr>
        <w:spacing w:line="480" w:lineRule="exact"/>
        <w:ind w:firstLine="480" w:firstLineChars="200"/>
        <w:rPr>
          <w:sz w:val="24"/>
          <w:highlight w:val="none"/>
        </w:rPr>
      </w:pPr>
      <w:r>
        <w:rPr>
          <w:rFonts w:hint="eastAsia"/>
          <w:bCs/>
          <w:snapToGrid w:val="0"/>
          <w:kern w:val="0"/>
          <w:sz w:val="24"/>
          <w:highlight w:val="none"/>
          <w:lang w:val="zh-CN"/>
        </w:rPr>
        <w:t>根据拟建工程排污特征，提出建立日常环境管理制度、组织机构和环境管理台账，明确了各项目环境保护设施和措施的建设及资金保障计划。明确了项目的污染物排放清单、污染源及环境质量监测计划。</w:t>
      </w:r>
    </w:p>
    <w:p>
      <w:pPr>
        <w:pStyle w:val="3"/>
        <w:spacing w:beforeLines="0" w:line="480" w:lineRule="exact"/>
        <w:rPr>
          <w:rFonts w:eastAsia="宋体"/>
          <w:b/>
          <w:highlight w:val="none"/>
        </w:rPr>
      </w:pPr>
      <w:bookmarkStart w:id="460" w:name="_Toc30001"/>
      <w:r>
        <w:rPr>
          <w:rFonts w:eastAsia="宋体"/>
          <w:b/>
          <w:highlight w:val="none"/>
        </w:rPr>
        <w:t>10.</w:t>
      </w:r>
      <w:r>
        <w:rPr>
          <w:rFonts w:hint="eastAsia" w:eastAsia="宋体"/>
          <w:b/>
          <w:highlight w:val="none"/>
        </w:rPr>
        <w:t>10</w:t>
      </w:r>
      <w:r>
        <w:rPr>
          <w:rFonts w:eastAsia="宋体"/>
          <w:b/>
          <w:highlight w:val="none"/>
        </w:rPr>
        <w:t xml:space="preserve"> 公众意见调查</w:t>
      </w:r>
      <w:bookmarkEnd w:id="460"/>
    </w:p>
    <w:p>
      <w:pPr>
        <w:spacing w:line="480" w:lineRule="exact"/>
        <w:ind w:firstLine="480" w:firstLineChars="200"/>
        <w:rPr>
          <w:snapToGrid w:val="0"/>
          <w:sz w:val="24"/>
          <w:highlight w:val="none"/>
        </w:rPr>
      </w:pPr>
      <w:r>
        <w:rPr>
          <w:rFonts w:hint="eastAsia"/>
          <w:bCs/>
          <w:snapToGrid w:val="0"/>
          <w:kern w:val="0"/>
          <w:sz w:val="24"/>
          <w:highlight w:val="none"/>
          <w:lang w:val="zh-CN"/>
        </w:rPr>
        <w:t>该公司反馈的调查结果显示，公示期间未收到反对意见，说明该项目的建设得到了周边公众的普遍支持。</w:t>
      </w:r>
      <w:bookmarkEnd w:id="452"/>
      <w:bookmarkEnd w:id="453"/>
      <w:bookmarkEnd w:id="454"/>
      <w:bookmarkEnd w:id="455"/>
      <w:bookmarkEnd w:id="456"/>
      <w:bookmarkEnd w:id="457"/>
      <w:bookmarkEnd w:id="458"/>
    </w:p>
    <w:p>
      <w:pPr>
        <w:pStyle w:val="3"/>
        <w:spacing w:beforeLines="0" w:line="480" w:lineRule="exact"/>
        <w:rPr>
          <w:rFonts w:eastAsia="宋体"/>
          <w:b/>
          <w:highlight w:val="none"/>
        </w:rPr>
      </w:pPr>
      <w:bookmarkStart w:id="461" w:name="_Toc18954"/>
      <w:bookmarkStart w:id="462" w:name="_Toc24496"/>
      <w:bookmarkStart w:id="463" w:name="_Toc23107"/>
      <w:r>
        <w:rPr>
          <w:rFonts w:eastAsia="宋体"/>
          <w:b/>
          <w:highlight w:val="none"/>
        </w:rPr>
        <w:t>10.</w:t>
      </w:r>
      <w:r>
        <w:rPr>
          <w:rFonts w:hint="eastAsia" w:eastAsia="宋体"/>
          <w:b/>
          <w:highlight w:val="none"/>
        </w:rPr>
        <w:t>11</w:t>
      </w:r>
      <w:r>
        <w:rPr>
          <w:rFonts w:eastAsia="宋体"/>
          <w:b/>
          <w:highlight w:val="none"/>
        </w:rPr>
        <w:t xml:space="preserve"> </w:t>
      </w:r>
      <w:r>
        <w:rPr>
          <w:rFonts w:hint="eastAsia" w:eastAsia="宋体"/>
          <w:b/>
          <w:highlight w:val="none"/>
        </w:rPr>
        <w:t>工程</w:t>
      </w:r>
      <w:r>
        <w:rPr>
          <w:rFonts w:eastAsia="宋体"/>
          <w:b/>
          <w:highlight w:val="none"/>
        </w:rPr>
        <w:t>可行性结论</w:t>
      </w:r>
      <w:bookmarkEnd w:id="450"/>
      <w:bookmarkEnd w:id="461"/>
      <w:bookmarkEnd w:id="462"/>
      <w:bookmarkEnd w:id="463"/>
    </w:p>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p>
      <w:pPr>
        <w:spacing w:line="480" w:lineRule="exact"/>
        <w:ind w:firstLine="480" w:firstLineChars="200"/>
        <w:rPr>
          <w:sz w:val="24"/>
          <w:highlight w:val="none"/>
        </w:rPr>
      </w:pPr>
      <w:bookmarkStart w:id="464" w:name="_Toc286822152"/>
      <w:bookmarkStart w:id="465" w:name="_Toc301617695"/>
      <w:bookmarkStart w:id="466" w:name="_Toc246763589"/>
      <w:r>
        <w:rPr>
          <w:bCs/>
          <w:sz w:val="24"/>
          <w:highlight w:val="none"/>
        </w:rPr>
        <w:t>遵化市</w:t>
      </w:r>
      <w:r>
        <w:rPr>
          <w:rFonts w:hint="eastAsia"/>
          <w:bCs/>
          <w:sz w:val="24"/>
          <w:highlight w:val="none"/>
          <w:lang w:eastAsia="zh-CN"/>
        </w:rPr>
        <w:t>昌明</w:t>
      </w:r>
      <w:r>
        <w:rPr>
          <w:bCs/>
          <w:sz w:val="24"/>
          <w:highlight w:val="none"/>
        </w:rPr>
        <w:t>水</w:t>
      </w:r>
      <w:r>
        <w:rPr>
          <w:rFonts w:hint="eastAsia"/>
          <w:bCs/>
          <w:color w:val="auto"/>
          <w:sz w:val="24"/>
          <w:highlight w:val="none"/>
          <w:lang w:eastAsia="zh-CN"/>
        </w:rPr>
        <w:t>力</w:t>
      </w:r>
      <w:r>
        <w:rPr>
          <w:bCs/>
          <w:color w:val="auto"/>
          <w:sz w:val="24"/>
          <w:highlight w:val="none"/>
        </w:rPr>
        <w:t>发电有限公司</w:t>
      </w:r>
      <w:r>
        <w:rPr>
          <w:rFonts w:hint="eastAsia"/>
          <w:bCs/>
          <w:color w:val="auto"/>
          <w:sz w:val="24"/>
          <w:highlight w:val="none"/>
        </w:rPr>
        <w:t>遵化市黎河四级水电站</w:t>
      </w:r>
      <w:r>
        <w:rPr>
          <w:color w:val="auto"/>
          <w:sz w:val="24"/>
          <w:highlight w:val="none"/>
        </w:rPr>
        <w:t>项目符合国家相关产业政策要求，厂址选</w:t>
      </w:r>
      <w:r>
        <w:rPr>
          <w:sz w:val="24"/>
          <w:highlight w:val="none"/>
        </w:rPr>
        <w:t>择可行。项目生产工艺及技术装备水平先进，采取了完善的环保治理措施，可以保证各类污染物达标排放，不会对周围环境产生明显影响</w:t>
      </w:r>
      <w:r>
        <w:rPr>
          <w:rFonts w:hint="eastAsia"/>
          <w:sz w:val="24"/>
          <w:highlight w:val="none"/>
        </w:rPr>
        <w:t>.</w:t>
      </w:r>
    </w:p>
    <w:p>
      <w:pPr>
        <w:spacing w:line="480" w:lineRule="exact"/>
        <w:ind w:firstLine="480" w:firstLineChars="200"/>
        <w:rPr>
          <w:sz w:val="24"/>
          <w:highlight w:val="none"/>
        </w:rPr>
      </w:pPr>
      <w:r>
        <w:rPr>
          <w:rFonts w:hint="eastAsia"/>
          <w:sz w:val="24"/>
          <w:highlight w:val="none"/>
        </w:rPr>
        <w:t>本项目引水系统、尾水系统及发电厂房均不涉及自然保护区、风景名胜区、饮用水源保护区等敏感区域，</w:t>
      </w:r>
      <w:r>
        <w:rPr>
          <w:rFonts w:hint="eastAsia"/>
          <w:sz w:val="24"/>
          <w:highlight w:val="none"/>
          <w:lang w:eastAsia="zh-CN"/>
        </w:rPr>
        <w:t>橡胶坝</w:t>
      </w:r>
      <w:r>
        <w:rPr>
          <w:rFonts w:hint="eastAsia"/>
          <w:sz w:val="24"/>
          <w:highlight w:val="none"/>
        </w:rPr>
        <w:t>在</w:t>
      </w:r>
      <w:r>
        <w:rPr>
          <w:rFonts w:hint="eastAsia"/>
          <w:sz w:val="24"/>
          <w:highlight w:val="none"/>
          <w:lang w:eastAsia="zh-CN"/>
        </w:rPr>
        <w:t>黎河</w:t>
      </w:r>
      <w:r>
        <w:rPr>
          <w:rFonts w:hint="eastAsia"/>
          <w:sz w:val="24"/>
          <w:highlight w:val="none"/>
        </w:rPr>
        <w:t>生态保护红线范围内。在釆取了相应的拦水及尾水监测设施和管理措施，不会对黎河下</w:t>
      </w:r>
      <w:r>
        <w:rPr>
          <w:rFonts w:hint="eastAsia"/>
          <w:color w:val="auto"/>
          <w:sz w:val="24"/>
          <w:highlight w:val="none"/>
          <w:lang w:eastAsia="zh-CN"/>
        </w:rPr>
        <w:t>游</w:t>
      </w:r>
      <w:r>
        <w:rPr>
          <w:rFonts w:hint="eastAsia"/>
          <w:sz w:val="24"/>
          <w:highlight w:val="none"/>
        </w:rPr>
        <w:t>水文情势</w:t>
      </w:r>
      <w:r>
        <w:rPr>
          <w:rFonts w:hint="eastAsia"/>
          <w:sz w:val="24"/>
          <w:highlight w:val="none"/>
          <w:lang w:eastAsia="zh-CN"/>
        </w:rPr>
        <w:t>和</w:t>
      </w:r>
      <w:r>
        <w:rPr>
          <w:rFonts w:hint="eastAsia"/>
          <w:sz w:val="24"/>
          <w:highlight w:val="none"/>
        </w:rPr>
        <w:t>生态环境造成</w:t>
      </w:r>
      <w:r>
        <w:rPr>
          <w:rFonts w:hint="eastAsia"/>
          <w:sz w:val="24"/>
          <w:highlight w:val="none"/>
          <w:lang w:eastAsia="zh-CN"/>
        </w:rPr>
        <w:t>不利</w:t>
      </w:r>
      <w:r>
        <w:rPr>
          <w:rFonts w:hint="eastAsia"/>
          <w:sz w:val="24"/>
          <w:highlight w:val="none"/>
        </w:rPr>
        <w:t>影响，也不会对流域水质造成不利影响，水质可以符合水环境功能区和水功能区要求。对项目所在地及黎河的生态环境影响较小，能控制在可承受范围内。</w:t>
      </w:r>
    </w:p>
    <w:p>
      <w:pPr>
        <w:spacing w:line="480" w:lineRule="exact"/>
        <w:ind w:firstLine="480" w:firstLineChars="200"/>
        <w:rPr>
          <w:sz w:val="24"/>
          <w:highlight w:val="none"/>
        </w:rPr>
      </w:pPr>
      <w:r>
        <w:rPr>
          <w:sz w:val="24"/>
          <w:highlight w:val="none"/>
        </w:rPr>
        <w:t>因此，从环保技术角度分析，该项目的建设是可行的。</w:t>
      </w:r>
    </w:p>
    <w:bookmarkEnd w:id="464"/>
    <w:bookmarkEnd w:id="465"/>
    <w:bookmarkEnd w:id="466"/>
    <w:p>
      <w:pPr>
        <w:pStyle w:val="4"/>
        <w:spacing w:before="0" w:after="0" w:line="480" w:lineRule="exact"/>
        <w:rPr>
          <w:rFonts w:ascii="Times New Roman" w:hAnsi="Times New Roman" w:cs="Times New Roman"/>
          <w:bCs w:val="0"/>
          <w:sz w:val="24"/>
          <w:szCs w:val="24"/>
          <w:highlight w:val="none"/>
        </w:rPr>
      </w:pPr>
      <w:bookmarkStart w:id="467" w:name="_Toc457301628"/>
      <w:bookmarkStart w:id="468" w:name="_Toc456279407"/>
      <w:bookmarkStart w:id="469" w:name="_Toc438472871"/>
      <w:bookmarkStart w:id="470" w:name="_Toc361729399"/>
      <w:bookmarkStart w:id="471" w:name="_Toc377414508"/>
      <w:bookmarkStart w:id="472" w:name="_Toc455416516"/>
      <w:bookmarkStart w:id="473" w:name="_Toc376521430"/>
      <w:bookmarkStart w:id="474" w:name="_Toc437618754"/>
      <w:bookmarkStart w:id="475" w:name="_Toc437951398"/>
      <w:bookmarkStart w:id="476" w:name="_Toc455416303"/>
      <w:bookmarkStart w:id="477" w:name="_Toc30870"/>
      <w:bookmarkStart w:id="478" w:name="_Toc378688938"/>
      <w:bookmarkStart w:id="479" w:name="_Toc404353712"/>
      <w:bookmarkStart w:id="480" w:name="_Toc455416409"/>
      <w:bookmarkStart w:id="481" w:name="_Toc438646384"/>
      <w:bookmarkStart w:id="482" w:name="_Toc376521024"/>
      <w:bookmarkStart w:id="483" w:name="_Toc438285835"/>
      <w:bookmarkStart w:id="484" w:name="_Toc378345808"/>
      <w:r>
        <w:rPr>
          <w:rFonts w:ascii="Times New Roman" w:hAnsi="Times New Roman" w:cs="Times New Roman"/>
          <w:bCs w:val="0"/>
          <w:sz w:val="24"/>
          <w:szCs w:val="24"/>
          <w:highlight w:val="none"/>
        </w:rPr>
        <w:t>10.1</w:t>
      </w:r>
      <w:r>
        <w:rPr>
          <w:rFonts w:hint="eastAsia" w:ascii="Times New Roman" w:hAnsi="Times New Roman" w:cs="Times New Roman"/>
          <w:bCs w:val="0"/>
          <w:sz w:val="24"/>
          <w:szCs w:val="24"/>
          <w:highlight w:val="none"/>
        </w:rPr>
        <w:t>2</w:t>
      </w:r>
      <w:r>
        <w:rPr>
          <w:rFonts w:ascii="Times New Roman" w:hAnsi="Times New Roman" w:cs="Times New Roman"/>
          <w:bCs w:val="0"/>
          <w:sz w:val="24"/>
          <w:szCs w:val="24"/>
          <w:highlight w:val="none"/>
        </w:rPr>
        <w:t>建议</w:t>
      </w:r>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p>
    <w:p>
      <w:pPr>
        <w:spacing w:line="480" w:lineRule="exact"/>
        <w:ind w:firstLine="480" w:firstLineChars="200"/>
        <w:rPr>
          <w:sz w:val="24"/>
          <w:highlight w:val="none"/>
        </w:rPr>
      </w:pPr>
      <w:r>
        <w:rPr>
          <w:sz w:val="24"/>
          <w:highlight w:val="none"/>
        </w:rPr>
        <w:t>为确保各类污染物的达标排放及各项环保设施的稳定运行，最大限度地减少污染物外排量，保护环境，本评价提出如下要求：</w:t>
      </w:r>
    </w:p>
    <w:p>
      <w:pPr>
        <w:spacing w:line="480" w:lineRule="exact"/>
        <w:ind w:firstLine="480" w:firstLineChars="200"/>
        <w:rPr>
          <w:sz w:val="24"/>
          <w:highlight w:val="none"/>
        </w:rPr>
      </w:pPr>
      <w:r>
        <w:rPr>
          <w:rFonts w:hint="eastAsia"/>
          <w:sz w:val="24"/>
          <w:highlight w:val="none"/>
        </w:rPr>
        <w:t>（1）</w:t>
      </w:r>
      <w:r>
        <w:rPr>
          <w:rFonts w:hint="eastAsia"/>
          <w:sz w:val="24"/>
          <w:highlight w:val="none"/>
          <w:lang w:eastAsia="zh-CN"/>
        </w:rPr>
        <w:t>落实危废间建设</w:t>
      </w:r>
      <w:r>
        <w:rPr>
          <w:rFonts w:hint="eastAsia"/>
          <w:sz w:val="24"/>
          <w:highlight w:val="none"/>
        </w:rPr>
        <w:t>。</w:t>
      </w:r>
    </w:p>
    <w:p>
      <w:pPr>
        <w:spacing w:line="480" w:lineRule="exact"/>
        <w:ind w:firstLine="480" w:firstLineChars="200"/>
        <w:rPr>
          <w:sz w:val="24"/>
          <w:highlight w:val="none"/>
        </w:rPr>
      </w:pPr>
      <w:r>
        <w:rPr>
          <w:rFonts w:hint="eastAsia"/>
          <w:sz w:val="24"/>
          <w:highlight w:val="none"/>
        </w:rPr>
        <w:t>（2）严格危险废物贮存与处置管理，加强厂区废水处理，严格废物不外排制度，保障黎河水体水质。制定合理的电站运行管理制度，</w:t>
      </w:r>
      <w:r>
        <w:rPr>
          <w:sz w:val="24"/>
          <w:highlight w:val="none"/>
        </w:rPr>
        <w:t>并确保生产中环保设施正常运行</w:t>
      </w:r>
      <w:r>
        <w:rPr>
          <w:rFonts w:hint="eastAsia"/>
          <w:sz w:val="24"/>
          <w:highlight w:val="none"/>
        </w:rPr>
        <w:t>。</w:t>
      </w:r>
    </w:p>
    <w:p>
      <w:pPr>
        <w:spacing w:line="480" w:lineRule="exact"/>
        <w:ind w:firstLine="480" w:firstLineChars="200"/>
        <w:rPr>
          <w:sz w:val="24"/>
          <w:highlight w:val="none"/>
        </w:rPr>
      </w:pPr>
      <w:r>
        <w:rPr>
          <w:rFonts w:hint="eastAsia"/>
          <w:sz w:val="24"/>
          <w:highlight w:val="none"/>
        </w:rPr>
        <w:t>（3）加强环保设施日常管理与维护</w:t>
      </w:r>
      <w:bookmarkStart w:id="485" w:name="_Toc403132773"/>
      <w:bookmarkStart w:id="486" w:name="_Toc403381587"/>
      <w:r>
        <w:rPr>
          <w:rFonts w:hint="eastAsia"/>
          <w:sz w:val="24"/>
          <w:highlight w:val="none"/>
        </w:rPr>
        <w:t>，建立环保责任制，</w:t>
      </w:r>
      <w:bookmarkEnd w:id="485"/>
      <w:bookmarkEnd w:id="486"/>
      <w:r>
        <w:rPr>
          <w:rFonts w:hint="eastAsia"/>
          <w:sz w:val="24"/>
          <w:highlight w:val="none"/>
        </w:rPr>
        <w:t>开展运行期环境监测。</w:t>
      </w:r>
    </w:p>
    <w:p>
      <w:pPr>
        <w:spacing w:line="460" w:lineRule="exact"/>
        <w:ind w:firstLine="482" w:firstLineChars="200"/>
        <w:rPr>
          <w:b/>
          <w:bCs/>
          <w:sz w:val="24"/>
          <w:highlight w:val="none"/>
        </w:rPr>
      </w:pPr>
    </w:p>
    <w:p>
      <w:pPr>
        <w:pStyle w:val="26"/>
        <w:ind w:left="0" w:leftChars="0" w:right="1470"/>
        <w:rPr>
          <w:highlight w:val="none"/>
        </w:rPr>
      </w:pPr>
    </w:p>
    <w:p>
      <w:pPr>
        <w:rPr>
          <w:highlight w:val="none"/>
        </w:rPr>
      </w:pPr>
    </w:p>
    <w:p>
      <w:pPr>
        <w:pStyle w:val="50"/>
        <w:rPr>
          <w:highlight w:val="none"/>
        </w:rPr>
      </w:pPr>
    </w:p>
    <w:p>
      <w:pPr>
        <w:rPr>
          <w:highlight w:val="none"/>
        </w:rPr>
      </w:pPr>
    </w:p>
    <w:p>
      <w:pPr>
        <w:pStyle w:val="50"/>
        <w:rPr>
          <w:highlight w:val="none"/>
        </w:rPr>
      </w:pPr>
    </w:p>
    <w:p>
      <w:pPr>
        <w:rPr>
          <w:highlight w:val="none"/>
        </w:rPr>
      </w:pPr>
    </w:p>
    <w:p>
      <w:pPr>
        <w:pStyle w:val="50"/>
        <w:rPr>
          <w:highlight w:val="none"/>
        </w:rPr>
      </w:pPr>
    </w:p>
    <w:p>
      <w:pPr>
        <w:pStyle w:val="50"/>
        <w:rPr>
          <w:highlight w:val="none"/>
        </w:rPr>
      </w:pPr>
    </w:p>
    <w:p>
      <w:pPr>
        <w:rPr>
          <w:highlight w:val="none"/>
        </w:rPr>
      </w:pPr>
    </w:p>
    <w:p>
      <w:pPr>
        <w:pStyle w:val="50"/>
        <w:ind w:left="0" w:leftChars="0" w:firstLine="0" w:firstLineChars="0"/>
        <w:jc w:val="left"/>
        <w:rPr>
          <w:rFonts w:hint="default"/>
          <w:highlight w:val="none"/>
          <w:lang w:val="en-US" w:eastAsia="zh-CN"/>
        </w:rPr>
      </w:pPr>
    </w:p>
    <w:sectPr>
      <w:headerReference r:id="rId25" w:type="default"/>
      <w:pgSz w:w="11906" w:h="16838"/>
      <w:pgMar w:top="1440" w:right="1826"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新宋体">
    <w:panose1 w:val="02010609030101010101"/>
    <w:charset w:val="86"/>
    <w:family w:val="modern"/>
    <w:pitch w:val="default"/>
    <w:sig w:usb0="00000003" w:usb1="288F0000" w:usb2="00000006" w:usb3="00000000" w:csb0="00040001" w:csb1="00000000"/>
  </w:font>
  <w:font w:name="楷体">
    <w:panose1 w:val="02010609060101010101"/>
    <w:charset w:val="86"/>
    <w:family w:val="modern"/>
    <w:pitch w:val="default"/>
    <w:sig w:usb0="800002BF" w:usb1="38CF7CFA" w:usb2="00000016" w:usb3="00000000" w:csb0="00040001" w:csb1="00000000"/>
  </w:font>
  <w:font w:name="Tms Rmn">
    <w:altName w:val="Segoe Print"/>
    <w:panose1 w:val="02020603040505020304"/>
    <w:charset w:val="00"/>
    <w:family w:val="roman"/>
    <w:pitch w:val="default"/>
    <w:sig w:usb0="00000000" w:usb1="00000000" w:usb2="00000000" w:usb3="00000000" w:csb0="00000001" w:csb1="00000000"/>
  </w:font>
  <w:font w:name="楷体_GB2312">
    <w:altName w:val="楷体"/>
    <w:panose1 w:val="02010609030101010101"/>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Matisse ITC">
    <w:altName w:val="Courier New"/>
    <w:panose1 w:val="00000000000000000000"/>
    <w:charset w:val="00"/>
    <w:family w:val="auto"/>
    <w:pitch w:val="default"/>
    <w:sig w:usb0="00000000" w:usb1="00000000" w:usb2="00000000" w:usb3="00000000" w:csb0="00000001" w:csb1="00000000"/>
  </w:font>
  <w:font w:name="Cambria Math">
    <w:panose1 w:val="02040503050406030204"/>
    <w:charset w:val="00"/>
    <w:family w:val="roman"/>
    <w:pitch w:val="default"/>
    <w:sig w:usb0="E00002FF" w:usb1="420024FF" w:usb2="00000000" w:usb3="00000000" w:csb0="2000019F" w:csb1="00000000"/>
  </w:font>
  <w:font w:name="MingLiU">
    <w:panose1 w:val="02020509000000000000"/>
    <w:charset w:val="88"/>
    <w:family w:val="modern"/>
    <w:pitch w:val="default"/>
    <w:sig w:usb0="A00002FF" w:usb1="28CFFCFA" w:usb2="00000016" w:usb3="00000000" w:csb0="00100001" w:csb1="00000000"/>
  </w:font>
  <w:font w:name="Arial Unicode MS">
    <w:altName w:val="宋体"/>
    <w:panose1 w:val="020B0604020202020204"/>
    <w:charset w:val="86"/>
    <w:family w:val="swiss"/>
    <w:pitch w:val="default"/>
    <w:sig w:usb0="00000000" w:usb1="00000000" w:usb2="0000003F" w:usb3="00000000" w:csb0="003F01FF" w:csb1="00000000"/>
  </w:font>
  <w:font w:name="Verdana">
    <w:panose1 w:val="020B0604030504040204"/>
    <w:charset w:val="00"/>
    <w:family w:val="swiss"/>
    <w:pitch w:val="default"/>
    <w:sig w:usb0="A10006FF" w:usb1="4000205B" w:usb2="00000010" w:usb3="00000000" w:csb0="2000019F" w:csb1="00000000"/>
  </w:font>
  <w:font w:name="”“Times New Roman”“">
    <w:altName w:val="宋体"/>
    <w:panose1 w:val="00000000000000000000"/>
    <w:charset w:val="86"/>
    <w:family w:val="roman"/>
    <w:pitch w:val="default"/>
    <w:sig w:usb0="00000000" w:usb1="00000000" w:usb2="00000010" w:usb3="00000000" w:csb0="00040000" w:csb1="00000000"/>
  </w:font>
  <w:font w:name="Tahoma">
    <w:panose1 w:val="020B0604030504040204"/>
    <w:charset w:val="00"/>
    <w:family w:val="swiss"/>
    <w:pitch w:val="default"/>
    <w:sig w:usb0="E1002EFF" w:usb1="C000605B" w:usb2="00000029" w:usb3="00000000" w:csb0="200101FF" w:csb1="20280000"/>
  </w:font>
  <w:font w:name="MS Mincho">
    <w:panose1 w:val="02020609040205080304"/>
    <w:charset w:val="80"/>
    <w:family w:val="roman"/>
    <w:pitch w:val="default"/>
    <w:sig w:usb0="E00002FF" w:usb1="6AC7FDFB" w:usb2="00000012" w:usb3="00000000" w:csb0="4002009F" w:csb1="DFD70000"/>
  </w:font>
  <w:font w:name="Segoe UI Symbol">
    <w:panose1 w:val="020B0502040204020203"/>
    <w:charset w:val="00"/>
    <w:family w:val="swiss"/>
    <w:pitch w:val="default"/>
    <w:sig w:usb0="8000006F" w:usb1="1200FBEF" w:usb2="0064C000" w:usb3="00000002" w:csb0="00000001" w:csb1="40000000"/>
  </w:font>
  <w:font w:name="微软雅黑">
    <w:panose1 w:val="020B0503020204020204"/>
    <w:charset w:val="86"/>
    <w:family w:val="auto"/>
    <w:pitch w:val="default"/>
    <w:sig w:usb0="80000287" w:usb1="280F3C52" w:usb2="00000016" w:usb3="00000000" w:csb0="0004001F" w:csb1="00000000"/>
  </w:font>
  <w:font w:name="PMingLiU">
    <w:panose1 w:val="02020500000000000000"/>
    <w:charset w:val="88"/>
    <w:family w:val="auto"/>
    <w:pitch w:val="default"/>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rPr>
        <w:rFonts w:ascii="黑体" w:eastAsia="黑体"/>
      </w:rPr>
    </w:pPr>
    <w:r>
      <w:rPr>
        <w:sz w:val="18"/>
      </w:rPr>
      <mc:AlternateContent>
        <mc:Choice Requires="wps">
          <w:drawing>
            <wp:anchor distT="0" distB="0" distL="114300" distR="114300" simplePos="0" relativeHeight="251683840"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pPr>
                          <w:r>
                            <w:fldChar w:fldCharType="begin"/>
                          </w:r>
                          <w:r>
                            <w:instrText xml:space="preserve"> PAGE  \* MERGEFORMAT </w:instrText>
                          </w:r>
                          <w:r>
                            <w:fldChar w:fldCharType="separate"/>
                          </w:r>
                          <w:r>
                            <w:t>CXLIII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38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3cvA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7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3cvAzAgAAYwQAAA4AAAAAAAAAAQAgAAAAHwEAAGRycy9lMm9Eb2MueG1sUEsF&#10;BgAAAAAGAAYAWQEAAMQFAAAAAA==&#10;">
              <v:fill on="f" focussize="0,0"/>
              <v:stroke on="f" weight="0.5pt"/>
              <v:imagedata o:title=""/>
              <o:lock v:ext="edit" aspectratio="f"/>
              <v:textbox inset="0mm,0mm,0mm,0mm" style="mso-fit-shape-to-text:t;">
                <w:txbxContent>
                  <w:p>
                    <w:pPr>
                      <w:pStyle w:val="36"/>
                    </w:pPr>
                    <w:r>
                      <w:fldChar w:fldCharType="begin"/>
                    </w:r>
                    <w:r>
                      <w:instrText xml:space="preserve"> PAGE  \* MERGEFORMAT </w:instrText>
                    </w:r>
                    <w:r>
                      <w:fldChar w:fldCharType="separate"/>
                    </w:r>
                    <w:r>
                      <w:t>CXLIII</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r>
      <w:rPr>
        <w:sz w:val="18"/>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pPr>
                          <w:r>
                            <w:fldChar w:fldCharType="begin"/>
                          </w:r>
                          <w:r>
                            <w:instrText xml:space="preserve"> PAGE  \* MERGEFORMAT </w:instrText>
                          </w:r>
                          <w:r>
                            <w:fldChar w:fldCharType="separate"/>
                          </w:r>
                          <w:r>
                            <w:t>CXXX</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87R3IzAgAAY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87R3IzAgAAYwQAAA4AAAAAAAAAAQAgAAAAHwEAAGRycy9lMm9Eb2MueG1sUEsF&#10;BgAAAAAGAAYAWQEAAMQFAAAAAA==&#10;">
              <v:fill on="f" focussize="0,0"/>
              <v:stroke on="f" weight="0.5pt"/>
              <v:imagedata o:title=""/>
              <o:lock v:ext="edit" aspectratio="f"/>
              <v:textbox inset="0mm,0mm,0mm,0mm" style="mso-fit-shape-to-text:t;">
                <w:txbxContent>
                  <w:p>
                    <w:pPr>
                      <w:pStyle w:val="36"/>
                    </w:pPr>
                    <w:r>
                      <w:fldChar w:fldCharType="begin"/>
                    </w:r>
                    <w:r>
                      <w:instrText xml:space="preserve"> PAGE  \* MERGEFORMAT </w:instrText>
                    </w:r>
                    <w:r>
                      <w:fldChar w:fldCharType="separate"/>
                    </w:r>
                    <w:r>
                      <w:t>CXXX</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rPr>
        <w:rFonts w:ascii="黑体" w:eastAsia="黑体"/>
      </w:rPr>
    </w:pPr>
    <w:r>
      <w:rPr>
        <w:sz w:val="18"/>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pPr>
                          <w:r>
                            <w:fldChar w:fldCharType="begin"/>
                          </w:r>
                          <w:r>
                            <w:instrText xml:space="preserve"> PAGE  \* MERGEFORMAT </w:instrText>
                          </w:r>
                          <w:r>
                            <w:fldChar w:fldCharType="separate"/>
                          </w:r>
                          <w:r>
                            <w:t>VII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WW+3o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WW+3ozAgAAYwQAAA4AAAAAAAAAAQAgAAAAHwEAAGRycy9lMm9Eb2MueG1sUEsF&#10;BgAAAAAGAAYAWQEAAMQFAAAAAA==&#10;">
              <v:fill on="f" focussize="0,0"/>
              <v:stroke on="f" weight="0.5pt"/>
              <v:imagedata o:title=""/>
              <o:lock v:ext="edit" aspectratio="f"/>
              <v:textbox inset="0mm,0mm,0mm,0mm" style="mso-fit-shape-to-text:t;">
                <w:txbxContent>
                  <w:p>
                    <w:pPr>
                      <w:pStyle w:val="36"/>
                    </w:pPr>
                    <w:r>
                      <w:fldChar w:fldCharType="begin"/>
                    </w:r>
                    <w:r>
                      <w:instrText xml:space="preserve"> PAGE  \* MERGEFORMAT </w:instrText>
                    </w:r>
                    <w:r>
                      <w:fldChar w:fldCharType="separate"/>
                    </w:r>
                    <w:r>
                      <w:t>VII</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tabs>
        <w:tab w:val="clear" w:pos="4153"/>
      </w:tabs>
      <w:jc w:val="center"/>
    </w:pPr>
    <w:r>
      <w:rPr>
        <w:sz w:val="18"/>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pPr>
                          <w:r>
                            <w:fldChar w:fldCharType="begin"/>
                          </w:r>
                          <w:r>
                            <w:instrText xml:space="preserve"> PAGE  \* MERGEFORMAT </w:instrText>
                          </w:r>
                          <w:r>
                            <w:fldChar w:fldCharType="separate"/>
                          </w:r>
                          <w:r>
                            <w:t>II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pPr>
                      <w:pStyle w:val="36"/>
                    </w:pPr>
                    <w:r>
                      <w:fldChar w:fldCharType="begin"/>
                    </w:r>
                    <w:r>
                      <w:instrText xml:space="preserve"> PAGE  \* MERGEFORMAT </w:instrText>
                    </w:r>
                    <w:r>
                      <w:fldChar w:fldCharType="separate"/>
                    </w:r>
                    <w:r>
                      <w:t>II</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r>
      <w:rPr>
        <w:sz w:val="18"/>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GthHI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Wgg3X1vuouoPMs&#10;C1v9YHlME4X0dnUIEDNpHAXqVOl1Q++lKvVzEpv7z32K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GthHIzAgAAYwQAAA4AAAAAAAAAAQAgAAAAHwEAAGRycy9lMm9Eb2MueG1sUEsF&#10;BgAAAAAGAAYAWQEAAMQFAAAAAA==&#10;">
              <v:fill on="f" focussize="0,0"/>
              <v:stroke on="f" weight="0.5pt"/>
              <v:imagedata o:title=""/>
              <o:lock v:ext="edit" aspectratio="f"/>
              <v:textbox inset="0mm,0mm,0mm,0mm" style="mso-fit-shape-to-text:t;">
                <w:txbxContent>
                  <w:p>
                    <w:pPr>
                      <w:pStyle w:val="36"/>
                    </w:pPr>
                    <w:r>
                      <w:fldChar w:fldCharType="begin"/>
                    </w:r>
                    <w:r>
                      <w:instrText xml:space="preserve"> PAGE  \* MERGEFORMAT </w:instrText>
                    </w:r>
                    <w:r>
                      <w:fldChar w:fldCharType="separate"/>
                    </w:r>
                    <w:r>
                      <w:t>I</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rPr>
        <w:rFonts w:ascii="黑体" w:eastAsia="黑体"/>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rPr>
        <w:rFonts w:ascii="黑体" w:eastAsia="黑体"/>
      </w:rPr>
    </w:pPr>
    <w:r>
      <w:rPr>
        <w:sz w:val="18"/>
      </w:rPr>
      <mc:AlternateContent>
        <mc:Choice Requires="wps">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1828800" cy="1828800"/>
              <wp:effectExtent l="0" t="0" r="0" b="0"/>
              <wp:wrapNone/>
              <wp:docPr id="82" name="文本框 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pPr>
                          <w:r>
                            <w:fldChar w:fldCharType="begin"/>
                          </w:r>
                          <w:r>
                            <w:instrText xml:space="preserve"> PAGE  \* MERGEFORMAT </w:instrText>
                          </w:r>
                          <w:r>
                            <w:fldChar w:fldCharType="separate"/>
                          </w:r>
                          <w:r>
                            <w:t>II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17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7kBxM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zqaUGKZR8cv3b5cf&#10;vy4/vxKcQaDahTnidg6RsXlrG7TNcB5wmHg3pdfpC0YEfsh7vsormkh4ujSbzmZjuDh8wwb42eN1&#10;50N8J6wmycipR/1aWdlpG2IXOoSkbMZupFJtDZUhdU5vXr8ZtxeuHoArgxyJRPfYZMVm3/TM9rY4&#10;g5i3XW8ExzcSybcsxAfm0Qx4MMYl3mMplUUS21uUVNZ/+dd5ikeN4KWkRnPl1GCWKFHvDWoHwDgY&#10;fjD2g2GO+s6iWycYQ8dbExd8VINZeqs/Y4ZWKQdczHBkymkczLvYNThmkIvVqg06Oi8PVXcBnedY&#10;3Jqd4ylNEjK41TFCzFbjJFCnSq8beq+tUj8nqbn/3LdRj/+G5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XuQHEzICAABjBAAADgAAAAAAAAABACAAAAAfAQAAZHJzL2Uyb0RvYy54bWxQSwUG&#10;AAAAAAYABgBZAQAAwwUAAAAA&#10;">
              <v:fill on="f" focussize="0,0"/>
              <v:stroke on="f" weight="0.5pt"/>
              <v:imagedata o:title=""/>
              <o:lock v:ext="edit" aspectratio="f"/>
              <v:textbox inset="0mm,0mm,0mm,0mm" style="mso-fit-shape-to-text:t;">
                <w:txbxContent>
                  <w:p>
                    <w:pPr>
                      <w:pStyle w:val="36"/>
                    </w:pPr>
                    <w:r>
                      <w:fldChar w:fldCharType="begin"/>
                    </w:r>
                    <w:r>
                      <w:instrText xml:space="preserve"> PAGE  \* MERGEFORMAT </w:instrText>
                    </w:r>
                    <w:r>
                      <w:fldChar w:fldCharType="separate"/>
                    </w:r>
                    <w:r>
                      <w:t>II</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r>
      <w:rPr>
        <w:sz w:val="18"/>
      </w:rP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1828800" cy="1828800"/>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28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MkPw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7Mr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xMkPwzAgAAYwQAAA4AAAAAAAAAAQAgAAAAHwEAAGRycy9lMm9Eb2MueG1sUEsF&#10;BgAAAAAGAAYAWQEAAMQFAAAAAA==&#10;">
              <v:fill on="f" focussize="0,0"/>
              <v:stroke on="f" weight="0.5pt"/>
              <v:imagedata o:title=""/>
              <o:lock v:ext="edit" aspectratio="f"/>
              <v:textbox inset="0mm,0mm,0mm,0mm" style="mso-fit-shape-to-text:t;">
                <w:txbxContent>
                  <w:p>
                    <w:pPr>
                      <w:pStyle w:val="36"/>
                    </w:pPr>
                    <w:r>
                      <w:fldChar w:fldCharType="begin"/>
                    </w:r>
                    <w:r>
                      <w:instrText xml:space="preserve"> PAGE  \* MERGEFORMAT </w:instrText>
                    </w:r>
                    <w:r>
                      <w:fldChar w:fldCharType="separate"/>
                    </w:r>
                    <w:r>
                      <w:t>I</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Bdr>
        <w:bottom w:val="none" w:color="auto" w:sz="0" w:space="0"/>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0"/>
      </w:pBdr>
      <w:ind w:firstLine="1050" w:firstLineChars="500"/>
    </w:pPr>
    <w:r>
      <w:rPr>
        <w:rFonts w:hint="eastAsia"/>
        <w:lang w:val="en-US" w:eastAsia="zh-CN"/>
      </w:rPr>
      <w:t>遵化市昌明水力发电有限公司遵化市黎河四级水电站项目环境影响报告书</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0"/>
      </w:pBdr>
      <w:ind w:firstLine="3780" w:firstLineChars="1800"/>
    </w:pPr>
    <w:r>
      <w:rPr>
        <w:rFonts w:hint="eastAsia"/>
        <w:lang w:val="en-US" w:eastAsia="zh-CN"/>
      </w:rPr>
      <w:t>遵化市黎河水力发电有限公司遵化市黎河二级水电站项目环境影响报告书</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0"/>
      </w:pBdr>
      <w:ind w:firstLine="840" w:firstLineChars="400"/>
    </w:pPr>
    <w:r>
      <w:rPr>
        <w:rFonts w:hint="eastAsia"/>
        <w:lang w:val="en-US" w:eastAsia="zh-CN"/>
      </w:rPr>
      <w:t>遵化市昌明水力发电有限公司遵化市黎河四级水电站项目环境影响报告书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Bdr>
        <w:bottom w:val="none" w:color="auto" w:sz="0" w:space="1"/>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0"/>
      </w:pBdr>
      <w:rPr>
        <w:rFonts w:hint="default" w:eastAsia="宋体"/>
        <w:lang w:val="en-US" w:eastAsia="zh-CN"/>
      </w:rPr>
    </w:pPr>
    <w:r>
      <w:rPr>
        <w:rFonts w:hint="eastAsia"/>
        <w:lang w:val="en-US" w:eastAsia="zh-CN"/>
      </w:rPr>
      <w:t xml:space="preserve">         遵化市昌明水力发电有限公司遵化市黎河四级水电站项目环境影响报告书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Bdr>
        <w:bottom w:val="none" w:color="auto" w:sz="0" w:space="1"/>
      </w:pBd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0"/>
      </w:pBdr>
      <w:rPr>
        <w:rFonts w:hint="default" w:eastAsia="宋体"/>
        <w:lang w:val="en-US" w:eastAsia="zh-CN"/>
      </w:rPr>
    </w:pPr>
    <w:r>
      <w:rPr>
        <w:rFonts w:hint="eastAsia"/>
        <w:lang w:val="en-US" w:eastAsia="zh-CN"/>
      </w:rPr>
      <w:t xml:space="preserve">                                    遵化市黎河水力发电有限公司遵化市黎河二级水电站项目环境影响报告书</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0"/>
      </w:pBdr>
      <w:ind w:firstLine="840" w:firstLineChars="400"/>
    </w:pPr>
    <w:r>
      <w:rPr>
        <w:rFonts w:hint="eastAsia"/>
        <w:lang w:val="en-US" w:eastAsia="zh-CN"/>
      </w:rPr>
      <w:t>遵化市昌明水力发电有限公司遵化市黎河四级水电站项目环境影响报告书</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0"/>
      </w:pBdr>
      <w:ind w:firstLine="3570" w:firstLineChars="1700"/>
    </w:pPr>
    <w:r>
      <w:rPr>
        <w:rFonts w:hint="eastAsia"/>
        <w:lang w:val="en-US" w:eastAsia="zh-CN"/>
      </w:rPr>
      <w:t>遵化市黎河水力发电有限公司遵化市黎河二级水电站项目环境影响报告书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2170CB2"/>
    <w:multiLevelType w:val="singleLevel"/>
    <w:tmpl w:val="F2170CB2"/>
    <w:lvl w:ilvl="0" w:tentative="0">
      <w:start w:val="3"/>
      <w:numFmt w:val="chineseCounting"/>
      <w:suff w:val="nothing"/>
      <w:lvlText w:val="（%1）"/>
      <w:lvlJc w:val="left"/>
      <w:rPr>
        <w:rFonts w:hint="eastAsia"/>
      </w:rPr>
    </w:lvl>
  </w:abstractNum>
  <w:abstractNum w:abstractNumId="1">
    <w:nsid w:val="1E4EC345"/>
    <w:multiLevelType w:val="singleLevel"/>
    <w:tmpl w:val="1E4EC345"/>
    <w:lvl w:ilvl="0" w:tentative="0">
      <w:start w:val="1"/>
      <w:numFmt w:val="decimal"/>
      <w:suff w:val="nothing"/>
      <w:lvlText w:val="%1、"/>
      <w:lvlJc w:val="left"/>
    </w:lvl>
  </w:abstractNum>
  <w:abstractNum w:abstractNumId="2">
    <w:nsid w:val="331E3EBA"/>
    <w:multiLevelType w:val="multilevel"/>
    <w:tmpl w:val="331E3EBA"/>
    <w:lvl w:ilvl="0" w:tentative="0">
      <w:start w:val="1"/>
      <w:numFmt w:val="decimalEnclosedParen"/>
      <w:lvlText w:val="%1"/>
      <w:lvlJc w:val="left"/>
      <w:pPr>
        <w:ind w:left="840" w:hanging="360"/>
      </w:pPr>
      <w:rPr>
        <w:rFonts w:hint="default" w:ascii="宋体" w:hAnsi="宋体" w:cs="宋体"/>
        <w:color w:val="auto"/>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I5ZjcwOGMxM2Y3NmFjZmIxNTNiMjBlMGI1OTU2YmEifQ=="/>
  </w:docVars>
  <w:rsids>
    <w:rsidRoot w:val="00172A27"/>
    <w:rsid w:val="000000E4"/>
    <w:rsid w:val="000007F9"/>
    <w:rsid w:val="00000A6E"/>
    <w:rsid w:val="00000B22"/>
    <w:rsid w:val="0000134D"/>
    <w:rsid w:val="00001AD5"/>
    <w:rsid w:val="00001DD7"/>
    <w:rsid w:val="00001F04"/>
    <w:rsid w:val="000026C3"/>
    <w:rsid w:val="00002856"/>
    <w:rsid w:val="00002A7A"/>
    <w:rsid w:val="00002D49"/>
    <w:rsid w:val="00002F48"/>
    <w:rsid w:val="000033B6"/>
    <w:rsid w:val="0000393B"/>
    <w:rsid w:val="00003A8F"/>
    <w:rsid w:val="00003E40"/>
    <w:rsid w:val="00004F6B"/>
    <w:rsid w:val="000056C9"/>
    <w:rsid w:val="0000575E"/>
    <w:rsid w:val="00005879"/>
    <w:rsid w:val="00005D96"/>
    <w:rsid w:val="00005EC8"/>
    <w:rsid w:val="00006504"/>
    <w:rsid w:val="000067FE"/>
    <w:rsid w:val="00007019"/>
    <w:rsid w:val="0000749A"/>
    <w:rsid w:val="00007E79"/>
    <w:rsid w:val="00007F5E"/>
    <w:rsid w:val="0001049E"/>
    <w:rsid w:val="00010BEF"/>
    <w:rsid w:val="00011A1C"/>
    <w:rsid w:val="00011DD5"/>
    <w:rsid w:val="000120A0"/>
    <w:rsid w:val="0001252F"/>
    <w:rsid w:val="00012D22"/>
    <w:rsid w:val="00012ED6"/>
    <w:rsid w:val="00013349"/>
    <w:rsid w:val="00013D3E"/>
    <w:rsid w:val="000141B9"/>
    <w:rsid w:val="000145A5"/>
    <w:rsid w:val="000145DB"/>
    <w:rsid w:val="00014F21"/>
    <w:rsid w:val="000150B4"/>
    <w:rsid w:val="000154EA"/>
    <w:rsid w:val="00015796"/>
    <w:rsid w:val="00016619"/>
    <w:rsid w:val="0001694D"/>
    <w:rsid w:val="00016B92"/>
    <w:rsid w:val="00016F89"/>
    <w:rsid w:val="0001749C"/>
    <w:rsid w:val="00017EEB"/>
    <w:rsid w:val="000205BD"/>
    <w:rsid w:val="00020BD9"/>
    <w:rsid w:val="000211A1"/>
    <w:rsid w:val="000213E4"/>
    <w:rsid w:val="00021670"/>
    <w:rsid w:val="000219BD"/>
    <w:rsid w:val="00022515"/>
    <w:rsid w:val="000225FB"/>
    <w:rsid w:val="00022DD6"/>
    <w:rsid w:val="00022FD3"/>
    <w:rsid w:val="00023677"/>
    <w:rsid w:val="00023A34"/>
    <w:rsid w:val="00023D36"/>
    <w:rsid w:val="00024584"/>
    <w:rsid w:val="000246A7"/>
    <w:rsid w:val="00024811"/>
    <w:rsid w:val="00024B76"/>
    <w:rsid w:val="00024C8F"/>
    <w:rsid w:val="0002587B"/>
    <w:rsid w:val="00025BBB"/>
    <w:rsid w:val="0002617D"/>
    <w:rsid w:val="00026420"/>
    <w:rsid w:val="00026560"/>
    <w:rsid w:val="00027399"/>
    <w:rsid w:val="00027412"/>
    <w:rsid w:val="0002761C"/>
    <w:rsid w:val="00027876"/>
    <w:rsid w:val="000306E8"/>
    <w:rsid w:val="000313F5"/>
    <w:rsid w:val="00031434"/>
    <w:rsid w:val="00031744"/>
    <w:rsid w:val="000317A0"/>
    <w:rsid w:val="00031E5F"/>
    <w:rsid w:val="00031EB2"/>
    <w:rsid w:val="00032282"/>
    <w:rsid w:val="0003234A"/>
    <w:rsid w:val="000329F0"/>
    <w:rsid w:val="00032F21"/>
    <w:rsid w:val="00032FC9"/>
    <w:rsid w:val="00033DEE"/>
    <w:rsid w:val="00033FDD"/>
    <w:rsid w:val="0003409D"/>
    <w:rsid w:val="00034D10"/>
    <w:rsid w:val="00034D4B"/>
    <w:rsid w:val="00034E9C"/>
    <w:rsid w:val="0003532A"/>
    <w:rsid w:val="00035500"/>
    <w:rsid w:val="000355DE"/>
    <w:rsid w:val="000357DA"/>
    <w:rsid w:val="00035B83"/>
    <w:rsid w:val="00035E44"/>
    <w:rsid w:val="00036077"/>
    <w:rsid w:val="00036B72"/>
    <w:rsid w:val="00036D5F"/>
    <w:rsid w:val="00037104"/>
    <w:rsid w:val="00037217"/>
    <w:rsid w:val="00040101"/>
    <w:rsid w:val="00040B41"/>
    <w:rsid w:val="00040BFB"/>
    <w:rsid w:val="00040D1D"/>
    <w:rsid w:val="00041256"/>
    <w:rsid w:val="000417B7"/>
    <w:rsid w:val="00041AFF"/>
    <w:rsid w:val="00041D3C"/>
    <w:rsid w:val="000425A3"/>
    <w:rsid w:val="00042657"/>
    <w:rsid w:val="000426D1"/>
    <w:rsid w:val="00042A47"/>
    <w:rsid w:val="00042B3C"/>
    <w:rsid w:val="00042C60"/>
    <w:rsid w:val="00043284"/>
    <w:rsid w:val="0004375E"/>
    <w:rsid w:val="000440AC"/>
    <w:rsid w:val="00044FA5"/>
    <w:rsid w:val="00045B76"/>
    <w:rsid w:val="00045BC3"/>
    <w:rsid w:val="00046701"/>
    <w:rsid w:val="000468F7"/>
    <w:rsid w:val="00046AF8"/>
    <w:rsid w:val="00046D67"/>
    <w:rsid w:val="00046E8A"/>
    <w:rsid w:val="00047727"/>
    <w:rsid w:val="0004784E"/>
    <w:rsid w:val="00047CFE"/>
    <w:rsid w:val="000500D8"/>
    <w:rsid w:val="000502FE"/>
    <w:rsid w:val="0005077A"/>
    <w:rsid w:val="0005089A"/>
    <w:rsid w:val="00051119"/>
    <w:rsid w:val="000515FF"/>
    <w:rsid w:val="00051793"/>
    <w:rsid w:val="00051AE1"/>
    <w:rsid w:val="00052095"/>
    <w:rsid w:val="000523CB"/>
    <w:rsid w:val="000527C0"/>
    <w:rsid w:val="00053004"/>
    <w:rsid w:val="00053715"/>
    <w:rsid w:val="00053ACA"/>
    <w:rsid w:val="00053B83"/>
    <w:rsid w:val="00053F92"/>
    <w:rsid w:val="000542E6"/>
    <w:rsid w:val="00054854"/>
    <w:rsid w:val="00054B25"/>
    <w:rsid w:val="000551B2"/>
    <w:rsid w:val="00055B2F"/>
    <w:rsid w:val="000569B2"/>
    <w:rsid w:val="00056EA3"/>
    <w:rsid w:val="00060545"/>
    <w:rsid w:val="00060F3C"/>
    <w:rsid w:val="0006177A"/>
    <w:rsid w:val="00061874"/>
    <w:rsid w:val="00061A0F"/>
    <w:rsid w:val="00061B33"/>
    <w:rsid w:val="00061CDC"/>
    <w:rsid w:val="00061F5D"/>
    <w:rsid w:val="00062545"/>
    <w:rsid w:val="0006260D"/>
    <w:rsid w:val="000639EB"/>
    <w:rsid w:val="000641E9"/>
    <w:rsid w:val="000644EA"/>
    <w:rsid w:val="0006466E"/>
    <w:rsid w:val="000648FC"/>
    <w:rsid w:val="0006507D"/>
    <w:rsid w:val="00065574"/>
    <w:rsid w:val="00065687"/>
    <w:rsid w:val="00065D68"/>
    <w:rsid w:val="00065DAF"/>
    <w:rsid w:val="00066563"/>
    <w:rsid w:val="00066590"/>
    <w:rsid w:val="000666FF"/>
    <w:rsid w:val="00067445"/>
    <w:rsid w:val="0006779E"/>
    <w:rsid w:val="000678A6"/>
    <w:rsid w:val="00067CBC"/>
    <w:rsid w:val="00067EC0"/>
    <w:rsid w:val="000700B9"/>
    <w:rsid w:val="0007031E"/>
    <w:rsid w:val="0007099E"/>
    <w:rsid w:val="00070E4A"/>
    <w:rsid w:val="000714E6"/>
    <w:rsid w:val="000716CD"/>
    <w:rsid w:val="000716D9"/>
    <w:rsid w:val="000716EF"/>
    <w:rsid w:val="00072E1C"/>
    <w:rsid w:val="00072E60"/>
    <w:rsid w:val="0007379D"/>
    <w:rsid w:val="000738CD"/>
    <w:rsid w:val="00073B41"/>
    <w:rsid w:val="00074533"/>
    <w:rsid w:val="000749A8"/>
    <w:rsid w:val="000749FA"/>
    <w:rsid w:val="00074A35"/>
    <w:rsid w:val="00074BFF"/>
    <w:rsid w:val="00075CA3"/>
    <w:rsid w:val="00076077"/>
    <w:rsid w:val="000763BE"/>
    <w:rsid w:val="00076FAE"/>
    <w:rsid w:val="0007744D"/>
    <w:rsid w:val="00077C8F"/>
    <w:rsid w:val="00077D6B"/>
    <w:rsid w:val="0008051F"/>
    <w:rsid w:val="00080768"/>
    <w:rsid w:val="00080C61"/>
    <w:rsid w:val="0008148B"/>
    <w:rsid w:val="000817B3"/>
    <w:rsid w:val="00081F07"/>
    <w:rsid w:val="00082518"/>
    <w:rsid w:val="00082931"/>
    <w:rsid w:val="00082EA5"/>
    <w:rsid w:val="00082F3B"/>
    <w:rsid w:val="00083095"/>
    <w:rsid w:val="00083134"/>
    <w:rsid w:val="0008358A"/>
    <w:rsid w:val="00083D79"/>
    <w:rsid w:val="00083EE2"/>
    <w:rsid w:val="00084094"/>
    <w:rsid w:val="0008417C"/>
    <w:rsid w:val="00084191"/>
    <w:rsid w:val="000844D0"/>
    <w:rsid w:val="00084D56"/>
    <w:rsid w:val="00084E4F"/>
    <w:rsid w:val="00084EDC"/>
    <w:rsid w:val="00085410"/>
    <w:rsid w:val="00085A57"/>
    <w:rsid w:val="00085AA7"/>
    <w:rsid w:val="00085B8D"/>
    <w:rsid w:val="00085BD7"/>
    <w:rsid w:val="000861CA"/>
    <w:rsid w:val="00086CC7"/>
    <w:rsid w:val="00086D3C"/>
    <w:rsid w:val="000874AE"/>
    <w:rsid w:val="00087574"/>
    <w:rsid w:val="00087E01"/>
    <w:rsid w:val="000907BC"/>
    <w:rsid w:val="00090F2F"/>
    <w:rsid w:val="00090F55"/>
    <w:rsid w:val="00091187"/>
    <w:rsid w:val="000916B5"/>
    <w:rsid w:val="00091984"/>
    <w:rsid w:val="00091B97"/>
    <w:rsid w:val="0009219D"/>
    <w:rsid w:val="00092BA3"/>
    <w:rsid w:val="00092C75"/>
    <w:rsid w:val="000939CA"/>
    <w:rsid w:val="00093AD9"/>
    <w:rsid w:val="00093FEA"/>
    <w:rsid w:val="00094739"/>
    <w:rsid w:val="00094876"/>
    <w:rsid w:val="00095315"/>
    <w:rsid w:val="000959B0"/>
    <w:rsid w:val="00095D0E"/>
    <w:rsid w:val="000960D4"/>
    <w:rsid w:val="0009633A"/>
    <w:rsid w:val="00096848"/>
    <w:rsid w:val="00096A8A"/>
    <w:rsid w:val="00096DA2"/>
    <w:rsid w:val="0009732D"/>
    <w:rsid w:val="0009793E"/>
    <w:rsid w:val="00097E0C"/>
    <w:rsid w:val="000A0183"/>
    <w:rsid w:val="000A0546"/>
    <w:rsid w:val="000A06FE"/>
    <w:rsid w:val="000A07F2"/>
    <w:rsid w:val="000A0A48"/>
    <w:rsid w:val="000A0C3B"/>
    <w:rsid w:val="000A11EA"/>
    <w:rsid w:val="000A1E27"/>
    <w:rsid w:val="000A22AD"/>
    <w:rsid w:val="000A27AB"/>
    <w:rsid w:val="000A2B81"/>
    <w:rsid w:val="000A2F56"/>
    <w:rsid w:val="000A316E"/>
    <w:rsid w:val="000A3B63"/>
    <w:rsid w:val="000A43F5"/>
    <w:rsid w:val="000A485B"/>
    <w:rsid w:val="000A491D"/>
    <w:rsid w:val="000A4EB3"/>
    <w:rsid w:val="000A5734"/>
    <w:rsid w:val="000A5848"/>
    <w:rsid w:val="000A5FC6"/>
    <w:rsid w:val="000A6460"/>
    <w:rsid w:val="000A652E"/>
    <w:rsid w:val="000A6A6D"/>
    <w:rsid w:val="000A7718"/>
    <w:rsid w:val="000A7C0E"/>
    <w:rsid w:val="000A7FBF"/>
    <w:rsid w:val="000B021B"/>
    <w:rsid w:val="000B024A"/>
    <w:rsid w:val="000B02BF"/>
    <w:rsid w:val="000B04E7"/>
    <w:rsid w:val="000B0C32"/>
    <w:rsid w:val="000B120E"/>
    <w:rsid w:val="000B132F"/>
    <w:rsid w:val="000B1B18"/>
    <w:rsid w:val="000B21E6"/>
    <w:rsid w:val="000B271B"/>
    <w:rsid w:val="000B2FF8"/>
    <w:rsid w:val="000B31C4"/>
    <w:rsid w:val="000B3636"/>
    <w:rsid w:val="000B4017"/>
    <w:rsid w:val="000B417F"/>
    <w:rsid w:val="000B477E"/>
    <w:rsid w:val="000B47D5"/>
    <w:rsid w:val="000B49E3"/>
    <w:rsid w:val="000B4BF9"/>
    <w:rsid w:val="000B4E2F"/>
    <w:rsid w:val="000B53CB"/>
    <w:rsid w:val="000B54C3"/>
    <w:rsid w:val="000B5847"/>
    <w:rsid w:val="000B596D"/>
    <w:rsid w:val="000B5C44"/>
    <w:rsid w:val="000B5F71"/>
    <w:rsid w:val="000B5F77"/>
    <w:rsid w:val="000B62D4"/>
    <w:rsid w:val="000B638D"/>
    <w:rsid w:val="000B65C4"/>
    <w:rsid w:val="000B679B"/>
    <w:rsid w:val="000B67E8"/>
    <w:rsid w:val="000B6880"/>
    <w:rsid w:val="000B69E8"/>
    <w:rsid w:val="000B70CC"/>
    <w:rsid w:val="000B76F8"/>
    <w:rsid w:val="000B7727"/>
    <w:rsid w:val="000B78FB"/>
    <w:rsid w:val="000B7C1B"/>
    <w:rsid w:val="000B7CEB"/>
    <w:rsid w:val="000B7DCB"/>
    <w:rsid w:val="000B7E8B"/>
    <w:rsid w:val="000C19C6"/>
    <w:rsid w:val="000C20AA"/>
    <w:rsid w:val="000C2123"/>
    <w:rsid w:val="000C259D"/>
    <w:rsid w:val="000C28B0"/>
    <w:rsid w:val="000C31AF"/>
    <w:rsid w:val="000C32FD"/>
    <w:rsid w:val="000C3CFD"/>
    <w:rsid w:val="000C3E9F"/>
    <w:rsid w:val="000C4126"/>
    <w:rsid w:val="000C43A1"/>
    <w:rsid w:val="000C4F09"/>
    <w:rsid w:val="000C5014"/>
    <w:rsid w:val="000C50E5"/>
    <w:rsid w:val="000C56DD"/>
    <w:rsid w:val="000C5B3B"/>
    <w:rsid w:val="000C5EBE"/>
    <w:rsid w:val="000C67B9"/>
    <w:rsid w:val="000C6954"/>
    <w:rsid w:val="000C6DFE"/>
    <w:rsid w:val="000C74B6"/>
    <w:rsid w:val="000D008A"/>
    <w:rsid w:val="000D00F4"/>
    <w:rsid w:val="000D011B"/>
    <w:rsid w:val="000D04B7"/>
    <w:rsid w:val="000D04FE"/>
    <w:rsid w:val="000D05C0"/>
    <w:rsid w:val="000D0FA2"/>
    <w:rsid w:val="000D10CB"/>
    <w:rsid w:val="000D1104"/>
    <w:rsid w:val="000D1518"/>
    <w:rsid w:val="000D1BB9"/>
    <w:rsid w:val="000D1E03"/>
    <w:rsid w:val="000D20EA"/>
    <w:rsid w:val="000D2B45"/>
    <w:rsid w:val="000D2C4A"/>
    <w:rsid w:val="000D2E5F"/>
    <w:rsid w:val="000D2EE6"/>
    <w:rsid w:val="000D3D4C"/>
    <w:rsid w:val="000D4418"/>
    <w:rsid w:val="000D4438"/>
    <w:rsid w:val="000D465B"/>
    <w:rsid w:val="000D47A3"/>
    <w:rsid w:val="000D4869"/>
    <w:rsid w:val="000D4C06"/>
    <w:rsid w:val="000D4C8F"/>
    <w:rsid w:val="000D551B"/>
    <w:rsid w:val="000D5735"/>
    <w:rsid w:val="000D579E"/>
    <w:rsid w:val="000D6167"/>
    <w:rsid w:val="000D6337"/>
    <w:rsid w:val="000D662E"/>
    <w:rsid w:val="000D7054"/>
    <w:rsid w:val="000D7D0F"/>
    <w:rsid w:val="000E0510"/>
    <w:rsid w:val="000E0578"/>
    <w:rsid w:val="000E0919"/>
    <w:rsid w:val="000E111A"/>
    <w:rsid w:val="000E1255"/>
    <w:rsid w:val="000E17F3"/>
    <w:rsid w:val="000E18B7"/>
    <w:rsid w:val="000E18C6"/>
    <w:rsid w:val="000E2A6D"/>
    <w:rsid w:val="000E2BC7"/>
    <w:rsid w:val="000E33BD"/>
    <w:rsid w:val="000E34A9"/>
    <w:rsid w:val="000E3577"/>
    <w:rsid w:val="000E3717"/>
    <w:rsid w:val="000E4111"/>
    <w:rsid w:val="000E4272"/>
    <w:rsid w:val="000E4971"/>
    <w:rsid w:val="000E4AD5"/>
    <w:rsid w:val="000E4CCC"/>
    <w:rsid w:val="000E4D04"/>
    <w:rsid w:val="000E57E1"/>
    <w:rsid w:val="000E58FE"/>
    <w:rsid w:val="000E5A5D"/>
    <w:rsid w:val="000E6B38"/>
    <w:rsid w:val="000E6CB1"/>
    <w:rsid w:val="000E749A"/>
    <w:rsid w:val="000E7700"/>
    <w:rsid w:val="000E7742"/>
    <w:rsid w:val="000E7955"/>
    <w:rsid w:val="000E7A76"/>
    <w:rsid w:val="000E7F9C"/>
    <w:rsid w:val="000F08FE"/>
    <w:rsid w:val="000F0EF0"/>
    <w:rsid w:val="000F186E"/>
    <w:rsid w:val="000F1C5A"/>
    <w:rsid w:val="000F249F"/>
    <w:rsid w:val="000F2BF5"/>
    <w:rsid w:val="000F3D96"/>
    <w:rsid w:val="000F40CD"/>
    <w:rsid w:val="000F4A07"/>
    <w:rsid w:val="000F4B7E"/>
    <w:rsid w:val="000F4E5C"/>
    <w:rsid w:val="000F4F3B"/>
    <w:rsid w:val="000F50D0"/>
    <w:rsid w:val="000F5427"/>
    <w:rsid w:val="000F5519"/>
    <w:rsid w:val="000F5645"/>
    <w:rsid w:val="000F56A2"/>
    <w:rsid w:val="000F63C5"/>
    <w:rsid w:val="000F6596"/>
    <w:rsid w:val="000F75C7"/>
    <w:rsid w:val="000F7C54"/>
    <w:rsid w:val="000F7D70"/>
    <w:rsid w:val="00100445"/>
    <w:rsid w:val="00100546"/>
    <w:rsid w:val="001006B8"/>
    <w:rsid w:val="00100982"/>
    <w:rsid w:val="00100A8A"/>
    <w:rsid w:val="00100D56"/>
    <w:rsid w:val="00100DD8"/>
    <w:rsid w:val="0010118E"/>
    <w:rsid w:val="00101CB8"/>
    <w:rsid w:val="001024FE"/>
    <w:rsid w:val="00102649"/>
    <w:rsid w:val="001028AF"/>
    <w:rsid w:val="00102D73"/>
    <w:rsid w:val="001035C6"/>
    <w:rsid w:val="001035D3"/>
    <w:rsid w:val="001035E5"/>
    <w:rsid w:val="001039AD"/>
    <w:rsid w:val="00103E97"/>
    <w:rsid w:val="001041DF"/>
    <w:rsid w:val="00104383"/>
    <w:rsid w:val="00104998"/>
    <w:rsid w:val="00104FD4"/>
    <w:rsid w:val="001050B6"/>
    <w:rsid w:val="001051D3"/>
    <w:rsid w:val="00105230"/>
    <w:rsid w:val="001056A0"/>
    <w:rsid w:val="0010577E"/>
    <w:rsid w:val="001060F2"/>
    <w:rsid w:val="001061E9"/>
    <w:rsid w:val="00106568"/>
    <w:rsid w:val="0010747F"/>
    <w:rsid w:val="00107A95"/>
    <w:rsid w:val="00110A1A"/>
    <w:rsid w:val="00110ABA"/>
    <w:rsid w:val="00110B68"/>
    <w:rsid w:val="001116CD"/>
    <w:rsid w:val="001118C9"/>
    <w:rsid w:val="00111CEE"/>
    <w:rsid w:val="00112433"/>
    <w:rsid w:val="0011257B"/>
    <w:rsid w:val="00112758"/>
    <w:rsid w:val="00113077"/>
    <w:rsid w:val="001136FC"/>
    <w:rsid w:val="00113EF5"/>
    <w:rsid w:val="001142BA"/>
    <w:rsid w:val="0011457A"/>
    <w:rsid w:val="00114760"/>
    <w:rsid w:val="00115113"/>
    <w:rsid w:val="0011539B"/>
    <w:rsid w:val="001155CF"/>
    <w:rsid w:val="001156F9"/>
    <w:rsid w:val="00115746"/>
    <w:rsid w:val="00115CF5"/>
    <w:rsid w:val="00115ECA"/>
    <w:rsid w:val="00115F00"/>
    <w:rsid w:val="00116155"/>
    <w:rsid w:val="00116676"/>
    <w:rsid w:val="00116C98"/>
    <w:rsid w:val="00116F17"/>
    <w:rsid w:val="00117188"/>
    <w:rsid w:val="0011739E"/>
    <w:rsid w:val="00117612"/>
    <w:rsid w:val="00117B7B"/>
    <w:rsid w:val="00117C10"/>
    <w:rsid w:val="00120237"/>
    <w:rsid w:val="001205E2"/>
    <w:rsid w:val="001205ED"/>
    <w:rsid w:val="001209BD"/>
    <w:rsid w:val="00120AE8"/>
    <w:rsid w:val="00120DF2"/>
    <w:rsid w:val="00121031"/>
    <w:rsid w:val="0012158F"/>
    <w:rsid w:val="00121C67"/>
    <w:rsid w:val="00121E89"/>
    <w:rsid w:val="001220AF"/>
    <w:rsid w:val="00122117"/>
    <w:rsid w:val="001223A9"/>
    <w:rsid w:val="00122987"/>
    <w:rsid w:val="00122F10"/>
    <w:rsid w:val="00123062"/>
    <w:rsid w:val="0012346B"/>
    <w:rsid w:val="00123565"/>
    <w:rsid w:val="001237D1"/>
    <w:rsid w:val="001242AA"/>
    <w:rsid w:val="0012436F"/>
    <w:rsid w:val="00124865"/>
    <w:rsid w:val="00124948"/>
    <w:rsid w:val="00124D51"/>
    <w:rsid w:val="00124FD7"/>
    <w:rsid w:val="001250FD"/>
    <w:rsid w:val="00125112"/>
    <w:rsid w:val="001257B9"/>
    <w:rsid w:val="00125D5B"/>
    <w:rsid w:val="00126176"/>
    <w:rsid w:val="0012687F"/>
    <w:rsid w:val="00126925"/>
    <w:rsid w:val="00126A08"/>
    <w:rsid w:val="00126B87"/>
    <w:rsid w:val="00127487"/>
    <w:rsid w:val="00127500"/>
    <w:rsid w:val="001279A2"/>
    <w:rsid w:val="00127B0D"/>
    <w:rsid w:val="00127C90"/>
    <w:rsid w:val="00130640"/>
    <w:rsid w:val="00130769"/>
    <w:rsid w:val="00130DF4"/>
    <w:rsid w:val="00130F09"/>
    <w:rsid w:val="00131300"/>
    <w:rsid w:val="0013193A"/>
    <w:rsid w:val="00131949"/>
    <w:rsid w:val="00131E15"/>
    <w:rsid w:val="00132EB9"/>
    <w:rsid w:val="00133113"/>
    <w:rsid w:val="0013324C"/>
    <w:rsid w:val="00133707"/>
    <w:rsid w:val="00133E38"/>
    <w:rsid w:val="00134997"/>
    <w:rsid w:val="00134DC6"/>
    <w:rsid w:val="00135002"/>
    <w:rsid w:val="00135425"/>
    <w:rsid w:val="001354D4"/>
    <w:rsid w:val="00135BD0"/>
    <w:rsid w:val="00135C7E"/>
    <w:rsid w:val="00135EDB"/>
    <w:rsid w:val="001360FE"/>
    <w:rsid w:val="00136C53"/>
    <w:rsid w:val="00136C7C"/>
    <w:rsid w:val="00136F80"/>
    <w:rsid w:val="00137310"/>
    <w:rsid w:val="00137E19"/>
    <w:rsid w:val="0014033A"/>
    <w:rsid w:val="0014063E"/>
    <w:rsid w:val="001408F5"/>
    <w:rsid w:val="00140B89"/>
    <w:rsid w:val="001411BC"/>
    <w:rsid w:val="001411D7"/>
    <w:rsid w:val="001422D9"/>
    <w:rsid w:val="001425E0"/>
    <w:rsid w:val="00142614"/>
    <w:rsid w:val="0014311A"/>
    <w:rsid w:val="0014329D"/>
    <w:rsid w:val="00143998"/>
    <w:rsid w:val="001439C5"/>
    <w:rsid w:val="00143E2F"/>
    <w:rsid w:val="001441E5"/>
    <w:rsid w:val="00144998"/>
    <w:rsid w:val="00144EBE"/>
    <w:rsid w:val="00144F15"/>
    <w:rsid w:val="0014537D"/>
    <w:rsid w:val="00145690"/>
    <w:rsid w:val="0014579C"/>
    <w:rsid w:val="00145B69"/>
    <w:rsid w:val="00145E54"/>
    <w:rsid w:val="00146B69"/>
    <w:rsid w:val="00146D69"/>
    <w:rsid w:val="001472A9"/>
    <w:rsid w:val="001473C9"/>
    <w:rsid w:val="0014746B"/>
    <w:rsid w:val="001478BC"/>
    <w:rsid w:val="00150083"/>
    <w:rsid w:val="00151CC5"/>
    <w:rsid w:val="00152451"/>
    <w:rsid w:val="0015281C"/>
    <w:rsid w:val="00152A11"/>
    <w:rsid w:val="00152BCB"/>
    <w:rsid w:val="00154341"/>
    <w:rsid w:val="001565FA"/>
    <w:rsid w:val="00156746"/>
    <w:rsid w:val="00156763"/>
    <w:rsid w:val="00156C68"/>
    <w:rsid w:val="00157B04"/>
    <w:rsid w:val="00157E6A"/>
    <w:rsid w:val="00157F21"/>
    <w:rsid w:val="0016057E"/>
    <w:rsid w:val="00160654"/>
    <w:rsid w:val="00160694"/>
    <w:rsid w:val="001608CA"/>
    <w:rsid w:val="001609A3"/>
    <w:rsid w:val="00161025"/>
    <w:rsid w:val="00161A2B"/>
    <w:rsid w:val="00161BF9"/>
    <w:rsid w:val="00162012"/>
    <w:rsid w:val="00162016"/>
    <w:rsid w:val="00162C9D"/>
    <w:rsid w:val="00162DBF"/>
    <w:rsid w:val="00162EB5"/>
    <w:rsid w:val="0016354E"/>
    <w:rsid w:val="001635A8"/>
    <w:rsid w:val="0016394D"/>
    <w:rsid w:val="00163CD6"/>
    <w:rsid w:val="00163D8F"/>
    <w:rsid w:val="001641C7"/>
    <w:rsid w:val="00164263"/>
    <w:rsid w:val="00164EF6"/>
    <w:rsid w:val="00165A7C"/>
    <w:rsid w:val="00165EB0"/>
    <w:rsid w:val="001661F3"/>
    <w:rsid w:val="00166DD0"/>
    <w:rsid w:val="0016715B"/>
    <w:rsid w:val="00167937"/>
    <w:rsid w:val="001701A2"/>
    <w:rsid w:val="00170383"/>
    <w:rsid w:val="0017073D"/>
    <w:rsid w:val="00170E1D"/>
    <w:rsid w:val="0017183A"/>
    <w:rsid w:val="00171E82"/>
    <w:rsid w:val="00172560"/>
    <w:rsid w:val="0017286A"/>
    <w:rsid w:val="00172D0E"/>
    <w:rsid w:val="00172DCA"/>
    <w:rsid w:val="0017314B"/>
    <w:rsid w:val="001733EA"/>
    <w:rsid w:val="0017396B"/>
    <w:rsid w:val="00173FCB"/>
    <w:rsid w:val="0017565D"/>
    <w:rsid w:val="00175DBF"/>
    <w:rsid w:val="001760CF"/>
    <w:rsid w:val="001760FC"/>
    <w:rsid w:val="00176AF5"/>
    <w:rsid w:val="00176DC6"/>
    <w:rsid w:val="001770B8"/>
    <w:rsid w:val="00177776"/>
    <w:rsid w:val="00177A16"/>
    <w:rsid w:val="00177A37"/>
    <w:rsid w:val="00177A9D"/>
    <w:rsid w:val="00177B89"/>
    <w:rsid w:val="00177B93"/>
    <w:rsid w:val="00177BAD"/>
    <w:rsid w:val="001804F7"/>
    <w:rsid w:val="0018061E"/>
    <w:rsid w:val="001809A4"/>
    <w:rsid w:val="00180BED"/>
    <w:rsid w:val="00181090"/>
    <w:rsid w:val="0018166F"/>
    <w:rsid w:val="00181A0B"/>
    <w:rsid w:val="00182313"/>
    <w:rsid w:val="001826C0"/>
    <w:rsid w:val="00182C01"/>
    <w:rsid w:val="00182F50"/>
    <w:rsid w:val="00183683"/>
    <w:rsid w:val="00183C08"/>
    <w:rsid w:val="00183C72"/>
    <w:rsid w:val="00183D86"/>
    <w:rsid w:val="001845A1"/>
    <w:rsid w:val="00184871"/>
    <w:rsid w:val="00185827"/>
    <w:rsid w:val="00185851"/>
    <w:rsid w:val="00185A8F"/>
    <w:rsid w:val="00186117"/>
    <w:rsid w:val="001866E1"/>
    <w:rsid w:val="00186EC8"/>
    <w:rsid w:val="00187C38"/>
    <w:rsid w:val="00190350"/>
    <w:rsid w:val="001905FC"/>
    <w:rsid w:val="00190C91"/>
    <w:rsid w:val="00190D8C"/>
    <w:rsid w:val="00190F96"/>
    <w:rsid w:val="00191673"/>
    <w:rsid w:val="00191722"/>
    <w:rsid w:val="00191723"/>
    <w:rsid w:val="00191B30"/>
    <w:rsid w:val="00191C3F"/>
    <w:rsid w:val="00191D74"/>
    <w:rsid w:val="00192094"/>
    <w:rsid w:val="001921F0"/>
    <w:rsid w:val="001923F3"/>
    <w:rsid w:val="001924B5"/>
    <w:rsid w:val="0019276B"/>
    <w:rsid w:val="00192897"/>
    <w:rsid w:val="001938E1"/>
    <w:rsid w:val="00193B2D"/>
    <w:rsid w:val="00193E96"/>
    <w:rsid w:val="00193EC1"/>
    <w:rsid w:val="0019484B"/>
    <w:rsid w:val="00194D7A"/>
    <w:rsid w:val="0019523B"/>
    <w:rsid w:val="00195448"/>
    <w:rsid w:val="00195574"/>
    <w:rsid w:val="0019566B"/>
    <w:rsid w:val="00195907"/>
    <w:rsid w:val="00195B26"/>
    <w:rsid w:val="00195E4B"/>
    <w:rsid w:val="001963F8"/>
    <w:rsid w:val="00196409"/>
    <w:rsid w:val="00197217"/>
    <w:rsid w:val="0019740C"/>
    <w:rsid w:val="00197C6C"/>
    <w:rsid w:val="001A0007"/>
    <w:rsid w:val="001A0774"/>
    <w:rsid w:val="001A0782"/>
    <w:rsid w:val="001A0B6D"/>
    <w:rsid w:val="001A18D4"/>
    <w:rsid w:val="001A18E0"/>
    <w:rsid w:val="001A1F01"/>
    <w:rsid w:val="001A2843"/>
    <w:rsid w:val="001A285A"/>
    <w:rsid w:val="001A2DB8"/>
    <w:rsid w:val="001A348B"/>
    <w:rsid w:val="001A386A"/>
    <w:rsid w:val="001A38F6"/>
    <w:rsid w:val="001A3B01"/>
    <w:rsid w:val="001A3EFD"/>
    <w:rsid w:val="001A4577"/>
    <w:rsid w:val="001A47A2"/>
    <w:rsid w:val="001A489D"/>
    <w:rsid w:val="001A4A04"/>
    <w:rsid w:val="001A4F71"/>
    <w:rsid w:val="001A52C4"/>
    <w:rsid w:val="001A556C"/>
    <w:rsid w:val="001A69FF"/>
    <w:rsid w:val="001A74C9"/>
    <w:rsid w:val="001A759D"/>
    <w:rsid w:val="001A7BBA"/>
    <w:rsid w:val="001B003F"/>
    <w:rsid w:val="001B089E"/>
    <w:rsid w:val="001B1234"/>
    <w:rsid w:val="001B139E"/>
    <w:rsid w:val="001B13AB"/>
    <w:rsid w:val="001B1855"/>
    <w:rsid w:val="001B1D55"/>
    <w:rsid w:val="001B21BD"/>
    <w:rsid w:val="001B21DC"/>
    <w:rsid w:val="001B2470"/>
    <w:rsid w:val="001B2A44"/>
    <w:rsid w:val="001B2AAB"/>
    <w:rsid w:val="001B2E86"/>
    <w:rsid w:val="001B2F3C"/>
    <w:rsid w:val="001B30EE"/>
    <w:rsid w:val="001B3350"/>
    <w:rsid w:val="001B3DBE"/>
    <w:rsid w:val="001B4260"/>
    <w:rsid w:val="001B494C"/>
    <w:rsid w:val="001B4992"/>
    <w:rsid w:val="001B49AE"/>
    <w:rsid w:val="001B4C6C"/>
    <w:rsid w:val="001B53B2"/>
    <w:rsid w:val="001B5A6B"/>
    <w:rsid w:val="001B6167"/>
    <w:rsid w:val="001B6224"/>
    <w:rsid w:val="001B6661"/>
    <w:rsid w:val="001B673A"/>
    <w:rsid w:val="001B6976"/>
    <w:rsid w:val="001B6DAC"/>
    <w:rsid w:val="001B760E"/>
    <w:rsid w:val="001B7D1F"/>
    <w:rsid w:val="001B7FFD"/>
    <w:rsid w:val="001C011A"/>
    <w:rsid w:val="001C0255"/>
    <w:rsid w:val="001C0F1E"/>
    <w:rsid w:val="001C1473"/>
    <w:rsid w:val="001C1F7F"/>
    <w:rsid w:val="001C2085"/>
    <w:rsid w:val="001C21D2"/>
    <w:rsid w:val="001C233D"/>
    <w:rsid w:val="001C2B2C"/>
    <w:rsid w:val="001C2C15"/>
    <w:rsid w:val="001C2E89"/>
    <w:rsid w:val="001C2EDD"/>
    <w:rsid w:val="001C31F9"/>
    <w:rsid w:val="001C324F"/>
    <w:rsid w:val="001C3411"/>
    <w:rsid w:val="001C3730"/>
    <w:rsid w:val="001C3BB9"/>
    <w:rsid w:val="001C4704"/>
    <w:rsid w:val="001C5136"/>
    <w:rsid w:val="001C553C"/>
    <w:rsid w:val="001C5687"/>
    <w:rsid w:val="001C5801"/>
    <w:rsid w:val="001C5DB8"/>
    <w:rsid w:val="001C6241"/>
    <w:rsid w:val="001C67BD"/>
    <w:rsid w:val="001C68E5"/>
    <w:rsid w:val="001C68F0"/>
    <w:rsid w:val="001C6E2E"/>
    <w:rsid w:val="001C700B"/>
    <w:rsid w:val="001C799D"/>
    <w:rsid w:val="001C7BA5"/>
    <w:rsid w:val="001D012F"/>
    <w:rsid w:val="001D03DB"/>
    <w:rsid w:val="001D040C"/>
    <w:rsid w:val="001D097E"/>
    <w:rsid w:val="001D127B"/>
    <w:rsid w:val="001D12ED"/>
    <w:rsid w:val="001D1854"/>
    <w:rsid w:val="001D1AB8"/>
    <w:rsid w:val="001D1FF0"/>
    <w:rsid w:val="001D22D6"/>
    <w:rsid w:val="001D236B"/>
    <w:rsid w:val="001D288F"/>
    <w:rsid w:val="001D2D18"/>
    <w:rsid w:val="001D36A4"/>
    <w:rsid w:val="001D384F"/>
    <w:rsid w:val="001D3CD5"/>
    <w:rsid w:val="001D3CD8"/>
    <w:rsid w:val="001D41D1"/>
    <w:rsid w:val="001D4442"/>
    <w:rsid w:val="001D4F39"/>
    <w:rsid w:val="001D588E"/>
    <w:rsid w:val="001D5E09"/>
    <w:rsid w:val="001D6F11"/>
    <w:rsid w:val="001D717F"/>
    <w:rsid w:val="001D757A"/>
    <w:rsid w:val="001D7EAA"/>
    <w:rsid w:val="001D7F77"/>
    <w:rsid w:val="001E0021"/>
    <w:rsid w:val="001E05D7"/>
    <w:rsid w:val="001E0DBC"/>
    <w:rsid w:val="001E0FF8"/>
    <w:rsid w:val="001E15FB"/>
    <w:rsid w:val="001E1C9F"/>
    <w:rsid w:val="001E1DA7"/>
    <w:rsid w:val="001E217C"/>
    <w:rsid w:val="001E22D8"/>
    <w:rsid w:val="001E2305"/>
    <w:rsid w:val="001E29F6"/>
    <w:rsid w:val="001E2A8E"/>
    <w:rsid w:val="001E2E18"/>
    <w:rsid w:val="001E2F96"/>
    <w:rsid w:val="001E2FA3"/>
    <w:rsid w:val="001E3391"/>
    <w:rsid w:val="001E3577"/>
    <w:rsid w:val="001E3581"/>
    <w:rsid w:val="001E36B0"/>
    <w:rsid w:val="001E37BD"/>
    <w:rsid w:val="001E3B4C"/>
    <w:rsid w:val="001E3C73"/>
    <w:rsid w:val="001E438A"/>
    <w:rsid w:val="001E43CA"/>
    <w:rsid w:val="001E467E"/>
    <w:rsid w:val="001E492D"/>
    <w:rsid w:val="001E53B5"/>
    <w:rsid w:val="001E55A1"/>
    <w:rsid w:val="001E569F"/>
    <w:rsid w:val="001E5A93"/>
    <w:rsid w:val="001E65A5"/>
    <w:rsid w:val="001E69AE"/>
    <w:rsid w:val="001E6A1C"/>
    <w:rsid w:val="001E6B61"/>
    <w:rsid w:val="001E6FBB"/>
    <w:rsid w:val="001E72EE"/>
    <w:rsid w:val="001E7301"/>
    <w:rsid w:val="001E7320"/>
    <w:rsid w:val="001E7A9F"/>
    <w:rsid w:val="001E7B0D"/>
    <w:rsid w:val="001E7B97"/>
    <w:rsid w:val="001E7E66"/>
    <w:rsid w:val="001F0171"/>
    <w:rsid w:val="001F094A"/>
    <w:rsid w:val="001F0C03"/>
    <w:rsid w:val="001F0F7B"/>
    <w:rsid w:val="001F14F6"/>
    <w:rsid w:val="001F17C8"/>
    <w:rsid w:val="001F1A95"/>
    <w:rsid w:val="001F1D45"/>
    <w:rsid w:val="001F1EFC"/>
    <w:rsid w:val="001F21E1"/>
    <w:rsid w:val="001F2303"/>
    <w:rsid w:val="001F280C"/>
    <w:rsid w:val="001F2AAC"/>
    <w:rsid w:val="001F3312"/>
    <w:rsid w:val="001F34F5"/>
    <w:rsid w:val="001F3B24"/>
    <w:rsid w:val="001F3C6F"/>
    <w:rsid w:val="001F4145"/>
    <w:rsid w:val="001F41A7"/>
    <w:rsid w:val="001F48B8"/>
    <w:rsid w:val="001F49D9"/>
    <w:rsid w:val="001F4B15"/>
    <w:rsid w:val="001F4D79"/>
    <w:rsid w:val="001F4DF3"/>
    <w:rsid w:val="001F5A07"/>
    <w:rsid w:val="001F5E59"/>
    <w:rsid w:val="001F5E79"/>
    <w:rsid w:val="001F5F46"/>
    <w:rsid w:val="001F6070"/>
    <w:rsid w:val="001F6F3E"/>
    <w:rsid w:val="001F7856"/>
    <w:rsid w:val="001F7AA7"/>
    <w:rsid w:val="00200E75"/>
    <w:rsid w:val="00201C1C"/>
    <w:rsid w:val="00202411"/>
    <w:rsid w:val="00202450"/>
    <w:rsid w:val="0020282F"/>
    <w:rsid w:val="002028E3"/>
    <w:rsid w:val="00202A04"/>
    <w:rsid w:val="00202CD9"/>
    <w:rsid w:val="00202DC5"/>
    <w:rsid w:val="00202E72"/>
    <w:rsid w:val="0020320D"/>
    <w:rsid w:val="00203585"/>
    <w:rsid w:val="0020407B"/>
    <w:rsid w:val="0020464C"/>
    <w:rsid w:val="00204CF1"/>
    <w:rsid w:val="00205335"/>
    <w:rsid w:val="0020547C"/>
    <w:rsid w:val="00205866"/>
    <w:rsid w:val="00205DA1"/>
    <w:rsid w:val="00206900"/>
    <w:rsid w:val="002069D5"/>
    <w:rsid w:val="00206AD2"/>
    <w:rsid w:val="002070F0"/>
    <w:rsid w:val="00207758"/>
    <w:rsid w:val="002077AB"/>
    <w:rsid w:val="0020797A"/>
    <w:rsid w:val="00207C45"/>
    <w:rsid w:val="00207FF5"/>
    <w:rsid w:val="002102DB"/>
    <w:rsid w:val="0021055A"/>
    <w:rsid w:val="00210DED"/>
    <w:rsid w:val="00210E12"/>
    <w:rsid w:val="00211695"/>
    <w:rsid w:val="00211841"/>
    <w:rsid w:val="00212331"/>
    <w:rsid w:val="00212F9D"/>
    <w:rsid w:val="00213AE1"/>
    <w:rsid w:val="002145EF"/>
    <w:rsid w:val="00214821"/>
    <w:rsid w:val="002148CB"/>
    <w:rsid w:val="00214AF0"/>
    <w:rsid w:val="0021539E"/>
    <w:rsid w:val="00215659"/>
    <w:rsid w:val="002166DE"/>
    <w:rsid w:val="00216C5E"/>
    <w:rsid w:val="00216E8C"/>
    <w:rsid w:val="00216F46"/>
    <w:rsid w:val="00217249"/>
    <w:rsid w:val="00217356"/>
    <w:rsid w:val="00217604"/>
    <w:rsid w:val="00217690"/>
    <w:rsid w:val="002178CB"/>
    <w:rsid w:val="0022081A"/>
    <w:rsid w:val="00220DD3"/>
    <w:rsid w:val="002213EC"/>
    <w:rsid w:val="002215C1"/>
    <w:rsid w:val="0022194B"/>
    <w:rsid w:val="00222F25"/>
    <w:rsid w:val="00222F93"/>
    <w:rsid w:val="002235A9"/>
    <w:rsid w:val="002236FC"/>
    <w:rsid w:val="00223E9D"/>
    <w:rsid w:val="00224109"/>
    <w:rsid w:val="002242F4"/>
    <w:rsid w:val="00224587"/>
    <w:rsid w:val="00224686"/>
    <w:rsid w:val="00224849"/>
    <w:rsid w:val="00224BAF"/>
    <w:rsid w:val="00224CE6"/>
    <w:rsid w:val="00225499"/>
    <w:rsid w:val="00225822"/>
    <w:rsid w:val="00225AEA"/>
    <w:rsid w:val="002260AA"/>
    <w:rsid w:val="002263EE"/>
    <w:rsid w:val="002269CD"/>
    <w:rsid w:val="00226B2C"/>
    <w:rsid w:val="00227984"/>
    <w:rsid w:val="00227A1C"/>
    <w:rsid w:val="00227AC2"/>
    <w:rsid w:val="002303E5"/>
    <w:rsid w:val="002307D5"/>
    <w:rsid w:val="00230C6E"/>
    <w:rsid w:val="00230EE4"/>
    <w:rsid w:val="002318D9"/>
    <w:rsid w:val="00231921"/>
    <w:rsid w:val="00231992"/>
    <w:rsid w:val="00231CF1"/>
    <w:rsid w:val="00231EBB"/>
    <w:rsid w:val="00231F97"/>
    <w:rsid w:val="00231FCC"/>
    <w:rsid w:val="00232421"/>
    <w:rsid w:val="00232901"/>
    <w:rsid w:val="0023321A"/>
    <w:rsid w:val="00234376"/>
    <w:rsid w:val="00234C35"/>
    <w:rsid w:val="00234F24"/>
    <w:rsid w:val="00234F30"/>
    <w:rsid w:val="00235758"/>
    <w:rsid w:val="00235782"/>
    <w:rsid w:val="00235801"/>
    <w:rsid w:val="00235B1A"/>
    <w:rsid w:val="002361C8"/>
    <w:rsid w:val="00236279"/>
    <w:rsid w:val="00236D09"/>
    <w:rsid w:val="00237636"/>
    <w:rsid w:val="00237A10"/>
    <w:rsid w:val="00237B2B"/>
    <w:rsid w:val="00237D17"/>
    <w:rsid w:val="00240B1B"/>
    <w:rsid w:val="002413E0"/>
    <w:rsid w:val="00241426"/>
    <w:rsid w:val="00241B08"/>
    <w:rsid w:val="0024225E"/>
    <w:rsid w:val="00242475"/>
    <w:rsid w:val="002426FC"/>
    <w:rsid w:val="00242B04"/>
    <w:rsid w:val="00242D1F"/>
    <w:rsid w:val="00242E8F"/>
    <w:rsid w:val="00242F30"/>
    <w:rsid w:val="002430AA"/>
    <w:rsid w:val="00243CD2"/>
    <w:rsid w:val="00243EE0"/>
    <w:rsid w:val="0024408C"/>
    <w:rsid w:val="0024443B"/>
    <w:rsid w:val="00244720"/>
    <w:rsid w:val="00244825"/>
    <w:rsid w:val="00245F46"/>
    <w:rsid w:val="00246149"/>
    <w:rsid w:val="00246225"/>
    <w:rsid w:val="00246883"/>
    <w:rsid w:val="00246EBA"/>
    <w:rsid w:val="00246F66"/>
    <w:rsid w:val="00247698"/>
    <w:rsid w:val="00247A83"/>
    <w:rsid w:val="00247C06"/>
    <w:rsid w:val="00251536"/>
    <w:rsid w:val="00251766"/>
    <w:rsid w:val="002520D3"/>
    <w:rsid w:val="00252161"/>
    <w:rsid w:val="0025246D"/>
    <w:rsid w:val="00252E89"/>
    <w:rsid w:val="0025337A"/>
    <w:rsid w:val="002534E1"/>
    <w:rsid w:val="002536A0"/>
    <w:rsid w:val="00253B4A"/>
    <w:rsid w:val="00253E90"/>
    <w:rsid w:val="0025418E"/>
    <w:rsid w:val="00254534"/>
    <w:rsid w:val="00254570"/>
    <w:rsid w:val="00255519"/>
    <w:rsid w:val="002555FD"/>
    <w:rsid w:val="00256070"/>
    <w:rsid w:val="0025662E"/>
    <w:rsid w:val="00256E0F"/>
    <w:rsid w:val="0025702C"/>
    <w:rsid w:val="002573CA"/>
    <w:rsid w:val="00257714"/>
    <w:rsid w:val="00257840"/>
    <w:rsid w:val="00257B03"/>
    <w:rsid w:val="0026036C"/>
    <w:rsid w:val="0026044D"/>
    <w:rsid w:val="00260842"/>
    <w:rsid w:val="00260A96"/>
    <w:rsid w:val="00260B52"/>
    <w:rsid w:val="00260B88"/>
    <w:rsid w:val="0026101C"/>
    <w:rsid w:val="0026122D"/>
    <w:rsid w:val="002619B9"/>
    <w:rsid w:val="00262785"/>
    <w:rsid w:val="00262C81"/>
    <w:rsid w:val="002632D8"/>
    <w:rsid w:val="00263AD3"/>
    <w:rsid w:val="00263D08"/>
    <w:rsid w:val="0026498A"/>
    <w:rsid w:val="002649DD"/>
    <w:rsid w:val="00264C4D"/>
    <w:rsid w:val="00264E69"/>
    <w:rsid w:val="0026502B"/>
    <w:rsid w:val="00265555"/>
    <w:rsid w:val="00265D36"/>
    <w:rsid w:val="00266029"/>
    <w:rsid w:val="00266227"/>
    <w:rsid w:val="00266232"/>
    <w:rsid w:val="0026651E"/>
    <w:rsid w:val="00267027"/>
    <w:rsid w:val="002670E1"/>
    <w:rsid w:val="00267478"/>
    <w:rsid w:val="002676BF"/>
    <w:rsid w:val="002677C6"/>
    <w:rsid w:val="00267B5B"/>
    <w:rsid w:val="002702C3"/>
    <w:rsid w:val="002705D7"/>
    <w:rsid w:val="00270745"/>
    <w:rsid w:val="00270939"/>
    <w:rsid w:val="0027093C"/>
    <w:rsid w:val="00270DE0"/>
    <w:rsid w:val="002717FA"/>
    <w:rsid w:val="0027198B"/>
    <w:rsid w:val="00271B0A"/>
    <w:rsid w:val="0027235F"/>
    <w:rsid w:val="0027268E"/>
    <w:rsid w:val="002728E5"/>
    <w:rsid w:val="00272A02"/>
    <w:rsid w:val="0027343C"/>
    <w:rsid w:val="00273715"/>
    <w:rsid w:val="002737FF"/>
    <w:rsid w:val="002738C5"/>
    <w:rsid w:val="002739D6"/>
    <w:rsid w:val="00273C41"/>
    <w:rsid w:val="00273DAB"/>
    <w:rsid w:val="00274216"/>
    <w:rsid w:val="00274615"/>
    <w:rsid w:val="002748E3"/>
    <w:rsid w:val="00274BD3"/>
    <w:rsid w:val="00274DF7"/>
    <w:rsid w:val="002751CB"/>
    <w:rsid w:val="00275D65"/>
    <w:rsid w:val="00277040"/>
    <w:rsid w:val="0027780A"/>
    <w:rsid w:val="00277935"/>
    <w:rsid w:val="002779C0"/>
    <w:rsid w:val="002779C3"/>
    <w:rsid w:val="00277EC3"/>
    <w:rsid w:val="00280392"/>
    <w:rsid w:val="002809CB"/>
    <w:rsid w:val="00280D20"/>
    <w:rsid w:val="0028102A"/>
    <w:rsid w:val="00281177"/>
    <w:rsid w:val="00281729"/>
    <w:rsid w:val="002817EE"/>
    <w:rsid w:val="002819E5"/>
    <w:rsid w:val="00282777"/>
    <w:rsid w:val="00282B59"/>
    <w:rsid w:val="00282D30"/>
    <w:rsid w:val="00282E2E"/>
    <w:rsid w:val="00282E8B"/>
    <w:rsid w:val="0028347A"/>
    <w:rsid w:val="00283681"/>
    <w:rsid w:val="00283DB7"/>
    <w:rsid w:val="00283DDF"/>
    <w:rsid w:val="00283F2B"/>
    <w:rsid w:val="00284015"/>
    <w:rsid w:val="00284440"/>
    <w:rsid w:val="00284D4A"/>
    <w:rsid w:val="00284D51"/>
    <w:rsid w:val="00284EB2"/>
    <w:rsid w:val="00284ED2"/>
    <w:rsid w:val="00285287"/>
    <w:rsid w:val="00285CE9"/>
    <w:rsid w:val="0028679B"/>
    <w:rsid w:val="002868F0"/>
    <w:rsid w:val="00286C7B"/>
    <w:rsid w:val="0028703B"/>
    <w:rsid w:val="00287469"/>
    <w:rsid w:val="00287AC2"/>
    <w:rsid w:val="00290CFA"/>
    <w:rsid w:val="0029134A"/>
    <w:rsid w:val="002917A6"/>
    <w:rsid w:val="00291857"/>
    <w:rsid w:val="00291CBC"/>
    <w:rsid w:val="002922FC"/>
    <w:rsid w:val="00292396"/>
    <w:rsid w:val="002924FE"/>
    <w:rsid w:val="00292797"/>
    <w:rsid w:val="00292C0D"/>
    <w:rsid w:val="002930EB"/>
    <w:rsid w:val="00293360"/>
    <w:rsid w:val="0029349B"/>
    <w:rsid w:val="00293583"/>
    <w:rsid w:val="00293CE8"/>
    <w:rsid w:val="00293D4D"/>
    <w:rsid w:val="002944A0"/>
    <w:rsid w:val="00294B29"/>
    <w:rsid w:val="00294D70"/>
    <w:rsid w:val="00294E3E"/>
    <w:rsid w:val="00295165"/>
    <w:rsid w:val="0029524B"/>
    <w:rsid w:val="002952A4"/>
    <w:rsid w:val="002952D2"/>
    <w:rsid w:val="0029552A"/>
    <w:rsid w:val="0029558D"/>
    <w:rsid w:val="00295B23"/>
    <w:rsid w:val="00295BC2"/>
    <w:rsid w:val="00296B97"/>
    <w:rsid w:val="00297037"/>
    <w:rsid w:val="002A0079"/>
    <w:rsid w:val="002A050C"/>
    <w:rsid w:val="002A05C6"/>
    <w:rsid w:val="002A1272"/>
    <w:rsid w:val="002A1B98"/>
    <w:rsid w:val="002A2081"/>
    <w:rsid w:val="002A21D8"/>
    <w:rsid w:val="002A25D3"/>
    <w:rsid w:val="002A2AE1"/>
    <w:rsid w:val="002A3068"/>
    <w:rsid w:val="002A34C4"/>
    <w:rsid w:val="002A3B50"/>
    <w:rsid w:val="002A3C3B"/>
    <w:rsid w:val="002A4CA8"/>
    <w:rsid w:val="002A4CF3"/>
    <w:rsid w:val="002A4E2A"/>
    <w:rsid w:val="002A524D"/>
    <w:rsid w:val="002A56DA"/>
    <w:rsid w:val="002A57D6"/>
    <w:rsid w:val="002A5A67"/>
    <w:rsid w:val="002A63F4"/>
    <w:rsid w:val="002A6476"/>
    <w:rsid w:val="002A68F4"/>
    <w:rsid w:val="002A6A6D"/>
    <w:rsid w:val="002A71BB"/>
    <w:rsid w:val="002A75BA"/>
    <w:rsid w:val="002A7605"/>
    <w:rsid w:val="002A7E21"/>
    <w:rsid w:val="002A7FCB"/>
    <w:rsid w:val="002B0266"/>
    <w:rsid w:val="002B065C"/>
    <w:rsid w:val="002B0676"/>
    <w:rsid w:val="002B06CA"/>
    <w:rsid w:val="002B0D8E"/>
    <w:rsid w:val="002B0F0D"/>
    <w:rsid w:val="002B1158"/>
    <w:rsid w:val="002B115A"/>
    <w:rsid w:val="002B13BF"/>
    <w:rsid w:val="002B15AA"/>
    <w:rsid w:val="002B16CA"/>
    <w:rsid w:val="002B1A68"/>
    <w:rsid w:val="002B1F82"/>
    <w:rsid w:val="002B24C4"/>
    <w:rsid w:val="002B2849"/>
    <w:rsid w:val="002B291E"/>
    <w:rsid w:val="002B2921"/>
    <w:rsid w:val="002B2C0F"/>
    <w:rsid w:val="002B3513"/>
    <w:rsid w:val="002B3D79"/>
    <w:rsid w:val="002B43A8"/>
    <w:rsid w:val="002B4CD6"/>
    <w:rsid w:val="002B5259"/>
    <w:rsid w:val="002B53E3"/>
    <w:rsid w:val="002B55F2"/>
    <w:rsid w:val="002B56FE"/>
    <w:rsid w:val="002B5A48"/>
    <w:rsid w:val="002B5D34"/>
    <w:rsid w:val="002B6030"/>
    <w:rsid w:val="002B6627"/>
    <w:rsid w:val="002B66DF"/>
    <w:rsid w:val="002B66F3"/>
    <w:rsid w:val="002B6ED1"/>
    <w:rsid w:val="002B6FB7"/>
    <w:rsid w:val="002B7167"/>
    <w:rsid w:val="002B743E"/>
    <w:rsid w:val="002B75AD"/>
    <w:rsid w:val="002B789F"/>
    <w:rsid w:val="002B7938"/>
    <w:rsid w:val="002B7A99"/>
    <w:rsid w:val="002C022A"/>
    <w:rsid w:val="002C0315"/>
    <w:rsid w:val="002C0405"/>
    <w:rsid w:val="002C0527"/>
    <w:rsid w:val="002C07BB"/>
    <w:rsid w:val="002C16BB"/>
    <w:rsid w:val="002C1865"/>
    <w:rsid w:val="002C1993"/>
    <w:rsid w:val="002C1B96"/>
    <w:rsid w:val="002C1DC1"/>
    <w:rsid w:val="002C25CC"/>
    <w:rsid w:val="002C2A7A"/>
    <w:rsid w:val="002C300A"/>
    <w:rsid w:val="002C37FC"/>
    <w:rsid w:val="002C3C4B"/>
    <w:rsid w:val="002C4346"/>
    <w:rsid w:val="002C43AE"/>
    <w:rsid w:val="002C4B7F"/>
    <w:rsid w:val="002C5283"/>
    <w:rsid w:val="002C5376"/>
    <w:rsid w:val="002C5735"/>
    <w:rsid w:val="002C5F13"/>
    <w:rsid w:val="002C6073"/>
    <w:rsid w:val="002C61D7"/>
    <w:rsid w:val="002C6348"/>
    <w:rsid w:val="002C640F"/>
    <w:rsid w:val="002C6DE9"/>
    <w:rsid w:val="002C6E82"/>
    <w:rsid w:val="002C6F96"/>
    <w:rsid w:val="002C702B"/>
    <w:rsid w:val="002C7655"/>
    <w:rsid w:val="002D016B"/>
    <w:rsid w:val="002D04FA"/>
    <w:rsid w:val="002D051D"/>
    <w:rsid w:val="002D14F8"/>
    <w:rsid w:val="002D1686"/>
    <w:rsid w:val="002D1866"/>
    <w:rsid w:val="002D1885"/>
    <w:rsid w:val="002D2177"/>
    <w:rsid w:val="002D2239"/>
    <w:rsid w:val="002D2526"/>
    <w:rsid w:val="002D2569"/>
    <w:rsid w:val="002D279F"/>
    <w:rsid w:val="002D325B"/>
    <w:rsid w:val="002D342E"/>
    <w:rsid w:val="002D3E59"/>
    <w:rsid w:val="002D3F1D"/>
    <w:rsid w:val="002D40FE"/>
    <w:rsid w:val="002D447F"/>
    <w:rsid w:val="002D4581"/>
    <w:rsid w:val="002D4623"/>
    <w:rsid w:val="002D4A31"/>
    <w:rsid w:val="002D4B1E"/>
    <w:rsid w:val="002D52CE"/>
    <w:rsid w:val="002D580D"/>
    <w:rsid w:val="002D5EA9"/>
    <w:rsid w:val="002D63B5"/>
    <w:rsid w:val="002D6C44"/>
    <w:rsid w:val="002D6DAD"/>
    <w:rsid w:val="002D7139"/>
    <w:rsid w:val="002D7A80"/>
    <w:rsid w:val="002D7FC1"/>
    <w:rsid w:val="002E0103"/>
    <w:rsid w:val="002E0836"/>
    <w:rsid w:val="002E0884"/>
    <w:rsid w:val="002E1486"/>
    <w:rsid w:val="002E20E7"/>
    <w:rsid w:val="002E21AE"/>
    <w:rsid w:val="002E2D06"/>
    <w:rsid w:val="002E4A15"/>
    <w:rsid w:val="002E4FFB"/>
    <w:rsid w:val="002E5463"/>
    <w:rsid w:val="002E5CFD"/>
    <w:rsid w:val="002E63C5"/>
    <w:rsid w:val="002E6719"/>
    <w:rsid w:val="002E6B2A"/>
    <w:rsid w:val="002E6B5E"/>
    <w:rsid w:val="002E6D75"/>
    <w:rsid w:val="002E7070"/>
    <w:rsid w:val="002E748C"/>
    <w:rsid w:val="002E7612"/>
    <w:rsid w:val="002E78DE"/>
    <w:rsid w:val="002E7B7F"/>
    <w:rsid w:val="002E7EB9"/>
    <w:rsid w:val="002F024D"/>
    <w:rsid w:val="002F06B0"/>
    <w:rsid w:val="002F07D1"/>
    <w:rsid w:val="002F07DE"/>
    <w:rsid w:val="002F1164"/>
    <w:rsid w:val="002F15B1"/>
    <w:rsid w:val="002F1F98"/>
    <w:rsid w:val="002F2A3D"/>
    <w:rsid w:val="002F2B20"/>
    <w:rsid w:val="002F34B1"/>
    <w:rsid w:val="002F383B"/>
    <w:rsid w:val="002F4154"/>
    <w:rsid w:val="002F46B6"/>
    <w:rsid w:val="002F497C"/>
    <w:rsid w:val="002F4AD0"/>
    <w:rsid w:val="002F4AD5"/>
    <w:rsid w:val="002F4EC0"/>
    <w:rsid w:val="002F53F8"/>
    <w:rsid w:val="002F5D31"/>
    <w:rsid w:val="002F6B06"/>
    <w:rsid w:val="002F7021"/>
    <w:rsid w:val="002F786C"/>
    <w:rsid w:val="002F7C1A"/>
    <w:rsid w:val="003002C7"/>
    <w:rsid w:val="003003D3"/>
    <w:rsid w:val="00300720"/>
    <w:rsid w:val="00300F66"/>
    <w:rsid w:val="0030158F"/>
    <w:rsid w:val="0030162A"/>
    <w:rsid w:val="00301630"/>
    <w:rsid w:val="0030188C"/>
    <w:rsid w:val="00301968"/>
    <w:rsid w:val="00301A91"/>
    <w:rsid w:val="00301B1F"/>
    <w:rsid w:val="00301D73"/>
    <w:rsid w:val="00301E45"/>
    <w:rsid w:val="00302192"/>
    <w:rsid w:val="003028E8"/>
    <w:rsid w:val="003029F2"/>
    <w:rsid w:val="003034EC"/>
    <w:rsid w:val="0030413B"/>
    <w:rsid w:val="003046B8"/>
    <w:rsid w:val="0030486D"/>
    <w:rsid w:val="003049E9"/>
    <w:rsid w:val="00304EF2"/>
    <w:rsid w:val="00305091"/>
    <w:rsid w:val="003055F4"/>
    <w:rsid w:val="00305B63"/>
    <w:rsid w:val="00305BEF"/>
    <w:rsid w:val="00305D14"/>
    <w:rsid w:val="00306092"/>
    <w:rsid w:val="0030661B"/>
    <w:rsid w:val="003073D7"/>
    <w:rsid w:val="00307889"/>
    <w:rsid w:val="00307A90"/>
    <w:rsid w:val="00307D11"/>
    <w:rsid w:val="00311533"/>
    <w:rsid w:val="00311C17"/>
    <w:rsid w:val="00311F0A"/>
    <w:rsid w:val="00311FB8"/>
    <w:rsid w:val="003127EE"/>
    <w:rsid w:val="003128C8"/>
    <w:rsid w:val="00312C12"/>
    <w:rsid w:val="00313182"/>
    <w:rsid w:val="00313637"/>
    <w:rsid w:val="003139B8"/>
    <w:rsid w:val="0031442D"/>
    <w:rsid w:val="0031469A"/>
    <w:rsid w:val="0031482B"/>
    <w:rsid w:val="00314953"/>
    <w:rsid w:val="00314CB7"/>
    <w:rsid w:val="00315408"/>
    <w:rsid w:val="00315477"/>
    <w:rsid w:val="003155C8"/>
    <w:rsid w:val="00315B6E"/>
    <w:rsid w:val="00315DA6"/>
    <w:rsid w:val="00316734"/>
    <w:rsid w:val="00316BCD"/>
    <w:rsid w:val="00316F3F"/>
    <w:rsid w:val="00316FDF"/>
    <w:rsid w:val="00317452"/>
    <w:rsid w:val="00317799"/>
    <w:rsid w:val="00317BD1"/>
    <w:rsid w:val="00317C02"/>
    <w:rsid w:val="00320672"/>
    <w:rsid w:val="00321412"/>
    <w:rsid w:val="00321486"/>
    <w:rsid w:val="003215A0"/>
    <w:rsid w:val="00321901"/>
    <w:rsid w:val="00321D8F"/>
    <w:rsid w:val="00321F37"/>
    <w:rsid w:val="00322969"/>
    <w:rsid w:val="00322B9C"/>
    <w:rsid w:val="00323316"/>
    <w:rsid w:val="00323765"/>
    <w:rsid w:val="00323C7F"/>
    <w:rsid w:val="0032478C"/>
    <w:rsid w:val="00324A14"/>
    <w:rsid w:val="00325031"/>
    <w:rsid w:val="0032518E"/>
    <w:rsid w:val="00325485"/>
    <w:rsid w:val="00326398"/>
    <w:rsid w:val="0032656E"/>
    <w:rsid w:val="00327597"/>
    <w:rsid w:val="00327815"/>
    <w:rsid w:val="003279C3"/>
    <w:rsid w:val="00327B7A"/>
    <w:rsid w:val="00327EC6"/>
    <w:rsid w:val="003306CB"/>
    <w:rsid w:val="00330719"/>
    <w:rsid w:val="00331800"/>
    <w:rsid w:val="003322FA"/>
    <w:rsid w:val="0033232E"/>
    <w:rsid w:val="00332478"/>
    <w:rsid w:val="00332B92"/>
    <w:rsid w:val="00332D8B"/>
    <w:rsid w:val="00333186"/>
    <w:rsid w:val="0033340B"/>
    <w:rsid w:val="003339AD"/>
    <w:rsid w:val="00333D02"/>
    <w:rsid w:val="00333ECD"/>
    <w:rsid w:val="00333F8A"/>
    <w:rsid w:val="00334039"/>
    <w:rsid w:val="003341EF"/>
    <w:rsid w:val="003344F1"/>
    <w:rsid w:val="00334B78"/>
    <w:rsid w:val="00335327"/>
    <w:rsid w:val="003354F0"/>
    <w:rsid w:val="00335816"/>
    <w:rsid w:val="0033595A"/>
    <w:rsid w:val="0033625C"/>
    <w:rsid w:val="00336749"/>
    <w:rsid w:val="00336771"/>
    <w:rsid w:val="00336CBE"/>
    <w:rsid w:val="00336DA8"/>
    <w:rsid w:val="003372B1"/>
    <w:rsid w:val="003373DF"/>
    <w:rsid w:val="0033760A"/>
    <w:rsid w:val="003377D3"/>
    <w:rsid w:val="00337868"/>
    <w:rsid w:val="00340586"/>
    <w:rsid w:val="00340757"/>
    <w:rsid w:val="00340DFB"/>
    <w:rsid w:val="00340FE8"/>
    <w:rsid w:val="0034111C"/>
    <w:rsid w:val="0034174B"/>
    <w:rsid w:val="00341782"/>
    <w:rsid w:val="00341AE9"/>
    <w:rsid w:val="00341FD3"/>
    <w:rsid w:val="00342169"/>
    <w:rsid w:val="003421B8"/>
    <w:rsid w:val="0034357D"/>
    <w:rsid w:val="003436B9"/>
    <w:rsid w:val="00343ECC"/>
    <w:rsid w:val="00343FCE"/>
    <w:rsid w:val="003447CC"/>
    <w:rsid w:val="00344868"/>
    <w:rsid w:val="003448A5"/>
    <w:rsid w:val="00344A2E"/>
    <w:rsid w:val="00344CDD"/>
    <w:rsid w:val="00344DBD"/>
    <w:rsid w:val="00345936"/>
    <w:rsid w:val="00345E79"/>
    <w:rsid w:val="003469A9"/>
    <w:rsid w:val="00346DCA"/>
    <w:rsid w:val="0034705B"/>
    <w:rsid w:val="00347878"/>
    <w:rsid w:val="00347A61"/>
    <w:rsid w:val="00347C88"/>
    <w:rsid w:val="00347F5D"/>
    <w:rsid w:val="0035002D"/>
    <w:rsid w:val="003502BA"/>
    <w:rsid w:val="0035036A"/>
    <w:rsid w:val="003503AD"/>
    <w:rsid w:val="003503C0"/>
    <w:rsid w:val="0035067F"/>
    <w:rsid w:val="003513A9"/>
    <w:rsid w:val="00351488"/>
    <w:rsid w:val="00351530"/>
    <w:rsid w:val="00351F04"/>
    <w:rsid w:val="003524BF"/>
    <w:rsid w:val="003529A9"/>
    <w:rsid w:val="00352C7F"/>
    <w:rsid w:val="00352FFA"/>
    <w:rsid w:val="00353D50"/>
    <w:rsid w:val="00354A34"/>
    <w:rsid w:val="00354ABB"/>
    <w:rsid w:val="00354AD6"/>
    <w:rsid w:val="00354C8A"/>
    <w:rsid w:val="00354EFE"/>
    <w:rsid w:val="003554BB"/>
    <w:rsid w:val="00355D21"/>
    <w:rsid w:val="0035657A"/>
    <w:rsid w:val="00356DBD"/>
    <w:rsid w:val="00356FF0"/>
    <w:rsid w:val="003573C0"/>
    <w:rsid w:val="00357E7B"/>
    <w:rsid w:val="0036029F"/>
    <w:rsid w:val="003603EC"/>
    <w:rsid w:val="003605E5"/>
    <w:rsid w:val="0036092A"/>
    <w:rsid w:val="00360D70"/>
    <w:rsid w:val="00360DCB"/>
    <w:rsid w:val="00360F3C"/>
    <w:rsid w:val="00361044"/>
    <w:rsid w:val="00361432"/>
    <w:rsid w:val="003616BD"/>
    <w:rsid w:val="00361719"/>
    <w:rsid w:val="00361AF0"/>
    <w:rsid w:val="00362E18"/>
    <w:rsid w:val="0036498F"/>
    <w:rsid w:val="003650A2"/>
    <w:rsid w:val="0036520B"/>
    <w:rsid w:val="003654BC"/>
    <w:rsid w:val="00365756"/>
    <w:rsid w:val="00365BD8"/>
    <w:rsid w:val="00365DAB"/>
    <w:rsid w:val="00366132"/>
    <w:rsid w:val="00366265"/>
    <w:rsid w:val="003662ED"/>
    <w:rsid w:val="00366415"/>
    <w:rsid w:val="00366C2D"/>
    <w:rsid w:val="00366DDB"/>
    <w:rsid w:val="00366E44"/>
    <w:rsid w:val="0036755D"/>
    <w:rsid w:val="0036760E"/>
    <w:rsid w:val="0037033A"/>
    <w:rsid w:val="0037072E"/>
    <w:rsid w:val="00370847"/>
    <w:rsid w:val="00370F2B"/>
    <w:rsid w:val="00370FC4"/>
    <w:rsid w:val="00371478"/>
    <w:rsid w:val="0037150B"/>
    <w:rsid w:val="00371B4A"/>
    <w:rsid w:val="00371F7C"/>
    <w:rsid w:val="00372022"/>
    <w:rsid w:val="00372283"/>
    <w:rsid w:val="0037246F"/>
    <w:rsid w:val="00372871"/>
    <w:rsid w:val="00372899"/>
    <w:rsid w:val="00372B6A"/>
    <w:rsid w:val="00372BF0"/>
    <w:rsid w:val="0037318A"/>
    <w:rsid w:val="0037324B"/>
    <w:rsid w:val="00373C77"/>
    <w:rsid w:val="00373E82"/>
    <w:rsid w:val="00374461"/>
    <w:rsid w:val="003745B9"/>
    <w:rsid w:val="00374952"/>
    <w:rsid w:val="0037500E"/>
    <w:rsid w:val="00375A66"/>
    <w:rsid w:val="0037632F"/>
    <w:rsid w:val="00376432"/>
    <w:rsid w:val="003767BF"/>
    <w:rsid w:val="003767CC"/>
    <w:rsid w:val="0037691A"/>
    <w:rsid w:val="0037697E"/>
    <w:rsid w:val="003770D8"/>
    <w:rsid w:val="003773FD"/>
    <w:rsid w:val="00377444"/>
    <w:rsid w:val="003777D7"/>
    <w:rsid w:val="003779E7"/>
    <w:rsid w:val="00377E38"/>
    <w:rsid w:val="00377E5F"/>
    <w:rsid w:val="00377F22"/>
    <w:rsid w:val="003800AD"/>
    <w:rsid w:val="003801AD"/>
    <w:rsid w:val="00380217"/>
    <w:rsid w:val="00380421"/>
    <w:rsid w:val="00380448"/>
    <w:rsid w:val="00380788"/>
    <w:rsid w:val="00380D98"/>
    <w:rsid w:val="003812FC"/>
    <w:rsid w:val="00381552"/>
    <w:rsid w:val="003817E2"/>
    <w:rsid w:val="003824E0"/>
    <w:rsid w:val="0038314B"/>
    <w:rsid w:val="003838A3"/>
    <w:rsid w:val="00383B53"/>
    <w:rsid w:val="00383BE2"/>
    <w:rsid w:val="00383FBE"/>
    <w:rsid w:val="00384090"/>
    <w:rsid w:val="00384A02"/>
    <w:rsid w:val="00384DFC"/>
    <w:rsid w:val="00385049"/>
    <w:rsid w:val="00385719"/>
    <w:rsid w:val="00385759"/>
    <w:rsid w:val="00385E9A"/>
    <w:rsid w:val="003860A7"/>
    <w:rsid w:val="0038619C"/>
    <w:rsid w:val="003862F2"/>
    <w:rsid w:val="003872BD"/>
    <w:rsid w:val="003879F0"/>
    <w:rsid w:val="00387BAF"/>
    <w:rsid w:val="00390031"/>
    <w:rsid w:val="003902AB"/>
    <w:rsid w:val="003909DA"/>
    <w:rsid w:val="0039179D"/>
    <w:rsid w:val="00391C7D"/>
    <w:rsid w:val="003922A3"/>
    <w:rsid w:val="00392438"/>
    <w:rsid w:val="00392715"/>
    <w:rsid w:val="00392A9A"/>
    <w:rsid w:val="00393157"/>
    <w:rsid w:val="00393337"/>
    <w:rsid w:val="0039339E"/>
    <w:rsid w:val="0039420E"/>
    <w:rsid w:val="00394328"/>
    <w:rsid w:val="0039489F"/>
    <w:rsid w:val="00394DDB"/>
    <w:rsid w:val="003950DD"/>
    <w:rsid w:val="0039515A"/>
    <w:rsid w:val="003953F4"/>
    <w:rsid w:val="0039600F"/>
    <w:rsid w:val="00396057"/>
    <w:rsid w:val="00396A82"/>
    <w:rsid w:val="00396E2E"/>
    <w:rsid w:val="00396FFF"/>
    <w:rsid w:val="0039708C"/>
    <w:rsid w:val="00397CE7"/>
    <w:rsid w:val="003A030E"/>
    <w:rsid w:val="003A033E"/>
    <w:rsid w:val="003A036A"/>
    <w:rsid w:val="003A03B7"/>
    <w:rsid w:val="003A06CA"/>
    <w:rsid w:val="003A0B65"/>
    <w:rsid w:val="003A1D23"/>
    <w:rsid w:val="003A1E25"/>
    <w:rsid w:val="003A2384"/>
    <w:rsid w:val="003A2537"/>
    <w:rsid w:val="003A2647"/>
    <w:rsid w:val="003A286C"/>
    <w:rsid w:val="003A2880"/>
    <w:rsid w:val="003A2DA1"/>
    <w:rsid w:val="003A2FF9"/>
    <w:rsid w:val="003A33B8"/>
    <w:rsid w:val="003A3567"/>
    <w:rsid w:val="003A3687"/>
    <w:rsid w:val="003A36F0"/>
    <w:rsid w:val="003A395C"/>
    <w:rsid w:val="003A3C3E"/>
    <w:rsid w:val="003A3EF9"/>
    <w:rsid w:val="003A3FE7"/>
    <w:rsid w:val="003A4E86"/>
    <w:rsid w:val="003A5720"/>
    <w:rsid w:val="003A68C8"/>
    <w:rsid w:val="003A7696"/>
    <w:rsid w:val="003A7987"/>
    <w:rsid w:val="003A7ABB"/>
    <w:rsid w:val="003B075F"/>
    <w:rsid w:val="003B0775"/>
    <w:rsid w:val="003B0D98"/>
    <w:rsid w:val="003B1185"/>
    <w:rsid w:val="003B1DE5"/>
    <w:rsid w:val="003B1EBF"/>
    <w:rsid w:val="003B2113"/>
    <w:rsid w:val="003B2176"/>
    <w:rsid w:val="003B283E"/>
    <w:rsid w:val="003B326D"/>
    <w:rsid w:val="003B3451"/>
    <w:rsid w:val="003B37CC"/>
    <w:rsid w:val="003B3D43"/>
    <w:rsid w:val="003B3E48"/>
    <w:rsid w:val="003B4826"/>
    <w:rsid w:val="003B4D5E"/>
    <w:rsid w:val="003B512D"/>
    <w:rsid w:val="003B52D6"/>
    <w:rsid w:val="003B5A4A"/>
    <w:rsid w:val="003B5F3F"/>
    <w:rsid w:val="003B643A"/>
    <w:rsid w:val="003B6CF4"/>
    <w:rsid w:val="003B6FAA"/>
    <w:rsid w:val="003B70A9"/>
    <w:rsid w:val="003B77B8"/>
    <w:rsid w:val="003B7ADB"/>
    <w:rsid w:val="003B7FA8"/>
    <w:rsid w:val="003C0067"/>
    <w:rsid w:val="003C028B"/>
    <w:rsid w:val="003C07E7"/>
    <w:rsid w:val="003C0D81"/>
    <w:rsid w:val="003C0E03"/>
    <w:rsid w:val="003C16F8"/>
    <w:rsid w:val="003C17C6"/>
    <w:rsid w:val="003C1AAC"/>
    <w:rsid w:val="003C1F26"/>
    <w:rsid w:val="003C26CE"/>
    <w:rsid w:val="003C28DF"/>
    <w:rsid w:val="003C295C"/>
    <w:rsid w:val="003C2B5F"/>
    <w:rsid w:val="003C2B9E"/>
    <w:rsid w:val="003C2BB8"/>
    <w:rsid w:val="003C3028"/>
    <w:rsid w:val="003C30C9"/>
    <w:rsid w:val="003C313F"/>
    <w:rsid w:val="003C3377"/>
    <w:rsid w:val="003C412B"/>
    <w:rsid w:val="003C41B0"/>
    <w:rsid w:val="003C42DD"/>
    <w:rsid w:val="003C4D84"/>
    <w:rsid w:val="003C4F9E"/>
    <w:rsid w:val="003C58D9"/>
    <w:rsid w:val="003C5E04"/>
    <w:rsid w:val="003C641E"/>
    <w:rsid w:val="003C6CF5"/>
    <w:rsid w:val="003C7791"/>
    <w:rsid w:val="003C7AC3"/>
    <w:rsid w:val="003C7CAE"/>
    <w:rsid w:val="003D0617"/>
    <w:rsid w:val="003D0A36"/>
    <w:rsid w:val="003D14DD"/>
    <w:rsid w:val="003D1B74"/>
    <w:rsid w:val="003D248C"/>
    <w:rsid w:val="003D3316"/>
    <w:rsid w:val="003D342E"/>
    <w:rsid w:val="003D3630"/>
    <w:rsid w:val="003D3CF5"/>
    <w:rsid w:val="003D4159"/>
    <w:rsid w:val="003D44D3"/>
    <w:rsid w:val="003D47B3"/>
    <w:rsid w:val="003D4D85"/>
    <w:rsid w:val="003D4EE4"/>
    <w:rsid w:val="003D57DC"/>
    <w:rsid w:val="003D57E7"/>
    <w:rsid w:val="003D5D17"/>
    <w:rsid w:val="003D61D6"/>
    <w:rsid w:val="003D6435"/>
    <w:rsid w:val="003D69BE"/>
    <w:rsid w:val="003D77A5"/>
    <w:rsid w:val="003D7C93"/>
    <w:rsid w:val="003E0543"/>
    <w:rsid w:val="003E0D13"/>
    <w:rsid w:val="003E0F83"/>
    <w:rsid w:val="003E1F2C"/>
    <w:rsid w:val="003E2164"/>
    <w:rsid w:val="003E25EF"/>
    <w:rsid w:val="003E2AA2"/>
    <w:rsid w:val="003E2D37"/>
    <w:rsid w:val="003E2EFB"/>
    <w:rsid w:val="003E3BFD"/>
    <w:rsid w:val="003E3CA1"/>
    <w:rsid w:val="003E3D36"/>
    <w:rsid w:val="003E3DE8"/>
    <w:rsid w:val="003E3E8C"/>
    <w:rsid w:val="003E4628"/>
    <w:rsid w:val="003E4660"/>
    <w:rsid w:val="003E4DCE"/>
    <w:rsid w:val="003E5009"/>
    <w:rsid w:val="003E5035"/>
    <w:rsid w:val="003E5540"/>
    <w:rsid w:val="003E6094"/>
    <w:rsid w:val="003E6137"/>
    <w:rsid w:val="003E6850"/>
    <w:rsid w:val="003E6981"/>
    <w:rsid w:val="003E6B73"/>
    <w:rsid w:val="003E6CE2"/>
    <w:rsid w:val="003E711F"/>
    <w:rsid w:val="003E7726"/>
    <w:rsid w:val="003E773B"/>
    <w:rsid w:val="003E796D"/>
    <w:rsid w:val="003E7B74"/>
    <w:rsid w:val="003E7C68"/>
    <w:rsid w:val="003F034A"/>
    <w:rsid w:val="003F08AE"/>
    <w:rsid w:val="003F1208"/>
    <w:rsid w:val="003F1826"/>
    <w:rsid w:val="003F19D1"/>
    <w:rsid w:val="003F1A6B"/>
    <w:rsid w:val="003F1DC7"/>
    <w:rsid w:val="003F1FFB"/>
    <w:rsid w:val="003F208C"/>
    <w:rsid w:val="003F20D5"/>
    <w:rsid w:val="003F2225"/>
    <w:rsid w:val="003F29E8"/>
    <w:rsid w:val="003F2ACB"/>
    <w:rsid w:val="003F2FCB"/>
    <w:rsid w:val="003F31CF"/>
    <w:rsid w:val="003F34E7"/>
    <w:rsid w:val="003F3696"/>
    <w:rsid w:val="003F3FEA"/>
    <w:rsid w:val="003F46C6"/>
    <w:rsid w:val="003F481C"/>
    <w:rsid w:val="003F4E66"/>
    <w:rsid w:val="003F5883"/>
    <w:rsid w:val="003F589D"/>
    <w:rsid w:val="003F5ECD"/>
    <w:rsid w:val="003F611F"/>
    <w:rsid w:val="003F6274"/>
    <w:rsid w:val="003F6668"/>
    <w:rsid w:val="003F7379"/>
    <w:rsid w:val="003F74C3"/>
    <w:rsid w:val="003F7C53"/>
    <w:rsid w:val="00400056"/>
    <w:rsid w:val="0040017E"/>
    <w:rsid w:val="00400624"/>
    <w:rsid w:val="004006BC"/>
    <w:rsid w:val="00400A8D"/>
    <w:rsid w:val="00400C53"/>
    <w:rsid w:val="00401039"/>
    <w:rsid w:val="00401312"/>
    <w:rsid w:val="00401410"/>
    <w:rsid w:val="004015F8"/>
    <w:rsid w:val="00401966"/>
    <w:rsid w:val="00401FA3"/>
    <w:rsid w:val="00403832"/>
    <w:rsid w:val="00403AA1"/>
    <w:rsid w:val="004043CB"/>
    <w:rsid w:val="00404D1A"/>
    <w:rsid w:val="00405E65"/>
    <w:rsid w:val="00405EE1"/>
    <w:rsid w:val="0040643B"/>
    <w:rsid w:val="00406461"/>
    <w:rsid w:val="00406827"/>
    <w:rsid w:val="00406F96"/>
    <w:rsid w:val="00407638"/>
    <w:rsid w:val="004079B5"/>
    <w:rsid w:val="0041040E"/>
    <w:rsid w:val="00410DFF"/>
    <w:rsid w:val="004113A8"/>
    <w:rsid w:val="00411C8A"/>
    <w:rsid w:val="004124B2"/>
    <w:rsid w:val="0041253C"/>
    <w:rsid w:val="0041300B"/>
    <w:rsid w:val="004130B4"/>
    <w:rsid w:val="004134ED"/>
    <w:rsid w:val="00413762"/>
    <w:rsid w:val="004138C7"/>
    <w:rsid w:val="00414111"/>
    <w:rsid w:val="00414566"/>
    <w:rsid w:val="0041462A"/>
    <w:rsid w:val="00414D87"/>
    <w:rsid w:val="00415207"/>
    <w:rsid w:val="00415BCE"/>
    <w:rsid w:val="004167DA"/>
    <w:rsid w:val="00416F2F"/>
    <w:rsid w:val="004173BB"/>
    <w:rsid w:val="00417B2A"/>
    <w:rsid w:val="00417FB9"/>
    <w:rsid w:val="00420236"/>
    <w:rsid w:val="0042052D"/>
    <w:rsid w:val="00420729"/>
    <w:rsid w:val="00420D1B"/>
    <w:rsid w:val="00420E24"/>
    <w:rsid w:val="00420EE4"/>
    <w:rsid w:val="004210B6"/>
    <w:rsid w:val="00421115"/>
    <w:rsid w:val="004211B1"/>
    <w:rsid w:val="004217CB"/>
    <w:rsid w:val="00421B9B"/>
    <w:rsid w:val="00421D7E"/>
    <w:rsid w:val="00421E68"/>
    <w:rsid w:val="004223A6"/>
    <w:rsid w:val="00422593"/>
    <w:rsid w:val="004229A4"/>
    <w:rsid w:val="00423109"/>
    <w:rsid w:val="004231A6"/>
    <w:rsid w:val="004232A9"/>
    <w:rsid w:val="00423509"/>
    <w:rsid w:val="0042389B"/>
    <w:rsid w:val="00423D2A"/>
    <w:rsid w:val="00424784"/>
    <w:rsid w:val="0042497D"/>
    <w:rsid w:val="00424AB2"/>
    <w:rsid w:val="00424C09"/>
    <w:rsid w:val="00424D9D"/>
    <w:rsid w:val="004250EC"/>
    <w:rsid w:val="004250FB"/>
    <w:rsid w:val="004255F2"/>
    <w:rsid w:val="00425C59"/>
    <w:rsid w:val="0042669B"/>
    <w:rsid w:val="00426AF7"/>
    <w:rsid w:val="004270C4"/>
    <w:rsid w:val="0042732F"/>
    <w:rsid w:val="00427DD2"/>
    <w:rsid w:val="00427EF2"/>
    <w:rsid w:val="004302D6"/>
    <w:rsid w:val="0043051F"/>
    <w:rsid w:val="00430572"/>
    <w:rsid w:val="00430CD9"/>
    <w:rsid w:val="00431AEE"/>
    <w:rsid w:val="00431C85"/>
    <w:rsid w:val="00431FB7"/>
    <w:rsid w:val="00432353"/>
    <w:rsid w:val="004324D1"/>
    <w:rsid w:val="00432743"/>
    <w:rsid w:val="00432B30"/>
    <w:rsid w:val="004331DD"/>
    <w:rsid w:val="004331E8"/>
    <w:rsid w:val="00433205"/>
    <w:rsid w:val="00433AFA"/>
    <w:rsid w:val="00433D88"/>
    <w:rsid w:val="00433F19"/>
    <w:rsid w:val="0043406A"/>
    <w:rsid w:val="00434DD1"/>
    <w:rsid w:val="00435624"/>
    <w:rsid w:val="00435710"/>
    <w:rsid w:val="00435ECF"/>
    <w:rsid w:val="004367AA"/>
    <w:rsid w:val="004368FB"/>
    <w:rsid w:val="004370AA"/>
    <w:rsid w:val="004370F2"/>
    <w:rsid w:val="00437C40"/>
    <w:rsid w:val="00437EC2"/>
    <w:rsid w:val="004403BC"/>
    <w:rsid w:val="0044092C"/>
    <w:rsid w:val="004409A0"/>
    <w:rsid w:val="004409A9"/>
    <w:rsid w:val="00440D32"/>
    <w:rsid w:val="00440E62"/>
    <w:rsid w:val="0044112B"/>
    <w:rsid w:val="0044160F"/>
    <w:rsid w:val="004417CB"/>
    <w:rsid w:val="0044200C"/>
    <w:rsid w:val="00442B53"/>
    <w:rsid w:val="004432DD"/>
    <w:rsid w:val="0044375F"/>
    <w:rsid w:val="004437A4"/>
    <w:rsid w:val="004438BB"/>
    <w:rsid w:val="00443ABC"/>
    <w:rsid w:val="00443D77"/>
    <w:rsid w:val="00444053"/>
    <w:rsid w:val="00444ECA"/>
    <w:rsid w:val="00445022"/>
    <w:rsid w:val="004452AD"/>
    <w:rsid w:val="00445B11"/>
    <w:rsid w:val="0044605F"/>
    <w:rsid w:val="0044607A"/>
    <w:rsid w:val="004460D2"/>
    <w:rsid w:val="0044645A"/>
    <w:rsid w:val="0044667C"/>
    <w:rsid w:val="0044685E"/>
    <w:rsid w:val="0044697C"/>
    <w:rsid w:val="00446E80"/>
    <w:rsid w:val="0044707E"/>
    <w:rsid w:val="00447324"/>
    <w:rsid w:val="00447AE8"/>
    <w:rsid w:val="00450E26"/>
    <w:rsid w:val="0045110D"/>
    <w:rsid w:val="00451895"/>
    <w:rsid w:val="0045200F"/>
    <w:rsid w:val="0045208C"/>
    <w:rsid w:val="004526E6"/>
    <w:rsid w:val="00452B0F"/>
    <w:rsid w:val="00452B66"/>
    <w:rsid w:val="00452B94"/>
    <w:rsid w:val="0045323B"/>
    <w:rsid w:val="00453424"/>
    <w:rsid w:val="00453482"/>
    <w:rsid w:val="00453621"/>
    <w:rsid w:val="00453640"/>
    <w:rsid w:val="0045468F"/>
    <w:rsid w:val="00454C86"/>
    <w:rsid w:val="00455EB3"/>
    <w:rsid w:val="00455FF0"/>
    <w:rsid w:val="004560E2"/>
    <w:rsid w:val="00456832"/>
    <w:rsid w:val="004568D7"/>
    <w:rsid w:val="00456D3E"/>
    <w:rsid w:val="00457AB3"/>
    <w:rsid w:val="00460044"/>
    <w:rsid w:val="004600C7"/>
    <w:rsid w:val="00460AC7"/>
    <w:rsid w:val="00460D15"/>
    <w:rsid w:val="0046130B"/>
    <w:rsid w:val="0046160E"/>
    <w:rsid w:val="00461651"/>
    <w:rsid w:val="00461E4C"/>
    <w:rsid w:val="00461F9E"/>
    <w:rsid w:val="00462A06"/>
    <w:rsid w:val="00462BD0"/>
    <w:rsid w:val="00462E95"/>
    <w:rsid w:val="00463092"/>
    <w:rsid w:val="0046386C"/>
    <w:rsid w:val="00464049"/>
    <w:rsid w:val="0046413D"/>
    <w:rsid w:val="00464835"/>
    <w:rsid w:val="00464D25"/>
    <w:rsid w:val="00465240"/>
    <w:rsid w:val="004654A1"/>
    <w:rsid w:val="004659C4"/>
    <w:rsid w:val="00465AE4"/>
    <w:rsid w:val="00466059"/>
    <w:rsid w:val="004660C5"/>
    <w:rsid w:val="004669D3"/>
    <w:rsid w:val="00466BAE"/>
    <w:rsid w:val="004674C9"/>
    <w:rsid w:val="004675FD"/>
    <w:rsid w:val="00467637"/>
    <w:rsid w:val="004677F9"/>
    <w:rsid w:val="00467CAC"/>
    <w:rsid w:val="00467CDB"/>
    <w:rsid w:val="0047073B"/>
    <w:rsid w:val="004708E3"/>
    <w:rsid w:val="00470BA5"/>
    <w:rsid w:val="0047138C"/>
    <w:rsid w:val="00471504"/>
    <w:rsid w:val="00471A05"/>
    <w:rsid w:val="00471CA2"/>
    <w:rsid w:val="00472220"/>
    <w:rsid w:val="00472457"/>
    <w:rsid w:val="00472479"/>
    <w:rsid w:val="00472812"/>
    <w:rsid w:val="00473956"/>
    <w:rsid w:val="00473D45"/>
    <w:rsid w:val="00473E43"/>
    <w:rsid w:val="00473E9F"/>
    <w:rsid w:val="004743C8"/>
    <w:rsid w:val="004744A7"/>
    <w:rsid w:val="0047464D"/>
    <w:rsid w:val="00474D29"/>
    <w:rsid w:val="004757DE"/>
    <w:rsid w:val="00475878"/>
    <w:rsid w:val="00475BF1"/>
    <w:rsid w:val="00475F85"/>
    <w:rsid w:val="00476576"/>
    <w:rsid w:val="004769C4"/>
    <w:rsid w:val="004770F5"/>
    <w:rsid w:val="004776C0"/>
    <w:rsid w:val="00477C7F"/>
    <w:rsid w:val="00477CFB"/>
    <w:rsid w:val="00477E4D"/>
    <w:rsid w:val="00477FCE"/>
    <w:rsid w:val="00480447"/>
    <w:rsid w:val="00480F23"/>
    <w:rsid w:val="004811D4"/>
    <w:rsid w:val="0048129C"/>
    <w:rsid w:val="004812B8"/>
    <w:rsid w:val="004817A0"/>
    <w:rsid w:val="00481C17"/>
    <w:rsid w:val="004825E1"/>
    <w:rsid w:val="00483323"/>
    <w:rsid w:val="00483662"/>
    <w:rsid w:val="00483748"/>
    <w:rsid w:val="00483C21"/>
    <w:rsid w:val="00483F16"/>
    <w:rsid w:val="00483FA5"/>
    <w:rsid w:val="0048421C"/>
    <w:rsid w:val="004842C0"/>
    <w:rsid w:val="0048440B"/>
    <w:rsid w:val="004846CD"/>
    <w:rsid w:val="00484791"/>
    <w:rsid w:val="00484E88"/>
    <w:rsid w:val="00484F98"/>
    <w:rsid w:val="004857A8"/>
    <w:rsid w:val="00485A68"/>
    <w:rsid w:val="00485B75"/>
    <w:rsid w:val="00485D9C"/>
    <w:rsid w:val="00485EFA"/>
    <w:rsid w:val="00486376"/>
    <w:rsid w:val="00486456"/>
    <w:rsid w:val="00486473"/>
    <w:rsid w:val="004866F7"/>
    <w:rsid w:val="00486A73"/>
    <w:rsid w:val="00486D3A"/>
    <w:rsid w:val="00486ED8"/>
    <w:rsid w:val="00487857"/>
    <w:rsid w:val="00487B5F"/>
    <w:rsid w:val="00487BB0"/>
    <w:rsid w:val="00487C9A"/>
    <w:rsid w:val="0049010A"/>
    <w:rsid w:val="00490265"/>
    <w:rsid w:val="004907B9"/>
    <w:rsid w:val="00490AAA"/>
    <w:rsid w:val="00490C16"/>
    <w:rsid w:val="00490D4A"/>
    <w:rsid w:val="00490EBC"/>
    <w:rsid w:val="00491050"/>
    <w:rsid w:val="0049137B"/>
    <w:rsid w:val="004915C9"/>
    <w:rsid w:val="00492A5B"/>
    <w:rsid w:val="004932F8"/>
    <w:rsid w:val="00493433"/>
    <w:rsid w:val="004936AA"/>
    <w:rsid w:val="00493F9C"/>
    <w:rsid w:val="00493FA5"/>
    <w:rsid w:val="00494063"/>
    <w:rsid w:val="004940EE"/>
    <w:rsid w:val="004947A5"/>
    <w:rsid w:val="00494FD0"/>
    <w:rsid w:val="00495029"/>
    <w:rsid w:val="004950D7"/>
    <w:rsid w:val="00495611"/>
    <w:rsid w:val="004957DA"/>
    <w:rsid w:val="00495864"/>
    <w:rsid w:val="00495A56"/>
    <w:rsid w:val="00496883"/>
    <w:rsid w:val="004971B2"/>
    <w:rsid w:val="00497784"/>
    <w:rsid w:val="00497963"/>
    <w:rsid w:val="00497BE6"/>
    <w:rsid w:val="00497C0A"/>
    <w:rsid w:val="004A048A"/>
    <w:rsid w:val="004A058E"/>
    <w:rsid w:val="004A06B2"/>
    <w:rsid w:val="004A0C39"/>
    <w:rsid w:val="004A0C3E"/>
    <w:rsid w:val="004A0F04"/>
    <w:rsid w:val="004A1B27"/>
    <w:rsid w:val="004A1DA4"/>
    <w:rsid w:val="004A1EB4"/>
    <w:rsid w:val="004A21C1"/>
    <w:rsid w:val="004A227F"/>
    <w:rsid w:val="004A23DD"/>
    <w:rsid w:val="004A28B9"/>
    <w:rsid w:val="004A378A"/>
    <w:rsid w:val="004A407C"/>
    <w:rsid w:val="004A413B"/>
    <w:rsid w:val="004A4147"/>
    <w:rsid w:val="004A424E"/>
    <w:rsid w:val="004A5577"/>
    <w:rsid w:val="004A57E8"/>
    <w:rsid w:val="004A6200"/>
    <w:rsid w:val="004A650E"/>
    <w:rsid w:val="004A66C8"/>
    <w:rsid w:val="004A6A2F"/>
    <w:rsid w:val="004A6A46"/>
    <w:rsid w:val="004A7136"/>
    <w:rsid w:val="004A73AD"/>
    <w:rsid w:val="004A7657"/>
    <w:rsid w:val="004A76F5"/>
    <w:rsid w:val="004B0410"/>
    <w:rsid w:val="004B0578"/>
    <w:rsid w:val="004B0CBA"/>
    <w:rsid w:val="004B0E81"/>
    <w:rsid w:val="004B14EB"/>
    <w:rsid w:val="004B1692"/>
    <w:rsid w:val="004B195B"/>
    <w:rsid w:val="004B1E43"/>
    <w:rsid w:val="004B1F34"/>
    <w:rsid w:val="004B205D"/>
    <w:rsid w:val="004B21CF"/>
    <w:rsid w:val="004B2B21"/>
    <w:rsid w:val="004B2BD4"/>
    <w:rsid w:val="004B2C2C"/>
    <w:rsid w:val="004B3F2F"/>
    <w:rsid w:val="004B45A6"/>
    <w:rsid w:val="004B4A81"/>
    <w:rsid w:val="004B4BDB"/>
    <w:rsid w:val="004B4C25"/>
    <w:rsid w:val="004B506D"/>
    <w:rsid w:val="004B5B90"/>
    <w:rsid w:val="004B5CCD"/>
    <w:rsid w:val="004B5D0F"/>
    <w:rsid w:val="004B5D39"/>
    <w:rsid w:val="004B68AD"/>
    <w:rsid w:val="004B68B8"/>
    <w:rsid w:val="004B6AC5"/>
    <w:rsid w:val="004B6E48"/>
    <w:rsid w:val="004B7CF9"/>
    <w:rsid w:val="004C06D2"/>
    <w:rsid w:val="004C0B2B"/>
    <w:rsid w:val="004C0C03"/>
    <w:rsid w:val="004C113C"/>
    <w:rsid w:val="004C1810"/>
    <w:rsid w:val="004C183B"/>
    <w:rsid w:val="004C1BBC"/>
    <w:rsid w:val="004C1F4B"/>
    <w:rsid w:val="004C2791"/>
    <w:rsid w:val="004C333A"/>
    <w:rsid w:val="004C36AB"/>
    <w:rsid w:val="004C381E"/>
    <w:rsid w:val="004C38AF"/>
    <w:rsid w:val="004C39BA"/>
    <w:rsid w:val="004C4032"/>
    <w:rsid w:val="004C4826"/>
    <w:rsid w:val="004C4B52"/>
    <w:rsid w:val="004C4B7A"/>
    <w:rsid w:val="004C4D27"/>
    <w:rsid w:val="004C4E70"/>
    <w:rsid w:val="004C51A4"/>
    <w:rsid w:val="004C52EE"/>
    <w:rsid w:val="004C58F4"/>
    <w:rsid w:val="004C5A0B"/>
    <w:rsid w:val="004C5BA0"/>
    <w:rsid w:val="004C5C52"/>
    <w:rsid w:val="004C61B5"/>
    <w:rsid w:val="004C666F"/>
    <w:rsid w:val="004C69AF"/>
    <w:rsid w:val="004C6D2E"/>
    <w:rsid w:val="004C7F1C"/>
    <w:rsid w:val="004D01CF"/>
    <w:rsid w:val="004D058A"/>
    <w:rsid w:val="004D08D0"/>
    <w:rsid w:val="004D0AAD"/>
    <w:rsid w:val="004D0D8F"/>
    <w:rsid w:val="004D1034"/>
    <w:rsid w:val="004D18D3"/>
    <w:rsid w:val="004D1C02"/>
    <w:rsid w:val="004D1DDC"/>
    <w:rsid w:val="004D21AC"/>
    <w:rsid w:val="004D2249"/>
    <w:rsid w:val="004D259A"/>
    <w:rsid w:val="004D2FFD"/>
    <w:rsid w:val="004D3095"/>
    <w:rsid w:val="004D33F1"/>
    <w:rsid w:val="004D39E5"/>
    <w:rsid w:val="004D3AC0"/>
    <w:rsid w:val="004D443C"/>
    <w:rsid w:val="004D4467"/>
    <w:rsid w:val="004D44C2"/>
    <w:rsid w:val="004D465A"/>
    <w:rsid w:val="004D523C"/>
    <w:rsid w:val="004D556B"/>
    <w:rsid w:val="004D59E7"/>
    <w:rsid w:val="004D5B35"/>
    <w:rsid w:val="004D5E9B"/>
    <w:rsid w:val="004D5FD4"/>
    <w:rsid w:val="004D6744"/>
    <w:rsid w:val="004D723B"/>
    <w:rsid w:val="004D787F"/>
    <w:rsid w:val="004D7D30"/>
    <w:rsid w:val="004E091C"/>
    <w:rsid w:val="004E1DA3"/>
    <w:rsid w:val="004E25A9"/>
    <w:rsid w:val="004E29E4"/>
    <w:rsid w:val="004E310C"/>
    <w:rsid w:val="004E33C2"/>
    <w:rsid w:val="004E3795"/>
    <w:rsid w:val="004E3BA6"/>
    <w:rsid w:val="004E3D01"/>
    <w:rsid w:val="004E4ABB"/>
    <w:rsid w:val="004E50AD"/>
    <w:rsid w:val="004E60BE"/>
    <w:rsid w:val="004E643A"/>
    <w:rsid w:val="004E65DB"/>
    <w:rsid w:val="004E675A"/>
    <w:rsid w:val="004E67B4"/>
    <w:rsid w:val="004E6AA7"/>
    <w:rsid w:val="004E703D"/>
    <w:rsid w:val="004E7702"/>
    <w:rsid w:val="004E775E"/>
    <w:rsid w:val="004E7AC6"/>
    <w:rsid w:val="004E7B3C"/>
    <w:rsid w:val="004E7CCA"/>
    <w:rsid w:val="004E7FF9"/>
    <w:rsid w:val="004F0123"/>
    <w:rsid w:val="004F0265"/>
    <w:rsid w:val="004F0292"/>
    <w:rsid w:val="004F03E0"/>
    <w:rsid w:val="004F0923"/>
    <w:rsid w:val="004F0AFC"/>
    <w:rsid w:val="004F1559"/>
    <w:rsid w:val="004F178F"/>
    <w:rsid w:val="004F1C6A"/>
    <w:rsid w:val="004F1D7A"/>
    <w:rsid w:val="004F2D97"/>
    <w:rsid w:val="004F3017"/>
    <w:rsid w:val="004F30F4"/>
    <w:rsid w:val="004F3186"/>
    <w:rsid w:val="004F43C8"/>
    <w:rsid w:val="004F4917"/>
    <w:rsid w:val="004F49D0"/>
    <w:rsid w:val="004F49FF"/>
    <w:rsid w:val="004F51B1"/>
    <w:rsid w:val="004F593B"/>
    <w:rsid w:val="004F6183"/>
    <w:rsid w:val="004F63A4"/>
    <w:rsid w:val="004F7152"/>
    <w:rsid w:val="004F796D"/>
    <w:rsid w:val="004F7BC6"/>
    <w:rsid w:val="00500087"/>
    <w:rsid w:val="005003A4"/>
    <w:rsid w:val="005004FA"/>
    <w:rsid w:val="00500B52"/>
    <w:rsid w:val="00500E9D"/>
    <w:rsid w:val="00501288"/>
    <w:rsid w:val="00501A00"/>
    <w:rsid w:val="00501F88"/>
    <w:rsid w:val="00502CC5"/>
    <w:rsid w:val="00502E51"/>
    <w:rsid w:val="005035BD"/>
    <w:rsid w:val="00503670"/>
    <w:rsid w:val="00503B91"/>
    <w:rsid w:val="00503F1F"/>
    <w:rsid w:val="00505D8C"/>
    <w:rsid w:val="005062C2"/>
    <w:rsid w:val="0050644B"/>
    <w:rsid w:val="0050694D"/>
    <w:rsid w:val="00506D3E"/>
    <w:rsid w:val="005105D1"/>
    <w:rsid w:val="00510D3B"/>
    <w:rsid w:val="00510D4B"/>
    <w:rsid w:val="00510F27"/>
    <w:rsid w:val="00511259"/>
    <w:rsid w:val="00511813"/>
    <w:rsid w:val="005119B4"/>
    <w:rsid w:val="005119CD"/>
    <w:rsid w:val="00511A6F"/>
    <w:rsid w:val="00511AE3"/>
    <w:rsid w:val="00511DDF"/>
    <w:rsid w:val="00511EC1"/>
    <w:rsid w:val="00511EE7"/>
    <w:rsid w:val="005125EF"/>
    <w:rsid w:val="005128F8"/>
    <w:rsid w:val="005129AF"/>
    <w:rsid w:val="00512B03"/>
    <w:rsid w:val="00512B68"/>
    <w:rsid w:val="00512C2C"/>
    <w:rsid w:val="00512C56"/>
    <w:rsid w:val="00514594"/>
    <w:rsid w:val="00514BD5"/>
    <w:rsid w:val="00514D1E"/>
    <w:rsid w:val="00514D9D"/>
    <w:rsid w:val="00514E9B"/>
    <w:rsid w:val="00515551"/>
    <w:rsid w:val="0051567A"/>
    <w:rsid w:val="005170CE"/>
    <w:rsid w:val="0051762C"/>
    <w:rsid w:val="005178C7"/>
    <w:rsid w:val="00517912"/>
    <w:rsid w:val="005179D6"/>
    <w:rsid w:val="00517CA0"/>
    <w:rsid w:val="00517E10"/>
    <w:rsid w:val="00520607"/>
    <w:rsid w:val="00520C56"/>
    <w:rsid w:val="00520F8C"/>
    <w:rsid w:val="00520FC5"/>
    <w:rsid w:val="0052104B"/>
    <w:rsid w:val="0052137D"/>
    <w:rsid w:val="0052163C"/>
    <w:rsid w:val="0052178D"/>
    <w:rsid w:val="0052185F"/>
    <w:rsid w:val="005220BD"/>
    <w:rsid w:val="005221D4"/>
    <w:rsid w:val="00522821"/>
    <w:rsid w:val="00522865"/>
    <w:rsid w:val="00522C05"/>
    <w:rsid w:val="00522E87"/>
    <w:rsid w:val="0052339D"/>
    <w:rsid w:val="00523824"/>
    <w:rsid w:val="00523BF4"/>
    <w:rsid w:val="00524247"/>
    <w:rsid w:val="005243B4"/>
    <w:rsid w:val="00524D71"/>
    <w:rsid w:val="00525184"/>
    <w:rsid w:val="0052525E"/>
    <w:rsid w:val="0052569B"/>
    <w:rsid w:val="0052570B"/>
    <w:rsid w:val="00525A5A"/>
    <w:rsid w:val="005260F6"/>
    <w:rsid w:val="005264C8"/>
    <w:rsid w:val="0052662A"/>
    <w:rsid w:val="00526952"/>
    <w:rsid w:val="00526C54"/>
    <w:rsid w:val="005273F1"/>
    <w:rsid w:val="00527584"/>
    <w:rsid w:val="00527B60"/>
    <w:rsid w:val="00527F1F"/>
    <w:rsid w:val="005302CE"/>
    <w:rsid w:val="00530579"/>
    <w:rsid w:val="005305C7"/>
    <w:rsid w:val="00530F4D"/>
    <w:rsid w:val="005311EF"/>
    <w:rsid w:val="00531BF8"/>
    <w:rsid w:val="005327AE"/>
    <w:rsid w:val="00532AC0"/>
    <w:rsid w:val="00532B88"/>
    <w:rsid w:val="00532F59"/>
    <w:rsid w:val="00533366"/>
    <w:rsid w:val="005334EF"/>
    <w:rsid w:val="00533542"/>
    <w:rsid w:val="005336FE"/>
    <w:rsid w:val="0053378F"/>
    <w:rsid w:val="005347EB"/>
    <w:rsid w:val="0053498B"/>
    <w:rsid w:val="00534E43"/>
    <w:rsid w:val="00535213"/>
    <w:rsid w:val="0053544F"/>
    <w:rsid w:val="0053555C"/>
    <w:rsid w:val="00536B90"/>
    <w:rsid w:val="00536D27"/>
    <w:rsid w:val="00536DBD"/>
    <w:rsid w:val="005371D0"/>
    <w:rsid w:val="00537518"/>
    <w:rsid w:val="005376AC"/>
    <w:rsid w:val="00537845"/>
    <w:rsid w:val="00537AF1"/>
    <w:rsid w:val="00537B99"/>
    <w:rsid w:val="00540332"/>
    <w:rsid w:val="00540BFE"/>
    <w:rsid w:val="00540EF6"/>
    <w:rsid w:val="0054113D"/>
    <w:rsid w:val="00541143"/>
    <w:rsid w:val="00541204"/>
    <w:rsid w:val="00541241"/>
    <w:rsid w:val="005417B5"/>
    <w:rsid w:val="0054207E"/>
    <w:rsid w:val="00542DDC"/>
    <w:rsid w:val="00542F46"/>
    <w:rsid w:val="00543548"/>
    <w:rsid w:val="00543622"/>
    <w:rsid w:val="00544092"/>
    <w:rsid w:val="00544192"/>
    <w:rsid w:val="005442AC"/>
    <w:rsid w:val="005443A6"/>
    <w:rsid w:val="0054471D"/>
    <w:rsid w:val="00544C91"/>
    <w:rsid w:val="005451F5"/>
    <w:rsid w:val="00545447"/>
    <w:rsid w:val="005454FF"/>
    <w:rsid w:val="00545B1E"/>
    <w:rsid w:val="0054632C"/>
    <w:rsid w:val="00546BB5"/>
    <w:rsid w:val="00547207"/>
    <w:rsid w:val="0054737D"/>
    <w:rsid w:val="005477D1"/>
    <w:rsid w:val="00547875"/>
    <w:rsid w:val="0055006E"/>
    <w:rsid w:val="0055032D"/>
    <w:rsid w:val="00550628"/>
    <w:rsid w:val="0055089A"/>
    <w:rsid w:val="005508BA"/>
    <w:rsid w:val="00551425"/>
    <w:rsid w:val="005516B2"/>
    <w:rsid w:val="00551FC8"/>
    <w:rsid w:val="00551FCD"/>
    <w:rsid w:val="005522D6"/>
    <w:rsid w:val="005527AF"/>
    <w:rsid w:val="005531B0"/>
    <w:rsid w:val="005533DF"/>
    <w:rsid w:val="005537E5"/>
    <w:rsid w:val="005538D4"/>
    <w:rsid w:val="00553DA6"/>
    <w:rsid w:val="005541FE"/>
    <w:rsid w:val="005542B0"/>
    <w:rsid w:val="005560CB"/>
    <w:rsid w:val="00556189"/>
    <w:rsid w:val="00556926"/>
    <w:rsid w:val="00556D46"/>
    <w:rsid w:val="00556F13"/>
    <w:rsid w:val="00557AE0"/>
    <w:rsid w:val="00557CC0"/>
    <w:rsid w:val="0056037B"/>
    <w:rsid w:val="005604A1"/>
    <w:rsid w:val="0056052F"/>
    <w:rsid w:val="0056068E"/>
    <w:rsid w:val="00560742"/>
    <w:rsid w:val="00561414"/>
    <w:rsid w:val="00561753"/>
    <w:rsid w:val="00561E9A"/>
    <w:rsid w:val="00562086"/>
    <w:rsid w:val="005623D9"/>
    <w:rsid w:val="00562755"/>
    <w:rsid w:val="00563581"/>
    <w:rsid w:val="0056371B"/>
    <w:rsid w:val="00563ADD"/>
    <w:rsid w:val="00564159"/>
    <w:rsid w:val="005643A9"/>
    <w:rsid w:val="0056441B"/>
    <w:rsid w:val="00564907"/>
    <w:rsid w:val="00564B97"/>
    <w:rsid w:val="00564C33"/>
    <w:rsid w:val="00565917"/>
    <w:rsid w:val="00565DB7"/>
    <w:rsid w:val="005661F7"/>
    <w:rsid w:val="00566DA0"/>
    <w:rsid w:val="005673D3"/>
    <w:rsid w:val="0056747E"/>
    <w:rsid w:val="00567668"/>
    <w:rsid w:val="0056781A"/>
    <w:rsid w:val="00567B0C"/>
    <w:rsid w:val="00570EF8"/>
    <w:rsid w:val="0057209A"/>
    <w:rsid w:val="00572164"/>
    <w:rsid w:val="005721FA"/>
    <w:rsid w:val="00572FCD"/>
    <w:rsid w:val="005734A4"/>
    <w:rsid w:val="00573AB2"/>
    <w:rsid w:val="00573AB9"/>
    <w:rsid w:val="00574195"/>
    <w:rsid w:val="00574782"/>
    <w:rsid w:val="00575219"/>
    <w:rsid w:val="00575470"/>
    <w:rsid w:val="00575545"/>
    <w:rsid w:val="005755E0"/>
    <w:rsid w:val="00575632"/>
    <w:rsid w:val="00575F91"/>
    <w:rsid w:val="0057619B"/>
    <w:rsid w:val="0057628D"/>
    <w:rsid w:val="00576BB4"/>
    <w:rsid w:val="00576D94"/>
    <w:rsid w:val="005772F2"/>
    <w:rsid w:val="005773F2"/>
    <w:rsid w:val="00577527"/>
    <w:rsid w:val="00577958"/>
    <w:rsid w:val="00577BF4"/>
    <w:rsid w:val="00577CAD"/>
    <w:rsid w:val="00577F3B"/>
    <w:rsid w:val="00580275"/>
    <w:rsid w:val="00580A30"/>
    <w:rsid w:val="00580AFD"/>
    <w:rsid w:val="00580D8B"/>
    <w:rsid w:val="00580F72"/>
    <w:rsid w:val="005810A4"/>
    <w:rsid w:val="0058132B"/>
    <w:rsid w:val="00581783"/>
    <w:rsid w:val="00581907"/>
    <w:rsid w:val="00581910"/>
    <w:rsid w:val="005822D5"/>
    <w:rsid w:val="00582C2B"/>
    <w:rsid w:val="00582CC2"/>
    <w:rsid w:val="00582D03"/>
    <w:rsid w:val="0058339F"/>
    <w:rsid w:val="005836C6"/>
    <w:rsid w:val="0058371F"/>
    <w:rsid w:val="00583766"/>
    <w:rsid w:val="0058392E"/>
    <w:rsid w:val="0058425A"/>
    <w:rsid w:val="00584414"/>
    <w:rsid w:val="005847B3"/>
    <w:rsid w:val="005849A9"/>
    <w:rsid w:val="00584ABE"/>
    <w:rsid w:val="00584B21"/>
    <w:rsid w:val="005871F2"/>
    <w:rsid w:val="0058769A"/>
    <w:rsid w:val="00587741"/>
    <w:rsid w:val="005903A1"/>
    <w:rsid w:val="00590B92"/>
    <w:rsid w:val="00591518"/>
    <w:rsid w:val="00591D5D"/>
    <w:rsid w:val="00591D9A"/>
    <w:rsid w:val="00591E61"/>
    <w:rsid w:val="00592045"/>
    <w:rsid w:val="005921F3"/>
    <w:rsid w:val="0059260C"/>
    <w:rsid w:val="00592B23"/>
    <w:rsid w:val="00593723"/>
    <w:rsid w:val="00593B2F"/>
    <w:rsid w:val="005940F3"/>
    <w:rsid w:val="0059424B"/>
    <w:rsid w:val="005943EA"/>
    <w:rsid w:val="0059453B"/>
    <w:rsid w:val="005946C4"/>
    <w:rsid w:val="00594CAE"/>
    <w:rsid w:val="00595042"/>
    <w:rsid w:val="00595765"/>
    <w:rsid w:val="00595897"/>
    <w:rsid w:val="00595B27"/>
    <w:rsid w:val="00595C81"/>
    <w:rsid w:val="00595DBC"/>
    <w:rsid w:val="00596000"/>
    <w:rsid w:val="005979C1"/>
    <w:rsid w:val="00597A2E"/>
    <w:rsid w:val="005A03FB"/>
    <w:rsid w:val="005A09D8"/>
    <w:rsid w:val="005A0C6B"/>
    <w:rsid w:val="005A0DC0"/>
    <w:rsid w:val="005A101C"/>
    <w:rsid w:val="005A1675"/>
    <w:rsid w:val="005A1699"/>
    <w:rsid w:val="005A17A9"/>
    <w:rsid w:val="005A1D4B"/>
    <w:rsid w:val="005A1D6B"/>
    <w:rsid w:val="005A24F3"/>
    <w:rsid w:val="005A2C4D"/>
    <w:rsid w:val="005A31B0"/>
    <w:rsid w:val="005A3600"/>
    <w:rsid w:val="005A3C7A"/>
    <w:rsid w:val="005A45A9"/>
    <w:rsid w:val="005A5F66"/>
    <w:rsid w:val="005A6150"/>
    <w:rsid w:val="005A6F0B"/>
    <w:rsid w:val="005A6F6D"/>
    <w:rsid w:val="005A701B"/>
    <w:rsid w:val="005A713E"/>
    <w:rsid w:val="005A7741"/>
    <w:rsid w:val="005A7B5E"/>
    <w:rsid w:val="005A7F16"/>
    <w:rsid w:val="005B01DF"/>
    <w:rsid w:val="005B030D"/>
    <w:rsid w:val="005B0325"/>
    <w:rsid w:val="005B04C7"/>
    <w:rsid w:val="005B06D2"/>
    <w:rsid w:val="005B0943"/>
    <w:rsid w:val="005B1361"/>
    <w:rsid w:val="005B1389"/>
    <w:rsid w:val="005B142A"/>
    <w:rsid w:val="005B1822"/>
    <w:rsid w:val="005B1B29"/>
    <w:rsid w:val="005B20B5"/>
    <w:rsid w:val="005B210A"/>
    <w:rsid w:val="005B2159"/>
    <w:rsid w:val="005B2561"/>
    <w:rsid w:val="005B2717"/>
    <w:rsid w:val="005B2A20"/>
    <w:rsid w:val="005B2D8F"/>
    <w:rsid w:val="005B335C"/>
    <w:rsid w:val="005B373A"/>
    <w:rsid w:val="005B38BB"/>
    <w:rsid w:val="005B4394"/>
    <w:rsid w:val="005B4A2D"/>
    <w:rsid w:val="005B4BB9"/>
    <w:rsid w:val="005B4CBC"/>
    <w:rsid w:val="005B5378"/>
    <w:rsid w:val="005B54A2"/>
    <w:rsid w:val="005B55A4"/>
    <w:rsid w:val="005B58BA"/>
    <w:rsid w:val="005B68E4"/>
    <w:rsid w:val="005B6E10"/>
    <w:rsid w:val="005B6E16"/>
    <w:rsid w:val="005B6E98"/>
    <w:rsid w:val="005B7317"/>
    <w:rsid w:val="005B7BA6"/>
    <w:rsid w:val="005C02A4"/>
    <w:rsid w:val="005C091F"/>
    <w:rsid w:val="005C0974"/>
    <w:rsid w:val="005C0A1B"/>
    <w:rsid w:val="005C0DA3"/>
    <w:rsid w:val="005C0DEA"/>
    <w:rsid w:val="005C1BA4"/>
    <w:rsid w:val="005C1CF8"/>
    <w:rsid w:val="005C24EE"/>
    <w:rsid w:val="005C25CF"/>
    <w:rsid w:val="005C2637"/>
    <w:rsid w:val="005C2AF5"/>
    <w:rsid w:val="005C2B07"/>
    <w:rsid w:val="005C3054"/>
    <w:rsid w:val="005C30ED"/>
    <w:rsid w:val="005C3CBA"/>
    <w:rsid w:val="005C41A9"/>
    <w:rsid w:val="005C44FF"/>
    <w:rsid w:val="005C46D9"/>
    <w:rsid w:val="005C46F8"/>
    <w:rsid w:val="005C4A9B"/>
    <w:rsid w:val="005C4C1A"/>
    <w:rsid w:val="005C4D92"/>
    <w:rsid w:val="005C505D"/>
    <w:rsid w:val="005C5F10"/>
    <w:rsid w:val="005C67FE"/>
    <w:rsid w:val="005C7E0F"/>
    <w:rsid w:val="005D0A27"/>
    <w:rsid w:val="005D0ED9"/>
    <w:rsid w:val="005D1143"/>
    <w:rsid w:val="005D122E"/>
    <w:rsid w:val="005D154A"/>
    <w:rsid w:val="005D1DB9"/>
    <w:rsid w:val="005D1E4E"/>
    <w:rsid w:val="005D2208"/>
    <w:rsid w:val="005D223B"/>
    <w:rsid w:val="005D2249"/>
    <w:rsid w:val="005D22AA"/>
    <w:rsid w:val="005D2304"/>
    <w:rsid w:val="005D2E94"/>
    <w:rsid w:val="005D2F53"/>
    <w:rsid w:val="005D2FA7"/>
    <w:rsid w:val="005D33CB"/>
    <w:rsid w:val="005D3620"/>
    <w:rsid w:val="005D3FE6"/>
    <w:rsid w:val="005D44A6"/>
    <w:rsid w:val="005D4A62"/>
    <w:rsid w:val="005D4CA8"/>
    <w:rsid w:val="005D4F6E"/>
    <w:rsid w:val="005D50CC"/>
    <w:rsid w:val="005D50E5"/>
    <w:rsid w:val="005D51DE"/>
    <w:rsid w:val="005D5D34"/>
    <w:rsid w:val="005D6063"/>
    <w:rsid w:val="005D60A0"/>
    <w:rsid w:val="005D61F0"/>
    <w:rsid w:val="005D69E0"/>
    <w:rsid w:val="005D7091"/>
    <w:rsid w:val="005D71F7"/>
    <w:rsid w:val="005D759F"/>
    <w:rsid w:val="005D780D"/>
    <w:rsid w:val="005D788B"/>
    <w:rsid w:val="005E0762"/>
    <w:rsid w:val="005E078A"/>
    <w:rsid w:val="005E079B"/>
    <w:rsid w:val="005E081C"/>
    <w:rsid w:val="005E123E"/>
    <w:rsid w:val="005E17F8"/>
    <w:rsid w:val="005E1A35"/>
    <w:rsid w:val="005E285A"/>
    <w:rsid w:val="005E2942"/>
    <w:rsid w:val="005E2A1E"/>
    <w:rsid w:val="005E2BDA"/>
    <w:rsid w:val="005E3272"/>
    <w:rsid w:val="005E33CA"/>
    <w:rsid w:val="005E3E37"/>
    <w:rsid w:val="005E405E"/>
    <w:rsid w:val="005E44E9"/>
    <w:rsid w:val="005E4FEA"/>
    <w:rsid w:val="005E528D"/>
    <w:rsid w:val="005E5339"/>
    <w:rsid w:val="005E53C3"/>
    <w:rsid w:val="005E5545"/>
    <w:rsid w:val="005E5BA9"/>
    <w:rsid w:val="005E5DED"/>
    <w:rsid w:val="005E62D1"/>
    <w:rsid w:val="005E6CE2"/>
    <w:rsid w:val="005E6D4E"/>
    <w:rsid w:val="005E6E78"/>
    <w:rsid w:val="005E6FA0"/>
    <w:rsid w:val="005F0167"/>
    <w:rsid w:val="005F050C"/>
    <w:rsid w:val="005F0978"/>
    <w:rsid w:val="005F09FF"/>
    <w:rsid w:val="005F0E6E"/>
    <w:rsid w:val="005F154A"/>
    <w:rsid w:val="005F2360"/>
    <w:rsid w:val="005F2598"/>
    <w:rsid w:val="005F28A4"/>
    <w:rsid w:val="005F2977"/>
    <w:rsid w:val="005F3481"/>
    <w:rsid w:val="005F34CC"/>
    <w:rsid w:val="005F3517"/>
    <w:rsid w:val="005F3EF0"/>
    <w:rsid w:val="005F41DE"/>
    <w:rsid w:val="005F4991"/>
    <w:rsid w:val="005F4A61"/>
    <w:rsid w:val="005F54FC"/>
    <w:rsid w:val="005F558F"/>
    <w:rsid w:val="005F580E"/>
    <w:rsid w:val="005F59DC"/>
    <w:rsid w:val="005F6305"/>
    <w:rsid w:val="005F6A76"/>
    <w:rsid w:val="005F6B29"/>
    <w:rsid w:val="005F719F"/>
    <w:rsid w:val="005F740F"/>
    <w:rsid w:val="005F7E75"/>
    <w:rsid w:val="00600281"/>
    <w:rsid w:val="0060055D"/>
    <w:rsid w:val="006010B7"/>
    <w:rsid w:val="00601135"/>
    <w:rsid w:val="0060125B"/>
    <w:rsid w:val="006016A2"/>
    <w:rsid w:val="00601730"/>
    <w:rsid w:val="00601DCF"/>
    <w:rsid w:val="00601DE4"/>
    <w:rsid w:val="00602083"/>
    <w:rsid w:val="00602199"/>
    <w:rsid w:val="0060238C"/>
    <w:rsid w:val="00602495"/>
    <w:rsid w:val="006026BE"/>
    <w:rsid w:val="00603003"/>
    <w:rsid w:val="00603008"/>
    <w:rsid w:val="00603170"/>
    <w:rsid w:val="00603822"/>
    <w:rsid w:val="00603C24"/>
    <w:rsid w:val="00604ACC"/>
    <w:rsid w:val="00604AF0"/>
    <w:rsid w:val="00604B7A"/>
    <w:rsid w:val="00604C5E"/>
    <w:rsid w:val="00604EDC"/>
    <w:rsid w:val="00605069"/>
    <w:rsid w:val="00605074"/>
    <w:rsid w:val="006058F6"/>
    <w:rsid w:val="00605CE1"/>
    <w:rsid w:val="00605EBA"/>
    <w:rsid w:val="006061A1"/>
    <w:rsid w:val="0060658C"/>
    <w:rsid w:val="00606640"/>
    <w:rsid w:val="00607641"/>
    <w:rsid w:val="006076E9"/>
    <w:rsid w:val="00610692"/>
    <w:rsid w:val="006108D3"/>
    <w:rsid w:val="00610F40"/>
    <w:rsid w:val="0061129D"/>
    <w:rsid w:val="00611345"/>
    <w:rsid w:val="00611947"/>
    <w:rsid w:val="00611A2D"/>
    <w:rsid w:val="00611A5E"/>
    <w:rsid w:val="00611B75"/>
    <w:rsid w:val="0061228A"/>
    <w:rsid w:val="00612469"/>
    <w:rsid w:val="00612B95"/>
    <w:rsid w:val="00612DED"/>
    <w:rsid w:val="00613357"/>
    <w:rsid w:val="006133BC"/>
    <w:rsid w:val="0061363F"/>
    <w:rsid w:val="00613E9C"/>
    <w:rsid w:val="00613F35"/>
    <w:rsid w:val="0061405F"/>
    <w:rsid w:val="006142F5"/>
    <w:rsid w:val="00614499"/>
    <w:rsid w:val="006148BF"/>
    <w:rsid w:val="006149F9"/>
    <w:rsid w:val="00614BEA"/>
    <w:rsid w:val="0061517F"/>
    <w:rsid w:val="00615B27"/>
    <w:rsid w:val="00615B54"/>
    <w:rsid w:val="00615C89"/>
    <w:rsid w:val="00616557"/>
    <w:rsid w:val="00616D95"/>
    <w:rsid w:val="00616F00"/>
    <w:rsid w:val="00617585"/>
    <w:rsid w:val="0061796E"/>
    <w:rsid w:val="00617C2E"/>
    <w:rsid w:val="00617E3C"/>
    <w:rsid w:val="00620738"/>
    <w:rsid w:val="00620A01"/>
    <w:rsid w:val="00621198"/>
    <w:rsid w:val="00621ADC"/>
    <w:rsid w:val="00621C9F"/>
    <w:rsid w:val="00621D0C"/>
    <w:rsid w:val="00622B55"/>
    <w:rsid w:val="0062345D"/>
    <w:rsid w:val="006235DD"/>
    <w:rsid w:val="006237BE"/>
    <w:rsid w:val="006238B7"/>
    <w:rsid w:val="00623BCD"/>
    <w:rsid w:val="00623CA3"/>
    <w:rsid w:val="00623D59"/>
    <w:rsid w:val="0062453A"/>
    <w:rsid w:val="006248EB"/>
    <w:rsid w:val="00624F1A"/>
    <w:rsid w:val="00624F79"/>
    <w:rsid w:val="00625DAE"/>
    <w:rsid w:val="0062601C"/>
    <w:rsid w:val="00626A33"/>
    <w:rsid w:val="00626AF6"/>
    <w:rsid w:val="00626FC8"/>
    <w:rsid w:val="006273C1"/>
    <w:rsid w:val="00627522"/>
    <w:rsid w:val="00627AFC"/>
    <w:rsid w:val="00627D01"/>
    <w:rsid w:val="006300B5"/>
    <w:rsid w:val="00630482"/>
    <w:rsid w:val="0063070D"/>
    <w:rsid w:val="00630991"/>
    <w:rsid w:val="00630B7A"/>
    <w:rsid w:val="00630D58"/>
    <w:rsid w:val="00630E43"/>
    <w:rsid w:val="00631127"/>
    <w:rsid w:val="00631207"/>
    <w:rsid w:val="006314B1"/>
    <w:rsid w:val="00632222"/>
    <w:rsid w:val="00632BA4"/>
    <w:rsid w:val="00632C1C"/>
    <w:rsid w:val="00633367"/>
    <w:rsid w:val="006333F1"/>
    <w:rsid w:val="0063344C"/>
    <w:rsid w:val="00633ACA"/>
    <w:rsid w:val="00633BF5"/>
    <w:rsid w:val="00633DFA"/>
    <w:rsid w:val="006341BF"/>
    <w:rsid w:val="00634527"/>
    <w:rsid w:val="00634649"/>
    <w:rsid w:val="00634C99"/>
    <w:rsid w:val="00634D8A"/>
    <w:rsid w:val="00634FAA"/>
    <w:rsid w:val="0063501D"/>
    <w:rsid w:val="006353BD"/>
    <w:rsid w:val="0063590B"/>
    <w:rsid w:val="006359D1"/>
    <w:rsid w:val="006360F9"/>
    <w:rsid w:val="00636165"/>
    <w:rsid w:val="0063616A"/>
    <w:rsid w:val="006364C2"/>
    <w:rsid w:val="006374CB"/>
    <w:rsid w:val="00637B21"/>
    <w:rsid w:val="00637F6B"/>
    <w:rsid w:val="00640090"/>
    <w:rsid w:val="00640392"/>
    <w:rsid w:val="00640656"/>
    <w:rsid w:val="0064094A"/>
    <w:rsid w:val="00640DD0"/>
    <w:rsid w:val="0064171A"/>
    <w:rsid w:val="00641908"/>
    <w:rsid w:val="00641B4A"/>
    <w:rsid w:val="006420E5"/>
    <w:rsid w:val="0064266D"/>
    <w:rsid w:val="00642DD9"/>
    <w:rsid w:val="0064331C"/>
    <w:rsid w:val="00643433"/>
    <w:rsid w:val="00644068"/>
    <w:rsid w:val="006442EE"/>
    <w:rsid w:val="006448BD"/>
    <w:rsid w:val="006448C8"/>
    <w:rsid w:val="00644A7F"/>
    <w:rsid w:val="00644DC5"/>
    <w:rsid w:val="00645027"/>
    <w:rsid w:val="00645185"/>
    <w:rsid w:val="006451BA"/>
    <w:rsid w:val="006453E5"/>
    <w:rsid w:val="00645CEF"/>
    <w:rsid w:val="00646530"/>
    <w:rsid w:val="006469EB"/>
    <w:rsid w:val="00646A33"/>
    <w:rsid w:val="00647311"/>
    <w:rsid w:val="006474D0"/>
    <w:rsid w:val="00647509"/>
    <w:rsid w:val="006477F6"/>
    <w:rsid w:val="00647939"/>
    <w:rsid w:val="00647BEF"/>
    <w:rsid w:val="00650385"/>
    <w:rsid w:val="006507EA"/>
    <w:rsid w:val="00650BFD"/>
    <w:rsid w:val="00651BBE"/>
    <w:rsid w:val="00651C0B"/>
    <w:rsid w:val="00651E29"/>
    <w:rsid w:val="00651EA8"/>
    <w:rsid w:val="00652B14"/>
    <w:rsid w:val="00652D15"/>
    <w:rsid w:val="006530B7"/>
    <w:rsid w:val="006533AF"/>
    <w:rsid w:val="006533FF"/>
    <w:rsid w:val="00653729"/>
    <w:rsid w:val="00653F6F"/>
    <w:rsid w:val="00654889"/>
    <w:rsid w:val="0065507B"/>
    <w:rsid w:val="00655250"/>
    <w:rsid w:val="00655630"/>
    <w:rsid w:val="00655BE8"/>
    <w:rsid w:val="00656089"/>
    <w:rsid w:val="0065611E"/>
    <w:rsid w:val="00656147"/>
    <w:rsid w:val="006562EE"/>
    <w:rsid w:val="00656556"/>
    <w:rsid w:val="0065687A"/>
    <w:rsid w:val="006571C6"/>
    <w:rsid w:val="00657AC6"/>
    <w:rsid w:val="00657B24"/>
    <w:rsid w:val="00657B60"/>
    <w:rsid w:val="00660315"/>
    <w:rsid w:val="0066048B"/>
    <w:rsid w:val="006606D0"/>
    <w:rsid w:val="00661968"/>
    <w:rsid w:val="0066196D"/>
    <w:rsid w:val="00661CA6"/>
    <w:rsid w:val="00661DA6"/>
    <w:rsid w:val="00661DEE"/>
    <w:rsid w:val="00661F28"/>
    <w:rsid w:val="00662673"/>
    <w:rsid w:val="0066346A"/>
    <w:rsid w:val="006634AC"/>
    <w:rsid w:val="00664048"/>
    <w:rsid w:val="006642FA"/>
    <w:rsid w:val="006649B0"/>
    <w:rsid w:val="00664DDE"/>
    <w:rsid w:val="00664EBF"/>
    <w:rsid w:val="0066513F"/>
    <w:rsid w:val="00665394"/>
    <w:rsid w:val="006656E7"/>
    <w:rsid w:val="00665C0B"/>
    <w:rsid w:val="00666F1F"/>
    <w:rsid w:val="006670EC"/>
    <w:rsid w:val="0066743D"/>
    <w:rsid w:val="00667984"/>
    <w:rsid w:val="00667A2E"/>
    <w:rsid w:val="00667C54"/>
    <w:rsid w:val="00667CE0"/>
    <w:rsid w:val="0067011D"/>
    <w:rsid w:val="006704A9"/>
    <w:rsid w:val="00670E06"/>
    <w:rsid w:val="006716C0"/>
    <w:rsid w:val="00671F9A"/>
    <w:rsid w:val="0067272E"/>
    <w:rsid w:val="006727EF"/>
    <w:rsid w:val="0067293B"/>
    <w:rsid w:val="00672DFB"/>
    <w:rsid w:val="00673107"/>
    <w:rsid w:val="00673421"/>
    <w:rsid w:val="006737B9"/>
    <w:rsid w:val="00674415"/>
    <w:rsid w:val="00674E0B"/>
    <w:rsid w:val="006760F5"/>
    <w:rsid w:val="0067621B"/>
    <w:rsid w:val="006762D8"/>
    <w:rsid w:val="00676B20"/>
    <w:rsid w:val="00676F09"/>
    <w:rsid w:val="00677541"/>
    <w:rsid w:val="00677A54"/>
    <w:rsid w:val="00677B2E"/>
    <w:rsid w:val="006802DD"/>
    <w:rsid w:val="00680551"/>
    <w:rsid w:val="00680CD1"/>
    <w:rsid w:val="00681127"/>
    <w:rsid w:val="006814BA"/>
    <w:rsid w:val="006815A0"/>
    <w:rsid w:val="00681752"/>
    <w:rsid w:val="00681AA3"/>
    <w:rsid w:val="00681D20"/>
    <w:rsid w:val="006835B2"/>
    <w:rsid w:val="006838B7"/>
    <w:rsid w:val="00684DD0"/>
    <w:rsid w:val="00685013"/>
    <w:rsid w:val="00686199"/>
    <w:rsid w:val="00687175"/>
    <w:rsid w:val="006872CB"/>
    <w:rsid w:val="00687462"/>
    <w:rsid w:val="006875C0"/>
    <w:rsid w:val="00687903"/>
    <w:rsid w:val="00687FCD"/>
    <w:rsid w:val="006900A3"/>
    <w:rsid w:val="006902FA"/>
    <w:rsid w:val="006909A2"/>
    <w:rsid w:val="00690B1D"/>
    <w:rsid w:val="006910D6"/>
    <w:rsid w:val="00691227"/>
    <w:rsid w:val="0069169B"/>
    <w:rsid w:val="00691762"/>
    <w:rsid w:val="00691D23"/>
    <w:rsid w:val="00692593"/>
    <w:rsid w:val="00692791"/>
    <w:rsid w:val="006931BC"/>
    <w:rsid w:val="006936F0"/>
    <w:rsid w:val="006943F6"/>
    <w:rsid w:val="00694BB3"/>
    <w:rsid w:val="00694C58"/>
    <w:rsid w:val="00695884"/>
    <w:rsid w:val="00695FD8"/>
    <w:rsid w:val="0069615A"/>
    <w:rsid w:val="00696523"/>
    <w:rsid w:val="006965A5"/>
    <w:rsid w:val="006967CC"/>
    <w:rsid w:val="006968A4"/>
    <w:rsid w:val="00696E1D"/>
    <w:rsid w:val="00696F8C"/>
    <w:rsid w:val="00697549"/>
    <w:rsid w:val="00697B30"/>
    <w:rsid w:val="00697E49"/>
    <w:rsid w:val="006A00DB"/>
    <w:rsid w:val="006A01B8"/>
    <w:rsid w:val="006A0BC9"/>
    <w:rsid w:val="006A11EF"/>
    <w:rsid w:val="006A134F"/>
    <w:rsid w:val="006A15B5"/>
    <w:rsid w:val="006A1618"/>
    <w:rsid w:val="006A1917"/>
    <w:rsid w:val="006A1CCC"/>
    <w:rsid w:val="006A27B4"/>
    <w:rsid w:val="006A2CA5"/>
    <w:rsid w:val="006A38FD"/>
    <w:rsid w:val="006A3A5A"/>
    <w:rsid w:val="006A3EE4"/>
    <w:rsid w:val="006A42C7"/>
    <w:rsid w:val="006A434F"/>
    <w:rsid w:val="006A43D4"/>
    <w:rsid w:val="006A4526"/>
    <w:rsid w:val="006A478E"/>
    <w:rsid w:val="006A48CE"/>
    <w:rsid w:val="006A4A6E"/>
    <w:rsid w:val="006A52C8"/>
    <w:rsid w:val="006A5326"/>
    <w:rsid w:val="006A53B2"/>
    <w:rsid w:val="006A5499"/>
    <w:rsid w:val="006A54B6"/>
    <w:rsid w:val="006A581A"/>
    <w:rsid w:val="006A58F8"/>
    <w:rsid w:val="006A5A3A"/>
    <w:rsid w:val="006A6901"/>
    <w:rsid w:val="006A6A3A"/>
    <w:rsid w:val="006A6CD2"/>
    <w:rsid w:val="006A707C"/>
    <w:rsid w:val="006A73C8"/>
    <w:rsid w:val="006A7499"/>
    <w:rsid w:val="006A78E2"/>
    <w:rsid w:val="006A7B62"/>
    <w:rsid w:val="006A7F45"/>
    <w:rsid w:val="006B0174"/>
    <w:rsid w:val="006B090F"/>
    <w:rsid w:val="006B0D08"/>
    <w:rsid w:val="006B1567"/>
    <w:rsid w:val="006B15BE"/>
    <w:rsid w:val="006B164C"/>
    <w:rsid w:val="006B2279"/>
    <w:rsid w:val="006B269B"/>
    <w:rsid w:val="006B27CB"/>
    <w:rsid w:val="006B28C3"/>
    <w:rsid w:val="006B2B57"/>
    <w:rsid w:val="006B2F9A"/>
    <w:rsid w:val="006B2FC8"/>
    <w:rsid w:val="006B3974"/>
    <w:rsid w:val="006B3A63"/>
    <w:rsid w:val="006B3B88"/>
    <w:rsid w:val="006B3C09"/>
    <w:rsid w:val="006B42F1"/>
    <w:rsid w:val="006B43CA"/>
    <w:rsid w:val="006B4AB5"/>
    <w:rsid w:val="006B4E7D"/>
    <w:rsid w:val="006B5AC1"/>
    <w:rsid w:val="006B5D6A"/>
    <w:rsid w:val="006B5E09"/>
    <w:rsid w:val="006B5FDB"/>
    <w:rsid w:val="006B620B"/>
    <w:rsid w:val="006B62B0"/>
    <w:rsid w:val="006B64C7"/>
    <w:rsid w:val="006B689F"/>
    <w:rsid w:val="006B6989"/>
    <w:rsid w:val="006B69AC"/>
    <w:rsid w:val="006B6A17"/>
    <w:rsid w:val="006B74C0"/>
    <w:rsid w:val="006B78D4"/>
    <w:rsid w:val="006B7930"/>
    <w:rsid w:val="006B799D"/>
    <w:rsid w:val="006C032A"/>
    <w:rsid w:val="006C0373"/>
    <w:rsid w:val="006C0648"/>
    <w:rsid w:val="006C1AA3"/>
    <w:rsid w:val="006C2029"/>
    <w:rsid w:val="006C2EAC"/>
    <w:rsid w:val="006C32F1"/>
    <w:rsid w:val="006C3690"/>
    <w:rsid w:val="006C421A"/>
    <w:rsid w:val="006C42F4"/>
    <w:rsid w:val="006C471A"/>
    <w:rsid w:val="006C4EF1"/>
    <w:rsid w:val="006C4EF5"/>
    <w:rsid w:val="006C6277"/>
    <w:rsid w:val="006C64B7"/>
    <w:rsid w:val="006C6816"/>
    <w:rsid w:val="006C68EA"/>
    <w:rsid w:val="006C6CF5"/>
    <w:rsid w:val="006C714F"/>
    <w:rsid w:val="006C73C7"/>
    <w:rsid w:val="006C77ED"/>
    <w:rsid w:val="006D0051"/>
    <w:rsid w:val="006D00F7"/>
    <w:rsid w:val="006D025B"/>
    <w:rsid w:val="006D0E71"/>
    <w:rsid w:val="006D103F"/>
    <w:rsid w:val="006D14AF"/>
    <w:rsid w:val="006D169B"/>
    <w:rsid w:val="006D182D"/>
    <w:rsid w:val="006D1C9F"/>
    <w:rsid w:val="006D1E6D"/>
    <w:rsid w:val="006D20B5"/>
    <w:rsid w:val="006D2663"/>
    <w:rsid w:val="006D2829"/>
    <w:rsid w:val="006D2D0F"/>
    <w:rsid w:val="006D374B"/>
    <w:rsid w:val="006D37F6"/>
    <w:rsid w:val="006D3913"/>
    <w:rsid w:val="006D3D50"/>
    <w:rsid w:val="006D3D58"/>
    <w:rsid w:val="006D3E21"/>
    <w:rsid w:val="006D3F18"/>
    <w:rsid w:val="006D42C4"/>
    <w:rsid w:val="006D4901"/>
    <w:rsid w:val="006D4DE4"/>
    <w:rsid w:val="006D50C6"/>
    <w:rsid w:val="006D50DC"/>
    <w:rsid w:val="006D50F0"/>
    <w:rsid w:val="006D52F1"/>
    <w:rsid w:val="006D5C76"/>
    <w:rsid w:val="006D5F70"/>
    <w:rsid w:val="006D6211"/>
    <w:rsid w:val="006D62CD"/>
    <w:rsid w:val="006D62FF"/>
    <w:rsid w:val="006D6474"/>
    <w:rsid w:val="006D65AC"/>
    <w:rsid w:val="006D6708"/>
    <w:rsid w:val="006D69FD"/>
    <w:rsid w:val="006D7525"/>
    <w:rsid w:val="006D76A3"/>
    <w:rsid w:val="006D7C55"/>
    <w:rsid w:val="006E020C"/>
    <w:rsid w:val="006E0FEB"/>
    <w:rsid w:val="006E1011"/>
    <w:rsid w:val="006E13C8"/>
    <w:rsid w:val="006E13F1"/>
    <w:rsid w:val="006E1446"/>
    <w:rsid w:val="006E15C5"/>
    <w:rsid w:val="006E1D76"/>
    <w:rsid w:val="006E1E68"/>
    <w:rsid w:val="006E230C"/>
    <w:rsid w:val="006E330C"/>
    <w:rsid w:val="006E3680"/>
    <w:rsid w:val="006E3D12"/>
    <w:rsid w:val="006E509F"/>
    <w:rsid w:val="006E50EA"/>
    <w:rsid w:val="006E51A1"/>
    <w:rsid w:val="006E55A9"/>
    <w:rsid w:val="006E5A33"/>
    <w:rsid w:val="006E5FB8"/>
    <w:rsid w:val="006E606B"/>
    <w:rsid w:val="006E62A9"/>
    <w:rsid w:val="006E65E5"/>
    <w:rsid w:val="006E67C8"/>
    <w:rsid w:val="006E6B5D"/>
    <w:rsid w:val="006E6BFB"/>
    <w:rsid w:val="006E7728"/>
    <w:rsid w:val="006E7B83"/>
    <w:rsid w:val="006F0104"/>
    <w:rsid w:val="006F0355"/>
    <w:rsid w:val="006F13B7"/>
    <w:rsid w:val="006F1476"/>
    <w:rsid w:val="006F14B1"/>
    <w:rsid w:val="006F15F9"/>
    <w:rsid w:val="006F17BC"/>
    <w:rsid w:val="006F1ACF"/>
    <w:rsid w:val="006F1E52"/>
    <w:rsid w:val="006F1FDB"/>
    <w:rsid w:val="006F2C86"/>
    <w:rsid w:val="006F2D57"/>
    <w:rsid w:val="006F2EE2"/>
    <w:rsid w:val="006F333F"/>
    <w:rsid w:val="006F3ADB"/>
    <w:rsid w:val="006F3DB6"/>
    <w:rsid w:val="006F4313"/>
    <w:rsid w:val="006F479C"/>
    <w:rsid w:val="006F489F"/>
    <w:rsid w:val="006F4F4B"/>
    <w:rsid w:val="006F544E"/>
    <w:rsid w:val="006F5730"/>
    <w:rsid w:val="006F609B"/>
    <w:rsid w:val="006F61F1"/>
    <w:rsid w:val="006F6450"/>
    <w:rsid w:val="006F65D0"/>
    <w:rsid w:val="006F6C93"/>
    <w:rsid w:val="006F6D11"/>
    <w:rsid w:val="006F6F12"/>
    <w:rsid w:val="006F739D"/>
    <w:rsid w:val="006F7731"/>
    <w:rsid w:val="006F780A"/>
    <w:rsid w:val="006F7C00"/>
    <w:rsid w:val="006F7C94"/>
    <w:rsid w:val="006F7CF5"/>
    <w:rsid w:val="006F7D92"/>
    <w:rsid w:val="00700945"/>
    <w:rsid w:val="00700DFC"/>
    <w:rsid w:val="0070259D"/>
    <w:rsid w:val="00702CE0"/>
    <w:rsid w:val="00702D7A"/>
    <w:rsid w:val="00702DA3"/>
    <w:rsid w:val="0070340B"/>
    <w:rsid w:val="00703BDD"/>
    <w:rsid w:val="00703FF3"/>
    <w:rsid w:val="00704C47"/>
    <w:rsid w:val="00704C98"/>
    <w:rsid w:val="00705032"/>
    <w:rsid w:val="0070526E"/>
    <w:rsid w:val="00705D52"/>
    <w:rsid w:val="00706177"/>
    <w:rsid w:val="007062BC"/>
    <w:rsid w:val="00706B07"/>
    <w:rsid w:val="00707014"/>
    <w:rsid w:val="007072F7"/>
    <w:rsid w:val="0070771C"/>
    <w:rsid w:val="00707E90"/>
    <w:rsid w:val="007101B9"/>
    <w:rsid w:val="007101F4"/>
    <w:rsid w:val="00710558"/>
    <w:rsid w:val="007106C7"/>
    <w:rsid w:val="00710706"/>
    <w:rsid w:val="007108E6"/>
    <w:rsid w:val="0071094C"/>
    <w:rsid w:val="007109E5"/>
    <w:rsid w:val="00710A03"/>
    <w:rsid w:val="00710A36"/>
    <w:rsid w:val="00710A4B"/>
    <w:rsid w:val="00710B10"/>
    <w:rsid w:val="00710D7E"/>
    <w:rsid w:val="00711049"/>
    <w:rsid w:val="0071108D"/>
    <w:rsid w:val="00711B8F"/>
    <w:rsid w:val="0071310B"/>
    <w:rsid w:val="0071378F"/>
    <w:rsid w:val="0071407C"/>
    <w:rsid w:val="007140BE"/>
    <w:rsid w:val="007143A1"/>
    <w:rsid w:val="007146FB"/>
    <w:rsid w:val="007147DF"/>
    <w:rsid w:val="00715A35"/>
    <w:rsid w:val="00715A75"/>
    <w:rsid w:val="00715CF2"/>
    <w:rsid w:val="00715F42"/>
    <w:rsid w:val="00716664"/>
    <w:rsid w:val="00716AEB"/>
    <w:rsid w:val="00716F07"/>
    <w:rsid w:val="00716F49"/>
    <w:rsid w:val="007176B7"/>
    <w:rsid w:val="00717B72"/>
    <w:rsid w:val="00720120"/>
    <w:rsid w:val="00720856"/>
    <w:rsid w:val="00720B8A"/>
    <w:rsid w:val="00721127"/>
    <w:rsid w:val="007212B2"/>
    <w:rsid w:val="007212BD"/>
    <w:rsid w:val="0072178E"/>
    <w:rsid w:val="007223F7"/>
    <w:rsid w:val="00722808"/>
    <w:rsid w:val="00722897"/>
    <w:rsid w:val="00722CCE"/>
    <w:rsid w:val="00722DEB"/>
    <w:rsid w:val="007241AE"/>
    <w:rsid w:val="0072447E"/>
    <w:rsid w:val="00724517"/>
    <w:rsid w:val="007247DC"/>
    <w:rsid w:val="00724870"/>
    <w:rsid w:val="00724D1E"/>
    <w:rsid w:val="00724E87"/>
    <w:rsid w:val="00725A7F"/>
    <w:rsid w:val="00726136"/>
    <w:rsid w:val="00726568"/>
    <w:rsid w:val="007265DE"/>
    <w:rsid w:val="00726983"/>
    <w:rsid w:val="00726F31"/>
    <w:rsid w:val="00727069"/>
    <w:rsid w:val="007273A2"/>
    <w:rsid w:val="00727C3B"/>
    <w:rsid w:val="00727CF4"/>
    <w:rsid w:val="00727D2E"/>
    <w:rsid w:val="00727FBA"/>
    <w:rsid w:val="0073040B"/>
    <w:rsid w:val="00730851"/>
    <w:rsid w:val="007309B1"/>
    <w:rsid w:val="00730A0A"/>
    <w:rsid w:val="00730A59"/>
    <w:rsid w:val="00730A85"/>
    <w:rsid w:val="00731636"/>
    <w:rsid w:val="00732340"/>
    <w:rsid w:val="0073235E"/>
    <w:rsid w:val="00732837"/>
    <w:rsid w:val="00732EAF"/>
    <w:rsid w:val="007332F8"/>
    <w:rsid w:val="00733DC6"/>
    <w:rsid w:val="00733EA0"/>
    <w:rsid w:val="00733F96"/>
    <w:rsid w:val="00734190"/>
    <w:rsid w:val="00734306"/>
    <w:rsid w:val="00735296"/>
    <w:rsid w:val="00736582"/>
    <w:rsid w:val="007366C1"/>
    <w:rsid w:val="00736882"/>
    <w:rsid w:val="00736B8D"/>
    <w:rsid w:val="007370A0"/>
    <w:rsid w:val="00737F23"/>
    <w:rsid w:val="007400A9"/>
    <w:rsid w:val="00740110"/>
    <w:rsid w:val="00740429"/>
    <w:rsid w:val="00740DEE"/>
    <w:rsid w:val="0074102C"/>
    <w:rsid w:val="00741062"/>
    <w:rsid w:val="0074169D"/>
    <w:rsid w:val="007416ED"/>
    <w:rsid w:val="00741B03"/>
    <w:rsid w:val="00741CC4"/>
    <w:rsid w:val="00741DE6"/>
    <w:rsid w:val="007422FC"/>
    <w:rsid w:val="00742919"/>
    <w:rsid w:val="00742B18"/>
    <w:rsid w:val="0074357A"/>
    <w:rsid w:val="007441FC"/>
    <w:rsid w:val="007443DE"/>
    <w:rsid w:val="00744BAA"/>
    <w:rsid w:val="00745224"/>
    <w:rsid w:val="00745B14"/>
    <w:rsid w:val="00745B42"/>
    <w:rsid w:val="00745D37"/>
    <w:rsid w:val="007463FB"/>
    <w:rsid w:val="00746798"/>
    <w:rsid w:val="00746829"/>
    <w:rsid w:val="00746BC9"/>
    <w:rsid w:val="00746DD8"/>
    <w:rsid w:val="00746FB9"/>
    <w:rsid w:val="007476D8"/>
    <w:rsid w:val="00747C74"/>
    <w:rsid w:val="00750593"/>
    <w:rsid w:val="0075072A"/>
    <w:rsid w:val="007509E4"/>
    <w:rsid w:val="007509F0"/>
    <w:rsid w:val="00750DCB"/>
    <w:rsid w:val="007517C7"/>
    <w:rsid w:val="00751963"/>
    <w:rsid w:val="00751C6E"/>
    <w:rsid w:val="00752251"/>
    <w:rsid w:val="00752449"/>
    <w:rsid w:val="0075248E"/>
    <w:rsid w:val="007524BF"/>
    <w:rsid w:val="007528B2"/>
    <w:rsid w:val="00752EDA"/>
    <w:rsid w:val="0075384E"/>
    <w:rsid w:val="00753BBA"/>
    <w:rsid w:val="00753EAF"/>
    <w:rsid w:val="00754001"/>
    <w:rsid w:val="00754128"/>
    <w:rsid w:val="00754296"/>
    <w:rsid w:val="0075435E"/>
    <w:rsid w:val="0075438C"/>
    <w:rsid w:val="00754BB8"/>
    <w:rsid w:val="00754F8E"/>
    <w:rsid w:val="007551B6"/>
    <w:rsid w:val="00755B8A"/>
    <w:rsid w:val="00755F98"/>
    <w:rsid w:val="0075615D"/>
    <w:rsid w:val="00756557"/>
    <w:rsid w:val="00756E12"/>
    <w:rsid w:val="007574B4"/>
    <w:rsid w:val="00757579"/>
    <w:rsid w:val="0075796F"/>
    <w:rsid w:val="00757A3C"/>
    <w:rsid w:val="00757CA4"/>
    <w:rsid w:val="00757CDC"/>
    <w:rsid w:val="00757FA5"/>
    <w:rsid w:val="0076042A"/>
    <w:rsid w:val="007605A2"/>
    <w:rsid w:val="007606CF"/>
    <w:rsid w:val="0076156B"/>
    <w:rsid w:val="00761701"/>
    <w:rsid w:val="0076176B"/>
    <w:rsid w:val="007618C4"/>
    <w:rsid w:val="007619BA"/>
    <w:rsid w:val="0076274F"/>
    <w:rsid w:val="00762C55"/>
    <w:rsid w:val="00762F8B"/>
    <w:rsid w:val="007631BA"/>
    <w:rsid w:val="007633E4"/>
    <w:rsid w:val="00763A54"/>
    <w:rsid w:val="00763C2A"/>
    <w:rsid w:val="00763C52"/>
    <w:rsid w:val="00763D22"/>
    <w:rsid w:val="00763DEE"/>
    <w:rsid w:val="00763E74"/>
    <w:rsid w:val="00763F49"/>
    <w:rsid w:val="00763F67"/>
    <w:rsid w:val="00763FA8"/>
    <w:rsid w:val="00764511"/>
    <w:rsid w:val="007645DC"/>
    <w:rsid w:val="0076527A"/>
    <w:rsid w:val="007654AE"/>
    <w:rsid w:val="00765B9B"/>
    <w:rsid w:val="007664AA"/>
    <w:rsid w:val="007666FF"/>
    <w:rsid w:val="0076691F"/>
    <w:rsid w:val="00766955"/>
    <w:rsid w:val="00766EC1"/>
    <w:rsid w:val="007673F7"/>
    <w:rsid w:val="0076758E"/>
    <w:rsid w:val="00767963"/>
    <w:rsid w:val="0077045E"/>
    <w:rsid w:val="00770FD7"/>
    <w:rsid w:val="00771048"/>
    <w:rsid w:val="0077144C"/>
    <w:rsid w:val="007714A5"/>
    <w:rsid w:val="0077173B"/>
    <w:rsid w:val="00771A0E"/>
    <w:rsid w:val="00771DB4"/>
    <w:rsid w:val="007720BD"/>
    <w:rsid w:val="00772C4B"/>
    <w:rsid w:val="00773059"/>
    <w:rsid w:val="00773BE8"/>
    <w:rsid w:val="007740DE"/>
    <w:rsid w:val="00774832"/>
    <w:rsid w:val="00774CF4"/>
    <w:rsid w:val="007752D7"/>
    <w:rsid w:val="00775C51"/>
    <w:rsid w:val="00775CBD"/>
    <w:rsid w:val="00776064"/>
    <w:rsid w:val="007760C5"/>
    <w:rsid w:val="0077682B"/>
    <w:rsid w:val="00776E60"/>
    <w:rsid w:val="00776FEF"/>
    <w:rsid w:val="00777282"/>
    <w:rsid w:val="00777C3E"/>
    <w:rsid w:val="0078075B"/>
    <w:rsid w:val="00780787"/>
    <w:rsid w:val="00780C02"/>
    <w:rsid w:val="00781EB6"/>
    <w:rsid w:val="00782225"/>
    <w:rsid w:val="00783084"/>
    <w:rsid w:val="0078330D"/>
    <w:rsid w:val="00783410"/>
    <w:rsid w:val="00783431"/>
    <w:rsid w:val="00783513"/>
    <w:rsid w:val="00783A6C"/>
    <w:rsid w:val="00783DE4"/>
    <w:rsid w:val="00783E3A"/>
    <w:rsid w:val="00783F60"/>
    <w:rsid w:val="007846E3"/>
    <w:rsid w:val="007847DE"/>
    <w:rsid w:val="0078500D"/>
    <w:rsid w:val="007855F7"/>
    <w:rsid w:val="007856FB"/>
    <w:rsid w:val="007858D5"/>
    <w:rsid w:val="007859E8"/>
    <w:rsid w:val="0078667A"/>
    <w:rsid w:val="00786711"/>
    <w:rsid w:val="00786A60"/>
    <w:rsid w:val="00786B06"/>
    <w:rsid w:val="00786D39"/>
    <w:rsid w:val="00787105"/>
    <w:rsid w:val="0078734A"/>
    <w:rsid w:val="00790137"/>
    <w:rsid w:val="00790739"/>
    <w:rsid w:val="00790ED0"/>
    <w:rsid w:val="007912A6"/>
    <w:rsid w:val="00791459"/>
    <w:rsid w:val="007926D2"/>
    <w:rsid w:val="00792945"/>
    <w:rsid w:val="00793789"/>
    <w:rsid w:val="007937A9"/>
    <w:rsid w:val="00793947"/>
    <w:rsid w:val="00793DD5"/>
    <w:rsid w:val="00793F7D"/>
    <w:rsid w:val="00794B1C"/>
    <w:rsid w:val="00794D50"/>
    <w:rsid w:val="0079544D"/>
    <w:rsid w:val="00795679"/>
    <w:rsid w:val="00795AC5"/>
    <w:rsid w:val="007962E7"/>
    <w:rsid w:val="007967CD"/>
    <w:rsid w:val="00796DD8"/>
    <w:rsid w:val="00797273"/>
    <w:rsid w:val="00797571"/>
    <w:rsid w:val="0079785F"/>
    <w:rsid w:val="00797907"/>
    <w:rsid w:val="00797F2C"/>
    <w:rsid w:val="00797F94"/>
    <w:rsid w:val="00797F95"/>
    <w:rsid w:val="007A017C"/>
    <w:rsid w:val="007A0902"/>
    <w:rsid w:val="007A0CF1"/>
    <w:rsid w:val="007A160B"/>
    <w:rsid w:val="007A1909"/>
    <w:rsid w:val="007A1A4A"/>
    <w:rsid w:val="007A2356"/>
    <w:rsid w:val="007A26C6"/>
    <w:rsid w:val="007A2ECC"/>
    <w:rsid w:val="007A30B4"/>
    <w:rsid w:val="007A3267"/>
    <w:rsid w:val="007A358C"/>
    <w:rsid w:val="007A399B"/>
    <w:rsid w:val="007A39D8"/>
    <w:rsid w:val="007A3DCA"/>
    <w:rsid w:val="007A3EBD"/>
    <w:rsid w:val="007A458C"/>
    <w:rsid w:val="007A50D7"/>
    <w:rsid w:val="007A58A2"/>
    <w:rsid w:val="007A5A5E"/>
    <w:rsid w:val="007A5EEC"/>
    <w:rsid w:val="007A67D4"/>
    <w:rsid w:val="007A6ABF"/>
    <w:rsid w:val="007A6BEE"/>
    <w:rsid w:val="007A6CA0"/>
    <w:rsid w:val="007A72AF"/>
    <w:rsid w:val="007A7518"/>
    <w:rsid w:val="007A7573"/>
    <w:rsid w:val="007A7B9C"/>
    <w:rsid w:val="007A7BD2"/>
    <w:rsid w:val="007B04EE"/>
    <w:rsid w:val="007B0726"/>
    <w:rsid w:val="007B0AF2"/>
    <w:rsid w:val="007B1877"/>
    <w:rsid w:val="007B1CB8"/>
    <w:rsid w:val="007B1D8E"/>
    <w:rsid w:val="007B1E01"/>
    <w:rsid w:val="007B202D"/>
    <w:rsid w:val="007B28F9"/>
    <w:rsid w:val="007B2B79"/>
    <w:rsid w:val="007B3273"/>
    <w:rsid w:val="007B3581"/>
    <w:rsid w:val="007B38B2"/>
    <w:rsid w:val="007B3D4E"/>
    <w:rsid w:val="007B3DDA"/>
    <w:rsid w:val="007B4018"/>
    <w:rsid w:val="007B41D8"/>
    <w:rsid w:val="007B4BDD"/>
    <w:rsid w:val="007B4D91"/>
    <w:rsid w:val="007B6378"/>
    <w:rsid w:val="007B7195"/>
    <w:rsid w:val="007B7312"/>
    <w:rsid w:val="007B7954"/>
    <w:rsid w:val="007B7B02"/>
    <w:rsid w:val="007C0CC4"/>
    <w:rsid w:val="007C15B1"/>
    <w:rsid w:val="007C1A09"/>
    <w:rsid w:val="007C2267"/>
    <w:rsid w:val="007C236F"/>
    <w:rsid w:val="007C333B"/>
    <w:rsid w:val="007C4161"/>
    <w:rsid w:val="007C4B52"/>
    <w:rsid w:val="007C4D96"/>
    <w:rsid w:val="007C532C"/>
    <w:rsid w:val="007C53EA"/>
    <w:rsid w:val="007C63C4"/>
    <w:rsid w:val="007C656F"/>
    <w:rsid w:val="007D03D3"/>
    <w:rsid w:val="007D054F"/>
    <w:rsid w:val="007D06AD"/>
    <w:rsid w:val="007D08C2"/>
    <w:rsid w:val="007D1D70"/>
    <w:rsid w:val="007D1DB1"/>
    <w:rsid w:val="007D21CA"/>
    <w:rsid w:val="007D2FA0"/>
    <w:rsid w:val="007D2FD9"/>
    <w:rsid w:val="007D312D"/>
    <w:rsid w:val="007D3195"/>
    <w:rsid w:val="007D3453"/>
    <w:rsid w:val="007D3C80"/>
    <w:rsid w:val="007D3CCF"/>
    <w:rsid w:val="007D3F81"/>
    <w:rsid w:val="007D40FA"/>
    <w:rsid w:val="007D46DC"/>
    <w:rsid w:val="007D4883"/>
    <w:rsid w:val="007D4C50"/>
    <w:rsid w:val="007D501A"/>
    <w:rsid w:val="007D57E9"/>
    <w:rsid w:val="007D6290"/>
    <w:rsid w:val="007D6C0F"/>
    <w:rsid w:val="007D6F90"/>
    <w:rsid w:val="007D6FE4"/>
    <w:rsid w:val="007D755C"/>
    <w:rsid w:val="007D7570"/>
    <w:rsid w:val="007D7596"/>
    <w:rsid w:val="007D794D"/>
    <w:rsid w:val="007E03EA"/>
    <w:rsid w:val="007E0461"/>
    <w:rsid w:val="007E0656"/>
    <w:rsid w:val="007E0C6A"/>
    <w:rsid w:val="007E10C5"/>
    <w:rsid w:val="007E123C"/>
    <w:rsid w:val="007E1A9A"/>
    <w:rsid w:val="007E1FC1"/>
    <w:rsid w:val="007E2289"/>
    <w:rsid w:val="007E23E7"/>
    <w:rsid w:val="007E2AF5"/>
    <w:rsid w:val="007E2FF4"/>
    <w:rsid w:val="007E3AD2"/>
    <w:rsid w:val="007E3DCE"/>
    <w:rsid w:val="007E40F0"/>
    <w:rsid w:val="007E4119"/>
    <w:rsid w:val="007E4A86"/>
    <w:rsid w:val="007E4B0E"/>
    <w:rsid w:val="007E4D41"/>
    <w:rsid w:val="007E4F9E"/>
    <w:rsid w:val="007E593E"/>
    <w:rsid w:val="007E5C4C"/>
    <w:rsid w:val="007E60E9"/>
    <w:rsid w:val="007E60FE"/>
    <w:rsid w:val="007E6294"/>
    <w:rsid w:val="007E6970"/>
    <w:rsid w:val="007E70D2"/>
    <w:rsid w:val="007E728E"/>
    <w:rsid w:val="007E7504"/>
    <w:rsid w:val="007E76C7"/>
    <w:rsid w:val="007E7806"/>
    <w:rsid w:val="007E7822"/>
    <w:rsid w:val="007E79C0"/>
    <w:rsid w:val="007E7D69"/>
    <w:rsid w:val="007E7EF0"/>
    <w:rsid w:val="007F02E3"/>
    <w:rsid w:val="007F0918"/>
    <w:rsid w:val="007F09A5"/>
    <w:rsid w:val="007F0E68"/>
    <w:rsid w:val="007F2965"/>
    <w:rsid w:val="007F2A16"/>
    <w:rsid w:val="007F2C7C"/>
    <w:rsid w:val="007F3BEE"/>
    <w:rsid w:val="007F4316"/>
    <w:rsid w:val="007F515D"/>
    <w:rsid w:val="007F5524"/>
    <w:rsid w:val="007F55CF"/>
    <w:rsid w:val="007F59B0"/>
    <w:rsid w:val="007F601D"/>
    <w:rsid w:val="007F646F"/>
    <w:rsid w:val="007F663F"/>
    <w:rsid w:val="007F67EF"/>
    <w:rsid w:val="007F6868"/>
    <w:rsid w:val="007F6F2C"/>
    <w:rsid w:val="007F731E"/>
    <w:rsid w:val="007F7402"/>
    <w:rsid w:val="007F7765"/>
    <w:rsid w:val="007F7BF6"/>
    <w:rsid w:val="007F7E12"/>
    <w:rsid w:val="0080018E"/>
    <w:rsid w:val="00800246"/>
    <w:rsid w:val="00800326"/>
    <w:rsid w:val="00800407"/>
    <w:rsid w:val="0080077B"/>
    <w:rsid w:val="00800D9E"/>
    <w:rsid w:val="00800E6D"/>
    <w:rsid w:val="008014BB"/>
    <w:rsid w:val="008018F2"/>
    <w:rsid w:val="008019DF"/>
    <w:rsid w:val="00801A42"/>
    <w:rsid w:val="00801C82"/>
    <w:rsid w:val="00801CC4"/>
    <w:rsid w:val="00802060"/>
    <w:rsid w:val="00802458"/>
    <w:rsid w:val="00802676"/>
    <w:rsid w:val="00802791"/>
    <w:rsid w:val="0080315E"/>
    <w:rsid w:val="00803617"/>
    <w:rsid w:val="00803F34"/>
    <w:rsid w:val="00804114"/>
    <w:rsid w:val="0080427D"/>
    <w:rsid w:val="008042FB"/>
    <w:rsid w:val="00804CDE"/>
    <w:rsid w:val="00804DE0"/>
    <w:rsid w:val="008055CC"/>
    <w:rsid w:val="00805B08"/>
    <w:rsid w:val="00805CF5"/>
    <w:rsid w:val="00806363"/>
    <w:rsid w:val="00806B07"/>
    <w:rsid w:val="00806F02"/>
    <w:rsid w:val="0080750B"/>
    <w:rsid w:val="0080767E"/>
    <w:rsid w:val="008077E4"/>
    <w:rsid w:val="0080790F"/>
    <w:rsid w:val="00807B08"/>
    <w:rsid w:val="00807DBF"/>
    <w:rsid w:val="00807FC3"/>
    <w:rsid w:val="008103C5"/>
    <w:rsid w:val="00811065"/>
    <w:rsid w:val="0081199C"/>
    <w:rsid w:val="00811A12"/>
    <w:rsid w:val="00811CD7"/>
    <w:rsid w:val="0081209A"/>
    <w:rsid w:val="00812177"/>
    <w:rsid w:val="0081328C"/>
    <w:rsid w:val="0081330F"/>
    <w:rsid w:val="008133BF"/>
    <w:rsid w:val="008134A4"/>
    <w:rsid w:val="0081377E"/>
    <w:rsid w:val="00813897"/>
    <w:rsid w:val="0081399C"/>
    <w:rsid w:val="00813D8D"/>
    <w:rsid w:val="0081425A"/>
    <w:rsid w:val="008145A3"/>
    <w:rsid w:val="00814703"/>
    <w:rsid w:val="0081494C"/>
    <w:rsid w:val="00815040"/>
    <w:rsid w:val="008155C7"/>
    <w:rsid w:val="0081578D"/>
    <w:rsid w:val="00815D93"/>
    <w:rsid w:val="00815E0F"/>
    <w:rsid w:val="008160B3"/>
    <w:rsid w:val="008165C1"/>
    <w:rsid w:val="00816F87"/>
    <w:rsid w:val="008171DD"/>
    <w:rsid w:val="00817301"/>
    <w:rsid w:val="00817488"/>
    <w:rsid w:val="008177BC"/>
    <w:rsid w:val="008177FD"/>
    <w:rsid w:val="00817A34"/>
    <w:rsid w:val="00817A80"/>
    <w:rsid w:val="00817E1C"/>
    <w:rsid w:val="00817F18"/>
    <w:rsid w:val="00820036"/>
    <w:rsid w:val="0082088D"/>
    <w:rsid w:val="00820BB7"/>
    <w:rsid w:val="008210B7"/>
    <w:rsid w:val="00821290"/>
    <w:rsid w:val="0082136C"/>
    <w:rsid w:val="008218BE"/>
    <w:rsid w:val="00821BE3"/>
    <w:rsid w:val="0082276A"/>
    <w:rsid w:val="00822B35"/>
    <w:rsid w:val="00823049"/>
    <w:rsid w:val="0082326C"/>
    <w:rsid w:val="008235C5"/>
    <w:rsid w:val="0082364D"/>
    <w:rsid w:val="00823B74"/>
    <w:rsid w:val="00823B99"/>
    <w:rsid w:val="00823DF8"/>
    <w:rsid w:val="008240E4"/>
    <w:rsid w:val="00824133"/>
    <w:rsid w:val="008246F9"/>
    <w:rsid w:val="00824C2A"/>
    <w:rsid w:val="00825382"/>
    <w:rsid w:val="00825594"/>
    <w:rsid w:val="00825C51"/>
    <w:rsid w:val="00825CDE"/>
    <w:rsid w:val="00825F79"/>
    <w:rsid w:val="00826385"/>
    <w:rsid w:val="00826DCB"/>
    <w:rsid w:val="00826F2B"/>
    <w:rsid w:val="0082781F"/>
    <w:rsid w:val="00827F8E"/>
    <w:rsid w:val="008304F7"/>
    <w:rsid w:val="008308D1"/>
    <w:rsid w:val="00830958"/>
    <w:rsid w:val="00831332"/>
    <w:rsid w:val="0083153D"/>
    <w:rsid w:val="00831563"/>
    <w:rsid w:val="0083182B"/>
    <w:rsid w:val="008329F7"/>
    <w:rsid w:val="008332BD"/>
    <w:rsid w:val="00833425"/>
    <w:rsid w:val="0083375D"/>
    <w:rsid w:val="008338AA"/>
    <w:rsid w:val="00833C0C"/>
    <w:rsid w:val="008344AA"/>
    <w:rsid w:val="008345E1"/>
    <w:rsid w:val="0083485D"/>
    <w:rsid w:val="0083512D"/>
    <w:rsid w:val="008354B2"/>
    <w:rsid w:val="00835861"/>
    <w:rsid w:val="00835A8F"/>
    <w:rsid w:val="00835BEE"/>
    <w:rsid w:val="00835EE4"/>
    <w:rsid w:val="00835F87"/>
    <w:rsid w:val="008374EC"/>
    <w:rsid w:val="0083760A"/>
    <w:rsid w:val="00837C77"/>
    <w:rsid w:val="008402B9"/>
    <w:rsid w:val="008403EC"/>
    <w:rsid w:val="008416A8"/>
    <w:rsid w:val="0084198B"/>
    <w:rsid w:val="00842253"/>
    <w:rsid w:val="008422FD"/>
    <w:rsid w:val="00842398"/>
    <w:rsid w:val="008424DB"/>
    <w:rsid w:val="008427F0"/>
    <w:rsid w:val="0084335D"/>
    <w:rsid w:val="008435F5"/>
    <w:rsid w:val="00843F92"/>
    <w:rsid w:val="00844262"/>
    <w:rsid w:val="0084462A"/>
    <w:rsid w:val="00844783"/>
    <w:rsid w:val="00844B42"/>
    <w:rsid w:val="00844D80"/>
    <w:rsid w:val="0084593B"/>
    <w:rsid w:val="00845E0D"/>
    <w:rsid w:val="00845EF5"/>
    <w:rsid w:val="00845FE7"/>
    <w:rsid w:val="00846E53"/>
    <w:rsid w:val="00847A9F"/>
    <w:rsid w:val="008505C2"/>
    <w:rsid w:val="00850905"/>
    <w:rsid w:val="008509A9"/>
    <w:rsid w:val="008509D2"/>
    <w:rsid w:val="00851116"/>
    <w:rsid w:val="008516C7"/>
    <w:rsid w:val="0085176E"/>
    <w:rsid w:val="0085276C"/>
    <w:rsid w:val="00852854"/>
    <w:rsid w:val="00852E6B"/>
    <w:rsid w:val="00852EA9"/>
    <w:rsid w:val="00852EB3"/>
    <w:rsid w:val="00853231"/>
    <w:rsid w:val="0085328B"/>
    <w:rsid w:val="00853539"/>
    <w:rsid w:val="00854404"/>
    <w:rsid w:val="00854523"/>
    <w:rsid w:val="00854643"/>
    <w:rsid w:val="008546A3"/>
    <w:rsid w:val="00854C3D"/>
    <w:rsid w:val="00854CC0"/>
    <w:rsid w:val="008554E7"/>
    <w:rsid w:val="00855961"/>
    <w:rsid w:val="008559A9"/>
    <w:rsid w:val="00855B37"/>
    <w:rsid w:val="00855B6D"/>
    <w:rsid w:val="00856354"/>
    <w:rsid w:val="008567F3"/>
    <w:rsid w:val="00856A0D"/>
    <w:rsid w:val="00856ADE"/>
    <w:rsid w:val="00856C30"/>
    <w:rsid w:val="00856E07"/>
    <w:rsid w:val="00856F06"/>
    <w:rsid w:val="008575B0"/>
    <w:rsid w:val="008578E2"/>
    <w:rsid w:val="00857983"/>
    <w:rsid w:val="00860090"/>
    <w:rsid w:val="0086098D"/>
    <w:rsid w:val="0086102F"/>
    <w:rsid w:val="00861118"/>
    <w:rsid w:val="008616E4"/>
    <w:rsid w:val="0086186C"/>
    <w:rsid w:val="00861A2F"/>
    <w:rsid w:val="00861EC4"/>
    <w:rsid w:val="00862190"/>
    <w:rsid w:val="0086282F"/>
    <w:rsid w:val="00862D46"/>
    <w:rsid w:val="00862E75"/>
    <w:rsid w:val="00862F8C"/>
    <w:rsid w:val="008631D6"/>
    <w:rsid w:val="00863465"/>
    <w:rsid w:val="00863A4D"/>
    <w:rsid w:val="00863D0F"/>
    <w:rsid w:val="00864000"/>
    <w:rsid w:val="00864153"/>
    <w:rsid w:val="00864AC7"/>
    <w:rsid w:val="00864D37"/>
    <w:rsid w:val="008662E7"/>
    <w:rsid w:val="00866AE8"/>
    <w:rsid w:val="00866B94"/>
    <w:rsid w:val="00866CE8"/>
    <w:rsid w:val="00866CEB"/>
    <w:rsid w:val="00866E8D"/>
    <w:rsid w:val="00866ED8"/>
    <w:rsid w:val="00867163"/>
    <w:rsid w:val="008671AD"/>
    <w:rsid w:val="00867E08"/>
    <w:rsid w:val="00867E58"/>
    <w:rsid w:val="00870402"/>
    <w:rsid w:val="00870B0D"/>
    <w:rsid w:val="00870BA5"/>
    <w:rsid w:val="00870F9A"/>
    <w:rsid w:val="00871229"/>
    <w:rsid w:val="008724FE"/>
    <w:rsid w:val="00872B1D"/>
    <w:rsid w:val="00872E7E"/>
    <w:rsid w:val="008737D1"/>
    <w:rsid w:val="0087391F"/>
    <w:rsid w:val="00873E03"/>
    <w:rsid w:val="00873E7C"/>
    <w:rsid w:val="0087445F"/>
    <w:rsid w:val="00874ADE"/>
    <w:rsid w:val="00874F13"/>
    <w:rsid w:val="0087637D"/>
    <w:rsid w:val="0087662B"/>
    <w:rsid w:val="00876D03"/>
    <w:rsid w:val="00876EAE"/>
    <w:rsid w:val="00876FA7"/>
    <w:rsid w:val="00877313"/>
    <w:rsid w:val="00877659"/>
    <w:rsid w:val="008800C3"/>
    <w:rsid w:val="0088106F"/>
    <w:rsid w:val="0088118B"/>
    <w:rsid w:val="0088134D"/>
    <w:rsid w:val="00881397"/>
    <w:rsid w:val="0088145F"/>
    <w:rsid w:val="008818E1"/>
    <w:rsid w:val="008826BF"/>
    <w:rsid w:val="00882B7A"/>
    <w:rsid w:val="00882BFB"/>
    <w:rsid w:val="00883FD1"/>
    <w:rsid w:val="00884230"/>
    <w:rsid w:val="008845D9"/>
    <w:rsid w:val="0088462F"/>
    <w:rsid w:val="00884CBC"/>
    <w:rsid w:val="00884D5A"/>
    <w:rsid w:val="00884E84"/>
    <w:rsid w:val="00885C9A"/>
    <w:rsid w:val="00885E09"/>
    <w:rsid w:val="008869D1"/>
    <w:rsid w:val="00886EF1"/>
    <w:rsid w:val="0088709D"/>
    <w:rsid w:val="00887426"/>
    <w:rsid w:val="00890267"/>
    <w:rsid w:val="0089089F"/>
    <w:rsid w:val="00890BC6"/>
    <w:rsid w:val="00891485"/>
    <w:rsid w:val="008915D6"/>
    <w:rsid w:val="00891958"/>
    <w:rsid w:val="00891CAF"/>
    <w:rsid w:val="008921E9"/>
    <w:rsid w:val="008923B8"/>
    <w:rsid w:val="0089299F"/>
    <w:rsid w:val="00892B3A"/>
    <w:rsid w:val="00892EA6"/>
    <w:rsid w:val="008936B2"/>
    <w:rsid w:val="00893D3E"/>
    <w:rsid w:val="00893D79"/>
    <w:rsid w:val="00894541"/>
    <w:rsid w:val="0089487D"/>
    <w:rsid w:val="00894A92"/>
    <w:rsid w:val="008951DF"/>
    <w:rsid w:val="008953FF"/>
    <w:rsid w:val="00895CCE"/>
    <w:rsid w:val="00895D04"/>
    <w:rsid w:val="0089645C"/>
    <w:rsid w:val="0089683B"/>
    <w:rsid w:val="00896FBC"/>
    <w:rsid w:val="008970A4"/>
    <w:rsid w:val="00897804"/>
    <w:rsid w:val="008A02D7"/>
    <w:rsid w:val="008A1333"/>
    <w:rsid w:val="008A1BEC"/>
    <w:rsid w:val="008A1DF5"/>
    <w:rsid w:val="008A2162"/>
    <w:rsid w:val="008A245C"/>
    <w:rsid w:val="008A25F7"/>
    <w:rsid w:val="008A2A0F"/>
    <w:rsid w:val="008A2A1B"/>
    <w:rsid w:val="008A30E3"/>
    <w:rsid w:val="008A3212"/>
    <w:rsid w:val="008A3234"/>
    <w:rsid w:val="008A3588"/>
    <w:rsid w:val="008A3690"/>
    <w:rsid w:val="008A39C7"/>
    <w:rsid w:val="008A3CFF"/>
    <w:rsid w:val="008A3D89"/>
    <w:rsid w:val="008A3F2C"/>
    <w:rsid w:val="008A3FC9"/>
    <w:rsid w:val="008A41CC"/>
    <w:rsid w:val="008A431C"/>
    <w:rsid w:val="008A43AE"/>
    <w:rsid w:val="008A4731"/>
    <w:rsid w:val="008A4BB1"/>
    <w:rsid w:val="008A4E65"/>
    <w:rsid w:val="008A4EF3"/>
    <w:rsid w:val="008A529B"/>
    <w:rsid w:val="008A5768"/>
    <w:rsid w:val="008A6211"/>
    <w:rsid w:val="008A630B"/>
    <w:rsid w:val="008A6BBD"/>
    <w:rsid w:val="008A6BCF"/>
    <w:rsid w:val="008A6BE0"/>
    <w:rsid w:val="008A6E65"/>
    <w:rsid w:val="008A6E89"/>
    <w:rsid w:val="008A6ECF"/>
    <w:rsid w:val="008A736A"/>
    <w:rsid w:val="008A7529"/>
    <w:rsid w:val="008A77E9"/>
    <w:rsid w:val="008A78F7"/>
    <w:rsid w:val="008B0AF2"/>
    <w:rsid w:val="008B0CA2"/>
    <w:rsid w:val="008B1327"/>
    <w:rsid w:val="008B1423"/>
    <w:rsid w:val="008B16DB"/>
    <w:rsid w:val="008B205B"/>
    <w:rsid w:val="008B25C0"/>
    <w:rsid w:val="008B32C3"/>
    <w:rsid w:val="008B3629"/>
    <w:rsid w:val="008B39A6"/>
    <w:rsid w:val="008B44E9"/>
    <w:rsid w:val="008B4D48"/>
    <w:rsid w:val="008B58D9"/>
    <w:rsid w:val="008B58F3"/>
    <w:rsid w:val="008B63DF"/>
    <w:rsid w:val="008B69EC"/>
    <w:rsid w:val="008B6B74"/>
    <w:rsid w:val="008B6E67"/>
    <w:rsid w:val="008B7498"/>
    <w:rsid w:val="008B7E54"/>
    <w:rsid w:val="008B7F44"/>
    <w:rsid w:val="008B7F92"/>
    <w:rsid w:val="008C0138"/>
    <w:rsid w:val="008C0430"/>
    <w:rsid w:val="008C0574"/>
    <w:rsid w:val="008C0DDA"/>
    <w:rsid w:val="008C1068"/>
    <w:rsid w:val="008C15BF"/>
    <w:rsid w:val="008C19B0"/>
    <w:rsid w:val="008C246D"/>
    <w:rsid w:val="008C24B1"/>
    <w:rsid w:val="008C2CE4"/>
    <w:rsid w:val="008C3A4B"/>
    <w:rsid w:val="008C40CA"/>
    <w:rsid w:val="008C4247"/>
    <w:rsid w:val="008C549C"/>
    <w:rsid w:val="008C5551"/>
    <w:rsid w:val="008C5862"/>
    <w:rsid w:val="008C5936"/>
    <w:rsid w:val="008C5EEB"/>
    <w:rsid w:val="008C615B"/>
    <w:rsid w:val="008C630B"/>
    <w:rsid w:val="008C64D4"/>
    <w:rsid w:val="008C721D"/>
    <w:rsid w:val="008C726D"/>
    <w:rsid w:val="008C792B"/>
    <w:rsid w:val="008C79D3"/>
    <w:rsid w:val="008D13D7"/>
    <w:rsid w:val="008D1828"/>
    <w:rsid w:val="008D1F1E"/>
    <w:rsid w:val="008D2265"/>
    <w:rsid w:val="008D2417"/>
    <w:rsid w:val="008D25FF"/>
    <w:rsid w:val="008D269C"/>
    <w:rsid w:val="008D2840"/>
    <w:rsid w:val="008D2B71"/>
    <w:rsid w:val="008D2ED3"/>
    <w:rsid w:val="008D319C"/>
    <w:rsid w:val="008D32EE"/>
    <w:rsid w:val="008D383B"/>
    <w:rsid w:val="008D3B3D"/>
    <w:rsid w:val="008D41C8"/>
    <w:rsid w:val="008D485D"/>
    <w:rsid w:val="008D489A"/>
    <w:rsid w:val="008D4A1D"/>
    <w:rsid w:val="008D4D6B"/>
    <w:rsid w:val="008D4E88"/>
    <w:rsid w:val="008D54E8"/>
    <w:rsid w:val="008D57C9"/>
    <w:rsid w:val="008D626E"/>
    <w:rsid w:val="008D6524"/>
    <w:rsid w:val="008D67B8"/>
    <w:rsid w:val="008D67FC"/>
    <w:rsid w:val="008D6C75"/>
    <w:rsid w:val="008D6FA7"/>
    <w:rsid w:val="008D703E"/>
    <w:rsid w:val="008D7231"/>
    <w:rsid w:val="008D72FC"/>
    <w:rsid w:val="008D753E"/>
    <w:rsid w:val="008D7565"/>
    <w:rsid w:val="008D792D"/>
    <w:rsid w:val="008D79C1"/>
    <w:rsid w:val="008D7AFA"/>
    <w:rsid w:val="008E042E"/>
    <w:rsid w:val="008E0664"/>
    <w:rsid w:val="008E06BB"/>
    <w:rsid w:val="008E0C2A"/>
    <w:rsid w:val="008E0D03"/>
    <w:rsid w:val="008E0EFF"/>
    <w:rsid w:val="008E0F10"/>
    <w:rsid w:val="008E19B1"/>
    <w:rsid w:val="008E2A50"/>
    <w:rsid w:val="008E3019"/>
    <w:rsid w:val="008E3879"/>
    <w:rsid w:val="008E3C07"/>
    <w:rsid w:val="008E3F24"/>
    <w:rsid w:val="008E3F69"/>
    <w:rsid w:val="008E4146"/>
    <w:rsid w:val="008E459C"/>
    <w:rsid w:val="008E4778"/>
    <w:rsid w:val="008E47C7"/>
    <w:rsid w:val="008E4863"/>
    <w:rsid w:val="008E49CB"/>
    <w:rsid w:val="008E4B8A"/>
    <w:rsid w:val="008E4DA1"/>
    <w:rsid w:val="008E5522"/>
    <w:rsid w:val="008E59A3"/>
    <w:rsid w:val="008E5E03"/>
    <w:rsid w:val="008E6067"/>
    <w:rsid w:val="008E6305"/>
    <w:rsid w:val="008E68AC"/>
    <w:rsid w:val="008E6ECF"/>
    <w:rsid w:val="008E73F7"/>
    <w:rsid w:val="008E7FAC"/>
    <w:rsid w:val="008F0AB7"/>
    <w:rsid w:val="008F0CE3"/>
    <w:rsid w:val="008F10FD"/>
    <w:rsid w:val="008F1831"/>
    <w:rsid w:val="008F187E"/>
    <w:rsid w:val="008F23CE"/>
    <w:rsid w:val="008F2BC5"/>
    <w:rsid w:val="008F2F56"/>
    <w:rsid w:val="008F34B8"/>
    <w:rsid w:val="008F3D99"/>
    <w:rsid w:val="008F3DED"/>
    <w:rsid w:val="008F3F1C"/>
    <w:rsid w:val="008F3FBB"/>
    <w:rsid w:val="008F4377"/>
    <w:rsid w:val="008F44AF"/>
    <w:rsid w:val="008F4B5E"/>
    <w:rsid w:val="008F503E"/>
    <w:rsid w:val="008F5505"/>
    <w:rsid w:val="008F5923"/>
    <w:rsid w:val="008F5AEE"/>
    <w:rsid w:val="008F6075"/>
    <w:rsid w:val="008F60EB"/>
    <w:rsid w:val="008F637C"/>
    <w:rsid w:val="008F6541"/>
    <w:rsid w:val="008F6AF9"/>
    <w:rsid w:val="008F6B0C"/>
    <w:rsid w:val="008F709F"/>
    <w:rsid w:val="008F78B7"/>
    <w:rsid w:val="008F7B4A"/>
    <w:rsid w:val="008F7E1E"/>
    <w:rsid w:val="009000EF"/>
    <w:rsid w:val="00900152"/>
    <w:rsid w:val="00900DE0"/>
    <w:rsid w:val="0090104F"/>
    <w:rsid w:val="00901C12"/>
    <w:rsid w:val="00901E0C"/>
    <w:rsid w:val="009020F8"/>
    <w:rsid w:val="009027E9"/>
    <w:rsid w:val="0090367C"/>
    <w:rsid w:val="00903C00"/>
    <w:rsid w:val="00903E85"/>
    <w:rsid w:val="0090425E"/>
    <w:rsid w:val="009042F3"/>
    <w:rsid w:val="0090472E"/>
    <w:rsid w:val="00904A26"/>
    <w:rsid w:val="00904B8C"/>
    <w:rsid w:val="00904D62"/>
    <w:rsid w:val="00904F54"/>
    <w:rsid w:val="00905775"/>
    <w:rsid w:val="009062AB"/>
    <w:rsid w:val="009062B3"/>
    <w:rsid w:val="009065A9"/>
    <w:rsid w:val="00906F6F"/>
    <w:rsid w:val="009070B8"/>
    <w:rsid w:val="00907528"/>
    <w:rsid w:val="0090775F"/>
    <w:rsid w:val="00907AF7"/>
    <w:rsid w:val="0091050F"/>
    <w:rsid w:val="009106BD"/>
    <w:rsid w:val="00910792"/>
    <w:rsid w:val="009108EF"/>
    <w:rsid w:val="009109D9"/>
    <w:rsid w:val="00910EA2"/>
    <w:rsid w:val="0091108B"/>
    <w:rsid w:val="0091113E"/>
    <w:rsid w:val="009120EB"/>
    <w:rsid w:val="00912435"/>
    <w:rsid w:val="00912542"/>
    <w:rsid w:val="0091277A"/>
    <w:rsid w:val="00912F64"/>
    <w:rsid w:val="00913062"/>
    <w:rsid w:val="00913AA4"/>
    <w:rsid w:val="00913EF1"/>
    <w:rsid w:val="009147D4"/>
    <w:rsid w:val="00914D7E"/>
    <w:rsid w:val="00915353"/>
    <w:rsid w:val="009154D0"/>
    <w:rsid w:val="009154EC"/>
    <w:rsid w:val="0091560C"/>
    <w:rsid w:val="009156A3"/>
    <w:rsid w:val="00915F40"/>
    <w:rsid w:val="00916209"/>
    <w:rsid w:val="00916830"/>
    <w:rsid w:val="00916D0F"/>
    <w:rsid w:val="00916F2E"/>
    <w:rsid w:val="00917201"/>
    <w:rsid w:val="00917A49"/>
    <w:rsid w:val="00920137"/>
    <w:rsid w:val="009202C2"/>
    <w:rsid w:val="00920390"/>
    <w:rsid w:val="00920411"/>
    <w:rsid w:val="00920819"/>
    <w:rsid w:val="00920AEB"/>
    <w:rsid w:val="00920ECB"/>
    <w:rsid w:val="00920EF1"/>
    <w:rsid w:val="0092143A"/>
    <w:rsid w:val="00921C45"/>
    <w:rsid w:val="009223BE"/>
    <w:rsid w:val="0092252E"/>
    <w:rsid w:val="00922879"/>
    <w:rsid w:val="0092361E"/>
    <w:rsid w:val="009237B9"/>
    <w:rsid w:val="0092383C"/>
    <w:rsid w:val="00923DF3"/>
    <w:rsid w:val="009240BD"/>
    <w:rsid w:val="009240D5"/>
    <w:rsid w:val="00924100"/>
    <w:rsid w:val="0092430A"/>
    <w:rsid w:val="009246A4"/>
    <w:rsid w:val="00924F6B"/>
    <w:rsid w:val="00925126"/>
    <w:rsid w:val="00925460"/>
    <w:rsid w:val="009254D4"/>
    <w:rsid w:val="009254FB"/>
    <w:rsid w:val="00925660"/>
    <w:rsid w:val="00925F09"/>
    <w:rsid w:val="009265D9"/>
    <w:rsid w:val="00926749"/>
    <w:rsid w:val="009267BC"/>
    <w:rsid w:val="009268D8"/>
    <w:rsid w:val="009268F9"/>
    <w:rsid w:val="00926D0D"/>
    <w:rsid w:val="0092778D"/>
    <w:rsid w:val="00927DA4"/>
    <w:rsid w:val="0093046A"/>
    <w:rsid w:val="009304E5"/>
    <w:rsid w:val="00930591"/>
    <w:rsid w:val="00930942"/>
    <w:rsid w:val="00930B78"/>
    <w:rsid w:val="0093105A"/>
    <w:rsid w:val="009313D1"/>
    <w:rsid w:val="00931A90"/>
    <w:rsid w:val="009329BA"/>
    <w:rsid w:val="00932F68"/>
    <w:rsid w:val="009332A4"/>
    <w:rsid w:val="00933AEF"/>
    <w:rsid w:val="00933F1D"/>
    <w:rsid w:val="00933FD3"/>
    <w:rsid w:val="00934474"/>
    <w:rsid w:val="00934C1B"/>
    <w:rsid w:val="00934C9A"/>
    <w:rsid w:val="00934DD3"/>
    <w:rsid w:val="00934F45"/>
    <w:rsid w:val="0093589D"/>
    <w:rsid w:val="009360EE"/>
    <w:rsid w:val="009362D9"/>
    <w:rsid w:val="00936455"/>
    <w:rsid w:val="009366EE"/>
    <w:rsid w:val="00936904"/>
    <w:rsid w:val="009404EE"/>
    <w:rsid w:val="009407AB"/>
    <w:rsid w:val="00941403"/>
    <w:rsid w:val="009420D6"/>
    <w:rsid w:val="009421CF"/>
    <w:rsid w:val="00942485"/>
    <w:rsid w:val="009426BA"/>
    <w:rsid w:val="00942923"/>
    <w:rsid w:val="009429FB"/>
    <w:rsid w:val="00942DAF"/>
    <w:rsid w:val="00942EF2"/>
    <w:rsid w:val="009430FD"/>
    <w:rsid w:val="0094352B"/>
    <w:rsid w:val="00943940"/>
    <w:rsid w:val="00943D27"/>
    <w:rsid w:val="00943F6B"/>
    <w:rsid w:val="0094439A"/>
    <w:rsid w:val="00944574"/>
    <w:rsid w:val="00944B5A"/>
    <w:rsid w:val="00944E50"/>
    <w:rsid w:val="00945789"/>
    <w:rsid w:val="0094586F"/>
    <w:rsid w:val="00945C04"/>
    <w:rsid w:val="00945E21"/>
    <w:rsid w:val="00945FC2"/>
    <w:rsid w:val="00946742"/>
    <w:rsid w:val="009469C9"/>
    <w:rsid w:val="00946A91"/>
    <w:rsid w:val="00946C0B"/>
    <w:rsid w:val="009479CF"/>
    <w:rsid w:val="00947C51"/>
    <w:rsid w:val="009502DE"/>
    <w:rsid w:val="00950369"/>
    <w:rsid w:val="00950C2E"/>
    <w:rsid w:val="00950F36"/>
    <w:rsid w:val="0095159E"/>
    <w:rsid w:val="009515BB"/>
    <w:rsid w:val="00951C38"/>
    <w:rsid w:val="00951D9A"/>
    <w:rsid w:val="00952535"/>
    <w:rsid w:val="009531E6"/>
    <w:rsid w:val="00953449"/>
    <w:rsid w:val="0095370F"/>
    <w:rsid w:val="00954324"/>
    <w:rsid w:val="00954666"/>
    <w:rsid w:val="00954B43"/>
    <w:rsid w:val="00954CF4"/>
    <w:rsid w:val="00955730"/>
    <w:rsid w:val="00955990"/>
    <w:rsid w:val="00955D44"/>
    <w:rsid w:val="00956123"/>
    <w:rsid w:val="00956B39"/>
    <w:rsid w:val="00956D3D"/>
    <w:rsid w:val="00956ECA"/>
    <w:rsid w:val="009573C7"/>
    <w:rsid w:val="00957B11"/>
    <w:rsid w:val="00957C31"/>
    <w:rsid w:val="009602AE"/>
    <w:rsid w:val="00960314"/>
    <w:rsid w:val="0096035D"/>
    <w:rsid w:val="009609AD"/>
    <w:rsid w:val="00960A0D"/>
    <w:rsid w:val="00960CFE"/>
    <w:rsid w:val="009613D7"/>
    <w:rsid w:val="00961C43"/>
    <w:rsid w:val="00961FF4"/>
    <w:rsid w:val="00962324"/>
    <w:rsid w:val="00962E42"/>
    <w:rsid w:val="00962E82"/>
    <w:rsid w:val="00963476"/>
    <w:rsid w:val="009638D3"/>
    <w:rsid w:val="00963C7D"/>
    <w:rsid w:val="00964C2B"/>
    <w:rsid w:val="009654BF"/>
    <w:rsid w:val="00965AE3"/>
    <w:rsid w:val="00965B5E"/>
    <w:rsid w:val="0096688F"/>
    <w:rsid w:val="00966BA4"/>
    <w:rsid w:val="00966BEB"/>
    <w:rsid w:val="009676B8"/>
    <w:rsid w:val="0096795F"/>
    <w:rsid w:val="00970AD8"/>
    <w:rsid w:val="00970D08"/>
    <w:rsid w:val="00970F0C"/>
    <w:rsid w:val="00971033"/>
    <w:rsid w:val="00971B79"/>
    <w:rsid w:val="00971ED3"/>
    <w:rsid w:val="00971FE8"/>
    <w:rsid w:val="00972A87"/>
    <w:rsid w:val="00972DF7"/>
    <w:rsid w:val="009734BB"/>
    <w:rsid w:val="00973520"/>
    <w:rsid w:val="009740D8"/>
    <w:rsid w:val="009741B4"/>
    <w:rsid w:val="0097422C"/>
    <w:rsid w:val="009745A2"/>
    <w:rsid w:val="00974A5D"/>
    <w:rsid w:val="00974B33"/>
    <w:rsid w:val="00974E56"/>
    <w:rsid w:val="00974EF9"/>
    <w:rsid w:val="009750DB"/>
    <w:rsid w:val="009753B2"/>
    <w:rsid w:val="00975B1D"/>
    <w:rsid w:val="00976333"/>
    <w:rsid w:val="0097693D"/>
    <w:rsid w:val="00977278"/>
    <w:rsid w:val="009773CA"/>
    <w:rsid w:val="00977A03"/>
    <w:rsid w:val="00980060"/>
    <w:rsid w:val="009806D6"/>
    <w:rsid w:val="00980A6F"/>
    <w:rsid w:val="00980C65"/>
    <w:rsid w:val="00980DA7"/>
    <w:rsid w:val="00980E11"/>
    <w:rsid w:val="00981923"/>
    <w:rsid w:val="00981C5D"/>
    <w:rsid w:val="00981CE2"/>
    <w:rsid w:val="00981DEC"/>
    <w:rsid w:val="00981E29"/>
    <w:rsid w:val="00981E9E"/>
    <w:rsid w:val="00982A35"/>
    <w:rsid w:val="009832CF"/>
    <w:rsid w:val="00983635"/>
    <w:rsid w:val="00983771"/>
    <w:rsid w:val="00983B14"/>
    <w:rsid w:val="00984118"/>
    <w:rsid w:val="0098471A"/>
    <w:rsid w:val="00984A3F"/>
    <w:rsid w:val="00984CAB"/>
    <w:rsid w:val="009857DC"/>
    <w:rsid w:val="00986200"/>
    <w:rsid w:val="009864E9"/>
    <w:rsid w:val="009869DC"/>
    <w:rsid w:val="009870B6"/>
    <w:rsid w:val="00987189"/>
    <w:rsid w:val="0098738A"/>
    <w:rsid w:val="009875AE"/>
    <w:rsid w:val="009875C2"/>
    <w:rsid w:val="009903B1"/>
    <w:rsid w:val="00990462"/>
    <w:rsid w:val="00990EC5"/>
    <w:rsid w:val="0099103A"/>
    <w:rsid w:val="00991148"/>
    <w:rsid w:val="00991335"/>
    <w:rsid w:val="00991506"/>
    <w:rsid w:val="00991524"/>
    <w:rsid w:val="009915B1"/>
    <w:rsid w:val="009919B9"/>
    <w:rsid w:val="009925F4"/>
    <w:rsid w:val="009928AC"/>
    <w:rsid w:val="00993055"/>
    <w:rsid w:val="009933E3"/>
    <w:rsid w:val="009935C3"/>
    <w:rsid w:val="0099375D"/>
    <w:rsid w:val="00993A51"/>
    <w:rsid w:val="00993BE6"/>
    <w:rsid w:val="00994242"/>
    <w:rsid w:val="00994940"/>
    <w:rsid w:val="00994A5B"/>
    <w:rsid w:val="009950E2"/>
    <w:rsid w:val="009950EB"/>
    <w:rsid w:val="009950F9"/>
    <w:rsid w:val="00995827"/>
    <w:rsid w:val="009958DF"/>
    <w:rsid w:val="0099655A"/>
    <w:rsid w:val="009966C9"/>
    <w:rsid w:val="0099689F"/>
    <w:rsid w:val="00996A41"/>
    <w:rsid w:val="009974B1"/>
    <w:rsid w:val="009974FF"/>
    <w:rsid w:val="009976E4"/>
    <w:rsid w:val="009978F9"/>
    <w:rsid w:val="00997BF7"/>
    <w:rsid w:val="00997E1A"/>
    <w:rsid w:val="009A00E8"/>
    <w:rsid w:val="009A09B0"/>
    <w:rsid w:val="009A0BAB"/>
    <w:rsid w:val="009A0DD0"/>
    <w:rsid w:val="009A0FE3"/>
    <w:rsid w:val="009A10E2"/>
    <w:rsid w:val="009A1562"/>
    <w:rsid w:val="009A1A1B"/>
    <w:rsid w:val="009A1BC0"/>
    <w:rsid w:val="009A1D5B"/>
    <w:rsid w:val="009A28E2"/>
    <w:rsid w:val="009A2EC2"/>
    <w:rsid w:val="009A2FA3"/>
    <w:rsid w:val="009A3023"/>
    <w:rsid w:val="009A316E"/>
    <w:rsid w:val="009A3202"/>
    <w:rsid w:val="009A410C"/>
    <w:rsid w:val="009A423B"/>
    <w:rsid w:val="009A4C6C"/>
    <w:rsid w:val="009A583F"/>
    <w:rsid w:val="009A5BC5"/>
    <w:rsid w:val="009A613C"/>
    <w:rsid w:val="009A6677"/>
    <w:rsid w:val="009A7531"/>
    <w:rsid w:val="009A7DBF"/>
    <w:rsid w:val="009B00C9"/>
    <w:rsid w:val="009B00CB"/>
    <w:rsid w:val="009B0B89"/>
    <w:rsid w:val="009B1D60"/>
    <w:rsid w:val="009B1DA6"/>
    <w:rsid w:val="009B2460"/>
    <w:rsid w:val="009B27FE"/>
    <w:rsid w:val="009B303F"/>
    <w:rsid w:val="009B3270"/>
    <w:rsid w:val="009B3623"/>
    <w:rsid w:val="009B389B"/>
    <w:rsid w:val="009B38B6"/>
    <w:rsid w:val="009B3D9B"/>
    <w:rsid w:val="009B45C1"/>
    <w:rsid w:val="009B4637"/>
    <w:rsid w:val="009B463D"/>
    <w:rsid w:val="009B507A"/>
    <w:rsid w:val="009B50C5"/>
    <w:rsid w:val="009B511C"/>
    <w:rsid w:val="009B54A4"/>
    <w:rsid w:val="009B567B"/>
    <w:rsid w:val="009B5967"/>
    <w:rsid w:val="009B5AF6"/>
    <w:rsid w:val="009B5B59"/>
    <w:rsid w:val="009B5E3E"/>
    <w:rsid w:val="009B6F23"/>
    <w:rsid w:val="009B7B4B"/>
    <w:rsid w:val="009B7C35"/>
    <w:rsid w:val="009B7D31"/>
    <w:rsid w:val="009B7DC9"/>
    <w:rsid w:val="009C029F"/>
    <w:rsid w:val="009C0E83"/>
    <w:rsid w:val="009C1350"/>
    <w:rsid w:val="009C20B4"/>
    <w:rsid w:val="009C230B"/>
    <w:rsid w:val="009C325E"/>
    <w:rsid w:val="009C3A39"/>
    <w:rsid w:val="009C41A5"/>
    <w:rsid w:val="009C460B"/>
    <w:rsid w:val="009C5212"/>
    <w:rsid w:val="009C554C"/>
    <w:rsid w:val="009C5809"/>
    <w:rsid w:val="009C5E4A"/>
    <w:rsid w:val="009C5F66"/>
    <w:rsid w:val="009C60B0"/>
    <w:rsid w:val="009C63B2"/>
    <w:rsid w:val="009C6606"/>
    <w:rsid w:val="009C6A84"/>
    <w:rsid w:val="009C6BFF"/>
    <w:rsid w:val="009C6EE4"/>
    <w:rsid w:val="009C7653"/>
    <w:rsid w:val="009D02E1"/>
    <w:rsid w:val="009D02EC"/>
    <w:rsid w:val="009D0419"/>
    <w:rsid w:val="009D0510"/>
    <w:rsid w:val="009D0A5C"/>
    <w:rsid w:val="009D0E9C"/>
    <w:rsid w:val="009D124A"/>
    <w:rsid w:val="009D1416"/>
    <w:rsid w:val="009D14AC"/>
    <w:rsid w:val="009D17BC"/>
    <w:rsid w:val="009D17E9"/>
    <w:rsid w:val="009D1FA8"/>
    <w:rsid w:val="009D2C8A"/>
    <w:rsid w:val="009D2C93"/>
    <w:rsid w:val="009D2E8F"/>
    <w:rsid w:val="009D368E"/>
    <w:rsid w:val="009D3E9E"/>
    <w:rsid w:val="009D4157"/>
    <w:rsid w:val="009D4D50"/>
    <w:rsid w:val="009D4E58"/>
    <w:rsid w:val="009D4FCB"/>
    <w:rsid w:val="009D5008"/>
    <w:rsid w:val="009D52B2"/>
    <w:rsid w:val="009D5332"/>
    <w:rsid w:val="009D559F"/>
    <w:rsid w:val="009D5A4B"/>
    <w:rsid w:val="009D613D"/>
    <w:rsid w:val="009D6336"/>
    <w:rsid w:val="009D649C"/>
    <w:rsid w:val="009D6AE6"/>
    <w:rsid w:val="009D6F96"/>
    <w:rsid w:val="009D74A0"/>
    <w:rsid w:val="009D76F6"/>
    <w:rsid w:val="009D7D07"/>
    <w:rsid w:val="009D7D8D"/>
    <w:rsid w:val="009D7ED9"/>
    <w:rsid w:val="009E03FA"/>
    <w:rsid w:val="009E04DA"/>
    <w:rsid w:val="009E05D1"/>
    <w:rsid w:val="009E0609"/>
    <w:rsid w:val="009E09BA"/>
    <w:rsid w:val="009E10EB"/>
    <w:rsid w:val="009E24EA"/>
    <w:rsid w:val="009E2E56"/>
    <w:rsid w:val="009E2F55"/>
    <w:rsid w:val="009E31C1"/>
    <w:rsid w:val="009E32C6"/>
    <w:rsid w:val="009E371C"/>
    <w:rsid w:val="009E3820"/>
    <w:rsid w:val="009E3D2F"/>
    <w:rsid w:val="009E414B"/>
    <w:rsid w:val="009E436F"/>
    <w:rsid w:val="009E45DF"/>
    <w:rsid w:val="009E4B7A"/>
    <w:rsid w:val="009E4D1D"/>
    <w:rsid w:val="009E4FD3"/>
    <w:rsid w:val="009E5045"/>
    <w:rsid w:val="009E55C8"/>
    <w:rsid w:val="009E5703"/>
    <w:rsid w:val="009E59DC"/>
    <w:rsid w:val="009E5A47"/>
    <w:rsid w:val="009E63A2"/>
    <w:rsid w:val="009E66C9"/>
    <w:rsid w:val="009E68BE"/>
    <w:rsid w:val="009E691E"/>
    <w:rsid w:val="009E69F9"/>
    <w:rsid w:val="009E6AF1"/>
    <w:rsid w:val="009E6DF0"/>
    <w:rsid w:val="009E712A"/>
    <w:rsid w:val="009E7348"/>
    <w:rsid w:val="009E7703"/>
    <w:rsid w:val="009E7A52"/>
    <w:rsid w:val="009E7EF5"/>
    <w:rsid w:val="009F0435"/>
    <w:rsid w:val="009F061C"/>
    <w:rsid w:val="009F08CA"/>
    <w:rsid w:val="009F0BA8"/>
    <w:rsid w:val="009F1211"/>
    <w:rsid w:val="009F1E95"/>
    <w:rsid w:val="009F21FC"/>
    <w:rsid w:val="009F263B"/>
    <w:rsid w:val="009F2983"/>
    <w:rsid w:val="009F3194"/>
    <w:rsid w:val="009F32B2"/>
    <w:rsid w:val="009F4540"/>
    <w:rsid w:val="009F583E"/>
    <w:rsid w:val="009F5B29"/>
    <w:rsid w:val="009F5DC7"/>
    <w:rsid w:val="009F5DE0"/>
    <w:rsid w:val="009F6801"/>
    <w:rsid w:val="009F6B96"/>
    <w:rsid w:val="009F6C18"/>
    <w:rsid w:val="009F6FA6"/>
    <w:rsid w:val="009F717F"/>
    <w:rsid w:val="009F7336"/>
    <w:rsid w:val="009F75FA"/>
    <w:rsid w:val="009F7C69"/>
    <w:rsid w:val="009F7DFD"/>
    <w:rsid w:val="00A00459"/>
    <w:rsid w:val="00A00560"/>
    <w:rsid w:val="00A014F4"/>
    <w:rsid w:val="00A01655"/>
    <w:rsid w:val="00A01928"/>
    <w:rsid w:val="00A019F8"/>
    <w:rsid w:val="00A01AE2"/>
    <w:rsid w:val="00A021CE"/>
    <w:rsid w:val="00A029A3"/>
    <w:rsid w:val="00A02AC2"/>
    <w:rsid w:val="00A02D6B"/>
    <w:rsid w:val="00A03361"/>
    <w:rsid w:val="00A04C01"/>
    <w:rsid w:val="00A0597A"/>
    <w:rsid w:val="00A05CAE"/>
    <w:rsid w:val="00A061E8"/>
    <w:rsid w:val="00A06498"/>
    <w:rsid w:val="00A06587"/>
    <w:rsid w:val="00A06FFB"/>
    <w:rsid w:val="00A074D4"/>
    <w:rsid w:val="00A07728"/>
    <w:rsid w:val="00A07796"/>
    <w:rsid w:val="00A0784C"/>
    <w:rsid w:val="00A07BB0"/>
    <w:rsid w:val="00A10930"/>
    <w:rsid w:val="00A11085"/>
    <w:rsid w:val="00A1120E"/>
    <w:rsid w:val="00A11A26"/>
    <w:rsid w:val="00A11C10"/>
    <w:rsid w:val="00A122A5"/>
    <w:rsid w:val="00A123EF"/>
    <w:rsid w:val="00A124D6"/>
    <w:rsid w:val="00A125B5"/>
    <w:rsid w:val="00A125FC"/>
    <w:rsid w:val="00A12848"/>
    <w:rsid w:val="00A12925"/>
    <w:rsid w:val="00A12C75"/>
    <w:rsid w:val="00A13080"/>
    <w:rsid w:val="00A132A7"/>
    <w:rsid w:val="00A13600"/>
    <w:rsid w:val="00A137E4"/>
    <w:rsid w:val="00A13877"/>
    <w:rsid w:val="00A13885"/>
    <w:rsid w:val="00A13B2C"/>
    <w:rsid w:val="00A13E9E"/>
    <w:rsid w:val="00A14464"/>
    <w:rsid w:val="00A14835"/>
    <w:rsid w:val="00A14A25"/>
    <w:rsid w:val="00A15113"/>
    <w:rsid w:val="00A1605F"/>
    <w:rsid w:val="00A16454"/>
    <w:rsid w:val="00A1695F"/>
    <w:rsid w:val="00A169D3"/>
    <w:rsid w:val="00A16F23"/>
    <w:rsid w:val="00A1706D"/>
    <w:rsid w:val="00A1713B"/>
    <w:rsid w:val="00A1739F"/>
    <w:rsid w:val="00A173AA"/>
    <w:rsid w:val="00A176B5"/>
    <w:rsid w:val="00A17AD6"/>
    <w:rsid w:val="00A17C28"/>
    <w:rsid w:val="00A17D71"/>
    <w:rsid w:val="00A17F34"/>
    <w:rsid w:val="00A20037"/>
    <w:rsid w:val="00A21095"/>
    <w:rsid w:val="00A213A9"/>
    <w:rsid w:val="00A214EE"/>
    <w:rsid w:val="00A21579"/>
    <w:rsid w:val="00A21882"/>
    <w:rsid w:val="00A21D18"/>
    <w:rsid w:val="00A21E09"/>
    <w:rsid w:val="00A22227"/>
    <w:rsid w:val="00A22924"/>
    <w:rsid w:val="00A233E9"/>
    <w:rsid w:val="00A238A1"/>
    <w:rsid w:val="00A23AF0"/>
    <w:rsid w:val="00A23F40"/>
    <w:rsid w:val="00A24B14"/>
    <w:rsid w:val="00A24E1E"/>
    <w:rsid w:val="00A25DB4"/>
    <w:rsid w:val="00A25E12"/>
    <w:rsid w:val="00A26222"/>
    <w:rsid w:val="00A26637"/>
    <w:rsid w:val="00A266ED"/>
    <w:rsid w:val="00A26DE7"/>
    <w:rsid w:val="00A2710B"/>
    <w:rsid w:val="00A30450"/>
    <w:rsid w:val="00A31B4B"/>
    <w:rsid w:val="00A31B8F"/>
    <w:rsid w:val="00A32185"/>
    <w:rsid w:val="00A32F6A"/>
    <w:rsid w:val="00A338E2"/>
    <w:rsid w:val="00A33C3B"/>
    <w:rsid w:val="00A33D3C"/>
    <w:rsid w:val="00A3427F"/>
    <w:rsid w:val="00A343C2"/>
    <w:rsid w:val="00A34A29"/>
    <w:rsid w:val="00A34B3E"/>
    <w:rsid w:val="00A353F1"/>
    <w:rsid w:val="00A36276"/>
    <w:rsid w:val="00A367B7"/>
    <w:rsid w:val="00A369E1"/>
    <w:rsid w:val="00A36D67"/>
    <w:rsid w:val="00A370BD"/>
    <w:rsid w:val="00A37163"/>
    <w:rsid w:val="00A409FD"/>
    <w:rsid w:val="00A40EEB"/>
    <w:rsid w:val="00A41165"/>
    <w:rsid w:val="00A4162A"/>
    <w:rsid w:val="00A41813"/>
    <w:rsid w:val="00A418C9"/>
    <w:rsid w:val="00A41C4D"/>
    <w:rsid w:val="00A41DA0"/>
    <w:rsid w:val="00A41E08"/>
    <w:rsid w:val="00A41F73"/>
    <w:rsid w:val="00A420E6"/>
    <w:rsid w:val="00A426BE"/>
    <w:rsid w:val="00A42B54"/>
    <w:rsid w:val="00A42C29"/>
    <w:rsid w:val="00A42E76"/>
    <w:rsid w:val="00A432E1"/>
    <w:rsid w:val="00A43357"/>
    <w:rsid w:val="00A434FA"/>
    <w:rsid w:val="00A4351D"/>
    <w:rsid w:val="00A436A2"/>
    <w:rsid w:val="00A43E77"/>
    <w:rsid w:val="00A441BD"/>
    <w:rsid w:val="00A442AD"/>
    <w:rsid w:val="00A44F68"/>
    <w:rsid w:val="00A44FD7"/>
    <w:rsid w:val="00A45364"/>
    <w:rsid w:val="00A45399"/>
    <w:rsid w:val="00A454E6"/>
    <w:rsid w:val="00A45DB8"/>
    <w:rsid w:val="00A46089"/>
    <w:rsid w:val="00A46CCB"/>
    <w:rsid w:val="00A4717F"/>
    <w:rsid w:val="00A47586"/>
    <w:rsid w:val="00A476CC"/>
    <w:rsid w:val="00A5022A"/>
    <w:rsid w:val="00A5027A"/>
    <w:rsid w:val="00A504FC"/>
    <w:rsid w:val="00A508CA"/>
    <w:rsid w:val="00A50919"/>
    <w:rsid w:val="00A50B7D"/>
    <w:rsid w:val="00A50D74"/>
    <w:rsid w:val="00A510F6"/>
    <w:rsid w:val="00A51585"/>
    <w:rsid w:val="00A522A5"/>
    <w:rsid w:val="00A53331"/>
    <w:rsid w:val="00A5366E"/>
    <w:rsid w:val="00A5388D"/>
    <w:rsid w:val="00A53CCB"/>
    <w:rsid w:val="00A53EF8"/>
    <w:rsid w:val="00A54109"/>
    <w:rsid w:val="00A5442D"/>
    <w:rsid w:val="00A54460"/>
    <w:rsid w:val="00A54CE9"/>
    <w:rsid w:val="00A54E54"/>
    <w:rsid w:val="00A55032"/>
    <w:rsid w:val="00A55386"/>
    <w:rsid w:val="00A561FB"/>
    <w:rsid w:val="00A56A6F"/>
    <w:rsid w:val="00A56F03"/>
    <w:rsid w:val="00A57A57"/>
    <w:rsid w:val="00A57ABA"/>
    <w:rsid w:val="00A57ED5"/>
    <w:rsid w:val="00A60364"/>
    <w:rsid w:val="00A6042E"/>
    <w:rsid w:val="00A605C9"/>
    <w:rsid w:val="00A6099C"/>
    <w:rsid w:val="00A60E79"/>
    <w:rsid w:val="00A610DD"/>
    <w:rsid w:val="00A61CEB"/>
    <w:rsid w:val="00A61D3D"/>
    <w:rsid w:val="00A61D80"/>
    <w:rsid w:val="00A61FE2"/>
    <w:rsid w:val="00A6200D"/>
    <w:rsid w:val="00A6266C"/>
    <w:rsid w:val="00A628CD"/>
    <w:rsid w:val="00A62CAF"/>
    <w:rsid w:val="00A62E41"/>
    <w:rsid w:val="00A62EB5"/>
    <w:rsid w:val="00A63199"/>
    <w:rsid w:val="00A6344C"/>
    <w:rsid w:val="00A635B3"/>
    <w:rsid w:val="00A635F7"/>
    <w:rsid w:val="00A63831"/>
    <w:rsid w:val="00A63B2B"/>
    <w:rsid w:val="00A64CB9"/>
    <w:rsid w:val="00A65BE7"/>
    <w:rsid w:val="00A66421"/>
    <w:rsid w:val="00A66785"/>
    <w:rsid w:val="00A667E2"/>
    <w:rsid w:val="00A67AD9"/>
    <w:rsid w:val="00A706A3"/>
    <w:rsid w:val="00A70992"/>
    <w:rsid w:val="00A70C8E"/>
    <w:rsid w:val="00A70CF4"/>
    <w:rsid w:val="00A70DD7"/>
    <w:rsid w:val="00A720C8"/>
    <w:rsid w:val="00A723AD"/>
    <w:rsid w:val="00A72F14"/>
    <w:rsid w:val="00A73028"/>
    <w:rsid w:val="00A7320C"/>
    <w:rsid w:val="00A73B7B"/>
    <w:rsid w:val="00A73E76"/>
    <w:rsid w:val="00A73E89"/>
    <w:rsid w:val="00A74C84"/>
    <w:rsid w:val="00A74F3C"/>
    <w:rsid w:val="00A752CC"/>
    <w:rsid w:val="00A755D0"/>
    <w:rsid w:val="00A756D0"/>
    <w:rsid w:val="00A75A0C"/>
    <w:rsid w:val="00A75B05"/>
    <w:rsid w:val="00A77162"/>
    <w:rsid w:val="00A771CF"/>
    <w:rsid w:val="00A77292"/>
    <w:rsid w:val="00A772FD"/>
    <w:rsid w:val="00A775FC"/>
    <w:rsid w:val="00A77721"/>
    <w:rsid w:val="00A77D90"/>
    <w:rsid w:val="00A8016B"/>
    <w:rsid w:val="00A801DC"/>
    <w:rsid w:val="00A80807"/>
    <w:rsid w:val="00A80873"/>
    <w:rsid w:val="00A81033"/>
    <w:rsid w:val="00A817CB"/>
    <w:rsid w:val="00A81D6F"/>
    <w:rsid w:val="00A82944"/>
    <w:rsid w:val="00A82AB5"/>
    <w:rsid w:val="00A82CD3"/>
    <w:rsid w:val="00A82D24"/>
    <w:rsid w:val="00A82F4C"/>
    <w:rsid w:val="00A83A86"/>
    <w:rsid w:val="00A84134"/>
    <w:rsid w:val="00A84231"/>
    <w:rsid w:val="00A84ADE"/>
    <w:rsid w:val="00A84C12"/>
    <w:rsid w:val="00A84E7C"/>
    <w:rsid w:val="00A85121"/>
    <w:rsid w:val="00A85DB7"/>
    <w:rsid w:val="00A85E8F"/>
    <w:rsid w:val="00A8613B"/>
    <w:rsid w:val="00A862C1"/>
    <w:rsid w:val="00A86BBE"/>
    <w:rsid w:val="00A8705C"/>
    <w:rsid w:val="00A873A6"/>
    <w:rsid w:val="00A8791F"/>
    <w:rsid w:val="00A87BA0"/>
    <w:rsid w:val="00A87C9C"/>
    <w:rsid w:val="00A87EA6"/>
    <w:rsid w:val="00A9010F"/>
    <w:rsid w:val="00A90AD5"/>
    <w:rsid w:val="00A91069"/>
    <w:rsid w:val="00A91487"/>
    <w:rsid w:val="00A9162D"/>
    <w:rsid w:val="00A91EA0"/>
    <w:rsid w:val="00A91F81"/>
    <w:rsid w:val="00A921D7"/>
    <w:rsid w:val="00A9226A"/>
    <w:rsid w:val="00A9237D"/>
    <w:rsid w:val="00A92409"/>
    <w:rsid w:val="00A92946"/>
    <w:rsid w:val="00A93A0F"/>
    <w:rsid w:val="00A93F4F"/>
    <w:rsid w:val="00A9459D"/>
    <w:rsid w:val="00A94823"/>
    <w:rsid w:val="00A94C6B"/>
    <w:rsid w:val="00A94E3C"/>
    <w:rsid w:val="00A9523C"/>
    <w:rsid w:val="00A952FF"/>
    <w:rsid w:val="00A9605B"/>
    <w:rsid w:val="00A963FC"/>
    <w:rsid w:val="00A966FA"/>
    <w:rsid w:val="00A9684A"/>
    <w:rsid w:val="00A97A98"/>
    <w:rsid w:val="00A97E1B"/>
    <w:rsid w:val="00A97F57"/>
    <w:rsid w:val="00AA0188"/>
    <w:rsid w:val="00AA05A7"/>
    <w:rsid w:val="00AA064C"/>
    <w:rsid w:val="00AA0A2B"/>
    <w:rsid w:val="00AA0A2D"/>
    <w:rsid w:val="00AA0B1B"/>
    <w:rsid w:val="00AA18C1"/>
    <w:rsid w:val="00AA1BA5"/>
    <w:rsid w:val="00AA1CC9"/>
    <w:rsid w:val="00AA1D0B"/>
    <w:rsid w:val="00AA1F88"/>
    <w:rsid w:val="00AA20D0"/>
    <w:rsid w:val="00AA21C4"/>
    <w:rsid w:val="00AA2667"/>
    <w:rsid w:val="00AA297B"/>
    <w:rsid w:val="00AA2DA4"/>
    <w:rsid w:val="00AA2E1C"/>
    <w:rsid w:val="00AA3372"/>
    <w:rsid w:val="00AA3470"/>
    <w:rsid w:val="00AA34FA"/>
    <w:rsid w:val="00AA3629"/>
    <w:rsid w:val="00AA3B36"/>
    <w:rsid w:val="00AA3B9B"/>
    <w:rsid w:val="00AA3D41"/>
    <w:rsid w:val="00AA3E6A"/>
    <w:rsid w:val="00AA41DC"/>
    <w:rsid w:val="00AA4A46"/>
    <w:rsid w:val="00AA5802"/>
    <w:rsid w:val="00AA589B"/>
    <w:rsid w:val="00AA597D"/>
    <w:rsid w:val="00AA5D40"/>
    <w:rsid w:val="00AA61B4"/>
    <w:rsid w:val="00AA68FA"/>
    <w:rsid w:val="00AA691B"/>
    <w:rsid w:val="00AA694A"/>
    <w:rsid w:val="00AA6AA4"/>
    <w:rsid w:val="00AA7359"/>
    <w:rsid w:val="00AB0106"/>
    <w:rsid w:val="00AB0177"/>
    <w:rsid w:val="00AB035F"/>
    <w:rsid w:val="00AB0A65"/>
    <w:rsid w:val="00AB1920"/>
    <w:rsid w:val="00AB1C09"/>
    <w:rsid w:val="00AB1D90"/>
    <w:rsid w:val="00AB2473"/>
    <w:rsid w:val="00AB2E5B"/>
    <w:rsid w:val="00AB2EA7"/>
    <w:rsid w:val="00AB3067"/>
    <w:rsid w:val="00AB3166"/>
    <w:rsid w:val="00AB3478"/>
    <w:rsid w:val="00AB3649"/>
    <w:rsid w:val="00AB3747"/>
    <w:rsid w:val="00AB378B"/>
    <w:rsid w:val="00AB3AAA"/>
    <w:rsid w:val="00AB3D7E"/>
    <w:rsid w:val="00AB4A1F"/>
    <w:rsid w:val="00AB4AB4"/>
    <w:rsid w:val="00AB4DC1"/>
    <w:rsid w:val="00AB5288"/>
    <w:rsid w:val="00AB5EE3"/>
    <w:rsid w:val="00AB63D3"/>
    <w:rsid w:val="00AB682F"/>
    <w:rsid w:val="00AB70DB"/>
    <w:rsid w:val="00AB7243"/>
    <w:rsid w:val="00AB7512"/>
    <w:rsid w:val="00AB76E6"/>
    <w:rsid w:val="00AB7787"/>
    <w:rsid w:val="00AB79E9"/>
    <w:rsid w:val="00AB7F54"/>
    <w:rsid w:val="00AC007C"/>
    <w:rsid w:val="00AC0510"/>
    <w:rsid w:val="00AC082D"/>
    <w:rsid w:val="00AC09E5"/>
    <w:rsid w:val="00AC111B"/>
    <w:rsid w:val="00AC1611"/>
    <w:rsid w:val="00AC1EBB"/>
    <w:rsid w:val="00AC2C74"/>
    <w:rsid w:val="00AC36D7"/>
    <w:rsid w:val="00AC386C"/>
    <w:rsid w:val="00AC3BB8"/>
    <w:rsid w:val="00AC3FFA"/>
    <w:rsid w:val="00AC4078"/>
    <w:rsid w:val="00AC5513"/>
    <w:rsid w:val="00AC581E"/>
    <w:rsid w:val="00AC5956"/>
    <w:rsid w:val="00AC5DEE"/>
    <w:rsid w:val="00AC5F0B"/>
    <w:rsid w:val="00AC5F73"/>
    <w:rsid w:val="00AC627B"/>
    <w:rsid w:val="00AC6B97"/>
    <w:rsid w:val="00AC70C9"/>
    <w:rsid w:val="00AC7314"/>
    <w:rsid w:val="00AC7462"/>
    <w:rsid w:val="00AC7D93"/>
    <w:rsid w:val="00AD069D"/>
    <w:rsid w:val="00AD06DA"/>
    <w:rsid w:val="00AD0B1E"/>
    <w:rsid w:val="00AD0B28"/>
    <w:rsid w:val="00AD0EB6"/>
    <w:rsid w:val="00AD11E9"/>
    <w:rsid w:val="00AD1458"/>
    <w:rsid w:val="00AD180A"/>
    <w:rsid w:val="00AD1CFE"/>
    <w:rsid w:val="00AD1D70"/>
    <w:rsid w:val="00AD21FB"/>
    <w:rsid w:val="00AD2296"/>
    <w:rsid w:val="00AD292A"/>
    <w:rsid w:val="00AD295F"/>
    <w:rsid w:val="00AD2D0F"/>
    <w:rsid w:val="00AD2D2C"/>
    <w:rsid w:val="00AD4371"/>
    <w:rsid w:val="00AD5A90"/>
    <w:rsid w:val="00AD5ABC"/>
    <w:rsid w:val="00AD604B"/>
    <w:rsid w:val="00AD6D9C"/>
    <w:rsid w:val="00AD77EB"/>
    <w:rsid w:val="00AD7B08"/>
    <w:rsid w:val="00AD7D58"/>
    <w:rsid w:val="00AE033E"/>
    <w:rsid w:val="00AE049C"/>
    <w:rsid w:val="00AE05FF"/>
    <w:rsid w:val="00AE08B2"/>
    <w:rsid w:val="00AE0A26"/>
    <w:rsid w:val="00AE1216"/>
    <w:rsid w:val="00AE1A6B"/>
    <w:rsid w:val="00AE2001"/>
    <w:rsid w:val="00AE238B"/>
    <w:rsid w:val="00AE24FF"/>
    <w:rsid w:val="00AE2AD7"/>
    <w:rsid w:val="00AE322F"/>
    <w:rsid w:val="00AE347B"/>
    <w:rsid w:val="00AE34FA"/>
    <w:rsid w:val="00AE36DE"/>
    <w:rsid w:val="00AE41AC"/>
    <w:rsid w:val="00AE4347"/>
    <w:rsid w:val="00AE45D1"/>
    <w:rsid w:val="00AE4711"/>
    <w:rsid w:val="00AE4AD9"/>
    <w:rsid w:val="00AE5C18"/>
    <w:rsid w:val="00AE6215"/>
    <w:rsid w:val="00AE7349"/>
    <w:rsid w:val="00AE78D1"/>
    <w:rsid w:val="00AE7957"/>
    <w:rsid w:val="00AE7974"/>
    <w:rsid w:val="00AE79DA"/>
    <w:rsid w:val="00AF0186"/>
    <w:rsid w:val="00AF0425"/>
    <w:rsid w:val="00AF0C68"/>
    <w:rsid w:val="00AF1298"/>
    <w:rsid w:val="00AF1331"/>
    <w:rsid w:val="00AF160F"/>
    <w:rsid w:val="00AF175F"/>
    <w:rsid w:val="00AF20EC"/>
    <w:rsid w:val="00AF2422"/>
    <w:rsid w:val="00AF2486"/>
    <w:rsid w:val="00AF2E52"/>
    <w:rsid w:val="00AF303C"/>
    <w:rsid w:val="00AF3652"/>
    <w:rsid w:val="00AF3A73"/>
    <w:rsid w:val="00AF3AAF"/>
    <w:rsid w:val="00AF4201"/>
    <w:rsid w:val="00AF44CF"/>
    <w:rsid w:val="00AF463B"/>
    <w:rsid w:val="00AF4AC9"/>
    <w:rsid w:val="00AF4BF1"/>
    <w:rsid w:val="00AF4D6D"/>
    <w:rsid w:val="00AF4E4D"/>
    <w:rsid w:val="00AF5430"/>
    <w:rsid w:val="00AF585E"/>
    <w:rsid w:val="00AF58B8"/>
    <w:rsid w:val="00AF5F2C"/>
    <w:rsid w:val="00AF6530"/>
    <w:rsid w:val="00AF6872"/>
    <w:rsid w:val="00AF6D1F"/>
    <w:rsid w:val="00AF7180"/>
    <w:rsid w:val="00AF731B"/>
    <w:rsid w:val="00AF74BE"/>
    <w:rsid w:val="00AF7821"/>
    <w:rsid w:val="00AF7A15"/>
    <w:rsid w:val="00B00C5B"/>
    <w:rsid w:val="00B01ED4"/>
    <w:rsid w:val="00B0235C"/>
    <w:rsid w:val="00B02541"/>
    <w:rsid w:val="00B025E2"/>
    <w:rsid w:val="00B029B9"/>
    <w:rsid w:val="00B029FE"/>
    <w:rsid w:val="00B02E9C"/>
    <w:rsid w:val="00B03299"/>
    <w:rsid w:val="00B03357"/>
    <w:rsid w:val="00B03C50"/>
    <w:rsid w:val="00B03C5A"/>
    <w:rsid w:val="00B04687"/>
    <w:rsid w:val="00B0478A"/>
    <w:rsid w:val="00B05326"/>
    <w:rsid w:val="00B054CE"/>
    <w:rsid w:val="00B055DB"/>
    <w:rsid w:val="00B05706"/>
    <w:rsid w:val="00B05C06"/>
    <w:rsid w:val="00B05E3F"/>
    <w:rsid w:val="00B05E7D"/>
    <w:rsid w:val="00B0627B"/>
    <w:rsid w:val="00B06803"/>
    <w:rsid w:val="00B0689C"/>
    <w:rsid w:val="00B06C93"/>
    <w:rsid w:val="00B06E93"/>
    <w:rsid w:val="00B07937"/>
    <w:rsid w:val="00B07B57"/>
    <w:rsid w:val="00B07DCC"/>
    <w:rsid w:val="00B10015"/>
    <w:rsid w:val="00B100DF"/>
    <w:rsid w:val="00B1131F"/>
    <w:rsid w:val="00B125FA"/>
    <w:rsid w:val="00B12D1C"/>
    <w:rsid w:val="00B12ED1"/>
    <w:rsid w:val="00B1330F"/>
    <w:rsid w:val="00B137A0"/>
    <w:rsid w:val="00B138AA"/>
    <w:rsid w:val="00B138FD"/>
    <w:rsid w:val="00B13BAC"/>
    <w:rsid w:val="00B13C83"/>
    <w:rsid w:val="00B14407"/>
    <w:rsid w:val="00B14A83"/>
    <w:rsid w:val="00B14F24"/>
    <w:rsid w:val="00B15D57"/>
    <w:rsid w:val="00B160E1"/>
    <w:rsid w:val="00B16165"/>
    <w:rsid w:val="00B1672D"/>
    <w:rsid w:val="00B1689D"/>
    <w:rsid w:val="00B16A93"/>
    <w:rsid w:val="00B16CDB"/>
    <w:rsid w:val="00B17001"/>
    <w:rsid w:val="00B17495"/>
    <w:rsid w:val="00B200DD"/>
    <w:rsid w:val="00B2016C"/>
    <w:rsid w:val="00B20FC7"/>
    <w:rsid w:val="00B2130D"/>
    <w:rsid w:val="00B2133E"/>
    <w:rsid w:val="00B21973"/>
    <w:rsid w:val="00B21E98"/>
    <w:rsid w:val="00B22707"/>
    <w:rsid w:val="00B236E4"/>
    <w:rsid w:val="00B2397F"/>
    <w:rsid w:val="00B23C14"/>
    <w:rsid w:val="00B23E92"/>
    <w:rsid w:val="00B24175"/>
    <w:rsid w:val="00B247C0"/>
    <w:rsid w:val="00B24820"/>
    <w:rsid w:val="00B24856"/>
    <w:rsid w:val="00B24CDB"/>
    <w:rsid w:val="00B2508A"/>
    <w:rsid w:val="00B25171"/>
    <w:rsid w:val="00B254DF"/>
    <w:rsid w:val="00B25589"/>
    <w:rsid w:val="00B2579C"/>
    <w:rsid w:val="00B25AFC"/>
    <w:rsid w:val="00B25C40"/>
    <w:rsid w:val="00B25EA6"/>
    <w:rsid w:val="00B2618C"/>
    <w:rsid w:val="00B26191"/>
    <w:rsid w:val="00B2642D"/>
    <w:rsid w:val="00B26A6F"/>
    <w:rsid w:val="00B26BB8"/>
    <w:rsid w:val="00B26DEA"/>
    <w:rsid w:val="00B2794B"/>
    <w:rsid w:val="00B279FE"/>
    <w:rsid w:val="00B27DAF"/>
    <w:rsid w:val="00B27E88"/>
    <w:rsid w:val="00B3001B"/>
    <w:rsid w:val="00B3001D"/>
    <w:rsid w:val="00B30082"/>
    <w:rsid w:val="00B30146"/>
    <w:rsid w:val="00B30408"/>
    <w:rsid w:val="00B3040A"/>
    <w:rsid w:val="00B306C1"/>
    <w:rsid w:val="00B30C54"/>
    <w:rsid w:val="00B30D41"/>
    <w:rsid w:val="00B31872"/>
    <w:rsid w:val="00B31A6D"/>
    <w:rsid w:val="00B31D8A"/>
    <w:rsid w:val="00B31DB0"/>
    <w:rsid w:val="00B31E0B"/>
    <w:rsid w:val="00B3291A"/>
    <w:rsid w:val="00B32981"/>
    <w:rsid w:val="00B33279"/>
    <w:rsid w:val="00B33440"/>
    <w:rsid w:val="00B33657"/>
    <w:rsid w:val="00B33FE6"/>
    <w:rsid w:val="00B34381"/>
    <w:rsid w:val="00B34497"/>
    <w:rsid w:val="00B3465C"/>
    <w:rsid w:val="00B34AC9"/>
    <w:rsid w:val="00B34FAE"/>
    <w:rsid w:val="00B35221"/>
    <w:rsid w:val="00B352F3"/>
    <w:rsid w:val="00B358AD"/>
    <w:rsid w:val="00B35C73"/>
    <w:rsid w:val="00B35D47"/>
    <w:rsid w:val="00B36977"/>
    <w:rsid w:val="00B36FC1"/>
    <w:rsid w:val="00B37162"/>
    <w:rsid w:val="00B3759D"/>
    <w:rsid w:val="00B37A9D"/>
    <w:rsid w:val="00B411A6"/>
    <w:rsid w:val="00B41837"/>
    <w:rsid w:val="00B418AB"/>
    <w:rsid w:val="00B41CFA"/>
    <w:rsid w:val="00B41E2D"/>
    <w:rsid w:val="00B41FDF"/>
    <w:rsid w:val="00B4242A"/>
    <w:rsid w:val="00B4287C"/>
    <w:rsid w:val="00B42C37"/>
    <w:rsid w:val="00B42C98"/>
    <w:rsid w:val="00B42F42"/>
    <w:rsid w:val="00B4304B"/>
    <w:rsid w:val="00B43858"/>
    <w:rsid w:val="00B43A1F"/>
    <w:rsid w:val="00B43CAF"/>
    <w:rsid w:val="00B440B4"/>
    <w:rsid w:val="00B440F5"/>
    <w:rsid w:val="00B44715"/>
    <w:rsid w:val="00B447C6"/>
    <w:rsid w:val="00B44E49"/>
    <w:rsid w:val="00B44FB6"/>
    <w:rsid w:val="00B453EB"/>
    <w:rsid w:val="00B454C6"/>
    <w:rsid w:val="00B458FC"/>
    <w:rsid w:val="00B45B8D"/>
    <w:rsid w:val="00B45D5F"/>
    <w:rsid w:val="00B45E88"/>
    <w:rsid w:val="00B46253"/>
    <w:rsid w:val="00B46351"/>
    <w:rsid w:val="00B46FAB"/>
    <w:rsid w:val="00B47871"/>
    <w:rsid w:val="00B479F5"/>
    <w:rsid w:val="00B47BD5"/>
    <w:rsid w:val="00B47DC0"/>
    <w:rsid w:val="00B47DC4"/>
    <w:rsid w:val="00B47EA8"/>
    <w:rsid w:val="00B50A63"/>
    <w:rsid w:val="00B5142D"/>
    <w:rsid w:val="00B51513"/>
    <w:rsid w:val="00B51649"/>
    <w:rsid w:val="00B51845"/>
    <w:rsid w:val="00B5189F"/>
    <w:rsid w:val="00B51FA5"/>
    <w:rsid w:val="00B52232"/>
    <w:rsid w:val="00B52882"/>
    <w:rsid w:val="00B529AF"/>
    <w:rsid w:val="00B52C4F"/>
    <w:rsid w:val="00B541FF"/>
    <w:rsid w:val="00B542F0"/>
    <w:rsid w:val="00B54921"/>
    <w:rsid w:val="00B54924"/>
    <w:rsid w:val="00B54A8B"/>
    <w:rsid w:val="00B550C3"/>
    <w:rsid w:val="00B55570"/>
    <w:rsid w:val="00B55ABF"/>
    <w:rsid w:val="00B55DDC"/>
    <w:rsid w:val="00B5601C"/>
    <w:rsid w:val="00B56A52"/>
    <w:rsid w:val="00B56BB0"/>
    <w:rsid w:val="00B56C39"/>
    <w:rsid w:val="00B578C6"/>
    <w:rsid w:val="00B6044C"/>
    <w:rsid w:val="00B6078C"/>
    <w:rsid w:val="00B60FC1"/>
    <w:rsid w:val="00B6110B"/>
    <w:rsid w:val="00B61143"/>
    <w:rsid w:val="00B6183E"/>
    <w:rsid w:val="00B61BCE"/>
    <w:rsid w:val="00B61D40"/>
    <w:rsid w:val="00B62315"/>
    <w:rsid w:val="00B625F2"/>
    <w:rsid w:val="00B628A8"/>
    <w:rsid w:val="00B628DB"/>
    <w:rsid w:val="00B6314E"/>
    <w:rsid w:val="00B631DF"/>
    <w:rsid w:val="00B6321D"/>
    <w:rsid w:val="00B6359F"/>
    <w:rsid w:val="00B6367F"/>
    <w:rsid w:val="00B63B76"/>
    <w:rsid w:val="00B642FE"/>
    <w:rsid w:val="00B64E3C"/>
    <w:rsid w:val="00B64E8B"/>
    <w:rsid w:val="00B65065"/>
    <w:rsid w:val="00B654CF"/>
    <w:rsid w:val="00B654EB"/>
    <w:rsid w:val="00B65619"/>
    <w:rsid w:val="00B658D7"/>
    <w:rsid w:val="00B65A6C"/>
    <w:rsid w:val="00B66A62"/>
    <w:rsid w:val="00B67106"/>
    <w:rsid w:val="00B672A0"/>
    <w:rsid w:val="00B67431"/>
    <w:rsid w:val="00B67874"/>
    <w:rsid w:val="00B67B79"/>
    <w:rsid w:val="00B67C4D"/>
    <w:rsid w:val="00B701B8"/>
    <w:rsid w:val="00B709C8"/>
    <w:rsid w:val="00B70AF9"/>
    <w:rsid w:val="00B70B1D"/>
    <w:rsid w:val="00B70BA6"/>
    <w:rsid w:val="00B70D58"/>
    <w:rsid w:val="00B70ED3"/>
    <w:rsid w:val="00B70F63"/>
    <w:rsid w:val="00B71A59"/>
    <w:rsid w:val="00B72384"/>
    <w:rsid w:val="00B7295F"/>
    <w:rsid w:val="00B72A52"/>
    <w:rsid w:val="00B73199"/>
    <w:rsid w:val="00B735AE"/>
    <w:rsid w:val="00B739C0"/>
    <w:rsid w:val="00B73F8E"/>
    <w:rsid w:val="00B74114"/>
    <w:rsid w:val="00B741B2"/>
    <w:rsid w:val="00B74A4E"/>
    <w:rsid w:val="00B74E66"/>
    <w:rsid w:val="00B7508D"/>
    <w:rsid w:val="00B751EC"/>
    <w:rsid w:val="00B75505"/>
    <w:rsid w:val="00B75844"/>
    <w:rsid w:val="00B75A5C"/>
    <w:rsid w:val="00B75A89"/>
    <w:rsid w:val="00B75D23"/>
    <w:rsid w:val="00B75DE8"/>
    <w:rsid w:val="00B75F1F"/>
    <w:rsid w:val="00B7669B"/>
    <w:rsid w:val="00B766E0"/>
    <w:rsid w:val="00B768E7"/>
    <w:rsid w:val="00B771C9"/>
    <w:rsid w:val="00B7755C"/>
    <w:rsid w:val="00B776DB"/>
    <w:rsid w:val="00B7774F"/>
    <w:rsid w:val="00B80882"/>
    <w:rsid w:val="00B80A82"/>
    <w:rsid w:val="00B81253"/>
    <w:rsid w:val="00B813E9"/>
    <w:rsid w:val="00B81723"/>
    <w:rsid w:val="00B81DF4"/>
    <w:rsid w:val="00B8234B"/>
    <w:rsid w:val="00B825F2"/>
    <w:rsid w:val="00B82650"/>
    <w:rsid w:val="00B82879"/>
    <w:rsid w:val="00B82C61"/>
    <w:rsid w:val="00B82E4F"/>
    <w:rsid w:val="00B82EE1"/>
    <w:rsid w:val="00B83084"/>
    <w:rsid w:val="00B83218"/>
    <w:rsid w:val="00B837D3"/>
    <w:rsid w:val="00B83E0E"/>
    <w:rsid w:val="00B84458"/>
    <w:rsid w:val="00B846FB"/>
    <w:rsid w:val="00B84B0C"/>
    <w:rsid w:val="00B855F5"/>
    <w:rsid w:val="00B86EF3"/>
    <w:rsid w:val="00B900B1"/>
    <w:rsid w:val="00B907D1"/>
    <w:rsid w:val="00B90E76"/>
    <w:rsid w:val="00B90EFD"/>
    <w:rsid w:val="00B91F0F"/>
    <w:rsid w:val="00B926A3"/>
    <w:rsid w:val="00B93460"/>
    <w:rsid w:val="00B935BB"/>
    <w:rsid w:val="00B9360B"/>
    <w:rsid w:val="00B93972"/>
    <w:rsid w:val="00B94E0B"/>
    <w:rsid w:val="00B94F54"/>
    <w:rsid w:val="00B95322"/>
    <w:rsid w:val="00B955BC"/>
    <w:rsid w:val="00B956C6"/>
    <w:rsid w:val="00B9625E"/>
    <w:rsid w:val="00B9650E"/>
    <w:rsid w:val="00B96522"/>
    <w:rsid w:val="00B96A1D"/>
    <w:rsid w:val="00B96C16"/>
    <w:rsid w:val="00B974E4"/>
    <w:rsid w:val="00B97EFD"/>
    <w:rsid w:val="00BA0645"/>
    <w:rsid w:val="00BA0B88"/>
    <w:rsid w:val="00BA0C23"/>
    <w:rsid w:val="00BA11CC"/>
    <w:rsid w:val="00BA12E9"/>
    <w:rsid w:val="00BA130F"/>
    <w:rsid w:val="00BA1881"/>
    <w:rsid w:val="00BA1B5D"/>
    <w:rsid w:val="00BA2961"/>
    <w:rsid w:val="00BA2F5E"/>
    <w:rsid w:val="00BA3280"/>
    <w:rsid w:val="00BA3A7F"/>
    <w:rsid w:val="00BA3B69"/>
    <w:rsid w:val="00BA3D97"/>
    <w:rsid w:val="00BA446C"/>
    <w:rsid w:val="00BA4537"/>
    <w:rsid w:val="00BA45DB"/>
    <w:rsid w:val="00BA4E8B"/>
    <w:rsid w:val="00BA4EF6"/>
    <w:rsid w:val="00BA5627"/>
    <w:rsid w:val="00BA5C45"/>
    <w:rsid w:val="00BA5C51"/>
    <w:rsid w:val="00BA64FF"/>
    <w:rsid w:val="00BA6D60"/>
    <w:rsid w:val="00BA7107"/>
    <w:rsid w:val="00BA7431"/>
    <w:rsid w:val="00BA74FB"/>
    <w:rsid w:val="00BA762D"/>
    <w:rsid w:val="00BA780F"/>
    <w:rsid w:val="00BB0E43"/>
    <w:rsid w:val="00BB0FD0"/>
    <w:rsid w:val="00BB13A2"/>
    <w:rsid w:val="00BB1553"/>
    <w:rsid w:val="00BB1D6B"/>
    <w:rsid w:val="00BB228D"/>
    <w:rsid w:val="00BB28AB"/>
    <w:rsid w:val="00BB294A"/>
    <w:rsid w:val="00BB3C50"/>
    <w:rsid w:val="00BB3F04"/>
    <w:rsid w:val="00BB4335"/>
    <w:rsid w:val="00BB4A52"/>
    <w:rsid w:val="00BB4B34"/>
    <w:rsid w:val="00BB4BA7"/>
    <w:rsid w:val="00BB56F2"/>
    <w:rsid w:val="00BB57C2"/>
    <w:rsid w:val="00BB5F16"/>
    <w:rsid w:val="00BB64A1"/>
    <w:rsid w:val="00BB6ACA"/>
    <w:rsid w:val="00BB7179"/>
    <w:rsid w:val="00BB746A"/>
    <w:rsid w:val="00BB753A"/>
    <w:rsid w:val="00BC008F"/>
    <w:rsid w:val="00BC0239"/>
    <w:rsid w:val="00BC09A1"/>
    <w:rsid w:val="00BC0CA5"/>
    <w:rsid w:val="00BC15F1"/>
    <w:rsid w:val="00BC1619"/>
    <w:rsid w:val="00BC1B1A"/>
    <w:rsid w:val="00BC1DD5"/>
    <w:rsid w:val="00BC2145"/>
    <w:rsid w:val="00BC2190"/>
    <w:rsid w:val="00BC245D"/>
    <w:rsid w:val="00BC24B9"/>
    <w:rsid w:val="00BC2612"/>
    <w:rsid w:val="00BC2FB0"/>
    <w:rsid w:val="00BC330D"/>
    <w:rsid w:val="00BC5311"/>
    <w:rsid w:val="00BC55CE"/>
    <w:rsid w:val="00BC5C56"/>
    <w:rsid w:val="00BC6738"/>
    <w:rsid w:val="00BC675B"/>
    <w:rsid w:val="00BC6A3B"/>
    <w:rsid w:val="00BC6A65"/>
    <w:rsid w:val="00BC7195"/>
    <w:rsid w:val="00BC72F3"/>
    <w:rsid w:val="00BC74E6"/>
    <w:rsid w:val="00BC75D4"/>
    <w:rsid w:val="00BC790C"/>
    <w:rsid w:val="00BC7AB7"/>
    <w:rsid w:val="00BC7F0D"/>
    <w:rsid w:val="00BD0752"/>
    <w:rsid w:val="00BD0BD5"/>
    <w:rsid w:val="00BD0E11"/>
    <w:rsid w:val="00BD119E"/>
    <w:rsid w:val="00BD1A1D"/>
    <w:rsid w:val="00BD267A"/>
    <w:rsid w:val="00BD28FB"/>
    <w:rsid w:val="00BD30A2"/>
    <w:rsid w:val="00BD316C"/>
    <w:rsid w:val="00BD38C1"/>
    <w:rsid w:val="00BD3BCB"/>
    <w:rsid w:val="00BD4155"/>
    <w:rsid w:val="00BD4794"/>
    <w:rsid w:val="00BD507D"/>
    <w:rsid w:val="00BD54A9"/>
    <w:rsid w:val="00BD5597"/>
    <w:rsid w:val="00BD5754"/>
    <w:rsid w:val="00BD5C39"/>
    <w:rsid w:val="00BD5CD7"/>
    <w:rsid w:val="00BD6390"/>
    <w:rsid w:val="00BD673A"/>
    <w:rsid w:val="00BD679E"/>
    <w:rsid w:val="00BD6E82"/>
    <w:rsid w:val="00BD7A0B"/>
    <w:rsid w:val="00BD7C13"/>
    <w:rsid w:val="00BE0940"/>
    <w:rsid w:val="00BE0C0A"/>
    <w:rsid w:val="00BE0C15"/>
    <w:rsid w:val="00BE1431"/>
    <w:rsid w:val="00BE1842"/>
    <w:rsid w:val="00BE193A"/>
    <w:rsid w:val="00BE1C37"/>
    <w:rsid w:val="00BE20F7"/>
    <w:rsid w:val="00BE27F4"/>
    <w:rsid w:val="00BE2AE7"/>
    <w:rsid w:val="00BE2D2F"/>
    <w:rsid w:val="00BE2F39"/>
    <w:rsid w:val="00BE31D3"/>
    <w:rsid w:val="00BE373A"/>
    <w:rsid w:val="00BE3D13"/>
    <w:rsid w:val="00BE44ED"/>
    <w:rsid w:val="00BE4AA6"/>
    <w:rsid w:val="00BE4B82"/>
    <w:rsid w:val="00BE4D1A"/>
    <w:rsid w:val="00BE4E1F"/>
    <w:rsid w:val="00BE4F0C"/>
    <w:rsid w:val="00BE52FF"/>
    <w:rsid w:val="00BE6530"/>
    <w:rsid w:val="00BE694A"/>
    <w:rsid w:val="00BE7383"/>
    <w:rsid w:val="00BE75FC"/>
    <w:rsid w:val="00BE7F6D"/>
    <w:rsid w:val="00BF0193"/>
    <w:rsid w:val="00BF0735"/>
    <w:rsid w:val="00BF0C91"/>
    <w:rsid w:val="00BF0F3D"/>
    <w:rsid w:val="00BF1642"/>
    <w:rsid w:val="00BF19B7"/>
    <w:rsid w:val="00BF1C9D"/>
    <w:rsid w:val="00BF20D5"/>
    <w:rsid w:val="00BF2339"/>
    <w:rsid w:val="00BF26B0"/>
    <w:rsid w:val="00BF28F3"/>
    <w:rsid w:val="00BF29AD"/>
    <w:rsid w:val="00BF30AA"/>
    <w:rsid w:val="00BF30F8"/>
    <w:rsid w:val="00BF3131"/>
    <w:rsid w:val="00BF361B"/>
    <w:rsid w:val="00BF37EC"/>
    <w:rsid w:val="00BF3F7D"/>
    <w:rsid w:val="00BF47E0"/>
    <w:rsid w:val="00BF49E0"/>
    <w:rsid w:val="00BF4BEA"/>
    <w:rsid w:val="00BF5287"/>
    <w:rsid w:val="00BF53DA"/>
    <w:rsid w:val="00BF5E8E"/>
    <w:rsid w:val="00BF63CD"/>
    <w:rsid w:val="00BF65F1"/>
    <w:rsid w:val="00BF66AF"/>
    <w:rsid w:val="00BF6936"/>
    <w:rsid w:val="00BF6D2C"/>
    <w:rsid w:val="00BF70AF"/>
    <w:rsid w:val="00BF749F"/>
    <w:rsid w:val="00BF7729"/>
    <w:rsid w:val="00BF7C8B"/>
    <w:rsid w:val="00BF7D6F"/>
    <w:rsid w:val="00C0065B"/>
    <w:rsid w:val="00C00A4D"/>
    <w:rsid w:val="00C00C3E"/>
    <w:rsid w:val="00C010D7"/>
    <w:rsid w:val="00C01176"/>
    <w:rsid w:val="00C01869"/>
    <w:rsid w:val="00C01872"/>
    <w:rsid w:val="00C01B9A"/>
    <w:rsid w:val="00C01BED"/>
    <w:rsid w:val="00C027E2"/>
    <w:rsid w:val="00C02BD4"/>
    <w:rsid w:val="00C03511"/>
    <w:rsid w:val="00C036BC"/>
    <w:rsid w:val="00C03829"/>
    <w:rsid w:val="00C03ABA"/>
    <w:rsid w:val="00C03B8B"/>
    <w:rsid w:val="00C03E39"/>
    <w:rsid w:val="00C04845"/>
    <w:rsid w:val="00C048A9"/>
    <w:rsid w:val="00C04C96"/>
    <w:rsid w:val="00C0528D"/>
    <w:rsid w:val="00C054A7"/>
    <w:rsid w:val="00C054E1"/>
    <w:rsid w:val="00C058D3"/>
    <w:rsid w:val="00C05A14"/>
    <w:rsid w:val="00C05A30"/>
    <w:rsid w:val="00C05E21"/>
    <w:rsid w:val="00C061C8"/>
    <w:rsid w:val="00C06E71"/>
    <w:rsid w:val="00C0721B"/>
    <w:rsid w:val="00C07566"/>
    <w:rsid w:val="00C07619"/>
    <w:rsid w:val="00C0771C"/>
    <w:rsid w:val="00C07814"/>
    <w:rsid w:val="00C07FAF"/>
    <w:rsid w:val="00C101EC"/>
    <w:rsid w:val="00C102B9"/>
    <w:rsid w:val="00C112CE"/>
    <w:rsid w:val="00C119D9"/>
    <w:rsid w:val="00C1219B"/>
    <w:rsid w:val="00C121D0"/>
    <w:rsid w:val="00C1232D"/>
    <w:rsid w:val="00C12410"/>
    <w:rsid w:val="00C130F0"/>
    <w:rsid w:val="00C13483"/>
    <w:rsid w:val="00C137AE"/>
    <w:rsid w:val="00C13A88"/>
    <w:rsid w:val="00C13E4B"/>
    <w:rsid w:val="00C13F40"/>
    <w:rsid w:val="00C13F8B"/>
    <w:rsid w:val="00C1403A"/>
    <w:rsid w:val="00C14162"/>
    <w:rsid w:val="00C1432E"/>
    <w:rsid w:val="00C144CB"/>
    <w:rsid w:val="00C14578"/>
    <w:rsid w:val="00C14A97"/>
    <w:rsid w:val="00C15494"/>
    <w:rsid w:val="00C15749"/>
    <w:rsid w:val="00C15CD9"/>
    <w:rsid w:val="00C16835"/>
    <w:rsid w:val="00C173BF"/>
    <w:rsid w:val="00C17431"/>
    <w:rsid w:val="00C17861"/>
    <w:rsid w:val="00C17BF6"/>
    <w:rsid w:val="00C17FFE"/>
    <w:rsid w:val="00C20353"/>
    <w:rsid w:val="00C20449"/>
    <w:rsid w:val="00C20E00"/>
    <w:rsid w:val="00C211A4"/>
    <w:rsid w:val="00C22842"/>
    <w:rsid w:val="00C22D0E"/>
    <w:rsid w:val="00C22F5E"/>
    <w:rsid w:val="00C23123"/>
    <w:rsid w:val="00C23BB8"/>
    <w:rsid w:val="00C23ED2"/>
    <w:rsid w:val="00C24635"/>
    <w:rsid w:val="00C24674"/>
    <w:rsid w:val="00C2485C"/>
    <w:rsid w:val="00C253C3"/>
    <w:rsid w:val="00C256A5"/>
    <w:rsid w:val="00C2590B"/>
    <w:rsid w:val="00C25A38"/>
    <w:rsid w:val="00C25BC6"/>
    <w:rsid w:val="00C26B7C"/>
    <w:rsid w:val="00C272B7"/>
    <w:rsid w:val="00C27672"/>
    <w:rsid w:val="00C27AE9"/>
    <w:rsid w:val="00C30682"/>
    <w:rsid w:val="00C308EE"/>
    <w:rsid w:val="00C30AAE"/>
    <w:rsid w:val="00C30C96"/>
    <w:rsid w:val="00C30D01"/>
    <w:rsid w:val="00C30DEB"/>
    <w:rsid w:val="00C3118C"/>
    <w:rsid w:val="00C3124B"/>
    <w:rsid w:val="00C315A2"/>
    <w:rsid w:val="00C3188B"/>
    <w:rsid w:val="00C31BEA"/>
    <w:rsid w:val="00C3207C"/>
    <w:rsid w:val="00C3271A"/>
    <w:rsid w:val="00C32EC0"/>
    <w:rsid w:val="00C338A9"/>
    <w:rsid w:val="00C33A27"/>
    <w:rsid w:val="00C33CA5"/>
    <w:rsid w:val="00C34591"/>
    <w:rsid w:val="00C34DED"/>
    <w:rsid w:val="00C3535E"/>
    <w:rsid w:val="00C3591C"/>
    <w:rsid w:val="00C35A03"/>
    <w:rsid w:val="00C35AF6"/>
    <w:rsid w:val="00C3607E"/>
    <w:rsid w:val="00C36353"/>
    <w:rsid w:val="00C36454"/>
    <w:rsid w:val="00C36650"/>
    <w:rsid w:val="00C366B0"/>
    <w:rsid w:val="00C371BB"/>
    <w:rsid w:val="00C4034D"/>
    <w:rsid w:val="00C403E7"/>
    <w:rsid w:val="00C41A16"/>
    <w:rsid w:val="00C42438"/>
    <w:rsid w:val="00C42B53"/>
    <w:rsid w:val="00C42D8F"/>
    <w:rsid w:val="00C42F86"/>
    <w:rsid w:val="00C434BA"/>
    <w:rsid w:val="00C43F3B"/>
    <w:rsid w:val="00C4507C"/>
    <w:rsid w:val="00C451B6"/>
    <w:rsid w:val="00C45390"/>
    <w:rsid w:val="00C456C2"/>
    <w:rsid w:val="00C45CDC"/>
    <w:rsid w:val="00C45D12"/>
    <w:rsid w:val="00C46733"/>
    <w:rsid w:val="00C474E7"/>
    <w:rsid w:val="00C47A35"/>
    <w:rsid w:val="00C47EED"/>
    <w:rsid w:val="00C50B0E"/>
    <w:rsid w:val="00C50D41"/>
    <w:rsid w:val="00C52080"/>
    <w:rsid w:val="00C5210D"/>
    <w:rsid w:val="00C52220"/>
    <w:rsid w:val="00C52301"/>
    <w:rsid w:val="00C5287F"/>
    <w:rsid w:val="00C52CA2"/>
    <w:rsid w:val="00C52E7C"/>
    <w:rsid w:val="00C530AF"/>
    <w:rsid w:val="00C532DE"/>
    <w:rsid w:val="00C533D0"/>
    <w:rsid w:val="00C537B0"/>
    <w:rsid w:val="00C537FE"/>
    <w:rsid w:val="00C53BCB"/>
    <w:rsid w:val="00C53FE7"/>
    <w:rsid w:val="00C542E5"/>
    <w:rsid w:val="00C54E86"/>
    <w:rsid w:val="00C55227"/>
    <w:rsid w:val="00C55366"/>
    <w:rsid w:val="00C559D9"/>
    <w:rsid w:val="00C55A6D"/>
    <w:rsid w:val="00C55C4D"/>
    <w:rsid w:val="00C564A0"/>
    <w:rsid w:val="00C5657A"/>
    <w:rsid w:val="00C568A0"/>
    <w:rsid w:val="00C56D49"/>
    <w:rsid w:val="00C56E90"/>
    <w:rsid w:val="00C572D2"/>
    <w:rsid w:val="00C57BA7"/>
    <w:rsid w:val="00C6004F"/>
    <w:rsid w:val="00C6083A"/>
    <w:rsid w:val="00C614A4"/>
    <w:rsid w:val="00C6196C"/>
    <w:rsid w:val="00C61DFF"/>
    <w:rsid w:val="00C61F28"/>
    <w:rsid w:val="00C62188"/>
    <w:rsid w:val="00C62578"/>
    <w:rsid w:val="00C62BFB"/>
    <w:rsid w:val="00C62C48"/>
    <w:rsid w:val="00C62F4E"/>
    <w:rsid w:val="00C63203"/>
    <w:rsid w:val="00C63362"/>
    <w:rsid w:val="00C6377B"/>
    <w:rsid w:val="00C63AE3"/>
    <w:rsid w:val="00C63BC1"/>
    <w:rsid w:val="00C640DB"/>
    <w:rsid w:val="00C6448C"/>
    <w:rsid w:val="00C648AA"/>
    <w:rsid w:val="00C64C66"/>
    <w:rsid w:val="00C650CF"/>
    <w:rsid w:val="00C65131"/>
    <w:rsid w:val="00C6554D"/>
    <w:rsid w:val="00C65673"/>
    <w:rsid w:val="00C65B66"/>
    <w:rsid w:val="00C65CC7"/>
    <w:rsid w:val="00C66577"/>
    <w:rsid w:val="00C66B21"/>
    <w:rsid w:val="00C67479"/>
    <w:rsid w:val="00C67910"/>
    <w:rsid w:val="00C67B1C"/>
    <w:rsid w:val="00C67C85"/>
    <w:rsid w:val="00C705F4"/>
    <w:rsid w:val="00C70C29"/>
    <w:rsid w:val="00C70D0D"/>
    <w:rsid w:val="00C716B2"/>
    <w:rsid w:val="00C71825"/>
    <w:rsid w:val="00C71BE3"/>
    <w:rsid w:val="00C71C6B"/>
    <w:rsid w:val="00C71F2C"/>
    <w:rsid w:val="00C7200B"/>
    <w:rsid w:val="00C720BD"/>
    <w:rsid w:val="00C72D1A"/>
    <w:rsid w:val="00C72F8A"/>
    <w:rsid w:val="00C73115"/>
    <w:rsid w:val="00C740DD"/>
    <w:rsid w:val="00C744E9"/>
    <w:rsid w:val="00C7465A"/>
    <w:rsid w:val="00C75200"/>
    <w:rsid w:val="00C75F17"/>
    <w:rsid w:val="00C76454"/>
    <w:rsid w:val="00C76AC8"/>
    <w:rsid w:val="00C77F6B"/>
    <w:rsid w:val="00C801B2"/>
    <w:rsid w:val="00C80465"/>
    <w:rsid w:val="00C80DFF"/>
    <w:rsid w:val="00C811DA"/>
    <w:rsid w:val="00C823DD"/>
    <w:rsid w:val="00C82987"/>
    <w:rsid w:val="00C82BDE"/>
    <w:rsid w:val="00C82CE8"/>
    <w:rsid w:val="00C834EF"/>
    <w:rsid w:val="00C83572"/>
    <w:rsid w:val="00C83B0F"/>
    <w:rsid w:val="00C84484"/>
    <w:rsid w:val="00C8491C"/>
    <w:rsid w:val="00C84C4B"/>
    <w:rsid w:val="00C85458"/>
    <w:rsid w:val="00C85558"/>
    <w:rsid w:val="00C8563D"/>
    <w:rsid w:val="00C8692C"/>
    <w:rsid w:val="00C86E85"/>
    <w:rsid w:val="00C87471"/>
    <w:rsid w:val="00C8748E"/>
    <w:rsid w:val="00C9009A"/>
    <w:rsid w:val="00C90367"/>
    <w:rsid w:val="00C90808"/>
    <w:rsid w:val="00C90AC0"/>
    <w:rsid w:val="00C91587"/>
    <w:rsid w:val="00C915D6"/>
    <w:rsid w:val="00C91A48"/>
    <w:rsid w:val="00C9208E"/>
    <w:rsid w:val="00C920ED"/>
    <w:rsid w:val="00C9277A"/>
    <w:rsid w:val="00C9296E"/>
    <w:rsid w:val="00C92FDC"/>
    <w:rsid w:val="00C93AE4"/>
    <w:rsid w:val="00C941D8"/>
    <w:rsid w:val="00C94444"/>
    <w:rsid w:val="00C947A5"/>
    <w:rsid w:val="00C949F1"/>
    <w:rsid w:val="00C94BAA"/>
    <w:rsid w:val="00C94BE8"/>
    <w:rsid w:val="00C94E07"/>
    <w:rsid w:val="00C94E8B"/>
    <w:rsid w:val="00C94F25"/>
    <w:rsid w:val="00C956CE"/>
    <w:rsid w:val="00C96495"/>
    <w:rsid w:val="00C97043"/>
    <w:rsid w:val="00C970F9"/>
    <w:rsid w:val="00C973FC"/>
    <w:rsid w:val="00C973FE"/>
    <w:rsid w:val="00C974EB"/>
    <w:rsid w:val="00C97D3B"/>
    <w:rsid w:val="00C97E20"/>
    <w:rsid w:val="00CA0277"/>
    <w:rsid w:val="00CA0303"/>
    <w:rsid w:val="00CA043D"/>
    <w:rsid w:val="00CA09CD"/>
    <w:rsid w:val="00CA0D4B"/>
    <w:rsid w:val="00CA0DD7"/>
    <w:rsid w:val="00CA10CF"/>
    <w:rsid w:val="00CA161F"/>
    <w:rsid w:val="00CA199B"/>
    <w:rsid w:val="00CA1CDC"/>
    <w:rsid w:val="00CA1DBF"/>
    <w:rsid w:val="00CA1E43"/>
    <w:rsid w:val="00CA226F"/>
    <w:rsid w:val="00CA2894"/>
    <w:rsid w:val="00CA3058"/>
    <w:rsid w:val="00CA32EA"/>
    <w:rsid w:val="00CA370C"/>
    <w:rsid w:val="00CA386B"/>
    <w:rsid w:val="00CA4169"/>
    <w:rsid w:val="00CA4498"/>
    <w:rsid w:val="00CA4768"/>
    <w:rsid w:val="00CA4AD8"/>
    <w:rsid w:val="00CA4AF2"/>
    <w:rsid w:val="00CA4D7C"/>
    <w:rsid w:val="00CA4E9E"/>
    <w:rsid w:val="00CA4F99"/>
    <w:rsid w:val="00CA53D0"/>
    <w:rsid w:val="00CA586D"/>
    <w:rsid w:val="00CA5F32"/>
    <w:rsid w:val="00CA63D8"/>
    <w:rsid w:val="00CA65CA"/>
    <w:rsid w:val="00CA67AB"/>
    <w:rsid w:val="00CA6952"/>
    <w:rsid w:val="00CA734F"/>
    <w:rsid w:val="00CA7D65"/>
    <w:rsid w:val="00CB0288"/>
    <w:rsid w:val="00CB068C"/>
    <w:rsid w:val="00CB0ED1"/>
    <w:rsid w:val="00CB1257"/>
    <w:rsid w:val="00CB1CB6"/>
    <w:rsid w:val="00CB1CC4"/>
    <w:rsid w:val="00CB1E4F"/>
    <w:rsid w:val="00CB2C0E"/>
    <w:rsid w:val="00CB300F"/>
    <w:rsid w:val="00CB3734"/>
    <w:rsid w:val="00CB3857"/>
    <w:rsid w:val="00CB4057"/>
    <w:rsid w:val="00CB410C"/>
    <w:rsid w:val="00CB4134"/>
    <w:rsid w:val="00CB456B"/>
    <w:rsid w:val="00CB4861"/>
    <w:rsid w:val="00CB4D0A"/>
    <w:rsid w:val="00CB4DEB"/>
    <w:rsid w:val="00CB5208"/>
    <w:rsid w:val="00CB55A1"/>
    <w:rsid w:val="00CB5E7D"/>
    <w:rsid w:val="00CB61E3"/>
    <w:rsid w:val="00CB6228"/>
    <w:rsid w:val="00CB677B"/>
    <w:rsid w:val="00CB6AAD"/>
    <w:rsid w:val="00CB7182"/>
    <w:rsid w:val="00CB7852"/>
    <w:rsid w:val="00CB7A69"/>
    <w:rsid w:val="00CB7E25"/>
    <w:rsid w:val="00CC06F4"/>
    <w:rsid w:val="00CC0A31"/>
    <w:rsid w:val="00CC0D5E"/>
    <w:rsid w:val="00CC1167"/>
    <w:rsid w:val="00CC1729"/>
    <w:rsid w:val="00CC1792"/>
    <w:rsid w:val="00CC2054"/>
    <w:rsid w:val="00CC2056"/>
    <w:rsid w:val="00CC2170"/>
    <w:rsid w:val="00CC2744"/>
    <w:rsid w:val="00CC2F24"/>
    <w:rsid w:val="00CC320C"/>
    <w:rsid w:val="00CC35DA"/>
    <w:rsid w:val="00CC3867"/>
    <w:rsid w:val="00CC3F0D"/>
    <w:rsid w:val="00CC4015"/>
    <w:rsid w:val="00CC44DB"/>
    <w:rsid w:val="00CC450C"/>
    <w:rsid w:val="00CC4899"/>
    <w:rsid w:val="00CC48B0"/>
    <w:rsid w:val="00CC5D81"/>
    <w:rsid w:val="00CC61FA"/>
    <w:rsid w:val="00CC639C"/>
    <w:rsid w:val="00CC6516"/>
    <w:rsid w:val="00CC6B96"/>
    <w:rsid w:val="00CC6DA7"/>
    <w:rsid w:val="00CC7309"/>
    <w:rsid w:val="00CC7F1C"/>
    <w:rsid w:val="00CD002D"/>
    <w:rsid w:val="00CD03D4"/>
    <w:rsid w:val="00CD072E"/>
    <w:rsid w:val="00CD0B31"/>
    <w:rsid w:val="00CD0F77"/>
    <w:rsid w:val="00CD1116"/>
    <w:rsid w:val="00CD1306"/>
    <w:rsid w:val="00CD1530"/>
    <w:rsid w:val="00CD1B60"/>
    <w:rsid w:val="00CD1FCE"/>
    <w:rsid w:val="00CD254B"/>
    <w:rsid w:val="00CD2DFE"/>
    <w:rsid w:val="00CD373F"/>
    <w:rsid w:val="00CD3800"/>
    <w:rsid w:val="00CD3AE7"/>
    <w:rsid w:val="00CD4368"/>
    <w:rsid w:val="00CD45CE"/>
    <w:rsid w:val="00CD497D"/>
    <w:rsid w:val="00CD4A0A"/>
    <w:rsid w:val="00CD4AD5"/>
    <w:rsid w:val="00CD4B08"/>
    <w:rsid w:val="00CD4B1C"/>
    <w:rsid w:val="00CD4C24"/>
    <w:rsid w:val="00CD5893"/>
    <w:rsid w:val="00CD5A2F"/>
    <w:rsid w:val="00CD5B82"/>
    <w:rsid w:val="00CD5CD1"/>
    <w:rsid w:val="00CD5EEE"/>
    <w:rsid w:val="00CD6291"/>
    <w:rsid w:val="00CD6345"/>
    <w:rsid w:val="00CD6CC6"/>
    <w:rsid w:val="00CD6EDA"/>
    <w:rsid w:val="00CD773E"/>
    <w:rsid w:val="00CD7D78"/>
    <w:rsid w:val="00CD7EE2"/>
    <w:rsid w:val="00CD7F1E"/>
    <w:rsid w:val="00CE0036"/>
    <w:rsid w:val="00CE014C"/>
    <w:rsid w:val="00CE021B"/>
    <w:rsid w:val="00CE064D"/>
    <w:rsid w:val="00CE0BC8"/>
    <w:rsid w:val="00CE0FC4"/>
    <w:rsid w:val="00CE13D8"/>
    <w:rsid w:val="00CE1A5A"/>
    <w:rsid w:val="00CE1BAE"/>
    <w:rsid w:val="00CE1D83"/>
    <w:rsid w:val="00CE299F"/>
    <w:rsid w:val="00CE29DB"/>
    <w:rsid w:val="00CE2A17"/>
    <w:rsid w:val="00CE2D58"/>
    <w:rsid w:val="00CE31E7"/>
    <w:rsid w:val="00CE3416"/>
    <w:rsid w:val="00CE41E6"/>
    <w:rsid w:val="00CE47B6"/>
    <w:rsid w:val="00CE4A7B"/>
    <w:rsid w:val="00CE4F25"/>
    <w:rsid w:val="00CE58F4"/>
    <w:rsid w:val="00CE5A96"/>
    <w:rsid w:val="00CE605D"/>
    <w:rsid w:val="00CE6120"/>
    <w:rsid w:val="00CE63EF"/>
    <w:rsid w:val="00CE66E4"/>
    <w:rsid w:val="00CE695E"/>
    <w:rsid w:val="00CE7E73"/>
    <w:rsid w:val="00CF0300"/>
    <w:rsid w:val="00CF091A"/>
    <w:rsid w:val="00CF0E11"/>
    <w:rsid w:val="00CF0F4B"/>
    <w:rsid w:val="00CF0FFE"/>
    <w:rsid w:val="00CF1033"/>
    <w:rsid w:val="00CF1848"/>
    <w:rsid w:val="00CF1C2F"/>
    <w:rsid w:val="00CF2180"/>
    <w:rsid w:val="00CF245A"/>
    <w:rsid w:val="00CF28A5"/>
    <w:rsid w:val="00CF2F7C"/>
    <w:rsid w:val="00CF30E3"/>
    <w:rsid w:val="00CF34F9"/>
    <w:rsid w:val="00CF3699"/>
    <w:rsid w:val="00CF3CCC"/>
    <w:rsid w:val="00CF4198"/>
    <w:rsid w:val="00CF4825"/>
    <w:rsid w:val="00CF4B8C"/>
    <w:rsid w:val="00CF548F"/>
    <w:rsid w:val="00CF6025"/>
    <w:rsid w:val="00CF62E0"/>
    <w:rsid w:val="00CF64CA"/>
    <w:rsid w:val="00CF6976"/>
    <w:rsid w:val="00CF6A73"/>
    <w:rsid w:val="00CF7552"/>
    <w:rsid w:val="00CF76AE"/>
    <w:rsid w:val="00CF7815"/>
    <w:rsid w:val="00D004D5"/>
    <w:rsid w:val="00D008AA"/>
    <w:rsid w:val="00D00903"/>
    <w:rsid w:val="00D00AE6"/>
    <w:rsid w:val="00D00F1E"/>
    <w:rsid w:val="00D0117C"/>
    <w:rsid w:val="00D01273"/>
    <w:rsid w:val="00D013E1"/>
    <w:rsid w:val="00D01828"/>
    <w:rsid w:val="00D01975"/>
    <w:rsid w:val="00D0206E"/>
    <w:rsid w:val="00D02312"/>
    <w:rsid w:val="00D0277E"/>
    <w:rsid w:val="00D02BDF"/>
    <w:rsid w:val="00D02D6D"/>
    <w:rsid w:val="00D02F54"/>
    <w:rsid w:val="00D047E0"/>
    <w:rsid w:val="00D04A7F"/>
    <w:rsid w:val="00D04F87"/>
    <w:rsid w:val="00D053BC"/>
    <w:rsid w:val="00D053E3"/>
    <w:rsid w:val="00D056E1"/>
    <w:rsid w:val="00D0576D"/>
    <w:rsid w:val="00D058A6"/>
    <w:rsid w:val="00D059D1"/>
    <w:rsid w:val="00D05E85"/>
    <w:rsid w:val="00D060F9"/>
    <w:rsid w:val="00D062CF"/>
    <w:rsid w:val="00D064A5"/>
    <w:rsid w:val="00D06589"/>
    <w:rsid w:val="00D06922"/>
    <w:rsid w:val="00D06CB8"/>
    <w:rsid w:val="00D06F80"/>
    <w:rsid w:val="00D0701B"/>
    <w:rsid w:val="00D0721F"/>
    <w:rsid w:val="00D0767D"/>
    <w:rsid w:val="00D10074"/>
    <w:rsid w:val="00D10153"/>
    <w:rsid w:val="00D1035B"/>
    <w:rsid w:val="00D1048B"/>
    <w:rsid w:val="00D109FA"/>
    <w:rsid w:val="00D10B86"/>
    <w:rsid w:val="00D10BE7"/>
    <w:rsid w:val="00D10CBC"/>
    <w:rsid w:val="00D1105C"/>
    <w:rsid w:val="00D114AD"/>
    <w:rsid w:val="00D11AF4"/>
    <w:rsid w:val="00D11FD6"/>
    <w:rsid w:val="00D12448"/>
    <w:rsid w:val="00D12967"/>
    <w:rsid w:val="00D12BDC"/>
    <w:rsid w:val="00D133A3"/>
    <w:rsid w:val="00D1375C"/>
    <w:rsid w:val="00D1409F"/>
    <w:rsid w:val="00D14960"/>
    <w:rsid w:val="00D14D5C"/>
    <w:rsid w:val="00D14EC1"/>
    <w:rsid w:val="00D150BF"/>
    <w:rsid w:val="00D1528C"/>
    <w:rsid w:val="00D156C7"/>
    <w:rsid w:val="00D15AD5"/>
    <w:rsid w:val="00D16738"/>
    <w:rsid w:val="00D168F6"/>
    <w:rsid w:val="00D17241"/>
    <w:rsid w:val="00D17357"/>
    <w:rsid w:val="00D17642"/>
    <w:rsid w:val="00D176B5"/>
    <w:rsid w:val="00D17B72"/>
    <w:rsid w:val="00D2009E"/>
    <w:rsid w:val="00D20114"/>
    <w:rsid w:val="00D2030C"/>
    <w:rsid w:val="00D20380"/>
    <w:rsid w:val="00D20896"/>
    <w:rsid w:val="00D20A25"/>
    <w:rsid w:val="00D214D4"/>
    <w:rsid w:val="00D21691"/>
    <w:rsid w:val="00D21D8C"/>
    <w:rsid w:val="00D21E45"/>
    <w:rsid w:val="00D2204A"/>
    <w:rsid w:val="00D2234A"/>
    <w:rsid w:val="00D224C8"/>
    <w:rsid w:val="00D22B74"/>
    <w:rsid w:val="00D22F67"/>
    <w:rsid w:val="00D2316B"/>
    <w:rsid w:val="00D2323B"/>
    <w:rsid w:val="00D2357A"/>
    <w:rsid w:val="00D23F5D"/>
    <w:rsid w:val="00D241A9"/>
    <w:rsid w:val="00D243C3"/>
    <w:rsid w:val="00D24693"/>
    <w:rsid w:val="00D24D64"/>
    <w:rsid w:val="00D256AF"/>
    <w:rsid w:val="00D25770"/>
    <w:rsid w:val="00D25863"/>
    <w:rsid w:val="00D25AAF"/>
    <w:rsid w:val="00D25B77"/>
    <w:rsid w:val="00D260B2"/>
    <w:rsid w:val="00D2615F"/>
    <w:rsid w:val="00D26864"/>
    <w:rsid w:val="00D26B0D"/>
    <w:rsid w:val="00D3014F"/>
    <w:rsid w:val="00D31341"/>
    <w:rsid w:val="00D31994"/>
    <w:rsid w:val="00D31A0A"/>
    <w:rsid w:val="00D31C28"/>
    <w:rsid w:val="00D31F5F"/>
    <w:rsid w:val="00D3295E"/>
    <w:rsid w:val="00D32D20"/>
    <w:rsid w:val="00D33180"/>
    <w:rsid w:val="00D33A04"/>
    <w:rsid w:val="00D340AC"/>
    <w:rsid w:val="00D3440D"/>
    <w:rsid w:val="00D346F0"/>
    <w:rsid w:val="00D346F1"/>
    <w:rsid w:val="00D3472B"/>
    <w:rsid w:val="00D348C9"/>
    <w:rsid w:val="00D34A84"/>
    <w:rsid w:val="00D34AB0"/>
    <w:rsid w:val="00D34D74"/>
    <w:rsid w:val="00D3507A"/>
    <w:rsid w:val="00D350CF"/>
    <w:rsid w:val="00D35C64"/>
    <w:rsid w:val="00D360BC"/>
    <w:rsid w:val="00D3618F"/>
    <w:rsid w:val="00D369F8"/>
    <w:rsid w:val="00D36DEE"/>
    <w:rsid w:val="00D36F8E"/>
    <w:rsid w:val="00D3714D"/>
    <w:rsid w:val="00D372B1"/>
    <w:rsid w:val="00D37808"/>
    <w:rsid w:val="00D37CE3"/>
    <w:rsid w:val="00D37E77"/>
    <w:rsid w:val="00D4046D"/>
    <w:rsid w:val="00D40650"/>
    <w:rsid w:val="00D406E6"/>
    <w:rsid w:val="00D40828"/>
    <w:rsid w:val="00D40AFA"/>
    <w:rsid w:val="00D40BA6"/>
    <w:rsid w:val="00D41211"/>
    <w:rsid w:val="00D41873"/>
    <w:rsid w:val="00D420FD"/>
    <w:rsid w:val="00D421C3"/>
    <w:rsid w:val="00D42822"/>
    <w:rsid w:val="00D42EA2"/>
    <w:rsid w:val="00D42FAF"/>
    <w:rsid w:val="00D43207"/>
    <w:rsid w:val="00D433D8"/>
    <w:rsid w:val="00D43BB1"/>
    <w:rsid w:val="00D43CCD"/>
    <w:rsid w:val="00D43DB4"/>
    <w:rsid w:val="00D43FCD"/>
    <w:rsid w:val="00D4427D"/>
    <w:rsid w:val="00D44605"/>
    <w:rsid w:val="00D44C45"/>
    <w:rsid w:val="00D45160"/>
    <w:rsid w:val="00D45220"/>
    <w:rsid w:val="00D45DA1"/>
    <w:rsid w:val="00D45E05"/>
    <w:rsid w:val="00D46C25"/>
    <w:rsid w:val="00D470BC"/>
    <w:rsid w:val="00D477E9"/>
    <w:rsid w:val="00D47A46"/>
    <w:rsid w:val="00D47AD6"/>
    <w:rsid w:val="00D50201"/>
    <w:rsid w:val="00D50A1F"/>
    <w:rsid w:val="00D50B2C"/>
    <w:rsid w:val="00D513D1"/>
    <w:rsid w:val="00D51925"/>
    <w:rsid w:val="00D51C2D"/>
    <w:rsid w:val="00D51C49"/>
    <w:rsid w:val="00D51E7E"/>
    <w:rsid w:val="00D52194"/>
    <w:rsid w:val="00D52258"/>
    <w:rsid w:val="00D526BF"/>
    <w:rsid w:val="00D530CA"/>
    <w:rsid w:val="00D53BB6"/>
    <w:rsid w:val="00D53DDD"/>
    <w:rsid w:val="00D549A4"/>
    <w:rsid w:val="00D54D52"/>
    <w:rsid w:val="00D55431"/>
    <w:rsid w:val="00D554B0"/>
    <w:rsid w:val="00D554BD"/>
    <w:rsid w:val="00D55850"/>
    <w:rsid w:val="00D55B14"/>
    <w:rsid w:val="00D56F80"/>
    <w:rsid w:val="00D56FC5"/>
    <w:rsid w:val="00D570C6"/>
    <w:rsid w:val="00D57442"/>
    <w:rsid w:val="00D60255"/>
    <w:rsid w:val="00D60B6C"/>
    <w:rsid w:val="00D60C4C"/>
    <w:rsid w:val="00D60D32"/>
    <w:rsid w:val="00D6138C"/>
    <w:rsid w:val="00D61497"/>
    <w:rsid w:val="00D62C02"/>
    <w:rsid w:val="00D630BE"/>
    <w:rsid w:val="00D6344D"/>
    <w:rsid w:val="00D64458"/>
    <w:rsid w:val="00D65372"/>
    <w:rsid w:val="00D65A3D"/>
    <w:rsid w:val="00D65A98"/>
    <w:rsid w:val="00D6620F"/>
    <w:rsid w:val="00D66236"/>
    <w:rsid w:val="00D668AA"/>
    <w:rsid w:val="00D668B4"/>
    <w:rsid w:val="00D66D10"/>
    <w:rsid w:val="00D66E0F"/>
    <w:rsid w:val="00D675A6"/>
    <w:rsid w:val="00D679FD"/>
    <w:rsid w:val="00D67F2B"/>
    <w:rsid w:val="00D70254"/>
    <w:rsid w:val="00D70CD6"/>
    <w:rsid w:val="00D71182"/>
    <w:rsid w:val="00D7121E"/>
    <w:rsid w:val="00D729BF"/>
    <w:rsid w:val="00D72E74"/>
    <w:rsid w:val="00D732A4"/>
    <w:rsid w:val="00D732FC"/>
    <w:rsid w:val="00D7445F"/>
    <w:rsid w:val="00D75A76"/>
    <w:rsid w:val="00D75D26"/>
    <w:rsid w:val="00D762F2"/>
    <w:rsid w:val="00D76495"/>
    <w:rsid w:val="00D7676F"/>
    <w:rsid w:val="00D76955"/>
    <w:rsid w:val="00D77029"/>
    <w:rsid w:val="00D77038"/>
    <w:rsid w:val="00D77569"/>
    <w:rsid w:val="00D80318"/>
    <w:rsid w:val="00D808B6"/>
    <w:rsid w:val="00D8122E"/>
    <w:rsid w:val="00D822CF"/>
    <w:rsid w:val="00D8284B"/>
    <w:rsid w:val="00D82A47"/>
    <w:rsid w:val="00D82B0D"/>
    <w:rsid w:val="00D82B7E"/>
    <w:rsid w:val="00D82F22"/>
    <w:rsid w:val="00D83362"/>
    <w:rsid w:val="00D83662"/>
    <w:rsid w:val="00D8388D"/>
    <w:rsid w:val="00D83988"/>
    <w:rsid w:val="00D83BCF"/>
    <w:rsid w:val="00D8480D"/>
    <w:rsid w:val="00D84ABD"/>
    <w:rsid w:val="00D85705"/>
    <w:rsid w:val="00D858D1"/>
    <w:rsid w:val="00D85CBB"/>
    <w:rsid w:val="00D85E6D"/>
    <w:rsid w:val="00D86E8A"/>
    <w:rsid w:val="00D87147"/>
    <w:rsid w:val="00D87165"/>
    <w:rsid w:val="00D8753D"/>
    <w:rsid w:val="00D87CB9"/>
    <w:rsid w:val="00D87E89"/>
    <w:rsid w:val="00D90EB4"/>
    <w:rsid w:val="00D90F1A"/>
    <w:rsid w:val="00D914B9"/>
    <w:rsid w:val="00D914CB"/>
    <w:rsid w:val="00D918F5"/>
    <w:rsid w:val="00D9197B"/>
    <w:rsid w:val="00D91BFF"/>
    <w:rsid w:val="00D91D5D"/>
    <w:rsid w:val="00D928A5"/>
    <w:rsid w:val="00D936C8"/>
    <w:rsid w:val="00D93FBA"/>
    <w:rsid w:val="00D943B4"/>
    <w:rsid w:val="00D94533"/>
    <w:rsid w:val="00D94F65"/>
    <w:rsid w:val="00D95C0D"/>
    <w:rsid w:val="00D96294"/>
    <w:rsid w:val="00D96947"/>
    <w:rsid w:val="00D969AB"/>
    <w:rsid w:val="00D972C9"/>
    <w:rsid w:val="00D974C5"/>
    <w:rsid w:val="00D97D86"/>
    <w:rsid w:val="00DA0346"/>
    <w:rsid w:val="00DA0803"/>
    <w:rsid w:val="00DA103B"/>
    <w:rsid w:val="00DA127A"/>
    <w:rsid w:val="00DA12E9"/>
    <w:rsid w:val="00DA2073"/>
    <w:rsid w:val="00DA20AB"/>
    <w:rsid w:val="00DA2AE2"/>
    <w:rsid w:val="00DA2DE6"/>
    <w:rsid w:val="00DA2F1E"/>
    <w:rsid w:val="00DA3BBC"/>
    <w:rsid w:val="00DA3F01"/>
    <w:rsid w:val="00DA41A9"/>
    <w:rsid w:val="00DA458D"/>
    <w:rsid w:val="00DA5154"/>
    <w:rsid w:val="00DA542F"/>
    <w:rsid w:val="00DA5A51"/>
    <w:rsid w:val="00DA661C"/>
    <w:rsid w:val="00DA6781"/>
    <w:rsid w:val="00DA74A8"/>
    <w:rsid w:val="00DB0166"/>
    <w:rsid w:val="00DB0BAF"/>
    <w:rsid w:val="00DB0CF7"/>
    <w:rsid w:val="00DB0E48"/>
    <w:rsid w:val="00DB1CE3"/>
    <w:rsid w:val="00DB1F27"/>
    <w:rsid w:val="00DB25A9"/>
    <w:rsid w:val="00DB3319"/>
    <w:rsid w:val="00DB35FC"/>
    <w:rsid w:val="00DB37D6"/>
    <w:rsid w:val="00DB3BA9"/>
    <w:rsid w:val="00DB3BEF"/>
    <w:rsid w:val="00DB4149"/>
    <w:rsid w:val="00DB47E4"/>
    <w:rsid w:val="00DB4CF9"/>
    <w:rsid w:val="00DB5ABF"/>
    <w:rsid w:val="00DB5BB7"/>
    <w:rsid w:val="00DB5DB3"/>
    <w:rsid w:val="00DB6624"/>
    <w:rsid w:val="00DB6692"/>
    <w:rsid w:val="00DB6741"/>
    <w:rsid w:val="00DB7123"/>
    <w:rsid w:val="00DB7344"/>
    <w:rsid w:val="00DB744A"/>
    <w:rsid w:val="00DB74D5"/>
    <w:rsid w:val="00DC05F3"/>
    <w:rsid w:val="00DC09FB"/>
    <w:rsid w:val="00DC0BA0"/>
    <w:rsid w:val="00DC11A7"/>
    <w:rsid w:val="00DC122F"/>
    <w:rsid w:val="00DC1E2D"/>
    <w:rsid w:val="00DC1E64"/>
    <w:rsid w:val="00DC20D5"/>
    <w:rsid w:val="00DC23D4"/>
    <w:rsid w:val="00DC2435"/>
    <w:rsid w:val="00DC2BBB"/>
    <w:rsid w:val="00DC2BFC"/>
    <w:rsid w:val="00DC2D2D"/>
    <w:rsid w:val="00DC2DFB"/>
    <w:rsid w:val="00DC3524"/>
    <w:rsid w:val="00DC3D27"/>
    <w:rsid w:val="00DC4048"/>
    <w:rsid w:val="00DC420D"/>
    <w:rsid w:val="00DC4E84"/>
    <w:rsid w:val="00DC57B6"/>
    <w:rsid w:val="00DC5BE5"/>
    <w:rsid w:val="00DC5DE9"/>
    <w:rsid w:val="00DC6341"/>
    <w:rsid w:val="00DC63F0"/>
    <w:rsid w:val="00DC64E1"/>
    <w:rsid w:val="00DC714F"/>
    <w:rsid w:val="00DC74EB"/>
    <w:rsid w:val="00DC76F7"/>
    <w:rsid w:val="00DC7826"/>
    <w:rsid w:val="00DD0358"/>
    <w:rsid w:val="00DD09C5"/>
    <w:rsid w:val="00DD1139"/>
    <w:rsid w:val="00DD1C62"/>
    <w:rsid w:val="00DD2044"/>
    <w:rsid w:val="00DD28B3"/>
    <w:rsid w:val="00DD2AF3"/>
    <w:rsid w:val="00DD308B"/>
    <w:rsid w:val="00DD3637"/>
    <w:rsid w:val="00DD3B12"/>
    <w:rsid w:val="00DD3CB8"/>
    <w:rsid w:val="00DD3EF0"/>
    <w:rsid w:val="00DD4627"/>
    <w:rsid w:val="00DD4E6B"/>
    <w:rsid w:val="00DD6031"/>
    <w:rsid w:val="00DD6B49"/>
    <w:rsid w:val="00DD736A"/>
    <w:rsid w:val="00DD75D5"/>
    <w:rsid w:val="00DD7A42"/>
    <w:rsid w:val="00DD7ECA"/>
    <w:rsid w:val="00DE0525"/>
    <w:rsid w:val="00DE07DA"/>
    <w:rsid w:val="00DE08B0"/>
    <w:rsid w:val="00DE0EE5"/>
    <w:rsid w:val="00DE10E2"/>
    <w:rsid w:val="00DE1B12"/>
    <w:rsid w:val="00DE1D03"/>
    <w:rsid w:val="00DE1E23"/>
    <w:rsid w:val="00DE25ED"/>
    <w:rsid w:val="00DE2F0D"/>
    <w:rsid w:val="00DE351E"/>
    <w:rsid w:val="00DE3583"/>
    <w:rsid w:val="00DE396A"/>
    <w:rsid w:val="00DE44EC"/>
    <w:rsid w:val="00DE4677"/>
    <w:rsid w:val="00DE505A"/>
    <w:rsid w:val="00DE51BD"/>
    <w:rsid w:val="00DE669E"/>
    <w:rsid w:val="00DE6AA9"/>
    <w:rsid w:val="00DE6AF2"/>
    <w:rsid w:val="00DE6B26"/>
    <w:rsid w:val="00DE7006"/>
    <w:rsid w:val="00DE7539"/>
    <w:rsid w:val="00DE7B8E"/>
    <w:rsid w:val="00DE7BF0"/>
    <w:rsid w:val="00DE7DCB"/>
    <w:rsid w:val="00DF0840"/>
    <w:rsid w:val="00DF08B4"/>
    <w:rsid w:val="00DF0E45"/>
    <w:rsid w:val="00DF1264"/>
    <w:rsid w:val="00DF1366"/>
    <w:rsid w:val="00DF18E9"/>
    <w:rsid w:val="00DF21FD"/>
    <w:rsid w:val="00DF2431"/>
    <w:rsid w:val="00DF26E7"/>
    <w:rsid w:val="00DF29B6"/>
    <w:rsid w:val="00DF2B05"/>
    <w:rsid w:val="00DF2BF1"/>
    <w:rsid w:val="00DF2E27"/>
    <w:rsid w:val="00DF2F82"/>
    <w:rsid w:val="00DF3013"/>
    <w:rsid w:val="00DF3253"/>
    <w:rsid w:val="00DF3262"/>
    <w:rsid w:val="00DF4779"/>
    <w:rsid w:val="00DF48E1"/>
    <w:rsid w:val="00DF5554"/>
    <w:rsid w:val="00DF5682"/>
    <w:rsid w:val="00DF5A40"/>
    <w:rsid w:val="00DF5EA0"/>
    <w:rsid w:val="00DF6029"/>
    <w:rsid w:val="00DF61CA"/>
    <w:rsid w:val="00DF662B"/>
    <w:rsid w:val="00DF6A58"/>
    <w:rsid w:val="00DF70D9"/>
    <w:rsid w:val="00DF7174"/>
    <w:rsid w:val="00DF7938"/>
    <w:rsid w:val="00DF796E"/>
    <w:rsid w:val="00DF7A89"/>
    <w:rsid w:val="00DF7FBC"/>
    <w:rsid w:val="00E0012C"/>
    <w:rsid w:val="00E0039B"/>
    <w:rsid w:val="00E00498"/>
    <w:rsid w:val="00E005AE"/>
    <w:rsid w:val="00E00762"/>
    <w:rsid w:val="00E00A25"/>
    <w:rsid w:val="00E00A85"/>
    <w:rsid w:val="00E014D0"/>
    <w:rsid w:val="00E018EC"/>
    <w:rsid w:val="00E01971"/>
    <w:rsid w:val="00E01998"/>
    <w:rsid w:val="00E01CC7"/>
    <w:rsid w:val="00E0219A"/>
    <w:rsid w:val="00E02586"/>
    <w:rsid w:val="00E02928"/>
    <w:rsid w:val="00E02D22"/>
    <w:rsid w:val="00E02EBB"/>
    <w:rsid w:val="00E02EDE"/>
    <w:rsid w:val="00E02FA9"/>
    <w:rsid w:val="00E03037"/>
    <w:rsid w:val="00E034C4"/>
    <w:rsid w:val="00E03A4B"/>
    <w:rsid w:val="00E03A82"/>
    <w:rsid w:val="00E03E83"/>
    <w:rsid w:val="00E041E6"/>
    <w:rsid w:val="00E04500"/>
    <w:rsid w:val="00E047A1"/>
    <w:rsid w:val="00E04FEB"/>
    <w:rsid w:val="00E0502D"/>
    <w:rsid w:val="00E054A8"/>
    <w:rsid w:val="00E054BE"/>
    <w:rsid w:val="00E054C0"/>
    <w:rsid w:val="00E055D3"/>
    <w:rsid w:val="00E060FB"/>
    <w:rsid w:val="00E07737"/>
    <w:rsid w:val="00E0787A"/>
    <w:rsid w:val="00E07972"/>
    <w:rsid w:val="00E07A02"/>
    <w:rsid w:val="00E07B0E"/>
    <w:rsid w:val="00E1088A"/>
    <w:rsid w:val="00E10A16"/>
    <w:rsid w:val="00E10AD8"/>
    <w:rsid w:val="00E10DEE"/>
    <w:rsid w:val="00E1168E"/>
    <w:rsid w:val="00E1199B"/>
    <w:rsid w:val="00E119C9"/>
    <w:rsid w:val="00E11B75"/>
    <w:rsid w:val="00E11F70"/>
    <w:rsid w:val="00E120B2"/>
    <w:rsid w:val="00E12333"/>
    <w:rsid w:val="00E123C1"/>
    <w:rsid w:val="00E1341D"/>
    <w:rsid w:val="00E13718"/>
    <w:rsid w:val="00E14081"/>
    <w:rsid w:val="00E14540"/>
    <w:rsid w:val="00E14BA6"/>
    <w:rsid w:val="00E1518E"/>
    <w:rsid w:val="00E153DF"/>
    <w:rsid w:val="00E153F6"/>
    <w:rsid w:val="00E1585F"/>
    <w:rsid w:val="00E15860"/>
    <w:rsid w:val="00E15C48"/>
    <w:rsid w:val="00E1625C"/>
    <w:rsid w:val="00E16324"/>
    <w:rsid w:val="00E16715"/>
    <w:rsid w:val="00E16BCC"/>
    <w:rsid w:val="00E16D8A"/>
    <w:rsid w:val="00E175F5"/>
    <w:rsid w:val="00E17EA1"/>
    <w:rsid w:val="00E200CA"/>
    <w:rsid w:val="00E203FC"/>
    <w:rsid w:val="00E204D8"/>
    <w:rsid w:val="00E2124C"/>
    <w:rsid w:val="00E2135F"/>
    <w:rsid w:val="00E213F5"/>
    <w:rsid w:val="00E21511"/>
    <w:rsid w:val="00E21C46"/>
    <w:rsid w:val="00E23BC8"/>
    <w:rsid w:val="00E23CEB"/>
    <w:rsid w:val="00E23F14"/>
    <w:rsid w:val="00E23F24"/>
    <w:rsid w:val="00E24AD6"/>
    <w:rsid w:val="00E24C3E"/>
    <w:rsid w:val="00E24F35"/>
    <w:rsid w:val="00E254AB"/>
    <w:rsid w:val="00E26570"/>
    <w:rsid w:val="00E26A49"/>
    <w:rsid w:val="00E27E1D"/>
    <w:rsid w:val="00E27E55"/>
    <w:rsid w:val="00E303BD"/>
    <w:rsid w:val="00E30780"/>
    <w:rsid w:val="00E30C09"/>
    <w:rsid w:val="00E30D30"/>
    <w:rsid w:val="00E31AF0"/>
    <w:rsid w:val="00E32B2C"/>
    <w:rsid w:val="00E32E4E"/>
    <w:rsid w:val="00E33712"/>
    <w:rsid w:val="00E33B1F"/>
    <w:rsid w:val="00E33BF3"/>
    <w:rsid w:val="00E33F4A"/>
    <w:rsid w:val="00E341AC"/>
    <w:rsid w:val="00E34355"/>
    <w:rsid w:val="00E347DF"/>
    <w:rsid w:val="00E34CB7"/>
    <w:rsid w:val="00E34DAD"/>
    <w:rsid w:val="00E34DD5"/>
    <w:rsid w:val="00E34DFD"/>
    <w:rsid w:val="00E34E07"/>
    <w:rsid w:val="00E34E84"/>
    <w:rsid w:val="00E34EFC"/>
    <w:rsid w:val="00E350C4"/>
    <w:rsid w:val="00E364A3"/>
    <w:rsid w:val="00E36745"/>
    <w:rsid w:val="00E3700B"/>
    <w:rsid w:val="00E37118"/>
    <w:rsid w:val="00E371D6"/>
    <w:rsid w:val="00E371FE"/>
    <w:rsid w:val="00E374A3"/>
    <w:rsid w:val="00E37709"/>
    <w:rsid w:val="00E3774E"/>
    <w:rsid w:val="00E37934"/>
    <w:rsid w:val="00E379D3"/>
    <w:rsid w:val="00E409F5"/>
    <w:rsid w:val="00E40F55"/>
    <w:rsid w:val="00E4165C"/>
    <w:rsid w:val="00E4194F"/>
    <w:rsid w:val="00E41A04"/>
    <w:rsid w:val="00E41B93"/>
    <w:rsid w:val="00E41BF4"/>
    <w:rsid w:val="00E42168"/>
    <w:rsid w:val="00E42509"/>
    <w:rsid w:val="00E4278A"/>
    <w:rsid w:val="00E4284B"/>
    <w:rsid w:val="00E42BE1"/>
    <w:rsid w:val="00E42C10"/>
    <w:rsid w:val="00E42D79"/>
    <w:rsid w:val="00E42DC3"/>
    <w:rsid w:val="00E432BF"/>
    <w:rsid w:val="00E43A80"/>
    <w:rsid w:val="00E44C0D"/>
    <w:rsid w:val="00E45067"/>
    <w:rsid w:val="00E451D3"/>
    <w:rsid w:val="00E454F0"/>
    <w:rsid w:val="00E45983"/>
    <w:rsid w:val="00E45C78"/>
    <w:rsid w:val="00E45CE0"/>
    <w:rsid w:val="00E45DFF"/>
    <w:rsid w:val="00E46023"/>
    <w:rsid w:val="00E46830"/>
    <w:rsid w:val="00E469E8"/>
    <w:rsid w:val="00E46CE3"/>
    <w:rsid w:val="00E474D6"/>
    <w:rsid w:val="00E47536"/>
    <w:rsid w:val="00E4795B"/>
    <w:rsid w:val="00E502D2"/>
    <w:rsid w:val="00E5035B"/>
    <w:rsid w:val="00E5084B"/>
    <w:rsid w:val="00E50A3C"/>
    <w:rsid w:val="00E50BA6"/>
    <w:rsid w:val="00E50E12"/>
    <w:rsid w:val="00E51537"/>
    <w:rsid w:val="00E51667"/>
    <w:rsid w:val="00E51A45"/>
    <w:rsid w:val="00E51B9D"/>
    <w:rsid w:val="00E51E5F"/>
    <w:rsid w:val="00E52216"/>
    <w:rsid w:val="00E52634"/>
    <w:rsid w:val="00E52DBC"/>
    <w:rsid w:val="00E53467"/>
    <w:rsid w:val="00E5381A"/>
    <w:rsid w:val="00E53896"/>
    <w:rsid w:val="00E538A9"/>
    <w:rsid w:val="00E53AB0"/>
    <w:rsid w:val="00E54758"/>
    <w:rsid w:val="00E54D2B"/>
    <w:rsid w:val="00E55B27"/>
    <w:rsid w:val="00E55C4B"/>
    <w:rsid w:val="00E560EC"/>
    <w:rsid w:val="00E56A47"/>
    <w:rsid w:val="00E57EB8"/>
    <w:rsid w:val="00E57F94"/>
    <w:rsid w:val="00E603E1"/>
    <w:rsid w:val="00E60A73"/>
    <w:rsid w:val="00E60DE7"/>
    <w:rsid w:val="00E60FF5"/>
    <w:rsid w:val="00E6100D"/>
    <w:rsid w:val="00E61E98"/>
    <w:rsid w:val="00E622DD"/>
    <w:rsid w:val="00E62541"/>
    <w:rsid w:val="00E62A91"/>
    <w:rsid w:val="00E62B7A"/>
    <w:rsid w:val="00E62BB3"/>
    <w:rsid w:val="00E62E5E"/>
    <w:rsid w:val="00E62F9B"/>
    <w:rsid w:val="00E62FD6"/>
    <w:rsid w:val="00E63928"/>
    <w:rsid w:val="00E63D20"/>
    <w:rsid w:val="00E641EA"/>
    <w:rsid w:val="00E648DF"/>
    <w:rsid w:val="00E64D27"/>
    <w:rsid w:val="00E65026"/>
    <w:rsid w:val="00E652AB"/>
    <w:rsid w:val="00E65D79"/>
    <w:rsid w:val="00E65F84"/>
    <w:rsid w:val="00E65FBD"/>
    <w:rsid w:val="00E661C8"/>
    <w:rsid w:val="00E66805"/>
    <w:rsid w:val="00E66BEB"/>
    <w:rsid w:val="00E66C0A"/>
    <w:rsid w:val="00E674E4"/>
    <w:rsid w:val="00E675D5"/>
    <w:rsid w:val="00E67762"/>
    <w:rsid w:val="00E67BCD"/>
    <w:rsid w:val="00E7054E"/>
    <w:rsid w:val="00E706DA"/>
    <w:rsid w:val="00E70909"/>
    <w:rsid w:val="00E70AE3"/>
    <w:rsid w:val="00E70E6E"/>
    <w:rsid w:val="00E715F9"/>
    <w:rsid w:val="00E7169C"/>
    <w:rsid w:val="00E7181B"/>
    <w:rsid w:val="00E71EF1"/>
    <w:rsid w:val="00E72619"/>
    <w:rsid w:val="00E7298F"/>
    <w:rsid w:val="00E730E4"/>
    <w:rsid w:val="00E73304"/>
    <w:rsid w:val="00E73CE3"/>
    <w:rsid w:val="00E74930"/>
    <w:rsid w:val="00E753DC"/>
    <w:rsid w:val="00E76438"/>
    <w:rsid w:val="00E764BF"/>
    <w:rsid w:val="00E767C1"/>
    <w:rsid w:val="00E7748D"/>
    <w:rsid w:val="00E77A49"/>
    <w:rsid w:val="00E77E1D"/>
    <w:rsid w:val="00E800B4"/>
    <w:rsid w:val="00E80222"/>
    <w:rsid w:val="00E806E5"/>
    <w:rsid w:val="00E80768"/>
    <w:rsid w:val="00E80A59"/>
    <w:rsid w:val="00E80C14"/>
    <w:rsid w:val="00E81143"/>
    <w:rsid w:val="00E8125B"/>
    <w:rsid w:val="00E81B85"/>
    <w:rsid w:val="00E81E9B"/>
    <w:rsid w:val="00E820B7"/>
    <w:rsid w:val="00E827D2"/>
    <w:rsid w:val="00E82AE1"/>
    <w:rsid w:val="00E83052"/>
    <w:rsid w:val="00E83549"/>
    <w:rsid w:val="00E836E7"/>
    <w:rsid w:val="00E83871"/>
    <w:rsid w:val="00E83960"/>
    <w:rsid w:val="00E83D39"/>
    <w:rsid w:val="00E83FD9"/>
    <w:rsid w:val="00E8416B"/>
    <w:rsid w:val="00E8458C"/>
    <w:rsid w:val="00E84DAF"/>
    <w:rsid w:val="00E84F5B"/>
    <w:rsid w:val="00E850A5"/>
    <w:rsid w:val="00E85701"/>
    <w:rsid w:val="00E857E8"/>
    <w:rsid w:val="00E858C8"/>
    <w:rsid w:val="00E85A72"/>
    <w:rsid w:val="00E85D3D"/>
    <w:rsid w:val="00E85D95"/>
    <w:rsid w:val="00E85E40"/>
    <w:rsid w:val="00E860DA"/>
    <w:rsid w:val="00E8679F"/>
    <w:rsid w:val="00E869DC"/>
    <w:rsid w:val="00E86C6C"/>
    <w:rsid w:val="00E86CB6"/>
    <w:rsid w:val="00E86F5B"/>
    <w:rsid w:val="00E87780"/>
    <w:rsid w:val="00E87974"/>
    <w:rsid w:val="00E9048D"/>
    <w:rsid w:val="00E90A43"/>
    <w:rsid w:val="00E90B45"/>
    <w:rsid w:val="00E90EA4"/>
    <w:rsid w:val="00E9115D"/>
    <w:rsid w:val="00E9167C"/>
    <w:rsid w:val="00E91AA3"/>
    <w:rsid w:val="00E91D69"/>
    <w:rsid w:val="00E920E4"/>
    <w:rsid w:val="00E9212B"/>
    <w:rsid w:val="00E923A3"/>
    <w:rsid w:val="00E924A1"/>
    <w:rsid w:val="00E92582"/>
    <w:rsid w:val="00E929A4"/>
    <w:rsid w:val="00E92B19"/>
    <w:rsid w:val="00E92E51"/>
    <w:rsid w:val="00E92EF7"/>
    <w:rsid w:val="00E93112"/>
    <w:rsid w:val="00E93773"/>
    <w:rsid w:val="00E93ECD"/>
    <w:rsid w:val="00E93FAA"/>
    <w:rsid w:val="00E95272"/>
    <w:rsid w:val="00E953F4"/>
    <w:rsid w:val="00E95911"/>
    <w:rsid w:val="00E95BDA"/>
    <w:rsid w:val="00E9716D"/>
    <w:rsid w:val="00E9771E"/>
    <w:rsid w:val="00EA021F"/>
    <w:rsid w:val="00EA02B2"/>
    <w:rsid w:val="00EA064B"/>
    <w:rsid w:val="00EA091A"/>
    <w:rsid w:val="00EA1234"/>
    <w:rsid w:val="00EA186A"/>
    <w:rsid w:val="00EA2010"/>
    <w:rsid w:val="00EA239E"/>
    <w:rsid w:val="00EA24B8"/>
    <w:rsid w:val="00EA2A74"/>
    <w:rsid w:val="00EA2EA2"/>
    <w:rsid w:val="00EA3065"/>
    <w:rsid w:val="00EA35A5"/>
    <w:rsid w:val="00EA36FC"/>
    <w:rsid w:val="00EA38CA"/>
    <w:rsid w:val="00EA3A14"/>
    <w:rsid w:val="00EA3AC2"/>
    <w:rsid w:val="00EA3B95"/>
    <w:rsid w:val="00EA3C34"/>
    <w:rsid w:val="00EA3F46"/>
    <w:rsid w:val="00EA41CE"/>
    <w:rsid w:val="00EA47E6"/>
    <w:rsid w:val="00EA4C61"/>
    <w:rsid w:val="00EA4D91"/>
    <w:rsid w:val="00EA525D"/>
    <w:rsid w:val="00EA5622"/>
    <w:rsid w:val="00EA5E05"/>
    <w:rsid w:val="00EA6436"/>
    <w:rsid w:val="00EA6CAF"/>
    <w:rsid w:val="00EA7709"/>
    <w:rsid w:val="00EA78BE"/>
    <w:rsid w:val="00EA7EC9"/>
    <w:rsid w:val="00EA7FDE"/>
    <w:rsid w:val="00EB076E"/>
    <w:rsid w:val="00EB0847"/>
    <w:rsid w:val="00EB0A03"/>
    <w:rsid w:val="00EB0B84"/>
    <w:rsid w:val="00EB0BDE"/>
    <w:rsid w:val="00EB0C8C"/>
    <w:rsid w:val="00EB0CF3"/>
    <w:rsid w:val="00EB10C5"/>
    <w:rsid w:val="00EB10CF"/>
    <w:rsid w:val="00EB119B"/>
    <w:rsid w:val="00EB27F1"/>
    <w:rsid w:val="00EB28F5"/>
    <w:rsid w:val="00EB2996"/>
    <w:rsid w:val="00EB2C35"/>
    <w:rsid w:val="00EB2E1D"/>
    <w:rsid w:val="00EB2E59"/>
    <w:rsid w:val="00EB356B"/>
    <w:rsid w:val="00EB368C"/>
    <w:rsid w:val="00EB3844"/>
    <w:rsid w:val="00EB408A"/>
    <w:rsid w:val="00EB4455"/>
    <w:rsid w:val="00EB46C3"/>
    <w:rsid w:val="00EB4811"/>
    <w:rsid w:val="00EB4E64"/>
    <w:rsid w:val="00EB5528"/>
    <w:rsid w:val="00EB591C"/>
    <w:rsid w:val="00EB59B2"/>
    <w:rsid w:val="00EB5BF0"/>
    <w:rsid w:val="00EB6732"/>
    <w:rsid w:val="00EB6763"/>
    <w:rsid w:val="00EB6F95"/>
    <w:rsid w:val="00EB706E"/>
    <w:rsid w:val="00EB72F0"/>
    <w:rsid w:val="00EB7483"/>
    <w:rsid w:val="00EB7730"/>
    <w:rsid w:val="00EB7C35"/>
    <w:rsid w:val="00EC026E"/>
    <w:rsid w:val="00EC0CC9"/>
    <w:rsid w:val="00EC0CD5"/>
    <w:rsid w:val="00EC0FE7"/>
    <w:rsid w:val="00EC1082"/>
    <w:rsid w:val="00EC1B79"/>
    <w:rsid w:val="00EC1D30"/>
    <w:rsid w:val="00EC1D7C"/>
    <w:rsid w:val="00EC1DC3"/>
    <w:rsid w:val="00EC1DF1"/>
    <w:rsid w:val="00EC1EFF"/>
    <w:rsid w:val="00EC2BF1"/>
    <w:rsid w:val="00EC36D9"/>
    <w:rsid w:val="00EC3FCB"/>
    <w:rsid w:val="00EC423E"/>
    <w:rsid w:val="00EC439F"/>
    <w:rsid w:val="00EC43F4"/>
    <w:rsid w:val="00EC4AA5"/>
    <w:rsid w:val="00EC5D53"/>
    <w:rsid w:val="00EC5ECB"/>
    <w:rsid w:val="00EC66CF"/>
    <w:rsid w:val="00EC6BA9"/>
    <w:rsid w:val="00EC6E16"/>
    <w:rsid w:val="00EC7143"/>
    <w:rsid w:val="00EC71BC"/>
    <w:rsid w:val="00EC7315"/>
    <w:rsid w:val="00EC7B8F"/>
    <w:rsid w:val="00ED00A4"/>
    <w:rsid w:val="00ED025A"/>
    <w:rsid w:val="00ED0298"/>
    <w:rsid w:val="00ED03BC"/>
    <w:rsid w:val="00ED04A9"/>
    <w:rsid w:val="00ED0861"/>
    <w:rsid w:val="00ED0B8F"/>
    <w:rsid w:val="00ED0BAF"/>
    <w:rsid w:val="00ED0ECC"/>
    <w:rsid w:val="00ED1928"/>
    <w:rsid w:val="00ED1BDC"/>
    <w:rsid w:val="00ED2060"/>
    <w:rsid w:val="00ED20BB"/>
    <w:rsid w:val="00ED2274"/>
    <w:rsid w:val="00ED23CC"/>
    <w:rsid w:val="00ED2415"/>
    <w:rsid w:val="00ED2AE3"/>
    <w:rsid w:val="00ED333B"/>
    <w:rsid w:val="00ED3542"/>
    <w:rsid w:val="00ED3A48"/>
    <w:rsid w:val="00ED441B"/>
    <w:rsid w:val="00ED468A"/>
    <w:rsid w:val="00ED49AB"/>
    <w:rsid w:val="00ED4EA5"/>
    <w:rsid w:val="00ED54B3"/>
    <w:rsid w:val="00ED60C2"/>
    <w:rsid w:val="00ED60F9"/>
    <w:rsid w:val="00ED661C"/>
    <w:rsid w:val="00ED7274"/>
    <w:rsid w:val="00EE042A"/>
    <w:rsid w:val="00EE10FF"/>
    <w:rsid w:val="00EE1419"/>
    <w:rsid w:val="00EE171D"/>
    <w:rsid w:val="00EE19FA"/>
    <w:rsid w:val="00EE2387"/>
    <w:rsid w:val="00EE2881"/>
    <w:rsid w:val="00EE2B28"/>
    <w:rsid w:val="00EE2DFE"/>
    <w:rsid w:val="00EE3348"/>
    <w:rsid w:val="00EE3511"/>
    <w:rsid w:val="00EE363B"/>
    <w:rsid w:val="00EE3DC4"/>
    <w:rsid w:val="00EE4993"/>
    <w:rsid w:val="00EE4CBE"/>
    <w:rsid w:val="00EE53A2"/>
    <w:rsid w:val="00EE5E04"/>
    <w:rsid w:val="00EE609E"/>
    <w:rsid w:val="00EE63FA"/>
    <w:rsid w:val="00EE6869"/>
    <w:rsid w:val="00EE6944"/>
    <w:rsid w:val="00EE76E0"/>
    <w:rsid w:val="00EE773E"/>
    <w:rsid w:val="00EE7E97"/>
    <w:rsid w:val="00EF023D"/>
    <w:rsid w:val="00EF02CA"/>
    <w:rsid w:val="00EF1284"/>
    <w:rsid w:val="00EF12B1"/>
    <w:rsid w:val="00EF14EC"/>
    <w:rsid w:val="00EF1536"/>
    <w:rsid w:val="00EF1642"/>
    <w:rsid w:val="00EF1843"/>
    <w:rsid w:val="00EF1BC3"/>
    <w:rsid w:val="00EF1F04"/>
    <w:rsid w:val="00EF20F9"/>
    <w:rsid w:val="00EF226B"/>
    <w:rsid w:val="00EF2777"/>
    <w:rsid w:val="00EF2CA1"/>
    <w:rsid w:val="00EF2EA9"/>
    <w:rsid w:val="00EF32E1"/>
    <w:rsid w:val="00EF3495"/>
    <w:rsid w:val="00EF36BF"/>
    <w:rsid w:val="00EF3A04"/>
    <w:rsid w:val="00EF41A1"/>
    <w:rsid w:val="00EF4241"/>
    <w:rsid w:val="00EF47E3"/>
    <w:rsid w:val="00EF4F6D"/>
    <w:rsid w:val="00EF5664"/>
    <w:rsid w:val="00EF571B"/>
    <w:rsid w:val="00EF58D0"/>
    <w:rsid w:val="00EF59D7"/>
    <w:rsid w:val="00EF5C73"/>
    <w:rsid w:val="00EF5FD4"/>
    <w:rsid w:val="00EF5FD6"/>
    <w:rsid w:val="00EF610B"/>
    <w:rsid w:val="00EF6470"/>
    <w:rsid w:val="00EF6663"/>
    <w:rsid w:val="00EF6D28"/>
    <w:rsid w:val="00EF6D8D"/>
    <w:rsid w:val="00EF6EB5"/>
    <w:rsid w:val="00EF6FBD"/>
    <w:rsid w:val="00EF7307"/>
    <w:rsid w:val="00EF7A77"/>
    <w:rsid w:val="00F00338"/>
    <w:rsid w:val="00F00770"/>
    <w:rsid w:val="00F00A20"/>
    <w:rsid w:val="00F00F6B"/>
    <w:rsid w:val="00F01179"/>
    <w:rsid w:val="00F020E1"/>
    <w:rsid w:val="00F0223E"/>
    <w:rsid w:val="00F02285"/>
    <w:rsid w:val="00F022BB"/>
    <w:rsid w:val="00F02A0A"/>
    <w:rsid w:val="00F02A2C"/>
    <w:rsid w:val="00F02DFD"/>
    <w:rsid w:val="00F0303B"/>
    <w:rsid w:val="00F034D4"/>
    <w:rsid w:val="00F0404A"/>
    <w:rsid w:val="00F041AC"/>
    <w:rsid w:val="00F04862"/>
    <w:rsid w:val="00F0524E"/>
    <w:rsid w:val="00F06433"/>
    <w:rsid w:val="00F06575"/>
    <w:rsid w:val="00F0659E"/>
    <w:rsid w:val="00F067A3"/>
    <w:rsid w:val="00F076C0"/>
    <w:rsid w:val="00F07BAE"/>
    <w:rsid w:val="00F07E08"/>
    <w:rsid w:val="00F1004D"/>
    <w:rsid w:val="00F10457"/>
    <w:rsid w:val="00F108C5"/>
    <w:rsid w:val="00F110D7"/>
    <w:rsid w:val="00F11216"/>
    <w:rsid w:val="00F115F3"/>
    <w:rsid w:val="00F11CA2"/>
    <w:rsid w:val="00F11F0E"/>
    <w:rsid w:val="00F11F68"/>
    <w:rsid w:val="00F12322"/>
    <w:rsid w:val="00F12834"/>
    <w:rsid w:val="00F12ACC"/>
    <w:rsid w:val="00F12D3E"/>
    <w:rsid w:val="00F12D50"/>
    <w:rsid w:val="00F1397A"/>
    <w:rsid w:val="00F13C32"/>
    <w:rsid w:val="00F13E37"/>
    <w:rsid w:val="00F145B1"/>
    <w:rsid w:val="00F14747"/>
    <w:rsid w:val="00F148EF"/>
    <w:rsid w:val="00F14CF1"/>
    <w:rsid w:val="00F15063"/>
    <w:rsid w:val="00F15104"/>
    <w:rsid w:val="00F151F6"/>
    <w:rsid w:val="00F156CD"/>
    <w:rsid w:val="00F15FD8"/>
    <w:rsid w:val="00F1614B"/>
    <w:rsid w:val="00F16195"/>
    <w:rsid w:val="00F161F1"/>
    <w:rsid w:val="00F16270"/>
    <w:rsid w:val="00F1710B"/>
    <w:rsid w:val="00F17345"/>
    <w:rsid w:val="00F17462"/>
    <w:rsid w:val="00F1749E"/>
    <w:rsid w:val="00F17A06"/>
    <w:rsid w:val="00F17BBF"/>
    <w:rsid w:val="00F17D84"/>
    <w:rsid w:val="00F17FAF"/>
    <w:rsid w:val="00F20135"/>
    <w:rsid w:val="00F20582"/>
    <w:rsid w:val="00F20D08"/>
    <w:rsid w:val="00F20D6A"/>
    <w:rsid w:val="00F21168"/>
    <w:rsid w:val="00F21E2D"/>
    <w:rsid w:val="00F22598"/>
    <w:rsid w:val="00F22E3C"/>
    <w:rsid w:val="00F232C7"/>
    <w:rsid w:val="00F234B1"/>
    <w:rsid w:val="00F23576"/>
    <w:rsid w:val="00F2360D"/>
    <w:rsid w:val="00F23990"/>
    <w:rsid w:val="00F23C5A"/>
    <w:rsid w:val="00F23CA8"/>
    <w:rsid w:val="00F24A27"/>
    <w:rsid w:val="00F24CA9"/>
    <w:rsid w:val="00F24CE0"/>
    <w:rsid w:val="00F25C2F"/>
    <w:rsid w:val="00F25CA9"/>
    <w:rsid w:val="00F25E9E"/>
    <w:rsid w:val="00F25F38"/>
    <w:rsid w:val="00F260E9"/>
    <w:rsid w:val="00F26453"/>
    <w:rsid w:val="00F266E0"/>
    <w:rsid w:val="00F26B67"/>
    <w:rsid w:val="00F273E1"/>
    <w:rsid w:val="00F278BD"/>
    <w:rsid w:val="00F27B1B"/>
    <w:rsid w:val="00F304BA"/>
    <w:rsid w:val="00F3063E"/>
    <w:rsid w:val="00F30B51"/>
    <w:rsid w:val="00F30DAE"/>
    <w:rsid w:val="00F30E95"/>
    <w:rsid w:val="00F310E2"/>
    <w:rsid w:val="00F31438"/>
    <w:rsid w:val="00F31EB6"/>
    <w:rsid w:val="00F32020"/>
    <w:rsid w:val="00F32281"/>
    <w:rsid w:val="00F322AC"/>
    <w:rsid w:val="00F329F5"/>
    <w:rsid w:val="00F32A1B"/>
    <w:rsid w:val="00F32D8E"/>
    <w:rsid w:val="00F33255"/>
    <w:rsid w:val="00F3330F"/>
    <w:rsid w:val="00F34299"/>
    <w:rsid w:val="00F34B95"/>
    <w:rsid w:val="00F34C3E"/>
    <w:rsid w:val="00F34C7E"/>
    <w:rsid w:val="00F34CA5"/>
    <w:rsid w:val="00F34F38"/>
    <w:rsid w:val="00F357F3"/>
    <w:rsid w:val="00F36378"/>
    <w:rsid w:val="00F369F9"/>
    <w:rsid w:val="00F36AF3"/>
    <w:rsid w:val="00F36B02"/>
    <w:rsid w:val="00F36C43"/>
    <w:rsid w:val="00F375FF"/>
    <w:rsid w:val="00F376CF"/>
    <w:rsid w:val="00F37A84"/>
    <w:rsid w:val="00F37CD1"/>
    <w:rsid w:val="00F40303"/>
    <w:rsid w:val="00F405ED"/>
    <w:rsid w:val="00F408AC"/>
    <w:rsid w:val="00F408E7"/>
    <w:rsid w:val="00F40A85"/>
    <w:rsid w:val="00F40CDD"/>
    <w:rsid w:val="00F41385"/>
    <w:rsid w:val="00F41629"/>
    <w:rsid w:val="00F423C5"/>
    <w:rsid w:val="00F430F6"/>
    <w:rsid w:val="00F439CD"/>
    <w:rsid w:val="00F43BD4"/>
    <w:rsid w:val="00F441A0"/>
    <w:rsid w:val="00F44402"/>
    <w:rsid w:val="00F4471D"/>
    <w:rsid w:val="00F450C6"/>
    <w:rsid w:val="00F452DC"/>
    <w:rsid w:val="00F45429"/>
    <w:rsid w:val="00F45B54"/>
    <w:rsid w:val="00F45C1E"/>
    <w:rsid w:val="00F45F2A"/>
    <w:rsid w:val="00F4634C"/>
    <w:rsid w:val="00F46595"/>
    <w:rsid w:val="00F4684F"/>
    <w:rsid w:val="00F46B5B"/>
    <w:rsid w:val="00F46DBB"/>
    <w:rsid w:val="00F4786C"/>
    <w:rsid w:val="00F478AD"/>
    <w:rsid w:val="00F4795B"/>
    <w:rsid w:val="00F47CB9"/>
    <w:rsid w:val="00F47FE6"/>
    <w:rsid w:val="00F50A2D"/>
    <w:rsid w:val="00F50A39"/>
    <w:rsid w:val="00F50AE3"/>
    <w:rsid w:val="00F51446"/>
    <w:rsid w:val="00F514F1"/>
    <w:rsid w:val="00F519B4"/>
    <w:rsid w:val="00F51FB5"/>
    <w:rsid w:val="00F52195"/>
    <w:rsid w:val="00F521D0"/>
    <w:rsid w:val="00F5220A"/>
    <w:rsid w:val="00F5239A"/>
    <w:rsid w:val="00F523D4"/>
    <w:rsid w:val="00F526DB"/>
    <w:rsid w:val="00F52AE2"/>
    <w:rsid w:val="00F52BFA"/>
    <w:rsid w:val="00F52F69"/>
    <w:rsid w:val="00F52FDF"/>
    <w:rsid w:val="00F5300D"/>
    <w:rsid w:val="00F53466"/>
    <w:rsid w:val="00F5381D"/>
    <w:rsid w:val="00F53EEE"/>
    <w:rsid w:val="00F54073"/>
    <w:rsid w:val="00F542D7"/>
    <w:rsid w:val="00F54BFB"/>
    <w:rsid w:val="00F55DA3"/>
    <w:rsid w:val="00F56010"/>
    <w:rsid w:val="00F566BA"/>
    <w:rsid w:val="00F56776"/>
    <w:rsid w:val="00F569D6"/>
    <w:rsid w:val="00F5767E"/>
    <w:rsid w:val="00F57733"/>
    <w:rsid w:val="00F5798F"/>
    <w:rsid w:val="00F57A1F"/>
    <w:rsid w:val="00F57F6D"/>
    <w:rsid w:val="00F600A8"/>
    <w:rsid w:val="00F604FE"/>
    <w:rsid w:val="00F612AC"/>
    <w:rsid w:val="00F61B67"/>
    <w:rsid w:val="00F61BBA"/>
    <w:rsid w:val="00F6216D"/>
    <w:rsid w:val="00F621F1"/>
    <w:rsid w:val="00F62981"/>
    <w:rsid w:val="00F62A38"/>
    <w:rsid w:val="00F62BBF"/>
    <w:rsid w:val="00F62D45"/>
    <w:rsid w:val="00F632C7"/>
    <w:rsid w:val="00F632E4"/>
    <w:rsid w:val="00F63D94"/>
    <w:rsid w:val="00F64566"/>
    <w:rsid w:val="00F64633"/>
    <w:rsid w:val="00F64B90"/>
    <w:rsid w:val="00F64C07"/>
    <w:rsid w:val="00F64EBE"/>
    <w:rsid w:val="00F64F2C"/>
    <w:rsid w:val="00F64F95"/>
    <w:rsid w:val="00F650E2"/>
    <w:rsid w:val="00F65772"/>
    <w:rsid w:val="00F658A6"/>
    <w:rsid w:val="00F6633B"/>
    <w:rsid w:val="00F6665D"/>
    <w:rsid w:val="00F666D8"/>
    <w:rsid w:val="00F67066"/>
    <w:rsid w:val="00F70187"/>
    <w:rsid w:val="00F70196"/>
    <w:rsid w:val="00F70246"/>
    <w:rsid w:val="00F7031E"/>
    <w:rsid w:val="00F704F7"/>
    <w:rsid w:val="00F70849"/>
    <w:rsid w:val="00F7104D"/>
    <w:rsid w:val="00F7117D"/>
    <w:rsid w:val="00F717F7"/>
    <w:rsid w:val="00F722F9"/>
    <w:rsid w:val="00F72E2A"/>
    <w:rsid w:val="00F72F36"/>
    <w:rsid w:val="00F73B26"/>
    <w:rsid w:val="00F73BC8"/>
    <w:rsid w:val="00F73C9B"/>
    <w:rsid w:val="00F74229"/>
    <w:rsid w:val="00F7453E"/>
    <w:rsid w:val="00F7459C"/>
    <w:rsid w:val="00F7477D"/>
    <w:rsid w:val="00F747AC"/>
    <w:rsid w:val="00F749F9"/>
    <w:rsid w:val="00F74A91"/>
    <w:rsid w:val="00F74CFA"/>
    <w:rsid w:val="00F75C38"/>
    <w:rsid w:val="00F76EDE"/>
    <w:rsid w:val="00F77309"/>
    <w:rsid w:val="00F77DEF"/>
    <w:rsid w:val="00F800FD"/>
    <w:rsid w:val="00F8035E"/>
    <w:rsid w:val="00F81629"/>
    <w:rsid w:val="00F82552"/>
    <w:rsid w:val="00F82C42"/>
    <w:rsid w:val="00F833F3"/>
    <w:rsid w:val="00F8360C"/>
    <w:rsid w:val="00F83751"/>
    <w:rsid w:val="00F83950"/>
    <w:rsid w:val="00F83AB5"/>
    <w:rsid w:val="00F83FBA"/>
    <w:rsid w:val="00F84012"/>
    <w:rsid w:val="00F8444F"/>
    <w:rsid w:val="00F84773"/>
    <w:rsid w:val="00F849B8"/>
    <w:rsid w:val="00F84CDF"/>
    <w:rsid w:val="00F85125"/>
    <w:rsid w:val="00F85388"/>
    <w:rsid w:val="00F854D5"/>
    <w:rsid w:val="00F85DB3"/>
    <w:rsid w:val="00F861EC"/>
    <w:rsid w:val="00F86749"/>
    <w:rsid w:val="00F86F67"/>
    <w:rsid w:val="00F8701F"/>
    <w:rsid w:val="00F8710B"/>
    <w:rsid w:val="00F8719A"/>
    <w:rsid w:val="00F87731"/>
    <w:rsid w:val="00F87A08"/>
    <w:rsid w:val="00F90163"/>
    <w:rsid w:val="00F90292"/>
    <w:rsid w:val="00F90479"/>
    <w:rsid w:val="00F9089D"/>
    <w:rsid w:val="00F91CC9"/>
    <w:rsid w:val="00F91D44"/>
    <w:rsid w:val="00F91FFA"/>
    <w:rsid w:val="00F924D0"/>
    <w:rsid w:val="00F927F7"/>
    <w:rsid w:val="00F928AD"/>
    <w:rsid w:val="00F92A91"/>
    <w:rsid w:val="00F92BEF"/>
    <w:rsid w:val="00F92FED"/>
    <w:rsid w:val="00F930D2"/>
    <w:rsid w:val="00F932F6"/>
    <w:rsid w:val="00F93725"/>
    <w:rsid w:val="00F93FD6"/>
    <w:rsid w:val="00F94198"/>
    <w:rsid w:val="00F9429D"/>
    <w:rsid w:val="00F9477D"/>
    <w:rsid w:val="00F94C87"/>
    <w:rsid w:val="00F95093"/>
    <w:rsid w:val="00F953E6"/>
    <w:rsid w:val="00F9541B"/>
    <w:rsid w:val="00F959BC"/>
    <w:rsid w:val="00F95FEE"/>
    <w:rsid w:val="00F9607B"/>
    <w:rsid w:val="00F96463"/>
    <w:rsid w:val="00F96B99"/>
    <w:rsid w:val="00F97097"/>
    <w:rsid w:val="00F97EAE"/>
    <w:rsid w:val="00FA0046"/>
    <w:rsid w:val="00FA0357"/>
    <w:rsid w:val="00FA04CF"/>
    <w:rsid w:val="00FA06BA"/>
    <w:rsid w:val="00FA0C2A"/>
    <w:rsid w:val="00FA0C87"/>
    <w:rsid w:val="00FA0DA3"/>
    <w:rsid w:val="00FA0DBB"/>
    <w:rsid w:val="00FA1471"/>
    <w:rsid w:val="00FA15D4"/>
    <w:rsid w:val="00FA17C2"/>
    <w:rsid w:val="00FA1F64"/>
    <w:rsid w:val="00FA21CD"/>
    <w:rsid w:val="00FA2A2E"/>
    <w:rsid w:val="00FA30BC"/>
    <w:rsid w:val="00FA32A2"/>
    <w:rsid w:val="00FA3489"/>
    <w:rsid w:val="00FA3789"/>
    <w:rsid w:val="00FA38C3"/>
    <w:rsid w:val="00FA499E"/>
    <w:rsid w:val="00FA4A70"/>
    <w:rsid w:val="00FA5774"/>
    <w:rsid w:val="00FA59D1"/>
    <w:rsid w:val="00FA5E4F"/>
    <w:rsid w:val="00FA5E55"/>
    <w:rsid w:val="00FA5FF9"/>
    <w:rsid w:val="00FA6004"/>
    <w:rsid w:val="00FA63CA"/>
    <w:rsid w:val="00FA68FC"/>
    <w:rsid w:val="00FA6BB6"/>
    <w:rsid w:val="00FA6C06"/>
    <w:rsid w:val="00FA7518"/>
    <w:rsid w:val="00FA7822"/>
    <w:rsid w:val="00FA7AD2"/>
    <w:rsid w:val="00FB0159"/>
    <w:rsid w:val="00FB0229"/>
    <w:rsid w:val="00FB0484"/>
    <w:rsid w:val="00FB050E"/>
    <w:rsid w:val="00FB0A61"/>
    <w:rsid w:val="00FB0DE5"/>
    <w:rsid w:val="00FB112B"/>
    <w:rsid w:val="00FB1CF7"/>
    <w:rsid w:val="00FB2346"/>
    <w:rsid w:val="00FB29E3"/>
    <w:rsid w:val="00FB2A7D"/>
    <w:rsid w:val="00FB2B15"/>
    <w:rsid w:val="00FB2E20"/>
    <w:rsid w:val="00FB35D6"/>
    <w:rsid w:val="00FB3BE7"/>
    <w:rsid w:val="00FB3DF7"/>
    <w:rsid w:val="00FB44D3"/>
    <w:rsid w:val="00FB45CB"/>
    <w:rsid w:val="00FB4897"/>
    <w:rsid w:val="00FB4B5A"/>
    <w:rsid w:val="00FB4C44"/>
    <w:rsid w:val="00FB4E98"/>
    <w:rsid w:val="00FB50DD"/>
    <w:rsid w:val="00FB5CC5"/>
    <w:rsid w:val="00FB65DF"/>
    <w:rsid w:val="00FB7905"/>
    <w:rsid w:val="00FB7B0C"/>
    <w:rsid w:val="00FB7C95"/>
    <w:rsid w:val="00FC0429"/>
    <w:rsid w:val="00FC049B"/>
    <w:rsid w:val="00FC07A2"/>
    <w:rsid w:val="00FC0B94"/>
    <w:rsid w:val="00FC0F4C"/>
    <w:rsid w:val="00FC115D"/>
    <w:rsid w:val="00FC20F2"/>
    <w:rsid w:val="00FC211D"/>
    <w:rsid w:val="00FC26EF"/>
    <w:rsid w:val="00FC2753"/>
    <w:rsid w:val="00FC2822"/>
    <w:rsid w:val="00FC297B"/>
    <w:rsid w:val="00FC35F2"/>
    <w:rsid w:val="00FC373B"/>
    <w:rsid w:val="00FC3BBA"/>
    <w:rsid w:val="00FC4499"/>
    <w:rsid w:val="00FC46CE"/>
    <w:rsid w:val="00FC4987"/>
    <w:rsid w:val="00FC50BA"/>
    <w:rsid w:val="00FC5124"/>
    <w:rsid w:val="00FC5656"/>
    <w:rsid w:val="00FC5861"/>
    <w:rsid w:val="00FC6AE7"/>
    <w:rsid w:val="00FC6BE1"/>
    <w:rsid w:val="00FC6D6E"/>
    <w:rsid w:val="00FC6DC0"/>
    <w:rsid w:val="00FC6E69"/>
    <w:rsid w:val="00FC6EE6"/>
    <w:rsid w:val="00FC6F20"/>
    <w:rsid w:val="00FC7F7E"/>
    <w:rsid w:val="00FD01F6"/>
    <w:rsid w:val="00FD053A"/>
    <w:rsid w:val="00FD090B"/>
    <w:rsid w:val="00FD0A9F"/>
    <w:rsid w:val="00FD0C37"/>
    <w:rsid w:val="00FD125C"/>
    <w:rsid w:val="00FD14AA"/>
    <w:rsid w:val="00FD15C8"/>
    <w:rsid w:val="00FD194A"/>
    <w:rsid w:val="00FD1A87"/>
    <w:rsid w:val="00FD1AA5"/>
    <w:rsid w:val="00FD1F21"/>
    <w:rsid w:val="00FD224F"/>
    <w:rsid w:val="00FD2AC9"/>
    <w:rsid w:val="00FD3066"/>
    <w:rsid w:val="00FD3266"/>
    <w:rsid w:val="00FD3553"/>
    <w:rsid w:val="00FD3601"/>
    <w:rsid w:val="00FD365A"/>
    <w:rsid w:val="00FD37F8"/>
    <w:rsid w:val="00FD3801"/>
    <w:rsid w:val="00FD382F"/>
    <w:rsid w:val="00FD386F"/>
    <w:rsid w:val="00FD3D3A"/>
    <w:rsid w:val="00FD4ACD"/>
    <w:rsid w:val="00FD58EB"/>
    <w:rsid w:val="00FD612A"/>
    <w:rsid w:val="00FD6B74"/>
    <w:rsid w:val="00FD7243"/>
    <w:rsid w:val="00FD7C3B"/>
    <w:rsid w:val="00FE05A4"/>
    <w:rsid w:val="00FE0873"/>
    <w:rsid w:val="00FE0978"/>
    <w:rsid w:val="00FE168C"/>
    <w:rsid w:val="00FE1C22"/>
    <w:rsid w:val="00FE2196"/>
    <w:rsid w:val="00FE220B"/>
    <w:rsid w:val="00FE28B0"/>
    <w:rsid w:val="00FE290C"/>
    <w:rsid w:val="00FE29A3"/>
    <w:rsid w:val="00FE2FB5"/>
    <w:rsid w:val="00FE3089"/>
    <w:rsid w:val="00FE337F"/>
    <w:rsid w:val="00FE3FDD"/>
    <w:rsid w:val="00FE4A16"/>
    <w:rsid w:val="00FE5C27"/>
    <w:rsid w:val="00FE5C5B"/>
    <w:rsid w:val="00FE5C77"/>
    <w:rsid w:val="00FE6055"/>
    <w:rsid w:val="00FE6142"/>
    <w:rsid w:val="00FE69B9"/>
    <w:rsid w:val="00FE73B1"/>
    <w:rsid w:val="00FE7D21"/>
    <w:rsid w:val="00FF0128"/>
    <w:rsid w:val="00FF018D"/>
    <w:rsid w:val="00FF0EA9"/>
    <w:rsid w:val="00FF130A"/>
    <w:rsid w:val="00FF1CB6"/>
    <w:rsid w:val="00FF2118"/>
    <w:rsid w:val="00FF24A8"/>
    <w:rsid w:val="00FF276A"/>
    <w:rsid w:val="00FF3099"/>
    <w:rsid w:val="00FF34F5"/>
    <w:rsid w:val="00FF353B"/>
    <w:rsid w:val="00FF37FD"/>
    <w:rsid w:val="00FF3D38"/>
    <w:rsid w:val="00FF3E84"/>
    <w:rsid w:val="00FF3EBC"/>
    <w:rsid w:val="00FF4361"/>
    <w:rsid w:val="00FF4764"/>
    <w:rsid w:val="00FF4C7E"/>
    <w:rsid w:val="00FF5677"/>
    <w:rsid w:val="00FF57A8"/>
    <w:rsid w:val="00FF57FE"/>
    <w:rsid w:val="00FF5848"/>
    <w:rsid w:val="00FF59A3"/>
    <w:rsid w:val="00FF5C93"/>
    <w:rsid w:val="00FF62F4"/>
    <w:rsid w:val="00FF639B"/>
    <w:rsid w:val="00FF686F"/>
    <w:rsid w:val="00FF6961"/>
    <w:rsid w:val="00FF6B8A"/>
    <w:rsid w:val="00FF787A"/>
    <w:rsid w:val="00FF7A9E"/>
    <w:rsid w:val="00FF7B64"/>
    <w:rsid w:val="01220E7C"/>
    <w:rsid w:val="0127018A"/>
    <w:rsid w:val="014631B6"/>
    <w:rsid w:val="01583748"/>
    <w:rsid w:val="015B3238"/>
    <w:rsid w:val="016D7AE6"/>
    <w:rsid w:val="017E2A82"/>
    <w:rsid w:val="01C34939"/>
    <w:rsid w:val="01D34AA3"/>
    <w:rsid w:val="01D60A70"/>
    <w:rsid w:val="01EA0118"/>
    <w:rsid w:val="020B6A0C"/>
    <w:rsid w:val="020F25E8"/>
    <w:rsid w:val="023418F9"/>
    <w:rsid w:val="024F53F8"/>
    <w:rsid w:val="025925F3"/>
    <w:rsid w:val="026253B5"/>
    <w:rsid w:val="026D616C"/>
    <w:rsid w:val="027B4F34"/>
    <w:rsid w:val="027E5B05"/>
    <w:rsid w:val="028F16B0"/>
    <w:rsid w:val="02962EDE"/>
    <w:rsid w:val="029B0168"/>
    <w:rsid w:val="02A24F36"/>
    <w:rsid w:val="02A36C44"/>
    <w:rsid w:val="02C07A79"/>
    <w:rsid w:val="02D21482"/>
    <w:rsid w:val="02DA63DE"/>
    <w:rsid w:val="02E32F1B"/>
    <w:rsid w:val="02EA38B3"/>
    <w:rsid w:val="02F07A01"/>
    <w:rsid w:val="02FB4102"/>
    <w:rsid w:val="0306432E"/>
    <w:rsid w:val="033F6241"/>
    <w:rsid w:val="03423C1A"/>
    <w:rsid w:val="035148F2"/>
    <w:rsid w:val="03554CCA"/>
    <w:rsid w:val="03600D18"/>
    <w:rsid w:val="036775B3"/>
    <w:rsid w:val="036B6FA7"/>
    <w:rsid w:val="03710AF1"/>
    <w:rsid w:val="03843F1F"/>
    <w:rsid w:val="03A04F32"/>
    <w:rsid w:val="03B052BD"/>
    <w:rsid w:val="03B43519"/>
    <w:rsid w:val="03BB3357"/>
    <w:rsid w:val="03E33071"/>
    <w:rsid w:val="04046F4F"/>
    <w:rsid w:val="041F222B"/>
    <w:rsid w:val="04221DEB"/>
    <w:rsid w:val="042A5C98"/>
    <w:rsid w:val="04302B3F"/>
    <w:rsid w:val="045E4049"/>
    <w:rsid w:val="0490362C"/>
    <w:rsid w:val="049C16D0"/>
    <w:rsid w:val="04A722F0"/>
    <w:rsid w:val="04C0381B"/>
    <w:rsid w:val="04D52E73"/>
    <w:rsid w:val="04D616A7"/>
    <w:rsid w:val="0519048D"/>
    <w:rsid w:val="05243D35"/>
    <w:rsid w:val="055857A0"/>
    <w:rsid w:val="05A30C49"/>
    <w:rsid w:val="05BB5420"/>
    <w:rsid w:val="05C57E83"/>
    <w:rsid w:val="05D3666F"/>
    <w:rsid w:val="05D4012F"/>
    <w:rsid w:val="05DE60F3"/>
    <w:rsid w:val="05E51155"/>
    <w:rsid w:val="05F13F79"/>
    <w:rsid w:val="05FA19BF"/>
    <w:rsid w:val="060C5169"/>
    <w:rsid w:val="060E3870"/>
    <w:rsid w:val="06251EBA"/>
    <w:rsid w:val="06262B07"/>
    <w:rsid w:val="06420131"/>
    <w:rsid w:val="06475B39"/>
    <w:rsid w:val="065444C7"/>
    <w:rsid w:val="067117ED"/>
    <w:rsid w:val="067A6238"/>
    <w:rsid w:val="067D2BF1"/>
    <w:rsid w:val="068112A0"/>
    <w:rsid w:val="068517DD"/>
    <w:rsid w:val="069D249B"/>
    <w:rsid w:val="069E3612"/>
    <w:rsid w:val="06AC23D7"/>
    <w:rsid w:val="06D3656B"/>
    <w:rsid w:val="06F04422"/>
    <w:rsid w:val="06FB0307"/>
    <w:rsid w:val="06FF01C2"/>
    <w:rsid w:val="07246E25"/>
    <w:rsid w:val="073E72FC"/>
    <w:rsid w:val="075F6FE3"/>
    <w:rsid w:val="076C5DEC"/>
    <w:rsid w:val="077D73AB"/>
    <w:rsid w:val="0783056D"/>
    <w:rsid w:val="079F4B30"/>
    <w:rsid w:val="07A019A5"/>
    <w:rsid w:val="07B56C37"/>
    <w:rsid w:val="07BE5E08"/>
    <w:rsid w:val="07E32CEB"/>
    <w:rsid w:val="07EA2C20"/>
    <w:rsid w:val="07EB5E1F"/>
    <w:rsid w:val="07F95914"/>
    <w:rsid w:val="08052BC9"/>
    <w:rsid w:val="08142B02"/>
    <w:rsid w:val="08230E32"/>
    <w:rsid w:val="082E197B"/>
    <w:rsid w:val="083038AF"/>
    <w:rsid w:val="084272B8"/>
    <w:rsid w:val="084579FD"/>
    <w:rsid w:val="084F6BDA"/>
    <w:rsid w:val="08526C56"/>
    <w:rsid w:val="085A5A72"/>
    <w:rsid w:val="087141C8"/>
    <w:rsid w:val="087C3485"/>
    <w:rsid w:val="08813A64"/>
    <w:rsid w:val="088B2577"/>
    <w:rsid w:val="08920978"/>
    <w:rsid w:val="08D62341"/>
    <w:rsid w:val="09151F1E"/>
    <w:rsid w:val="091D5E68"/>
    <w:rsid w:val="091E6E79"/>
    <w:rsid w:val="095D5673"/>
    <w:rsid w:val="097430E9"/>
    <w:rsid w:val="099B4C1D"/>
    <w:rsid w:val="09A52131"/>
    <w:rsid w:val="09B75D62"/>
    <w:rsid w:val="09B96D4E"/>
    <w:rsid w:val="09BA4874"/>
    <w:rsid w:val="09BE25B6"/>
    <w:rsid w:val="09D24439"/>
    <w:rsid w:val="09D33B48"/>
    <w:rsid w:val="09D76A2A"/>
    <w:rsid w:val="09DA6CC4"/>
    <w:rsid w:val="09DD3FC3"/>
    <w:rsid w:val="09FB30CB"/>
    <w:rsid w:val="0A07615D"/>
    <w:rsid w:val="0A36114C"/>
    <w:rsid w:val="0A37027C"/>
    <w:rsid w:val="0A726EFC"/>
    <w:rsid w:val="0ACA347E"/>
    <w:rsid w:val="0AD41965"/>
    <w:rsid w:val="0AD85E86"/>
    <w:rsid w:val="0ADE5B87"/>
    <w:rsid w:val="0AE05E8C"/>
    <w:rsid w:val="0AF53184"/>
    <w:rsid w:val="0AFD1AE4"/>
    <w:rsid w:val="0AFD1D52"/>
    <w:rsid w:val="0B0A2510"/>
    <w:rsid w:val="0B0B2840"/>
    <w:rsid w:val="0B180029"/>
    <w:rsid w:val="0B261A4C"/>
    <w:rsid w:val="0B2E1E12"/>
    <w:rsid w:val="0B3C11A9"/>
    <w:rsid w:val="0B5C6F06"/>
    <w:rsid w:val="0B5D4EA8"/>
    <w:rsid w:val="0B63128C"/>
    <w:rsid w:val="0B772A1C"/>
    <w:rsid w:val="0B8B2DEC"/>
    <w:rsid w:val="0B8D2EB4"/>
    <w:rsid w:val="0B9517CC"/>
    <w:rsid w:val="0B9D06F5"/>
    <w:rsid w:val="0BB04286"/>
    <w:rsid w:val="0BB11774"/>
    <w:rsid w:val="0BDF3142"/>
    <w:rsid w:val="0BE502CE"/>
    <w:rsid w:val="0C0B37A0"/>
    <w:rsid w:val="0C4D2117"/>
    <w:rsid w:val="0C853931"/>
    <w:rsid w:val="0C8C413F"/>
    <w:rsid w:val="0CA737D5"/>
    <w:rsid w:val="0CAE2CF2"/>
    <w:rsid w:val="0CB837BC"/>
    <w:rsid w:val="0CC5653B"/>
    <w:rsid w:val="0CD8398F"/>
    <w:rsid w:val="0CF14659"/>
    <w:rsid w:val="0CF64E24"/>
    <w:rsid w:val="0CFF2159"/>
    <w:rsid w:val="0D183EA5"/>
    <w:rsid w:val="0D205569"/>
    <w:rsid w:val="0D266265"/>
    <w:rsid w:val="0D3753CD"/>
    <w:rsid w:val="0D58435E"/>
    <w:rsid w:val="0D6B76D4"/>
    <w:rsid w:val="0D782E64"/>
    <w:rsid w:val="0D7B3FBF"/>
    <w:rsid w:val="0DAC6B03"/>
    <w:rsid w:val="0DC56EDF"/>
    <w:rsid w:val="0DDE00FC"/>
    <w:rsid w:val="0DEC3428"/>
    <w:rsid w:val="0DEE63BE"/>
    <w:rsid w:val="0E2D1995"/>
    <w:rsid w:val="0E3E4F87"/>
    <w:rsid w:val="0E470347"/>
    <w:rsid w:val="0E4C2D70"/>
    <w:rsid w:val="0E5376F8"/>
    <w:rsid w:val="0E6361C5"/>
    <w:rsid w:val="0E8658F0"/>
    <w:rsid w:val="0E883192"/>
    <w:rsid w:val="0E9A06DB"/>
    <w:rsid w:val="0E9B689C"/>
    <w:rsid w:val="0EA10664"/>
    <w:rsid w:val="0EAA0CBD"/>
    <w:rsid w:val="0EAC1DBE"/>
    <w:rsid w:val="0EC85DF6"/>
    <w:rsid w:val="0ECC12D1"/>
    <w:rsid w:val="0ECD6FA8"/>
    <w:rsid w:val="0EE204B8"/>
    <w:rsid w:val="0EFC0AA1"/>
    <w:rsid w:val="0F0547E3"/>
    <w:rsid w:val="0F0D5437"/>
    <w:rsid w:val="0F1C349F"/>
    <w:rsid w:val="0F225395"/>
    <w:rsid w:val="0F226311"/>
    <w:rsid w:val="0F310E21"/>
    <w:rsid w:val="0F515C28"/>
    <w:rsid w:val="0F6F390C"/>
    <w:rsid w:val="0F88499C"/>
    <w:rsid w:val="0F887590"/>
    <w:rsid w:val="0F9965E8"/>
    <w:rsid w:val="0F9D0EBF"/>
    <w:rsid w:val="0FBD611C"/>
    <w:rsid w:val="0FDA7B54"/>
    <w:rsid w:val="0FE443F8"/>
    <w:rsid w:val="0FFF466D"/>
    <w:rsid w:val="10156CA8"/>
    <w:rsid w:val="10190546"/>
    <w:rsid w:val="102121F3"/>
    <w:rsid w:val="10222155"/>
    <w:rsid w:val="1031672A"/>
    <w:rsid w:val="103233B6"/>
    <w:rsid w:val="1057150C"/>
    <w:rsid w:val="10614099"/>
    <w:rsid w:val="1066267A"/>
    <w:rsid w:val="107264C6"/>
    <w:rsid w:val="10736D7F"/>
    <w:rsid w:val="107517B6"/>
    <w:rsid w:val="10D1777E"/>
    <w:rsid w:val="10E20618"/>
    <w:rsid w:val="10E47263"/>
    <w:rsid w:val="10F67A5C"/>
    <w:rsid w:val="110F73BD"/>
    <w:rsid w:val="111B2C78"/>
    <w:rsid w:val="111B6540"/>
    <w:rsid w:val="11366AE1"/>
    <w:rsid w:val="113F025B"/>
    <w:rsid w:val="114A3553"/>
    <w:rsid w:val="115A24AE"/>
    <w:rsid w:val="11733C86"/>
    <w:rsid w:val="118003EB"/>
    <w:rsid w:val="11852AC1"/>
    <w:rsid w:val="118E6D12"/>
    <w:rsid w:val="11AC31FB"/>
    <w:rsid w:val="11AF4141"/>
    <w:rsid w:val="11BC375D"/>
    <w:rsid w:val="11BF451F"/>
    <w:rsid w:val="11E56AE8"/>
    <w:rsid w:val="120E7E53"/>
    <w:rsid w:val="124815C9"/>
    <w:rsid w:val="124A19BC"/>
    <w:rsid w:val="12526016"/>
    <w:rsid w:val="12530A8A"/>
    <w:rsid w:val="12577F6F"/>
    <w:rsid w:val="126C2581"/>
    <w:rsid w:val="12704F69"/>
    <w:rsid w:val="127B312D"/>
    <w:rsid w:val="127C6BC4"/>
    <w:rsid w:val="12837B83"/>
    <w:rsid w:val="12A26D60"/>
    <w:rsid w:val="12A41FDE"/>
    <w:rsid w:val="12AE0064"/>
    <w:rsid w:val="12BE7896"/>
    <w:rsid w:val="12BF3AA7"/>
    <w:rsid w:val="12C472CF"/>
    <w:rsid w:val="12D162E8"/>
    <w:rsid w:val="12F91A40"/>
    <w:rsid w:val="130A686C"/>
    <w:rsid w:val="130F79DE"/>
    <w:rsid w:val="131623AD"/>
    <w:rsid w:val="131D034D"/>
    <w:rsid w:val="131E2317"/>
    <w:rsid w:val="132F62D2"/>
    <w:rsid w:val="134E0964"/>
    <w:rsid w:val="135E57D8"/>
    <w:rsid w:val="13723F7D"/>
    <w:rsid w:val="13744D9B"/>
    <w:rsid w:val="13863113"/>
    <w:rsid w:val="13871B38"/>
    <w:rsid w:val="13AD365B"/>
    <w:rsid w:val="13D754E4"/>
    <w:rsid w:val="13DC7937"/>
    <w:rsid w:val="13EB7B60"/>
    <w:rsid w:val="13ED3ACF"/>
    <w:rsid w:val="13FC4407"/>
    <w:rsid w:val="14042A4C"/>
    <w:rsid w:val="140F63C1"/>
    <w:rsid w:val="142C2166"/>
    <w:rsid w:val="142F254E"/>
    <w:rsid w:val="143E1960"/>
    <w:rsid w:val="14435D95"/>
    <w:rsid w:val="14463A68"/>
    <w:rsid w:val="14470FF5"/>
    <w:rsid w:val="14542C63"/>
    <w:rsid w:val="146940EE"/>
    <w:rsid w:val="14A44CA5"/>
    <w:rsid w:val="14C5671D"/>
    <w:rsid w:val="14E37E71"/>
    <w:rsid w:val="14E750AC"/>
    <w:rsid w:val="14F709D7"/>
    <w:rsid w:val="15101AB4"/>
    <w:rsid w:val="151419C3"/>
    <w:rsid w:val="151D2886"/>
    <w:rsid w:val="152359A3"/>
    <w:rsid w:val="152F25BA"/>
    <w:rsid w:val="153754BC"/>
    <w:rsid w:val="1550066D"/>
    <w:rsid w:val="15562048"/>
    <w:rsid w:val="15585570"/>
    <w:rsid w:val="159B5116"/>
    <w:rsid w:val="15C67EB8"/>
    <w:rsid w:val="15D24AB9"/>
    <w:rsid w:val="15D525FF"/>
    <w:rsid w:val="15DF15B2"/>
    <w:rsid w:val="161B0277"/>
    <w:rsid w:val="16227164"/>
    <w:rsid w:val="16663958"/>
    <w:rsid w:val="1667420A"/>
    <w:rsid w:val="166B4C9F"/>
    <w:rsid w:val="166E4C05"/>
    <w:rsid w:val="168116F6"/>
    <w:rsid w:val="1683296D"/>
    <w:rsid w:val="16862C9C"/>
    <w:rsid w:val="16B04109"/>
    <w:rsid w:val="16C10833"/>
    <w:rsid w:val="16C3198C"/>
    <w:rsid w:val="16C36D06"/>
    <w:rsid w:val="16D774B9"/>
    <w:rsid w:val="16F87FC8"/>
    <w:rsid w:val="16FD7D7E"/>
    <w:rsid w:val="16FE27AF"/>
    <w:rsid w:val="1700703A"/>
    <w:rsid w:val="17025D53"/>
    <w:rsid w:val="17037D73"/>
    <w:rsid w:val="17047987"/>
    <w:rsid w:val="17276745"/>
    <w:rsid w:val="1739339A"/>
    <w:rsid w:val="1754720F"/>
    <w:rsid w:val="178C1F81"/>
    <w:rsid w:val="17B03A29"/>
    <w:rsid w:val="17B45A93"/>
    <w:rsid w:val="17B6128B"/>
    <w:rsid w:val="17B71E1E"/>
    <w:rsid w:val="17C6385E"/>
    <w:rsid w:val="17D41333"/>
    <w:rsid w:val="17D82B4B"/>
    <w:rsid w:val="17E83485"/>
    <w:rsid w:val="17EC1FB0"/>
    <w:rsid w:val="17F025B9"/>
    <w:rsid w:val="182B0F87"/>
    <w:rsid w:val="188571F9"/>
    <w:rsid w:val="1887378A"/>
    <w:rsid w:val="18B057C0"/>
    <w:rsid w:val="18B75C90"/>
    <w:rsid w:val="18BC3EEB"/>
    <w:rsid w:val="18C272A1"/>
    <w:rsid w:val="18F03E0E"/>
    <w:rsid w:val="18FE4FFE"/>
    <w:rsid w:val="191C723B"/>
    <w:rsid w:val="19295FC0"/>
    <w:rsid w:val="192F42CA"/>
    <w:rsid w:val="19390583"/>
    <w:rsid w:val="1949053F"/>
    <w:rsid w:val="195917DE"/>
    <w:rsid w:val="197D4615"/>
    <w:rsid w:val="19811D23"/>
    <w:rsid w:val="1989731E"/>
    <w:rsid w:val="19934EEF"/>
    <w:rsid w:val="19957135"/>
    <w:rsid w:val="19995ED1"/>
    <w:rsid w:val="199D6970"/>
    <w:rsid w:val="199F486E"/>
    <w:rsid w:val="19B659E9"/>
    <w:rsid w:val="19BF71CA"/>
    <w:rsid w:val="19DB7471"/>
    <w:rsid w:val="19E41A59"/>
    <w:rsid w:val="19EA6AAF"/>
    <w:rsid w:val="19EF2318"/>
    <w:rsid w:val="1A055CC4"/>
    <w:rsid w:val="1A0C6BAF"/>
    <w:rsid w:val="1A2878F8"/>
    <w:rsid w:val="1A3666C3"/>
    <w:rsid w:val="1A787533"/>
    <w:rsid w:val="1AA2738A"/>
    <w:rsid w:val="1AD43F92"/>
    <w:rsid w:val="1ADD1EE5"/>
    <w:rsid w:val="1AE14160"/>
    <w:rsid w:val="1AE17EB2"/>
    <w:rsid w:val="1AEA1E9D"/>
    <w:rsid w:val="1AED2CFB"/>
    <w:rsid w:val="1AF600EB"/>
    <w:rsid w:val="1AF74884"/>
    <w:rsid w:val="1AFE6CB6"/>
    <w:rsid w:val="1B081624"/>
    <w:rsid w:val="1B1F49AA"/>
    <w:rsid w:val="1B1F6C2C"/>
    <w:rsid w:val="1B20231F"/>
    <w:rsid w:val="1B526E4C"/>
    <w:rsid w:val="1B640418"/>
    <w:rsid w:val="1B76276F"/>
    <w:rsid w:val="1B762CF0"/>
    <w:rsid w:val="1B9C4845"/>
    <w:rsid w:val="1BA36B26"/>
    <w:rsid w:val="1BDC2473"/>
    <w:rsid w:val="1BE51C24"/>
    <w:rsid w:val="1BEA4ED9"/>
    <w:rsid w:val="1BED2C40"/>
    <w:rsid w:val="1BF6305B"/>
    <w:rsid w:val="1C026332"/>
    <w:rsid w:val="1C2D436B"/>
    <w:rsid w:val="1C3517F8"/>
    <w:rsid w:val="1C3B1530"/>
    <w:rsid w:val="1C3B7B45"/>
    <w:rsid w:val="1C5F21B0"/>
    <w:rsid w:val="1C7237D9"/>
    <w:rsid w:val="1C7718DC"/>
    <w:rsid w:val="1C806473"/>
    <w:rsid w:val="1C9D605B"/>
    <w:rsid w:val="1CB31B41"/>
    <w:rsid w:val="1CC74D8F"/>
    <w:rsid w:val="1CC9529A"/>
    <w:rsid w:val="1CCA672A"/>
    <w:rsid w:val="1CD83537"/>
    <w:rsid w:val="1CDA2E30"/>
    <w:rsid w:val="1CDA7AC0"/>
    <w:rsid w:val="1CEB2312"/>
    <w:rsid w:val="1CF317E0"/>
    <w:rsid w:val="1CF36CCC"/>
    <w:rsid w:val="1CFD7CE1"/>
    <w:rsid w:val="1D06137F"/>
    <w:rsid w:val="1D2D3E59"/>
    <w:rsid w:val="1D3C3AC6"/>
    <w:rsid w:val="1D4A794C"/>
    <w:rsid w:val="1D504EEA"/>
    <w:rsid w:val="1D594678"/>
    <w:rsid w:val="1D5F1F2A"/>
    <w:rsid w:val="1D6447C7"/>
    <w:rsid w:val="1D666D95"/>
    <w:rsid w:val="1D8A5052"/>
    <w:rsid w:val="1D900B9B"/>
    <w:rsid w:val="1D990F18"/>
    <w:rsid w:val="1D9F2358"/>
    <w:rsid w:val="1DB26E33"/>
    <w:rsid w:val="1DCF0AE6"/>
    <w:rsid w:val="1DD05275"/>
    <w:rsid w:val="1DDA35AA"/>
    <w:rsid w:val="1DDF5D98"/>
    <w:rsid w:val="1DE67874"/>
    <w:rsid w:val="1DFB7F73"/>
    <w:rsid w:val="1DFC35C0"/>
    <w:rsid w:val="1E006A79"/>
    <w:rsid w:val="1E31278D"/>
    <w:rsid w:val="1E317B44"/>
    <w:rsid w:val="1E4D046C"/>
    <w:rsid w:val="1E59285C"/>
    <w:rsid w:val="1E6260BF"/>
    <w:rsid w:val="1E7417B8"/>
    <w:rsid w:val="1E7B122D"/>
    <w:rsid w:val="1E7D1933"/>
    <w:rsid w:val="1E8C45D9"/>
    <w:rsid w:val="1E982F7E"/>
    <w:rsid w:val="1EB6436F"/>
    <w:rsid w:val="1EBD70AC"/>
    <w:rsid w:val="1EC63AA9"/>
    <w:rsid w:val="1ECA56AC"/>
    <w:rsid w:val="1EDC0F2A"/>
    <w:rsid w:val="1F095C2A"/>
    <w:rsid w:val="1F0A1D41"/>
    <w:rsid w:val="1F241B03"/>
    <w:rsid w:val="1F265EC9"/>
    <w:rsid w:val="1F42517D"/>
    <w:rsid w:val="1F4E4E25"/>
    <w:rsid w:val="1F61233D"/>
    <w:rsid w:val="1F7E7F2B"/>
    <w:rsid w:val="1F841754"/>
    <w:rsid w:val="1F885664"/>
    <w:rsid w:val="1F8D777A"/>
    <w:rsid w:val="1FA96154"/>
    <w:rsid w:val="1FCD6FEB"/>
    <w:rsid w:val="1FF00B97"/>
    <w:rsid w:val="1FFF6E7D"/>
    <w:rsid w:val="20043A51"/>
    <w:rsid w:val="20122147"/>
    <w:rsid w:val="201815DD"/>
    <w:rsid w:val="20196CC9"/>
    <w:rsid w:val="2020049A"/>
    <w:rsid w:val="202C0E96"/>
    <w:rsid w:val="2040567B"/>
    <w:rsid w:val="20593DA9"/>
    <w:rsid w:val="20633682"/>
    <w:rsid w:val="20885D8E"/>
    <w:rsid w:val="209218D9"/>
    <w:rsid w:val="209471DE"/>
    <w:rsid w:val="20A028BB"/>
    <w:rsid w:val="20C004F1"/>
    <w:rsid w:val="20DF511D"/>
    <w:rsid w:val="20E50CA2"/>
    <w:rsid w:val="20F72452"/>
    <w:rsid w:val="21076199"/>
    <w:rsid w:val="210C2698"/>
    <w:rsid w:val="212136FE"/>
    <w:rsid w:val="214844C2"/>
    <w:rsid w:val="214F2F97"/>
    <w:rsid w:val="215A50C4"/>
    <w:rsid w:val="215E5C89"/>
    <w:rsid w:val="21645399"/>
    <w:rsid w:val="217B58C7"/>
    <w:rsid w:val="218069CC"/>
    <w:rsid w:val="21974025"/>
    <w:rsid w:val="21A016D4"/>
    <w:rsid w:val="21A06A9E"/>
    <w:rsid w:val="21A9264A"/>
    <w:rsid w:val="21B13112"/>
    <w:rsid w:val="21CA0455"/>
    <w:rsid w:val="21D62C1C"/>
    <w:rsid w:val="21D76F8B"/>
    <w:rsid w:val="21D94892"/>
    <w:rsid w:val="220D5168"/>
    <w:rsid w:val="22413C68"/>
    <w:rsid w:val="224921A5"/>
    <w:rsid w:val="2259171D"/>
    <w:rsid w:val="225B679C"/>
    <w:rsid w:val="22665191"/>
    <w:rsid w:val="22702DCD"/>
    <w:rsid w:val="22795945"/>
    <w:rsid w:val="2294236A"/>
    <w:rsid w:val="229A240B"/>
    <w:rsid w:val="22CE35B4"/>
    <w:rsid w:val="23173A1E"/>
    <w:rsid w:val="233473FE"/>
    <w:rsid w:val="23363A04"/>
    <w:rsid w:val="233F3C2C"/>
    <w:rsid w:val="234D635C"/>
    <w:rsid w:val="23737B19"/>
    <w:rsid w:val="23771BE6"/>
    <w:rsid w:val="239E610A"/>
    <w:rsid w:val="23A1361B"/>
    <w:rsid w:val="23A55769"/>
    <w:rsid w:val="23C230FF"/>
    <w:rsid w:val="23CC34AF"/>
    <w:rsid w:val="23D31D3E"/>
    <w:rsid w:val="23FA0237"/>
    <w:rsid w:val="23FA2782"/>
    <w:rsid w:val="24001399"/>
    <w:rsid w:val="24005895"/>
    <w:rsid w:val="24054BF9"/>
    <w:rsid w:val="240707AA"/>
    <w:rsid w:val="24194B00"/>
    <w:rsid w:val="243674C1"/>
    <w:rsid w:val="2448356F"/>
    <w:rsid w:val="24534DF9"/>
    <w:rsid w:val="24632CC1"/>
    <w:rsid w:val="248B7B1A"/>
    <w:rsid w:val="24AB6D7F"/>
    <w:rsid w:val="24B56402"/>
    <w:rsid w:val="24B76A25"/>
    <w:rsid w:val="24B816CC"/>
    <w:rsid w:val="24C04FDC"/>
    <w:rsid w:val="24C73D76"/>
    <w:rsid w:val="25201C0E"/>
    <w:rsid w:val="25356B29"/>
    <w:rsid w:val="2557557C"/>
    <w:rsid w:val="25592D3B"/>
    <w:rsid w:val="25753ECD"/>
    <w:rsid w:val="257637B2"/>
    <w:rsid w:val="25805A87"/>
    <w:rsid w:val="25920DA6"/>
    <w:rsid w:val="25A02C3C"/>
    <w:rsid w:val="25B20DC9"/>
    <w:rsid w:val="25BF7AE3"/>
    <w:rsid w:val="25C5032F"/>
    <w:rsid w:val="25D30B03"/>
    <w:rsid w:val="26005117"/>
    <w:rsid w:val="260333D3"/>
    <w:rsid w:val="2604539D"/>
    <w:rsid w:val="260839BC"/>
    <w:rsid w:val="26686A49"/>
    <w:rsid w:val="266B0353"/>
    <w:rsid w:val="2677074C"/>
    <w:rsid w:val="267C5888"/>
    <w:rsid w:val="2680391F"/>
    <w:rsid w:val="26845849"/>
    <w:rsid w:val="268B1F04"/>
    <w:rsid w:val="268E480D"/>
    <w:rsid w:val="269404DB"/>
    <w:rsid w:val="26977FBF"/>
    <w:rsid w:val="269D50AD"/>
    <w:rsid w:val="26AA58BF"/>
    <w:rsid w:val="26BB1EFF"/>
    <w:rsid w:val="26D82824"/>
    <w:rsid w:val="26F3257A"/>
    <w:rsid w:val="26F70A5D"/>
    <w:rsid w:val="26FD4925"/>
    <w:rsid w:val="26FE27E8"/>
    <w:rsid w:val="27081903"/>
    <w:rsid w:val="27137108"/>
    <w:rsid w:val="27163CC8"/>
    <w:rsid w:val="272A5F01"/>
    <w:rsid w:val="273146AC"/>
    <w:rsid w:val="27386100"/>
    <w:rsid w:val="273C4266"/>
    <w:rsid w:val="273D46C2"/>
    <w:rsid w:val="27452D6D"/>
    <w:rsid w:val="27593499"/>
    <w:rsid w:val="27627B4C"/>
    <w:rsid w:val="27700D91"/>
    <w:rsid w:val="2778485E"/>
    <w:rsid w:val="277E7742"/>
    <w:rsid w:val="27867348"/>
    <w:rsid w:val="27B66643"/>
    <w:rsid w:val="27B70019"/>
    <w:rsid w:val="27C3777F"/>
    <w:rsid w:val="27CC5901"/>
    <w:rsid w:val="27CF0767"/>
    <w:rsid w:val="27D25752"/>
    <w:rsid w:val="27E77948"/>
    <w:rsid w:val="28373807"/>
    <w:rsid w:val="28395B01"/>
    <w:rsid w:val="284242A5"/>
    <w:rsid w:val="28460C47"/>
    <w:rsid w:val="284E755C"/>
    <w:rsid w:val="28620539"/>
    <w:rsid w:val="286640B6"/>
    <w:rsid w:val="28667C49"/>
    <w:rsid w:val="287B7D8C"/>
    <w:rsid w:val="28863D39"/>
    <w:rsid w:val="288C2E20"/>
    <w:rsid w:val="288D78CB"/>
    <w:rsid w:val="28B84289"/>
    <w:rsid w:val="28B86667"/>
    <w:rsid w:val="28C50E13"/>
    <w:rsid w:val="28CD4E52"/>
    <w:rsid w:val="29106D85"/>
    <w:rsid w:val="291E0659"/>
    <w:rsid w:val="294208BC"/>
    <w:rsid w:val="296138D0"/>
    <w:rsid w:val="298A3E0B"/>
    <w:rsid w:val="29930B7D"/>
    <w:rsid w:val="299A38F5"/>
    <w:rsid w:val="299B24B0"/>
    <w:rsid w:val="29A45544"/>
    <w:rsid w:val="29B7308B"/>
    <w:rsid w:val="29D761B0"/>
    <w:rsid w:val="29DB5BF8"/>
    <w:rsid w:val="2A264090"/>
    <w:rsid w:val="2A414995"/>
    <w:rsid w:val="2A495A74"/>
    <w:rsid w:val="2A4D50A9"/>
    <w:rsid w:val="2A6E0F13"/>
    <w:rsid w:val="2A7B22B9"/>
    <w:rsid w:val="2A994FFC"/>
    <w:rsid w:val="2A9B00B2"/>
    <w:rsid w:val="2ABC5A31"/>
    <w:rsid w:val="2ABE0DC6"/>
    <w:rsid w:val="2ABF4030"/>
    <w:rsid w:val="2ACF118D"/>
    <w:rsid w:val="2AED63FF"/>
    <w:rsid w:val="2AF41457"/>
    <w:rsid w:val="2AF6705B"/>
    <w:rsid w:val="2AF85C49"/>
    <w:rsid w:val="2AFE6961"/>
    <w:rsid w:val="2B0D4067"/>
    <w:rsid w:val="2B215E6F"/>
    <w:rsid w:val="2B297614"/>
    <w:rsid w:val="2B3A3A47"/>
    <w:rsid w:val="2B522706"/>
    <w:rsid w:val="2B5403B7"/>
    <w:rsid w:val="2BAC5662"/>
    <w:rsid w:val="2BC64A8A"/>
    <w:rsid w:val="2BCB0DFA"/>
    <w:rsid w:val="2BCB7D0E"/>
    <w:rsid w:val="2BE71D51"/>
    <w:rsid w:val="2BF522C3"/>
    <w:rsid w:val="2BFE4851"/>
    <w:rsid w:val="2C1443AA"/>
    <w:rsid w:val="2C2D3098"/>
    <w:rsid w:val="2C711F81"/>
    <w:rsid w:val="2C7D4F5A"/>
    <w:rsid w:val="2C8132A3"/>
    <w:rsid w:val="2C931AE5"/>
    <w:rsid w:val="2C974E26"/>
    <w:rsid w:val="2CA422BA"/>
    <w:rsid w:val="2CD872DD"/>
    <w:rsid w:val="2CDE7ADF"/>
    <w:rsid w:val="2D1067A7"/>
    <w:rsid w:val="2D140821"/>
    <w:rsid w:val="2D2F0F51"/>
    <w:rsid w:val="2D3E7D10"/>
    <w:rsid w:val="2D4109EB"/>
    <w:rsid w:val="2D536E13"/>
    <w:rsid w:val="2D621967"/>
    <w:rsid w:val="2D6543F8"/>
    <w:rsid w:val="2D6950B0"/>
    <w:rsid w:val="2D73439B"/>
    <w:rsid w:val="2D844ACE"/>
    <w:rsid w:val="2DB17749"/>
    <w:rsid w:val="2DD36351"/>
    <w:rsid w:val="2DE41D28"/>
    <w:rsid w:val="2DF30BE1"/>
    <w:rsid w:val="2E1851A1"/>
    <w:rsid w:val="2E221D9B"/>
    <w:rsid w:val="2E386661"/>
    <w:rsid w:val="2E497DF1"/>
    <w:rsid w:val="2E4B438F"/>
    <w:rsid w:val="2E5F6C68"/>
    <w:rsid w:val="2E88310A"/>
    <w:rsid w:val="2E9574DA"/>
    <w:rsid w:val="2E982C52"/>
    <w:rsid w:val="2E9A064C"/>
    <w:rsid w:val="2EB34DD4"/>
    <w:rsid w:val="2ED207A7"/>
    <w:rsid w:val="2F104D13"/>
    <w:rsid w:val="2F125C34"/>
    <w:rsid w:val="2F1877C3"/>
    <w:rsid w:val="2F264178"/>
    <w:rsid w:val="2F390033"/>
    <w:rsid w:val="2F416D1A"/>
    <w:rsid w:val="2F456AB6"/>
    <w:rsid w:val="2F921838"/>
    <w:rsid w:val="2FA03286"/>
    <w:rsid w:val="2FA97F77"/>
    <w:rsid w:val="2FCD775C"/>
    <w:rsid w:val="2FDD2EE6"/>
    <w:rsid w:val="2FE14F6C"/>
    <w:rsid w:val="2FE62855"/>
    <w:rsid w:val="30030473"/>
    <w:rsid w:val="30040939"/>
    <w:rsid w:val="300D47C3"/>
    <w:rsid w:val="3012180B"/>
    <w:rsid w:val="301D7C62"/>
    <w:rsid w:val="30322AC0"/>
    <w:rsid w:val="303D77CF"/>
    <w:rsid w:val="303E74EF"/>
    <w:rsid w:val="304E1D5D"/>
    <w:rsid w:val="304F36B8"/>
    <w:rsid w:val="305565C4"/>
    <w:rsid w:val="30607673"/>
    <w:rsid w:val="30731B82"/>
    <w:rsid w:val="307D1ED7"/>
    <w:rsid w:val="308621F3"/>
    <w:rsid w:val="30AE5D34"/>
    <w:rsid w:val="30B52BFE"/>
    <w:rsid w:val="30B8015B"/>
    <w:rsid w:val="30CB0AC0"/>
    <w:rsid w:val="30F10937"/>
    <w:rsid w:val="310C2637"/>
    <w:rsid w:val="31147CA5"/>
    <w:rsid w:val="312644A8"/>
    <w:rsid w:val="313164C6"/>
    <w:rsid w:val="31352E26"/>
    <w:rsid w:val="314164DB"/>
    <w:rsid w:val="315C4A55"/>
    <w:rsid w:val="31897B5B"/>
    <w:rsid w:val="319F5237"/>
    <w:rsid w:val="31B4275E"/>
    <w:rsid w:val="31BE79F2"/>
    <w:rsid w:val="31C44216"/>
    <w:rsid w:val="31C854E9"/>
    <w:rsid w:val="31D16A7B"/>
    <w:rsid w:val="31E00383"/>
    <w:rsid w:val="31EC6592"/>
    <w:rsid w:val="31F544BA"/>
    <w:rsid w:val="32075108"/>
    <w:rsid w:val="32186945"/>
    <w:rsid w:val="3224470D"/>
    <w:rsid w:val="32267258"/>
    <w:rsid w:val="32367D8C"/>
    <w:rsid w:val="325505F6"/>
    <w:rsid w:val="32673C7A"/>
    <w:rsid w:val="326B20BC"/>
    <w:rsid w:val="327D6522"/>
    <w:rsid w:val="3287158A"/>
    <w:rsid w:val="328C72C2"/>
    <w:rsid w:val="32925F0E"/>
    <w:rsid w:val="32BC3391"/>
    <w:rsid w:val="32C32271"/>
    <w:rsid w:val="32D865B4"/>
    <w:rsid w:val="3308275B"/>
    <w:rsid w:val="331A313A"/>
    <w:rsid w:val="33263FCB"/>
    <w:rsid w:val="332E0DCC"/>
    <w:rsid w:val="33302A17"/>
    <w:rsid w:val="3343561E"/>
    <w:rsid w:val="3356363A"/>
    <w:rsid w:val="337E76C8"/>
    <w:rsid w:val="337F0AAF"/>
    <w:rsid w:val="338D1E7A"/>
    <w:rsid w:val="338F5C80"/>
    <w:rsid w:val="33A30532"/>
    <w:rsid w:val="33A77124"/>
    <w:rsid w:val="33B37718"/>
    <w:rsid w:val="33B6278C"/>
    <w:rsid w:val="33B95F16"/>
    <w:rsid w:val="33BB632D"/>
    <w:rsid w:val="33C47B89"/>
    <w:rsid w:val="33C817B8"/>
    <w:rsid w:val="33CF76E7"/>
    <w:rsid w:val="34050852"/>
    <w:rsid w:val="340A0CCC"/>
    <w:rsid w:val="34123E87"/>
    <w:rsid w:val="343A6A21"/>
    <w:rsid w:val="344A595C"/>
    <w:rsid w:val="345179FF"/>
    <w:rsid w:val="345762FD"/>
    <w:rsid w:val="346121E6"/>
    <w:rsid w:val="346C4EC4"/>
    <w:rsid w:val="34902286"/>
    <w:rsid w:val="34BA37F6"/>
    <w:rsid w:val="34D2072D"/>
    <w:rsid w:val="35003015"/>
    <w:rsid w:val="35090331"/>
    <w:rsid w:val="350A44D8"/>
    <w:rsid w:val="350F6AC3"/>
    <w:rsid w:val="353510CF"/>
    <w:rsid w:val="35375356"/>
    <w:rsid w:val="3545132B"/>
    <w:rsid w:val="355C65C5"/>
    <w:rsid w:val="356B2D42"/>
    <w:rsid w:val="35712D26"/>
    <w:rsid w:val="357F01A9"/>
    <w:rsid w:val="35991A6B"/>
    <w:rsid w:val="35B80D71"/>
    <w:rsid w:val="35BC534C"/>
    <w:rsid w:val="35BE7316"/>
    <w:rsid w:val="35C30B90"/>
    <w:rsid w:val="35EB79DF"/>
    <w:rsid w:val="35F90B5A"/>
    <w:rsid w:val="360037AD"/>
    <w:rsid w:val="360215F7"/>
    <w:rsid w:val="360D5BA8"/>
    <w:rsid w:val="361350EF"/>
    <w:rsid w:val="3616270E"/>
    <w:rsid w:val="36480CEB"/>
    <w:rsid w:val="36496DE4"/>
    <w:rsid w:val="36536868"/>
    <w:rsid w:val="36537489"/>
    <w:rsid w:val="365E26E1"/>
    <w:rsid w:val="367442F5"/>
    <w:rsid w:val="368B66B0"/>
    <w:rsid w:val="368E1BCD"/>
    <w:rsid w:val="36BC0A25"/>
    <w:rsid w:val="36C326A4"/>
    <w:rsid w:val="36CC36F2"/>
    <w:rsid w:val="36E42262"/>
    <w:rsid w:val="372907BF"/>
    <w:rsid w:val="374E2513"/>
    <w:rsid w:val="376C2FB5"/>
    <w:rsid w:val="378D51F2"/>
    <w:rsid w:val="37945464"/>
    <w:rsid w:val="37946EF6"/>
    <w:rsid w:val="37C90531"/>
    <w:rsid w:val="37D17B69"/>
    <w:rsid w:val="37DA7008"/>
    <w:rsid w:val="37E7034C"/>
    <w:rsid w:val="37E91363"/>
    <w:rsid w:val="37EB2354"/>
    <w:rsid w:val="37F7266B"/>
    <w:rsid w:val="37FE7661"/>
    <w:rsid w:val="380265A3"/>
    <w:rsid w:val="380A5AEB"/>
    <w:rsid w:val="381C0324"/>
    <w:rsid w:val="38264506"/>
    <w:rsid w:val="38276E1B"/>
    <w:rsid w:val="3837466A"/>
    <w:rsid w:val="38517DC8"/>
    <w:rsid w:val="38593326"/>
    <w:rsid w:val="38672686"/>
    <w:rsid w:val="38754653"/>
    <w:rsid w:val="388B5124"/>
    <w:rsid w:val="38BB18EB"/>
    <w:rsid w:val="38BB4640"/>
    <w:rsid w:val="38C9716C"/>
    <w:rsid w:val="38CB5299"/>
    <w:rsid w:val="38D62BC9"/>
    <w:rsid w:val="38E05A58"/>
    <w:rsid w:val="38F80D91"/>
    <w:rsid w:val="390019F4"/>
    <w:rsid w:val="3910565D"/>
    <w:rsid w:val="391B1C23"/>
    <w:rsid w:val="392E0C06"/>
    <w:rsid w:val="392E7E95"/>
    <w:rsid w:val="39347721"/>
    <w:rsid w:val="393A26C2"/>
    <w:rsid w:val="39502744"/>
    <w:rsid w:val="39CD7B28"/>
    <w:rsid w:val="39D53024"/>
    <w:rsid w:val="39F96CD3"/>
    <w:rsid w:val="39FA28E7"/>
    <w:rsid w:val="39FB6941"/>
    <w:rsid w:val="3A051D71"/>
    <w:rsid w:val="3A0948D8"/>
    <w:rsid w:val="3A162A4B"/>
    <w:rsid w:val="3A397F87"/>
    <w:rsid w:val="3A4F06FA"/>
    <w:rsid w:val="3A53023B"/>
    <w:rsid w:val="3A5F0E8F"/>
    <w:rsid w:val="3A6008E4"/>
    <w:rsid w:val="3A720206"/>
    <w:rsid w:val="3A905C8A"/>
    <w:rsid w:val="3A943BE2"/>
    <w:rsid w:val="3ABE2DBF"/>
    <w:rsid w:val="3AC85F3C"/>
    <w:rsid w:val="3AC93502"/>
    <w:rsid w:val="3ACE3FC0"/>
    <w:rsid w:val="3AEE0355"/>
    <w:rsid w:val="3AF40B60"/>
    <w:rsid w:val="3B0752BB"/>
    <w:rsid w:val="3B083441"/>
    <w:rsid w:val="3B264484"/>
    <w:rsid w:val="3B366613"/>
    <w:rsid w:val="3B5F56A7"/>
    <w:rsid w:val="3B661F2B"/>
    <w:rsid w:val="3B677B08"/>
    <w:rsid w:val="3B786834"/>
    <w:rsid w:val="3B8D76DF"/>
    <w:rsid w:val="3BA64AD4"/>
    <w:rsid w:val="3BAD4AD3"/>
    <w:rsid w:val="3BDD7DCA"/>
    <w:rsid w:val="3BE40096"/>
    <w:rsid w:val="3BEC179B"/>
    <w:rsid w:val="3BF04606"/>
    <w:rsid w:val="3BF43E26"/>
    <w:rsid w:val="3BFE66BE"/>
    <w:rsid w:val="3C405E61"/>
    <w:rsid w:val="3C656005"/>
    <w:rsid w:val="3C7617F3"/>
    <w:rsid w:val="3C97419C"/>
    <w:rsid w:val="3CAA23A2"/>
    <w:rsid w:val="3CAD1E92"/>
    <w:rsid w:val="3CAF1312"/>
    <w:rsid w:val="3CCD04B8"/>
    <w:rsid w:val="3CCD7E3F"/>
    <w:rsid w:val="3CE779C1"/>
    <w:rsid w:val="3D2E7F00"/>
    <w:rsid w:val="3D642A86"/>
    <w:rsid w:val="3D684847"/>
    <w:rsid w:val="3D750FB9"/>
    <w:rsid w:val="3D767B9F"/>
    <w:rsid w:val="3D7E149A"/>
    <w:rsid w:val="3D8E75CE"/>
    <w:rsid w:val="3DA80FD2"/>
    <w:rsid w:val="3DB039E8"/>
    <w:rsid w:val="3DDB0CDE"/>
    <w:rsid w:val="3DE130CC"/>
    <w:rsid w:val="3DE56342"/>
    <w:rsid w:val="3DEC6760"/>
    <w:rsid w:val="3E027FBC"/>
    <w:rsid w:val="3E065B58"/>
    <w:rsid w:val="3E1A2F06"/>
    <w:rsid w:val="3E1F163F"/>
    <w:rsid w:val="3E2D5DB5"/>
    <w:rsid w:val="3E6360F2"/>
    <w:rsid w:val="3E710381"/>
    <w:rsid w:val="3E75634C"/>
    <w:rsid w:val="3E761376"/>
    <w:rsid w:val="3E9E7CE5"/>
    <w:rsid w:val="3EA81B65"/>
    <w:rsid w:val="3EBD2B1A"/>
    <w:rsid w:val="3ECE3ECC"/>
    <w:rsid w:val="3ED90376"/>
    <w:rsid w:val="3EE72DC7"/>
    <w:rsid w:val="3EF038F1"/>
    <w:rsid w:val="3EFA7B45"/>
    <w:rsid w:val="3F024C4F"/>
    <w:rsid w:val="3F0365C7"/>
    <w:rsid w:val="3F055B78"/>
    <w:rsid w:val="3F1434DF"/>
    <w:rsid w:val="3F1C1654"/>
    <w:rsid w:val="3F4C2D47"/>
    <w:rsid w:val="3F504EE7"/>
    <w:rsid w:val="3F513EF9"/>
    <w:rsid w:val="3F571F4A"/>
    <w:rsid w:val="3F620D12"/>
    <w:rsid w:val="3F6A67ED"/>
    <w:rsid w:val="3F6A7F45"/>
    <w:rsid w:val="3F724C4B"/>
    <w:rsid w:val="3F982986"/>
    <w:rsid w:val="3F9916CB"/>
    <w:rsid w:val="3FA622F7"/>
    <w:rsid w:val="3FA94B93"/>
    <w:rsid w:val="3FAE3F57"/>
    <w:rsid w:val="3FC109C4"/>
    <w:rsid w:val="3FC921F2"/>
    <w:rsid w:val="3FCB6AAA"/>
    <w:rsid w:val="3FD668A7"/>
    <w:rsid w:val="3FDA34BD"/>
    <w:rsid w:val="3FF1653A"/>
    <w:rsid w:val="400718BA"/>
    <w:rsid w:val="401371FB"/>
    <w:rsid w:val="401A45E3"/>
    <w:rsid w:val="40207186"/>
    <w:rsid w:val="402151C5"/>
    <w:rsid w:val="406238CA"/>
    <w:rsid w:val="406279BA"/>
    <w:rsid w:val="40764289"/>
    <w:rsid w:val="407C0469"/>
    <w:rsid w:val="407C36F3"/>
    <w:rsid w:val="409477EC"/>
    <w:rsid w:val="409657CF"/>
    <w:rsid w:val="409B67FC"/>
    <w:rsid w:val="40A13EAE"/>
    <w:rsid w:val="40A83453"/>
    <w:rsid w:val="40C8729B"/>
    <w:rsid w:val="40CD665F"/>
    <w:rsid w:val="40E46FAD"/>
    <w:rsid w:val="40F0315F"/>
    <w:rsid w:val="40F257D7"/>
    <w:rsid w:val="40F76F51"/>
    <w:rsid w:val="41120C90"/>
    <w:rsid w:val="412F695F"/>
    <w:rsid w:val="41434B73"/>
    <w:rsid w:val="414A20EE"/>
    <w:rsid w:val="414E29EF"/>
    <w:rsid w:val="41595546"/>
    <w:rsid w:val="4172188D"/>
    <w:rsid w:val="41886A2A"/>
    <w:rsid w:val="418947DD"/>
    <w:rsid w:val="418F7DB9"/>
    <w:rsid w:val="419A5FA7"/>
    <w:rsid w:val="41A75102"/>
    <w:rsid w:val="41BE5A2A"/>
    <w:rsid w:val="41CA2FEA"/>
    <w:rsid w:val="41CE268F"/>
    <w:rsid w:val="41D33E28"/>
    <w:rsid w:val="41D55F5E"/>
    <w:rsid w:val="41DE44D4"/>
    <w:rsid w:val="41E9571B"/>
    <w:rsid w:val="41EC73B9"/>
    <w:rsid w:val="41EF1F04"/>
    <w:rsid w:val="41F63D1A"/>
    <w:rsid w:val="41FC259B"/>
    <w:rsid w:val="41FD11C6"/>
    <w:rsid w:val="42061600"/>
    <w:rsid w:val="420F2CA7"/>
    <w:rsid w:val="42182026"/>
    <w:rsid w:val="42224789"/>
    <w:rsid w:val="42251712"/>
    <w:rsid w:val="424117A9"/>
    <w:rsid w:val="42597BC0"/>
    <w:rsid w:val="425C5EED"/>
    <w:rsid w:val="42702D48"/>
    <w:rsid w:val="42774B98"/>
    <w:rsid w:val="427A48F5"/>
    <w:rsid w:val="427C7B92"/>
    <w:rsid w:val="42A77656"/>
    <w:rsid w:val="42AC5F4A"/>
    <w:rsid w:val="42C66CE7"/>
    <w:rsid w:val="42D26925"/>
    <w:rsid w:val="42D7538F"/>
    <w:rsid w:val="42DC4209"/>
    <w:rsid w:val="42E36B0E"/>
    <w:rsid w:val="42EC2017"/>
    <w:rsid w:val="4306526F"/>
    <w:rsid w:val="43100A85"/>
    <w:rsid w:val="4341150D"/>
    <w:rsid w:val="434D2655"/>
    <w:rsid w:val="43621BFA"/>
    <w:rsid w:val="437751D9"/>
    <w:rsid w:val="437C611B"/>
    <w:rsid w:val="438D134B"/>
    <w:rsid w:val="4398109F"/>
    <w:rsid w:val="439A1AD2"/>
    <w:rsid w:val="43B3273A"/>
    <w:rsid w:val="43CF1E05"/>
    <w:rsid w:val="43D9356D"/>
    <w:rsid w:val="43DF7059"/>
    <w:rsid w:val="43E57440"/>
    <w:rsid w:val="43FA17E3"/>
    <w:rsid w:val="440C5928"/>
    <w:rsid w:val="44232F4A"/>
    <w:rsid w:val="442B3D77"/>
    <w:rsid w:val="443212AD"/>
    <w:rsid w:val="4435582D"/>
    <w:rsid w:val="443A1C7A"/>
    <w:rsid w:val="44466411"/>
    <w:rsid w:val="44480AB2"/>
    <w:rsid w:val="44665250"/>
    <w:rsid w:val="446F1D04"/>
    <w:rsid w:val="448824A8"/>
    <w:rsid w:val="4495185F"/>
    <w:rsid w:val="44C12B98"/>
    <w:rsid w:val="44D4710D"/>
    <w:rsid w:val="44D77AAC"/>
    <w:rsid w:val="44DA0E19"/>
    <w:rsid w:val="44E01B0C"/>
    <w:rsid w:val="44FF3F48"/>
    <w:rsid w:val="450C1316"/>
    <w:rsid w:val="45367EE8"/>
    <w:rsid w:val="45444ABA"/>
    <w:rsid w:val="45460EC2"/>
    <w:rsid w:val="4550785F"/>
    <w:rsid w:val="45563A63"/>
    <w:rsid w:val="457203F6"/>
    <w:rsid w:val="458F0E1A"/>
    <w:rsid w:val="459040FF"/>
    <w:rsid w:val="459154E7"/>
    <w:rsid w:val="45921488"/>
    <w:rsid w:val="45AF73E2"/>
    <w:rsid w:val="45D953E6"/>
    <w:rsid w:val="45DA3A13"/>
    <w:rsid w:val="45DE039C"/>
    <w:rsid w:val="45E662D9"/>
    <w:rsid w:val="45E829A9"/>
    <w:rsid w:val="45EC2BB2"/>
    <w:rsid w:val="46050750"/>
    <w:rsid w:val="460B3E93"/>
    <w:rsid w:val="46337B51"/>
    <w:rsid w:val="466F111A"/>
    <w:rsid w:val="46733805"/>
    <w:rsid w:val="469E5ECF"/>
    <w:rsid w:val="46D63E35"/>
    <w:rsid w:val="46E023F1"/>
    <w:rsid w:val="46EF5D1F"/>
    <w:rsid w:val="471637A7"/>
    <w:rsid w:val="47264976"/>
    <w:rsid w:val="474D04FA"/>
    <w:rsid w:val="475951FA"/>
    <w:rsid w:val="47617C93"/>
    <w:rsid w:val="476B4E24"/>
    <w:rsid w:val="47734206"/>
    <w:rsid w:val="477B49C8"/>
    <w:rsid w:val="47851FC8"/>
    <w:rsid w:val="47855610"/>
    <w:rsid w:val="47886E69"/>
    <w:rsid w:val="47A94056"/>
    <w:rsid w:val="47B34102"/>
    <w:rsid w:val="47CB122D"/>
    <w:rsid w:val="47D37F9A"/>
    <w:rsid w:val="47D84F33"/>
    <w:rsid w:val="47E7324B"/>
    <w:rsid w:val="47E8132C"/>
    <w:rsid w:val="47EE29E7"/>
    <w:rsid w:val="47F47296"/>
    <w:rsid w:val="47FD5647"/>
    <w:rsid w:val="480E5EDB"/>
    <w:rsid w:val="48253FEF"/>
    <w:rsid w:val="4828582E"/>
    <w:rsid w:val="483248F6"/>
    <w:rsid w:val="48332982"/>
    <w:rsid w:val="483427D4"/>
    <w:rsid w:val="48362D3C"/>
    <w:rsid w:val="48401E0D"/>
    <w:rsid w:val="484824F1"/>
    <w:rsid w:val="48521BAD"/>
    <w:rsid w:val="485570CA"/>
    <w:rsid w:val="48561630"/>
    <w:rsid w:val="48600469"/>
    <w:rsid w:val="4879141E"/>
    <w:rsid w:val="487A7793"/>
    <w:rsid w:val="487C76F5"/>
    <w:rsid w:val="48803052"/>
    <w:rsid w:val="48812E9A"/>
    <w:rsid w:val="48861CE2"/>
    <w:rsid w:val="48A835F4"/>
    <w:rsid w:val="48AC7A3F"/>
    <w:rsid w:val="48B122DF"/>
    <w:rsid w:val="48B278CC"/>
    <w:rsid w:val="48C06AA9"/>
    <w:rsid w:val="48EA63D3"/>
    <w:rsid w:val="48FB286F"/>
    <w:rsid w:val="48FE32F6"/>
    <w:rsid w:val="49127986"/>
    <w:rsid w:val="491325C4"/>
    <w:rsid w:val="492E5CB9"/>
    <w:rsid w:val="494D662E"/>
    <w:rsid w:val="495715CF"/>
    <w:rsid w:val="49697EB4"/>
    <w:rsid w:val="497B0736"/>
    <w:rsid w:val="497C0C22"/>
    <w:rsid w:val="497C290C"/>
    <w:rsid w:val="497D6B4B"/>
    <w:rsid w:val="4981092F"/>
    <w:rsid w:val="498F64FC"/>
    <w:rsid w:val="49B2260A"/>
    <w:rsid w:val="49C751FD"/>
    <w:rsid w:val="49CB4444"/>
    <w:rsid w:val="49CE292B"/>
    <w:rsid w:val="49CE2CD2"/>
    <w:rsid w:val="49D46CB0"/>
    <w:rsid w:val="49E1048E"/>
    <w:rsid w:val="49ED7C34"/>
    <w:rsid w:val="49F11610"/>
    <w:rsid w:val="49FC2373"/>
    <w:rsid w:val="4A04252A"/>
    <w:rsid w:val="4A1C58CC"/>
    <w:rsid w:val="4A1D0657"/>
    <w:rsid w:val="4A1E3E33"/>
    <w:rsid w:val="4A2512BA"/>
    <w:rsid w:val="4A332BFD"/>
    <w:rsid w:val="4A4C67A5"/>
    <w:rsid w:val="4A5B0308"/>
    <w:rsid w:val="4A6316B8"/>
    <w:rsid w:val="4A64536C"/>
    <w:rsid w:val="4A783057"/>
    <w:rsid w:val="4A860A52"/>
    <w:rsid w:val="4A941E17"/>
    <w:rsid w:val="4A985F30"/>
    <w:rsid w:val="4AA40C66"/>
    <w:rsid w:val="4AA73D99"/>
    <w:rsid w:val="4AAB16AF"/>
    <w:rsid w:val="4ACC7988"/>
    <w:rsid w:val="4AED7318"/>
    <w:rsid w:val="4AF528F5"/>
    <w:rsid w:val="4B15576A"/>
    <w:rsid w:val="4B2035BA"/>
    <w:rsid w:val="4B4650CA"/>
    <w:rsid w:val="4B493C4A"/>
    <w:rsid w:val="4B4A39E7"/>
    <w:rsid w:val="4B625664"/>
    <w:rsid w:val="4B852133"/>
    <w:rsid w:val="4B9002A1"/>
    <w:rsid w:val="4B985311"/>
    <w:rsid w:val="4BB723E6"/>
    <w:rsid w:val="4BC850A4"/>
    <w:rsid w:val="4BE17A39"/>
    <w:rsid w:val="4C0613A3"/>
    <w:rsid w:val="4C213D03"/>
    <w:rsid w:val="4C2C2DD4"/>
    <w:rsid w:val="4C3720CA"/>
    <w:rsid w:val="4C497C56"/>
    <w:rsid w:val="4C832FE3"/>
    <w:rsid w:val="4C863398"/>
    <w:rsid w:val="4C96021E"/>
    <w:rsid w:val="4CBA0C65"/>
    <w:rsid w:val="4CBF2A2B"/>
    <w:rsid w:val="4CE75CAB"/>
    <w:rsid w:val="4CF34379"/>
    <w:rsid w:val="4D1F5939"/>
    <w:rsid w:val="4D224787"/>
    <w:rsid w:val="4D25536D"/>
    <w:rsid w:val="4D2F5735"/>
    <w:rsid w:val="4D307ED5"/>
    <w:rsid w:val="4D3F31F6"/>
    <w:rsid w:val="4D476DE6"/>
    <w:rsid w:val="4D4D7DF7"/>
    <w:rsid w:val="4D550870"/>
    <w:rsid w:val="4D625020"/>
    <w:rsid w:val="4D802842"/>
    <w:rsid w:val="4D8359A3"/>
    <w:rsid w:val="4D8542FE"/>
    <w:rsid w:val="4D8A2119"/>
    <w:rsid w:val="4D8A2BD4"/>
    <w:rsid w:val="4DA34BBA"/>
    <w:rsid w:val="4DB72B71"/>
    <w:rsid w:val="4DC614FB"/>
    <w:rsid w:val="4DC8091F"/>
    <w:rsid w:val="4DCD131A"/>
    <w:rsid w:val="4DD67C45"/>
    <w:rsid w:val="4DE62F52"/>
    <w:rsid w:val="4DEC5CD9"/>
    <w:rsid w:val="4DF416CF"/>
    <w:rsid w:val="4E01203E"/>
    <w:rsid w:val="4E04568A"/>
    <w:rsid w:val="4E1765AA"/>
    <w:rsid w:val="4E2E64E2"/>
    <w:rsid w:val="4E34420E"/>
    <w:rsid w:val="4E5E7F01"/>
    <w:rsid w:val="4E7156B9"/>
    <w:rsid w:val="4E7844F3"/>
    <w:rsid w:val="4E8C7B5A"/>
    <w:rsid w:val="4EC14021"/>
    <w:rsid w:val="4F031643"/>
    <w:rsid w:val="4F0F42E7"/>
    <w:rsid w:val="4F3F6884"/>
    <w:rsid w:val="4F79344A"/>
    <w:rsid w:val="4F7E4235"/>
    <w:rsid w:val="4F817E6C"/>
    <w:rsid w:val="4F837195"/>
    <w:rsid w:val="4F844190"/>
    <w:rsid w:val="4F847B89"/>
    <w:rsid w:val="4FBA6E54"/>
    <w:rsid w:val="4FC03A2C"/>
    <w:rsid w:val="4FCA30D2"/>
    <w:rsid w:val="4FDE1A63"/>
    <w:rsid w:val="4FDF0CCB"/>
    <w:rsid w:val="4FF27596"/>
    <w:rsid w:val="4FFF5B2B"/>
    <w:rsid w:val="500A26D1"/>
    <w:rsid w:val="503A43BF"/>
    <w:rsid w:val="504306EC"/>
    <w:rsid w:val="50470E2C"/>
    <w:rsid w:val="504E638F"/>
    <w:rsid w:val="5062241A"/>
    <w:rsid w:val="5068762A"/>
    <w:rsid w:val="50A15032"/>
    <w:rsid w:val="50A77706"/>
    <w:rsid w:val="50B36B51"/>
    <w:rsid w:val="50B412E2"/>
    <w:rsid w:val="50BA4EB2"/>
    <w:rsid w:val="50DA0CD9"/>
    <w:rsid w:val="50DE21C3"/>
    <w:rsid w:val="50F578BE"/>
    <w:rsid w:val="510761D8"/>
    <w:rsid w:val="510C6A50"/>
    <w:rsid w:val="5111288E"/>
    <w:rsid w:val="51193C61"/>
    <w:rsid w:val="511A4D66"/>
    <w:rsid w:val="51330FBE"/>
    <w:rsid w:val="51351678"/>
    <w:rsid w:val="513E0ECB"/>
    <w:rsid w:val="51486741"/>
    <w:rsid w:val="51491C14"/>
    <w:rsid w:val="514C35D0"/>
    <w:rsid w:val="515940F5"/>
    <w:rsid w:val="515D5BF5"/>
    <w:rsid w:val="51644DBE"/>
    <w:rsid w:val="516C34B6"/>
    <w:rsid w:val="517D5216"/>
    <w:rsid w:val="518E32A3"/>
    <w:rsid w:val="51AB50F9"/>
    <w:rsid w:val="51AE79FF"/>
    <w:rsid w:val="51BB65F7"/>
    <w:rsid w:val="51E43ECB"/>
    <w:rsid w:val="521045FE"/>
    <w:rsid w:val="52166ED5"/>
    <w:rsid w:val="52167298"/>
    <w:rsid w:val="521B43F5"/>
    <w:rsid w:val="52216B7A"/>
    <w:rsid w:val="52477C1D"/>
    <w:rsid w:val="524A3FB4"/>
    <w:rsid w:val="524B0E0B"/>
    <w:rsid w:val="524D2C6B"/>
    <w:rsid w:val="52505775"/>
    <w:rsid w:val="525677EB"/>
    <w:rsid w:val="52632790"/>
    <w:rsid w:val="52643072"/>
    <w:rsid w:val="526540F4"/>
    <w:rsid w:val="52665064"/>
    <w:rsid w:val="526A62DE"/>
    <w:rsid w:val="527D4FB1"/>
    <w:rsid w:val="5295648E"/>
    <w:rsid w:val="52C5725D"/>
    <w:rsid w:val="52DC5B7F"/>
    <w:rsid w:val="52F30586"/>
    <w:rsid w:val="52FE19E8"/>
    <w:rsid w:val="53095C1D"/>
    <w:rsid w:val="53157440"/>
    <w:rsid w:val="531E2D4A"/>
    <w:rsid w:val="5328072D"/>
    <w:rsid w:val="53355141"/>
    <w:rsid w:val="533C720D"/>
    <w:rsid w:val="534053B7"/>
    <w:rsid w:val="5343661A"/>
    <w:rsid w:val="5354676C"/>
    <w:rsid w:val="535761DA"/>
    <w:rsid w:val="5371798B"/>
    <w:rsid w:val="539A4AC7"/>
    <w:rsid w:val="539D45B7"/>
    <w:rsid w:val="53BF62DB"/>
    <w:rsid w:val="53C635D6"/>
    <w:rsid w:val="53E96455"/>
    <w:rsid w:val="53EB4EC9"/>
    <w:rsid w:val="53F7212F"/>
    <w:rsid w:val="543071D9"/>
    <w:rsid w:val="54370568"/>
    <w:rsid w:val="543A1B64"/>
    <w:rsid w:val="54491518"/>
    <w:rsid w:val="544F7227"/>
    <w:rsid w:val="54747A63"/>
    <w:rsid w:val="54751090"/>
    <w:rsid w:val="54877816"/>
    <w:rsid w:val="548E2E25"/>
    <w:rsid w:val="54A73F02"/>
    <w:rsid w:val="54AC3ACB"/>
    <w:rsid w:val="54AE468E"/>
    <w:rsid w:val="54B77875"/>
    <w:rsid w:val="54DA1CE0"/>
    <w:rsid w:val="54F14BBA"/>
    <w:rsid w:val="54FA77B0"/>
    <w:rsid w:val="550424FD"/>
    <w:rsid w:val="55077977"/>
    <w:rsid w:val="55152F2C"/>
    <w:rsid w:val="551A7556"/>
    <w:rsid w:val="55207A5F"/>
    <w:rsid w:val="55237204"/>
    <w:rsid w:val="55285617"/>
    <w:rsid w:val="552D2219"/>
    <w:rsid w:val="55731B60"/>
    <w:rsid w:val="55786709"/>
    <w:rsid w:val="557D17B4"/>
    <w:rsid w:val="55850FF3"/>
    <w:rsid w:val="55A01C83"/>
    <w:rsid w:val="55A278CD"/>
    <w:rsid w:val="55AF4569"/>
    <w:rsid w:val="55BF6EE6"/>
    <w:rsid w:val="55C6477D"/>
    <w:rsid w:val="55CD6A42"/>
    <w:rsid w:val="55D26E3F"/>
    <w:rsid w:val="560F00EF"/>
    <w:rsid w:val="561F7345"/>
    <w:rsid w:val="563E61F7"/>
    <w:rsid w:val="56433FA3"/>
    <w:rsid w:val="56614AC6"/>
    <w:rsid w:val="56737851"/>
    <w:rsid w:val="56790902"/>
    <w:rsid w:val="567A0BDF"/>
    <w:rsid w:val="567F070F"/>
    <w:rsid w:val="567F4576"/>
    <w:rsid w:val="568A5F5D"/>
    <w:rsid w:val="56941937"/>
    <w:rsid w:val="56B0015D"/>
    <w:rsid w:val="56B438FB"/>
    <w:rsid w:val="56BE4A22"/>
    <w:rsid w:val="56C73327"/>
    <w:rsid w:val="56CB77AB"/>
    <w:rsid w:val="56E10C25"/>
    <w:rsid w:val="570B32C2"/>
    <w:rsid w:val="571F6BFC"/>
    <w:rsid w:val="57256D9D"/>
    <w:rsid w:val="5730125B"/>
    <w:rsid w:val="573A7A91"/>
    <w:rsid w:val="573E59B5"/>
    <w:rsid w:val="57454278"/>
    <w:rsid w:val="574A05B2"/>
    <w:rsid w:val="575B27BF"/>
    <w:rsid w:val="5761234D"/>
    <w:rsid w:val="577B53A3"/>
    <w:rsid w:val="5788782A"/>
    <w:rsid w:val="578C7B66"/>
    <w:rsid w:val="57905E5F"/>
    <w:rsid w:val="57A554BF"/>
    <w:rsid w:val="57AF46E7"/>
    <w:rsid w:val="57D16DA0"/>
    <w:rsid w:val="57E13012"/>
    <w:rsid w:val="57E37D4A"/>
    <w:rsid w:val="57F15E21"/>
    <w:rsid w:val="5811013A"/>
    <w:rsid w:val="581B7D24"/>
    <w:rsid w:val="58397FF4"/>
    <w:rsid w:val="58463854"/>
    <w:rsid w:val="584D65AC"/>
    <w:rsid w:val="586631C9"/>
    <w:rsid w:val="586E2348"/>
    <w:rsid w:val="58737694"/>
    <w:rsid w:val="5880208B"/>
    <w:rsid w:val="5882581D"/>
    <w:rsid w:val="588E05F3"/>
    <w:rsid w:val="58CC2633"/>
    <w:rsid w:val="58CE59D8"/>
    <w:rsid w:val="58D72647"/>
    <w:rsid w:val="58F96D8E"/>
    <w:rsid w:val="58FD68EE"/>
    <w:rsid w:val="5930085B"/>
    <w:rsid w:val="59322280"/>
    <w:rsid w:val="59417793"/>
    <w:rsid w:val="59676F79"/>
    <w:rsid w:val="598541D6"/>
    <w:rsid w:val="59910C86"/>
    <w:rsid w:val="59A92542"/>
    <w:rsid w:val="59E05C17"/>
    <w:rsid w:val="59E22D24"/>
    <w:rsid w:val="59FF3546"/>
    <w:rsid w:val="5A0313FD"/>
    <w:rsid w:val="5A1350B0"/>
    <w:rsid w:val="5A1F4E71"/>
    <w:rsid w:val="5A323AEF"/>
    <w:rsid w:val="5A33551A"/>
    <w:rsid w:val="5A3E3CD2"/>
    <w:rsid w:val="5A4F26D5"/>
    <w:rsid w:val="5A6E3EF1"/>
    <w:rsid w:val="5A7E0F29"/>
    <w:rsid w:val="5A8935B7"/>
    <w:rsid w:val="5A931432"/>
    <w:rsid w:val="5AB35ABF"/>
    <w:rsid w:val="5ABF6EB9"/>
    <w:rsid w:val="5ADA39FB"/>
    <w:rsid w:val="5AE30232"/>
    <w:rsid w:val="5AEE6358"/>
    <w:rsid w:val="5B2D7FCE"/>
    <w:rsid w:val="5B2F37CE"/>
    <w:rsid w:val="5B465534"/>
    <w:rsid w:val="5B496764"/>
    <w:rsid w:val="5B6178C4"/>
    <w:rsid w:val="5B82014F"/>
    <w:rsid w:val="5B8453C6"/>
    <w:rsid w:val="5B9B13DC"/>
    <w:rsid w:val="5BB575B8"/>
    <w:rsid w:val="5BB87012"/>
    <w:rsid w:val="5BC2064C"/>
    <w:rsid w:val="5BDC74A3"/>
    <w:rsid w:val="5BE22007"/>
    <w:rsid w:val="5BE27658"/>
    <w:rsid w:val="5BF31218"/>
    <w:rsid w:val="5C146B65"/>
    <w:rsid w:val="5C222558"/>
    <w:rsid w:val="5C223024"/>
    <w:rsid w:val="5C3916CB"/>
    <w:rsid w:val="5C477CE6"/>
    <w:rsid w:val="5C4828F8"/>
    <w:rsid w:val="5C487D46"/>
    <w:rsid w:val="5C5D4B7C"/>
    <w:rsid w:val="5C651FDC"/>
    <w:rsid w:val="5C667C13"/>
    <w:rsid w:val="5C67703D"/>
    <w:rsid w:val="5C6F490D"/>
    <w:rsid w:val="5C717DB7"/>
    <w:rsid w:val="5C726994"/>
    <w:rsid w:val="5C7B2FBB"/>
    <w:rsid w:val="5C871072"/>
    <w:rsid w:val="5C877BB2"/>
    <w:rsid w:val="5C8F0D4E"/>
    <w:rsid w:val="5CA26954"/>
    <w:rsid w:val="5CAD6AD0"/>
    <w:rsid w:val="5CB37393"/>
    <w:rsid w:val="5CB53FD1"/>
    <w:rsid w:val="5CB7115D"/>
    <w:rsid w:val="5CBA2232"/>
    <w:rsid w:val="5CC82EAC"/>
    <w:rsid w:val="5CD27541"/>
    <w:rsid w:val="5CE23FDD"/>
    <w:rsid w:val="5CEB0ADB"/>
    <w:rsid w:val="5CF82F9D"/>
    <w:rsid w:val="5CFA7B04"/>
    <w:rsid w:val="5D0B0385"/>
    <w:rsid w:val="5D0E3598"/>
    <w:rsid w:val="5D107BA8"/>
    <w:rsid w:val="5D156F6C"/>
    <w:rsid w:val="5D2E002E"/>
    <w:rsid w:val="5D32494D"/>
    <w:rsid w:val="5D467A6D"/>
    <w:rsid w:val="5D787F3F"/>
    <w:rsid w:val="5D7A7CD6"/>
    <w:rsid w:val="5D910EAF"/>
    <w:rsid w:val="5DD129AB"/>
    <w:rsid w:val="5DDB5AFC"/>
    <w:rsid w:val="5E2002BE"/>
    <w:rsid w:val="5E4F7C6F"/>
    <w:rsid w:val="5E563CE0"/>
    <w:rsid w:val="5E565A14"/>
    <w:rsid w:val="5E583C85"/>
    <w:rsid w:val="5E645AD2"/>
    <w:rsid w:val="5E734892"/>
    <w:rsid w:val="5E7F3237"/>
    <w:rsid w:val="5E9465B6"/>
    <w:rsid w:val="5E9566AF"/>
    <w:rsid w:val="5EAA7E79"/>
    <w:rsid w:val="5EC37DA1"/>
    <w:rsid w:val="5ECB647C"/>
    <w:rsid w:val="5ECD7188"/>
    <w:rsid w:val="5ED32666"/>
    <w:rsid w:val="5F034E6C"/>
    <w:rsid w:val="5F177A55"/>
    <w:rsid w:val="5F333C89"/>
    <w:rsid w:val="5F357D34"/>
    <w:rsid w:val="5F3D09FC"/>
    <w:rsid w:val="5F42728A"/>
    <w:rsid w:val="5F63153F"/>
    <w:rsid w:val="5F6B78A7"/>
    <w:rsid w:val="5F7444F7"/>
    <w:rsid w:val="5F7A5259"/>
    <w:rsid w:val="5F8438C5"/>
    <w:rsid w:val="5FA264B2"/>
    <w:rsid w:val="5FB8028B"/>
    <w:rsid w:val="5FC058B5"/>
    <w:rsid w:val="5FF770AB"/>
    <w:rsid w:val="5FFE0DDB"/>
    <w:rsid w:val="6002255B"/>
    <w:rsid w:val="60107AA0"/>
    <w:rsid w:val="60163D42"/>
    <w:rsid w:val="60170588"/>
    <w:rsid w:val="60367E7A"/>
    <w:rsid w:val="604C539B"/>
    <w:rsid w:val="60535F55"/>
    <w:rsid w:val="606326E4"/>
    <w:rsid w:val="606548B2"/>
    <w:rsid w:val="6069689F"/>
    <w:rsid w:val="607D7294"/>
    <w:rsid w:val="609338B3"/>
    <w:rsid w:val="609452E7"/>
    <w:rsid w:val="60A61895"/>
    <w:rsid w:val="60BC15A6"/>
    <w:rsid w:val="60C2740B"/>
    <w:rsid w:val="60D801D1"/>
    <w:rsid w:val="60D82289"/>
    <w:rsid w:val="60D83B3A"/>
    <w:rsid w:val="60E16D9E"/>
    <w:rsid w:val="60F12B9F"/>
    <w:rsid w:val="60F12BA5"/>
    <w:rsid w:val="60F467D1"/>
    <w:rsid w:val="60F668A1"/>
    <w:rsid w:val="6106425A"/>
    <w:rsid w:val="61077514"/>
    <w:rsid w:val="61133537"/>
    <w:rsid w:val="611C1AF5"/>
    <w:rsid w:val="611C2FBF"/>
    <w:rsid w:val="611D60FD"/>
    <w:rsid w:val="612400C6"/>
    <w:rsid w:val="61265633"/>
    <w:rsid w:val="61355E2F"/>
    <w:rsid w:val="61516249"/>
    <w:rsid w:val="61525DBF"/>
    <w:rsid w:val="61534A39"/>
    <w:rsid w:val="61546902"/>
    <w:rsid w:val="61576B40"/>
    <w:rsid w:val="61637BA0"/>
    <w:rsid w:val="616F0B1E"/>
    <w:rsid w:val="61706E67"/>
    <w:rsid w:val="617B52B4"/>
    <w:rsid w:val="61A35109"/>
    <w:rsid w:val="61A60ADB"/>
    <w:rsid w:val="61AE2BB4"/>
    <w:rsid w:val="61BE48A0"/>
    <w:rsid w:val="61C5238A"/>
    <w:rsid w:val="61C71782"/>
    <w:rsid w:val="61E66498"/>
    <w:rsid w:val="61EF3C1A"/>
    <w:rsid w:val="620B19DF"/>
    <w:rsid w:val="62151C42"/>
    <w:rsid w:val="62165B45"/>
    <w:rsid w:val="62300905"/>
    <w:rsid w:val="62300BE8"/>
    <w:rsid w:val="62307B03"/>
    <w:rsid w:val="623D4E8B"/>
    <w:rsid w:val="62561AFC"/>
    <w:rsid w:val="6263524E"/>
    <w:rsid w:val="626B02BA"/>
    <w:rsid w:val="627A705E"/>
    <w:rsid w:val="62800D70"/>
    <w:rsid w:val="62935219"/>
    <w:rsid w:val="62B162F2"/>
    <w:rsid w:val="62B3194B"/>
    <w:rsid w:val="62C10296"/>
    <w:rsid w:val="62C4705B"/>
    <w:rsid w:val="62D8103C"/>
    <w:rsid w:val="62DD2210"/>
    <w:rsid w:val="62EC05C3"/>
    <w:rsid w:val="62F176EC"/>
    <w:rsid w:val="62F3476A"/>
    <w:rsid w:val="63097573"/>
    <w:rsid w:val="630F26B0"/>
    <w:rsid w:val="63286425"/>
    <w:rsid w:val="63383D52"/>
    <w:rsid w:val="633D04AB"/>
    <w:rsid w:val="634F36C6"/>
    <w:rsid w:val="63612D25"/>
    <w:rsid w:val="637B1F93"/>
    <w:rsid w:val="63881225"/>
    <w:rsid w:val="63BF245D"/>
    <w:rsid w:val="63EA24B7"/>
    <w:rsid w:val="63EC772F"/>
    <w:rsid w:val="63F26259"/>
    <w:rsid w:val="642665BA"/>
    <w:rsid w:val="64347BEA"/>
    <w:rsid w:val="6448427F"/>
    <w:rsid w:val="645032BF"/>
    <w:rsid w:val="645B7993"/>
    <w:rsid w:val="647C33ED"/>
    <w:rsid w:val="6483420A"/>
    <w:rsid w:val="64A17121"/>
    <w:rsid w:val="64B049E0"/>
    <w:rsid w:val="64BD6FD3"/>
    <w:rsid w:val="64C10F83"/>
    <w:rsid w:val="64CC26CC"/>
    <w:rsid w:val="64DD6316"/>
    <w:rsid w:val="64E97BA7"/>
    <w:rsid w:val="64F82F1D"/>
    <w:rsid w:val="64FE00AA"/>
    <w:rsid w:val="6515518E"/>
    <w:rsid w:val="65182461"/>
    <w:rsid w:val="651B1C16"/>
    <w:rsid w:val="65342182"/>
    <w:rsid w:val="653D2337"/>
    <w:rsid w:val="654E6E46"/>
    <w:rsid w:val="654F66E6"/>
    <w:rsid w:val="65720C57"/>
    <w:rsid w:val="657E6936"/>
    <w:rsid w:val="657F0D51"/>
    <w:rsid w:val="657F126C"/>
    <w:rsid w:val="6587605B"/>
    <w:rsid w:val="65893A81"/>
    <w:rsid w:val="65907EE7"/>
    <w:rsid w:val="65A0200F"/>
    <w:rsid w:val="65BF216B"/>
    <w:rsid w:val="65BF3643"/>
    <w:rsid w:val="65C94475"/>
    <w:rsid w:val="65CC1952"/>
    <w:rsid w:val="65D5373C"/>
    <w:rsid w:val="65E0110F"/>
    <w:rsid w:val="65E30E33"/>
    <w:rsid w:val="66000DCF"/>
    <w:rsid w:val="6622531C"/>
    <w:rsid w:val="665367F8"/>
    <w:rsid w:val="665B53D7"/>
    <w:rsid w:val="665C14D4"/>
    <w:rsid w:val="66602909"/>
    <w:rsid w:val="66937A90"/>
    <w:rsid w:val="669B018A"/>
    <w:rsid w:val="669C24AC"/>
    <w:rsid w:val="66BD2071"/>
    <w:rsid w:val="66C157DD"/>
    <w:rsid w:val="66C50FAC"/>
    <w:rsid w:val="66C97D87"/>
    <w:rsid w:val="66D34ED0"/>
    <w:rsid w:val="66D621CE"/>
    <w:rsid w:val="66F42721"/>
    <w:rsid w:val="670871D7"/>
    <w:rsid w:val="67144738"/>
    <w:rsid w:val="67353009"/>
    <w:rsid w:val="673652F0"/>
    <w:rsid w:val="6737420D"/>
    <w:rsid w:val="674C0924"/>
    <w:rsid w:val="675040F9"/>
    <w:rsid w:val="675A65EF"/>
    <w:rsid w:val="675D294C"/>
    <w:rsid w:val="676F4E5A"/>
    <w:rsid w:val="67737E05"/>
    <w:rsid w:val="677E1BB2"/>
    <w:rsid w:val="678C5B11"/>
    <w:rsid w:val="67935C1F"/>
    <w:rsid w:val="67987287"/>
    <w:rsid w:val="67B463FE"/>
    <w:rsid w:val="67C92A9B"/>
    <w:rsid w:val="67D34322"/>
    <w:rsid w:val="67D35A63"/>
    <w:rsid w:val="67E1286C"/>
    <w:rsid w:val="67E1553D"/>
    <w:rsid w:val="67FB209D"/>
    <w:rsid w:val="67FF2A96"/>
    <w:rsid w:val="68464CA8"/>
    <w:rsid w:val="684A6664"/>
    <w:rsid w:val="68700BE1"/>
    <w:rsid w:val="688A2F04"/>
    <w:rsid w:val="688A63C1"/>
    <w:rsid w:val="689540BB"/>
    <w:rsid w:val="6896658B"/>
    <w:rsid w:val="689E250C"/>
    <w:rsid w:val="68A54A43"/>
    <w:rsid w:val="68A8338A"/>
    <w:rsid w:val="68A919A2"/>
    <w:rsid w:val="68AA7123"/>
    <w:rsid w:val="68B7181F"/>
    <w:rsid w:val="68BA66D1"/>
    <w:rsid w:val="68C77CB4"/>
    <w:rsid w:val="68D61B92"/>
    <w:rsid w:val="68E428E7"/>
    <w:rsid w:val="68F44619"/>
    <w:rsid w:val="68FE3BF6"/>
    <w:rsid w:val="693A49E5"/>
    <w:rsid w:val="69434BAE"/>
    <w:rsid w:val="69492530"/>
    <w:rsid w:val="694C57AF"/>
    <w:rsid w:val="6958125A"/>
    <w:rsid w:val="69627926"/>
    <w:rsid w:val="696E2D72"/>
    <w:rsid w:val="697415F1"/>
    <w:rsid w:val="69747710"/>
    <w:rsid w:val="698C4A5A"/>
    <w:rsid w:val="69925493"/>
    <w:rsid w:val="69972FAF"/>
    <w:rsid w:val="69A51678"/>
    <w:rsid w:val="69A87E28"/>
    <w:rsid w:val="69B42265"/>
    <w:rsid w:val="69ED65A0"/>
    <w:rsid w:val="69EF439D"/>
    <w:rsid w:val="69F273C1"/>
    <w:rsid w:val="6A186636"/>
    <w:rsid w:val="6A222320"/>
    <w:rsid w:val="6A2F2C71"/>
    <w:rsid w:val="6A347F4A"/>
    <w:rsid w:val="6A365180"/>
    <w:rsid w:val="6A4964A7"/>
    <w:rsid w:val="6A5D01A4"/>
    <w:rsid w:val="6A7A2AF3"/>
    <w:rsid w:val="6A8D2D8B"/>
    <w:rsid w:val="6AB57658"/>
    <w:rsid w:val="6AB84D91"/>
    <w:rsid w:val="6ABE0726"/>
    <w:rsid w:val="6AC946F8"/>
    <w:rsid w:val="6ACD7AF6"/>
    <w:rsid w:val="6ACF10A2"/>
    <w:rsid w:val="6AD35861"/>
    <w:rsid w:val="6AD45E72"/>
    <w:rsid w:val="6AD72F36"/>
    <w:rsid w:val="6AE92C0C"/>
    <w:rsid w:val="6AF405C0"/>
    <w:rsid w:val="6B024BA8"/>
    <w:rsid w:val="6B0D2C0B"/>
    <w:rsid w:val="6B1C0A3A"/>
    <w:rsid w:val="6B215A78"/>
    <w:rsid w:val="6B2417A8"/>
    <w:rsid w:val="6B3A3E2F"/>
    <w:rsid w:val="6B3C600C"/>
    <w:rsid w:val="6B3E0FA4"/>
    <w:rsid w:val="6B626105"/>
    <w:rsid w:val="6B642A5C"/>
    <w:rsid w:val="6B7F67DF"/>
    <w:rsid w:val="6B8640D4"/>
    <w:rsid w:val="6BBE2161"/>
    <w:rsid w:val="6BDA7CFF"/>
    <w:rsid w:val="6BEC3FE8"/>
    <w:rsid w:val="6BFB2794"/>
    <w:rsid w:val="6BFB4B8A"/>
    <w:rsid w:val="6C050FB1"/>
    <w:rsid w:val="6C066AD6"/>
    <w:rsid w:val="6C176D87"/>
    <w:rsid w:val="6C335661"/>
    <w:rsid w:val="6C4362DE"/>
    <w:rsid w:val="6C446265"/>
    <w:rsid w:val="6C4E35E1"/>
    <w:rsid w:val="6C501D6F"/>
    <w:rsid w:val="6C8D55C1"/>
    <w:rsid w:val="6C962F8F"/>
    <w:rsid w:val="6CAD1A26"/>
    <w:rsid w:val="6CC01E06"/>
    <w:rsid w:val="6CD15DD8"/>
    <w:rsid w:val="6CD9714D"/>
    <w:rsid w:val="6CEE0AE2"/>
    <w:rsid w:val="6D000CE7"/>
    <w:rsid w:val="6D0C6A65"/>
    <w:rsid w:val="6D1A0980"/>
    <w:rsid w:val="6D1E2BE4"/>
    <w:rsid w:val="6D2728E5"/>
    <w:rsid w:val="6D2A721D"/>
    <w:rsid w:val="6D2B327B"/>
    <w:rsid w:val="6D2B6338"/>
    <w:rsid w:val="6D3C6CAD"/>
    <w:rsid w:val="6D4A4A10"/>
    <w:rsid w:val="6D501D71"/>
    <w:rsid w:val="6D504DA0"/>
    <w:rsid w:val="6D5419EF"/>
    <w:rsid w:val="6D556F0F"/>
    <w:rsid w:val="6D8134CB"/>
    <w:rsid w:val="6D8B7565"/>
    <w:rsid w:val="6D977D2B"/>
    <w:rsid w:val="6D99255B"/>
    <w:rsid w:val="6DA57114"/>
    <w:rsid w:val="6DA72679"/>
    <w:rsid w:val="6DB05D35"/>
    <w:rsid w:val="6DB13083"/>
    <w:rsid w:val="6DB553CA"/>
    <w:rsid w:val="6DCA78FF"/>
    <w:rsid w:val="6DE650B4"/>
    <w:rsid w:val="6DFD1817"/>
    <w:rsid w:val="6E0A356A"/>
    <w:rsid w:val="6E0A419F"/>
    <w:rsid w:val="6E0B0643"/>
    <w:rsid w:val="6E1B63AC"/>
    <w:rsid w:val="6E2D7C7E"/>
    <w:rsid w:val="6E331948"/>
    <w:rsid w:val="6E447668"/>
    <w:rsid w:val="6E5F3918"/>
    <w:rsid w:val="6E66447D"/>
    <w:rsid w:val="6E6722D6"/>
    <w:rsid w:val="6E6F167B"/>
    <w:rsid w:val="6E755ABD"/>
    <w:rsid w:val="6E81609F"/>
    <w:rsid w:val="6E8F3561"/>
    <w:rsid w:val="6E9C74ED"/>
    <w:rsid w:val="6EA6036C"/>
    <w:rsid w:val="6EA74BA6"/>
    <w:rsid w:val="6EC3650B"/>
    <w:rsid w:val="6ED02ACD"/>
    <w:rsid w:val="6ED63B92"/>
    <w:rsid w:val="6EE44524"/>
    <w:rsid w:val="6EFF2A86"/>
    <w:rsid w:val="6F013D03"/>
    <w:rsid w:val="6F2F7234"/>
    <w:rsid w:val="6F3040D9"/>
    <w:rsid w:val="6F3A592B"/>
    <w:rsid w:val="6F551878"/>
    <w:rsid w:val="6F6222E1"/>
    <w:rsid w:val="6FAC4917"/>
    <w:rsid w:val="6FB44609"/>
    <w:rsid w:val="6FBA2E1E"/>
    <w:rsid w:val="6FC31206"/>
    <w:rsid w:val="6FCF4A96"/>
    <w:rsid w:val="6FD90021"/>
    <w:rsid w:val="6FDF366F"/>
    <w:rsid w:val="6FE07E43"/>
    <w:rsid w:val="6FEE585B"/>
    <w:rsid w:val="6FF43359"/>
    <w:rsid w:val="700512E5"/>
    <w:rsid w:val="70124563"/>
    <w:rsid w:val="701E2184"/>
    <w:rsid w:val="702454ED"/>
    <w:rsid w:val="702D1E43"/>
    <w:rsid w:val="705F4991"/>
    <w:rsid w:val="70685FC9"/>
    <w:rsid w:val="707F0338"/>
    <w:rsid w:val="70800D73"/>
    <w:rsid w:val="70816FCE"/>
    <w:rsid w:val="70853261"/>
    <w:rsid w:val="70B85568"/>
    <w:rsid w:val="70C40F33"/>
    <w:rsid w:val="70D96DA8"/>
    <w:rsid w:val="70E909E4"/>
    <w:rsid w:val="70EA751E"/>
    <w:rsid w:val="70F462C9"/>
    <w:rsid w:val="70F9549B"/>
    <w:rsid w:val="710738EC"/>
    <w:rsid w:val="710C24FB"/>
    <w:rsid w:val="7113780F"/>
    <w:rsid w:val="712D3890"/>
    <w:rsid w:val="713136A5"/>
    <w:rsid w:val="71393559"/>
    <w:rsid w:val="713D5B43"/>
    <w:rsid w:val="714125CE"/>
    <w:rsid w:val="71795354"/>
    <w:rsid w:val="71B07FF4"/>
    <w:rsid w:val="71B413F6"/>
    <w:rsid w:val="71CF2C01"/>
    <w:rsid w:val="71D91CAC"/>
    <w:rsid w:val="71EC3F35"/>
    <w:rsid w:val="71F56951"/>
    <w:rsid w:val="71FA12C6"/>
    <w:rsid w:val="71FB452B"/>
    <w:rsid w:val="72021D5D"/>
    <w:rsid w:val="7203744E"/>
    <w:rsid w:val="72254923"/>
    <w:rsid w:val="722A3530"/>
    <w:rsid w:val="722A54E3"/>
    <w:rsid w:val="722D4D7A"/>
    <w:rsid w:val="723C1722"/>
    <w:rsid w:val="72483569"/>
    <w:rsid w:val="72495CF8"/>
    <w:rsid w:val="724C2829"/>
    <w:rsid w:val="72595F48"/>
    <w:rsid w:val="7268675E"/>
    <w:rsid w:val="726C5429"/>
    <w:rsid w:val="727971EF"/>
    <w:rsid w:val="72824C4C"/>
    <w:rsid w:val="728564EA"/>
    <w:rsid w:val="728F07DC"/>
    <w:rsid w:val="72922C30"/>
    <w:rsid w:val="72BD7A32"/>
    <w:rsid w:val="72BE7B72"/>
    <w:rsid w:val="72BF12FE"/>
    <w:rsid w:val="72D73A3B"/>
    <w:rsid w:val="72EE2C01"/>
    <w:rsid w:val="72F21013"/>
    <w:rsid w:val="73004F8E"/>
    <w:rsid w:val="73234337"/>
    <w:rsid w:val="73274DE8"/>
    <w:rsid w:val="733444C3"/>
    <w:rsid w:val="733956FD"/>
    <w:rsid w:val="734E17E7"/>
    <w:rsid w:val="734E294B"/>
    <w:rsid w:val="73500BBC"/>
    <w:rsid w:val="7362441D"/>
    <w:rsid w:val="73655314"/>
    <w:rsid w:val="73676811"/>
    <w:rsid w:val="737511A4"/>
    <w:rsid w:val="737E1691"/>
    <w:rsid w:val="73845AD2"/>
    <w:rsid w:val="739C41BC"/>
    <w:rsid w:val="73D019E7"/>
    <w:rsid w:val="73D26673"/>
    <w:rsid w:val="73E545A2"/>
    <w:rsid w:val="73EA2E5D"/>
    <w:rsid w:val="74070429"/>
    <w:rsid w:val="74341CB3"/>
    <w:rsid w:val="743A559C"/>
    <w:rsid w:val="7441226A"/>
    <w:rsid w:val="7443665D"/>
    <w:rsid w:val="744405CF"/>
    <w:rsid w:val="74547EF0"/>
    <w:rsid w:val="745662A4"/>
    <w:rsid w:val="74A159AE"/>
    <w:rsid w:val="74C45535"/>
    <w:rsid w:val="74C85510"/>
    <w:rsid w:val="74DE732C"/>
    <w:rsid w:val="74E26C97"/>
    <w:rsid w:val="74F15469"/>
    <w:rsid w:val="74F43240"/>
    <w:rsid w:val="74FF044D"/>
    <w:rsid w:val="751F373A"/>
    <w:rsid w:val="752F573F"/>
    <w:rsid w:val="75374E13"/>
    <w:rsid w:val="75550613"/>
    <w:rsid w:val="75695C4F"/>
    <w:rsid w:val="756B3051"/>
    <w:rsid w:val="75821EDA"/>
    <w:rsid w:val="758C55ED"/>
    <w:rsid w:val="75907B95"/>
    <w:rsid w:val="75A92518"/>
    <w:rsid w:val="75B23A9A"/>
    <w:rsid w:val="75C0221A"/>
    <w:rsid w:val="75C710B7"/>
    <w:rsid w:val="75CB78C6"/>
    <w:rsid w:val="75DD5A5A"/>
    <w:rsid w:val="75E02781"/>
    <w:rsid w:val="75F47C0F"/>
    <w:rsid w:val="75F776FF"/>
    <w:rsid w:val="76114CF1"/>
    <w:rsid w:val="761753BC"/>
    <w:rsid w:val="761F08F6"/>
    <w:rsid w:val="76206B8F"/>
    <w:rsid w:val="765246D1"/>
    <w:rsid w:val="765554F4"/>
    <w:rsid w:val="76576D27"/>
    <w:rsid w:val="7671572F"/>
    <w:rsid w:val="767B000A"/>
    <w:rsid w:val="767D09A2"/>
    <w:rsid w:val="76820902"/>
    <w:rsid w:val="769151C9"/>
    <w:rsid w:val="76927701"/>
    <w:rsid w:val="769413F2"/>
    <w:rsid w:val="76942F72"/>
    <w:rsid w:val="76984A3E"/>
    <w:rsid w:val="76A121A2"/>
    <w:rsid w:val="76AE6010"/>
    <w:rsid w:val="76D01A14"/>
    <w:rsid w:val="771D4568"/>
    <w:rsid w:val="772558D1"/>
    <w:rsid w:val="77351D07"/>
    <w:rsid w:val="77381A04"/>
    <w:rsid w:val="77430F09"/>
    <w:rsid w:val="774F2919"/>
    <w:rsid w:val="77527698"/>
    <w:rsid w:val="77536274"/>
    <w:rsid w:val="776112D4"/>
    <w:rsid w:val="77892BF6"/>
    <w:rsid w:val="778C3E77"/>
    <w:rsid w:val="77901BB9"/>
    <w:rsid w:val="77912E93"/>
    <w:rsid w:val="77AF7548"/>
    <w:rsid w:val="77B47F8F"/>
    <w:rsid w:val="77CA1BDB"/>
    <w:rsid w:val="77D774E9"/>
    <w:rsid w:val="77DA20CF"/>
    <w:rsid w:val="77E342B7"/>
    <w:rsid w:val="77E36F02"/>
    <w:rsid w:val="781E1BD2"/>
    <w:rsid w:val="782448B2"/>
    <w:rsid w:val="784C1B2D"/>
    <w:rsid w:val="788032B9"/>
    <w:rsid w:val="78816041"/>
    <w:rsid w:val="789F1C2E"/>
    <w:rsid w:val="78A22F27"/>
    <w:rsid w:val="78A84A8C"/>
    <w:rsid w:val="78AD101C"/>
    <w:rsid w:val="78B60185"/>
    <w:rsid w:val="78B847F8"/>
    <w:rsid w:val="78BD3B3B"/>
    <w:rsid w:val="78BE1137"/>
    <w:rsid w:val="78C75B06"/>
    <w:rsid w:val="78CB439A"/>
    <w:rsid w:val="78D34AB8"/>
    <w:rsid w:val="790A5AAE"/>
    <w:rsid w:val="791A695F"/>
    <w:rsid w:val="791A6CAD"/>
    <w:rsid w:val="792516BA"/>
    <w:rsid w:val="792722E7"/>
    <w:rsid w:val="792819E1"/>
    <w:rsid w:val="79411A7C"/>
    <w:rsid w:val="794D5B12"/>
    <w:rsid w:val="795425CB"/>
    <w:rsid w:val="796D0484"/>
    <w:rsid w:val="79786DA9"/>
    <w:rsid w:val="798461F7"/>
    <w:rsid w:val="79A951B4"/>
    <w:rsid w:val="79CC5D95"/>
    <w:rsid w:val="79CD0031"/>
    <w:rsid w:val="79D250DF"/>
    <w:rsid w:val="79D37AB2"/>
    <w:rsid w:val="79D71C84"/>
    <w:rsid w:val="79F54A51"/>
    <w:rsid w:val="7A117572"/>
    <w:rsid w:val="7A1845EE"/>
    <w:rsid w:val="7A1B2968"/>
    <w:rsid w:val="7A353991"/>
    <w:rsid w:val="7A432945"/>
    <w:rsid w:val="7A5A025C"/>
    <w:rsid w:val="7A5B24AB"/>
    <w:rsid w:val="7A635363"/>
    <w:rsid w:val="7A7301D1"/>
    <w:rsid w:val="7A7F544C"/>
    <w:rsid w:val="7A8E51C8"/>
    <w:rsid w:val="7AA11299"/>
    <w:rsid w:val="7AAB7D32"/>
    <w:rsid w:val="7AAC160F"/>
    <w:rsid w:val="7AAF73E7"/>
    <w:rsid w:val="7AB4522F"/>
    <w:rsid w:val="7AB9702D"/>
    <w:rsid w:val="7AC46D17"/>
    <w:rsid w:val="7ADD2219"/>
    <w:rsid w:val="7AEA7CAE"/>
    <w:rsid w:val="7AF16E13"/>
    <w:rsid w:val="7AFC08D6"/>
    <w:rsid w:val="7AFD1234"/>
    <w:rsid w:val="7B1A0DD3"/>
    <w:rsid w:val="7B2160D5"/>
    <w:rsid w:val="7B2B5567"/>
    <w:rsid w:val="7B4203A4"/>
    <w:rsid w:val="7B486C2D"/>
    <w:rsid w:val="7B5829EE"/>
    <w:rsid w:val="7B5B428C"/>
    <w:rsid w:val="7B640D57"/>
    <w:rsid w:val="7B6A04AF"/>
    <w:rsid w:val="7B745921"/>
    <w:rsid w:val="7B7805CE"/>
    <w:rsid w:val="7B860499"/>
    <w:rsid w:val="7BCA35F0"/>
    <w:rsid w:val="7BCC5788"/>
    <w:rsid w:val="7BF06C22"/>
    <w:rsid w:val="7BFE75DF"/>
    <w:rsid w:val="7C030BAC"/>
    <w:rsid w:val="7C0779E4"/>
    <w:rsid w:val="7C0C0A86"/>
    <w:rsid w:val="7C0D29C0"/>
    <w:rsid w:val="7C1029BD"/>
    <w:rsid w:val="7C30396B"/>
    <w:rsid w:val="7C467291"/>
    <w:rsid w:val="7C7E0232"/>
    <w:rsid w:val="7C7E3DCB"/>
    <w:rsid w:val="7C825020"/>
    <w:rsid w:val="7C8506C6"/>
    <w:rsid w:val="7C902D53"/>
    <w:rsid w:val="7C987C81"/>
    <w:rsid w:val="7CA23FD0"/>
    <w:rsid w:val="7CA46322"/>
    <w:rsid w:val="7CB30FC2"/>
    <w:rsid w:val="7CB41EA6"/>
    <w:rsid w:val="7CB95EE4"/>
    <w:rsid w:val="7CC33D6A"/>
    <w:rsid w:val="7CD92EB0"/>
    <w:rsid w:val="7CD97B5E"/>
    <w:rsid w:val="7CE550CE"/>
    <w:rsid w:val="7CF624BE"/>
    <w:rsid w:val="7D0A26A5"/>
    <w:rsid w:val="7D1A0B43"/>
    <w:rsid w:val="7D2C11B1"/>
    <w:rsid w:val="7D3213FB"/>
    <w:rsid w:val="7D3A0587"/>
    <w:rsid w:val="7D424CD4"/>
    <w:rsid w:val="7D4B2E38"/>
    <w:rsid w:val="7D507A47"/>
    <w:rsid w:val="7D5539EE"/>
    <w:rsid w:val="7D5F62B6"/>
    <w:rsid w:val="7D67516A"/>
    <w:rsid w:val="7D7828D7"/>
    <w:rsid w:val="7D9750A1"/>
    <w:rsid w:val="7DA72781"/>
    <w:rsid w:val="7DB71E82"/>
    <w:rsid w:val="7DE15B15"/>
    <w:rsid w:val="7DF34C50"/>
    <w:rsid w:val="7DF422BF"/>
    <w:rsid w:val="7E096221"/>
    <w:rsid w:val="7E107C8E"/>
    <w:rsid w:val="7E2F08D9"/>
    <w:rsid w:val="7E4508A0"/>
    <w:rsid w:val="7E4A03A1"/>
    <w:rsid w:val="7E56093A"/>
    <w:rsid w:val="7E71184E"/>
    <w:rsid w:val="7E8D75C6"/>
    <w:rsid w:val="7E8F2BCB"/>
    <w:rsid w:val="7EAC71C6"/>
    <w:rsid w:val="7EC10816"/>
    <w:rsid w:val="7ECA4A65"/>
    <w:rsid w:val="7EF96285"/>
    <w:rsid w:val="7EFF2AD1"/>
    <w:rsid w:val="7F051B08"/>
    <w:rsid w:val="7F0A6ADD"/>
    <w:rsid w:val="7F3408C0"/>
    <w:rsid w:val="7F392F13"/>
    <w:rsid w:val="7F430F6D"/>
    <w:rsid w:val="7F4D0390"/>
    <w:rsid w:val="7F5E51F6"/>
    <w:rsid w:val="7F6F47AA"/>
    <w:rsid w:val="7F6F638F"/>
    <w:rsid w:val="7F947675"/>
    <w:rsid w:val="7F980D98"/>
    <w:rsid w:val="7FB6091C"/>
    <w:rsid w:val="7FB73C81"/>
    <w:rsid w:val="7FC06DB4"/>
    <w:rsid w:val="7FCB5E84"/>
    <w:rsid w:val="7FD21E33"/>
    <w:rsid w:val="7FDD5BB8"/>
    <w:rsid w:val="7FE56B1D"/>
    <w:rsid w:val="7FF56A5D"/>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99"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qFormat="1" w:unhideWhenUsed="0" w:uiPriority="0" w:semiHidden="0" w:name="List Bullet"/>
    <w:lsdException w:unhideWhenUsed="0" w:uiPriority="0" w:semiHidden="0" w:name="List Number"/>
    <w:lsdException w:qFormat="1"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qFormat="1" w:uiPriority="99"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iPriority="0" w:semiHidden="0" w:name="Body Text First Indent 2"/>
    <w:lsdException w:qFormat="1" w:unhideWhenUsed="0" w:uiPriority="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99"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99"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qFormat="1" w:unhideWhenUsed="0" w:uiPriority="0" w:semiHidden="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qFormat="1" w:unhideWhenUsed="0" w:uiPriority="0" w:semiHidden="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qFormat="1" w:unhideWhenUsed="0" w:uiPriority="0" w:semiHidden="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250"/>
    <w:qFormat/>
    <w:uiPriority w:val="0"/>
    <w:pPr>
      <w:keepNext/>
      <w:keepLines/>
      <w:spacing w:beforeLines="200" w:line="360" w:lineRule="auto"/>
      <w:outlineLvl w:val="0"/>
    </w:pPr>
    <w:rPr>
      <w:rFonts w:hint="eastAsia" w:ascii="宋体" w:hAnsi="宋体"/>
      <w:b/>
      <w:kern w:val="44"/>
      <w:sz w:val="44"/>
      <w:szCs w:val="44"/>
    </w:rPr>
  </w:style>
  <w:style w:type="paragraph" w:styleId="3">
    <w:name w:val="heading 2"/>
    <w:basedOn w:val="1"/>
    <w:next w:val="1"/>
    <w:link w:val="208"/>
    <w:qFormat/>
    <w:uiPriority w:val="0"/>
    <w:pPr>
      <w:keepNext/>
      <w:keepLines/>
      <w:spacing w:beforeLines="50" w:line="360" w:lineRule="auto"/>
      <w:outlineLvl w:val="1"/>
    </w:pPr>
    <w:rPr>
      <w:rFonts w:eastAsia="黑体"/>
      <w:sz w:val="24"/>
    </w:rPr>
  </w:style>
  <w:style w:type="paragraph" w:styleId="4">
    <w:name w:val="heading 3"/>
    <w:basedOn w:val="1"/>
    <w:next w:val="1"/>
    <w:link w:val="184"/>
    <w:qFormat/>
    <w:uiPriority w:val="0"/>
    <w:pPr>
      <w:keepNext/>
      <w:keepLines/>
      <w:spacing w:before="260" w:after="260" w:line="416" w:lineRule="auto"/>
      <w:outlineLvl w:val="2"/>
    </w:pPr>
    <w:rPr>
      <w:rFonts w:ascii="宋体" w:hAnsi="宋体" w:cs="宋体"/>
      <w:b/>
      <w:bCs/>
      <w:sz w:val="32"/>
      <w:szCs w:val="32"/>
    </w:rPr>
  </w:style>
  <w:style w:type="paragraph" w:styleId="5">
    <w:name w:val="heading 4"/>
    <w:basedOn w:val="6"/>
    <w:next w:val="7"/>
    <w:link w:val="143"/>
    <w:qFormat/>
    <w:uiPriority w:val="0"/>
    <w:pPr>
      <w:tabs>
        <w:tab w:val="left" w:pos="360"/>
        <w:tab w:val="left" w:pos="2207"/>
      </w:tabs>
      <w:spacing w:beforeLines="50" w:afterLines="50"/>
      <w:ind w:firstLine="0" w:firstLineChars="0"/>
      <w:outlineLvl w:val="3"/>
    </w:pPr>
    <w:rPr>
      <w:rFonts w:ascii="宋体" w:hAnsi="宋体" w:eastAsia="黑体"/>
    </w:rPr>
  </w:style>
  <w:style w:type="paragraph" w:styleId="8">
    <w:name w:val="heading 5"/>
    <w:basedOn w:val="5"/>
    <w:next w:val="9"/>
    <w:link w:val="74"/>
    <w:qFormat/>
    <w:uiPriority w:val="0"/>
    <w:pPr>
      <w:tabs>
        <w:tab w:val="left" w:pos="1440"/>
        <w:tab w:val="left" w:pos="2627"/>
        <w:tab w:val="clear" w:pos="360"/>
        <w:tab w:val="clear" w:pos="2207"/>
      </w:tabs>
      <w:spacing w:beforeLines="0" w:afterLines="0"/>
      <w:ind w:left="1440" w:hanging="1440"/>
      <w:outlineLvl w:val="4"/>
    </w:pPr>
    <w:rPr>
      <w:rFonts w:eastAsia="宋体"/>
    </w:rPr>
  </w:style>
  <w:style w:type="paragraph" w:styleId="10">
    <w:name w:val="heading 6"/>
    <w:basedOn w:val="9"/>
    <w:next w:val="1"/>
    <w:link w:val="239"/>
    <w:qFormat/>
    <w:uiPriority w:val="0"/>
    <w:pPr>
      <w:tabs>
        <w:tab w:val="left" w:pos="1800"/>
        <w:tab w:val="left" w:pos="3047"/>
      </w:tabs>
      <w:ind w:firstLine="397" w:firstLineChars="0"/>
      <w:outlineLvl w:val="5"/>
    </w:pPr>
  </w:style>
  <w:style w:type="paragraph" w:styleId="11">
    <w:name w:val="heading 7"/>
    <w:basedOn w:val="9"/>
    <w:next w:val="1"/>
    <w:qFormat/>
    <w:uiPriority w:val="0"/>
    <w:pPr>
      <w:tabs>
        <w:tab w:val="left" w:pos="2160"/>
        <w:tab w:val="left" w:pos="3467"/>
      </w:tabs>
      <w:ind w:left="2160" w:hanging="2160" w:firstLineChars="0"/>
      <w:outlineLvl w:val="6"/>
    </w:pPr>
  </w:style>
  <w:style w:type="paragraph" w:styleId="12">
    <w:name w:val="heading 8"/>
    <w:basedOn w:val="9"/>
    <w:next w:val="1"/>
    <w:qFormat/>
    <w:uiPriority w:val="0"/>
    <w:pPr>
      <w:tabs>
        <w:tab w:val="left" w:pos="2160"/>
        <w:tab w:val="left" w:pos="3887"/>
      </w:tabs>
      <w:ind w:left="2160" w:hanging="2160" w:firstLineChars="0"/>
      <w:outlineLvl w:val="7"/>
    </w:pPr>
  </w:style>
  <w:style w:type="paragraph" w:styleId="13">
    <w:name w:val="heading 9"/>
    <w:basedOn w:val="1"/>
    <w:next w:val="1"/>
    <w:qFormat/>
    <w:uiPriority w:val="0"/>
    <w:pPr>
      <w:keepNext/>
      <w:keepLines/>
      <w:adjustRightInd w:val="0"/>
      <w:spacing w:before="240" w:after="64" w:line="320" w:lineRule="atLeast"/>
      <w:textAlignment w:val="baseline"/>
      <w:outlineLvl w:val="8"/>
    </w:pPr>
    <w:rPr>
      <w:rFonts w:ascii="Arial" w:hAnsi="Arial" w:eastAsia="黑体"/>
      <w:kern w:val="0"/>
      <w:sz w:val="30"/>
    </w:rPr>
  </w:style>
  <w:style w:type="character" w:default="1" w:styleId="57">
    <w:name w:val="Default Paragraph Font"/>
    <w:semiHidden/>
    <w:unhideWhenUsed/>
    <w:qFormat/>
    <w:uiPriority w:val="1"/>
  </w:style>
  <w:style w:type="table" w:default="1" w:styleId="51">
    <w:name w:val="Normal Table"/>
    <w:semiHidden/>
    <w:unhideWhenUsed/>
    <w:qFormat/>
    <w:uiPriority w:val="99"/>
    <w:tblPr>
      <w:tblCellMar>
        <w:top w:w="0" w:type="dxa"/>
        <w:left w:w="108" w:type="dxa"/>
        <w:bottom w:w="0" w:type="dxa"/>
        <w:right w:w="108" w:type="dxa"/>
      </w:tblCellMar>
    </w:tblPr>
  </w:style>
  <w:style w:type="paragraph" w:styleId="6">
    <w:name w:val="toc 4"/>
    <w:basedOn w:val="1"/>
    <w:next w:val="1"/>
    <w:qFormat/>
    <w:uiPriority w:val="39"/>
    <w:pPr>
      <w:ind w:left="630"/>
      <w:jc w:val="left"/>
    </w:pPr>
    <w:rPr>
      <w:sz w:val="18"/>
      <w:szCs w:val="18"/>
    </w:rPr>
  </w:style>
  <w:style w:type="paragraph" w:styleId="7">
    <w:name w:val="Normal Indent"/>
    <w:basedOn w:val="1"/>
    <w:next w:val="1"/>
    <w:link w:val="228"/>
    <w:qFormat/>
    <w:uiPriority w:val="0"/>
    <w:pPr>
      <w:ind w:firstLine="420"/>
    </w:pPr>
    <w:rPr>
      <w:szCs w:val="20"/>
    </w:rPr>
  </w:style>
  <w:style w:type="paragraph" w:customStyle="1" w:styleId="9">
    <w:name w:val="报告正文"/>
    <w:basedOn w:val="1"/>
    <w:link w:val="185"/>
    <w:qFormat/>
    <w:uiPriority w:val="0"/>
    <w:pPr>
      <w:spacing w:line="480" w:lineRule="exact"/>
      <w:ind w:firstLine="200" w:firstLineChars="200"/>
    </w:pPr>
    <w:rPr>
      <w:color w:val="000000"/>
      <w:sz w:val="24"/>
    </w:rPr>
  </w:style>
  <w:style w:type="paragraph" w:styleId="14">
    <w:name w:val="List 3"/>
    <w:basedOn w:val="1"/>
    <w:qFormat/>
    <w:uiPriority w:val="0"/>
    <w:pPr>
      <w:spacing w:line="480" w:lineRule="exact"/>
      <w:ind w:left="100" w:leftChars="400" w:hanging="200" w:hangingChars="200"/>
    </w:pPr>
    <w:rPr>
      <w:sz w:val="24"/>
    </w:rPr>
  </w:style>
  <w:style w:type="paragraph" w:styleId="15">
    <w:name w:val="toc 7"/>
    <w:basedOn w:val="1"/>
    <w:next w:val="1"/>
    <w:qFormat/>
    <w:uiPriority w:val="39"/>
    <w:pPr>
      <w:ind w:left="1260"/>
      <w:jc w:val="left"/>
    </w:pPr>
    <w:rPr>
      <w:sz w:val="18"/>
      <w:szCs w:val="18"/>
    </w:rPr>
  </w:style>
  <w:style w:type="paragraph" w:styleId="16">
    <w:name w:val="Note Heading"/>
    <w:basedOn w:val="1"/>
    <w:next w:val="1"/>
    <w:link w:val="103"/>
    <w:semiHidden/>
    <w:qFormat/>
    <w:uiPriority w:val="0"/>
    <w:pPr>
      <w:snapToGrid w:val="0"/>
      <w:jc w:val="center"/>
    </w:pPr>
    <w:rPr>
      <w:szCs w:val="20"/>
    </w:rPr>
  </w:style>
  <w:style w:type="paragraph" w:styleId="17">
    <w:name w:val="caption"/>
    <w:basedOn w:val="1"/>
    <w:next w:val="1"/>
    <w:link w:val="207"/>
    <w:qFormat/>
    <w:uiPriority w:val="0"/>
    <w:rPr>
      <w:rFonts w:ascii="Cambria" w:hAnsi="Cambria" w:eastAsia="黑体"/>
      <w:sz w:val="20"/>
      <w:szCs w:val="20"/>
    </w:rPr>
  </w:style>
  <w:style w:type="paragraph" w:styleId="18">
    <w:name w:val="List Bullet"/>
    <w:basedOn w:val="1"/>
    <w:qFormat/>
    <w:uiPriority w:val="0"/>
    <w:pPr>
      <w:tabs>
        <w:tab w:val="left" w:pos="360"/>
      </w:tabs>
      <w:adjustRightInd w:val="0"/>
      <w:spacing w:line="312" w:lineRule="atLeast"/>
      <w:ind w:left="360" w:hanging="360"/>
      <w:textAlignment w:val="baseline"/>
    </w:pPr>
    <w:rPr>
      <w:kern w:val="0"/>
    </w:rPr>
  </w:style>
  <w:style w:type="paragraph" w:styleId="19">
    <w:name w:val="Document Map"/>
    <w:basedOn w:val="1"/>
    <w:semiHidden/>
    <w:qFormat/>
    <w:uiPriority w:val="0"/>
    <w:pPr>
      <w:shd w:val="clear" w:color="auto" w:fill="000080"/>
    </w:pPr>
  </w:style>
  <w:style w:type="paragraph" w:styleId="20">
    <w:name w:val="annotation text"/>
    <w:basedOn w:val="1"/>
    <w:link w:val="111"/>
    <w:semiHidden/>
    <w:qFormat/>
    <w:uiPriority w:val="0"/>
    <w:pPr>
      <w:jc w:val="left"/>
    </w:pPr>
  </w:style>
  <w:style w:type="paragraph" w:styleId="21">
    <w:name w:val="Body Text"/>
    <w:basedOn w:val="1"/>
    <w:next w:val="22"/>
    <w:link w:val="121"/>
    <w:qFormat/>
    <w:uiPriority w:val="0"/>
    <w:pPr>
      <w:spacing w:after="120"/>
    </w:pPr>
    <w:rPr>
      <w:rFonts w:hint="eastAsia" w:ascii="宋体" w:hAnsi="宋体"/>
      <w:kern w:val="0"/>
      <w:sz w:val="22"/>
      <w:szCs w:val="22"/>
    </w:rPr>
  </w:style>
  <w:style w:type="paragraph" w:customStyle="1" w:styleId="22">
    <w:name w:val="xl27"/>
    <w:basedOn w:val="1"/>
    <w:next w:val="1"/>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styleId="23">
    <w:name w:val="Body Text Indent"/>
    <w:basedOn w:val="1"/>
    <w:next w:val="24"/>
    <w:link w:val="152"/>
    <w:qFormat/>
    <w:uiPriority w:val="0"/>
    <w:pPr>
      <w:spacing w:line="440" w:lineRule="atLeast"/>
      <w:ind w:firstLine="482"/>
    </w:pPr>
    <w:rPr>
      <w:rFonts w:ascii="宋体" w:hAnsi="宋体" w:cs="Arial"/>
      <w:sz w:val="24"/>
    </w:rPr>
  </w:style>
  <w:style w:type="paragraph" w:styleId="24">
    <w:name w:val="header"/>
    <w:basedOn w:val="1"/>
    <w:next w:val="21"/>
    <w:link w:val="220"/>
    <w:qFormat/>
    <w:uiPriority w:val="0"/>
    <w:pPr>
      <w:pBdr>
        <w:bottom w:val="single" w:color="auto" w:sz="6" w:space="1"/>
      </w:pBdr>
      <w:tabs>
        <w:tab w:val="center" w:pos="4153"/>
        <w:tab w:val="right" w:pos="8306"/>
      </w:tabs>
      <w:snapToGrid w:val="0"/>
      <w:jc w:val="center"/>
    </w:pPr>
    <w:rPr>
      <w:sz w:val="18"/>
      <w:szCs w:val="20"/>
    </w:rPr>
  </w:style>
  <w:style w:type="paragraph" w:styleId="25">
    <w:name w:val="List 2"/>
    <w:basedOn w:val="1"/>
    <w:qFormat/>
    <w:uiPriority w:val="0"/>
    <w:pPr>
      <w:ind w:left="100" w:leftChars="200" w:hanging="200" w:hangingChars="200"/>
    </w:pPr>
  </w:style>
  <w:style w:type="paragraph" w:styleId="26">
    <w:name w:val="Block Text"/>
    <w:basedOn w:val="1"/>
    <w:next w:val="1"/>
    <w:qFormat/>
    <w:uiPriority w:val="99"/>
    <w:pPr>
      <w:ind w:left="1440" w:leftChars="700" w:right="700" w:rightChars="700"/>
    </w:pPr>
  </w:style>
  <w:style w:type="paragraph" w:styleId="27">
    <w:name w:val="toc 5"/>
    <w:basedOn w:val="1"/>
    <w:next w:val="1"/>
    <w:qFormat/>
    <w:uiPriority w:val="39"/>
    <w:pPr>
      <w:ind w:left="840"/>
      <w:jc w:val="left"/>
    </w:pPr>
    <w:rPr>
      <w:sz w:val="18"/>
      <w:szCs w:val="18"/>
    </w:rPr>
  </w:style>
  <w:style w:type="paragraph" w:styleId="28">
    <w:name w:val="toc 3"/>
    <w:basedOn w:val="1"/>
    <w:next w:val="1"/>
    <w:qFormat/>
    <w:uiPriority w:val="39"/>
    <w:pPr>
      <w:ind w:left="420"/>
      <w:jc w:val="left"/>
    </w:pPr>
    <w:rPr>
      <w:i/>
      <w:iCs/>
      <w:sz w:val="20"/>
    </w:rPr>
  </w:style>
  <w:style w:type="paragraph" w:styleId="29">
    <w:name w:val="Plain Text"/>
    <w:basedOn w:val="1"/>
    <w:next w:val="30"/>
    <w:link w:val="160"/>
    <w:qFormat/>
    <w:uiPriority w:val="0"/>
    <w:rPr>
      <w:rFonts w:ascii="宋体" w:hAnsi="Courier New"/>
      <w:szCs w:val="20"/>
    </w:rPr>
  </w:style>
  <w:style w:type="paragraph" w:styleId="30">
    <w:name w:val="List Continue 5"/>
    <w:basedOn w:val="1"/>
    <w:unhideWhenUsed/>
    <w:qFormat/>
    <w:uiPriority w:val="99"/>
    <w:pPr>
      <w:spacing w:after="120" w:afterLines="0"/>
      <w:ind w:left="2100" w:leftChars="1000"/>
    </w:pPr>
  </w:style>
  <w:style w:type="paragraph" w:styleId="31">
    <w:name w:val="toc 8"/>
    <w:basedOn w:val="1"/>
    <w:next w:val="1"/>
    <w:qFormat/>
    <w:uiPriority w:val="39"/>
    <w:pPr>
      <w:ind w:left="1470"/>
      <w:jc w:val="left"/>
    </w:pPr>
    <w:rPr>
      <w:sz w:val="18"/>
      <w:szCs w:val="18"/>
    </w:rPr>
  </w:style>
  <w:style w:type="paragraph" w:styleId="32">
    <w:name w:val="Date"/>
    <w:basedOn w:val="1"/>
    <w:next w:val="1"/>
    <w:qFormat/>
    <w:uiPriority w:val="0"/>
    <w:rPr>
      <w:rFonts w:ascii="宋体"/>
      <w:sz w:val="28"/>
    </w:rPr>
  </w:style>
  <w:style w:type="paragraph" w:styleId="33">
    <w:name w:val="Body Text Indent 2"/>
    <w:basedOn w:val="1"/>
    <w:link w:val="418"/>
    <w:qFormat/>
    <w:uiPriority w:val="0"/>
    <w:pPr>
      <w:spacing w:after="120" w:line="480" w:lineRule="auto"/>
      <w:ind w:left="420" w:leftChars="200"/>
    </w:pPr>
  </w:style>
  <w:style w:type="paragraph" w:styleId="34">
    <w:name w:val="endnote text"/>
    <w:basedOn w:val="1"/>
    <w:semiHidden/>
    <w:qFormat/>
    <w:uiPriority w:val="99"/>
    <w:pPr>
      <w:snapToGrid w:val="0"/>
      <w:jc w:val="left"/>
    </w:pPr>
    <w:rPr>
      <w:rFonts w:ascii="Calibri" w:hAnsi="Calibri" w:cs="Calibri"/>
      <w:sz w:val="24"/>
    </w:rPr>
  </w:style>
  <w:style w:type="paragraph" w:styleId="35">
    <w:name w:val="Balloon Text"/>
    <w:basedOn w:val="1"/>
    <w:link w:val="112"/>
    <w:qFormat/>
    <w:uiPriority w:val="0"/>
    <w:rPr>
      <w:sz w:val="18"/>
      <w:szCs w:val="18"/>
    </w:rPr>
  </w:style>
  <w:style w:type="paragraph" w:styleId="36">
    <w:name w:val="footer"/>
    <w:basedOn w:val="1"/>
    <w:link w:val="213"/>
    <w:qFormat/>
    <w:uiPriority w:val="0"/>
    <w:pPr>
      <w:tabs>
        <w:tab w:val="center" w:pos="4153"/>
        <w:tab w:val="right" w:pos="8306"/>
      </w:tabs>
      <w:snapToGrid w:val="0"/>
      <w:jc w:val="left"/>
    </w:pPr>
    <w:rPr>
      <w:sz w:val="18"/>
      <w:szCs w:val="20"/>
    </w:rPr>
  </w:style>
  <w:style w:type="paragraph" w:styleId="37">
    <w:name w:val="toc 1"/>
    <w:basedOn w:val="1"/>
    <w:next w:val="1"/>
    <w:qFormat/>
    <w:uiPriority w:val="39"/>
    <w:pPr>
      <w:tabs>
        <w:tab w:val="right" w:leader="dot" w:pos="8296"/>
      </w:tabs>
      <w:spacing w:before="120" w:after="120" w:line="440" w:lineRule="exact"/>
      <w:jc w:val="left"/>
    </w:pPr>
    <w:rPr>
      <w:b/>
      <w:bCs/>
      <w:caps/>
      <w:sz w:val="24"/>
    </w:rPr>
  </w:style>
  <w:style w:type="paragraph" w:styleId="38">
    <w:name w:val="List"/>
    <w:basedOn w:val="1"/>
    <w:qFormat/>
    <w:uiPriority w:val="0"/>
    <w:pPr>
      <w:ind w:left="200" w:hanging="200" w:hangingChars="200"/>
    </w:pPr>
  </w:style>
  <w:style w:type="paragraph" w:styleId="39">
    <w:name w:val="toc 6"/>
    <w:basedOn w:val="1"/>
    <w:next w:val="1"/>
    <w:qFormat/>
    <w:uiPriority w:val="39"/>
    <w:pPr>
      <w:ind w:left="1050"/>
      <w:jc w:val="left"/>
    </w:pPr>
    <w:rPr>
      <w:sz w:val="18"/>
      <w:szCs w:val="18"/>
    </w:rPr>
  </w:style>
  <w:style w:type="paragraph" w:styleId="40">
    <w:name w:val="Body Text Indent 3"/>
    <w:basedOn w:val="1"/>
    <w:qFormat/>
    <w:uiPriority w:val="0"/>
    <w:pPr>
      <w:adjustRightInd w:val="0"/>
      <w:snapToGrid w:val="0"/>
      <w:spacing w:line="350" w:lineRule="auto"/>
      <w:ind w:firstLine="560" w:firstLineChars="200"/>
    </w:pPr>
    <w:rPr>
      <w:sz w:val="28"/>
    </w:rPr>
  </w:style>
  <w:style w:type="paragraph" w:styleId="41">
    <w:name w:val="toc 2"/>
    <w:basedOn w:val="1"/>
    <w:next w:val="1"/>
    <w:qFormat/>
    <w:uiPriority w:val="39"/>
    <w:pPr>
      <w:ind w:left="210"/>
      <w:jc w:val="left"/>
    </w:pPr>
    <w:rPr>
      <w:smallCaps/>
      <w:sz w:val="20"/>
    </w:rPr>
  </w:style>
  <w:style w:type="paragraph" w:styleId="42">
    <w:name w:val="toc 9"/>
    <w:basedOn w:val="1"/>
    <w:next w:val="1"/>
    <w:qFormat/>
    <w:uiPriority w:val="39"/>
    <w:pPr>
      <w:ind w:left="1680"/>
      <w:jc w:val="left"/>
    </w:pPr>
    <w:rPr>
      <w:sz w:val="18"/>
      <w:szCs w:val="18"/>
    </w:rPr>
  </w:style>
  <w:style w:type="paragraph" w:styleId="43">
    <w:name w:val="Body Text 2"/>
    <w:basedOn w:val="1"/>
    <w:qFormat/>
    <w:uiPriority w:val="0"/>
    <w:pPr>
      <w:tabs>
        <w:tab w:val="left" w:pos="0"/>
      </w:tabs>
      <w:jc w:val="center"/>
    </w:pPr>
    <w:rPr>
      <w:rFonts w:ascii="宋体" w:hAnsi="宋体"/>
      <w:sz w:val="28"/>
    </w:rPr>
  </w:style>
  <w:style w:type="paragraph" w:styleId="44">
    <w:name w:val="HTML Preformatted"/>
    <w:basedOn w:val="1"/>
    <w:link w:val="140"/>
    <w:semiHidden/>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45">
    <w:name w:val="Normal (Web)"/>
    <w:basedOn w:val="1"/>
    <w:qFormat/>
    <w:uiPriority w:val="99"/>
    <w:pPr>
      <w:widowControl/>
      <w:spacing w:before="100" w:beforeAutospacing="1" w:after="100" w:afterAutospacing="1"/>
      <w:jc w:val="left"/>
    </w:pPr>
    <w:rPr>
      <w:rFonts w:ascii="宋体" w:hAnsi="宋体"/>
      <w:kern w:val="0"/>
      <w:sz w:val="24"/>
    </w:rPr>
  </w:style>
  <w:style w:type="paragraph" w:styleId="46">
    <w:name w:val="index 1"/>
    <w:basedOn w:val="1"/>
    <w:next w:val="1"/>
    <w:semiHidden/>
    <w:qFormat/>
    <w:uiPriority w:val="0"/>
    <w:pPr>
      <w:jc w:val="center"/>
    </w:pPr>
    <w:rPr>
      <w:rFonts w:ascii="宋体" w:hAnsi="宋体"/>
    </w:rPr>
  </w:style>
  <w:style w:type="paragraph" w:styleId="47">
    <w:name w:val="Title"/>
    <w:basedOn w:val="1"/>
    <w:link w:val="115"/>
    <w:qFormat/>
    <w:uiPriority w:val="10"/>
    <w:pPr>
      <w:widowControl/>
      <w:snapToGrid w:val="0"/>
      <w:spacing w:before="240" w:after="60" w:line="420" w:lineRule="atLeast"/>
      <w:ind w:firstLine="476"/>
      <w:jc w:val="center"/>
      <w:outlineLvl w:val="0"/>
    </w:pPr>
  </w:style>
  <w:style w:type="paragraph" w:styleId="48">
    <w:name w:val="annotation subject"/>
    <w:basedOn w:val="20"/>
    <w:next w:val="20"/>
    <w:link w:val="95"/>
    <w:semiHidden/>
    <w:qFormat/>
    <w:uiPriority w:val="0"/>
    <w:rPr>
      <w:b/>
      <w:bCs/>
    </w:rPr>
  </w:style>
  <w:style w:type="paragraph" w:styleId="49">
    <w:name w:val="Body Text First Indent"/>
    <w:basedOn w:val="21"/>
    <w:qFormat/>
    <w:uiPriority w:val="0"/>
    <w:pPr>
      <w:ind w:firstLine="420" w:firstLineChars="100"/>
    </w:pPr>
  </w:style>
  <w:style w:type="paragraph" w:styleId="50">
    <w:name w:val="Body Text First Indent 2"/>
    <w:basedOn w:val="1"/>
    <w:next w:val="1"/>
    <w:unhideWhenUsed/>
    <w:qFormat/>
    <w:uiPriority w:val="0"/>
    <w:pPr>
      <w:spacing w:after="120" w:line="240" w:lineRule="auto"/>
      <w:ind w:left="420" w:leftChars="200" w:firstLine="420" w:firstLineChars="200"/>
    </w:pPr>
    <w:rPr>
      <w:rFonts w:ascii="Times New Roman" w:hAnsi="Times New Roman" w:cs="Times New Roman"/>
      <w:sz w:val="21"/>
      <w:szCs w:val="20"/>
    </w:rPr>
  </w:style>
  <w:style w:type="table" w:styleId="52">
    <w:name w:val="Table Grid"/>
    <w:basedOn w:val="5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53">
    <w:name w:val="Table Theme"/>
    <w:basedOn w:val="5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54">
    <w:name w:val="Table Colorful 3"/>
    <w:basedOn w:val="51"/>
    <w:qFormat/>
    <w:uiPriority w:val="0"/>
    <w:pPr>
      <w:widowControl w:val="0"/>
      <w:jc w:val="both"/>
    </w:pPr>
    <w:tblPr>
      <w:tblBorders>
        <w:top w:val="single" w:color="000000" w:sz="18" w:space="0"/>
        <w:left w:val="single" w:color="000000" w:sz="18" w:space="0"/>
        <w:bottom w:val="single" w:color="000000" w:sz="18" w:space="0"/>
        <w:right w:val="single" w:color="000000" w:sz="18" w:space="0"/>
        <w:insideH w:val="single" w:color="C0C0C0" w:sz="6" w:space="0"/>
      </w:tblBorders>
      <w:tblCellMar>
        <w:top w:w="0" w:type="dxa"/>
        <w:left w:w="108" w:type="dxa"/>
        <w:bottom w:w="0" w:type="dxa"/>
        <w:right w:w="108" w:type="dxa"/>
      </w:tblCellMar>
    </w:tblPr>
    <w:tcPr>
      <w:shd w:val="pct25" w:color="008080" w:fill="FFFFFF"/>
    </w:tcPr>
    <w:tblStylePr w:type="firstRow">
      <w:tblPr/>
      <w:tcPr>
        <w:tcBorders>
          <w:top w:val="nil"/>
          <w:left w:val="nil"/>
          <w:bottom w:val="single" w:color="000000" w:sz="6" w:space="0"/>
          <w:right w:val="nil"/>
          <w:insideH w:val="nil"/>
          <w:insideV w:val="nil"/>
          <w:tl2br w:val="nil"/>
          <w:tr2bl w:val="nil"/>
        </w:tcBorders>
        <w:shd w:val="solid" w:color="008080" w:fill="FFFFFF"/>
      </w:tcPr>
    </w:tblStylePr>
    <w:tblStylePr w:type="firstCol">
      <w:tblPr/>
      <w:tcPr>
        <w:tcBorders>
          <w:top w:val="nil"/>
          <w:left w:val="single" w:color="000000" w:sz="36" w:space="0"/>
          <w:bottom w:val="nil"/>
          <w:right w:val="single" w:color="000000" w:sz="6" w:space="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55">
    <w:name w:val="Table Elegant"/>
    <w:basedOn w:val="51"/>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56">
    <w:name w:val="Table List 3"/>
    <w:basedOn w:val="51"/>
    <w:qFormat/>
    <w:uiPriority w:val="0"/>
    <w:pPr>
      <w:widowControl w:val="0"/>
      <w:jc w:val="both"/>
    </w:pPr>
    <w:tblPr>
      <w:tblBorders>
        <w:top w:val="single" w:color="000000" w:sz="12" w:space="0"/>
        <w:bottom w:val="single" w:color="000000" w:sz="12" w:space="0"/>
        <w:insideH w:val="single" w:color="000000" w:sz="6" w:space="0"/>
      </w:tblBorders>
      <w:tblCellMar>
        <w:top w:w="0" w:type="dxa"/>
        <w:left w:w="108" w:type="dxa"/>
        <w:bottom w:w="0" w:type="dxa"/>
        <w:right w:w="108" w:type="dxa"/>
      </w:tblCellMar>
    </w:tblPr>
    <w:tcPr>
      <w:shd w:val="clear" w:color="auto" w:fill="auto"/>
    </w:tcPr>
    <w:tblStylePr w:type="firstRow">
      <w:rPr>
        <w:b/>
        <w:bCs/>
        <w:color w:val="000080"/>
      </w:rPr>
      <w:tblPr/>
      <w:tcPr>
        <w:tcBorders>
          <w:top w:val="nil"/>
          <w:left w:val="nil"/>
          <w:bottom w:val="single" w:color="000000" w:sz="12" w:space="0"/>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character" w:styleId="58">
    <w:name w:val="Strong"/>
    <w:qFormat/>
    <w:uiPriority w:val="0"/>
    <w:rPr>
      <w:b/>
      <w:bCs/>
    </w:rPr>
  </w:style>
  <w:style w:type="character" w:styleId="59">
    <w:name w:val="endnote reference"/>
    <w:qFormat/>
    <w:uiPriority w:val="0"/>
    <w:rPr>
      <w:vertAlign w:val="superscript"/>
    </w:rPr>
  </w:style>
  <w:style w:type="character" w:styleId="60">
    <w:name w:val="page number"/>
    <w:basedOn w:val="57"/>
    <w:qFormat/>
    <w:uiPriority w:val="0"/>
  </w:style>
  <w:style w:type="character" w:styleId="61">
    <w:name w:val="FollowedHyperlink"/>
    <w:basedOn w:val="57"/>
    <w:qFormat/>
    <w:uiPriority w:val="0"/>
    <w:rPr>
      <w:color w:val="000000"/>
      <w:u w:val="none"/>
    </w:rPr>
  </w:style>
  <w:style w:type="character" w:styleId="62">
    <w:name w:val="Emphasis"/>
    <w:qFormat/>
    <w:uiPriority w:val="0"/>
    <w:rPr>
      <w:i/>
      <w:iCs/>
    </w:rPr>
  </w:style>
  <w:style w:type="character" w:styleId="63">
    <w:name w:val="Hyperlink"/>
    <w:basedOn w:val="57"/>
    <w:qFormat/>
    <w:uiPriority w:val="99"/>
    <w:rPr>
      <w:color w:val="000000"/>
      <w:u w:val="none"/>
    </w:rPr>
  </w:style>
  <w:style w:type="character" w:styleId="64">
    <w:name w:val="annotation reference"/>
    <w:semiHidden/>
    <w:qFormat/>
    <w:uiPriority w:val="0"/>
    <w:rPr>
      <w:sz w:val="21"/>
      <w:szCs w:val="21"/>
    </w:rPr>
  </w:style>
  <w:style w:type="paragraph" w:customStyle="1" w:styleId="65">
    <w:name w:val="样式5"/>
    <w:basedOn w:val="66"/>
    <w:next w:val="34"/>
    <w:link w:val="85"/>
    <w:qFormat/>
    <w:uiPriority w:val="0"/>
  </w:style>
  <w:style w:type="paragraph" w:customStyle="1" w:styleId="66">
    <w:name w:val="正文1"/>
    <w:basedOn w:val="1"/>
    <w:next w:val="1"/>
    <w:link w:val="139"/>
    <w:qFormat/>
    <w:uiPriority w:val="0"/>
    <w:pPr>
      <w:widowControl/>
      <w:spacing w:beforeLines="25" w:afterLines="25" w:line="360" w:lineRule="auto"/>
      <w:ind w:firstLine="480" w:firstLineChars="200"/>
      <w:jc w:val="left"/>
    </w:pPr>
    <w:rPr>
      <w:rFonts w:ascii="宋体" w:hAnsi="宋体"/>
      <w:kern w:val="0"/>
      <w:sz w:val="24"/>
    </w:rPr>
  </w:style>
  <w:style w:type="character" w:customStyle="1" w:styleId="67">
    <w:name w:val="标题 1 Char"/>
    <w:qFormat/>
    <w:uiPriority w:val="0"/>
    <w:rPr>
      <w:rFonts w:ascii="Times New Roman" w:hAnsi="Times New Roman" w:eastAsia="宋体"/>
      <w:b/>
      <w:kern w:val="44"/>
      <w:sz w:val="30"/>
      <w:lang w:val="en-US" w:eastAsia="zh-CN" w:bidi="ar-SA"/>
    </w:rPr>
  </w:style>
  <w:style w:type="character" w:customStyle="1" w:styleId="68">
    <w:name w:val="样式6 Char"/>
    <w:link w:val="69"/>
    <w:qFormat/>
    <w:uiPriority w:val="0"/>
    <w:rPr>
      <w:rFonts w:ascii="Arial" w:hAnsi="Arial" w:eastAsia="宋体" w:cs="Arial"/>
      <w:kern w:val="2"/>
      <w:sz w:val="24"/>
      <w:szCs w:val="24"/>
      <w:lang w:val="en-US" w:eastAsia="zh-CN" w:bidi="ar-SA"/>
    </w:rPr>
  </w:style>
  <w:style w:type="paragraph" w:customStyle="1" w:styleId="69">
    <w:name w:val="样式6"/>
    <w:basedOn w:val="1"/>
    <w:link w:val="68"/>
    <w:qFormat/>
    <w:uiPriority w:val="0"/>
    <w:pPr>
      <w:snapToGrid w:val="0"/>
      <w:jc w:val="center"/>
    </w:pPr>
    <w:rPr>
      <w:rFonts w:ascii="Arial" w:hAnsi="Arial" w:cs="Arial"/>
      <w:sz w:val="24"/>
    </w:rPr>
  </w:style>
  <w:style w:type="character" w:customStyle="1" w:styleId="70">
    <w:name w:val="中文报告书样式 Char"/>
    <w:link w:val="71"/>
    <w:qFormat/>
    <w:uiPriority w:val="0"/>
    <w:rPr>
      <w:rFonts w:ascii="宋体" w:hAnsi="宋体" w:cs="宋体"/>
      <w:kern w:val="24"/>
      <w:sz w:val="24"/>
    </w:rPr>
  </w:style>
  <w:style w:type="paragraph" w:customStyle="1" w:styleId="71">
    <w:name w:val="中文报告书样式"/>
    <w:basedOn w:val="1"/>
    <w:link w:val="70"/>
    <w:qFormat/>
    <w:uiPriority w:val="0"/>
    <w:pPr>
      <w:adjustRightInd w:val="0"/>
      <w:spacing w:line="480" w:lineRule="atLeast"/>
      <w:ind w:firstLine="482"/>
      <w:textAlignment w:val="baseline"/>
    </w:pPr>
    <w:rPr>
      <w:rFonts w:ascii="宋体" w:hAnsi="宋体"/>
      <w:kern w:val="24"/>
      <w:sz w:val="24"/>
      <w:szCs w:val="20"/>
    </w:rPr>
  </w:style>
  <w:style w:type="character" w:customStyle="1" w:styleId="72">
    <w:name w:val="表文字 Char"/>
    <w:link w:val="73"/>
    <w:qFormat/>
    <w:uiPriority w:val="0"/>
    <w:rPr>
      <w:rFonts w:eastAsia="宋体"/>
      <w:kern w:val="2"/>
      <w:sz w:val="21"/>
      <w:szCs w:val="21"/>
      <w:lang w:val="en-US" w:eastAsia="zh-CN" w:bidi="ar-SA"/>
    </w:rPr>
  </w:style>
  <w:style w:type="paragraph" w:customStyle="1" w:styleId="73">
    <w:name w:val="表文字"/>
    <w:basedOn w:val="1"/>
    <w:next w:val="1"/>
    <w:link w:val="72"/>
    <w:qFormat/>
    <w:uiPriority w:val="0"/>
    <w:pPr>
      <w:topLinePunct/>
      <w:adjustRightInd w:val="0"/>
      <w:spacing w:line="240" w:lineRule="exact"/>
      <w:jc w:val="center"/>
      <w:textAlignment w:val="baseline"/>
    </w:pPr>
    <w:rPr>
      <w:szCs w:val="21"/>
    </w:rPr>
  </w:style>
  <w:style w:type="character" w:customStyle="1" w:styleId="74">
    <w:name w:val="标题 5 Char"/>
    <w:link w:val="8"/>
    <w:qFormat/>
    <w:uiPriority w:val="0"/>
    <w:rPr>
      <w:rFonts w:ascii="宋体" w:hAnsi="宋体" w:eastAsia="宋体"/>
      <w:color w:val="000000"/>
      <w:kern w:val="2"/>
      <w:sz w:val="24"/>
      <w:szCs w:val="24"/>
      <w:lang w:val="en-US" w:eastAsia="zh-CN" w:bidi="ar-SA"/>
    </w:rPr>
  </w:style>
  <w:style w:type="character" w:customStyle="1" w:styleId="75">
    <w:name w:val="样式 首行缩进:  2 字符 Char"/>
    <w:link w:val="76"/>
    <w:qFormat/>
    <w:uiPriority w:val="0"/>
    <w:rPr>
      <w:rFonts w:eastAsia="仿宋_GB2312" w:cs="宋体"/>
      <w:kern w:val="2"/>
      <w:sz w:val="30"/>
      <w:lang w:val="en-US" w:eastAsia="zh-CN" w:bidi="ar-SA"/>
    </w:rPr>
  </w:style>
  <w:style w:type="paragraph" w:customStyle="1" w:styleId="76">
    <w:name w:val="样式 首行缩进:  2 字符"/>
    <w:basedOn w:val="1"/>
    <w:link w:val="75"/>
    <w:qFormat/>
    <w:uiPriority w:val="0"/>
    <w:pPr>
      <w:ind w:firstLine="600" w:firstLineChars="200"/>
    </w:pPr>
    <w:rPr>
      <w:rFonts w:eastAsia="仿宋_GB2312" w:cs="宋体"/>
      <w:sz w:val="30"/>
      <w:szCs w:val="20"/>
    </w:rPr>
  </w:style>
  <w:style w:type="character" w:customStyle="1" w:styleId="77">
    <w:name w:val="Char Char38"/>
    <w:basedOn w:val="57"/>
    <w:qFormat/>
    <w:uiPriority w:val="0"/>
    <w:rPr>
      <w:b/>
      <w:bCs/>
      <w:kern w:val="2"/>
      <w:sz w:val="32"/>
      <w:szCs w:val="32"/>
    </w:rPr>
  </w:style>
  <w:style w:type="character" w:customStyle="1" w:styleId="78">
    <w:name w:val="t_tag"/>
    <w:basedOn w:val="57"/>
    <w:qFormat/>
    <w:uiPriority w:val="0"/>
  </w:style>
  <w:style w:type="character" w:customStyle="1" w:styleId="79">
    <w:name w:val="Char Char18"/>
    <w:qFormat/>
    <w:uiPriority w:val="0"/>
    <w:rPr>
      <w:rFonts w:eastAsia="宋体"/>
      <w:kern w:val="2"/>
      <w:sz w:val="21"/>
      <w:lang w:val="en-US" w:eastAsia="zh-CN" w:bidi="ar-SA"/>
    </w:rPr>
  </w:style>
  <w:style w:type="character" w:customStyle="1" w:styleId="80">
    <w:name w:val="田雄表格式 Char"/>
    <w:link w:val="81"/>
    <w:qFormat/>
    <w:uiPriority w:val="0"/>
    <w:rPr>
      <w:rFonts w:eastAsia="宋体"/>
      <w:lang w:bidi="ar-SA"/>
    </w:rPr>
  </w:style>
  <w:style w:type="paragraph" w:customStyle="1" w:styleId="81">
    <w:name w:val="田雄表格式"/>
    <w:basedOn w:val="66"/>
    <w:link w:val="80"/>
    <w:qFormat/>
    <w:uiPriority w:val="0"/>
    <w:pPr>
      <w:widowControl w:val="0"/>
      <w:spacing w:beforeLines="0" w:afterLines="0"/>
      <w:ind w:firstLine="720"/>
      <w:jc w:val="both"/>
    </w:pPr>
    <w:rPr>
      <w:rFonts w:ascii="Times New Roman" w:hAnsi="Times New Roman"/>
      <w:sz w:val="20"/>
      <w:szCs w:val="20"/>
    </w:rPr>
  </w:style>
  <w:style w:type="character" w:customStyle="1" w:styleId="82">
    <w:name w:val="a-图件 Char"/>
    <w:link w:val="83"/>
    <w:qFormat/>
    <w:uiPriority w:val="0"/>
    <w:rPr>
      <w:b/>
      <w:color w:val="000000"/>
      <w:sz w:val="24"/>
      <w:szCs w:val="21"/>
      <w:lang w:val="en-US" w:eastAsia="zh-CN" w:bidi="ar-SA"/>
    </w:rPr>
  </w:style>
  <w:style w:type="paragraph" w:customStyle="1" w:styleId="83">
    <w:name w:val="a-图件"/>
    <w:link w:val="82"/>
    <w:qFormat/>
    <w:uiPriority w:val="0"/>
    <w:pPr>
      <w:adjustRightInd w:val="0"/>
      <w:snapToGrid w:val="0"/>
      <w:spacing w:line="360" w:lineRule="auto"/>
      <w:jc w:val="center"/>
    </w:pPr>
    <w:rPr>
      <w:rFonts w:ascii="Times New Roman" w:hAnsi="Times New Roman" w:eastAsia="宋体" w:cs="Times New Roman"/>
      <w:b/>
      <w:color w:val="000000"/>
      <w:sz w:val="24"/>
      <w:szCs w:val="21"/>
      <w:lang w:val="en-US" w:eastAsia="zh-CN" w:bidi="ar-SA"/>
    </w:rPr>
  </w:style>
  <w:style w:type="character" w:customStyle="1" w:styleId="84">
    <w:name w:val="text_edit"/>
    <w:qFormat/>
    <w:uiPriority w:val="0"/>
  </w:style>
  <w:style w:type="character" w:customStyle="1" w:styleId="85">
    <w:name w:val="样式5 Char"/>
    <w:link w:val="65"/>
    <w:qFormat/>
    <w:uiPriority w:val="0"/>
    <w:rPr>
      <w:rFonts w:eastAsia="黑体"/>
      <w:kern w:val="2"/>
      <w:sz w:val="30"/>
      <w:szCs w:val="30"/>
      <w:lang w:val="en-US" w:eastAsia="zh-CN" w:bidi="ar-SA"/>
    </w:rPr>
  </w:style>
  <w:style w:type="paragraph" w:customStyle="1" w:styleId="86">
    <w:name w:val="样式4"/>
    <w:basedOn w:val="3"/>
    <w:link w:val="124"/>
    <w:qFormat/>
    <w:uiPriority w:val="0"/>
    <w:pPr>
      <w:adjustRightInd w:val="0"/>
      <w:spacing w:beforeLines="0" w:after="60" w:line="440" w:lineRule="atLeast"/>
      <w:textAlignment w:val="baseline"/>
    </w:pPr>
    <w:rPr>
      <w:sz w:val="30"/>
      <w:szCs w:val="30"/>
    </w:rPr>
  </w:style>
  <w:style w:type="character" w:customStyle="1" w:styleId="87">
    <w:name w:val="font11"/>
    <w:qFormat/>
    <w:uiPriority w:val="0"/>
    <w:rPr>
      <w:rFonts w:hint="eastAsia" w:ascii="Times New Roman" w:hAnsi="Times New Roman" w:cs="Times New Roman"/>
      <w:color w:val="000000"/>
      <w:sz w:val="24"/>
      <w:szCs w:val="24"/>
      <w:u w:val="none"/>
      <w:vertAlign w:val="subscript"/>
    </w:rPr>
  </w:style>
  <w:style w:type="character" w:customStyle="1" w:styleId="88">
    <w:name w:val="样式3（代正文） Char"/>
    <w:link w:val="89"/>
    <w:qFormat/>
    <w:uiPriority w:val="0"/>
    <w:rPr>
      <w:rFonts w:ascii="宋体" w:hAnsi="宋体"/>
      <w:snapToGrid w:val="0"/>
      <w:color w:val="000000"/>
      <w:sz w:val="28"/>
      <w:szCs w:val="28"/>
      <w:lang w:val="en-US" w:eastAsia="zh-CN" w:bidi="ar-SA"/>
    </w:rPr>
  </w:style>
  <w:style w:type="paragraph" w:customStyle="1" w:styleId="89">
    <w:name w:val="样式3（代正文）"/>
    <w:link w:val="88"/>
    <w:qFormat/>
    <w:uiPriority w:val="0"/>
    <w:pPr>
      <w:widowControl w:val="0"/>
      <w:adjustRightInd w:val="0"/>
      <w:snapToGrid w:val="0"/>
      <w:spacing w:line="560" w:lineRule="exact"/>
      <w:ind w:firstLine="560" w:firstLineChars="200"/>
    </w:pPr>
    <w:rPr>
      <w:rFonts w:ascii="宋体" w:hAnsi="宋体" w:eastAsia="宋体" w:cs="Times New Roman"/>
      <w:snapToGrid w:val="0"/>
      <w:color w:val="000000"/>
      <w:sz w:val="28"/>
      <w:szCs w:val="28"/>
      <w:lang w:val="en-US" w:eastAsia="zh-CN" w:bidi="ar-SA"/>
    </w:rPr>
  </w:style>
  <w:style w:type="character" w:customStyle="1" w:styleId="90">
    <w:name w:val="正文文本 Char1"/>
    <w:qFormat/>
    <w:uiPriority w:val="0"/>
    <w:rPr>
      <w:kern w:val="2"/>
      <w:sz w:val="21"/>
      <w:szCs w:val="24"/>
    </w:rPr>
  </w:style>
  <w:style w:type="character" w:customStyle="1" w:styleId="91">
    <w:name w:val="表格文字 Char"/>
    <w:link w:val="92"/>
    <w:qFormat/>
    <w:uiPriority w:val="0"/>
    <w:rPr>
      <w:rFonts w:ascii="宋体" w:eastAsia="宋体"/>
      <w:kern w:val="2"/>
      <w:sz w:val="21"/>
      <w:szCs w:val="24"/>
      <w:lang w:val="en-US" w:eastAsia="zh-CN" w:bidi="ar-SA"/>
    </w:rPr>
  </w:style>
  <w:style w:type="paragraph" w:customStyle="1" w:styleId="92">
    <w:name w:val="表格文字"/>
    <w:basedOn w:val="49"/>
    <w:next w:val="1"/>
    <w:link w:val="91"/>
    <w:qFormat/>
    <w:uiPriority w:val="99"/>
    <w:pPr>
      <w:spacing w:after="0" w:line="320" w:lineRule="exact"/>
      <w:jc w:val="center"/>
    </w:pPr>
    <w:rPr>
      <w:rFonts w:hint="default" w:hAnsi="Times New Roman"/>
      <w:kern w:val="2"/>
      <w:sz w:val="21"/>
      <w:szCs w:val="24"/>
    </w:rPr>
  </w:style>
  <w:style w:type="character" w:customStyle="1" w:styleId="93">
    <w:name w:val="2.1 Char Char"/>
    <w:link w:val="94"/>
    <w:qFormat/>
    <w:uiPriority w:val="0"/>
    <w:rPr>
      <w:rFonts w:eastAsia="黑体"/>
      <w:b/>
      <w:bCs/>
      <w:kern w:val="2"/>
      <w:sz w:val="28"/>
      <w:szCs w:val="32"/>
      <w:lang w:val="en-US" w:eastAsia="zh-CN" w:bidi="ar-SA"/>
    </w:rPr>
  </w:style>
  <w:style w:type="paragraph" w:customStyle="1" w:styleId="94">
    <w:name w:val="2.1"/>
    <w:basedOn w:val="1"/>
    <w:link w:val="93"/>
    <w:qFormat/>
    <w:uiPriority w:val="0"/>
    <w:pPr>
      <w:keepNext/>
      <w:keepLines/>
      <w:spacing w:before="120" w:after="120" w:line="480" w:lineRule="exact"/>
      <w:ind w:left="840" w:hanging="420"/>
      <w:outlineLvl w:val="1"/>
    </w:pPr>
    <w:rPr>
      <w:rFonts w:eastAsia="黑体"/>
      <w:b/>
      <w:bCs/>
      <w:sz w:val="28"/>
      <w:szCs w:val="32"/>
    </w:rPr>
  </w:style>
  <w:style w:type="character" w:customStyle="1" w:styleId="95">
    <w:name w:val="批注主题 Char"/>
    <w:link w:val="48"/>
    <w:qFormat/>
    <w:uiPriority w:val="0"/>
    <w:rPr>
      <w:rFonts w:eastAsia="宋体"/>
      <w:b/>
      <w:bCs/>
      <w:kern w:val="2"/>
      <w:sz w:val="21"/>
      <w:szCs w:val="24"/>
      <w:lang w:val="en-US" w:eastAsia="zh-CN" w:bidi="ar-SA"/>
    </w:rPr>
  </w:style>
  <w:style w:type="character" w:customStyle="1" w:styleId="96">
    <w:name w:val="font21"/>
    <w:qFormat/>
    <w:uiPriority w:val="0"/>
    <w:rPr>
      <w:rFonts w:hint="eastAsia" w:ascii="宋体" w:hAnsi="宋体" w:eastAsia="宋体" w:cs="宋体"/>
      <w:color w:val="000000"/>
      <w:sz w:val="20"/>
      <w:szCs w:val="20"/>
    </w:rPr>
  </w:style>
  <w:style w:type="character" w:customStyle="1" w:styleId="97">
    <w:name w:val="表格标题 Char"/>
    <w:link w:val="98"/>
    <w:qFormat/>
    <w:uiPriority w:val="0"/>
    <w:rPr>
      <w:rFonts w:eastAsia="黑体"/>
      <w:b/>
      <w:spacing w:val="6"/>
      <w:sz w:val="21"/>
      <w:szCs w:val="24"/>
      <w:lang w:val="en-US" w:eastAsia="zh-CN" w:bidi="ar-SA"/>
    </w:rPr>
  </w:style>
  <w:style w:type="paragraph" w:customStyle="1" w:styleId="98">
    <w:name w:val="表格标题"/>
    <w:basedOn w:val="49"/>
    <w:next w:val="1"/>
    <w:link w:val="97"/>
    <w:qFormat/>
    <w:uiPriority w:val="0"/>
    <w:pPr>
      <w:overflowPunct w:val="0"/>
      <w:topLinePunct/>
      <w:autoSpaceDE w:val="0"/>
      <w:autoSpaceDN w:val="0"/>
      <w:adjustRightInd w:val="0"/>
      <w:snapToGrid w:val="0"/>
      <w:spacing w:line="520" w:lineRule="exact"/>
      <w:ind w:firstLine="567"/>
      <w:textAlignment w:val="baseline"/>
    </w:pPr>
    <w:rPr>
      <w:rFonts w:eastAsia="黑体"/>
      <w:b/>
      <w:spacing w:val="6"/>
      <w:kern w:val="0"/>
    </w:rPr>
  </w:style>
  <w:style w:type="character" w:customStyle="1" w:styleId="99">
    <w:name w:val="正文文本 Char"/>
    <w:qFormat/>
    <w:uiPriority w:val="0"/>
    <w:rPr>
      <w:rFonts w:eastAsia="宋体"/>
      <w:kern w:val="2"/>
      <w:sz w:val="21"/>
      <w:szCs w:val="24"/>
      <w:lang w:val="en-US" w:eastAsia="zh-CN" w:bidi="ar-SA"/>
    </w:rPr>
  </w:style>
  <w:style w:type="character" w:customStyle="1" w:styleId="100">
    <w:name w:val="正文(首行缩进)宋旭峰 Char Char"/>
    <w:link w:val="101"/>
    <w:qFormat/>
    <w:uiPriority w:val="0"/>
    <w:rPr>
      <w:rFonts w:hAnsi="宋体" w:eastAsia="宋体"/>
      <w:bCs/>
      <w:spacing w:val="-6"/>
      <w:kern w:val="2"/>
      <w:sz w:val="24"/>
      <w:szCs w:val="24"/>
      <w:lang w:val="en-US" w:eastAsia="zh-CN" w:bidi="ar-SA"/>
    </w:rPr>
  </w:style>
  <w:style w:type="paragraph" w:customStyle="1" w:styleId="101">
    <w:name w:val="正文(首行缩进)宋旭峰"/>
    <w:basedOn w:val="7"/>
    <w:link w:val="100"/>
    <w:qFormat/>
    <w:uiPriority w:val="0"/>
    <w:pPr>
      <w:spacing w:line="380" w:lineRule="exact"/>
      <w:ind w:firstLine="418" w:firstLineChars="198"/>
      <w:contextualSpacing/>
    </w:pPr>
    <w:rPr>
      <w:rFonts w:hAnsi="宋体"/>
      <w:bCs/>
      <w:spacing w:val="-6"/>
      <w:sz w:val="24"/>
      <w:szCs w:val="24"/>
    </w:rPr>
  </w:style>
  <w:style w:type="character" w:customStyle="1" w:styleId="102">
    <w:name w:val="Char Char21"/>
    <w:qFormat/>
    <w:uiPriority w:val="0"/>
    <w:rPr>
      <w:rFonts w:ascii="Arial" w:hAnsi="Arial" w:eastAsia="黑体"/>
      <w:b/>
      <w:bCs/>
      <w:kern w:val="2"/>
      <w:sz w:val="28"/>
      <w:szCs w:val="28"/>
      <w:lang w:val="en-US" w:eastAsia="zh-CN" w:bidi="ar-SA"/>
    </w:rPr>
  </w:style>
  <w:style w:type="character" w:customStyle="1" w:styleId="103">
    <w:name w:val="注释标题 Char"/>
    <w:link w:val="16"/>
    <w:qFormat/>
    <w:uiPriority w:val="0"/>
    <w:rPr>
      <w:rFonts w:eastAsia="宋体"/>
      <w:kern w:val="2"/>
      <w:sz w:val="21"/>
      <w:lang w:val="en-US" w:eastAsia="zh-CN" w:bidi="ar-SA"/>
    </w:rPr>
  </w:style>
  <w:style w:type="character" w:customStyle="1" w:styleId="104">
    <w:name w:val="sbwen Char"/>
    <w:link w:val="105"/>
    <w:qFormat/>
    <w:uiPriority w:val="0"/>
    <w:rPr>
      <w:rFonts w:eastAsia="宋体"/>
      <w:spacing w:val="10"/>
      <w:kern w:val="2"/>
      <w:sz w:val="28"/>
      <w:szCs w:val="24"/>
      <w:lang w:val="en-US" w:eastAsia="zh-CN" w:bidi="ar-SA"/>
    </w:rPr>
  </w:style>
  <w:style w:type="paragraph" w:customStyle="1" w:styleId="105">
    <w:name w:val="sbwen"/>
    <w:basedOn w:val="1"/>
    <w:link w:val="104"/>
    <w:qFormat/>
    <w:uiPriority w:val="0"/>
    <w:pPr>
      <w:ind w:firstLine="200" w:firstLineChars="200"/>
      <w:jc w:val="left"/>
    </w:pPr>
    <w:rPr>
      <w:spacing w:val="10"/>
      <w:sz w:val="28"/>
    </w:rPr>
  </w:style>
  <w:style w:type="character" w:customStyle="1" w:styleId="106">
    <w:name w:val="条标题1.1.1 Char1"/>
    <w:qFormat/>
    <w:uiPriority w:val="0"/>
    <w:rPr>
      <w:b/>
      <w:bCs/>
      <w:kern w:val="2"/>
      <w:sz w:val="24"/>
      <w:szCs w:val="32"/>
    </w:rPr>
  </w:style>
  <w:style w:type="character" w:customStyle="1" w:styleId="107">
    <w:name w:val="表内容@ Char"/>
    <w:link w:val="108"/>
    <w:qFormat/>
    <w:uiPriority w:val="0"/>
    <w:rPr>
      <w:rFonts w:ascii="宋体" w:hAnsi="宋体" w:eastAsia="宋体"/>
      <w:kern w:val="2"/>
      <w:sz w:val="21"/>
      <w:szCs w:val="21"/>
      <w:lang w:bidi="ar-SA"/>
    </w:rPr>
  </w:style>
  <w:style w:type="paragraph" w:customStyle="1" w:styleId="108">
    <w:name w:val="表内容@"/>
    <w:basedOn w:val="1"/>
    <w:link w:val="107"/>
    <w:qFormat/>
    <w:uiPriority w:val="0"/>
    <w:pPr>
      <w:adjustRightInd w:val="0"/>
      <w:jc w:val="center"/>
    </w:pPr>
    <w:rPr>
      <w:rFonts w:ascii="宋体" w:hAnsi="宋体"/>
      <w:szCs w:val="21"/>
    </w:rPr>
  </w:style>
  <w:style w:type="character" w:customStyle="1" w:styleId="109">
    <w:name w:val="1.1.1.1- Char"/>
    <w:link w:val="110"/>
    <w:qFormat/>
    <w:uiPriority w:val="0"/>
    <w:rPr>
      <w:rFonts w:ascii="黑体" w:eastAsia="黑体"/>
      <w:b/>
      <w:kern w:val="2"/>
      <w:sz w:val="24"/>
      <w:szCs w:val="24"/>
      <w:lang w:bidi="ar-SA"/>
    </w:rPr>
  </w:style>
  <w:style w:type="paragraph" w:customStyle="1" w:styleId="110">
    <w:name w:val="1.1.1.1-"/>
    <w:basedOn w:val="1"/>
    <w:link w:val="109"/>
    <w:qFormat/>
    <w:uiPriority w:val="0"/>
    <w:pPr>
      <w:spacing w:line="480" w:lineRule="exact"/>
      <w:ind w:firstLine="482" w:firstLineChars="200"/>
      <w:outlineLvl w:val="3"/>
    </w:pPr>
    <w:rPr>
      <w:rFonts w:ascii="黑体" w:eastAsia="黑体"/>
      <w:b/>
      <w:sz w:val="24"/>
    </w:rPr>
  </w:style>
  <w:style w:type="character" w:customStyle="1" w:styleId="111">
    <w:name w:val="批注文字 Char1"/>
    <w:link w:val="20"/>
    <w:semiHidden/>
    <w:qFormat/>
    <w:uiPriority w:val="0"/>
    <w:rPr>
      <w:kern w:val="2"/>
      <w:sz w:val="21"/>
      <w:szCs w:val="24"/>
    </w:rPr>
  </w:style>
  <w:style w:type="character" w:customStyle="1" w:styleId="112">
    <w:name w:val="批注框文本 Char"/>
    <w:link w:val="35"/>
    <w:qFormat/>
    <w:uiPriority w:val="0"/>
    <w:rPr>
      <w:kern w:val="2"/>
      <w:sz w:val="18"/>
      <w:szCs w:val="18"/>
    </w:rPr>
  </w:style>
  <w:style w:type="character" w:customStyle="1" w:styleId="113">
    <w:name w:val="LT表头表头表头表头表头表头 Char Char"/>
    <w:link w:val="114"/>
    <w:qFormat/>
    <w:uiPriority w:val="0"/>
    <w:rPr>
      <w:rFonts w:eastAsia="宋体"/>
      <w:snapToGrid w:val="0"/>
      <w:kern w:val="28"/>
      <w:sz w:val="21"/>
      <w:szCs w:val="24"/>
      <w:lang w:val="en-US" w:eastAsia="zh-CN" w:bidi="ar-SA"/>
    </w:rPr>
  </w:style>
  <w:style w:type="paragraph" w:customStyle="1" w:styleId="114">
    <w:name w:val="LT表头表头表头表头表头表头"/>
    <w:basedOn w:val="1"/>
    <w:link w:val="113"/>
    <w:qFormat/>
    <w:uiPriority w:val="0"/>
    <w:pPr>
      <w:spacing w:beforeLines="50" w:afterLines="50" w:line="360" w:lineRule="auto"/>
      <w:jc w:val="center"/>
    </w:pPr>
    <w:rPr>
      <w:snapToGrid w:val="0"/>
      <w:kern w:val="28"/>
    </w:rPr>
  </w:style>
  <w:style w:type="character" w:customStyle="1" w:styleId="115">
    <w:name w:val="标题 Char"/>
    <w:link w:val="47"/>
    <w:qFormat/>
    <w:uiPriority w:val="10"/>
    <w:rPr>
      <w:rFonts w:eastAsia="宋体"/>
      <w:kern w:val="2"/>
      <w:sz w:val="21"/>
      <w:szCs w:val="24"/>
      <w:lang w:val="en-US" w:eastAsia="zh-CN" w:bidi="ar-SA"/>
    </w:rPr>
  </w:style>
  <w:style w:type="character" w:customStyle="1" w:styleId="116">
    <w:name w:val="样式1 Char Char"/>
    <w:qFormat/>
    <w:uiPriority w:val="0"/>
    <w:rPr>
      <w:rFonts w:ascii="黑体" w:hAnsi="宋体" w:eastAsia="黑体"/>
      <w:kern w:val="2"/>
      <w:sz w:val="24"/>
      <w:szCs w:val="24"/>
      <w:lang w:val="en-US" w:eastAsia="zh-CN" w:bidi="ar-SA"/>
    </w:rPr>
  </w:style>
  <w:style w:type="character" w:customStyle="1" w:styleId="117">
    <w:name w:val="表编号 Char"/>
    <w:link w:val="118"/>
    <w:qFormat/>
    <w:uiPriority w:val="0"/>
    <w:rPr>
      <w:rFonts w:ascii="新宋体" w:hAnsi="新宋体" w:eastAsia="楷体" w:cs="Tms Rmn"/>
      <w:kern w:val="2"/>
      <w:sz w:val="24"/>
      <w:lang w:val="en-US" w:eastAsia="zh-CN" w:bidi="ar-SA"/>
    </w:rPr>
  </w:style>
  <w:style w:type="paragraph" w:customStyle="1" w:styleId="118">
    <w:name w:val="表编号"/>
    <w:basedOn w:val="17"/>
    <w:link w:val="117"/>
    <w:qFormat/>
    <w:uiPriority w:val="0"/>
    <w:pPr>
      <w:tabs>
        <w:tab w:val="left" w:pos="0"/>
      </w:tabs>
      <w:spacing w:line="360" w:lineRule="auto"/>
      <w:jc w:val="center"/>
    </w:pPr>
    <w:rPr>
      <w:rFonts w:ascii="新宋体" w:hAnsi="新宋体" w:eastAsia="楷体" w:cs="Tms Rmn"/>
      <w:sz w:val="24"/>
    </w:rPr>
  </w:style>
  <w:style w:type="character" w:customStyle="1" w:styleId="119">
    <w:name w:val="样式 表中 + 首行缩进:  2 字符 Char"/>
    <w:link w:val="120"/>
    <w:qFormat/>
    <w:uiPriority w:val="0"/>
    <w:rPr>
      <w:rFonts w:eastAsia="宋体" w:cs="宋体"/>
      <w:kern w:val="2"/>
      <w:sz w:val="21"/>
      <w:szCs w:val="21"/>
      <w:lang w:val="en-US" w:eastAsia="zh-CN" w:bidi="ar-SA"/>
    </w:rPr>
  </w:style>
  <w:style w:type="paragraph" w:customStyle="1" w:styleId="120">
    <w:name w:val="样式 表中 + 首行缩进:  2 字符"/>
    <w:basedOn w:val="1"/>
    <w:link w:val="119"/>
    <w:qFormat/>
    <w:uiPriority w:val="0"/>
    <w:pPr>
      <w:adjustRightInd w:val="0"/>
      <w:snapToGrid w:val="0"/>
      <w:spacing w:line="240" w:lineRule="atLeast"/>
      <w:jc w:val="left"/>
    </w:pPr>
    <w:rPr>
      <w:rFonts w:cs="宋体"/>
      <w:szCs w:val="21"/>
    </w:rPr>
  </w:style>
  <w:style w:type="character" w:customStyle="1" w:styleId="121">
    <w:name w:val="正文文本 Char2"/>
    <w:link w:val="21"/>
    <w:qFormat/>
    <w:uiPriority w:val="0"/>
    <w:rPr>
      <w:rFonts w:hint="eastAsia" w:ascii="宋体" w:hAnsi="宋体" w:eastAsia="宋体" w:cs="宋体"/>
      <w:sz w:val="22"/>
      <w:szCs w:val="22"/>
    </w:rPr>
  </w:style>
  <w:style w:type="character" w:customStyle="1" w:styleId="122">
    <w:name w:val="正文(首行缩进) Char"/>
    <w:link w:val="123"/>
    <w:qFormat/>
    <w:uiPriority w:val="0"/>
    <w:rPr>
      <w:rFonts w:eastAsia="宋体"/>
      <w:snapToGrid w:val="0"/>
      <w:sz w:val="24"/>
      <w:szCs w:val="24"/>
      <w:lang w:val="en-US" w:eastAsia="zh-CN" w:bidi="ar-SA"/>
    </w:rPr>
  </w:style>
  <w:style w:type="paragraph" w:customStyle="1" w:styleId="123">
    <w:name w:val="正文(首行缩进)"/>
    <w:basedOn w:val="1"/>
    <w:link w:val="122"/>
    <w:qFormat/>
    <w:uiPriority w:val="0"/>
    <w:pPr>
      <w:adjustRightInd w:val="0"/>
      <w:snapToGrid w:val="0"/>
      <w:spacing w:line="360" w:lineRule="auto"/>
      <w:ind w:firstLine="200" w:firstLineChars="200"/>
    </w:pPr>
    <w:rPr>
      <w:snapToGrid w:val="0"/>
      <w:kern w:val="0"/>
      <w:sz w:val="24"/>
    </w:rPr>
  </w:style>
  <w:style w:type="character" w:customStyle="1" w:styleId="124">
    <w:name w:val="样式4 Char1"/>
    <w:link w:val="86"/>
    <w:qFormat/>
    <w:uiPriority w:val="0"/>
    <w:rPr>
      <w:rFonts w:eastAsia="黑体"/>
      <w:kern w:val="2"/>
      <w:sz w:val="30"/>
      <w:szCs w:val="30"/>
      <w:lang w:val="en-US" w:eastAsia="zh-CN" w:bidi="ar-SA"/>
    </w:rPr>
  </w:style>
  <w:style w:type="character" w:customStyle="1" w:styleId="125">
    <w:name w:val="16"/>
    <w:basedOn w:val="57"/>
    <w:qFormat/>
    <w:uiPriority w:val="0"/>
  </w:style>
  <w:style w:type="character" w:customStyle="1" w:styleId="126">
    <w:name w:val="h4 Char"/>
    <w:qFormat/>
    <w:uiPriority w:val="0"/>
    <w:rPr>
      <w:rFonts w:ascii="Times New Roman" w:hAnsi="Times New Roman" w:eastAsia="宋体" w:cs="Times New Roman"/>
      <w:b/>
      <w:bCs/>
      <w:sz w:val="24"/>
      <w:szCs w:val="28"/>
    </w:rPr>
  </w:style>
  <w:style w:type="character" w:customStyle="1" w:styleId="127">
    <w:name w:val="1级标题 Char"/>
    <w:link w:val="128"/>
    <w:qFormat/>
    <w:uiPriority w:val="0"/>
    <w:rPr>
      <w:rFonts w:ascii="Calibri" w:hAnsi="Calibri" w:eastAsia="仿宋_GB2312"/>
      <w:b/>
      <w:bCs/>
      <w:kern w:val="44"/>
      <w:sz w:val="32"/>
      <w:szCs w:val="32"/>
      <w:lang w:val="en-US" w:eastAsia="zh-CN" w:bidi="ar-SA"/>
    </w:rPr>
  </w:style>
  <w:style w:type="paragraph" w:customStyle="1" w:styleId="128">
    <w:name w:val="1级标题"/>
    <w:basedOn w:val="2"/>
    <w:link w:val="127"/>
    <w:semiHidden/>
    <w:qFormat/>
    <w:uiPriority w:val="0"/>
    <w:pPr>
      <w:tabs>
        <w:tab w:val="left" w:pos="425"/>
      </w:tabs>
      <w:adjustRightInd w:val="0"/>
      <w:spacing w:beforeLines="0" w:after="120" w:line="480" w:lineRule="auto"/>
      <w:ind w:firstLine="200" w:firstLineChars="200"/>
      <w:jc w:val="center"/>
    </w:pPr>
    <w:rPr>
      <w:rFonts w:hint="default" w:ascii="Calibri" w:hAnsi="Calibri" w:eastAsia="仿宋_GB2312"/>
      <w:bCs/>
      <w:sz w:val="32"/>
      <w:szCs w:val="32"/>
    </w:rPr>
  </w:style>
  <w:style w:type="character" w:customStyle="1" w:styleId="129">
    <w:name w:val="5-正文 Char"/>
    <w:link w:val="130"/>
    <w:qFormat/>
    <w:uiPriority w:val="0"/>
    <w:rPr>
      <w:rFonts w:eastAsia="宋体"/>
      <w:sz w:val="24"/>
      <w:lang w:val="en-US" w:eastAsia="zh-CN" w:bidi="ar-SA"/>
    </w:rPr>
  </w:style>
  <w:style w:type="paragraph" w:customStyle="1" w:styleId="130">
    <w:name w:val="5-正文"/>
    <w:basedOn w:val="1"/>
    <w:link w:val="129"/>
    <w:qFormat/>
    <w:uiPriority w:val="0"/>
    <w:pPr>
      <w:snapToGrid w:val="0"/>
      <w:ind w:firstLine="480" w:firstLineChars="200"/>
    </w:pPr>
    <w:rPr>
      <w:kern w:val="0"/>
      <w:sz w:val="24"/>
      <w:szCs w:val="20"/>
    </w:rPr>
  </w:style>
  <w:style w:type="character" w:customStyle="1" w:styleId="131">
    <w:name w:val="11 Char"/>
    <w:link w:val="132"/>
    <w:qFormat/>
    <w:uiPriority w:val="0"/>
    <w:rPr>
      <w:rFonts w:ascii="宋体" w:eastAsia="宋体"/>
      <w:sz w:val="28"/>
      <w:szCs w:val="28"/>
      <w:lang w:val="en-US" w:eastAsia="zh-CN" w:bidi="ar-SA"/>
    </w:rPr>
  </w:style>
  <w:style w:type="paragraph" w:customStyle="1" w:styleId="132">
    <w:name w:val="11"/>
    <w:basedOn w:val="24"/>
    <w:link w:val="131"/>
    <w:semiHidden/>
    <w:qFormat/>
    <w:uiPriority w:val="0"/>
    <w:pPr>
      <w:pBdr>
        <w:bottom w:val="none" w:color="auto" w:sz="0" w:space="0"/>
      </w:pBdr>
      <w:tabs>
        <w:tab w:val="clear" w:pos="4153"/>
        <w:tab w:val="clear" w:pos="8306"/>
      </w:tabs>
      <w:autoSpaceDE w:val="0"/>
      <w:autoSpaceDN w:val="0"/>
      <w:adjustRightInd w:val="0"/>
      <w:snapToGrid/>
      <w:spacing w:line="360" w:lineRule="auto"/>
      <w:ind w:firstLine="560" w:firstLineChars="200"/>
      <w:jc w:val="left"/>
      <w:textAlignment w:val="baseline"/>
    </w:pPr>
    <w:rPr>
      <w:rFonts w:ascii="宋体"/>
      <w:kern w:val="0"/>
      <w:sz w:val="28"/>
      <w:szCs w:val="28"/>
    </w:rPr>
  </w:style>
  <w:style w:type="character" w:customStyle="1" w:styleId="133">
    <w:name w:val="font41"/>
    <w:qFormat/>
    <w:uiPriority w:val="0"/>
    <w:rPr>
      <w:rFonts w:hint="eastAsia" w:ascii="宋体" w:hAnsi="宋体" w:eastAsia="宋体" w:cs="宋体"/>
      <w:color w:val="000000"/>
      <w:sz w:val="24"/>
      <w:szCs w:val="24"/>
      <w:u w:val="none"/>
    </w:rPr>
  </w:style>
  <w:style w:type="character" w:customStyle="1" w:styleId="134">
    <w:name w:val="15"/>
    <w:basedOn w:val="57"/>
    <w:qFormat/>
    <w:uiPriority w:val="0"/>
  </w:style>
  <w:style w:type="character" w:customStyle="1" w:styleId="135">
    <w:name w:val="3级标题 Char"/>
    <w:link w:val="136"/>
    <w:qFormat/>
    <w:uiPriority w:val="0"/>
    <w:rPr>
      <w:rFonts w:ascii="宋体" w:hAnsi="Calibri" w:eastAsia="宋体"/>
      <w:b/>
      <w:sz w:val="28"/>
      <w:szCs w:val="28"/>
      <w:lang w:val="en-US" w:eastAsia="zh-CN" w:bidi="ar-SA"/>
    </w:rPr>
  </w:style>
  <w:style w:type="paragraph" w:customStyle="1" w:styleId="136">
    <w:name w:val="3级标题"/>
    <w:basedOn w:val="137"/>
    <w:link w:val="135"/>
    <w:semiHidden/>
    <w:qFormat/>
    <w:uiPriority w:val="0"/>
    <w:pPr>
      <w:spacing w:line="360" w:lineRule="auto"/>
    </w:pPr>
    <w:rPr>
      <w:rFonts w:hAnsi="Calibri" w:cs="Times New Roman"/>
      <w:b/>
      <w:color w:val="auto"/>
      <w:sz w:val="28"/>
      <w:szCs w:val="28"/>
    </w:rPr>
  </w:style>
  <w:style w:type="paragraph" w:customStyle="1" w:styleId="137">
    <w:name w:val="Default"/>
    <w:link w:val="22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138">
    <w:name w:val="headline-content"/>
    <w:qFormat/>
    <w:uiPriority w:val="0"/>
  </w:style>
  <w:style w:type="character" w:customStyle="1" w:styleId="139">
    <w:name w:val="正文1 Char"/>
    <w:link w:val="66"/>
    <w:qFormat/>
    <w:uiPriority w:val="0"/>
    <w:rPr>
      <w:rFonts w:ascii="宋体" w:hAnsi="宋体" w:cs="宋体"/>
      <w:sz w:val="24"/>
      <w:szCs w:val="24"/>
    </w:rPr>
  </w:style>
  <w:style w:type="character" w:customStyle="1" w:styleId="140">
    <w:name w:val="HTML 预设格式 Char"/>
    <w:link w:val="44"/>
    <w:qFormat/>
    <w:uiPriority w:val="99"/>
    <w:rPr>
      <w:rFonts w:ascii="宋体" w:hAnsi="宋体" w:eastAsia="宋体" w:cs="宋体"/>
      <w:sz w:val="24"/>
      <w:szCs w:val="24"/>
      <w:lang w:val="en-US" w:eastAsia="zh-CN" w:bidi="ar-SA"/>
    </w:rPr>
  </w:style>
  <w:style w:type="character" w:customStyle="1" w:styleId="141">
    <w:name w:val="图表标题-导航显示 Char"/>
    <w:link w:val="142"/>
    <w:qFormat/>
    <w:uiPriority w:val="0"/>
    <w:rPr>
      <w:rFonts w:eastAsia="宋体"/>
      <w:b/>
      <w:bCs/>
      <w:kern w:val="2"/>
      <w:sz w:val="21"/>
      <w:szCs w:val="24"/>
      <w:lang w:bidi="ar-SA"/>
    </w:rPr>
  </w:style>
  <w:style w:type="paragraph" w:customStyle="1" w:styleId="142">
    <w:name w:val="图表标题-导航显示"/>
    <w:basedOn w:val="10"/>
    <w:next w:val="1"/>
    <w:link w:val="141"/>
    <w:qFormat/>
    <w:uiPriority w:val="0"/>
    <w:pPr>
      <w:tabs>
        <w:tab w:val="clear" w:pos="1800"/>
        <w:tab w:val="clear" w:pos="3047"/>
      </w:tabs>
      <w:wordWrap w:val="0"/>
      <w:adjustRightInd w:val="0"/>
      <w:snapToGrid w:val="0"/>
      <w:spacing w:line="240" w:lineRule="auto"/>
      <w:ind w:firstLine="0"/>
      <w:jc w:val="center"/>
    </w:pPr>
    <w:rPr>
      <w:b/>
      <w:bCs/>
      <w:color w:val="auto"/>
      <w:sz w:val="21"/>
    </w:rPr>
  </w:style>
  <w:style w:type="character" w:customStyle="1" w:styleId="143">
    <w:name w:val="标题 4 Char"/>
    <w:link w:val="5"/>
    <w:qFormat/>
    <w:uiPriority w:val="0"/>
    <w:rPr>
      <w:rFonts w:ascii="宋体" w:hAnsi="宋体" w:eastAsia="黑体"/>
      <w:color w:val="000000"/>
      <w:kern w:val="2"/>
      <w:sz w:val="24"/>
      <w:szCs w:val="24"/>
      <w:lang w:val="en-US" w:eastAsia="zh-CN" w:bidi="ar-SA"/>
    </w:rPr>
  </w:style>
  <w:style w:type="character" w:customStyle="1" w:styleId="144">
    <w:name w:val="我的正文 Char"/>
    <w:link w:val="145"/>
    <w:qFormat/>
    <w:uiPriority w:val="0"/>
    <w:rPr>
      <w:rFonts w:eastAsia="Times New Roman"/>
      <w:color w:val="000000"/>
      <w:sz w:val="24"/>
      <w:lang w:val="en-US" w:eastAsia="zh-CN" w:bidi="ar-SA"/>
    </w:rPr>
  </w:style>
  <w:style w:type="paragraph" w:customStyle="1" w:styleId="145">
    <w:name w:val="我的正文"/>
    <w:link w:val="144"/>
    <w:qFormat/>
    <w:uiPriority w:val="0"/>
    <w:pPr>
      <w:adjustRightInd w:val="0"/>
      <w:snapToGrid w:val="0"/>
      <w:spacing w:line="360" w:lineRule="auto"/>
      <w:ind w:firstLine="200" w:firstLineChars="200"/>
    </w:pPr>
    <w:rPr>
      <w:rFonts w:ascii="Times New Roman" w:hAnsi="Times New Roman" w:eastAsia="Times New Roman" w:cs="Times New Roman"/>
      <w:color w:val="000000"/>
      <w:sz w:val="24"/>
      <w:lang w:val="en-US" w:eastAsia="zh-CN" w:bidi="ar-SA"/>
    </w:rPr>
  </w:style>
  <w:style w:type="character" w:customStyle="1" w:styleId="146">
    <w:name w:val="金山正文 Char"/>
    <w:link w:val="147"/>
    <w:qFormat/>
    <w:uiPriority w:val="0"/>
    <w:rPr>
      <w:rFonts w:ascii="宋体"/>
      <w:kern w:val="2"/>
      <w:sz w:val="24"/>
      <w:szCs w:val="24"/>
    </w:rPr>
  </w:style>
  <w:style w:type="paragraph" w:customStyle="1" w:styleId="147">
    <w:name w:val="金山正文"/>
    <w:basedOn w:val="1"/>
    <w:link w:val="146"/>
    <w:qFormat/>
    <w:uiPriority w:val="0"/>
    <w:pPr>
      <w:spacing w:line="520" w:lineRule="exact"/>
      <w:ind w:firstLine="200" w:firstLineChars="200"/>
      <w:jc w:val="left"/>
    </w:pPr>
    <w:rPr>
      <w:rFonts w:ascii="宋体"/>
      <w:sz w:val="24"/>
    </w:rPr>
  </w:style>
  <w:style w:type="character" w:customStyle="1" w:styleId="148">
    <w:name w:val="样式 表图头@ + 段前: 0.5 行 Char"/>
    <w:link w:val="149"/>
    <w:qFormat/>
    <w:uiPriority w:val="0"/>
    <w:rPr>
      <w:rFonts w:ascii="宋体" w:hAnsi="宋体" w:eastAsia="宋体" w:cs="宋体"/>
      <w:kern w:val="2"/>
      <w:sz w:val="21"/>
      <w:lang w:val="en-US" w:eastAsia="zh-CN" w:bidi="ar-SA"/>
    </w:rPr>
  </w:style>
  <w:style w:type="paragraph" w:customStyle="1" w:styleId="149">
    <w:name w:val="样式 表图头@ + 段前: 0.5 行"/>
    <w:basedOn w:val="1"/>
    <w:link w:val="148"/>
    <w:qFormat/>
    <w:uiPriority w:val="0"/>
    <w:pPr>
      <w:adjustRightInd w:val="0"/>
      <w:jc w:val="center"/>
    </w:pPr>
    <w:rPr>
      <w:rFonts w:ascii="宋体" w:hAnsi="宋体" w:cs="宋体"/>
      <w:szCs w:val="20"/>
    </w:rPr>
  </w:style>
  <w:style w:type="character" w:customStyle="1" w:styleId="150">
    <w:name w:val="Char Char14"/>
    <w:qFormat/>
    <w:uiPriority w:val="0"/>
    <w:rPr>
      <w:rFonts w:eastAsia="宋体"/>
      <w:kern w:val="2"/>
      <w:sz w:val="18"/>
      <w:szCs w:val="18"/>
      <w:lang w:val="en-US" w:eastAsia="zh-CN" w:bidi="ar-SA"/>
    </w:rPr>
  </w:style>
  <w:style w:type="character" w:customStyle="1" w:styleId="151">
    <w:name w:val="number"/>
    <w:qFormat/>
    <w:uiPriority w:val="0"/>
  </w:style>
  <w:style w:type="character" w:customStyle="1" w:styleId="152">
    <w:name w:val="正文文本缩进 Char"/>
    <w:link w:val="23"/>
    <w:qFormat/>
    <w:uiPriority w:val="0"/>
    <w:rPr>
      <w:rFonts w:ascii="宋体" w:hAnsi="宋体" w:eastAsia="宋体" w:cs="Arial"/>
      <w:kern w:val="2"/>
      <w:sz w:val="24"/>
      <w:szCs w:val="24"/>
      <w:lang w:val="en-US" w:eastAsia="zh-CN" w:bidi="ar-SA"/>
    </w:rPr>
  </w:style>
  <w:style w:type="character" w:customStyle="1" w:styleId="153">
    <w:name w:val="正文缩进 Char"/>
    <w:qFormat/>
    <w:uiPriority w:val="0"/>
    <w:rPr>
      <w:rFonts w:eastAsia="宋体"/>
      <w:kern w:val="2"/>
      <w:sz w:val="21"/>
      <w:lang w:val="en-US" w:eastAsia="zh-CN" w:bidi="ar-SA"/>
    </w:rPr>
  </w:style>
  <w:style w:type="character" w:customStyle="1" w:styleId="154">
    <w:name w:val="珠江啤酒正文 Char"/>
    <w:link w:val="155"/>
    <w:qFormat/>
    <w:uiPriority w:val="0"/>
    <w:rPr>
      <w:rFonts w:eastAsia="宋体"/>
      <w:sz w:val="24"/>
      <w:szCs w:val="24"/>
      <w:lang w:val="en-US" w:eastAsia="zh-CN" w:bidi="ar-SA"/>
    </w:rPr>
  </w:style>
  <w:style w:type="paragraph" w:customStyle="1" w:styleId="155">
    <w:name w:val="珠江啤酒正文"/>
    <w:basedOn w:val="1"/>
    <w:link w:val="154"/>
    <w:semiHidden/>
    <w:qFormat/>
    <w:uiPriority w:val="0"/>
    <w:pPr>
      <w:adjustRightInd w:val="0"/>
      <w:spacing w:line="480" w:lineRule="exact"/>
      <w:ind w:firstLine="200" w:firstLineChars="200"/>
      <w:textAlignment w:val="baseline"/>
    </w:pPr>
    <w:rPr>
      <w:kern w:val="0"/>
      <w:sz w:val="24"/>
    </w:rPr>
  </w:style>
  <w:style w:type="character" w:customStyle="1" w:styleId="156">
    <w:name w:val="H1 Char"/>
    <w:qFormat/>
    <w:uiPriority w:val="0"/>
    <w:rPr>
      <w:b/>
      <w:bCs/>
      <w:kern w:val="44"/>
      <w:sz w:val="32"/>
      <w:szCs w:val="44"/>
    </w:rPr>
  </w:style>
  <w:style w:type="character" w:customStyle="1" w:styleId="157">
    <w:name w:val="样式 正文样式 + 宋体 Char"/>
    <w:link w:val="158"/>
    <w:qFormat/>
    <w:uiPriority w:val="0"/>
    <w:rPr>
      <w:rFonts w:ascii="宋体" w:hAnsi="宋体" w:cs="宋体"/>
      <w:kern w:val="2"/>
      <w:sz w:val="24"/>
      <w:szCs w:val="24"/>
      <w:lang w:val="en-US" w:eastAsia="zh-CN" w:bidi="ar-SA"/>
    </w:rPr>
  </w:style>
  <w:style w:type="paragraph" w:customStyle="1" w:styleId="158">
    <w:name w:val="样式 正文样式 + 宋体"/>
    <w:basedOn w:val="159"/>
    <w:link w:val="157"/>
    <w:semiHidden/>
    <w:qFormat/>
    <w:uiPriority w:val="0"/>
    <w:pPr>
      <w:spacing w:line="460" w:lineRule="atLeast"/>
    </w:pPr>
    <w:rPr>
      <w:rFonts w:ascii="宋体" w:hAnsi="宋体" w:eastAsia="宋体"/>
    </w:rPr>
  </w:style>
  <w:style w:type="paragraph" w:customStyle="1" w:styleId="159">
    <w:name w:val="正文样式"/>
    <w:link w:val="165"/>
    <w:qFormat/>
    <w:uiPriority w:val="0"/>
    <w:pPr>
      <w:spacing w:line="440" w:lineRule="atLeast"/>
      <w:ind w:firstLine="200" w:firstLineChars="200"/>
    </w:pPr>
    <w:rPr>
      <w:rFonts w:ascii="Times New Roman" w:hAnsi="Times New Roman" w:eastAsia="Times New Roman" w:cs="宋体"/>
      <w:kern w:val="2"/>
      <w:sz w:val="24"/>
      <w:szCs w:val="24"/>
      <w:lang w:val="en-US" w:eastAsia="zh-CN" w:bidi="ar-SA"/>
    </w:rPr>
  </w:style>
  <w:style w:type="character" w:customStyle="1" w:styleId="160">
    <w:name w:val="纯文本 Char"/>
    <w:link w:val="29"/>
    <w:qFormat/>
    <w:uiPriority w:val="0"/>
    <w:rPr>
      <w:rFonts w:ascii="宋体" w:hAnsi="Courier New" w:eastAsia="宋体"/>
      <w:kern w:val="2"/>
      <w:sz w:val="21"/>
      <w:lang w:val="en-US" w:eastAsia="zh-CN" w:bidi="ar-SA"/>
    </w:rPr>
  </w:style>
  <w:style w:type="character" w:customStyle="1" w:styleId="161">
    <w:name w:val="标题4 Char"/>
    <w:link w:val="162"/>
    <w:qFormat/>
    <w:uiPriority w:val="0"/>
    <w:rPr>
      <w:b/>
      <w:kern w:val="2"/>
      <w:sz w:val="24"/>
      <w:szCs w:val="24"/>
      <w:lang w:bidi="ar-SA"/>
    </w:rPr>
  </w:style>
  <w:style w:type="paragraph" w:customStyle="1" w:styleId="162">
    <w:name w:val="标题4"/>
    <w:basedOn w:val="1"/>
    <w:link w:val="161"/>
    <w:qFormat/>
    <w:uiPriority w:val="0"/>
    <w:pPr>
      <w:tabs>
        <w:tab w:val="left" w:pos="851"/>
      </w:tabs>
      <w:spacing w:line="480" w:lineRule="exact"/>
      <w:ind w:left="851" w:hanging="851"/>
      <w:jc w:val="left"/>
      <w:outlineLvl w:val="3"/>
    </w:pPr>
    <w:rPr>
      <w:b/>
      <w:sz w:val="24"/>
    </w:rPr>
  </w:style>
  <w:style w:type="character" w:customStyle="1" w:styleId="163">
    <w:name w:val="正文2 Char"/>
    <w:link w:val="164"/>
    <w:semiHidden/>
    <w:qFormat/>
    <w:uiPriority w:val="0"/>
    <w:rPr>
      <w:rFonts w:ascii="宋体" w:hAnsi="宋体" w:eastAsia="宋体"/>
      <w:kern w:val="2"/>
      <w:sz w:val="24"/>
      <w:szCs w:val="24"/>
      <w:lang w:val="en-US" w:eastAsia="zh-CN" w:bidi="ar-SA"/>
    </w:rPr>
  </w:style>
  <w:style w:type="paragraph" w:customStyle="1" w:styleId="164">
    <w:name w:val="正文2"/>
    <w:basedOn w:val="1"/>
    <w:link w:val="163"/>
    <w:qFormat/>
    <w:uiPriority w:val="0"/>
    <w:pPr>
      <w:spacing w:line="360" w:lineRule="auto"/>
      <w:ind w:firstLine="480" w:firstLineChars="200"/>
    </w:pPr>
    <w:rPr>
      <w:rFonts w:ascii="宋体" w:hAnsi="宋体"/>
      <w:sz w:val="24"/>
    </w:rPr>
  </w:style>
  <w:style w:type="character" w:customStyle="1" w:styleId="165">
    <w:name w:val="正文样式 Char"/>
    <w:link w:val="159"/>
    <w:qFormat/>
    <w:uiPriority w:val="0"/>
    <w:rPr>
      <w:rFonts w:eastAsia="Times New Roman" w:cs="宋体"/>
      <w:kern w:val="2"/>
      <w:sz w:val="24"/>
      <w:szCs w:val="24"/>
      <w:lang w:val="en-US" w:eastAsia="zh-CN" w:bidi="ar-SA"/>
    </w:rPr>
  </w:style>
  <w:style w:type="character" w:customStyle="1" w:styleId="166">
    <w:name w:val="样式2 Char"/>
    <w:basedOn w:val="57"/>
    <w:link w:val="167"/>
    <w:qFormat/>
    <w:uiPriority w:val="0"/>
    <w:rPr>
      <w:rFonts w:eastAsia="宋体"/>
      <w:kern w:val="2"/>
      <w:sz w:val="28"/>
      <w:szCs w:val="28"/>
      <w:lang w:val="en-US" w:eastAsia="zh-CN" w:bidi="ar-SA"/>
    </w:rPr>
  </w:style>
  <w:style w:type="paragraph" w:customStyle="1" w:styleId="167">
    <w:name w:val="样式2"/>
    <w:basedOn w:val="1"/>
    <w:link w:val="166"/>
    <w:qFormat/>
    <w:uiPriority w:val="0"/>
    <w:pPr>
      <w:adjustRightInd w:val="0"/>
      <w:spacing w:line="460" w:lineRule="atLeast"/>
      <w:ind w:firstLine="200" w:firstLineChars="200"/>
      <w:textAlignment w:val="baseline"/>
    </w:pPr>
    <w:rPr>
      <w:sz w:val="28"/>
      <w:szCs w:val="28"/>
    </w:rPr>
  </w:style>
  <w:style w:type="character" w:customStyle="1" w:styleId="168">
    <w:name w:val="2级标题 Char1"/>
    <w:link w:val="169"/>
    <w:qFormat/>
    <w:uiPriority w:val="0"/>
    <w:rPr>
      <w:rFonts w:ascii="宋体" w:hAnsi="Calibri" w:eastAsia="宋体"/>
      <w:b/>
      <w:sz w:val="30"/>
      <w:szCs w:val="30"/>
      <w:lang w:val="en-US" w:eastAsia="zh-CN" w:bidi="ar-SA"/>
    </w:rPr>
  </w:style>
  <w:style w:type="paragraph" w:customStyle="1" w:styleId="169">
    <w:name w:val="2级标题"/>
    <w:basedOn w:val="137"/>
    <w:link w:val="168"/>
    <w:semiHidden/>
    <w:qFormat/>
    <w:uiPriority w:val="0"/>
    <w:pPr>
      <w:spacing w:line="360" w:lineRule="auto"/>
    </w:pPr>
    <w:rPr>
      <w:rFonts w:hAnsi="Calibri" w:cs="Times New Roman"/>
      <w:b/>
      <w:color w:val="auto"/>
      <w:sz w:val="30"/>
      <w:szCs w:val="30"/>
    </w:rPr>
  </w:style>
  <w:style w:type="character" w:customStyle="1" w:styleId="170">
    <w:name w:val="无间隔 Char"/>
    <w:link w:val="171"/>
    <w:qFormat/>
    <w:uiPriority w:val="0"/>
    <w:rPr>
      <w:b/>
      <w:kern w:val="2"/>
      <w:sz w:val="21"/>
      <w:szCs w:val="22"/>
    </w:rPr>
  </w:style>
  <w:style w:type="paragraph" w:styleId="171">
    <w:name w:val="No Spacing"/>
    <w:basedOn w:val="1"/>
    <w:link w:val="170"/>
    <w:qFormat/>
    <w:uiPriority w:val="0"/>
    <w:pPr>
      <w:adjustRightInd w:val="0"/>
      <w:snapToGrid w:val="0"/>
      <w:spacing w:line="360" w:lineRule="auto"/>
      <w:jc w:val="center"/>
    </w:pPr>
    <w:rPr>
      <w:b/>
      <w:szCs w:val="22"/>
    </w:rPr>
  </w:style>
  <w:style w:type="character" w:customStyle="1" w:styleId="172">
    <w:name w:val="正文1 Char Char"/>
    <w:qFormat/>
    <w:uiPriority w:val="0"/>
    <w:rPr>
      <w:rFonts w:cs="宋体"/>
      <w:sz w:val="30"/>
      <w:lang w:val="en-US" w:eastAsia="zh-CN" w:bidi="ar-SA"/>
    </w:rPr>
  </w:style>
  <w:style w:type="character" w:customStyle="1" w:styleId="173">
    <w:name w:val="正文（首行缩进两字） Char Char Char1"/>
    <w:qFormat/>
    <w:uiPriority w:val="0"/>
    <w:rPr>
      <w:rFonts w:eastAsia="宋体"/>
      <w:kern w:val="2"/>
      <w:sz w:val="21"/>
      <w:lang w:val="en-US" w:eastAsia="zh-CN" w:bidi="ar-SA"/>
    </w:rPr>
  </w:style>
  <w:style w:type="character" w:customStyle="1" w:styleId="174">
    <w:name w:val="标2 Char"/>
    <w:link w:val="175"/>
    <w:qFormat/>
    <w:uiPriority w:val="0"/>
    <w:rPr>
      <w:rFonts w:eastAsia="宋体"/>
      <w:b/>
      <w:kern w:val="2"/>
      <w:sz w:val="24"/>
      <w:szCs w:val="24"/>
      <w:lang w:val="en-US" w:eastAsia="zh-CN" w:bidi="ar-SA"/>
    </w:rPr>
  </w:style>
  <w:style w:type="paragraph" w:customStyle="1" w:styleId="175">
    <w:name w:val="标2"/>
    <w:basedOn w:val="1"/>
    <w:link w:val="174"/>
    <w:semiHidden/>
    <w:qFormat/>
    <w:uiPriority w:val="0"/>
    <w:pPr>
      <w:spacing w:line="480" w:lineRule="exact"/>
      <w:ind w:firstLine="200" w:firstLineChars="200"/>
      <w:outlineLvl w:val="1"/>
    </w:pPr>
    <w:rPr>
      <w:b/>
      <w:sz w:val="24"/>
    </w:rPr>
  </w:style>
  <w:style w:type="character" w:customStyle="1" w:styleId="176">
    <w:name w:val="1.1.1 Char"/>
    <w:link w:val="177"/>
    <w:qFormat/>
    <w:uiPriority w:val="0"/>
    <w:rPr>
      <w:rFonts w:ascii="黑体" w:eastAsia="黑体"/>
      <w:kern w:val="2"/>
      <w:sz w:val="24"/>
      <w:szCs w:val="24"/>
      <w:lang w:bidi="ar-SA"/>
    </w:rPr>
  </w:style>
  <w:style w:type="paragraph" w:customStyle="1" w:styleId="177">
    <w:name w:val="1.1.1"/>
    <w:basedOn w:val="130"/>
    <w:link w:val="176"/>
    <w:qFormat/>
    <w:uiPriority w:val="0"/>
    <w:pPr>
      <w:snapToGrid/>
      <w:spacing w:line="480" w:lineRule="exact"/>
      <w:ind w:firstLine="200"/>
      <w:outlineLvl w:val="2"/>
    </w:pPr>
    <w:rPr>
      <w:rFonts w:ascii="黑体" w:eastAsia="黑体"/>
      <w:kern w:val="2"/>
      <w:szCs w:val="24"/>
    </w:rPr>
  </w:style>
  <w:style w:type="character" w:customStyle="1" w:styleId="178">
    <w:name w:val="正文 Char"/>
    <w:qFormat/>
    <w:uiPriority w:val="0"/>
    <w:rPr>
      <w:rFonts w:ascii="宋体" w:hAnsi="宋体" w:eastAsia="仿宋_GB2312" w:cs="宋体"/>
      <w:color w:val="000000"/>
      <w:sz w:val="24"/>
      <w:szCs w:val="24"/>
      <w:lang w:val="en-US" w:eastAsia="zh-CN" w:bidi="ar-SA"/>
    </w:rPr>
  </w:style>
  <w:style w:type="character" w:customStyle="1" w:styleId="179">
    <w:name w:val="样式 首行缩进:  2 字符 行距: 最小值 24 磅 Char Char Char"/>
    <w:link w:val="180"/>
    <w:qFormat/>
    <w:uiPriority w:val="0"/>
    <w:rPr>
      <w:rFonts w:eastAsia="宋体" w:cs="宋体"/>
      <w:spacing w:val="6"/>
      <w:sz w:val="24"/>
      <w:lang w:val="en-US" w:eastAsia="zh-CN" w:bidi="ar-SA"/>
    </w:rPr>
  </w:style>
  <w:style w:type="paragraph" w:customStyle="1" w:styleId="180">
    <w:name w:val="样式 首行缩进:  2 字符 行距: 最小值 24 磅 Char Char"/>
    <w:basedOn w:val="1"/>
    <w:link w:val="179"/>
    <w:semiHidden/>
    <w:qFormat/>
    <w:uiPriority w:val="0"/>
    <w:pPr>
      <w:overflowPunct w:val="0"/>
      <w:topLinePunct/>
      <w:autoSpaceDE w:val="0"/>
      <w:autoSpaceDN w:val="0"/>
      <w:adjustRightInd w:val="0"/>
      <w:snapToGrid w:val="0"/>
      <w:spacing w:line="480" w:lineRule="atLeast"/>
      <w:ind w:firstLine="560" w:firstLineChars="200"/>
      <w:jc w:val="left"/>
      <w:textAlignment w:val="baseline"/>
    </w:pPr>
    <w:rPr>
      <w:rFonts w:cs="宋体"/>
      <w:spacing w:val="6"/>
      <w:kern w:val="0"/>
      <w:sz w:val="24"/>
      <w:szCs w:val="20"/>
    </w:rPr>
  </w:style>
  <w:style w:type="character" w:customStyle="1" w:styleId="181">
    <w:name w:val="标题 1 Char Char Char1"/>
    <w:qFormat/>
    <w:uiPriority w:val="0"/>
    <w:rPr>
      <w:rFonts w:eastAsia="黑体"/>
      <w:kern w:val="44"/>
      <w:sz w:val="24"/>
      <w:lang w:val="en-US" w:eastAsia="zh-CN" w:bidi="ar-SA"/>
    </w:rPr>
  </w:style>
  <w:style w:type="character" w:customStyle="1" w:styleId="182">
    <w:name w:val="Char Char5"/>
    <w:qFormat/>
    <w:uiPriority w:val="0"/>
    <w:rPr>
      <w:rFonts w:ascii="黑体" w:hAnsi="Arial" w:eastAsia="黑体" w:cs="宋体"/>
      <w:bCs/>
      <w:kern w:val="24"/>
      <w:sz w:val="28"/>
      <w:szCs w:val="28"/>
      <w:lang w:val="en-US" w:eastAsia="zh-CN" w:bidi="ar-SA"/>
    </w:rPr>
  </w:style>
  <w:style w:type="character" w:customStyle="1" w:styleId="183">
    <w:name w:val="正文文字 21 Char"/>
    <w:qFormat/>
    <w:uiPriority w:val="0"/>
    <w:rPr>
      <w:rFonts w:eastAsia="宋体"/>
      <w:sz w:val="30"/>
      <w:szCs w:val="30"/>
      <w:lang w:val="en-US" w:eastAsia="zh-CN" w:bidi="ar-SA"/>
    </w:rPr>
  </w:style>
  <w:style w:type="character" w:customStyle="1" w:styleId="184">
    <w:name w:val="标题 3 Char"/>
    <w:link w:val="4"/>
    <w:qFormat/>
    <w:uiPriority w:val="0"/>
    <w:rPr>
      <w:rFonts w:ascii="宋体" w:hAnsi="宋体" w:eastAsia="宋体" w:cs="宋体"/>
      <w:b/>
      <w:bCs/>
      <w:kern w:val="2"/>
      <w:sz w:val="32"/>
      <w:szCs w:val="32"/>
      <w:lang w:val="en-US" w:eastAsia="zh-CN" w:bidi="ar-SA"/>
    </w:rPr>
  </w:style>
  <w:style w:type="character" w:customStyle="1" w:styleId="185">
    <w:name w:val="报告正文 Char"/>
    <w:link w:val="9"/>
    <w:qFormat/>
    <w:uiPriority w:val="0"/>
    <w:rPr>
      <w:rFonts w:eastAsia="宋体"/>
      <w:color w:val="000000"/>
      <w:kern w:val="2"/>
      <w:sz w:val="24"/>
      <w:szCs w:val="24"/>
      <w:lang w:val="en-US" w:eastAsia="zh-CN" w:bidi="ar-SA"/>
    </w:rPr>
  </w:style>
  <w:style w:type="character" w:customStyle="1" w:styleId="186">
    <w:name w:val="A-表格 Char"/>
    <w:link w:val="187"/>
    <w:qFormat/>
    <w:uiPriority w:val="0"/>
    <w:rPr>
      <w:rFonts w:eastAsia="楷体_GB2312"/>
      <w:sz w:val="18"/>
      <w:szCs w:val="18"/>
      <w:lang w:val="zh-CN" w:bidi="ar-SA"/>
    </w:rPr>
  </w:style>
  <w:style w:type="paragraph" w:customStyle="1" w:styleId="187">
    <w:name w:val="A-表格"/>
    <w:basedOn w:val="1"/>
    <w:link w:val="186"/>
    <w:qFormat/>
    <w:uiPriority w:val="0"/>
    <w:pPr>
      <w:spacing w:beforeLines="50" w:afterLines="50" w:line="220" w:lineRule="exact"/>
      <w:jc w:val="center"/>
    </w:pPr>
    <w:rPr>
      <w:rFonts w:eastAsia="楷体_GB2312"/>
      <w:kern w:val="0"/>
      <w:sz w:val="18"/>
      <w:szCs w:val="18"/>
      <w:lang w:val="zh-CN"/>
    </w:rPr>
  </w:style>
  <w:style w:type="character" w:customStyle="1" w:styleId="188">
    <w:name w:val="a-表名 Char"/>
    <w:link w:val="189"/>
    <w:qFormat/>
    <w:locked/>
    <w:uiPriority w:val="0"/>
    <w:rPr>
      <w:rFonts w:eastAsia="仿宋"/>
      <w:b/>
      <w:color w:val="000000"/>
      <w:sz w:val="24"/>
      <w:szCs w:val="21"/>
      <w:lang w:val="en-US" w:eastAsia="zh-CN" w:bidi="ar-SA"/>
    </w:rPr>
  </w:style>
  <w:style w:type="paragraph" w:customStyle="1" w:styleId="189">
    <w:name w:val="a-表名"/>
    <w:link w:val="188"/>
    <w:qFormat/>
    <w:uiPriority w:val="0"/>
    <w:pPr>
      <w:adjustRightInd w:val="0"/>
      <w:snapToGrid w:val="0"/>
      <w:spacing w:line="360" w:lineRule="auto"/>
      <w:jc w:val="center"/>
    </w:pPr>
    <w:rPr>
      <w:rFonts w:ascii="Times New Roman" w:hAnsi="Times New Roman" w:eastAsia="仿宋" w:cs="Times New Roman"/>
      <w:b/>
      <w:color w:val="000000"/>
      <w:sz w:val="24"/>
      <w:szCs w:val="21"/>
      <w:lang w:val="en-US" w:eastAsia="zh-CN" w:bidi="ar-SA"/>
    </w:rPr>
  </w:style>
  <w:style w:type="character" w:customStyle="1" w:styleId="190">
    <w:name w:val="表中 Char"/>
    <w:link w:val="191"/>
    <w:qFormat/>
    <w:uiPriority w:val="0"/>
    <w:rPr>
      <w:rFonts w:eastAsia="宋体"/>
      <w:kern w:val="2"/>
      <w:sz w:val="21"/>
      <w:szCs w:val="24"/>
      <w:lang w:val="en-US" w:eastAsia="zh-CN" w:bidi="ar-SA"/>
    </w:rPr>
  </w:style>
  <w:style w:type="paragraph" w:customStyle="1" w:styleId="191">
    <w:name w:val="表中"/>
    <w:basedOn w:val="1"/>
    <w:link w:val="190"/>
    <w:qFormat/>
    <w:uiPriority w:val="0"/>
    <w:pPr>
      <w:adjustRightInd w:val="0"/>
      <w:snapToGrid w:val="0"/>
      <w:spacing w:line="240" w:lineRule="atLeast"/>
    </w:pPr>
  </w:style>
  <w:style w:type="character" w:customStyle="1" w:styleId="192">
    <w:name w:val="样式3 Char"/>
    <w:link w:val="193"/>
    <w:qFormat/>
    <w:uiPriority w:val="0"/>
    <w:rPr>
      <w:rFonts w:eastAsia="黑体"/>
      <w:kern w:val="44"/>
      <w:sz w:val="32"/>
      <w:szCs w:val="32"/>
      <w:lang w:val="en-US" w:eastAsia="zh-CN" w:bidi="ar-SA"/>
    </w:rPr>
  </w:style>
  <w:style w:type="paragraph" w:customStyle="1" w:styleId="193">
    <w:name w:val="样式3"/>
    <w:basedOn w:val="2"/>
    <w:link w:val="192"/>
    <w:qFormat/>
    <w:uiPriority w:val="0"/>
    <w:pPr>
      <w:adjustRightInd w:val="0"/>
      <w:spacing w:beforeLines="0" w:after="60" w:line="460" w:lineRule="atLeast"/>
      <w:ind w:left="425" w:hanging="425"/>
      <w:textAlignment w:val="baseline"/>
    </w:pPr>
    <w:rPr>
      <w:rFonts w:hint="default" w:ascii="Times New Roman" w:hAnsi="Times New Roman" w:eastAsia="黑体"/>
      <w:b w:val="0"/>
      <w:sz w:val="32"/>
      <w:szCs w:val="32"/>
    </w:rPr>
  </w:style>
  <w:style w:type="character" w:customStyle="1" w:styleId="194">
    <w:name w:val="样式 样式 正文@ + 首行缩进:  2 字符 + 首行缩进:  2 字符 Char"/>
    <w:link w:val="195"/>
    <w:qFormat/>
    <w:uiPriority w:val="0"/>
    <w:rPr>
      <w:rFonts w:ascii="宋体" w:hAnsi="宋体" w:eastAsia="宋体" w:cs="宋体"/>
      <w:kern w:val="2"/>
      <w:sz w:val="24"/>
      <w:lang w:val="en-US" w:eastAsia="zh-CN" w:bidi="ar-SA"/>
    </w:rPr>
  </w:style>
  <w:style w:type="paragraph" w:customStyle="1" w:styleId="195">
    <w:name w:val="样式 样式 正文@ + 首行缩进:  2 字符 + 首行缩进:  2 字符"/>
    <w:basedOn w:val="1"/>
    <w:link w:val="194"/>
    <w:qFormat/>
    <w:uiPriority w:val="0"/>
    <w:pPr>
      <w:spacing w:line="312" w:lineRule="auto"/>
      <w:ind w:firstLine="200" w:firstLineChars="200"/>
    </w:pPr>
    <w:rPr>
      <w:rFonts w:ascii="宋体" w:hAnsi="宋体" w:cs="宋体"/>
      <w:sz w:val="24"/>
      <w:szCs w:val="20"/>
    </w:rPr>
  </w:style>
  <w:style w:type="character" w:customStyle="1" w:styleId="196">
    <w:name w:val="热电厂正文 Char"/>
    <w:link w:val="197"/>
    <w:qFormat/>
    <w:uiPriority w:val="0"/>
    <w:rPr>
      <w:rFonts w:eastAsia="宋体"/>
      <w:kern w:val="2"/>
      <w:sz w:val="24"/>
      <w:szCs w:val="24"/>
      <w:lang w:val="en-US" w:eastAsia="zh-CN" w:bidi="ar-SA"/>
    </w:rPr>
  </w:style>
  <w:style w:type="paragraph" w:customStyle="1" w:styleId="197">
    <w:name w:val="热电厂正文"/>
    <w:basedOn w:val="1"/>
    <w:link w:val="196"/>
    <w:semiHidden/>
    <w:qFormat/>
    <w:uiPriority w:val="0"/>
    <w:pPr>
      <w:spacing w:line="440" w:lineRule="exact"/>
      <w:ind w:firstLine="480" w:firstLineChars="200"/>
    </w:pPr>
    <w:rPr>
      <w:sz w:val="24"/>
    </w:rPr>
  </w:style>
  <w:style w:type="character" w:customStyle="1" w:styleId="198">
    <w:name w:val="样式 样式 正文@ + 首行缩进:  2 字符 字距调整小四 紧缩量  0.2 磅 + 首行缩进:  2 字符 Char"/>
    <w:link w:val="199"/>
    <w:qFormat/>
    <w:uiPriority w:val="0"/>
    <w:rPr>
      <w:rFonts w:ascii="宋体" w:hAnsi="宋体"/>
      <w:kern w:val="24"/>
      <w:sz w:val="24"/>
      <w:szCs w:val="24"/>
      <w:lang w:bidi="ar-SA"/>
    </w:rPr>
  </w:style>
  <w:style w:type="paragraph" w:customStyle="1" w:styleId="199">
    <w:name w:val="样式 样式 正文@ + 首行缩进:  2 字符 字距调整小四 紧缩量  0.2 磅 + 首行缩进:  2 字符"/>
    <w:basedOn w:val="1"/>
    <w:link w:val="198"/>
    <w:qFormat/>
    <w:uiPriority w:val="0"/>
    <w:pPr>
      <w:spacing w:line="360" w:lineRule="auto"/>
      <w:ind w:firstLine="480" w:firstLineChars="200"/>
    </w:pPr>
    <w:rPr>
      <w:rFonts w:ascii="宋体" w:hAnsi="宋体"/>
      <w:kern w:val="24"/>
      <w:sz w:val="24"/>
    </w:rPr>
  </w:style>
  <w:style w:type="character" w:customStyle="1" w:styleId="200">
    <w:name w:val="mingcheng1"/>
    <w:basedOn w:val="57"/>
    <w:qFormat/>
    <w:uiPriority w:val="0"/>
  </w:style>
  <w:style w:type="character" w:customStyle="1" w:styleId="201">
    <w:name w:val="表头 Char"/>
    <w:link w:val="202"/>
    <w:qFormat/>
    <w:uiPriority w:val="0"/>
    <w:rPr>
      <w:rFonts w:ascii="黑体" w:eastAsia="黑体"/>
      <w:kern w:val="2"/>
      <w:sz w:val="24"/>
      <w:szCs w:val="24"/>
    </w:rPr>
  </w:style>
  <w:style w:type="paragraph" w:customStyle="1" w:styleId="202">
    <w:name w:val="表头"/>
    <w:basedOn w:val="49"/>
    <w:next w:val="50"/>
    <w:link w:val="201"/>
    <w:qFormat/>
    <w:uiPriority w:val="0"/>
    <w:pPr>
      <w:spacing w:line="360" w:lineRule="auto"/>
      <w:ind w:firstLine="300" w:firstLineChars="300"/>
    </w:pPr>
    <w:rPr>
      <w:rFonts w:hint="default" w:ascii="黑体" w:hAnsi="Times New Roman" w:eastAsia="黑体"/>
      <w:kern w:val="2"/>
      <w:sz w:val="24"/>
      <w:szCs w:val="24"/>
    </w:rPr>
  </w:style>
  <w:style w:type="character" w:customStyle="1" w:styleId="203">
    <w:name w:val="a-表内 Char"/>
    <w:link w:val="204"/>
    <w:qFormat/>
    <w:uiPriority w:val="0"/>
    <w:rPr>
      <w:rFonts w:eastAsia="Times New Roman"/>
      <w:color w:val="000000"/>
      <w:szCs w:val="21"/>
      <w:lang w:val="en-US" w:eastAsia="zh-CN" w:bidi="ar-SA"/>
    </w:rPr>
  </w:style>
  <w:style w:type="paragraph" w:customStyle="1" w:styleId="204">
    <w:name w:val="a-表内"/>
    <w:link w:val="203"/>
    <w:qFormat/>
    <w:uiPriority w:val="0"/>
    <w:pPr>
      <w:adjustRightInd w:val="0"/>
      <w:snapToGrid w:val="0"/>
      <w:jc w:val="center"/>
    </w:pPr>
    <w:rPr>
      <w:rFonts w:ascii="Times New Roman" w:hAnsi="Times New Roman" w:eastAsia="Times New Roman" w:cs="Times New Roman"/>
      <w:color w:val="000000"/>
      <w:szCs w:val="21"/>
      <w:lang w:val="en-US" w:eastAsia="zh-CN" w:bidi="ar-SA"/>
    </w:rPr>
  </w:style>
  <w:style w:type="character" w:customStyle="1" w:styleId="205">
    <w:name w:val="样式 正文文字 + 首行缩进:  2 字符 行距: 最小值 24 磅 Char"/>
    <w:link w:val="206"/>
    <w:qFormat/>
    <w:uiPriority w:val="0"/>
    <w:rPr>
      <w:rFonts w:ascii="宋体" w:hAnsi="宋体" w:cs="楷体"/>
      <w:kern w:val="2"/>
      <w:sz w:val="24"/>
    </w:rPr>
  </w:style>
  <w:style w:type="paragraph" w:customStyle="1" w:styleId="206">
    <w:name w:val="样式 正文文字 + 首行缩进:  2 字符 行距: 最小值 24 磅"/>
    <w:basedOn w:val="1"/>
    <w:link w:val="205"/>
    <w:qFormat/>
    <w:uiPriority w:val="0"/>
    <w:pPr>
      <w:adjustRightInd w:val="0"/>
      <w:snapToGrid w:val="0"/>
      <w:spacing w:line="480" w:lineRule="atLeast"/>
      <w:ind w:firstLine="480" w:firstLineChars="200"/>
    </w:pPr>
    <w:rPr>
      <w:rFonts w:ascii="宋体" w:hAnsi="宋体"/>
      <w:sz w:val="24"/>
      <w:szCs w:val="20"/>
    </w:rPr>
  </w:style>
  <w:style w:type="character" w:customStyle="1" w:styleId="207">
    <w:name w:val="题注 Char"/>
    <w:link w:val="17"/>
    <w:qFormat/>
    <w:uiPriority w:val="0"/>
    <w:rPr>
      <w:rFonts w:ascii="Cambria" w:hAnsi="Cambria" w:eastAsia="黑体"/>
      <w:kern w:val="2"/>
      <w:lang w:val="en-US" w:eastAsia="zh-CN" w:bidi="ar-SA"/>
    </w:rPr>
  </w:style>
  <w:style w:type="character" w:customStyle="1" w:styleId="208">
    <w:name w:val="标题 2 Char"/>
    <w:link w:val="3"/>
    <w:qFormat/>
    <w:uiPriority w:val="0"/>
    <w:rPr>
      <w:rFonts w:eastAsia="黑体"/>
      <w:kern w:val="2"/>
      <w:sz w:val="24"/>
      <w:szCs w:val="24"/>
      <w:lang w:val="en-US" w:eastAsia="zh-CN" w:bidi="ar-SA"/>
    </w:rPr>
  </w:style>
  <w:style w:type="character" w:customStyle="1" w:styleId="209">
    <w:name w:val="表标题 Char"/>
    <w:link w:val="210"/>
    <w:qFormat/>
    <w:uiPriority w:val="0"/>
    <w:rPr>
      <w:rFonts w:eastAsia="宋体"/>
      <w:b/>
      <w:snapToGrid w:val="0"/>
      <w:kern w:val="24"/>
      <w:sz w:val="24"/>
      <w:szCs w:val="24"/>
      <w:lang w:val="en-US" w:eastAsia="zh-CN" w:bidi="ar-SA"/>
    </w:rPr>
  </w:style>
  <w:style w:type="paragraph" w:customStyle="1" w:styleId="210">
    <w:name w:val="表标题"/>
    <w:basedOn w:val="1"/>
    <w:link w:val="209"/>
    <w:qFormat/>
    <w:uiPriority w:val="0"/>
    <w:pPr>
      <w:adjustRightInd w:val="0"/>
      <w:snapToGrid w:val="0"/>
      <w:spacing w:before="40" w:after="40" w:line="360" w:lineRule="auto"/>
      <w:jc w:val="center"/>
    </w:pPr>
    <w:rPr>
      <w:b/>
      <w:snapToGrid w:val="0"/>
      <w:kern w:val="24"/>
      <w:sz w:val="24"/>
    </w:rPr>
  </w:style>
  <w:style w:type="character" w:customStyle="1" w:styleId="211">
    <w:name w:val="页眉1 Char"/>
    <w:qFormat/>
    <w:uiPriority w:val="0"/>
    <w:rPr>
      <w:rFonts w:eastAsia="宋体"/>
      <w:kern w:val="2"/>
      <w:sz w:val="18"/>
      <w:szCs w:val="18"/>
      <w:lang w:val="en-US" w:eastAsia="zh-CN" w:bidi="ar-SA"/>
    </w:rPr>
  </w:style>
  <w:style w:type="character" w:customStyle="1" w:styleId="212">
    <w:name w:val="表头 Char Char"/>
    <w:qFormat/>
    <w:uiPriority w:val="0"/>
    <w:rPr>
      <w:rFonts w:hAnsi="宋体" w:eastAsia="宋体"/>
      <w:b/>
      <w:color w:val="000000"/>
      <w:spacing w:val="12"/>
      <w:sz w:val="28"/>
      <w:szCs w:val="28"/>
      <w:lang w:val="en-US" w:eastAsia="zh-CN" w:bidi="ar-SA"/>
    </w:rPr>
  </w:style>
  <w:style w:type="character" w:customStyle="1" w:styleId="213">
    <w:name w:val="页脚 Char1"/>
    <w:basedOn w:val="57"/>
    <w:link w:val="36"/>
    <w:qFormat/>
    <w:uiPriority w:val="0"/>
  </w:style>
  <w:style w:type="character" w:customStyle="1" w:styleId="214">
    <w:name w:val="标题3 字符"/>
    <w:qFormat/>
    <w:uiPriority w:val="0"/>
    <w:rPr>
      <w:rFonts w:ascii="Times New Roman" w:hAnsi="Times New Roman" w:eastAsia="宋体"/>
      <w:b/>
      <w:bCs/>
      <w:sz w:val="24"/>
      <w:szCs w:val="28"/>
    </w:rPr>
  </w:style>
  <w:style w:type="character" w:customStyle="1" w:styleId="215">
    <w:name w:val="font31"/>
    <w:qFormat/>
    <w:uiPriority w:val="0"/>
    <w:rPr>
      <w:rFonts w:hint="eastAsia" w:ascii="Times New Roman" w:hAnsi="Times New Roman" w:cs="Times New Roman"/>
      <w:color w:val="000000"/>
      <w:sz w:val="22"/>
      <w:szCs w:val="22"/>
      <w:u w:val="none"/>
    </w:rPr>
  </w:style>
  <w:style w:type="character" w:customStyle="1" w:styleId="216">
    <w:name w:val="Char Char3"/>
    <w:qFormat/>
    <w:uiPriority w:val="0"/>
    <w:rPr>
      <w:rFonts w:eastAsia="宋体"/>
      <w:kern w:val="2"/>
      <w:sz w:val="18"/>
      <w:lang w:val="en-US" w:eastAsia="zh-CN" w:bidi="ar-SA"/>
    </w:rPr>
  </w:style>
  <w:style w:type="character" w:customStyle="1" w:styleId="217">
    <w:name w:val="Char Char12"/>
    <w:qFormat/>
    <w:uiPriority w:val="0"/>
    <w:rPr>
      <w:rFonts w:eastAsia="宋体"/>
      <w:kern w:val="2"/>
      <w:sz w:val="21"/>
      <w:lang w:val="en-US" w:eastAsia="zh-CN" w:bidi="ar-SA"/>
    </w:rPr>
  </w:style>
  <w:style w:type="character" w:customStyle="1" w:styleId="218">
    <w:name w:val="Char Char13"/>
    <w:qFormat/>
    <w:uiPriority w:val="0"/>
    <w:rPr>
      <w:rFonts w:eastAsia="宋体"/>
      <w:kern w:val="2"/>
      <w:sz w:val="18"/>
      <w:szCs w:val="18"/>
      <w:lang w:val="en-US" w:eastAsia="zh-CN" w:bidi="ar-SA"/>
    </w:rPr>
  </w:style>
  <w:style w:type="character" w:customStyle="1" w:styleId="219">
    <w:name w:val="批注文字 Char"/>
    <w:semiHidden/>
    <w:qFormat/>
    <w:uiPriority w:val="0"/>
    <w:rPr>
      <w:kern w:val="2"/>
      <w:sz w:val="21"/>
    </w:rPr>
  </w:style>
  <w:style w:type="character" w:customStyle="1" w:styleId="220">
    <w:name w:val="页眉 Char2"/>
    <w:basedOn w:val="57"/>
    <w:link w:val="24"/>
    <w:qFormat/>
    <w:uiPriority w:val="0"/>
  </w:style>
  <w:style w:type="character" w:customStyle="1" w:styleId="221">
    <w:name w:val="Default Char"/>
    <w:link w:val="137"/>
    <w:qFormat/>
    <w:uiPriority w:val="0"/>
    <w:rPr>
      <w:rFonts w:ascii="宋体" w:cs="宋体"/>
      <w:color w:val="000000"/>
      <w:sz w:val="24"/>
      <w:szCs w:val="24"/>
      <w:lang w:val="en-US" w:eastAsia="zh-CN" w:bidi="ar-SA"/>
    </w:rPr>
  </w:style>
  <w:style w:type="character" w:customStyle="1" w:styleId="222">
    <w:name w:val="图表 Char"/>
    <w:link w:val="223"/>
    <w:qFormat/>
    <w:uiPriority w:val="0"/>
    <w:rPr>
      <w:rFonts w:ascii="Calibri" w:hAnsi="宋体" w:eastAsia="仿宋_GB2312"/>
      <w:b/>
      <w:kern w:val="2"/>
      <w:sz w:val="24"/>
      <w:szCs w:val="24"/>
      <w:lang w:val="en-US" w:eastAsia="zh-CN" w:bidi="ar-SA"/>
    </w:rPr>
  </w:style>
  <w:style w:type="paragraph" w:customStyle="1" w:styleId="223">
    <w:name w:val="图表"/>
    <w:basedOn w:val="1"/>
    <w:link w:val="222"/>
    <w:semiHidden/>
    <w:qFormat/>
    <w:uiPriority w:val="0"/>
    <w:pPr>
      <w:spacing w:line="480" w:lineRule="exact"/>
      <w:jc w:val="center"/>
    </w:pPr>
    <w:rPr>
      <w:rFonts w:ascii="Calibri" w:hAnsi="宋体" w:eastAsia="仿宋_GB2312"/>
      <w:b/>
      <w:sz w:val="24"/>
    </w:rPr>
  </w:style>
  <w:style w:type="character" w:customStyle="1" w:styleId="224">
    <w:name w:val="正文小四首缩1.3行距 Char Char"/>
    <w:link w:val="225"/>
    <w:qFormat/>
    <w:uiPriority w:val="0"/>
    <w:rPr>
      <w:rFonts w:eastAsia="宋体"/>
      <w:kern w:val="2"/>
      <w:sz w:val="24"/>
      <w:szCs w:val="24"/>
      <w:lang w:val="en-US" w:eastAsia="zh-CN" w:bidi="ar-SA"/>
    </w:rPr>
  </w:style>
  <w:style w:type="paragraph" w:customStyle="1" w:styleId="225">
    <w:name w:val="正文小四首缩1.3行距"/>
    <w:basedOn w:val="1"/>
    <w:link w:val="224"/>
    <w:qFormat/>
    <w:uiPriority w:val="0"/>
    <w:pPr>
      <w:spacing w:line="312" w:lineRule="auto"/>
      <w:ind w:firstLine="420" w:firstLineChars="200"/>
    </w:pPr>
    <w:rPr>
      <w:sz w:val="24"/>
    </w:rPr>
  </w:style>
  <w:style w:type="character" w:customStyle="1" w:styleId="226">
    <w:name w:val="标题 1 Char Char Char"/>
    <w:qFormat/>
    <w:uiPriority w:val="0"/>
    <w:rPr>
      <w:rFonts w:ascii="宋体" w:hAnsi="宋体"/>
      <w:bCs/>
      <w:sz w:val="28"/>
    </w:rPr>
  </w:style>
  <w:style w:type="character" w:customStyle="1" w:styleId="227">
    <w:name w:val="apple-converted-space"/>
    <w:basedOn w:val="57"/>
    <w:qFormat/>
    <w:uiPriority w:val="0"/>
  </w:style>
  <w:style w:type="character" w:customStyle="1" w:styleId="228">
    <w:name w:val="正文缩进 Char1"/>
    <w:link w:val="7"/>
    <w:qFormat/>
    <w:uiPriority w:val="0"/>
    <w:rPr>
      <w:rFonts w:eastAsia="宋体"/>
      <w:kern w:val="2"/>
      <w:sz w:val="21"/>
      <w:lang w:val="en-US" w:eastAsia="zh-CN" w:bidi="ar-SA"/>
    </w:rPr>
  </w:style>
  <w:style w:type="character" w:customStyle="1" w:styleId="229">
    <w:name w:val="font01"/>
    <w:qFormat/>
    <w:uiPriority w:val="0"/>
    <w:rPr>
      <w:rFonts w:hint="eastAsia" w:ascii="宋体" w:hAnsi="宋体" w:eastAsia="宋体" w:cs="宋体"/>
      <w:color w:val="000000"/>
      <w:sz w:val="24"/>
      <w:szCs w:val="24"/>
      <w:u w:val="none"/>
    </w:rPr>
  </w:style>
  <w:style w:type="character" w:customStyle="1" w:styleId="230">
    <w:name w:val="headline-1-index"/>
    <w:qFormat/>
    <w:uiPriority w:val="0"/>
  </w:style>
  <w:style w:type="character" w:customStyle="1" w:styleId="231">
    <w:name w:val="t1"/>
    <w:qFormat/>
    <w:uiPriority w:val="0"/>
    <w:rPr>
      <w:sz w:val="21"/>
      <w:szCs w:val="21"/>
    </w:rPr>
  </w:style>
  <w:style w:type="character" w:customStyle="1" w:styleId="232">
    <w:name w:val="文本正文 Char"/>
    <w:basedOn w:val="57"/>
    <w:link w:val="233"/>
    <w:qFormat/>
    <w:uiPriority w:val="0"/>
    <w:rPr>
      <w:rFonts w:eastAsia="宋体"/>
      <w:szCs w:val="28"/>
      <w:lang w:val="en-US" w:eastAsia="zh-CN" w:bidi="ar-SA"/>
    </w:rPr>
  </w:style>
  <w:style w:type="paragraph" w:customStyle="1" w:styleId="233">
    <w:name w:val="文本正文"/>
    <w:basedOn w:val="1"/>
    <w:link w:val="232"/>
    <w:qFormat/>
    <w:uiPriority w:val="0"/>
    <w:pPr>
      <w:adjustRightInd w:val="0"/>
      <w:spacing w:line="360" w:lineRule="auto"/>
      <w:ind w:firstLine="599" w:firstLineChars="214"/>
      <w:jc w:val="left"/>
      <w:textAlignment w:val="baseline"/>
    </w:pPr>
    <w:rPr>
      <w:rFonts w:ascii="宋体" w:hAnsi="宋体" w:cs="宋体"/>
      <w:kern w:val="0"/>
      <w:sz w:val="24"/>
      <w:szCs w:val="28"/>
    </w:rPr>
  </w:style>
  <w:style w:type="character" w:customStyle="1" w:styleId="234">
    <w:name w:val="正文（宋小四24） Char"/>
    <w:link w:val="235"/>
    <w:qFormat/>
    <w:uiPriority w:val="0"/>
    <w:rPr>
      <w:rFonts w:ascii="宋体" w:hAnsi="宋体"/>
      <w:sz w:val="24"/>
      <w:lang w:bidi="ar-SA"/>
    </w:rPr>
  </w:style>
  <w:style w:type="paragraph" w:customStyle="1" w:styleId="235">
    <w:name w:val="正文（宋小四24）"/>
    <w:basedOn w:val="33"/>
    <w:link w:val="234"/>
    <w:qFormat/>
    <w:uiPriority w:val="0"/>
    <w:pPr>
      <w:spacing w:beforeLines="50" w:afterLines="50" w:line="480" w:lineRule="exact"/>
      <w:ind w:left="0" w:leftChars="0" w:firstLine="480" w:firstLineChars="200"/>
    </w:pPr>
    <w:rPr>
      <w:rFonts w:ascii="宋体" w:hAnsi="宋体"/>
      <w:kern w:val="0"/>
      <w:sz w:val="24"/>
      <w:szCs w:val="20"/>
    </w:rPr>
  </w:style>
  <w:style w:type="character" w:customStyle="1" w:styleId="236">
    <w:name w:val="表格 Char Char"/>
    <w:qFormat/>
    <w:uiPriority w:val="0"/>
    <w:rPr>
      <w:rFonts w:eastAsia="宋体"/>
      <w:kern w:val="2"/>
      <w:sz w:val="21"/>
      <w:szCs w:val="24"/>
      <w:lang w:val="en-US" w:eastAsia="zh-CN" w:bidi="ar-SA"/>
    </w:rPr>
  </w:style>
  <w:style w:type="character" w:customStyle="1" w:styleId="237">
    <w:name w:val="样式3（代正文） Char Char"/>
    <w:qFormat/>
    <w:uiPriority w:val="0"/>
    <w:rPr>
      <w:rFonts w:ascii="宋体" w:hAnsi="宋体" w:eastAsia="宋体"/>
      <w:snapToGrid w:val="0"/>
      <w:color w:val="000000"/>
      <w:sz w:val="28"/>
      <w:szCs w:val="28"/>
      <w:lang w:val="en-US" w:eastAsia="zh-CN" w:bidi="ar-SA"/>
    </w:rPr>
  </w:style>
  <w:style w:type="character" w:customStyle="1" w:styleId="238">
    <w:name w:val="aa1"/>
    <w:qFormat/>
    <w:uiPriority w:val="0"/>
    <w:rPr>
      <w:rFonts w:hint="eastAsia" w:ascii="宋体" w:hAnsi="宋体" w:eastAsia="宋体"/>
      <w:color w:val="000000"/>
      <w:sz w:val="28"/>
      <w:szCs w:val="28"/>
    </w:rPr>
  </w:style>
  <w:style w:type="character" w:customStyle="1" w:styleId="239">
    <w:name w:val="标题 6 Char"/>
    <w:link w:val="10"/>
    <w:qFormat/>
    <w:uiPriority w:val="0"/>
    <w:rPr>
      <w:rFonts w:eastAsia="宋体"/>
      <w:color w:val="000000"/>
      <w:kern w:val="2"/>
      <w:sz w:val="24"/>
      <w:szCs w:val="24"/>
      <w:lang w:val="en-US" w:eastAsia="zh-CN" w:bidi="ar-SA"/>
    </w:rPr>
  </w:style>
  <w:style w:type="character" w:customStyle="1" w:styleId="240">
    <w:name w:val="2级标题2 Char"/>
    <w:link w:val="241"/>
    <w:qFormat/>
    <w:uiPriority w:val="0"/>
    <w:rPr>
      <w:rFonts w:ascii="宋体" w:hAnsi="Calibri" w:eastAsia="仿宋_GB2312" w:cs="宋体"/>
      <w:b/>
      <w:color w:val="000000"/>
      <w:sz w:val="30"/>
      <w:szCs w:val="30"/>
      <w:lang w:val="en-US" w:eastAsia="zh-CN" w:bidi="ar-SA"/>
    </w:rPr>
  </w:style>
  <w:style w:type="paragraph" w:customStyle="1" w:styleId="241">
    <w:name w:val="2级标题2"/>
    <w:basedOn w:val="1"/>
    <w:link w:val="240"/>
    <w:semiHidden/>
    <w:qFormat/>
    <w:uiPriority w:val="0"/>
    <w:pPr>
      <w:autoSpaceDE w:val="0"/>
      <w:autoSpaceDN w:val="0"/>
      <w:adjustRightInd w:val="0"/>
      <w:spacing w:line="480" w:lineRule="exact"/>
      <w:jc w:val="left"/>
      <w:outlineLvl w:val="1"/>
    </w:pPr>
    <w:rPr>
      <w:rFonts w:ascii="宋体" w:hAnsi="Calibri" w:eastAsia="仿宋_GB2312" w:cs="宋体"/>
      <w:b/>
      <w:color w:val="000000"/>
      <w:kern w:val="0"/>
      <w:sz w:val="30"/>
      <w:szCs w:val="30"/>
    </w:rPr>
  </w:style>
  <w:style w:type="character" w:customStyle="1" w:styleId="242">
    <w:name w:val="不明显强调1"/>
    <w:qFormat/>
    <w:uiPriority w:val="0"/>
    <w:rPr>
      <w:i/>
      <w:iCs/>
      <w:color w:val="808080"/>
    </w:rPr>
  </w:style>
  <w:style w:type="character" w:customStyle="1" w:styleId="243">
    <w:name w:val="表 Char"/>
    <w:link w:val="244"/>
    <w:qFormat/>
    <w:uiPriority w:val="0"/>
    <w:rPr>
      <w:rFonts w:eastAsia="宋体"/>
      <w:sz w:val="21"/>
      <w:szCs w:val="24"/>
      <w:lang w:val="en-US" w:eastAsia="zh-CN" w:bidi="ar-SA"/>
    </w:rPr>
  </w:style>
  <w:style w:type="paragraph" w:customStyle="1" w:styleId="244">
    <w:name w:val="表"/>
    <w:basedOn w:val="1"/>
    <w:link w:val="243"/>
    <w:qFormat/>
    <w:uiPriority w:val="0"/>
    <w:pPr>
      <w:spacing w:line="320" w:lineRule="exact"/>
      <w:jc w:val="left"/>
    </w:pPr>
    <w:rPr>
      <w:kern w:val="0"/>
    </w:rPr>
  </w:style>
  <w:style w:type="character" w:customStyle="1" w:styleId="245">
    <w:name w:val="纯文本 Char1 Char"/>
    <w:qFormat/>
    <w:uiPriority w:val="0"/>
    <w:rPr>
      <w:rFonts w:ascii="宋体" w:hAnsi="宋体" w:eastAsia="宋体"/>
      <w:bCs/>
      <w:color w:val="000000"/>
      <w:kern w:val="2"/>
      <w:sz w:val="24"/>
      <w:szCs w:val="21"/>
      <w:lang w:val="en-US" w:eastAsia="zh-CN" w:bidi="ar-SA"/>
    </w:rPr>
  </w:style>
  <w:style w:type="character" w:customStyle="1" w:styleId="246">
    <w:name w:val="样式1 Char"/>
    <w:link w:val="247"/>
    <w:qFormat/>
    <w:uiPriority w:val="0"/>
    <w:rPr>
      <w:rFonts w:ascii="Arial" w:hAnsi="Arial" w:eastAsia="宋体"/>
      <w:snapToGrid w:val="0"/>
      <w:sz w:val="24"/>
      <w:szCs w:val="24"/>
      <w:lang w:val="en-US" w:eastAsia="zh-CN" w:bidi="ar-SA"/>
    </w:rPr>
  </w:style>
  <w:style w:type="paragraph" w:customStyle="1" w:styleId="247">
    <w:name w:val="样式1"/>
    <w:basedOn w:val="1"/>
    <w:link w:val="246"/>
    <w:qFormat/>
    <w:uiPriority w:val="0"/>
    <w:pPr>
      <w:widowControl/>
      <w:spacing w:line="440" w:lineRule="exact"/>
      <w:ind w:firstLine="200" w:firstLineChars="200"/>
    </w:pPr>
    <w:rPr>
      <w:rFonts w:ascii="Arial" w:hAnsi="Arial"/>
      <w:snapToGrid w:val="0"/>
      <w:kern w:val="0"/>
      <w:sz w:val="24"/>
    </w:rPr>
  </w:style>
  <w:style w:type="character" w:customStyle="1" w:styleId="248">
    <w:name w:val="正文缩进2 Char Char Char Char Char Char Cha"/>
    <w:qFormat/>
    <w:uiPriority w:val="0"/>
    <w:rPr>
      <w:rFonts w:ascii="宋体" w:eastAsia="宋体"/>
      <w:kern w:val="2"/>
      <w:sz w:val="24"/>
      <w:szCs w:val="24"/>
      <w:lang w:val="en-US" w:eastAsia="zh-CN" w:bidi="ar-SA"/>
    </w:rPr>
  </w:style>
  <w:style w:type="character" w:customStyle="1" w:styleId="249">
    <w:name w:val="页眉 Char1"/>
    <w:qFormat/>
    <w:uiPriority w:val="0"/>
    <w:rPr>
      <w:rFonts w:eastAsia="宋体"/>
      <w:kern w:val="2"/>
      <w:sz w:val="18"/>
      <w:lang w:val="en-US" w:eastAsia="zh-CN" w:bidi="ar-SA"/>
    </w:rPr>
  </w:style>
  <w:style w:type="character" w:customStyle="1" w:styleId="250">
    <w:name w:val="标题 1 Char1"/>
    <w:link w:val="2"/>
    <w:qFormat/>
    <w:uiPriority w:val="0"/>
    <w:rPr>
      <w:rFonts w:hint="eastAsia" w:ascii="宋体" w:hAnsi="宋体" w:eastAsia="宋体" w:cs="宋体"/>
      <w:b/>
      <w:kern w:val="44"/>
      <w:sz w:val="44"/>
      <w:szCs w:val="44"/>
    </w:rPr>
  </w:style>
  <w:style w:type="character" w:customStyle="1" w:styleId="251">
    <w:name w:val="热电厂正文 Char Char Char Char Char"/>
    <w:link w:val="252"/>
    <w:qFormat/>
    <w:uiPriority w:val="0"/>
    <w:rPr>
      <w:rFonts w:eastAsia="宋体"/>
      <w:kern w:val="2"/>
      <w:sz w:val="24"/>
      <w:szCs w:val="24"/>
      <w:lang w:val="en-US" w:eastAsia="zh-CN" w:bidi="ar-SA"/>
    </w:rPr>
  </w:style>
  <w:style w:type="paragraph" w:customStyle="1" w:styleId="252">
    <w:name w:val="热电厂正文 Char Char Char Char"/>
    <w:basedOn w:val="1"/>
    <w:link w:val="251"/>
    <w:semiHidden/>
    <w:qFormat/>
    <w:uiPriority w:val="0"/>
    <w:pPr>
      <w:spacing w:line="440" w:lineRule="exact"/>
      <w:ind w:firstLine="480" w:firstLineChars="200"/>
    </w:pPr>
    <w:rPr>
      <w:sz w:val="24"/>
    </w:rPr>
  </w:style>
  <w:style w:type="character" w:customStyle="1" w:styleId="253">
    <w:name w:val="页眉 Char"/>
    <w:qFormat/>
    <w:uiPriority w:val="0"/>
    <w:rPr>
      <w:rFonts w:ascii="宋体" w:hAnsi="宋体" w:eastAsia="宋体"/>
      <w:kern w:val="2"/>
      <w:sz w:val="18"/>
      <w:lang w:val="en-US" w:eastAsia="zh-CN" w:bidi="ar-SA"/>
    </w:rPr>
  </w:style>
  <w:style w:type="character" w:customStyle="1" w:styleId="254">
    <w:name w:val="正文文本缩进 21"/>
    <w:qFormat/>
    <w:uiPriority w:val="0"/>
    <w:rPr>
      <w:rFonts w:ascii="宋体" w:hAnsi="Matisse ITC" w:eastAsia="宋体"/>
      <w:sz w:val="28"/>
      <w:lang w:val="en-US" w:eastAsia="zh-CN" w:bidi="ar-SA"/>
    </w:rPr>
  </w:style>
  <w:style w:type="character" w:customStyle="1" w:styleId="255">
    <w:name w:val="3级标题3 Char"/>
    <w:link w:val="256"/>
    <w:qFormat/>
    <w:uiPriority w:val="0"/>
    <w:rPr>
      <w:rFonts w:ascii="宋体" w:hAnsi="Calibri" w:eastAsia="仿宋_GB2312" w:cs="宋体"/>
      <w:b/>
      <w:color w:val="000000"/>
      <w:sz w:val="28"/>
      <w:szCs w:val="28"/>
      <w:lang w:val="en-US" w:eastAsia="zh-CN" w:bidi="ar-SA"/>
    </w:rPr>
  </w:style>
  <w:style w:type="paragraph" w:customStyle="1" w:styleId="256">
    <w:name w:val="3级标题3"/>
    <w:basedOn w:val="1"/>
    <w:link w:val="255"/>
    <w:semiHidden/>
    <w:qFormat/>
    <w:uiPriority w:val="0"/>
    <w:pPr>
      <w:autoSpaceDE w:val="0"/>
      <w:autoSpaceDN w:val="0"/>
      <w:adjustRightInd w:val="0"/>
      <w:spacing w:line="480" w:lineRule="exact"/>
      <w:jc w:val="left"/>
      <w:outlineLvl w:val="2"/>
    </w:pPr>
    <w:rPr>
      <w:rFonts w:ascii="宋体" w:hAnsi="Calibri" w:eastAsia="仿宋_GB2312" w:cs="宋体"/>
      <w:b/>
      <w:color w:val="000000"/>
      <w:kern w:val="0"/>
      <w:sz w:val="28"/>
      <w:szCs w:val="28"/>
    </w:rPr>
  </w:style>
  <w:style w:type="character" w:customStyle="1" w:styleId="257">
    <w:name w:val="apple-style-span"/>
    <w:qFormat/>
    <w:uiPriority w:val="0"/>
  </w:style>
  <w:style w:type="character" w:customStyle="1" w:styleId="258">
    <w:name w:val="环评正文 Char"/>
    <w:link w:val="259"/>
    <w:qFormat/>
    <w:uiPriority w:val="0"/>
    <w:rPr>
      <w:rFonts w:ascii="Cambria Math" w:hAnsi="Cambria Math" w:eastAsia="宋体" w:cs="Cambria Math"/>
      <w:kern w:val="2"/>
      <w:sz w:val="24"/>
      <w:szCs w:val="24"/>
      <w:lang w:val="en-US" w:eastAsia="zh-CN" w:bidi="ar-SA"/>
    </w:rPr>
  </w:style>
  <w:style w:type="paragraph" w:customStyle="1" w:styleId="259">
    <w:name w:val="环评正文"/>
    <w:basedOn w:val="1"/>
    <w:link w:val="258"/>
    <w:qFormat/>
    <w:uiPriority w:val="0"/>
    <w:pPr>
      <w:spacing w:line="360" w:lineRule="auto"/>
      <w:ind w:firstLine="200" w:firstLineChars="200"/>
    </w:pPr>
    <w:rPr>
      <w:rFonts w:ascii="Cambria Math" w:hAnsi="Cambria Math" w:cs="Cambria Math"/>
      <w:sz w:val="24"/>
    </w:rPr>
  </w:style>
  <w:style w:type="character" w:customStyle="1" w:styleId="260">
    <w:name w:val="正文文本 (15)_"/>
    <w:link w:val="261"/>
    <w:qFormat/>
    <w:uiPriority w:val="0"/>
    <w:rPr>
      <w:rFonts w:ascii="MingLiU" w:hAnsi="MingLiU" w:eastAsia="MingLiU"/>
      <w:sz w:val="17"/>
      <w:szCs w:val="17"/>
      <w:shd w:val="clear" w:color="auto" w:fill="FFFFFF"/>
      <w:lang w:bidi="ar-SA"/>
    </w:rPr>
  </w:style>
  <w:style w:type="paragraph" w:customStyle="1" w:styleId="261">
    <w:name w:val="正文文本 (15)"/>
    <w:basedOn w:val="1"/>
    <w:link w:val="260"/>
    <w:qFormat/>
    <w:uiPriority w:val="0"/>
    <w:pPr>
      <w:widowControl/>
      <w:shd w:val="clear" w:color="auto" w:fill="FFFFFF"/>
      <w:spacing w:line="0" w:lineRule="atLeast"/>
      <w:jc w:val="left"/>
    </w:pPr>
    <w:rPr>
      <w:rFonts w:ascii="MingLiU" w:hAnsi="MingLiU" w:eastAsia="MingLiU"/>
      <w:kern w:val="0"/>
      <w:sz w:val="17"/>
      <w:szCs w:val="17"/>
      <w:shd w:val="clear" w:color="auto" w:fill="FFFFFF"/>
    </w:rPr>
  </w:style>
  <w:style w:type="character" w:customStyle="1" w:styleId="262">
    <w:name w:val="页脚 Char"/>
    <w:qFormat/>
    <w:uiPriority w:val="0"/>
    <w:rPr>
      <w:rFonts w:eastAsia="宋体"/>
      <w:kern w:val="2"/>
      <w:sz w:val="18"/>
      <w:lang w:val="en-US" w:eastAsia="zh-CN" w:bidi="ar-SA"/>
    </w:rPr>
  </w:style>
  <w:style w:type="paragraph" w:customStyle="1" w:styleId="263">
    <w:name w:val="z-窗体顶端1"/>
    <w:basedOn w:val="1"/>
    <w:next w:val="1"/>
    <w:qFormat/>
    <w:uiPriority w:val="0"/>
    <w:pPr>
      <w:widowControl/>
      <w:pBdr>
        <w:bottom w:val="single" w:color="auto" w:sz="6" w:space="1"/>
      </w:pBdr>
      <w:jc w:val="center"/>
    </w:pPr>
    <w:rPr>
      <w:rFonts w:ascii="Arial" w:hAnsi="Arial" w:cs="Arial"/>
      <w:vanish/>
      <w:kern w:val="0"/>
      <w:sz w:val="16"/>
      <w:szCs w:val="16"/>
    </w:rPr>
  </w:style>
  <w:style w:type="paragraph" w:customStyle="1" w:styleId="264">
    <w:name w:val="样式 正文1 + 段前: 0.1 行"/>
    <w:basedOn w:val="1"/>
    <w:qFormat/>
    <w:uiPriority w:val="0"/>
    <w:pPr>
      <w:snapToGrid w:val="0"/>
      <w:spacing w:beforeLines="10" w:line="440" w:lineRule="atLeast"/>
      <w:ind w:firstLine="567"/>
    </w:pPr>
    <w:rPr>
      <w:sz w:val="24"/>
      <w:szCs w:val="20"/>
    </w:rPr>
  </w:style>
  <w:style w:type="paragraph" w:customStyle="1" w:styleId="265">
    <w:name w:val="图用行距"/>
    <w:basedOn w:val="9"/>
    <w:qFormat/>
    <w:uiPriority w:val="0"/>
    <w:pPr>
      <w:keepNext/>
      <w:spacing w:line="480" w:lineRule="atLeast"/>
      <w:jc w:val="center"/>
    </w:pPr>
  </w:style>
  <w:style w:type="paragraph" w:customStyle="1" w:styleId="266">
    <w:name w:val="报告书"/>
    <w:basedOn w:val="1"/>
    <w:qFormat/>
    <w:uiPriority w:val="0"/>
    <w:pPr>
      <w:spacing w:line="360" w:lineRule="auto"/>
      <w:ind w:firstLine="482"/>
    </w:pPr>
    <w:rPr>
      <w:sz w:val="24"/>
    </w:rPr>
  </w:style>
  <w:style w:type="paragraph" w:customStyle="1" w:styleId="267">
    <w:name w:val="表1表2"/>
    <w:basedOn w:val="1"/>
    <w:qFormat/>
    <w:uiPriority w:val="0"/>
    <w:pPr>
      <w:autoSpaceDE w:val="0"/>
      <w:autoSpaceDN w:val="0"/>
      <w:adjustRightInd w:val="0"/>
      <w:jc w:val="center"/>
      <w:textAlignment w:val="center"/>
    </w:pPr>
    <w:rPr>
      <w:kern w:val="0"/>
      <w:szCs w:val="20"/>
    </w:rPr>
  </w:style>
  <w:style w:type="paragraph" w:customStyle="1" w:styleId="268">
    <w:name w:val="二级无标题条"/>
    <w:basedOn w:val="1"/>
    <w:qFormat/>
    <w:uiPriority w:val="0"/>
  </w:style>
  <w:style w:type="paragraph" w:customStyle="1" w:styleId="269">
    <w:name w:val="正文（首行缩进两字） Char Char Char"/>
    <w:basedOn w:val="1"/>
    <w:next w:val="7"/>
    <w:qFormat/>
    <w:uiPriority w:val="0"/>
    <w:pPr>
      <w:spacing w:line="440" w:lineRule="exact"/>
      <w:ind w:firstLine="200" w:firstLineChars="200"/>
    </w:pPr>
    <w:rPr>
      <w:rFonts w:ascii="Arial" w:hAnsi="Arial"/>
      <w:snapToGrid w:val="0"/>
      <w:sz w:val="24"/>
    </w:rPr>
  </w:style>
  <w:style w:type="paragraph" w:customStyle="1" w:styleId="270">
    <w:name w:val="wtext"/>
    <w:basedOn w:val="1"/>
    <w:qFormat/>
    <w:uiPriority w:val="0"/>
    <w:pPr>
      <w:widowControl/>
      <w:spacing w:before="100" w:beforeAutospacing="1" w:after="100" w:afterAutospacing="1"/>
      <w:jc w:val="left"/>
    </w:pPr>
    <w:rPr>
      <w:rFonts w:ascii="宋体" w:hAnsi="宋体"/>
      <w:color w:val="000000"/>
      <w:kern w:val="0"/>
      <w:sz w:val="24"/>
    </w:rPr>
  </w:style>
  <w:style w:type="paragraph" w:customStyle="1" w:styleId="271">
    <w:name w:val="2.1.1"/>
    <w:basedOn w:val="1"/>
    <w:qFormat/>
    <w:uiPriority w:val="0"/>
    <w:rPr>
      <w:sz w:val="24"/>
      <w:szCs w:val="20"/>
    </w:rPr>
  </w:style>
  <w:style w:type="paragraph" w:customStyle="1" w:styleId="272">
    <w:name w:val="p21"/>
    <w:basedOn w:val="1"/>
    <w:qFormat/>
    <w:uiPriority w:val="0"/>
    <w:pPr>
      <w:widowControl/>
      <w:jc w:val="left"/>
    </w:pPr>
    <w:rPr>
      <w:kern w:val="0"/>
      <w:szCs w:val="21"/>
    </w:rPr>
  </w:style>
  <w:style w:type="paragraph" w:customStyle="1" w:styleId="273">
    <w:name w:val="LT表内容"/>
    <w:basedOn w:val="1"/>
    <w:qFormat/>
    <w:uiPriority w:val="0"/>
    <w:pPr>
      <w:jc w:val="center"/>
    </w:pPr>
    <w:rPr>
      <w:snapToGrid w:val="0"/>
      <w:kern w:val="28"/>
    </w:rPr>
  </w:style>
  <w:style w:type="paragraph" w:customStyle="1" w:styleId="274">
    <w:name w:val="样式 标题 2 + (西文) Times New Roman (中文) 宋体 小三 段前: 6 磅 段后: 6 磅 行..."/>
    <w:basedOn w:val="4"/>
    <w:qFormat/>
    <w:uiPriority w:val="0"/>
    <w:pPr>
      <w:tabs>
        <w:tab w:val="left" w:pos="780"/>
        <w:tab w:val="left" w:pos="1155"/>
        <w:tab w:val="left" w:pos="1820"/>
      </w:tabs>
      <w:adjustRightInd w:val="0"/>
      <w:snapToGrid w:val="0"/>
      <w:spacing w:beforeLines="50" w:after="0" w:line="480" w:lineRule="exact"/>
      <w:ind w:left="1820" w:hanging="420"/>
      <w:jc w:val="left"/>
    </w:pPr>
    <w:rPr>
      <w:rFonts w:ascii="黑体" w:eastAsia="黑体"/>
      <w:b w:val="0"/>
      <w:sz w:val="24"/>
      <w:szCs w:val="24"/>
    </w:rPr>
  </w:style>
  <w:style w:type="paragraph" w:customStyle="1" w:styleId="275">
    <w:name w:val="p16"/>
    <w:basedOn w:val="1"/>
    <w:qFormat/>
    <w:uiPriority w:val="0"/>
    <w:pPr>
      <w:widowControl/>
      <w:snapToGrid w:val="0"/>
      <w:spacing w:line="560" w:lineRule="atLeast"/>
      <w:ind w:firstLine="420"/>
      <w:jc w:val="left"/>
    </w:pPr>
    <w:rPr>
      <w:rFonts w:ascii="宋体" w:hAnsi="宋体" w:cs="宋体"/>
      <w:color w:val="000000"/>
      <w:kern w:val="0"/>
      <w:sz w:val="28"/>
      <w:szCs w:val="28"/>
    </w:rPr>
  </w:style>
  <w:style w:type="paragraph" w:customStyle="1" w:styleId="276">
    <w:name w:val="正文B"/>
    <w:basedOn w:val="1"/>
    <w:qFormat/>
    <w:uiPriority w:val="0"/>
    <w:pPr>
      <w:spacing w:line="540" w:lineRule="exact"/>
      <w:ind w:firstLine="480" w:firstLineChars="200"/>
    </w:pPr>
    <w:rPr>
      <w:rFonts w:cs="宋体"/>
      <w:sz w:val="24"/>
    </w:rPr>
  </w:style>
  <w:style w:type="paragraph" w:customStyle="1" w:styleId="277">
    <w:name w:val="Char Char11 Char Char"/>
    <w:basedOn w:val="1"/>
    <w:next w:val="1"/>
    <w:qFormat/>
    <w:uiPriority w:val="0"/>
    <w:pPr>
      <w:spacing w:line="360" w:lineRule="auto"/>
      <w:ind w:firstLine="200" w:firstLineChars="200"/>
    </w:pPr>
    <w:rPr>
      <w:rFonts w:ascii="宋体" w:hAnsi="宋体" w:cs="宋体"/>
      <w:sz w:val="24"/>
    </w:rPr>
  </w:style>
  <w:style w:type="paragraph" w:customStyle="1" w:styleId="278">
    <w:name w:val="reader-word-layer reader-word-s1-18"/>
    <w:basedOn w:val="1"/>
    <w:qFormat/>
    <w:uiPriority w:val="0"/>
    <w:pPr>
      <w:widowControl/>
      <w:spacing w:before="100" w:beforeAutospacing="1" w:after="100" w:afterAutospacing="1"/>
      <w:jc w:val="left"/>
    </w:pPr>
    <w:rPr>
      <w:rFonts w:ascii="宋体" w:hAnsi="宋体" w:cs="宋体"/>
      <w:kern w:val="0"/>
      <w:sz w:val="24"/>
    </w:rPr>
  </w:style>
  <w:style w:type="paragraph" w:customStyle="1" w:styleId="279">
    <w:name w:val="标准"/>
    <w:basedOn w:val="1"/>
    <w:qFormat/>
    <w:uiPriority w:val="0"/>
    <w:pPr>
      <w:adjustRightInd w:val="0"/>
      <w:spacing w:line="312" w:lineRule="atLeast"/>
      <w:jc w:val="center"/>
      <w:textAlignment w:val="baseline"/>
    </w:pPr>
    <w:rPr>
      <w:kern w:val="0"/>
      <w:szCs w:val="21"/>
    </w:rPr>
  </w:style>
  <w:style w:type="paragraph" w:customStyle="1" w:styleId="280">
    <w:name w:val="样式 首行缩进:  2 字符1"/>
    <w:basedOn w:val="1"/>
    <w:qFormat/>
    <w:uiPriority w:val="0"/>
    <w:pPr>
      <w:spacing w:line="360" w:lineRule="exact"/>
      <w:ind w:left="-90" w:leftChars="-43"/>
      <w:jc w:val="center"/>
    </w:pPr>
    <w:rPr>
      <w:rFonts w:cs="宋体"/>
      <w:kern w:val="0"/>
      <w:szCs w:val="21"/>
    </w:rPr>
  </w:style>
  <w:style w:type="paragraph" w:customStyle="1" w:styleId="281">
    <w:name w:val="正文文本缩进1"/>
    <w:basedOn w:val="1"/>
    <w:qFormat/>
    <w:uiPriority w:val="0"/>
    <w:pPr>
      <w:spacing w:line="360" w:lineRule="exact"/>
      <w:ind w:firstLine="480" w:firstLineChars="200"/>
    </w:pPr>
    <w:rPr>
      <w:sz w:val="24"/>
    </w:rPr>
  </w:style>
  <w:style w:type="paragraph" w:customStyle="1" w:styleId="282">
    <w:name w:val="xl26"/>
    <w:basedOn w:val="1"/>
    <w:qFormat/>
    <w:uiPriority w:val="0"/>
    <w:pPr>
      <w:widowControl/>
      <w:pBdr>
        <w:left w:val="single" w:color="auto" w:sz="4" w:space="0"/>
        <w:bottom w:val="single" w:color="auto" w:sz="4" w:space="0"/>
      </w:pBdr>
      <w:spacing w:before="100" w:beforeAutospacing="1" w:after="100" w:afterAutospacing="1"/>
      <w:jc w:val="center"/>
    </w:pPr>
    <w:rPr>
      <w:rFonts w:ascii="Arial Unicode MS" w:hAnsi="Arial Unicode MS" w:eastAsia="Arial Unicode MS" w:cs="Arial Unicode MS"/>
      <w:kern w:val="0"/>
      <w:szCs w:val="21"/>
    </w:rPr>
  </w:style>
  <w:style w:type="paragraph" w:customStyle="1" w:styleId="283">
    <w:name w:val="xl40"/>
    <w:basedOn w:val="1"/>
    <w:qFormat/>
    <w:uiPriority w:val="0"/>
    <w:pPr>
      <w:widowControl/>
      <w:spacing w:before="100" w:after="100"/>
      <w:jc w:val="center"/>
    </w:pPr>
    <w:rPr>
      <w:rFonts w:ascii="Arial Unicode MS" w:hAnsi="Arial Unicode MS" w:eastAsia="Arial Unicode MS"/>
      <w:kern w:val="0"/>
      <w:sz w:val="24"/>
      <w:szCs w:val="20"/>
    </w:rPr>
  </w:style>
  <w:style w:type="paragraph" w:styleId="284">
    <w:name w:val="List Paragraph"/>
    <w:basedOn w:val="1"/>
    <w:qFormat/>
    <w:uiPriority w:val="1"/>
    <w:pPr>
      <w:ind w:firstLine="420" w:firstLineChars="200"/>
    </w:pPr>
    <w:rPr>
      <w:rFonts w:ascii="宋体"/>
      <w:spacing w:val="5"/>
      <w:sz w:val="25"/>
      <w:szCs w:val="25"/>
    </w:rPr>
  </w:style>
  <w:style w:type="paragraph" w:customStyle="1" w:styleId="285">
    <w:name w:val="表格内容"/>
    <w:basedOn w:val="1"/>
    <w:next w:val="1"/>
    <w:link w:val="424"/>
    <w:qFormat/>
    <w:uiPriority w:val="0"/>
    <w:pPr>
      <w:adjustRightInd w:val="0"/>
      <w:snapToGrid w:val="0"/>
      <w:jc w:val="center"/>
    </w:pPr>
  </w:style>
  <w:style w:type="paragraph" w:customStyle="1" w:styleId="286">
    <w:name w:val="2 Char"/>
    <w:basedOn w:val="1"/>
    <w:qFormat/>
    <w:uiPriority w:val="0"/>
    <w:pPr>
      <w:adjustRightInd w:val="0"/>
      <w:spacing w:line="360" w:lineRule="auto"/>
      <w:textAlignment w:val="baseline"/>
    </w:pPr>
    <w:rPr>
      <w:kern w:val="0"/>
      <w:sz w:val="24"/>
    </w:rPr>
  </w:style>
  <w:style w:type="paragraph" w:customStyle="1" w:styleId="287">
    <w:name w:val="深泽图名"/>
    <w:basedOn w:val="1"/>
    <w:qFormat/>
    <w:uiPriority w:val="0"/>
    <w:pPr>
      <w:spacing w:line="440" w:lineRule="exact"/>
      <w:jc w:val="center"/>
    </w:pPr>
    <w:rPr>
      <w:b/>
      <w:szCs w:val="21"/>
    </w:rPr>
  </w:style>
  <w:style w:type="paragraph" w:customStyle="1" w:styleId="288">
    <w:name w:val="reader-word-layer reader-word-s2-3"/>
    <w:basedOn w:val="1"/>
    <w:qFormat/>
    <w:uiPriority w:val="0"/>
    <w:pPr>
      <w:widowControl/>
      <w:spacing w:before="100" w:beforeAutospacing="1" w:after="100" w:afterAutospacing="1"/>
      <w:jc w:val="left"/>
    </w:pPr>
    <w:rPr>
      <w:rFonts w:ascii="宋体" w:hAnsi="宋体" w:cs="宋体"/>
      <w:kern w:val="0"/>
      <w:sz w:val="24"/>
    </w:rPr>
  </w:style>
  <w:style w:type="paragraph" w:customStyle="1" w:styleId="289">
    <w:name w:val="xl34"/>
    <w:basedOn w:val="1"/>
    <w:qFormat/>
    <w:uiPriority w:val="0"/>
    <w:pPr>
      <w:widowControl/>
      <w:spacing w:before="100" w:beforeAutospacing="1" w:after="100" w:afterAutospacing="1"/>
      <w:jc w:val="center"/>
    </w:pPr>
    <w:rPr>
      <w:rFonts w:ascii="Arial Unicode MS" w:hAnsi="Arial Unicode MS" w:eastAsia="Arial Unicode MS"/>
      <w:kern w:val="0"/>
      <w:sz w:val="24"/>
    </w:rPr>
  </w:style>
  <w:style w:type="paragraph" w:customStyle="1" w:styleId="290">
    <w:name w:val="Lux 正文"/>
    <w:basedOn w:val="1"/>
    <w:qFormat/>
    <w:uiPriority w:val="0"/>
    <w:pPr>
      <w:spacing w:before="80" w:after="80" w:line="500" w:lineRule="exact"/>
      <w:ind w:firstLine="200" w:firstLineChars="200"/>
    </w:pPr>
    <w:rPr>
      <w:rFonts w:ascii="Calibri" w:hAnsi="Calibri"/>
      <w:kern w:val="0"/>
      <w:sz w:val="24"/>
      <w:szCs w:val="20"/>
    </w:rPr>
  </w:style>
  <w:style w:type="paragraph" w:customStyle="1" w:styleId="291">
    <w:name w:val="样式 二级标题（赵志杰） + 段前: 0.5 行 段后: 0.5 行"/>
    <w:basedOn w:val="1"/>
    <w:qFormat/>
    <w:uiPriority w:val="0"/>
    <w:pPr>
      <w:keepNext/>
      <w:keepLines/>
      <w:spacing w:line="360" w:lineRule="auto"/>
      <w:outlineLvl w:val="1"/>
    </w:pPr>
    <w:rPr>
      <w:rFonts w:ascii="Arial" w:hAnsi="Arial" w:eastAsia="黑体" w:cs="宋体"/>
      <w:b/>
      <w:bCs/>
      <w:sz w:val="30"/>
      <w:szCs w:val="20"/>
    </w:rPr>
  </w:style>
  <w:style w:type="paragraph" w:customStyle="1" w:styleId="292">
    <w:name w:val="表格13"/>
    <w:basedOn w:val="1"/>
    <w:qFormat/>
    <w:uiPriority w:val="0"/>
    <w:pPr>
      <w:adjustRightInd w:val="0"/>
      <w:spacing w:line="260" w:lineRule="atLeast"/>
      <w:jc w:val="center"/>
      <w:textAlignment w:val="baseline"/>
    </w:pPr>
    <w:rPr>
      <w:rFonts w:ascii="宋体" w:cs="宋体"/>
      <w:kern w:val="0"/>
      <w:sz w:val="18"/>
      <w:szCs w:val="18"/>
      <w:lang w:val="zh-CN"/>
    </w:rPr>
  </w:style>
  <w:style w:type="paragraph" w:customStyle="1" w:styleId="293">
    <w:name w:val="xl67"/>
    <w:basedOn w:val="1"/>
    <w:qFormat/>
    <w:uiPriority w:val="0"/>
    <w:pPr>
      <w:widowControl/>
      <w:snapToGrid w:val="0"/>
      <w:spacing w:before="100" w:after="100"/>
      <w:jc w:val="left"/>
      <w:textAlignment w:val="center"/>
    </w:pPr>
    <w:rPr>
      <w:rFonts w:ascii="宋体" w:hAnsi="宋体"/>
      <w:kern w:val="0"/>
      <w:sz w:val="24"/>
      <w:szCs w:val="20"/>
    </w:rPr>
  </w:style>
  <w:style w:type="paragraph" w:customStyle="1" w:styleId="294">
    <w:name w:val="reader-word-layer reader-word-s1-16"/>
    <w:basedOn w:val="1"/>
    <w:qFormat/>
    <w:uiPriority w:val="0"/>
    <w:pPr>
      <w:widowControl/>
      <w:spacing w:before="100" w:beforeAutospacing="1" w:after="100" w:afterAutospacing="1"/>
      <w:jc w:val="left"/>
    </w:pPr>
    <w:rPr>
      <w:rFonts w:ascii="宋体" w:hAnsi="宋体" w:cs="宋体"/>
      <w:kern w:val="0"/>
      <w:sz w:val="24"/>
    </w:rPr>
  </w:style>
  <w:style w:type="paragraph" w:customStyle="1" w:styleId="295">
    <w:name w:val="样式 四号 首行缩进:  2 字符"/>
    <w:basedOn w:val="1"/>
    <w:qFormat/>
    <w:uiPriority w:val="0"/>
    <w:pPr>
      <w:spacing w:line="480" w:lineRule="exact"/>
      <w:ind w:firstLine="200" w:firstLineChars="200"/>
    </w:pPr>
    <w:rPr>
      <w:sz w:val="24"/>
    </w:rPr>
  </w:style>
  <w:style w:type="paragraph" w:customStyle="1" w:styleId="296">
    <w:name w:val="reader-word-layer reader-word-s1-19"/>
    <w:basedOn w:val="1"/>
    <w:qFormat/>
    <w:uiPriority w:val="0"/>
    <w:pPr>
      <w:widowControl/>
      <w:spacing w:before="100" w:beforeAutospacing="1" w:after="100" w:afterAutospacing="1"/>
      <w:jc w:val="left"/>
    </w:pPr>
    <w:rPr>
      <w:rFonts w:ascii="宋体" w:hAnsi="宋体" w:cs="宋体"/>
      <w:kern w:val="0"/>
      <w:sz w:val="24"/>
    </w:rPr>
  </w:style>
  <w:style w:type="paragraph" w:customStyle="1" w:styleId="297">
    <w:name w:val="F正文"/>
    <w:qFormat/>
    <w:uiPriority w:val="0"/>
    <w:pPr>
      <w:widowControl w:val="0"/>
      <w:adjustRightInd w:val="0"/>
      <w:spacing w:line="360" w:lineRule="atLeast"/>
      <w:textAlignment w:val="baseline"/>
    </w:pPr>
    <w:rPr>
      <w:rFonts w:ascii="Times New Roman" w:hAnsi="Times New Roman" w:eastAsia="宋体" w:cs="Times New Roman"/>
      <w:spacing w:val="12"/>
      <w:sz w:val="24"/>
      <w:lang w:val="en-US" w:eastAsia="zh-CN" w:bidi="ar-SA"/>
    </w:rPr>
  </w:style>
  <w:style w:type="paragraph" w:customStyle="1" w:styleId="298">
    <w:name w:val="Char"/>
    <w:basedOn w:val="1"/>
    <w:qFormat/>
    <w:uiPriority w:val="0"/>
    <w:pPr>
      <w:spacing w:line="560" w:lineRule="exact"/>
      <w:ind w:firstLine="200" w:firstLineChars="200"/>
    </w:pPr>
    <w:rPr>
      <w:rFonts w:ascii="宋体" w:hAnsi="宋体" w:cs="宋体"/>
      <w:sz w:val="28"/>
      <w:szCs w:val="28"/>
    </w:rPr>
  </w:style>
  <w:style w:type="paragraph" w:customStyle="1" w:styleId="299">
    <w:name w:val="样式10"/>
    <w:basedOn w:val="1"/>
    <w:qFormat/>
    <w:uiPriority w:val="0"/>
    <w:pPr>
      <w:autoSpaceDE w:val="0"/>
      <w:autoSpaceDN w:val="0"/>
      <w:adjustRightInd w:val="0"/>
      <w:spacing w:line="480" w:lineRule="atLeast"/>
      <w:ind w:firstLine="480" w:firstLineChars="200"/>
    </w:pPr>
    <w:rPr>
      <w:b/>
      <w:kern w:val="0"/>
      <w:sz w:val="24"/>
      <w:szCs w:val="28"/>
    </w:rPr>
  </w:style>
  <w:style w:type="paragraph" w:customStyle="1" w:styleId="300">
    <w:name w:val="reader-word-layer reader-word-s1-17"/>
    <w:basedOn w:val="1"/>
    <w:qFormat/>
    <w:uiPriority w:val="0"/>
    <w:pPr>
      <w:widowControl/>
      <w:spacing w:before="100" w:beforeAutospacing="1" w:after="100" w:afterAutospacing="1"/>
      <w:jc w:val="left"/>
    </w:pPr>
    <w:rPr>
      <w:rFonts w:ascii="宋体" w:hAnsi="宋体" w:cs="宋体"/>
      <w:kern w:val="0"/>
      <w:sz w:val="24"/>
    </w:rPr>
  </w:style>
  <w:style w:type="paragraph" w:customStyle="1" w:styleId="301">
    <w:name w:val="char"/>
    <w:basedOn w:val="1"/>
    <w:qFormat/>
    <w:uiPriority w:val="0"/>
    <w:pPr>
      <w:widowControl/>
      <w:spacing w:after="160" w:line="240" w:lineRule="exact"/>
      <w:jc w:val="left"/>
    </w:pPr>
    <w:rPr>
      <w:rFonts w:ascii="Verdana" w:hAnsi="Verdana" w:eastAsia="仿宋_GB2312" w:cs="”“Times New Roman”“"/>
      <w:kern w:val="0"/>
      <w:sz w:val="24"/>
      <w:szCs w:val="20"/>
      <w:lang w:eastAsia="en-US"/>
    </w:rPr>
  </w:style>
  <w:style w:type="paragraph" w:customStyle="1" w:styleId="302">
    <w:name w:val="小三"/>
    <w:basedOn w:val="1"/>
    <w:qFormat/>
    <w:uiPriority w:val="0"/>
    <w:pPr>
      <w:spacing w:line="360" w:lineRule="auto"/>
      <w:ind w:firstLine="480" w:firstLineChars="200"/>
    </w:pPr>
    <w:rPr>
      <w:rFonts w:ascii="宋体" w:hAnsi="宋体"/>
      <w:sz w:val="24"/>
    </w:rPr>
  </w:style>
  <w:style w:type="paragraph" w:customStyle="1" w:styleId="303">
    <w:name w:val="reader-word-layer reader-word-s1-9"/>
    <w:basedOn w:val="1"/>
    <w:qFormat/>
    <w:uiPriority w:val="0"/>
    <w:pPr>
      <w:widowControl/>
      <w:spacing w:before="100" w:beforeAutospacing="1" w:after="100" w:afterAutospacing="1"/>
      <w:jc w:val="left"/>
    </w:pPr>
    <w:rPr>
      <w:rFonts w:ascii="宋体" w:hAnsi="宋体" w:cs="宋体"/>
      <w:kern w:val="0"/>
      <w:sz w:val="24"/>
    </w:rPr>
  </w:style>
  <w:style w:type="paragraph" w:customStyle="1" w:styleId="304">
    <w:name w:val="Char Char Char"/>
    <w:basedOn w:val="1"/>
    <w:qFormat/>
    <w:uiPriority w:val="0"/>
    <w:rPr>
      <w:szCs w:val="20"/>
    </w:rPr>
  </w:style>
  <w:style w:type="paragraph" w:customStyle="1" w:styleId="305">
    <w:name w:val="Char Char Char Char"/>
    <w:basedOn w:val="1"/>
    <w:qFormat/>
    <w:uiPriority w:val="0"/>
    <w:pPr>
      <w:tabs>
        <w:tab w:val="left" w:pos="360"/>
      </w:tabs>
      <w:spacing w:line="360" w:lineRule="auto"/>
      <w:ind w:firstLine="482"/>
    </w:pPr>
    <w:rPr>
      <w:rFonts w:ascii="Tahoma" w:hAnsi="Tahoma" w:eastAsia="黑体"/>
      <w:szCs w:val="21"/>
    </w:rPr>
  </w:style>
  <w:style w:type="paragraph" w:customStyle="1" w:styleId="306">
    <w:name w:val="样式 样式 宋体 + 首行缩进:  2 字符"/>
    <w:basedOn w:val="1"/>
    <w:qFormat/>
    <w:uiPriority w:val="0"/>
    <w:pPr>
      <w:ind w:firstLine="200" w:firstLineChars="200"/>
      <w:jc w:val="left"/>
    </w:pPr>
    <w:rPr>
      <w:rFonts w:ascii="宋体" w:hAnsi="宋体" w:cs="宋体"/>
      <w:sz w:val="24"/>
      <w:szCs w:val="20"/>
    </w:rPr>
  </w:style>
  <w:style w:type="paragraph" w:customStyle="1" w:styleId="307">
    <w:name w:val="样式 标题 2节标题1.1标题 2节标题 1.1H2节标题 1.1 Char第一层条H21 + 段前: 2.4 磅..."/>
    <w:basedOn w:val="3"/>
    <w:semiHidden/>
    <w:qFormat/>
    <w:uiPriority w:val="0"/>
    <w:pPr>
      <w:widowControl/>
      <w:snapToGrid w:val="0"/>
      <w:spacing w:beforeLines="0" w:after="60" w:line="420" w:lineRule="atLeast"/>
      <w:jc w:val="left"/>
    </w:pPr>
    <w:rPr>
      <w:rFonts w:cs="宋体"/>
      <w:spacing w:val="-10"/>
      <w:kern w:val="28"/>
      <w:sz w:val="30"/>
      <w:szCs w:val="20"/>
    </w:rPr>
  </w:style>
  <w:style w:type="paragraph" w:customStyle="1" w:styleId="308">
    <w:name w:val="Char Char Char Char Char Char Char Char Char Char Char Char Char Char Char Char Char Char Char"/>
    <w:basedOn w:val="1"/>
    <w:qFormat/>
    <w:uiPriority w:val="0"/>
    <w:pPr>
      <w:spacing w:line="360" w:lineRule="auto"/>
      <w:ind w:firstLine="200" w:firstLineChars="200"/>
    </w:pPr>
    <w:rPr>
      <w:rFonts w:ascii="宋体" w:hAnsi="宋体"/>
      <w:sz w:val="24"/>
      <w:szCs w:val="20"/>
    </w:rPr>
  </w:style>
  <w:style w:type="paragraph" w:customStyle="1" w:styleId="309">
    <w:name w:val="2-正文"/>
    <w:basedOn w:val="1"/>
    <w:qFormat/>
    <w:uiPriority w:val="0"/>
    <w:pPr>
      <w:spacing w:line="480" w:lineRule="exact"/>
      <w:ind w:firstLine="480" w:firstLineChars="200"/>
    </w:pPr>
    <w:rPr>
      <w:rFonts w:ascii="宋体" w:hAnsi="宋体"/>
      <w:sz w:val="24"/>
      <w:szCs w:val="22"/>
    </w:rPr>
  </w:style>
  <w:style w:type="paragraph" w:customStyle="1" w:styleId="310">
    <w:name w:val="reader-word-layer reader-word-s1-7"/>
    <w:basedOn w:val="1"/>
    <w:qFormat/>
    <w:uiPriority w:val="0"/>
    <w:pPr>
      <w:widowControl/>
      <w:spacing w:before="100" w:beforeAutospacing="1" w:after="100" w:afterAutospacing="1"/>
      <w:jc w:val="left"/>
    </w:pPr>
    <w:rPr>
      <w:rFonts w:ascii="宋体" w:hAnsi="宋体" w:cs="宋体"/>
      <w:kern w:val="0"/>
      <w:sz w:val="24"/>
    </w:rPr>
  </w:style>
  <w:style w:type="paragraph" w:customStyle="1" w:styleId="311">
    <w:name w:val="Char Char Char Char Char2 Char Char Char Char"/>
    <w:basedOn w:val="1"/>
    <w:semiHidden/>
    <w:qFormat/>
    <w:uiPriority w:val="0"/>
    <w:pPr>
      <w:adjustRightInd w:val="0"/>
      <w:snapToGrid w:val="0"/>
      <w:spacing w:line="360" w:lineRule="auto"/>
      <w:ind w:firstLine="200" w:firstLineChars="200"/>
    </w:pPr>
    <w:rPr>
      <w:rFonts w:ascii="宋体" w:hAnsi="宋体" w:cs="宋体"/>
      <w:sz w:val="24"/>
      <w:szCs w:val="26"/>
    </w:rPr>
  </w:style>
  <w:style w:type="paragraph" w:customStyle="1" w:styleId="312">
    <w:name w:val="Default Paragraph Font Para Char"/>
    <w:basedOn w:val="1"/>
    <w:qFormat/>
    <w:uiPriority w:val="0"/>
    <w:pPr>
      <w:widowControl/>
      <w:spacing w:after="160" w:line="240" w:lineRule="exact"/>
      <w:jc w:val="left"/>
    </w:pPr>
  </w:style>
  <w:style w:type="paragraph" w:customStyle="1" w:styleId="313">
    <w:name w:val="p15"/>
    <w:basedOn w:val="1"/>
    <w:qFormat/>
    <w:uiPriority w:val="0"/>
    <w:pPr>
      <w:widowControl/>
      <w:jc w:val="center"/>
    </w:pPr>
    <w:rPr>
      <w:kern w:val="0"/>
      <w:szCs w:val="21"/>
    </w:rPr>
  </w:style>
  <w:style w:type="paragraph" w:customStyle="1" w:styleId="314">
    <w:name w:val="p18"/>
    <w:basedOn w:val="1"/>
    <w:qFormat/>
    <w:uiPriority w:val="0"/>
    <w:pPr>
      <w:widowControl/>
      <w:jc w:val="left"/>
    </w:pPr>
    <w:rPr>
      <w:kern w:val="0"/>
      <w:szCs w:val="21"/>
    </w:rPr>
  </w:style>
  <w:style w:type="paragraph" w:customStyle="1" w:styleId="315">
    <w:name w:val="样式 样式 正文（赵志杰） + 首行缩进:  0 字符 + 行距: 固定值 24 磅"/>
    <w:basedOn w:val="1"/>
    <w:qFormat/>
    <w:uiPriority w:val="0"/>
    <w:pPr>
      <w:spacing w:line="480" w:lineRule="exact"/>
      <w:ind w:firstLine="200" w:firstLineChars="200"/>
    </w:pPr>
    <w:rPr>
      <w:rFonts w:cs="宋体"/>
      <w:szCs w:val="20"/>
    </w:rPr>
  </w:style>
  <w:style w:type="paragraph" w:customStyle="1" w:styleId="316">
    <w:name w:val="封面标准文稿编辑信息"/>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317">
    <w:name w:val="默认段落字体 Para Char Char Char Char Char Char Char Char Char Char"/>
    <w:basedOn w:val="4"/>
    <w:qFormat/>
    <w:uiPriority w:val="0"/>
    <w:pPr>
      <w:tabs>
        <w:tab w:val="left" w:pos="360"/>
        <w:tab w:val="left" w:pos="900"/>
      </w:tabs>
      <w:snapToGrid w:val="0"/>
      <w:spacing w:before="120" w:after="120" w:line="360" w:lineRule="auto"/>
      <w:ind w:left="542" w:leftChars="-12" w:firstLine="200" w:firstLineChars="200"/>
      <w:jc w:val="left"/>
    </w:pPr>
    <w:rPr>
      <w:rFonts w:eastAsia="黑体"/>
      <w:b w:val="0"/>
      <w:bCs w:val="0"/>
      <w:snapToGrid w:val="0"/>
      <w:sz w:val="24"/>
      <w:szCs w:val="24"/>
    </w:rPr>
  </w:style>
  <w:style w:type="paragraph" w:customStyle="1" w:styleId="318">
    <w:name w:val="z-窗体底端1"/>
    <w:basedOn w:val="1"/>
    <w:next w:val="1"/>
    <w:qFormat/>
    <w:uiPriority w:val="0"/>
    <w:pPr>
      <w:widowControl/>
      <w:pBdr>
        <w:top w:val="single" w:color="auto" w:sz="6" w:space="1"/>
      </w:pBdr>
      <w:jc w:val="center"/>
    </w:pPr>
    <w:rPr>
      <w:rFonts w:ascii="Arial" w:hAnsi="Arial" w:cs="Arial"/>
      <w:vanish/>
      <w:kern w:val="0"/>
      <w:sz w:val="16"/>
      <w:szCs w:val="16"/>
    </w:rPr>
  </w:style>
  <w:style w:type="paragraph" w:customStyle="1" w:styleId="319">
    <w:name w:val="正文内容"/>
    <w:basedOn w:val="1"/>
    <w:qFormat/>
    <w:uiPriority w:val="0"/>
    <w:pPr>
      <w:spacing w:line="360" w:lineRule="auto"/>
      <w:ind w:firstLine="567"/>
    </w:pPr>
    <w:rPr>
      <w:rFonts w:ascii="宋体"/>
      <w:sz w:val="24"/>
    </w:rPr>
  </w:style>
  <w:style w:type="paragraph" w:customStyle="1" w:styleId="320">
    <w:name w:val="reader-word-layer"/>
    <w:basedOn w:val="1"/>
    <w:qFormat/>
    <w:uiPriority w:val="0"/>
    <w:pPr>
      <w:widowControl/>
      <w:spacing w:before="100" w:beforeAutospacing="1" w:after="100" w:afterAutospacing="1"/>
      <w:jc w:val="left"/>
    </w:pPr>
    <w:rPr>
      <w:rFonts w:ascii="宋体" w:hAnsi="宋体" w:cs="宋体"/>
      <w:kern w:val="0"/>
      <w:sz w:val="24"/>
    </w:rPr>
  </w:style>
  <w:style w:type="paragraph" w:customStyle="1" w:styleId="321">
    <w:name w:val="30"/>
    <w:basedOn w:val="1"/>
    <w:qFormat/>
    <w:uiPriority w:val="0"/>
    <w:pPr>
      <w:widowControl/>
      <w:spacing w:before="100" w:beforeAutospacing="1" w:after="100" w:afterAutospacing="1"/>
      <w:jc w:val="left"/>
    </w:pPr>
    <w:rPr>
      <w:rFonts w:ascii="宋体" w:hAnsi="宋体" w:cs="宋体"/>
      <w:kern w:val="0"/>
      <w:sz w:val="24"/>
    </w:rPr>
  </w:style>
  <w:style w:type="paragraph" w:customStyle="1" w:styleId="322">
    <w:name w:val="样式 表头 + 首行缩进:  2 字符"/>
    <w:basedOn w:val="1"/>
    <w:qFormat/>
    <w:uiPriority w:val="0"/>
    <w:pPr>
      <w:adjustRightInd w:val="0"/>
      <w:snapToGrid w:val="0"/>
      <w:spacing w:line="240" w:lineRule="atLeast"/>
      <w:jc w:val="center"/>
    </w:pPr>
    <w:rPr>
      <w:rFonts w:cs="宋体"/>
      <w:b/>
      <w:bCs/>
      <w:szCs w:val="21"/>
    </w:rPr>
  </w:style>
  <w:style w:type="paragraph" w:customStyle="1" w:styleId="323">
    <w:name w:val="正文28磅"/>
    <w:basedOn w:val="1"/>
    <w:qFormat/>
    <w:uiPriority w:val="0"/>
    <w:pPr>
      <w:spacing w:line="560" w:lineRule="exact"/>
      <w:ind w:firstLine="560" w:firstLineChars="200"/>
      <w:jc w:val="left"/>
    </w:pPr>
    <w:rPr>
      <w:color w:val="000000"/>
      <w:kern w:val="28"/>
      <w:sz w:val="28"/>
      <w:szCs w:val="20"/>
      <w:u w:color="000000"/>
    </w:rPr>
  </w:style>
  <w:style w:type="paragraph" w:customStyle="1" w:styleId="324">
    <w:name w:val="Char Char1 Char Char Char Char Char Char Char Char Char Char Char Char Char Char Char Char Char Char"/>
    <w:basedOn w:val="1"/>
    <w:qFormat/>
    <w:uiPriority w:val="0"/>
    <w:pPr>
      <w:spacing w:line="360" w:lineRule="auto"/>
      <w:ind w:firstLine="200" w:firstLineChars="200"/>
    </w:pPr>
    <w:rPr>
      <w:rFonts w:ascii="宋体" w:hAnsi="宋体" w:cs="宋体"/>
      <w:sz w:val="24"/>
    </w:rPr>
  </w:style>
  <w:style w:type="paragraph" w:customStyle="1" w:styleId="325">
    <w:name w:val="正文222"/>
    <w:basedOn w:val="1"/>
    <w:qFormat/>
    <w:uiPriority w:val="0"/>
    <w:pPr>
      <w:spacing w:line="480" w:lineRule="exact"/>
      <w:ind w:firstLine="200" w:firstLineChars="200"/>
    </w:pPr>
    <w:rPr>
      <w:rFonts w:hAnsi="宋体"/>
      <w:sz w:val="24"/>
    </w:rPr>
  </w:style>
  <w:style w:type="paragraph" w:customStyle="1" w:styleId="326">
    <w:name w:val="2 Char Char Char Char"/>
    <w:basedOn w:val="1"/>
    <w:qFormat/>
    <w:uiPriority w:val="0"/>
    <w:pPr>
      <w:snapToGrid w:val="0"/>
      <w:spacing w:line="360" w:lineRule="auto"/>
      <w:ind w:firstLine="529" w:firstLineChars="200"/>
    </w:pPr>
    <w:rPr>
      <w:rFonts w:ascii="宋体" w:hAnsi="宋体"/>
      <w:b/>
    </w:rPr>
  </w:style>
  <w:style w:type="paragraph" w:customStyle="1" w:styleId="327">
    <w:name w:val="样式 标题 3 + 小四 首行缩进:  2 字符"/>
    <w:basedOn w:val="4"/>
    <w:qFormat/>
    <w:uiPriority w:val="0"/>
    <w:pPr>
      <w:tabs>
        <w:tab w:val="left" w:pos="0"/>
      </w:tabs>
      <w:ind w:firstLine="482" w:firstLineChars="200"/>
    </w:pPr>
    <w:rPr>
      <w:sz w:val="24"/>
      <w:szCs w:val="20"/>
    </w:rPr>
  </w:style>
  <w:style w:type="paragraph" w:customStyle="1" w:styleId="328">
    <w:name w:val="样式 正文缩进 + 首行缩进:  0 厘米 行距: 固定值 26 磅"/>
    <w:basedOn w:val="7"/>
    <w:qFormat/>
    <w:uiPriority w:val="0"/>
    <w:pPr>
      <w:spacing w:line="520" w:lineRule="exact"/>
      <w:ind w:firstLine="200" w:firstLineChars="200"/>
      <w:jc w:val="left"/>
    </w:pPr>
    <w:rPr>
      <w:rFonts w:cs="宋体"/>
      <w:sz w:val="28"/>
    </w:rPr>
  </w:style>
  <w:style w:type="paragraph" w:customStyle="1" w:styleId="329">
    <w:name w:val="正文段落（song1375）"/>
    <w:basedOn w:val="1"/>
    <w:qFormat/>
    <w:uiPriority w:val="0"/>
    <w:pPr>
      <w:spacing w:line="360" w:lineRule="auto"/>
      <w:ind w:firstLine="200" w:firstLineChars="200"/>
      <w:jc w:val="left"/>
    </w:pPr>
    <w:rPr>
      <w:snapToGrid w:val="0"/>
      <w:kern w:val="0"/>
      <w:sz w:val="24"/>
    </w:rPr>
  </w:style>
  <w:style w:type="paragraph" w:customStyle="1" w:styleId="330">
    <w:name w:val="表内字"/>
    <w:basedOn w:val="1"/>
    <w:qFormat/>
    <w:uiPriority w:val="0"/>
    <w:pPr>
      <w:spacing w:line="360" w:lineRule="exact"/>
    </w:pPr>
    <w:rPr>
      <w:rFonts w:eastAsia="楷体_GB2312"/>
      <w:color w:val="000000"/>
    </w:rPr>
  </w:style>
  <w:style w:type="paragraph" w:customStyle="1" w:styleId="331">
    <w:name w:val="Char Char Char Char Char Char Char Char Char Char Char Char Char Char Char Char Char Char Char1"/>
    <w:basedOn w:val="1"/>
    <w:qFormat/>
    <w:uiPriority w:val="0"/>
    <w:pPr>
      <w:spacing w:line="360" w:lineRule="auto"/>
      <w:ind w:firstLine="200" w:firstLineChars="200"/>
    </w:pPr>
    <w:rPr>
      <w:rFonts w:ascii="宋体" w:hAnsi="宋体" w:cs="宋体"/>
      <w:sz w:val="24"/>
    </w:rPr>
  </w:style>
  <w:style w:type="paragraph" w:customStyle="1" w:styleId="332">
    <w:name w:val="Char Char Char Char Char Char Char Char1 Char Char Char Char Char Char Char Char Char Char Char Char1 Char"/>
    <w:basedOn w:val="1"/>
    <w:qFormat/>
    <w:uiPriority w:val="0"/>
    <w:rPr>
      <w:sz w:val="24"/>
    </w:rPr>
  </w:style>
  <w:style w:type="paragraph" w:customStyle="1" w:styleId="333">
    <w:name w:val="Char Char11 Char Char Char Char"/>
    <w:basedOn w:val="1"/>
    <w:next w:val="1"/>
    <w:qFormat/>
    <w:uiPriority w:val="0"/>
    <w:pPr>
      <w:spacing w:line="360" w:lineRule="auto"/>
      <w:ind w:firstLine="200" w:firstLineChars="200"/>
    </w:pPr>
    <w:rPr>
      <w:rFonts w:ascii="宋体" w:hAnsi="宋体" w:cs="宋体"/>
      <w:sz w:val="24"/>
    </w:rPr>
  </w:style>
  <w:style w:type="paragraph" w:customStyle="1" w:styleId="334">
    <w:name w:val="Char1"/>
    <w:basedOn w:val="1"/>
    <w:semiHidden/>
    <w:qFormat/>
    <w:uiPriority w:val="0"/>
    <w:pPr>
      <w:widowControl/>
      <w:jc w:val="left"/>
    </w:pPr>
    <w:rPr>
      <w:rFonts w:ascii="Verdana" w:hAnsi="Verdana"/>
      <w:b/>
      <w:bCs/>
      <w:kern w:val="0"/>
      <w:szCs w:val="28"/>
      <w:lang w:eastAsia="en-US"/>
    </w:rPr>
  </w:style>
  <w:style w:type="paragraph" w:customStyle="1" w:styleId="335">
    <w:name w:val="三级标题（赵志杰）"/>
    <w:basedOn w:val="4"/>
    <w:qFormat/>
    <w:uiPriority w:val="0"/>
    <w:pPr>
      <w:spacing w:beforeLines="50" w:afterLines="50" w:line="360" w:lineRule="auto"/>
    </w:pPr>
    <w:rPr>
      <w:rFonts w:eastAsia="黑体"/>
      <w:kern w:val="0"/>
      <w:sz w:val="28"/>
    </w:rPr>
  </w:style>
  <w:style w:type="paragraph" w:customStyle="1" w:styleId="336">
    <w:name w:val="图文框"/>
    <w:basedOn w:val="1"/>
    <w:semiHidden/>
    <w:qFormat/>
    <w:uiPriority w:val="0"/>
    <w:pPr>
      <w:snapToGrid w:val="0"/>
      <w:spacing w:line="320" w:lineRule="atLeast"/>
      <w:jc w:val="center"/>
    </w:pPr>
    <w:rPr>
      <w:szCs w:val="20"/>
    </w:rPr>
  </w:style>
  <w:style w:type="paragraph" w:customStyle="1" w:styleId="337">
    <w:name w:val="表体宋旭峰"/>
    <w:basedOn w:val="1"/>
    <w:qFormat/>
    <w:uiPriority w:val="0"/>
    <w:pPr>
      <w:overflowPunct w:val="0"/>
      <w:adjustRightInd w:val="0"/>
      <w:spacing w:line="280" w:lineRule="exact"/>
      <w:jc w:val="center"/>
      <w:textAlignment w:val="baseline"/>
    </w:pPr>
    <w:rPr>
      <w:rFonts w:cs="Courier New"/>
      <w:snapToGrid w:val="0"/>
      <w:color w:val="FF0000"/>
      <w:spacing w:val="-4"/>
      <w:szCs w:val="21"/>
    </w:rPr>
  </w:style>
  <w:style w:type="paragraph" w:customStyle="1" w:styleId="338">
    <w:name w:val="Char Char Char Char Char Char Char"/>
    <w:basedOn w:val="1"/>
    <w:qFormat/>
    <w:uiPriority w:val="0"/>
  </w:style>
  <w:style w:type="paragraph" w:customStyle="1" w:styleId="339">
    <w:name w:val="reader-word-layer reader-word-s1-11"/>
    <w:basedOn w:val="1"/>
    <w:qFormat/>
    <w:uiPriority w:val="0"/>
    <w:pPr>
      <w:widowControl/>
      <w:spacing w:before="100" w:beforeAutospacing="1" w:after="100" w:afterAutospacing="1"/>
      <w:jc w:val="left"/>
    </w:pPr>
    <w:rPr>
      <w:rFonts w:ascii="宋体" w:hAnsi="宋体" w:cs="宋体"/>
      <w:kern w:val="0"/>
      <w:sz w:val="24"/>
    </w:rPr>
  </w:style>
  <w:style w:type="paragraph" w:customStyle="1" w:styleId="340">
    <w:name w:val="reader-word-layer reader-word-s1-21"/>
    <w:basedOn w:val="1"/>
    <w:qFormat/>
    <w:uiPriority w:val="0"/>
    <w:pPr>
      <w:widowControl/>
      <w:spacing w:before="100" w:beforeAutospacing="1" w:after="100" w:afterAutospacing="1"/>
      <w:jc w:val="left"/>
    </w:pPr>
    <w:rPr>
      <w:rFonts w:ascii="宋体" w:hAnsi="宋体" w:cs="宋体"/>
      <w:kern w:val="0"/>
      <w:sz w:val="24"/>
    </w:rPr>
  </w:style>
  <w:style w:type="paragraph" w:customStyle="1" w:styleId="341">
    <w:name w:val="新正文"/>
    <w:basedOn w:val="1"/>
    <w:qFormat/>
    <w:uiPriority w:val="0"/>
    <w:pPr>
      <w:tabs>
        <w:tab w:val="left" w:pos="8295"/>
      </w:tabs>
      <w:ind w:firstLine="200" w:firstLineChars="200"/>
    </w:pPr>
    <w:rPr>
      <w:sz w:val="24"/>
    </w:rPr>
  </w:style>
  <w:style w:type="paragraph" w:customStyle="1" w:styleId="342">
    <w:name w:val="1"/>
    <w:basedOn w:val="1"/>
    <w:next w:val="343"/>
    <w:qFormat/>
    <w:uiPriority w:val="0"/>
    <w:pPr>
      <w:spacing w:beforeLines="100" w:afterLines="50" w:line="360" w:lineRule="auto"/>
    </w:pPr>
    <w:rPr>
      <w:rFonts w:eastAsia="黑体"/>
      <w:b/>
      <w:sz w:val="30"/>
    </w:rPr>
  </w:style>
  <w:style w:type="paragraph" w:customStyle="1" w:styleId="343">
    <w:name w:val="正文缩进1"/>
    <w:basedOn w:val="1"/>
    <w:next w:val="37"/>
    <w:qFormat/>
    <w:uiPriority w:val="0"/>
    <w:pPr>
      <w:widowControl/>
      <w:spacing w:line="500" w:lineRule="exact"/>
      <w:ind w:firstLine="480" w:firstLineChars="200"/>
      <w:jc w:val="left"/>
    </w:pPr>
    <w:rPr>
      <w:rFonts w:ascii="Arial" w:hAnsi="Arial"/>
      <w:snapToGrid w:val="0"/>
      <w:sz w:val="24"/>
      <w:szCs w:val="20"/>
    </w:rPr>
  </w:style>
  <w:style w:type="paragraph" w:customStyle="1" w:styleId="344">
    <w:name w:val="样式 标题 1 + 行距: 固定值 24 磅"/>
    <w:basedOn w:val="2"/>
    <w:semiHidden/>
    <w:qFormat/>
    <w:uiPriority w:val="0"/>
    <w:pPr>
      <w:tabs>
        <w:tab w:val="left" w:pos="425"/>
      </w:tabs>
      <w:adjustRightInd w:val="0"/>
      <w:spacing w:beforeLines="0" w:after="60" w:line="480" w:lineRule="exact"/>
      <w:ind w:left="425" w:hanging="425"/>
      <w:textAlignment w:val="baseline"/>
    </w:pPr>
    <w:rPr>
      <w:rFonts w:cs="宋体"/>
      <w:bCs/>
      <w:sz w:val="32"/>
      <w:szCs w:val="30"/>
    </w:rPr>
  </w:style>
  <w:style w:type="paragraph" w:customStyle="1" w:styleId="345">
    <w:name w:val="默认段落字体 Para Char Char Char Char"/>
    <w:basedOn w:val="1"/>
    <w:qFormat/>
    <w:uiPriority w:val="0"/>
  </w:style>
  <w:style w:type="paragraph" w:customStyle="1" w:styleId="346">
    <w:name w:val="样式 标题 1章标题1.1标题 1HTS 1H1Heading 11level 1Level 1 Head章章..."/>
    <w:basedOn w:val="2"/>
    <w:semiHidden/>
    <w:qFormat/>
    <w:uiPriority w:val="0"/>
    <w:pPr>
      <w:widowControl/>
      <w:adjustRightInd w:val="0"/>
      <w:snapToGrid w:val="0"/>
      <w:spacing w:beforeLines="0" w:after="120" w:line="240" w:lineRule="auto"/>
      <w:ind w:left="425" w:hanging="425"/>
      <w:jc w:val="left"/>
    </w:pPr>
    <w:rPr>
      <w:rFonts w:cs="宋体"/>
      <w:bCs/>
      <w:spacing w:val="-10"/>
      <w:kern w:val="28"/>
      <w:sz w:val="32"/>
      <w:szCs w:val="20"/>
    </w:rPr>
  </w:style>
  <w:style w:type="paragraph" w:customStyle="1" w:styleId="347">
    <w:name w:val="p17"/>
    <w:basedOn w:val="1"/>
    <w:qFormat/>
    <w:uiPriority w:val="0"/>
    <w:pPr>
      <w:widowControl/>
      <w:snapToGrid w:val="0"/>
      <w:spacing w:before="312" w:after="249"/>
      <w:jc w:val="center"/>
    </w:pPr>
    <w:rPr>
      <w:kern w:val="0"/>
      <w:sz w:val="30"/>
      <w:szCs w:val="30"/>
    </w:rPr>
  </w:style>
  <w:style w:type="paragraph" w:customStyle="1" w:styleId="348">
    <w:name w:val="Char2"/>
    <w:basedOn w:val="1"/>
    <w:qFormat/>
    <w:uiPriority w:val="0"/>
    <w:rPr>
      <w:rFonts w:ascii="宋体" w:hAnsi="宋体" w:cs="Courier New"/>
      <w:sz w:val="32"/>
      <w:szCs w:val="32"/>
    </w:rPr>
  </w:style>
  <w:style w:type="paragraph" w:customStyle="1" w:styleId="349">
    <w:name w:val="a-文本缩2"/>
    <w:qFormat/>
    <w:uiPriority w:val="0"/>
    <w:pPr>
      <w:widowControl w:val="0"/>
      <w:adjustRightInd w:val="0"/>
      <w:snapToGrid w:val="0"/>
      <w:spacing w:line="360" w:lineRule="auto"/>
      <w:ind w:firstLine="480" w:firstLineChars="200"/>
      <w:jc w:val="both"/>
    </w:pPr>
    <w:rPr>
      <w:rFonts w:ascii="Times New Roman" w:hAnsi="Times New Roman" w:eastAsia="宋体" w:cs="Times New Roman"/>
      <w:kern w:val="2"/>
      <w:sz w:val="24"/>
      <w:szCs w:val="21"/>
      <w:lang w:val="en-US" w:eastAsia="zh-CN" w:bidi="ar-SA"/>
    </w:rPr>
  </w:style>
  <w:style w:type="paragraph" w:customStyle="1" w:styleId="350">
    <w:name w:val="reader-word-layer reader-word-s1-12"/>
    <w:basedOn w:val="1"/>
    <w:qFormat/>
    <w:uiPriority w:val="0"/>
    <w:pPr>
      <w:widowControl/>
      <w:spacing w:before="100" w:beforeAutospacing="1" w:after="100" w:afterAutospacing="1"/>
      <w:jc w:val="left"/>
    </w:pPr>
    <w:rPr>
      <w:rFonts w:ascii="宋体" w:hAnsi="宋体" w:cs="宋体"/>
      <w:kern w:val="0"/>
      <w:sz w:val="24"/>
    </w:rPr>
  </w:style>
  <w:style w:type="paragraph" w:customStyle="1" w:styleId="351">
    <w:name w:val="表内"/>
    <w:basedOn w:val="352"/>
    <w:qFormat/>
    <w:uiPriority w:val="0"/>
    <w:pPr>
      <w:spacing w:line="240" w:lineRule="auto"/>
      <w:ind w:firstLine="0" w:firstLineChars="0"/>
      <w:jc w:val="center"/>
    </w:pPr>
    <w:rPr>
      <w:sz w:val="21"/>
    </w:rPr>
  </w:style>
  <w:style w:type="paragraph" w:customStyle="1" w:styleId="352">
    <w:name w:val="文"/>
    <w:basedOn w:val="1"/>
    <w:qFormat/>
    <w:uiPriority w:val="0"/>
    <w:pPr>
      <w:spacing w:line="360" w:lineRule="auto"/>
      <w:ind w:firstLine="480" w:firstLineChars="200"/>
    </w:pPr>
    <w:rPr>
      <w:sz w:val="24"/>
    </w:rPr>
  </w:style>
  <w:style w:type="paragraph" w:customStyle="1" w:styleId="353">
    <w:name w:val="Char1 Char Char Char1 Char Char Char"/>
    <w:basedOn w:val="1"/>
    <w:qFormat/>
    <w:uiPriority w:val="0"/>
    <w:pPr>
      <w:spacing w:line="360" w:lineRule="auto"/>
      <w:ind w:firstLine="200" w:firstLineChars="200"/>
    </w:pPr>
    <w:rPr>
      <w:rFonts w:ascii="宋体" w:hAnsi="宋体" w:cs="宋体"/>
      <w:sz w:val="24"/>
    </w:rPr>
  </w:style>
  <w:style w:type="paragraph" w:customStyle="1" w:styleId="354">
    <w:name w:val="标题111"/>
    <w:basedOn w:val="1"/>
    <w:qFormat/>
    <w:uiPriority w:val="0"/>
    <w:pPr>
      <w:spacing w:line="480" w:lineRule="exact"/>
    </w:pPr>
    <w:rPr>
      <w:b/>
      <w:sz w:val="24"/>
    </w:rPr>
  </w:style>
  <w:style w:type="paragraph" w:customStyle="1" w:styleId="355">
    <w:name w:val="陈表格中内容"/>
    <w:basedOn w:val="1"/>
    <w:next w:val="1"/>
    <w:qFormat/>
    <w:uiPriority w:val="0"/>
    <w:pPr>
      <w:adjustRightInd w:val="0"/>
      <w:snapToGrid w:val="0"/>
      <w:spacing w:line="240" w:lineRule="exact"/>
      <w:jc w:val="center"/>
    </w:pPr>
    <w:rPr>
      <w:rFonts w:ascii="仿宋" w:hAnsi="仿宋" w:eastAsia="仿宋"/>
      <w:color w:val="000000"/>
      <w:kern w:val="0"/>
      <w:sz w:val="20"/>
      <w:szCs w:val="21"/>
    </w:rPr>
  </w:style>
  <w:style w:type="paragraph" w:customStyle="1" w:styleId="356">
    <w:name w:val="Char Char Char Char Char Char Char1"/>
    <w:basedOn w:val="1"/>
    <w:qFormat/>
    <w:uiPriority w:val="0"/>
    <w:pPr>
      <w:widowControl/>
      <w:spacing w:line="560" w:lineRule="exact"/>
      <w:ind w:firstLine="200" w:firstLineChars="200"/>
      <w:jc w:val="left"/>
    </w:pPr>
    <w:rPr>
      <w:rFonts w:ascii="Verdana" w:hAnsi="Verdana"/>
      <w:kern w:val="0"/>
      <w:sz w:val="20"/>
      <w:szCs w:val="20"/>
      <w:lang w:eastAsia="en-US"/>
    </w:rPr>
  </w:style>
  <w:style w:type="paragraph" w:customStyle="1" w:styleId="357">
    <w:name w:val="3"/>
    <w:basedOn w:val="1"/>
    <w:qFormat/>
    <w:uiPriority w:val="0"/>
    <w:pPr>
      <w:spacing w:line="360" w:lineRule="auto"/>
    </w:pPr>
    <w:rPr>
      <w:sz w:val="24"/>
    </w:rPr>
  </w:style>
  <w:style w:type="paragraph" w:customStyle="1" w:styleId="358">
    <w:name w:val="样式 标题 3标题3小标题1.1.1标题 3 + 段后: 4 磅"/>
    <w:basedOn w:val="4"/>
    <w:semiHidden/>
    <w:qFormat/>
    <w:uiPriority w:val="0"/>
    <w:pPr>
      <w:widowControl/>
      <w:snapToGrid w:val="0"/>
      <w:spacing w:before="0" w:after="0" w:line="420" w:lineRule="atLeast"/>
      <w:ind w:left="805" w:hanging="709"/>
      <w:jc w:val="left"/>
    </w:pPr>
    <w:rPr>
      <w:rFonts w:eastAsia="黑体"/>
      <w:b w:val="0"/>
      <w:bCs w:val="0"/>
      <w:spacing w:val="-5"/>
      <w:kern w:val="28"/>
      <w:sz w:val="28"/>
      <w:szCs w:val="20"/>
    </w:rPr>
  </w:style>
  <w:style w:type="paragraph" w:customStyle="1" w:styleId="359">
    <w:name w:val="p0"/>
    <w:basedOn w:val="1"/>
    <w:qFormat/>
    <w:uiPriority w:val="0"/>
    <w:pPr>
      <w:widowControl/>
    </w:pPr>
    <w:rPr>
      <w:kern w:val="0"/>
      <w:szCs w:val="21"/>
    </w:rPr>
  </w:style>
  <w:style w:type="paragraph" w:customStyle="1" w:styleId="360">
    <w:name w:val="样式"/>
    <w:basedOn w:val="1"/>
    <w:next w:val="23"/>
    <w:qFormat/>
    <w:uiPriority w:val="0"/>
    <w:pPr>
      <w:adjustRightInd w:val="0"/>
      <w:spacing w:line="360" w:lineRule="auto"/>
      <w:ind w:firstLine="480"/>
      <w:textAlignment w:val="baseline"/>
    </w:pPr>
    <w:rPr>
      <w:rFonts w:ascii="宋体"/>
      <w:kern w:val="0"/>
      <w:sz w:val="24"/>
    </w:rPr>
  </w:style>
  <w:style w:type="paragraph" w:customStyle="1" w:styleId="361">
    <w:name w:val="Char1 Char Char Char Char Char Char"/>
    <w:basedOn w:val="1"/>
    <w:qFormat/>
    <w:uiPriority w:val="0"/>
    <w:pPr>
      <w:spacing w:line="360" w:lineRule="auto"/>
      <w:ind w:firstLine="200" w:firstLineChars="200"/>
    </w:pPr>
    <w:rPr>
      <w:rFonts w:ascii="宋体" w:hAnsi="宋体" w:cs="宋体"/>
      <w:sz w:val="24"/>
    </w:rPr>
  </w:style>
  <w:style w:type="paragraph" w:customStyle="1" w:styleId="362">
    <w:name w:val="正文A"/>
    <w:basedOn w:val="1"/>
    <w:qFormat/>
    <w:uiPriority w:val="0"/>
    <w:pPr>
      <w:spacing w:line="540" w:lineRule="exact"/>
    </w:pPr>
    <w:rPr>
      <w:rFonts w:cs="宋体"/>
      <w:sz w:val="24"/>
    </w:rPr>
  </w:style>
  <w:style w:type="paragraph" w:customStyle="1" w:styleId="363">
    <w:name w:val="Char Char10"/>
    <w:basedOn w:val="1"/>
    <w:qFormat/>
    <w:uiPriority w:val="0"/>
    <w:rPr>
      <w:sz w:val="24"/>
    </w:rPr>
  </w:style>
  <w:style w:type="paragraph" w:customStyle="1" w:styleId="364">
    <w:name w:val="标题5"/>
    <w:basedOn w:val="1"/>
    <w:qFormat/>
    <w:uiPriority w:val="0"/>
    <w:pPr>
      <w:tabs>
        <w:tab w:val="left" w:pos="992"/>
      </w:tabs>
      <w:adjustRightInd w:val="0"/>
      <w:spacing w:line="480" w:lineRule="exact"/>
      <w:ind w:left="992" w:hanging="992"/>
      <w:jc w:val="left"/>
      <w:outlineLvl w:val="4"/>
    </w:pPr>
    <w:rPr>
      <w:snapToGrid w:val="0"/>
      <w:sz w:val="24"/>
    </w:rPr>
  </w:style>
  <w:style w:type="paragraph" w:customStyle="1" w:styleId="365">
    <w:name w:val="默认段落字体 Para Char"/>
    <w:basedOn w:val="1"/>
    <w:qFormat/>
    <w:uiPriority w:val="99"/>
    <w:rPr>
      <w:sz w:val="24"/>
    </w:rPr>
  </w:style>
  <w:style w:type="paragraph" w:customStyle="1" w:styleId="366">
    <w:name w:val="TOC 标题1"/>
    <w:basedOn w:val="2"/>
    <w:next w:val="1"/>
    <w:qFormat/>
    <w:uiPriority w:val="39"/>
    <w:pPr>
      <w:widowControl/>
      <w:spacing w:beforeLines="0" w:line="276" w:lineRule="auto"/>
      <w:jc w:val="left"/>
      <w:outlineLvl w:val="9"/>
    </w:pPr>
    <w:rPr>
      <w:rFonts w:ascii="Cambria" w:hAnsi="Cambria"/>
      <w:b w:val="0"/>
      <w:bCs/>
      <w:color w:val="365F91"/>
      <w:kern w:val="0"/>
      <w:sz w:val="28"/>
      <w:szCs w:val="28"/>
    </w:rPr>
  </w:style>
  <w:style w:type="paragraph" w:customStyle="1" w:styleId="367">
    <w:name w:val="p22"/>
    <w:basedOn w:val="1"/>
    <w:qFormat/>
    <w:uiPriority w:val="0"/>
    <w:pPr>
      <w:widowControl/>
      <w:jc w:val="left"/>
    </w:pPr>
    <w:rPr>
      <w:kern w:val="0"/>
      <w:szCs w:val="21"/>
    </w:rPr>
  </w:style>
  <w:style w:type="paragraph" w:customStyle="1" w:styleId="368">
    <w:name w:val="样式 小四 行距: 1.5 倍行距 首行缩进:  2 字符"/>
    <w:basedOn w:val="1"/>
    <w:qFormat/>
    <w:uiPriority w:val="0"/>
    <w:pPr>
      <w:spacing w:line="360" w:lineRule="auto"/>
      <w:ind w:firstLine="200" w:firstLineChars="200"/>
    </w:pPr>
    <w:rPr>
      <w:rFonts w:cs="宋体"/>
      <w:sz w:val="24"/>
      <w:szCs w:val="20"/>
    </w:rPr>
  </w:style>
  <w:style w:type="paragraph" w:customStyle="1" w:styleId="369">
    <w:name w:val="Char Char28 Char Char Char Char Char Char"/>
    <w:basedOn w:val="1"/>
    <w:next w:val="1"/>
    <w:qFormat/>
    <w:uiPriority w:val="0"/>
    <w:pPr>
      <w:spacing w:line="360" w:lineRule="auto"/>
      <w:ind w:firstLine="200" w:firstLineChars="200"/>
    </w:pPr>
    <w:rPr>
      <w:rFonts w:ascii="宋体" w:hAnsi="宋体" w:cs="宋体"/>
      <w:sz w:val="24"/>
    </w:rPr>
  </w:style>
  <w:style w:type="paragraph" w:customStyle="1" w:styleId="370">
    <w:name w:val="xl28"/>
    <w:basedOn w:val="1"/>
    <w:qFormat/>
    <w:uiPriority w:val="0"/>
    <w:pPr>
      <w:widowControl/>
      <w:pBdr>
        <w:bottom w:val="single" w:color="auto" w:sz="4" w:space="0"/>
        <w:right w:val="single" w:color="auto" w:sz="4" w:space="0"/>
      </w:pBdr>
      <w:spacing w:before="100" w:beforeAutospacing="1" w:after="100" w:afterAutospacing="1"/>
      <w:jc w:val="center"/>
      <w:textAlignment w:val="top"/>
    </w:pPr>
    <w:rPr>
      <w:kern w:val="0"/>
      <w:szCs w:val="21"/>
    </w:rPr>
  </w:style>
  <w:style w:type="paragraph" w:customStyle="1" w:styleId="371">
    <w:name w:val="reader-word-layer reader-word-s2-5"/>
    <w:basedOn w:val="1"/>
    <w:qFormat/>
    <w:uiPriority w:val="0"/>
    <w:pPr>
      <w:widowControl/>
      <w:spacing w:before="100" w:beforeAutospacing="1" w:after="100" w:afterAutospacing="1"/>
      <w:jc w:val="left"/>
    </w:pPr>
    <w:rPr>
      <w:rFonts w:ascii="宋体" w:hAnsi="宋体" w:cs="宋体"/>
      <w:kern w:val="0"/>
      <w:sz w:val="24"/>
    </w:rPr>
  </w:style>
  <w:style w:type="paragraph" w:customStyle="1" w:styleId="372">
    <w:name w:val="reader-word-layer reader-word-s1-10"/>
    <w:basedOn w:val="1"/>
    <w:qFormat/>
    <w:uiPriority w:val="0"/>
    <w:pPr>
      <w:widowControl/>
      <w:spacing w:before="100" w:beforeAutospacing="1" w:after="100" w:afterAutospacing="1"/>
      <w:jc w:val="left"/>
    </w:pPr>
    <w:rPr>
      <w:rFonts w:ascii="宋体" w:hAnsi="宋体" w:cs="宋体"/>
      <w:kern w:val="0"/>
      <w:sz w:val="24"/>
    </w:rPr>
  </w:style>
  <w:style w:type="paragraph" w:customStyle="1" w:styleId="373">
    <w:name w:val="reader-word-layer reader-word-s3-7"/>
    <w:basedOn w:val="1"/>
    <w:qFormat/>
    <w:uiPriority w:val="0"/>
    <w:pPr>
      <w:widowControl/>
      <w:spacing w:before="100" w:beforeAutospacing="1" w:after="100" w:afterAutospacing="1"/>
      <w:jc w:val="left"/>
    </w:pPr>
    <w:rPr>
      <w:rFonts w:ascii="宋体" w:hAnsi="宋体" w:cs="宋体"/>
      <w:kern w:val="0"/>
      <w:sz w:val="24"/>
    </w:rPr>
  </w:style>
  <w:style w:type="paragraph" w:customStyle="1" w:styleId="374">
    <w:name w:val="dxj正文"/>
    <w:basedOn w:val="1"/>
    <w:qFormat/>
    <w:uiPriority w:val="0"/>
    <w:pPr>
      <w:ind w:firstLine="200" w:firstLineChars="200"/>
    </w:pPr>
    <w:rPr>
      <w:kern w:val="0"/>
      <w:sz w:val="24"/>
    </w:rPr>
  </w:style>
  <w:style w:type="paragraph" w:customStyle="1" w:styleId="375">
    <w:name w:val="(1)"/>
    <w:basedOn w:val="1"/>
    <w:qFormat/>
    <w:uiPriority w:val="0"/>
    <w:rPr>
      <w:sz w:val="24"/>
    </w:rPr>
  </w:style>
  <w:style w:type="paragraph" w:customStyle="1" w:styleId="376">
    <w:name w:val="reader-word-layer reader-word-s1-13"/>
    <w:basedOn w:val="1"/>
    <w:qFormat/>
    <w:uiPriority w:val="0"/>
    <w:pPr>
      <w:widowControl/>
      <w:spacing w:before="100" w:beforeAutospacing="1" w:after="100" w:afterAutospacing="1"/>
      <w:jc w:val="left"/>
    </w:pPr>
    <w:rPr>
      <w:rFonts w:ascii="宋体" w:hAnsi="宋体" w:cs="宋体"/>
      <w:kern w:val="0"/>
      <w:sz w:val="24"/>
    </w:rPr>
  </w:style>
  <w:style w:type="paragraph" w:customStyle="1" w:styleId="377">
    <w:name w:val="样式 标题 3标题3小标题1.1.1标题 3 + 段后: 4 磅1"/>
    <w:basedOn w:val="4"/>
    <w:semiHidden/>
    <w:qFormat/>
    <w:uiPriority w:val="0"/>
    <w:pPr>
      <w:widowControl/>
      <w:snapToGrid w:val="0"/>
      <w:spacing w:before="0" w:after="80" w:line="440" w:lineRule="exact"/>
      <w:ind w:left="805" w:hanging="709"/>
      <w:jc w:val="left"/>
    </w:pPr>
    <w:rPr>
      <w:rFonts w:eastAsia="黑体"/>
      <w:b w:val="0"/>
      <w:bCs w:val="0"/>
      <w:spacing w:val="-5"/>
      <w:kern w:val="28"/>
      <w:sz w:val="24"/>
      <w:szCs w:val="20"/>
    </w:rPr>
  </w:style>
  <w:style w:type="paragraph" w:customStyle="1" w:styleId="378">
    <w:name w:val="样式11"/>
    <w:basedOn w:val="1"/>
    <w:qFormat/>
    <w:uiPriority w:val="0"/>
    <w:pPr>
      <w:spacing w:line="500" w:lineRule="exact"/>
    </w:pPr>
    <w:rPr>
      <w:rFonts w:ascii="黑体" w:eastAsia="黑体"/>
      <w:b/>
      <w:bCs/>
      <w:sz w:val="28"/>
    </w:rPr>
  </w:style>
  <w:style w:type="paragraph" w:customStyle="1" w:styleId="379">
    <w:name w:val="三级标题"/>
    <w:basedOn w:val="1"/>
    <w:next w:val="50"/>
    <w:qFormat/>
    <w:uiPriority w:val="0"/>
    <w:pPr>
      <w:adjustRightInd w:val="0"/>
      <w:snapToGrid w:val="0"/>
      <w:spacing w:line="280" w:lineRule="exact"/>
      <w:jc w:val="center"/>
    </w:pPr>
    <w:rPr>
      <w:bCs/>
      <w:color w:val="FF0000"/>
      <w:kern w:val="0"/>
      <w:szCs w:val="21"/>
    </w:rPr>
  </w:style>
  <w:style w:type="paragraph" w:customStyle="1" w:styleId="380">
    <w:name w:val="1表格"/>
    <w:basedOn w:val="381"/>
    <w:qFormat/>
    <w:uiPriority w:val="0"/>
    <w:pPr>
      <w:spacing w:line="360" w:lineRule="exact"/>
      <w:ind w:firstLine="0" w:firstLineChars="0"/>
      <w:jc w:val="center"/>
      <w:textAlignment w:val="center"/>
    </w:pPr>
    <w:rPr>
      <w:bCs w:val="0"/>
      <w:snapToGrid/>
      <w:kern w:val="2"/>
      <w:sz w:val="21"/>
    </w:rPr>
  </w:style>
  <w:style w:type="paragraph" w:customStyle="1" w:styleId="381">
    <w:name w:val="1文章"/>
    <w:basedOn w:val="1"/>
    <w:qFormat/>
    <w:uiPriority w:val="0"/>
    <w:pPr>
      <w:snapToGrid w:val="0"/>
      <w:spacing w:line="360" w:lineRule="auto"/>
      <w:ind w:firstLine="496" w:firstLineChars="200"/>
      <w:outlineLvl w:val="4"/>
    </w:pPr>
    <w:rPr>
      <w:bCs/>
      <w:snapToGrid w:val="0"/>
      <w:spacing w:val="4"/>
      <w:kern w:val="0"/>
      <w:sz w:val="24"/>
    </w:rPr>
  </w:style>
  <w:style w:type="paragraph" w:customStyle="1" w:styleId="382">
    <w:name w:val="p19"/>
    <w:basedOn w:val="1"/>
    <w:qFormat/>
    <w:uiPriority w:val="0"/>
    <w:pPr>
      <w:widowControl/>
      <w:snapToGrid w:val="0"/>
      <w:spacing w:before="312" w:after="249"/>
      <w:jc w:val="center"/>
    </w:pPr>
    <w:rPr>
      <w:kern w:val="0"/>
      <w:sz w:val="30"/>
      <w:szCs w:val="30"/>
    </w:rPr>
  </w:style>
  <w:style w:type="paragraph" w:customStyle="1" w:styleId="383">
    <w:name w:val="样式 宋体 四号1"/>
    <w:basedOn w:val="1"/>
    <w:qFormat/>
    <w:uiPriority w:val="0"/>
    <w:pPr>
      <w:ind w:firstLine="200" w:firstLineChars="200"/>
    </w:pPr>
    <w:rPr>
      <w:rFonts w:ascii="宋体" w:hAnsi="宋体" w:cs="宋体"/>
      <w:sz w:val="28"/>
      <w:szCs w:val="20"/>
    </w:rPr>
  </w:style>
  <w:style w:type="paragraph" w:customStyle="1" w:styleId="384">
    <w:name w:val="reader-word-layer reader-word-s1-15"/>
    <w:basedOn w:val="1"/>
    <w:qFormat/>
    <w:uiPriority w:val="0"/>
    <w:pPr>
      <w:widowControl/>
      <w:spacing w:before="100" w:beforeAutospacing="1" w:after="100" w:afterAutospacing="1"/>
      <w:jc w:val="left"/>
    </w:pPr>
    <w:rPr>
      <w:rFonts w:ascii="宋体" w:hAnsi="宋体" w:cs="宋体"/>
      <w:kern w:val="0"/>
      <w:sz w:val="24"/>
    </w:rPr>
  </w:style>
  <w:style w:type="paragraph" w:customStyle="1" w:styleId="385">
    <w:name w:val="brdrw15brsp20 tqctx4153t"/>
    <w:qFormat/>
    <w:uiPriority w:val="0"/>
    <w:pPr>
      <w:widowControl w:val="0"/>
      <w:pBdr>
        <w:bottom w:val="single" w:color="auto" w:sz="6" w:space="0"/>
      </w:pBdr>
      <w:adjustRightInd w:val="0"/>
      <w:spacing w:line="312" w:lineRule="atLeast"/>
      <w:jc w:val="center"/>
      <w:textAlignment w:val="baseline"/>
    </w:pPr>
    <w:rPr>
      <w:rFonts w:ascii="Times New Roman" w:hAnsi="Times New Roman" w:eastAsia="宋体" w:cs="Times New Roman"/>
      <w:sz w:val="21"/>
      <w:lang w:val="en-US" w:eastAsia="zh-CN" w:bidi="ar-SA"/>
    </w:rPr>
  </w:style>
  <w:style w:type="paragraph" w:customStyle="1" w:styleId="386">
    <w:name w:val="reader-word-layer reader-word-s2-9"/>
    <w:basedOn w:val="1"/>
    <w:qFormat/>
    <w:uiPriority w:val="0"/>
    <w:pPr>
      <w:widowControl/>
      <w:spacing w:before="100" w:beforeAutospacing="1" w:after="100" w:afterAutospacing="1"/>
      <w:jc w:val="left"/>
    </w:pPr>
    <w:rPr>
      <w:rFonts w:ascii="宋体" w:hAnsi="宋体" w:cs="宋体"/>
      <w:kern w:val="0"/>
      <w:sz w:val="24"/>
    </w:rPr>
  </w:style>
  <w:style w:type="paragraph" w:customStyle="1" w:styleId="387">
    <w:name w:val="xl35"/>
    <w:basedOn w:val="1"/>
    <w:qFormat/>
    <w:uiPriority w:val="0"/>
    <w:pPr>
      <w:widowControl/>
      <w:spacing w:before="100" w:beforeAutospacing="1" w:after="100" w:afterAutospacing="1"/>
      <w:jc w:val="center"/>
      <w:textAlignment w:val="center"/>
    </w:pPr>
    <w:rPr>
      <w:rFonts w:ascii="Arial Unicode MS" w:hAnsi="Arial Unicode MS" w:eastAsia="Arial Unicode MS"/>
      <w:kern w:val="0"/>
      <w:sz w:val="24"/>
    </w:rPr>
  </w:style>
  <w:style w:type="paragraph" w:customStyle="1" w:styleId="388">
    <w:name w:val="表格字体"/>
    <w:basedOn w:val="9"/>
    <w:qFormat/>
    <w:uiPriority w:val="0"/>
    <w:pPr>
      <w:adjustRightInd w:val="0"/>
      <w:spacing w:line="300" w:lineRule="exact"/>
      <w:ind w:firstLine="0" w:firstLineChars="0"/>
      <w:jc w:val="center"/>
    </w:pPr>
    <w:rPr>
      <w:sz w:val="18"/>
    </w:rPr>
  </w:style>
  <w:style w:type="paragraph" w:customStyle="1" w:styleId="389">
    <w:name w:val="项目正文"/>
    <w:basedOn w:val="1"/>
    <w:qFormat/>
    <w:uiPriority w:val="0"/>
    <w:pPr>
      <w:spacing w:line="360" w:lineRule="auto"/>
      <w:ind w:firstLine="200" w:firstLineChars="200"/>
    </w:pPr>
    <w:rPr>
      <w:sz w:val="24"/>
    </w:rPr>
  </w:style>
  <w:style w:type="paragraph" w:customStyle="1" w:styleId="390">
    <w:name w:val="p20"/>
    <w:basedOn w:val="1"/>
    <w:qFormat/>
    <w:uiPriority w:val="0"/>
    <w:pPr>
      <w:widowControl/>
      <w:snapToGrid w:val="0"/>
      <w:spacing w:line="560" w:lineRule="atLeast"/>
      <w:ind w:firstLine="420"/>
      <w:jc w:val="left"/>
    </w:pPr>
    <w:rPr>
      <w:rFonts w:ascii="宋体" w:hAnsi="宋体" w:cs="宋体"/>
      <w:color w:val="000000"/>
      <w:kern w:val="0"/>
      <w:sz w:val="28"/>
      <w:szCs w:val="28"/>
    </w:rPr>
  </w:style>
  <w:style w:type="paragraph" w:customStyle="1" w:styleId="391">
    <w:name w:val="样式 样式 样式 正文@ + 首行缩进:  2 字符 + 首行缩进:  2 字符 + 行距: 多倍行距 1.3 字行"/>
    <w:basedOn w:val="195"/>
    <w:qFormat/>
    <w:uiPriority w:val="0"/>
  </w:style>
  <w:style w:type="paragraph" w:customStyle="1" w:styleId="392">
    <w:name w:val="表格五号秦斐"/>
    <w:basedOn w:val="1"/>
    <w:qFormat/>
    <w:uiPriority w:val="0"/>
    <w:pPr>
      <w:spacing w:line="240" w:lineRule="atLeast"/>
      <w:ind w:right="-269" w:rightChars="-128"/>
      <w:jc w:val="center"/>
    </w:pPr>
    <w:rPr>
      <w:rFonts w:eastAsia="楷体_GB2312"/>
      <w:spacing w:val="6"/>
      <w:szCs w:val="21"/>
    </w:rPr>
  </w:style>
  <w:style w:type="paragraph" w:customStyle="1" w:styleId="393">
    <w:name w:val="表格式"/>
    <w:basedOn w:val="38"/>
    <w:qFormat/>
    <w:uiPriority w:val="0"/>
    <w:pPr>
      <w:spacing w:beforeLines="50" w:afterLines="50" w:line="200" w:lineRule="exact"/>
      <w:ind w:left="0" w:firstLine="0" w:firstLineChars="0"/>
      <w:jc w:val="center"/>
    </w:pPr>
    <w:rPr>
      <w:szCs w:val="20"/>
    </w:rPr>
  </w:style>
  <w:style w:type="paragraph" w:customStyle="1" w:styleId="394">
    <w:name w:val="表格正文"/>
    <w:qFormat/>
    <w:uiPriority w:val="0"/>
    <w:pPr>
      <w:spacing w:line="360" w:lineRule="auto"/>
      <w:jc w:val="center"/>
    </w:pPr>
    <w:rPr>
      <w:rFonts w:ascii="Calibri" w:hAnsi="Calibri" w:eastAsia="宋体" w:cs="Times New Roman"/>
      <w:szCs w:val="21"/>
      <w:lang w:val="en-US" w:eastAsia="zh-CN" w:bidi="ar-SA"/>
    </w:rPr>
  </w:style>
  <w:style w:type="paragraph" w:customStyle="1" w:styleId="395">
    <w:name w:val="正文正"/>
    <w:basedOn w:val="1"/>
    <w:qFormat/>
    <w:uiPriority w:val="0"/>
    <w:pPr>
      <w:ind w:firstLine="567"/>
    </w:pPr>
    <w:rPr>
      <w:rFonts w:ascii="宋体"/>
      <w:bCs/>
      <w:sz w:val="24"/>
    </w:rPr>
  </w:style>
  <w:style w:type="paragraph" w:customStyle="1" w:styleId="396">
    <w:name w:val="样式 标题 3 + 段后: 1 行"/>
    <w:basedOn w:val="4"/>
    <w:semiHidden/>
    <w:qFormat/>
    <w:uiPriority w:val="0"/>
    <w:pPr>
      <w:tabs>
        <w:tab w:val="left" w:pos="840"/>
        <w:tab w:val="left" w:pos="868"/>
        <w:tab w:val="left" w:pos="896"/>
        <w:tab w:val="left" w:pos="1041"/>
      </w:tabs>
      <w:adjustRightInd w:val="0"/>
      <w:spacing w:before="180" w:afterLines="100" w:line="416" w:lineRule="atLeast"/>
      <w:ind w:left="1041" w:hanging="720"/>
      <w:textAlignment w:val="baseline"/>
    </w:pPr>
    <w:rPr>
      <w:rFonts w:eastAsia="黑体"/>
      <w:b w:val="0"/>
      <w:bCs w:val="0"/>
      <w:color w:val="000000"/>
      <w:kern w:val="0"/>
      <w:sz w:val="30"/>
      <w:szCs w:val="20"/>
    </w:rPr>
  </w:style>
  <w:style w:type="paragraph" w:customStyle="1" w:styleId="397">
    <w:name w:val="Char Char Char Char1"/>
    <w:basedOn w:val="1"/>
    <w:qFormat/>
    <w:uiPriority w:val="0"/>
    <w:rPr>
      <w:szCs w:val="21"/>
    </w:rPr>
  </w:style>
  <w:style w:type="paragraph" w:customStyle="1" w:styleId="398">
    <w:name w:val="表文"/>
    <w:basedOn w:val="1"/>
    <w:qFormat/>
    <w:uiPriority w:val="0"/>
    <w:pPr>
      <w:tabs>
        <w:tab w:val="left" w:pos="1021"/>
      </w:tabs>
      <w:spacing w:line="300" w:lineRule="auto"/>
      <w:jc w:val="center"/>
    </w:pPr>
    <w:rPr>
      <w:kern w:val="0"/>
      <w:position w:val="-24"/>
      <w:sz w:val="24"/>
      <w:szCs w:val="21"/>
    </w:rPr>
  </w:style>
  <w:style w:type="paragraph" w:customStyle="1" w:styleId="399">
    <w:name w:val="样式 正文 +1"/>
    <w:basedOn w:val="1"/>
    <w:qFormat/>
    <w:uiPriority w:val="0"/>
    <w:pPr>
      <w:spacing w:line="360" w:lineRule="auto"/>
      <w:ind w:firstLine="200" w:firstLineChars="200"/>
      <w:jc w:val="left"/>
    </w:pPr>
    <w:rPr>
      <w:rFonts w:cs="宋体"/>
      <w:sz w:val="24"/>
      <w:szCs w:val="20"/>
    </w:rPr>
  </w:style>
  <w:style w:type="paragraph" w:customStyle="1" w:styleId="400">
    <w:name w:val="reader-word-layer reader-word-s2-7"/>
    <w:basedOn w:val="1"/>
    <w:qFormat/>
    <w:uiPriority w:val="0"/>
    <w:pPr>
      <w:widowControl/>
      <w:spacing w:before="100" w:beforeAutospacing="1" w:after="100" w:afterAutospacing="1"/>
      <w:jc w:val="left"/>
    </w:pPr>
    <w:rPr>
      <w:rFonts w:ascii="宋体" w:hAnsi="宋体" w:cs="宋体"/>
      <w:kern w:val="0"/>
      <w:sz w:val="24"/>
    </w:rPr>
  </w:style>
  <w:style w:type="paragraph" w:customStyle="1" w:styleId="401">
    <w:name w:val="Char Char Char Char Char Char Char Char Char Char Char Char Char Char Char Char Char Char"/>
    <w:basedOn w:val="1"/>
    <w:semiHidden/>
    <w:qFormat/>
    <w:uiPriority w:val="0"/>
    <w:rPr>
      <w:szCs w:val="21"/>
    </w:rPr>
  </w:style>
  <w:style w:type="paragraph" w:customStyle="1" w:styleId="402">
    <w:name w:val="Table Paragraph"/>
    <w:basedOn w:val="1"/>
    <w:qFormat/>
    <w:uiPriority w:val="1"/>
    <w:pPr>
      <w:widowControl/>
      <w:jc w:val="left"/>
    </w:pPr>
    <w:rPr>
      <w:rFonts w:ascii="Calibri" w:hAnsi="Calibri"/>
      <w:kern w:val="0"/>
      <w:sz w:val="22"/>
      <w:szCs w:val="22"/>
    </w:rPr>
  </w:style>
  <w:style w:type="paragraph" w:customStyle="1" w:styleId="403">
    <w:name w:val="样式 标题 3标题3小标题1.1.1标题 3 + 段后: 4 磅2"/>
    <w:basedOn w:val="4"/>
    <w:semiHidden/>
    <w:qFormat/>
    <w:uiPriority w:val="0"/>
    <w:pPr>
      <w:widowControl/>
      <w:snapToGrid w:val="0"/>
      <w:spacing w:before="0" w:after="80" w:line="440" w:lineRule="exact"/>
      <w:ind w:left="805" w:hanging="709"/>
      <w:jc w:val="left"/>
    </w:pPr>
    <w:rPr>
      <w:rFonts w:eastAsia="黑体"/>
      <w:b w:val="0"/>
      <w:bCs w:val="0"/>
      <w:spacing w:val="-5"/>
      <w:kern w:val="28"/>
      <w:sz w:val="24"/>
      <w:szCs w:val="20"/>
    </w:rPr>
  </w:style>
  <w:style w:type="paragraph" w:customStyle="1" w:styleId="404">
    <w:name w:val="reader-word-layer reader-word-s1-20"/>
    <w:basedOn w:val="1"/>
    <w:qFormat/>
    <w:uiPriority w:val="0"/>
    <w:pPr>
      <w:widowControl/>
      <w:spacing w:before="100" w:beforeAutospacing="1" w:after="100" w:afterAutospacing="1"/>
      <w:jc w:val="left"/>
    </w:pPr>
    <w:rPr>
      <w:rFonts w:ascii="宋体" w:hAnsi="宋体" w:cs="宋体"/>
      <w:kern w:val="0"/>
      <w:sz w:val="24"/>
    </w:rPr>
  </w:style>
  <w:style w:type="paragraph" w:customStyle="1" w:styleId="405">
    <w:name w:val="样式 标题 3 + 首行缩进:  2 字符"/>
    <w:basedOn w:val="4"/>
    <w:semiHidden/>
    <w:qFormat/>
    <w:uiPriority w:val="0"/>
    <w:pPr>
      <w:tabs>
        <w:tab w:val="left" w:pos="720"/>
      </w:tabs>
      <w:spacing w:before="120" w:after="120" w:line="240" w:lineRule="auto"/>
      <w:ind w:left="720" w:hanging="709"/>
    </w:pPr>
    <w:rPr>
      <w:szCs w:val="20"/>
    </w:rPr>
  </w:style>
  <w:style w:type="paragraph" w:customStyle="1" w:styleId="406">
    <w:name w:val="样式 标题 3标题 13标题 3 Char1 Char Char Char标题 31ReHead 3 WSAh3B..."/>
    <w:basedOn w:val="4"/>
    <w:qFormat/>
    <w:uiPriority w:val="0"/>
    <w:pPr>
      <w:tabs>
        <w:tab w:val="left" w:pos="560"/>
      </w:tabs>
      <w:snapToGrid w:val="0"/>
      <w:spacing w:before="156" w:afterLines="20" w:line="360" w:lineRule="auto"/>
      <w:jc w:val="left"/>
    </w:pPr>
    <w:rPr>
      <w:sz w:val="24"/>
      <w:szCs w:val="24"/>
      <w:lang w:val="zh-CN"/>
    </w:rPr>
  </w:style>
  <w:style w:type="paragraph" w:customStyle="1" w:styleId="407">
    <w:name w:val="reader-word-layer reader-word-s1-14"/>
    <w:basedOn w:val="1"/>
    <w:qFormat/>
    <w:uiPriority w:val="0"/>
    <w:pPr>
      <w:widowControl/>
      <w:spacing w:before="100" w:beforeAutospacing="1" w:after="100" w:afterAutospacing="1"/>
      <w:jc w:val="left"/>
    </w:pPr>
    <w:rPr>
      <w:rFonts w:ascii="宋体" w:hAnsi="宋体" w:cs="宋体"/>
      <w:kern w:val="0"/>
      <w:sz w:val="24"/>
    </w:rPr>
  </w:style>
  <w:style w:type="paragraph" w:customStyle="1" w:styleId="408">
    <w:name w:val="reader-word-layer reader-word-s2-8"/>
    <w:basedOn w:val="1"/>
    <w:qFormat/>
    <w:uiPriority w:val="0"/>
    <w:pPr>
      <w:widowControl/>
      <w:spacing w:before="100" w:beforeAutospacing="1" w:after="100" w:afterAutospacing="1"/>
      <w:jc w:val="left"/>
    </w:pPr>
    <w:rPr>
      <w:rFonts w:ascii="宋体" w:hAnsi="宋体" w:cs="宋体"/>
      <w:kern w:val="0"/>
      <w:sz w:val="24"/>
    </w:rPr>
  </w:style>
  <w:style w:type="table" w:customStyle="1" w:styleId="409">
    <w:name w:val="网格型3"/>
    <w:basedOn w:val="51"/>
    <w:qFormat/>
    <w:uiPriority w:val="59"/>
    <w:rPr>
      <w:rFonts w:ascii="Calibri" w:hAnsi="Calibri"/>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410">
    <w:name w:val="网格型2"/>
    <w:basedOn w:val="51"/>
    <w:qFormat/>
    <w:uiPriority w:val="59"/>
    <w:rPr>
      <w:rFonts w:ascii="Calibri" w:hAnsi="Calibri"/>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411">
    <w:name w:val="网格型7"/>
    <w:basedOn w:val="51"/>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12">
    <w:name w:val="表格样式100"/>
    <w:basedOn w:val="52"/>
    <w:qFormat/>
    <w:uiPriority w:val="0"/>
    <w:pPr>
      <w:overflowPunct w:val="0"/>
      <w:topLinePunct/>
      <w:autoSpaceDE w:val="0"/>
      <w:autoSpaceDN w:val="0"/>
      <w:adjustRightInd w:val="0"/>
      <w:snapToGrid w:val="0"/>
      <w:spacing w:line="400" w:lineRule="exact"/>
      <w:jc w:val="center"/>
    </w:pPr>
    <w:rPr>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413">
    <w:name w:val="网格型1"/>
    <w:basedOn w:val="51"/>
    <w:qFormat/>
    <w:uiPriority w:val="59"/>
    <w:rPr>
      <w:rFonts w:ascii="Calibri" w:hAnsi="Calibri"/>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414">
    <w:name w:val="网格型5"/>
    <w:basedOn w:val="51"/>
    <w:qFormat/>
    <w:uiPriority w:val="59"/>
    <w:rPr>
      <w:rFonts w:ascii="Calibri" w:hAnsi="Calibri"/>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415">
    <w:name w:val="网格型4"/>
    <w:basedOn w:val="51"/>
    <w:qFormat/>
    <w:uiPriority w:val="59"/>
    <w:rPr>
      <w:rFonts w:ascii="Calibri" w:hAnsi="Calibri"/>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416">
    <w:name w:val="网格型6"/>
    <w:basedOn w:val="51"/>
    <w:qFormat/>
    <w:uiPriority w:val="59"/>
    <w:rPr>
      <w:rFonts w:ascii="Calibri" w:hAnsi="Calibri"/>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paragraph" w:customStyle="1" w:styleId="417">
    <w:name w:val="标题二"/>
    <w:basedOn w:val="1"/>
    <w:qFormat/>
    <w:uiPriority w:val="0"/>
    <w:pPr>
      <w:widowControl/>
      <w:spacing w:line="500" w:lineRule="exact"/>
      <w:jc w:val="left"/>
    </w:pPr>
    <w:rPr>
      <w:kern w:val="0"/>
      <w:sz w:val="24"/>
      <w:szCs w:val="20"/>
    </w:rPr>
  </w:style>
  <w:style w:type="character" w:customStyle="1" w:styleId="418">
    <w:name w:val="正文文本缩进 2 Char"/>
    <w:link w:val="33"/>
    <w:qFormat/>
    <w:uiPriority w:val="0"/>
    <w:rPr>
      <w:kern w:val="2"/>
      <w:sz w:val="21"/>
      <w:szCs w:val="24"/>
    </w:rPr>
  </w:style>
  <w:style w:type="character" w:customStyle="1" w:styleId="419">
    <w:name w:val="表格文字 Char Char"/>
    <w:qFormat/>
    <w:uiPriority w:val="99"/>
    <w:rPr>
      <w:kern w:val="2"/>
      <w:sz w:val="28"/>
    </w:rPr>
  </w:style>
  <w:style w:type="paragraph" w:customStyle="1" w:styleId="420">
    <w:name w:val="Normal_0"/>
    <w:qFormat/>
    <w:uiPriority w:val="0"/>
    <w:rPr>
      <w:rFonts w:ascii="Times New Roman" w:hAnsi="Times New Roman" w:eastAsia="宋体" w:cs="Times New Roman"/>
      <w:sz w:val="24"/>
      <w:szCs w:val="24"/>
      <w:lang w:val="en-US" w:eastAsia="zh-CN" w:bidi="ar-SA"/>
    </w:rPr>
  </w:style>
  <w:style w:type="paragraph" w:customStyle="1" w:styleId="421">
    <w:name w:val="样式 仿宋_GB2312 四号 两端对齐 行距: 固定值 25 磅"/>
    <w:basedOn w:val="1"/>
    <w:qFormat/>
    <w:uiPriority w:val="0"/>
    <w:pPr>
      <w:spacing w:line="500" w:lineRule="exact"/>
      <w:ind w:firstLine="560" w:firstLineChars="200"/>
    </w:pPr>
    <w:rPr>
      <w:rFonts w:ascii="仿宋_GB2312" w:cs="宋体"/>
      <w:sz w:val="28"/>
    </w:rPr>
  </w:style>
  <w:style w:type="character" w:customStyle="1" w:styleId="422">
    <w:name w:val="表格 Char"/>
    <w:link w:val="423"/>
    <w:qFormat/>
    <w:uiPriority w:val="99"/>
    <w:rPr>
      <w:sz w:val="21"/>
      <w:szCs w:val="24"/>
    </w:rPr>
  </w:style>
  <w:style w:type="paragraph" w:customStyle="1" w:styleId="423">
    <w:name w:val="表格"/>
    <w:basedOn w:val="66"/>
    <w:next w:val="66"/>
    <w:link w:val="422"/>
    <w:qFormat/>
    <w:uiPriority w:val="99"/>
    <w:pPr>
      <w:widowControl w:val="0"/>
      <w:snapToGrid w:val="0"/>
      <w:spacing w:beforeLines="0" w:afterLines="0" w:line="360" w:lineRule="exact"/>
      <w:ind w:firstLine="0" w:firstLineChars="0"/>
      <w:jc w:val="center"/>
      <w:textAlignment w:val="baseline"/>
    </w:pPr>
    <w:rPr>
      <w:rFonts w:ascii="Times New Roman" w:hAnsi="Times New Roman"/>
      <w:sz w:val="21"/>
    </w:rPr>
  </w:style>
  <w:style w:type="character" w:customStyle="1" w:styleId="424">
    <w:name w:val="表格内容 Char"/>
    <w:link w:val="285"/>
    <w:qFormat/>
    <w:uiPriority w:val="0"/>
    <w:rPr>
      <w:kern w:val="2"/>
      <w:sz w:val="21"/>
      <w:szCs w:val="24"/>
    </w:rPr>
  </w:style>
  <w:style w:type="character" w:customStyle="1" w:styleId="425">
    <w:name w:val="环评书正文 Char"/>
    <w:link w:val="426"/>
    <w:qFormat/>
    <w:locked/>
    <w:uiPriority w:val="99"/>
    <w:rPr>
      <w:kern w:val="2"/>
      <w:sz w:val="24"/>
    </w:rPr>
  </w:style>
  <w:style w:type="paragraph" w:customStyle="1" w:styleId="426">
    <w:name w:val="环评书正文"/>
    <w:basedOn w:val="1"/>
    <w:link w:val="425"/>
    <w:qFormat/>
    <w:uiPriority w:val="99"/>
    <w:pPr>
      <w:adjustRightInd w:val="0"/>
      <w:snapToGrid w:val="0"/>
      <w:spacing w:line="500" w:lineRule="exact"/>
      <w:ind w:firstLine="480" w:firstLineChars="200"/>
    </w:pPr>
    <w:rPr>
      <w:sz w:val="24"/>
      <w:szCs w:val="20"/>
    </w:rPr>
  </w:style>
  <w:style w:type="character" w:customStyle="1" w:styleId="427">
    <w:name w:val="_Style 12"/>
    <w:qFormat/>
    <w:uiPriority w:val="19"/>
    <w:rPr>
      <w:rFonts w:ascii="Times New Roman" w:hAnsi="Times New Roman" w:eastAsia="宋体"/>
      <w:b/>
      <w:iCs/>
      <w:color w:val="auto"/>
      <w:sz w:val="21"/>
    </w:rPr>
  </w:style>
  <w:style w:type="paragraph" w:customStyle="1" w:styleId="428">
    <w:name w:val="宋体 13 磅 行距: 固定值 24 磅"/>
    <w:basedOn w:val="1"/>
    <w:qFormat/>
    <w:uiPriority w:val="0"/>
    <w:pPr>
      <w:widowControl/>
      <w:spacing w:line="480" w:lineRule="exact"/>
      <w:ind w:firstLine="520" w:firstLineChars="200"/>
      <w:jc w:val="left"/>
    </w:pPr>
    <w:rPr>
      <w:rFonts w:ascii="宋体" w:hAnsi="宋体"/>
      <w:kern w:val="0"/>
      <w:sz w:val="26"/>
      <w:szCs w:val="20"/>
    </w:rPr>
  </w:style>
  <w:style w:type="paragraph" w:customStyle="1" w:styleId="429">
    <w:name w:val="深泽正文"/>
    <w:basedOn w:val="29"/>
    <w:qFormat/>
    <w:uiPriority w:val="0"/>
    <w:pPr>
      <w:adjustRightInd w:val="0"/>
      <w:snapToGrid w:val="0"/>
      <w:spacing w:line="440" w:lineRule="exact"/>
      <w:ind w:firstLine="488" w:firstLineChars="200"/>
    </w:pPr>
    <w:rPr>
      <w:rFonts w:ascii="Times New Roman" w:hAnsi="Times New Roman"/>
      <w:spacing w:val="4"/>
      <w:kern w:val="0"/>
      <w:sz w:val="24"/>
      <w:szCs w:val="24"/>
    </w:rPr>
  </w:style>
  <w:style w:type="paragraph" w:customStyle="1" w:styleId="430">
    <w:name w:val="Other|1"/>
    <w:basedOn w:val="1"/>
    <w:qFormat/>
    <w:uiPriority w:val="0"/>
    <w:pPr>
      <w:spacing w:line="427" w:lineRule="auto"/>
      <w:ind w:firstLine="400"/>
    </w:pPr>
    <w:rPr>
      <w:rFonts w:ascii="宋体" w:hAnsi="宋体" w:cs="宋体"/>
      <w:sz w:val="28"/>
      <w:szCs w:val="28"/>
      <w:lang w:val="zh-TW" w:eastAsia="zh-TW" w:bidi="zh-TW"/>
    </w:rPr>
  </w:style>
  <w:style w:type="paragraph" w:customStyle="1" w:styleId="431">
    <w:name w:val="正文（缩进）"/>
    <w:basedOn w:val="1"/>
    <w:next w:val="1"/>
    <w:qFormat/>
    <w:uiPriority w:val="99"/>
    <w:pPr>
      <w:spacing w:line="360" w:lineRule="auto"/>
      <w:ind w:firstLine="480" w:firstLineChars="200"/>
    </w:pPr>
    <w:rPr>
      <w:rFonts w:ascii="Calibri" w:hAnsi="Calibri"/>
      <w:sz w:val="24"/>
    </w:rPr>
  </w:style>
  <w:style w:type="paragraph" w:customStyle="1" w:styleId="432">
    <w:name w:val="正文缩进2"/>
    <w:basedOn w:val="1"/>
    <w:qFormat/>
    <w:uiPriority w:val="0"/>
    <w:pPr>
      <w:ind w:firstLine="480" w:firstLineChars="200"/>
    </w:pPr>
    <w:rPr>
      <w:rFonts w:ascii="Arial" w:hAnsi="Arial"/>
      <w:snapToGrid w:val="0"/>
      <w:sz w:val="24"/>
      <w:szCs w:val="20"/>
    </w:rPr>
  </w:style>
  <w:style w:type="paragraph" w:customStyle="1" w:styleId="433">
    <w:name w:val="新格式表"/>
    <w:basedOn w:val="1"/>
    <w:qFormat/>
    <w:uiPriority w:val="0"/>
    <w:pPr>
      <w:adjustRightInd w:val="0"/>
      <w:snapToGrid w:val="0"/>
      <w:spacing w:line="0" w:lineRule="atLeast"/>
      <w:jc w:val="center"/>
    </w:pPr>
    <w:rPr>
      <w:color w:val="000000"/>
      <w:kern w:val="0"/>
      <w:szCs w:val="21"/>
    </w:rPr>
  </w:style>
  <w:style w:type="character" w:customStyle="1" w:styleId="434">
    <w:name w:val="radio-btn"/>
    <w:basedOn w:val="57"/>
    <w:qFormat/>
    <w:uiPriority w:val="0"/>
    <w:rPr>
      <w:sz w:val="21"/>
      <w:szCs w:val="21"/>
    </w:rPr>
  </w:style>
  <w:style w:type="character" w:customStyle="1" w:styleId="435">
    <w:name w:val="radio-btn1"/>
    <w:basedOn w:val="57"/>
    <w:qFormat/>
    <w:uiPriority w:val="0"/>
    <w:rPr>
      <w:sz w:val="24"/>
      <w:szCs w:val="24"/>
    </w:rPr>
  </w:style>
  <w:style w:type="character" w:customStyle="1" w:styleId="436">
    <w:name w:val="radio-btn2"/>
    <w:basedOn w:val="57"/>
    <w:qFormat/>
    <w:uiPriority w:val="0"/>
    <w:rPr>
      <w:sz w:val="24"/>
      <w:szCs w:val="24"/>
    </w:rPr>
  </w:style>
  <w:style w:type="character" w:customStyle="1" w:styleId="437">
    <w:name w:val="cur1"/>
    <w:basedOn w:val="57"/>
    <w:qFormat/>
    <w:uiPriority w:val="0"/>
    <w:rPr>
      <w:color w:val="FFFFFF"/>
      <w:shd w:val="clear" w:color="auto" w:fill="2F6B98"/>
    </w:rPr>
  </w:style>
  <w:style w:type="character" w:customStyle="1" w:styleId="438">
    <w:name w:val="znspantitle"/>
    <w:basedOn w:val="57"/>
    <w:qFormat/>
    <w:uiPriority w:val="0"/>
    <w:rPr>
      <w:b/>
      <w:bCs/>
      <w:color w:val="333333"/>
    </w:rPr>
  </w:style>
  <w:style w:type="character" w:customStyle="1" w:styleId="439">
    <w:name w:val="lable"/>
    <w:basedOn w:val="57"/>
    <w:qFormat/>
    <w:uiPriority w:val="0"/>
    <w:rPr>
      <w:sz w:val="24"/>
      <w:szCs w:val="24"/>
    </w:rPr>
  </w:style>
  <w:style w:type="character" w:customStyle="1" w:styleId="440">
    <w:name w:val="lishishuju"/>
    <w:basedOn w:val="57"/>
    <w:qFormat/>
    <w:uiPriority w:val="0"/>
    <w:rPr>
      <w:b/>
      <w:bCs/>
      <w:color w:val="000052"/>
      <w:sz w:val="24"/>
      <w:szCs w:val="24"/>
      <w:bdr w:val="single" w:color="E3E3E3" w:sz="6" w:space="0"/>
    </w:rPr>
  </w:style>
  <w:style w:type="paragraph" w:customStyle="1" w:styleId="441">
    <w:name w:val="zx正文"/>
    <w:basedOn w:val="1"/>
    <w:qFormat/>
    <w:uiPriority w:val="0"/>
    <w:pPr>
      <w:spacing w:line="360" w:lineRule="auto"/>
      <w:ind w:firstLine="200" w:firstLineChars="200"/>
      <w:jc w:val="left"/>
    </w:pPr>
    <w:rPr>
      <w:kern w:val="0"/>
      <w:sz w:val="24"/>
      <w:szCs w:val="28"/>
    </w:rPr>
  </w:style>
  <w:style w:type="character" w:customStyle="1" w:styleId="442">
    <w:name w:val="cur"/>
    <w:basedOn w:val="57"/>
    <w:qFormat/>
    <w:uiPriority w:val="0"/>
    <w:rPr>
      <w:color w:val="FFFFFF"/>
      <w:shd w:val="clear" w:fill="2F6B98"/>
    </w:rPr>
  </w:style>
  <w:style w:type="paragraph" w:customStyle="1" w:styleId="443">
    <w:name w:val="Body Text Indent"/>
    <w:basedOn w:val="1"/>
    <w:qFormat/>
    <w:uiPriority w:val="0"/>
    <w:pPr>
      <w:spacing w:line="460" w:lineRule="exact"/>
      <w:ind w:firstLine="629"/>
    </w:pPr>
    <w:rPr>
      <w:rFonts w:eastAsia="仿宋_GB2312"/>
      <w:kern w:val="0"/>
      <w:sz w:val="32"/>
      <w:szCs w:val="24"/>
    </w:rPr>
  </w:style>
  <w:style w:type="table" w:customStyle="1" w:styleId="444">
    <w:name w:val="Table Normal"/>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5" Type="http://schemas.openxmlformats.org/officeDocument/2006/relationships/fontTable" Target="fontTable.xml"/><Relationship Id="rId94" Type="http://schemas.openxmlformats.org/officeDocument/2006/relationships/customXml" Target="../customXml/item2.xml"/><Relationship Id="rId93" Type="http://schemas.openxmlformats.org/officeDocument/2006/relationships/numbering" Target="numbering.xml"/><Relationship Id="rId92" Type="http://schemas.openxmlformats.org/officeDocument/2006/relationships/customXml" Target="../customXml/item1.xml"/><Relationship Id="rId91" Type="http://schemas.openxmlformats.org/officeDocument/2006/relationships/image" Target="media/image58.png"/><Relationship Id="rId90" Type="http://schemas.openxmlformats.org/officeDocument/2006/relationships/image" Target="media/image57.png"/><Relationship Id="rId9" Type="http://schemas.openxmlformats.org/officeDocument/2006/relationships/header" Target="header5.xml"/><Relationship Id="rId89" Type="http://schemas.openxmlformats.org/officeDocument/2006/relationships/image" Target="media/image56.png"/><Relationship Id="rId88" Type="http://schemas.openxmlformats.org/officeDocument/2006/relationships/image" Target="media/image55.png"/><Relationship Id="rId87" Type="http://schemas.openxmlformats.org/officeDocument/2006/relationships/image" Target="media/image54.png"/><Relationship Id="rId86" Type="http://schemas.openxmlformats.org/officeDocument/2006/relationships/image" Target="media/image53.png"/><Relationship Id="rId85" Type="http://schemas.openxmlformats.org/officeDocument/2006/relationships/image" Target="media/image52.png"/><Relationship Id="rId84" Type="http://schemas.openxmlformats.org/officeDocument/2006/relationships/image" Target="media/image51.jpeg"/><Relationship Id="rId83" Type="http://schemas.openxmlformats.org/officeDocument/2006/relationships/image" Target="media/image50.png"/><Relationship Id="rId82" Type="http://schemas.openxmlformats.org/officeDocument/2006/relationships/image" Target="media/image49.jpeg"/><Relationship Id="rId81" Type="http://schemas.openxmlformats.org/officeDocument/2006/relationships/image" Target="media/image48.wmf"/><Relationship Id="rId80" Type="http://schemas.openxmlformats.org/officeDocument/2006/relationships/oleObject" Target="embeddings/oleObject7.bin"/><Relationship Id="rId8" Type="http://schemas.openxmlformats.org/officeDocument/2006/relationships/header" Target="header4.xml"/><Relationship Id="rId79" Type="http://schemas.openxmlformats.org/officeDocument/2006/relationships/image" Target="media/image47.wmf"/><Relationship Id="rId78" Type="http://schemas.openxmlformats.org/officeDocument/2006/relationships/oleObject" Target="embeddings/oleObject6.bin"/><Relationship Id="rId77" Type="http://schemas.openxmlformats.org/officeDocument/2006/relationships/image" Target="media/image46.jpeg"/><Relationship Id="rId76" Type="http://schemas.openxmlformats.org/officeDocument/2006/relationships/image" Target="media/image45.jpeg"/><Relationship Id="rId75" Type="http://schemas.openxmlformats.org/officeDocument/2006/relationships/image" Target="media/image44.jpeg"/><Relationship Id="rId74" Type="http://schemas.openxmlformats.org/officeDocument/2006/relationships/image" Target="media/image43.jpeg"/><Relationship Id="rId73" Type="http://schemas.openxmlformats.org/officeDocument/2006/relationships/image" Target="media/image42.jpeg"/><Relationship Id="rId72" Type="http://schemas.openxmlformats.org/officeDocument/2006/relationships/image" Target="media/image41.jpeg"/><Relationship Id="rId71" Type="http://schemas.openxmlformats.org/officeDocument/2006/relationships/image" Target="media/image40.jpeg"/><Relationship Id="rId70" Type="http://schemas.openxmlformats.org/officeDocument/2006/relationships/image" Target="media/image39.jpeg"/><Relationship Id="rId7" Type="http://schemas.openxmlformats.org/officeDocument/2006/relationships/footer" Target="footer2.xml"/><Relationship Id="rId69" Type="http://schemas.openxmlformats.org/officeDocument/2006/relationships/image" Target="media/image38.jpeg"/><Relationship Id="rId68" Type="http://schemas.openxmlformats.org/officeDocument/2006/relationships/image" Target="media/image37.png"/><Relationship Id="rId67" Type="http://schemas.openxmlformats.org/officeDocument/2006/relationships/image" Target="media/image36.png"/><Relationship Id="rId66" Type="http://schemas.openxmlformats.org/officeDocument/2006/relationships/image" Target="media/image35.png"/><Relationship Id="rId65" Type="http://schemas.openxmlformats.org/officeDocument/2006/relationships/image" Target="media/image34.png"/><Relationship Id="rId64" Type="http://schemas.openxmlformats.org/officeDocument/2006/relationships/image" Target="media/image33.png"/><Relationship Id="rId63" Type="http://schemas.openxmlformats.org/officeDocument/2006/relationships/image" Target="media/image32.png"/><Relationship Id="rId62" Type="http://schemas.openxmlformats.org/officeDocument/2006/relationships/image" Target="media/image31.png"/><Relationship Id="rId61" Type="http://schemas.openxmlformats.org/officeDocument/2006/relationships/image" Target="media/image30.wmf"/><Relationship Id="rId60" Type="http://schemas.openxmlformats.org/officeDocument/2006/relationships/oleObject" Target="embeddings/oleObject5.bin"/><Relationship Id="rId6" Type="http://schemas.openxmlformats.org/officeDocument/2006/relationships/footer" Target="footer1.xml"/><Relationship Id="rId59" Type="http://schemas.openxmlformats.org/officeDocument/2006/relationships/image" Target="media/image29.wmf"/><Relationship Id="rId58" Type="http://schemas.openxmlformats.org/officeDocument/2006/relationships/oleObject" Target="embeddings/oleObject4.bin"/><Relationship Id="rId57" Type="http://schemas.openxmlformats.org/officeDocument/2006/relationships/image" Target="media/image28.wmf"/><Relationship Id="rId56" Type="http://schemas.openxmlformats.org/officeDocument/2006/relationships/oleObject" Target="embeddings/oleObject3.bin"/><Relationship Id="rId55" Type="http://schemas.openxmlformats.org/officeDocument/2006/relationships/image" Target="media/image27.wmf"/><Relationship Id="rId54" Type="http://schemas.openxmlformats.org/officeDocument/2006/relationships/oleObject" Target="embeddings/oleObject2.bin"/><Relationship Id="rId53" Type="http://schemas.openxmlformats.org/officeDocument/2006/relationships/image" Target="media/image26.wmf"/><Relationship Id="rId52" Type="http://schemas.openxmlformats.org/officeDocument/2006/relationships/oleObject" Target="embeddings/oleObject1.bin"/><Relationship Id="rId51" Type="http://schemas.openxmlformats.org/officeDocument/2006/relationships/image" Target="media/image25.png"/><Relationship Id="rId50" Type="http://schemas.openxmlformats.org/officeDocument/2006/relationships/image" Target="media/image24.png"/><Relationship Id="rId5" Type="http://schemas.openxmlformats.org/officeDocument/2006/relationships/header" Target="header3.xml"/><Relationship Id="rId49" Type="http://schemas.openxmlformats.org/officeDocument/2006/relationships/image" Target="media/image23.jpeg"/><Relationship Id="rId48" Type="http://schemas.openxmlformats.org/officeDocument/2006/relationships/image" Target="media/image22.jpeg"/><Relationship Id="rId47" Type="http://schemas.openxmlformats.org/officeDocument/2006/relationships/image" Target="media/image21.png"/><Relationship Id="rId46" Type="http://schemas.openxmlformats.org/officeDocument/2006/relationships/image" Target="media/image20.png"/><Relationship Id="rId45" Type="http://schemas.openxmlformats.org/officeDocument/2006/relationships/image" Target="media/image19.jpeg"/><Relationship Id="rId44" Type="http://schemas.openxmlformats.org/officeDocument/2006/relationships/image" Target="media/image18.jpeg"/><Relationship Id="rId43" Type="http://schemas.openxmlformats.org/officeDocument/2006/relationships/image" Target="media/image17.jpeg"/><Relationship Id="rId42" Type="http://schemas.openxmlformats.org/officeDocument/2006/relationships/image" Target="media/image16.jpeg"/><Relationship Id="rId41" Type="http://schemas.openxmlformats.org/officeDocument/2006/relationships/image" Target="media/image15.jpeg"/><Relationship Id="rId40" Type="http://schemas.openxmlformats.org/officeDocument/2006/relationships/image" Target="media/image14.jpeg"/><Relationship Id="rId4" Type="http://schemas.openxmlformats.org/officeDocument/2006/relationships/header" Target="header2.xml"/><Relationship Id="rId39" Type="http://schemas.openxmlformats.org/officeDocument/2006/relationships/image" Target="media/image13.jpeg"/><Relationship Id="rId38" Type="http://schemas.openxmlformats.org/officeDocument/2006/relationships/image" Target="media/image12.jpeg"/><Relationship Id="rId37" Type="http://schemas.openxmlformats.org/officeDocument/2006/relationships/image" Target="media/image11.jpeg"/><Relationship Id="rId36" Type="http://schemas.openxmlformats.org/officeDocument/2006/relationships/image" Target="media/image10.jpeg"/><Relationship Id="rId35" Type="http://schemas.openxmlformats.org/officeDocument/2006/relationships/image" Target="media/image9.png"/><Relationship Id="rId34" Type="http://schemas.openxmlformats.org/officeDocument/2006/relationships/image" Target="media/image8.png"/><Relationship Id="rId33" Type="http://schemas.openxmlformats.org/officeDocument/2006/relationships/image" Target="media/image7.png"/><Relationship Id="rId32" Type="http://schemas.openxmlformats.org/officeDocument/2006/relationships/image" Target="media/image6.jpeg"/><Relationship Id="rId31" Type="http://schemas.openxmlformats.org/officeDocument/2006/relationships/image" Target="media/image5.jpeg"/><Relationship Id="rId30" Type="http://schemas.openxmlformats.org/officeDocument/2006/relationships/image" Target="media/image4.jpeg"/><Relationship Id="rId3" Type="http://schemas.openxmlformats.org/officeDocument/2006/relationships/header" Target="header1.xml"/><Relationship Id="rId29" Type="http://schemas.openxmlformats.org/officeDocument/2006/relationships/image" Target="media/image3.jpeg"/><Relationship Id="rId28" Type="http://schemas.openxmlformats.org/officeDocument/2006/relationships/image" Target="media/image2.jpeg"/><Relationship Id="rId27" Type="http://schemas.openxmlformats.org/officeDocument/2006/relationships/image" Target="media/image1.jpeg"/><Relationship Id="rId26" Type="http://schemas.openxmlformats.org/officeDocument/2006/relationships/theme" Target="theme/theme1.xml"/><Relationship Id="rId25" Type="http://schemas.openxmlformats.org/officeDocument/2006/relationships/header" Target="header12.xml"/><Relationship Id="rId24" Type="http://schemas.openxmlformats.org/officeDocument/2006/relationships/header" Target="header11.xml"/><Relationship Id="rId23" Type="http://schemas.openxmlformats.org/officeDocument/2006/relationships/header" Target="header10.xml"/><Relationship Id="rId22" Type="http://schemas.openxmlformats.org/officeDocument/2006/relationships/header" Target="header9.xml"/><Relationship Id="rId21" Type="http://schemas.openxmlformats.org/officeDocument/2006/relationships/footer" Target="footer11.xml"/><Relationship Id="rId20" Type="http://schemas.openxmlformats.org/officeDocument/2006/relationships/footer" Target="footer10.xml"/><Relationship Id="rId2" Type="http://schemas.openxmlformats.org/officeDocument/2006/relationships/settings" Target="settings.xml"/><Relationship Id="rId19" Type="http://schemas.openxmlformats.org/officeDocument/2006/relationships/header" Target="header8.xml"/><Relationship Id="rId18" Type="http://schemas.openxmlformats.org/officeDocument/2006/relationships/header" Target="header7.xml"/><Relationship Id="rId17" Type="http://schemas.openxmlformats.org/officeDocument/2006/relationships/header" Target="header6.xml"/><Relationship Id="rId16" Type="http://schemas.openxmlformats.org/officeDocument/2006/relationships/footer" Target="footer9.xml"/><Relationship Id="rId15" Type="http://schemas.openxmlformats.org/officeDocument/2006/relationships/footer" Target="footer8.xml"/><Relationship Id="rId14" Type="http://schemas.openxmlformats.org/officeDocument/2006/relationships/footer" Target="footer7.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5538A47-57E8-4CD6-9774-D2BBE8C5EF39}">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217</Pages>
  <Words>128293</Words>
  <Characters>148561</Characters>
  <Lines>969</Lines>
  <Paragraphs>272</Paragraphs>
  <TotalTime>2</TotalTime>
  <ScaleCrop>false</ScaleCrop>
  <LinksUpToDate>false</LinksUpToDate>
  <CharactersWithSpaces>150716</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2022-09-26T06:47:00Z</dcterms:created>
  <dc:creator>USER</dc:creator>
  <cp:lastModifiedBy>周</cp:lastModifiedBy>
  <cp:lastPrinted>2023-04-24T09:16:00Z</cp:lastPrinted>
  <dcterms:modified xsi:type="dcterms:W3CDTF">2023-09-04T01:56:28Z</dcterms:modified>
  <dc:title>目 录</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3C1C4FD8C68A448B869053F4C0A67E13_13</vt:lpwstr>
  </property>
</Properties>
</file>