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4" w:name="_GoBack"/>
      <w:bookmarkEnd w:id="4"/>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中央农业广播电视学校遵化分校</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中央农业广播电视学校遵化分校编制</w:t>
      </w:r>
    </w:p>
    <w:p>
      <w:pPr>
        <w:spacing w:before="0" w:after="0" w:line="240" w:lineRule="auto"/>
        <w:ind w:firstLine="0"/>
        <w:jc w:val="center"/>
        <w:outlineLvl w:val="9"/>
        <w:sectPr>
          <w:headerReference r:id="rId3" w:type="default"/>
          <w:footerReference r:id="rId4" w:type="default"/>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遵化市财政局审核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4"/>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4</w:t>
      </w:r>
      <w:r>
        <w:fldChar w:fldCharType="end"/>
      </w:r>
      <w:r>
        <w:fldChar w:fldCharType="end"/>
      </w:r>
    </w:p>
    <w:p>
      <w:pPr>
        <w:pStyle w:val="4"/>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4"/>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1.安可计算机购置绩效目标表</w:t>
      </w:r>
      <w:r>
        <w:tab/>
      </w:r>
      <w:r>
        <w:fldChar w:fldCharType="begin"/>
      </w:r>
      <w:r>
        <w:instrText xml:space="preserve">PAGEREF _Toc_4_4_0000000004 \h</w:instrText>
      </w:r>
      <w:r>
        <w:fldChar w:fldCharType="separate"/>
      </w:r>
      <w:r>
        <w:t>6</w:t>
      </w:r>
      <w:r>
        <w:fldChar w:fldCharType="end"/>
      </w:r>
      <w:r>
        <w:fldChar w:fldCharType="end"/>
      </w:r>
    </w:p>
    <w:p>
      <w:r>
        <w:fldChar w:fldCharType="end"/>
      </w:r>
    </w:p>
    <w:p>
      <w:pPr>
        <w:sectPr>
          <w:footerReference r:id="rId5" w:type="default"/>
          <w:footerReference r:id="rId6"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10"/>
      </w:pPr>
      <w:r>
        <w:t>1、开展多层次农民教育培训，培养中高等实用人才</w:t>
      </w:r>
    </w:p>
    <w:p>
      <w:pPr>
        <w:pStyle w:val="10"/>
      </w:pPr>
      <w:r>
        <w:t>以农村党员干部、后备干部正规化学历教育为重点，开展中专及以上学历教育，为农村基层组织建设服务；加大与高等院校的联合办学力度，开展大专以上学历教育。</w:t>
      </w:r>
    </w:p>
    <w:p>
      <w:pPr>
        <w:pStyle w:val="10"/>
      </w:pPr>
      <w:r>
        <w:t>2、开展多种职业农民培训，大力培育新型职业农民，加强新型职业农民队伍管理</w:t>
      </w:r>
    </w:p>
    <w:p>
      <w:pPr>
        <w:pStyle w:val="10"/>
      </w:pPr>
      <w:r>
        <w:t>大力培育新型职业农民，为全市现代农业发展提供人才保障；开展全民创业培训活动，推动我市微型企业和中小企业发展；实施致富早班车进村入户工程，开展农民普及性培训；大力开展多种形式培训，管理新型职业农民队伍。</w:t>
      </w:r>
    </w:p>
    <w:p>
      <w:pPr>
        <w:pStyle w:val="10"/>
      </w:pPr>
      <w:r>
        <w:t>3、加强教育教学管理，提高教育教学质量</w:t>
      </w:r>
    </w:p>
    <w:p>
      <w:pPr>
        <w:pStyle w:val="10"/>
      </w:pPr>
      <w:r>
        <w:t>严格课程管理，推进课堂教学改革，研究农村远程教育模式；加强师资队伍建设，安排优秀教师外出培训；加强学籍管理，完善教务管理；发挥现代媒体作用，开展电化教学辅导；加强培训基地、示范基地建设，优化教育培训环境；开展作风建设，提高工作效能。</w:t>
      </w:r>
    </w:p>
    <w:p>
      <w:pPr>
        <w:pStyle w:val="10"/>
      </w:pPr>
      <w:r>
        <w:t>（二）分项绩效目标</w:t>
      </w:r>
    </w:p>
    <w:p>
      <w:pPr>
        <w:pStyle w:val="10"/>
      </w:pPr>
      <w:r>
        <w:t>1、做好2023年农广校综合业务管理</w:t>
      </w:r>
    </w:p>
    <w:p>
      <w:pPr>
        <w:pStyle w:val="10"/>
      </w:pPr>
      <w:r>
        <w:t>绩效目标：发挥好协调职能，确保农广校各项工作平稳较快发展。</w:t>
      </w:r>
    </w:p>
    <w:p>
      <w:pPr>
        <w:pStyle w:val="10"/>
      </w:pPr>
      <w:r>
        <w:t>绩效指标：以调查问卷方式及各处室评分方式确定各项工作是否顺利完成全年工作任务。</w:t>
      </w:r>
    </w:p>
    <w:p>
      <w:pPr>
        <w:pStyle w:val="10"/>
      </w:pPr>
      <w:r>
        <w:t>绩效指标满分20分。该项指标主要考核农广校各项工作是否顺利完成，各处室衔接性如何，对外同级政府单位是否满意，通过调查问卷和各处室评分为标准，非常圆满的完成各项工作且衔接合理为20分，圆满完成各项工作为20-16分，一般完成各项工作为16-12分，未能完成年度工作为12-0分。</w:t>
      </w:r>
    </w:p>
    <w:p>
      <w:pPr>
        <w:pStyle w:val="10"/>
      </w:pPr>
      <w:r>
        <w:t>2、加强招生工作，为实现农广校持续高质量发展提供强有力支撑。</w:t>
      </w:r>
    </w:p>
    <w:p>
      <w:pPr>
        <w:pStyle w:val="10"/>
      </w:pPr>
      <w:r>
        <w:t>绩效目标：加大招生工作宣传，实现积极拓宽办学思路,加大宣传力度，广泛挖掘生源的发展格局。</w:t>
      </w:r>
    </w:p>
    <w:p>
      <w:pPr>
        <w:pStyle w:val="10"/>
      </w:pPr>
      <w:r>
        <w:t>绩效指标：确保各项招生宣传及服务工作的顺利开展，争取完成全年招生任务。</w:t>
      </w:r>
    </w:p>
    <w:p>
      <w:pPr>
        <w:pStyle w:val="10"/>
      </w:pPr>
      <w:r>
        <w:t>绩效指标满分20分。该项指标主要考核农广校各项招生工作是否顺利完成，各招生处室是否完成年初目标，报名学员或家长是否对招生服务工作满意，通过调查问卷和新学员评分为标准，超额完成招生工作且学员评价较高为20分，圆满完成年初招生工作且学员评价满意为20-16分，未完成年初招生工作或学员评价为一般的为16-12分，两方面都不能满足的工作为12-0分。</w:t>
      </w:r>
    </w:p>
    <w:p>
      <w:pPr>
        <w:pStyle w:val="10"/>
      </w:pPr>
      <w:r>
        <w:t>3、推进教学工作，为打造农广校持续高素质教师队伍提供强有力保障。</w:t>
      </w:r>
    </w:p>
    <w:p>
      <w:pPr>
        <w:pStyle w:val="10"/>
      </w:pPr>
      <w:r>
        <w:t>绩效目标：以端正校风、教风、学风为重点，坚持不懈抓作风建设，组织开展各类教学评比和研讨交流活动，常态化的开展教学大比武、大练兵活动，提高教师教学水平，全方位打造一支高素质的教师队伍。</w:t>
      </w:r>
    </w:p>
    <w:p>
      <w:pPr>
        <w:pStyle w:val="10"/>
      </w:pPr>
      <w:r>
        <w:t>绩效指标：确保各项教学大比武、大练兵活动的顺利开展，以提高教师教学水平，打造高素质教师为最终任务。</w:t>
      </w:r>
    </w:p>
    <w:p>
      <w:pPr>
        <w:pStyle w:val="10"/>
      </w:pPr>
      <w:r>
        <w:t>绩效指标满分20分。该项指标主要考核农广校教师的教学水和素质，通过举行各项教学活动中领导、教师和学员评分为标准，对各项教学活动及教学评价非常满意为20分，对各项教学活动及教学评价满意为20-16分，对各项教学活动及教学评价为一般的为16-12分，对各项教学活动及教学评价为不合格或者存在较大漏洞的为12-0分。</w:t>
      </w:r>
    </w:p>
    <w:p>
      <w:pPr>
        <w:pStyle w:val="10"/>
      </w:pPr>
      <w:r>
        <w:t>4、加强硬件设施建设，确保教育教学需求。</w:t>
      </w:r>
    </w:p>
    <w:p>
      <w:pPr>
        <w:pStyle w:val="10"/>
      </w:pPr>
      <w:r>
        <w:t>绩效目标：努力增加投入，加强硬件设施建设，确保教育教学需求。</w:t>
      </w:r>
    </w:p>
    <w:p>
      <w:pPr>
        <w:pStyle w:val="10"/>
      </w:pPr>
      <w:r>
        <w:t>绩效指标：积极争取资金，加强硬件设施建设，更新软件，确保教学、考试、各项办公需求。</w:t>
      </w:r>
    </w:p>
    <w:p>
      <w:pPr>
        <w:pStyle w:val="10"/>
      </w:pPr>
      <w:r>
        <w:t>绩效指标满分20分。该项指标主要考核农广校软硬件的配备，通过领导、教师和学员评分为标准，对办公、教学、考试等各项应用中对软硬件的满意程度为标准，非常满意为20分，满意为20-16分，一般的为16-12分，对软硬件不满意或者不能满足各项工作顺利开展的为12-0分。</w:t>
      </w:r>
    </w:p>
    <w:p>
      <w:pPr>
        <w:pStyle w:val="10"/>
      </w:pPr>
      <w:r>
        <w:t>5、严格财务制度，力求勤俭办事。</w:t>
      </w:r>
    </w:p>
    <w:p>
      <w:pPr>
        <w:pStyle w:val="10"/>
      </w:pPr>
      <w:r>
        <w:t>绩效目标：坚持长远规划和实际需要相结合，严格财务制度，力求勤俭办事。</w:t>
      </w:r>
    </w:p>
    <w:p>
      <w:pPr>
        <w:pStyle w:val="10"/>
      </w:pPr>
      <w:r>
        <w:t>绩效指标：严肃财经纪律，强化财务管理，认真配合监督和内控，发扬艰苦奋斗、勤俭节约的作风。</w:t>
      </w:r>
    </w:p>
    <w:p>
      <w:pPr>
        <w:pStyle w:val="10"/>
      </w:pPr>
      <w:r>
        <w:t>绩效指标满分10分。该项指标主要考核农广校财务管理及资金运行情况，通过监督和内控以资金运用是否合规合理为标准，另外考核年初预算是否满足年度资金需求，年度预算正好满足且资金运用合规且合理为10分，年度预算不满足但资金运用合规且合理为10-8分，年度预算满足、资金运用合规但不合理为8-6分，对双方都不满足的为6-0分。</w:t>
      </w:r>
    </w:p>
    <w:p>
      <w:pPr>
        <w:pStyle w:val="10"/>
      </w:pPr>
      <w:r>
        <w:t>（三）工作保障措施</w:t>
      </w:r>
    </w:p>
    <w:p>
      <w:pPr>
        <w:pStyle w:val="10"/>
      </w:pPr>
      <w:r>
        <w:t>1、完善制度建设。制定农广校工作制度、农广校财务管理办法、项目管理实施办法、预算管理内部控制制度等各项制度建设，规范单位管理。坚持从完善制度入手，以制度规范言行，实现有序化管理，加强机关效能建设，增强干部职工的效能意识和服务意识，为全年预算绩效目标的实现奠定制度基础。</w:t>
      </w:r>
    </w:p>
    <w:p>
      <w:pPr>
        <w:pStyle w:val="10"/>
      </w:pPr>
      <w:r>
        <w:t>2、加强支出管理。严格按照农广校财务管理制度支付使用资金，年初预算要编细编实，确保支出进度达标。</w:t>
      </w:r>
    </w:p>
    <w:p>
      <w:pPr>
        <w:pStyle w:val="10"/>
      </w:pPr>
      <w:r>
        <w:t>3、加强绩效运行监控。按要求开展绩效运行监控，发现问题及时采取措施，确保绩效目标如期保质实现。</w:t>
      </w:r>
    </w:p>
    <w:p>
      <w:pPr>
        <w:pStyle w:val="10"/>
      </w:pPr>
      <w:r>
        <w:t>4、做好绩效自评。按要求开展上年度部门预算绩效自评工作，对评价中发现的问题及时整改，提高财政资金使用效益。</w:t>
      </w:r>
    </w:p>
    <w:p>
      <w:pPr>
        <w:pStyle w:val="10"/>
      </w:pPr>
      <w:r>
        <w:t>5、规范财务资产管理。严格执行农广校固定资产管理办法，严格资金使用、固定资产购买审批程序，加强固定资产使用和报废处置管理，做到支出合理、物尽其用。</w:t>
      </w:r>
    </w:p>
    <w:p>
      <w:pPr>
        <w:pStyle w:val="10"/>
      </w:pPr>
      <w:r>
        <w:t>6、加强内部监督。加强内部监督制度建设，成立内部控制领导小组、制定内部控制规范、内部控制基本制度、“三重一大”集体议事决策制度及预算管理内部控制制度，定期对绩效运行情况、资产处置及其他重要经济业务事项的决策和执行进行督导，配合做好审计、财政监督等外部监督工作，确保财政资金安全有效。</w:t>
      </w:r>
    </w:p>
    <w:p>
      <w:pPr>
        <w:pStyle w:val="10"/>
      </w:pPr>
      <w:r>
        <w:t>7、加强宣传培训调研等。加强人员培训，提高本部门职工业务素质；加强调研，提出优化财政资金配置、提高资金使用效益的意见；加大宣传力度，强化预算绩效管理意识，促进预算绩效管理水平进一步提升。</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11"/>
      </w:pP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2"/>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1.安可计算机购置绩效目标表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661001中央农业广播电视学校遵化分校本级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13028123P00025010001W</w:t>
            </w:r>
          </w:p>
        </w:tc>
        <w:tc>
          <w:tcPr>
            <w:tcW w:w="1587" w:type="dxa"/>
            <w:vAlign w:val="center"/>
          </w:tcPr>
          <w:p>
            <w:pPr>
              <w:pStyle w:val="16"/>
            </w:pPr>
            <w:r>
              <w:t>项目名称</w:t>
            </w:r>
          </w:p>
        </w:tc>
        <w:tc>
          <w:tcPr>
            <w:tcW w:w="4422" w:type="dxa"/>
            <w:gridSpan w:val="3"/>
            <w:vAlign w:val="center"/>
          </w:tcPr>
          <w:p>
            <w:pPr>
              <w:pStyle w:val="15"/>
            </w:pPr>
            <w: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0.85</w:t>
            </w:r>
          </w:p>
        </w:tc>
        <w:tc>
          <w:tcPr>
            <w:tcW w:w="1587" w:type="dxa"/>
            <w:vAlign w:val="center"/>
          </w:tcPr>
          <w:p>
            <w:pPr>
              <w:pStyle w:val="16"/>
            </w:pPr>
            <w:r>
              <w:t>其中：财政    资金</w:t>
            </w:r>
          </w:p>
        </w:tc>
        <w:tc>
          <w:tcPr>
            <w:tcW w:w="1304" w:type="dxa"/>
            <w:vAlign w:val="center"/>
          </w:tcPr>
          <w:p>
            <w:pPr>
              <w:pStyle w:val="15"/>
            </w:pPr>
            <w:r>
              <w:t>0.85</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预算数0.85万元。其中：财政资金0.85万元，其他资金0万元。主要用于：保障农民工培训要求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30%</w:t>
            </w:r>
          </w:p>
        </w:tc>
        <w:tc>
          <w:tcPr>
            <w:tcW w:w="1587" w:type="dxa"/>
            <w:vAlign w:val="center"/>
          </w:tcPr>
          <w:p>
            <w:pPr>
              <w:pStyle w:val="17"/>
            </w:pPr>
            <w:r>
              <w:t>60%</w:t>
            </w:r>
          </w:p>
        </w:tc>
        <w:tc>
          <w:tcPr>
            <w:tcW w:w="1304" w:type="dxa"/>
            <w:vAlign w:val="center"/>
          </w:tcPr>
          <w:p>
            <w:pPr>
              <w:pStyle w:val="17"/>
            </w:pPr>
            <w:r>
              <w:t>90%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1.采购安可计算机1台用于日常涉密文件处理。</w:t>
            </w:r>
          </w:p>
          <w:p>
            <w:pPr>
              <w:pStyle w:val="15"/>
            </w:pPr>
            <w:r>
              <w:t>2.通过使用安可计算机杜绝涉密信息泄露。</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采购设备数量</w:t>
            </w:r>
          </w:p>
        </w:tc>
        <w:tc>
          <w:tcPr>
            <w:tcW w:w="2891" w:type="dxa"/>
            <w:vAlign w:val="center"/>
          </w:tcPr>
          <w:p>
            <w:pPr>
              <w:pStyle w:val="15"/>
            </w:pPr>
            <w:r>
              <w:t>数量达到要求率</w:t>
            </w:r>
          </w:p>
        </w:tc>
        <w:tc>
          <w:tcPr>
            <w:tcW w:w="1276" w:type="dxa"/>
            <w:vAlign w:val="center"/>
          </w:tcPr>
          <w:p>
            <w:pPr>
              <w:pStyle w:val="15"/>
            </w:pPr>
            <w:r>
              <w:t>1台</w:t>
            </w:r>
          </w:p>
        </w:tc>
        <w:tc>
          <w:tcPr>
            <w:tcW w:w="1843" w:type="dxa"/>
            <w:vAlign w:val="center"/>
          </w:tcPr>
          <w:p>
            <w:pPr>
              <w:pStyle w:val="15"/>
            </w:pPr>
            <w:r>
              <w:t>关于做好2023年度安可应用替代工作的通知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设备质量情况</w:t>
            </w:r>
          </w:p>
        </w:tc>
        <w:tc>
          <w:tcPr>
            <w:tcW w:w="2891" w:type="dxa"/>
            <w:vAlign w:val="center"/>
          </w:tcPr>
          <w:p>
            <w:pPr>
              <w:pStyle w:val="15"/>
            </w:pPr>
            <w:r>
              <w:t>质量达标率</w:t>
            </w:r>
          </w:p>
        </w:tc>
        <w:tc>
          <w:tcPr>
            <w:tcW w:w="1276" w:type="dxa"/>
            <w:vAlign w:val="center"/>
          </w:tcPr>
          <w:p>
            <w:pPr>
              <w:pStyle w:val="15"/>
            </w:pPr>
            <w:r>
              <w:t>≥98%</w:t>
            </w:r>
          </w:p>
        </w:tc>
        <w:tc>
          <w:tcPr>
            <w:tcW w:w="1843" w:type="dxa"/>
            <w:vAlign w:val="center"/>
          </w:tcPr>
          <w:p>
            <w:pPr>
              <w:pStyle w:val="15"/>
            </w:pPr>
            <w:r>
              <w:t>关于做好2023年度安可应用替代工作的通知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采购的及时性</w:t>
            </w:r>
          </w:p>
        </w:tc>
        <w:tc>
          <w:tcPr>
            <w:tcW w:w="2891" w:type="dxa"/>
            <w:vAlign w:val="center"/>
          </w:tcPr>
          <w:p>
            <w:pPr>
              <w:pStyle w:val="15"/>
            </w:pPr>
            <w:r>
              <w:t>采购效率的及时性</w:t>
            </w:r>
          </w:p>
        </w:tc>
        <w:tc>
          <w:tcPr>
            <w:tcW w:w="1276" w:type="dxa"/>
            <w:vAlign w:val="center"/>
          </w:tcPr>
          <w:p>
            <w:pPr>
              <w:pStyle w:val="15"/>
            </w:pPr>
            <w:r>
              <w:t>≥95%</w:t>
            </w:r>
          </w:p>
        </w:tc>
        <w:tc>
          <w:tcPr>
            <w:tcW w:w="1843" w:type="dxa"/>
            <w:vAlign w:val="center"/>
          </w:tcPr>
          <w:p>
            <w:pPr>
              <w:pStyle w:val="15"/>
            </w:pPr>
            <w:r>
              <w:t>关于做好2023年度安可应用替代工作的通知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采购购成本要求</w:t>
            </w:r>
          </w:p>
        </w:tc>
        <w:tc>
          <w:tcPr>
            <w:tcW w:w="2891" w:type="dxa"/>
            <w:vAlign w:val="center"/>
          </w:tcPr>
          <w:p>
            <w:pPr>
              <w:pStyle w:val="15"/>
            </w:pPr>
            <w:r>
              <w:t>采购成本控制情况</w:t>
            </w:r>
          </w:p>
        </w:tc>
        <w:tc>
          <w:tcPr>
            <w:tcW w:w="1276" w:type="dxa"/>
            <w:vAlign w:val="center"/>
          </w:tcPr>
          <w:p>
            <w:pPr>
              <w:pStyle w:val="15"/>
            </w:pPr>
            <w:r>
              <w:t>&lt;3%</w:t>
            </w:r>
          </w:p>
        </w:tc>
        <w:tc>
          <w:tcPr>
            <w:tcW w:w="1843" w:type="dxa"/>
            <w:vAlign w:val="center"/>
          </w:tcPr>
          <w:p>
            <w:pPr>
              <w:pStyle w:val="15"/>
            </w:pPr>
            <w:r>
              <w:t>关于做好2023年度安可应用替代工作的通知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对办公带来的经济效果</w:t>
            </w:r>
          </w:p>
        </w:tc>
        <w:tc>
          <w:tcPr>
            <w:tcW w:w="2891" w:type="dxa"/>
            <w:vAlign w:val="center"/>
          </w:tcPr>
          <w:p>
            <w:pPr>
              <w:pStyle w:val="15"/>
            </w:pPr>
            <w:r>
              <w:t>对办公带来的经济效果达标率</w:t>
            </w:r>
          </w:p>
        </w:tc>
        <w:tc>
          <w:tcPr>
            <w:tcW w:w="1276" w:type="dxa"/>
            <w:vAlign w:val="center"/>
          </w:tcPr>
          <w:p>
            <w:pPr>
              <w:pStyle w:val="15"/>
            </w:pPr>
            <w:r>
              <w:t>≥95%</w:t>
            </w:r>
          </w:p>
        </w:tc>
        <w:tc>
          <w:tcPr>
            <w:tcW w:w="1843" w:type="dxa"/>
            <w:vAlign w:val="center"/>
          </w:tcPr>
          <w:p>
            <w:pPr>
              <w:pStyle w:val="15"/>
            </w:pPr>
            <w:r>
              <w:t>关于做好2023年度安可应用替代工作的通知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对社会效益的影响</w:t>
            </w:r>
          </w:p>
        </w:tc>
        <w:tc>
          <w:tcPr>
            <w:tcW w:w="2891" w:type="dxa"/>
            <w:vAlign w:val="center"/>
          </w:tcPr>
          <w:p>
            <w:pPr>
              <w:pStyle w:val="15"/>
            </w:pPr>
            <w:r>
              <w:t>对社会效益的影响情况</w:t>
            </w:r>
          </w:p>
        </w:tc>
        <w:tc>
          <w:tcPr>
            <w:tcW w:w="1276" w:type="dxa"/>
            <w:vAlign w:val="center"/>
          </w:tcPr>
          <w:p>
            <w:pPr>
              <w:pStyle w:val="15"/>
            </w:pPr>
            <w:r>
              <w:t>≥80%</w:t>
            </w:r>
          </w:p>
        </w:tc>
        <w:tc>
          <w:tcPr>
            <w:tcW w:w="1843" w:type="dxa"/>
            <w:vAlign w:val="center"/>
          </w:tcPr>
          <w:p>
            <w:pPr>
              <w:pStyle w:val="15"/>
            </w:pPr>
            <w:r>
              <w:t>关于做好2023年度安可应用替代工作的通知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对生态环境的影响</w:t>
            </w:r>
          </w:p>
        </w:tc>
        <w:tc>
          <w:tcPr>
            <w:tcW w:w="2891" w:type="dxa"/>
            <w:vAlign w:val="center"/>
          </w:tcPr>
          <w:p>
            <w:pPr>
              <w:pStyle w:val="15"/>
            </w:pPr>
            <w:r>
              <w:t>对生态环境的影响</w:t>
            </w:r>
          </w:p>
        </w:tc>
        <w:tc>
          <w:tcPr>
            <w:tcW w:w="1276" w:type="dxa"/>
            <w:vAlign w:val="center"/>
          </w:tcPr>
          <w:p>
            <w:pPr>
              <w:pStyle w:val="15"/>
            </w:pPr>
            <w:r>
              <w:t>&lt;3%</w:t>
            </w:r>
          </w:p>
        </w:tc>
        <w:tc>
          <w:tcPr>
            <w:tcW w:w="1843" w:type="dxa"/>
            <w:vAlign w:val="center"/>
          </w:tcPr>
          <w:p>
            <w:pPr>
              <w:pStyle w:val="15"/>
            </w:pPr>
            <w:r>
              <w:t>关于做好2023年度安可应用替代工作的通知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对工作可持续影响情况</w:t>
            </w:r>
          </w:p>
        </w:tc>
        <w:tc>
          <w:tcPr>
            <w:tcW w:w="2891" w:type="dxa"/>
            <w:vAlign w:val="center"/>
          </w:tcPr>
          <w:p>
            <w:pPr>
              <w:pStyle w:val="15"/>
            </w:pPr>
            <w:r>
              <w:t>对工作可持续影响率</w:t>
            </w:r>
          </w:p>
        </w:tc>
        <w:tc>
          <w:tcPr>
            <w:tcW w:w="1276" w:type="dxa"/>
            <w:vAlign w:val="center"/>
          </w:tcPr>
          <w:p>
            <w:pPr>
              <w:pStyle w:val="15"/>
            </w:pPr>
            <w:r>
              <w:t>≥95%</w:t>
            </w:r>
          </w:p>
        </w:tc>
        <w:tc>
          <w:tcPr>
            <w:tcW w:w="1843" w:type="dxa"/>
            <w:vAlign w:val="center"/>
          </w:tcPr>
          <w:p>
            <w:pPr>
              <w:pStyle w:val="15"/>
            </w:pPr>
            <w:r>
              <w:t>关于做好2023年度安可应用替代工作的通知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使用者的满意度</w:t>
            </w:r>
          </w:p>
        </w:tc>
        <w:tc>
          <w:tcPr>
            <w:tcW w:w="2891" w:type="dxa"/>
            <w:vAlign w:val="center"/>
          </w:tcPr>
          <w:p>
            <w:pPr>
              <w:pStyle w:val="15"/>
            </w:pPr>
            <w:r>
              <w:t>使用者的满意度</w:t>
            </w:r>
          </w:p>
        </w:tc>
        <w:tc>
          <w:tcPr>
            <w:tcW w:w="1276" w:type="dxa"/>
            <w:vAlign w:val="center"/>
          </w:tcPr>
          <w:p>
            <w:pPr>
              <w:pStyle w:val="15"/>
            </w:pPr>
            <w:r>
              <w:t>≥98%</w:t>
            </w:r>
          </w:p>
        </w:tc>
        <w:tc>
          <w:tcPr>
            <w:tcW w:w="1843" w:type="dxa"/>
            <w:vAlign w:val="center"/>
          </w:tcPr>
          <w:p>
            <w:pPr>
              <w:pStyle w:val="15"/>
            </w:pPr>
            <w:r>
              <w:t>关于做好2023年度安可应用替代工作的通知</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D412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2023-02-28T10:59:55Z</dcterms:created>
  <dcterms:modified xsi:type="dcterms:W3CDTF">2023-02-28T02:59:55Z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2023-02-28T10:59:54Z</dcterms:created>
  <dcterms:modified xsi:type="dcterms:W3CDTF">2023-02-28T02:59:54Z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2023-02-28T10:59:54Z</dcterms:created>
  <dcterms:modified xsi:type="dcterms:W3CDTF">2023-02-28T02:59:54Z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e1f533-f13c-465f-83b3-d16cba47690f}">
  <ds:schemaRefs/>
</ds:datastoreItem>
</file>

<file path=customXml/itemProps3.xml><?xml version="1.0" encoding="utf-8"?>
<ds:datastoreItem xmlns:ds="http://schemas.openxmlformats.org/officeDocument/2006/customXml" ds:itemID="{666b1f8c-c376-4dd5-abb6-040d80d41b62}">
  <ds:schemaRefs/>
</ds:datastoreItem>
</file>

<file path=customXml/itemProps4.xml><?xml version="1.0" encoding="utf-8"?>
<ds:datastoreItem xmlns:ds="http://schemas.openxmlformats.org/officeDocument/2006/customXml" ds:itemID="{a429dbd6-8dbf-4413-a5ee-276076d20df4}">
  <ds:schemaRefs/>
</ds:datastoreItem>
</file>

<file path=customXml/itemProps5.xml><?xml version="1.0" encoding="utf-8"?>
<ds:datastoreItem xmlns:ds="http://schemas.openxmlformats.org/officeDocument/2006/customXml" ds:itemID="{ae284b53-263d-4055-8164-cf2ac671c65b}">
  <ds:schemaRefs/>
</ds:datastoreItem>
</file>

<file path=customXml/itemProps6.xml><?xml version="1.0" encoding="utf-8"?>
<ds:datastoreItem xmlns:ds="http://schemas.openxmlformats.org/officeDocument/2006/customXml" ds:itemID="{f5322d47-12f3-428d-bdfe-69d146ad4396}">
  <ds:schemaRefs/>
</ds:datastoreItem>
</file>

<file path=customXml/itemProps7.xml><?xml version="1.0" encoding="utf-8"?>
<ds:datastoreItem xmlns:ds="http://schemas.openxmlformats.org/officeDocument/2006/customXml" ds:itemID="{10bf78f1-a429-496c-91e0-56b0ad98af30}">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2023-02-28T10:59:00Z</dcterms:created>
  <dc:creator>lenovo</dc:creator>
  <cp:lastModifiedBy>lenovo</cp:lastModifiedBy>
  <dcterms:modified xsi:type="dcterms:W3CDTF">2023-02-28T03:02:23Z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