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中央农业广播电视学校遵化分校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中央农业广播电视学校遵化分校编制</w:t>
      </w:r>
    </w:p>
    <w:p>
      <w:pPr>
        <w:spacing w:before="0" w:after="0" w:line="240" w:lineRule="auto"/>
        <w:ind w:firstLine="0"/>
        <w:jc w:val="center"/>
        <w:sectPr>
          <w:headerReference r:id="rId3" w:type="default"/>
          <w:footerReference r:id="rId4" w:type="default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一、中央农业广播电视学校遵化分校本级收支预算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5" w:type="default"/>
          <w:footerReference r:id="rId6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根据《中央农业广播电视学校遵化分校职能配置、内设机构和人员编制规定》，中央农业广播电视学校遵化分校的主要职责是：</w:t>
      </w:r>
    </w:p>
    <w:p>
      <w:pPr>
        <w:pStyle w:val="10"/>
      </w:pPr>
      <w:r>
        <w:t>（1）促进经济发展，增加农民收入。依据市国民经济和社会发展中长期规划及年度计划，结合本校实际，坚持三个面向，四个服务的办学方针，即面向农村，面向基层，面向农业生产，为农业生产服务，为农村社会主义经济建设服务，为农民科技致富服务，为农村两个文明建设服务，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农业经济，采取深入基层，学用结合，教书育人，团结合作，联合办学的方法加快城镇化进程；营造良好的发展环境，提高经济发展的质量和水平，促进农业成果转化和项目建设工作。</w:t>
      </w:r>
    </w:p>
    <w:p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2）提供公共服务，着力改善民生。采用广播、电视、文字和视听教材等媒体进行远距离教学的方式，开展中专和联合办学的学历教育，坚持“实事求是，严谨办学，团结奋进，育才兴农”的办学原则，以质量求生存，以质量求发展的指导思想，发展农村科技培训、多媒体网络教育等各项事业，促进农村经济社会协调发展；改善农民生活环境，积极稳妥有序推进农村新民居建设；建立健全农村社会保障体系，解除农民后顾之忧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287.89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274.01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0.85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86.11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86.11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23.29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23.29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10.19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10.19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33.14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33.14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14.21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14.21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12.09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12.09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17.47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17.47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8.06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1.05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8"/>
            </w:pPr>
          </w:p>
        </w:tc>
        <w:tc>
          <w:tcPr>
            <w:tcW w:w="1032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8"/>
            </w:pPr>
          </w:p>
        </w:tc>
        <w:tc>
          <w:tcPr>
            <w:tcW w:w="1032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1、安可计算机购置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中央农业广播电视学校遵化分校本级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2130102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288.74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288.74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254.16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254.16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33.73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33.73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9"/>
            </w:pPr>
          </w:p>
        </w:tc>
        <w:tc>
          <w:tcPr>
            <w:tcW w:w="1276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850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7"/>
            </w:pPr>
            <w:r>
              <w:t>中央农业广播电视学校遵化分校本级小计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9"/>
            </w:pPr>
          </w:p>
        </w:tc>
        <w:tc>
          <w:tcPr>
            <w:tcW w:w="1276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850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 xml:space="preserve"> 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661中央农业广播电视学校遵化分校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13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中央农业广播电视学校遵化分校本级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24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13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一、中央农业广播电视学校遵化分校本级收支预算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3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288.74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287.89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274.01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0.85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86.11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86.11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23.29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23.29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10.19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10.19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14.21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14.21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17.47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17.47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2130102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288.74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288.74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254.16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254.16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33.73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33.73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661001中央农业广播电视学校遵化分校本级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2.19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2023-02-28T11:08:44Z</dcterms:created>
  <dcterms:modified xsi:type="dcterms:W3CDTF">2023-02-28T03:08:43Z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2023-02-28T11:08:39Z</dcterms:created>
  <dcterms:modified xsi:type="dcterms:W3CDTF">2023-02-28T03:08:39Z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2023-02-28T11:08:39Z</dcterms:created>
  <dcterms:modified xsi:type="dcterms:W3CDTF">2023-02-28T03:08:38Z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8d16b-2575-4b6f-843a-64a2a2dd2755}">
  <ds:schemaRefs/>
</ds:datastoreItem>
</file>

<file path=customXml/itemProps3.xml><?xml version="1.0" encoding="utf-8"?>
<ds:datastoreItem xmlns:ds="http://schemas.openxmlformats.org/officeDocument/2006/customXml" ds:itemID="{69cda0e1-c44c-4700-8423-d13f5fad338a}">
  <ds:schemaRefs/>
</ds:datastoreItem>
</file>

<file path=customXml/itemProps4.xml><?xml version="1.0" encoding="utf-8"?>
<ds:datastoreItem xmlns:ds="http://schemas.openxmlformats.org/officeDocument/2006/customXml" ds:itemID="{00b77da5-1af2-4e93-96c1-a78ddc366b0a}">
  <ds:schemaRefs/>
</ds:datastoreItem>
</file>

<file path=customXml/itemProps5.xml><?xml version="1.0" encoding="utf-8"?>
<ds:datastoreItem xmlns:ds="http://schemas.openxmlformats.org/officeDocument/2006/customXml" ds:itemID="{74c7ef8e-6e19-4cc4-b6d7-3abd4905bb1a}">
  <ds:schemaRefs/>
</ds:datastoreItem>
</file>

<file path=customXml/itemProps6.xml><?xml version="1.0" encoding="utf-8"?>
<ds:datastoreItem xmlns:ds="http://schemas.openxmlformats.org/officeDocument/2006/customXml" ds:itemID="{9547b9c3-998a-4186-bd73-31691b919242}">
  <ds:schemaRefs/>
</ds:datastoreItem>
</file>

<file path=customXml/itemProps7.xml><?xml version="1.0" encoding="utf-8"?>
<ds:datastoreItem xmlns:ds="http://schemas.openxmlformats.org/officeDocument/2006/customXml" ds:itemID="{a6ef76b7-66df-4c8d-a305-df055480cf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2023-02-28T11:08:00Z</dcterms:created>
  <dc:creator>lenovo</dc:creator>
  <cp:lastModifiedBy>lenovo</cp:lastModifiedBy>
  <dcterms:modified xsi:type="dcterms:W3CDTF">2023-02-28T03:12:29Z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