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2022年单位预算信息公开目录</w:t>
      </w:r>
    </w:p>
    <w:p>
      <w:pPr>
        <w:jc w:val="center"/>
        <w:rPr>
          <w:rFonts w:ascii="Times New Roman" w:hAnsi="宋体" w:cs="Times New Roman"/>
          <w:b/>
          <w:sz w:val="30"/>
        </w:rPr>
      </w:pPr>
      <w:r>
        <w:rPr>
          <w:rFonts w:ascii="黑体" w:hAnsi="黑体" w:eastAsia="黑体" w:cs="Times New Roman"/>
          <w:b/>
          <w:sz w:val="30"/>
        </w:rPr>
        <w:t xml:space="preserve"> </w:t>
      </w:r>
    </w:p>
    <w:p>
      <w:pPr>
        <w:jc w:val="left"/>
        <w:rPr>
          <w:rFonts w:hint="eastAsia" w:ascii="Times New Roman" w:hAnsi="宋体" w:cs="Times New Roman"/>
          <w:b/>
          <w:sz w:val="28"/>
        </w:rPr>
      </w:pPr>
      <w:r>
        <w:rPr>
          <w:rFonts w:hint="eastAsia" w:ascii="方正楷体_GBK" w:eastAsia="方正楷体_GBK" w:cs="Times New Roman"/>
          <w:b/>
          <w:sz w:val="28"/>
        </w:rPr>
        <w:t>本级预算公开表</w:t>
      </w:r>
    </w:p>
    <w:p>
      <w:pPr>
        <w:pStyle w:val="10"/>
        <w:tabs>
          <w:tab w:val="right" w:leader="dot" w:pos="14789"/>
        </w:tabs>
        <w:jc w:val="center"/>
        <w:rPr>
          <w:rFonts w:hAnsi="Calibri" w:eastAsia="方正仿宋_GBK"/>
          <w:sz w:val="28"/>
        </w:rPr>
      </w:pPr>
      <w:r>
        <w:rPr>
          <w:rFonts w:hAnsi="Calibri" w:eastAsia="方正仿宋_GBK"/>
          <w:sz w:val="28"/>
        </w:rPr>
        <w:fldChar w:fldCharType="begin"/>
      </w:r>
      <w:r>
        <w:rPr>
          <w:rFonts w:hAnsi="Calibri" w:eastAsia="方正仿宋_GBK"/>
          <w:sz w:val="28"/>
        </w:rPr>
        <w:instrText xml:space="preserve"> TOC \o "2-2" \h \z \u \t "-1" </w:instrText>
      </w:r>
      <w:r>
        <w:rPr>
          <w:rFonts w:hAnsi="Calibri" w:eastAsia="方正仿宋_GBK"/>
          <w:sz w:val="28"/>
        </w:rPr>
        <w:fldChar w:fldCharType="separate"/>
      </w: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"_Toc68791536"</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本级预算收支总表</w:t>
      </w:r>
      <w:r>
        <w:rPr>
          <w:rFonts w:hAnsi="Calibri" w:eastAsia="方正仿宋_GBK"/>
          <w:sz w:val="28"/>
        </w:rPr>
        <w:tab/>
      </w:r>
      <w:r>
        <w:rPr>
          <w:rFonts w:hint="eastAsia" w:hAnsi="Calibri"/>
          <w:sz w:val="28"/>
        </w:rPr>
        <w:t>1</w:t>
      </w:r>
      <w:r>
        <w:rPr>
          <w:rStyle w:val="19"/>
          <w:rFonts w:hAnsi="Calibri" w:eastAsia="方正仿宋_GBK"/>
          <w:sz w:val="28"/>
        </w:rPr>
        <w:fldChar w:fldCharType="end"/>
      </w:r>
    </w:p>
    <w:p>
      <w:pPr>
        <w:pStyle w:val="10"/>
        <w:tabs>
          <w:tab w:val="right" w:leader="dot" w:pos="14789"/>
        </w:tabs>
        <w:jc w:val="center"/>
        <w:rPr>
          <w:rFonts w:hAnsi="Calibri" w:eastAsia="方正仿宋_GBK"/>
          <w:sz w:val="28"/>
        </w:rPr>
      </w:pP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"_Toc68791537"</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本级预算收入总表</w:t>
      </w:r>
      <w:r>
        <w:rPr>
          <w:rFonts w:hAnsi="Calibri" w:eastAsia="方正仿宋_GBK"/>
          <w:sz w:val="28"/>
        </w:rPr>
        <w:tab/>
      </w:r>
      <w:r>
        <w:rPr>
          <w:rFonts w:hint="eastAsia" w:hAnsi="Calibri"/>
          <w:sz w:val="28"/>
        </w:rPr>
        <w:t>3</w:t>
      </w:r>
      <w:r>
        <w:rPr>
          <w:rStyle w:val="19"/>
          <w:rFonts w:hAnsi="Calibri" w:eastAsia="方正仿宋_GBK"/>
          <w:sz w:val="28"/>
        </w:rPr>
        <w:fldChar w:fldCharType="end"/>
      </w:r>
    </w:p>
    <w:p>
      <w:pPr>
        <w:pStyle w:val="10"/>
        <w:tabs>
          <w:tab w:val="right" w:leader="dot" w:pos="14789"/>
        </w:tabs>
        <w:jc w:val="center"/>
        <w:rPr>
          <w:rFonts w:hAnsi="Calibri" w:eastAsia="方正仿宋_GBK"/>
          <w:sz w:val="28"/>
        </w:rPr>
      </w:pP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"_Toc68791538"</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本级预算支出总表</w:t>
      </w:r>
      <w:r>
        <w:rPr>
          <w:rFonts w:hAnsi="Calibri" w:eastAsia="方正仿宋_GBK"/>
          <w:sz w:val="28"/>
        </w:rPr>
        <w:tab/>
      </w:r>
      <w:r>
        <w:rPr>
          <w:rFonts w:hint="eastAsia" w:hAnsi="Calibri"/>
          <w:sz w:val="28"/>
        </w:rPr>
        <w:t>5</w:t>
      </w:r>
      <w:r>
        <w:rPr>
          <w:rStyle w:val="19"/>
          <w:rFonts w:hAnsi="Calibri" w:eastAsia="方正仿宋_GBK"/>
          <w:sz w:val="28"/>
        </w:rPr>
        <w:fldChar w:fldCharType="end"/>
      </w:r>
    </w:p>
    <w:p>
      <w:pPr>
        <w:pStyle w:val="10"/>
        <w:tabs>
          <w:tab w:val="right" w:leader="dot" w:pos="14789"/>
        </w:tabs>
        <w:jc w:val="center"/>
        <w:rPr>
          <w:rFonts w:hint="eastAsia" w:hAnsi="Calibri"/>
          <w:sz w:val="28"/>
        </w:rPr>
      </w:pP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"_Toc68791539"</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本级预算财政拨款收支总表</w:t>
      </w:r>
      <w:r>
        <w:rPr>
          <w:rFonts w:hAnsi="Calibri" w:eastAsia="方正仿宋_GBK"/>
          <w:sz w:val="28"/>
        </w:rPr>
        <w:tab/>
      </w:r>
      <w:r>
        <w:rPr>
          <w:rFonts w:hint="eastAsia" w:hAnsi="Calibri"/>
          <w:sz w:val="28"/>
        </w:rPr>
        <w:t>7</w:t>
      </w:r>
      <w:r>
        <w:rPr>
          <w:rStyle w:val="19"/>
          <w:rFonts w:hAnsi="Calibri" w:eastAsia="方正仿宋_GBK"/>
          <w:sz w:val="28"/>
        </w:rPr>
        <w:fldChar w:fldCharType="end"/>
      </w:r>
    </w:p>
    <w:p>
      <w:pPr>
        <w:pStyle w:val="10"/>
        <w:tabs>
          <w:tab w:val="right" w:leader="dot" w:pos="14789"/>
        </w:tabs>
        <w:jc w:val="center"/>
        <w:rPr>
          <w:rFonts w:hint="eastAsia" w:hAnsi="Calibri"/>
          <w:sz w:val="28"/>
        </w:rPr>
      </w:pP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"_Toc68791540"</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本级预算一般公共预算财政拨款支出表</w:t>
      </w:r>
      <w:r>
        <w:rPr>
          <w:rFonts w:hAnsi="Calibri" w:eastAsia="方正仿宋_GBK"/>
          <w:sz w:val="28"/>
        </w:rPr>
        <w:tab/>
      </w:r>
      <w:r>
        <w:rPr>
          <w:rFonts w:hint="eastAsia" w:hAnsi="Calibri"/>
          <w:sz w:val="28"/>
        </w:rPr>
        <w:t>9</w:t>
      </w:r>
      <w:r>
        <w:rPr>
          <w:rStyle w:val="19"/>
          <w:rFonts w:hAnsi="Calibri" w:eastAsia="方正仿宋_GBK"/>
          <w:sz w:val="28"/>
        </w:rPr>
        <w:fldChar w:fldCharType="end"/>
      </w:r>
    </w:p>
    <w:p>
      <w:pPr>
        <w:pStyle w:val="10"/>
        <w:tabs>
          <w:tab w:val="right" w:leader="dot" w:pos="14789"/>
        </w:tabs>
        <w:jc w:val="center"/>
        <w:rPr>
          <w:rFonts w:hint="eastAsia" w:hAnsi="Calibri" w:eastAsia="方正仿宋_GBK"/>
          <w:sz w:val="28"/>
        </w:rPr>
      </w:pP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"_Toc68791541"</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本级预算一般公共预算财政拨款基本支出表</w:t>
      </w:r>
      <w:r>
        <w:rPr>
          <w:rFonts w:hAnsi="Calibri" w:eastAsia="方正仿宋_GBK"/>
          <w:sz w:val="28"/>
        </w:rPr>
        <w:tab/>
      </w:r>
      <w:r>
        <w:rPr>
          <w:rFonts w:hint="eastAsia" w:hAnsi="Calibri"/>
          <w:sz w:val="28"/>
        </w:rPr>
        <w:t>1</w:t>
      </w:r>
      <w:r>
        <w:rPr>
          <w:rStyle w:val="19"/>
          <w:rFonts w:hAnsi="Calibri" w:eastAsia="方正仿宋_GBK"/>
          <w:sz w:val="28"/>
        </w:rPr>
        <w:fldChar w:fldCharType="end"/>
      </w:r>
      <w:r>
        <w:rPr>
          <w:rStyle w:val="19"/>
          <w:rFonts w:hint="eastAsia" w:hAnsi="Calibri" w:eastAsia="方正仿宋_GBK"/>
          <w:sz w:val="28"/>
        </w:rPr>
        <w:t>1</w:t>
      </w:r>
    </w:p>
    <w:p>
      <w:pPr>
        <w:pStyle w:val="10"/>
        <w:tabs>
          <w:tab w:val="right" w:leader="dot" w:pos="14789"/>
        </w:tabs>
        <w:jc w:val="center"/>
        <w:rPr>
          <w:rFonts w:hint="eastAsia" w:hAnsi="Calibri" w:eastAsia="方正仿宋_GBK"/>
          <w:sz w:val="28"/>
        </w:rPr>
      </w:pP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"_Toc68791542"</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本级预算政府基金预算财政拨款支出表</w:t>
      </w:r>
      <w:r>
        <w:rPr>
          <w:rFonts w:hAnsi="Calibri" w:eastAsia="方正仿宋_GBK"/>
          <w:sz w:val="28"/>
        </w:rPr>
        <w:tab/>
      </w:r>
      <w:r>
        <w:rPr>
          <w:rFonts w:hint="eastAsia" w:hAnsi="Calibri"/>
          <w:sz w:val="28"/>
        </w:rPr>
        <w:t>1</w:t>
      </w:r>
      <w:r>
        <w:rPr>
          <w:rStyle w:val="19"/>
          <w:rFonts w:hAnsi="Calibri" w:eastAsia="方正仿宋_GBK"/>
          <w:sz w:val="28"/>
        </w:rPr>
        <w:fldChar w:fldCharType="end"/>
      </w:r>
      <w:r>
        <w:rPr>
          <w:rStyle w:val="19"/>
          <w:rFonts w:hint="eastAsia" w:hAnsi="Calibri" w:eastAsia="方正仿宋_GBK"/>
          <w:sz w:val="28"/>
        </w:rPr>
        <w:t>3</w:t>
      </w:r>
    </w:p>
    <w:p>
      <w:pPr>
        <w:pStyle w:val="10"/>
        <w:tabs>
          <w:tab w:val="right" w:leader="dot" w:pos="14789"/>
        </w:tabs>
        <w:jc w:val="center"/>
        <w:rPr>
          <w:rFonts w:hint="eastAsia" w:hAnsi="Calibri" w:eastAsia="方正仿宋_GBK"/>
          <w:sz w:val="28"/>
        </w:rPr>
      </w:pP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"_Toc68791543"</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本级预算国有资本经营预算财政拨款支出表</w:t>
      </w:r>
      <w:r>
        <w:rPr>
          <w:rFonts w:hAnsi="Calibri" w:eastAsia="方正仿宋_GBK"/>
          <w:sz w:val="28"/>
        </w:rPr>
        <w:tab/>
      </w:r>
      <w:r>
        <w:rPr>
          <w:rFonts w:hint="eastAsia" w:hAnsi="Calibri"/>
          <w:sz w:val="28"/>
        </w:rPr>
        <w:t>1</w:t>
      </w:r>
      <w:r>
        <w:rPr>
          <w:rStyle w:val="19"/>
          <w:rFonts w:hAnsi="Calibri" w:eastAsia="方正仿宋_GBK"/>
          <w:sz w:val="28"/>
        </w:rPr>
        <w:fldChar w:fldCharType="end"/>
      </w:r>
      <w:r>
        <w:rPr>
          <w:rStyle w:val="19"/>
          <w:rFonts w:hint="eastAsia" w:hAnsi="Calibri" w:eastAsia="方正仿宋_GBK"/>
          <w:sz w:val="28"/>
        </w:rPr>
        <w:t>4</w:t>
      </w:r>
    </w:p>
    <w:p>
      <w:pPr>
        <w:pStyle w:val="10"/>
        <w:tabs>
          <w:tab w:val="right" w:leader="dot" w:pos="14789"/>
        </w:tabs>
        <w:jc w:val="center"/>
        <w:rPr>
          <w:rFonts w:hint="eastAsia" w:hAnsi="Calibri" w:eastAsia="方正仿宋_GBK"/>
          <w:sz w:val="28"/>
        </w:rPr>
      </w:pPr>
      <w:r>
        <w:rPr>
          <w:rStyle w:val="19"/>
          <w:rFonts w:hAnsi="Calibri" w:eastAsia="方正仿宋_GBK"/>
          <w:sz w:val="28"/>
        </w:rPr>
        <w:fldChar w:fldCharType="begin"/>
      </w:r>
      <w:r>
        <w:rPr>
          <w:rStyle w:val="19"/>
          <w:rFonts w:hAnsi="Calibri" w:eastAsia="方正仿宋_GBK"/>
          <w:sz w:val="28"/>
        </w:rPr>
        <w:instrText xml:space="preserve"> </w:instrText>
      </w:r>
      <w:r>
        <w:rPr>
          <w:rFonts w:hAnsi="Calibri" w:eastAsia="方正仿宋_GBK"/>
          <w:sz w:val="28"/>
        </w:rPr>
        <w:instrText xml:space="preserve">HYPERLINK \l "_Toc68791544"</w:instrText>
      </w:r>
      <w:r>
        <w:rPr>
          <w:rStyle w:val="19"/>
          <w:rFonts w:hAnsi="Calibri" w:eastAsia="方正仿宋_GBK"/>
          <w:sz w:val="28"/>
        </w:rPr>
        <w:instrText xml:space="preserve"> </w:instrText>
      </w:r>
      <w:r>
        <w:rPr>
          <w:rStyle w:val="19"/>
          <w:rFonts w:hAnsi="Calibri" w:eastAsia="方正仿宋_GBK"/>
          <w:sz w:val="28"/>
        </w:rPr>
        <w:fldChar w:fldCharType="separate"/>
      </w:r>
      <w:r>
        <w:rPr>
          <w:rStyle w:val="19"/>
          <w:rFonts w:hint="eastAsia" w:hAnsi="Calibri" w:eastAsia="方正仿宋_GBK"/>
          <w:sz w:val="28"/>
        </w:rPr>
        <w:t>本级预算财政拨款“三公”经费支出表</w:t>
      </w:r>
      <w:r>
        <w:rPr>
          <w:rFonts w:hAnsi="Calibri" w:eastAsia="方正仿宋_GBK"/>
          <w:sz w:val="28"/>
        </w:rPr>
        <w:tab/>
      </w:r>
      <w:r>
        <w:rPr>
          <w:rFonts w:hint="eastAsia" w:hAnsi="Calibri"/>
          <w:sz w:val="28"/>
        </w:rPr>
        <w:t>1</w:t>
      </w:r>
      <w:r>
        <w:rPr>
          <w:rStyle w:val="19"/>
          <w:rFonts w:hAnsi="Calibri" w:eastAsia="方正仿宋_GBK"/>
          <w:sz w:val="28"/>
        </w:rPr>
        <w:fldChar w:fldCharType="end"/>
      </w:r>
      <w:r>
        <w:rPr>
          <w:rStyle w:val="19"/>
          <w:rFonts w:hint="eastAsia" w:hAnsi="Calibri" w:eastAsia="方正仿宋_GBK"/>
          <w:sz w:val="28"/>
        </w:rPr>
        <w:t>5</w:t>
      </w:r>
    </w:p>
    <w:p>
      <w:pPr>
        <w:ind w:left="420" w:leftChars="200"/>
        <w:jc w:val="center"/>
        <w:rPr>
          <w:rFonts w:ascii="Times New Roman" w:hAnsi="宋体" w:cs="Times New Roman"/>
        </w:rPr>
      </w:pPr>
      <w:r>
        <w:rPr>
          <w:rFonts w:ascii="Times New Roman" w:eastAsia="方正仿宋_GBK" w:cs="Times New Roman"/>
          <w:sz w:val="28"/>
        </w:rPr>
        <w:fldChar w:fldCharType="end"/>
      </w:r>
    </w:p>
    <w:p>
      <w:pPr>
        <w:jc w:val="left"/>
        <w:rPr>
          <w:rFonts w:hint="eastAsia" w:ascii="Times New Roman" w:hAnsi="宋体" w:cs="Times New Roman"/>
          <w:b/>
          <w:sz w:val="28"/>
        </w:rPr>
      </w:pPr>
      <w:r>
        <w:rPr>
          <w:rFonts w:hint="eastAsia" w:ascii="方正楷体_GBK" w:eastAsia="方正楷体_GBK" w:cs="Times New Roman"/>
          <w:b/>
          <w:sz w:val="28"/>
        </w:rPr>
        <w:t>本级预算信息公开情况说明</w:t>
      </w:r>
    </w:p>
    <w:p>
      <w:pPr>
        <w:pStyle w:val="3"/>
        <w:tabs>
          <w:tab w:val="right" w:leader="dot" w:pos="14789"/>
        </w:tabs>
        <w:ind w:left="420" w:leftChars="200"/>
        <w:jc w:val="center"/>
        <w:rPr>
          <w:rFonts w:hint="eastAsia" w:ascii="Times New Roman" w:eastAsia="方正仿宋_GBK" w:cs="Times New Roman"/>
          <w:sz w:val="28"/>
        </w:rPr>
      </w:pPr>
      <w:r>
        <w:rPr>
          <w:rFonts w:ascii="Times New Roman" w:eastAsia="方正仿宋_GBK" w:cs="Times New Roman"/>
          <w:sz w:val="28"/>
        </w:rPr>
        <w:fldChar w:fldCharType="begin"/>
      </w:r>
      <w:r>
        <w:rPr>
          <w:rFonts w:ascii="Times New Roman" w:eastAsia="方正仿宋_GBK" w:cs="Times New Roman"/>
          <w:sz w:val="28"/>
        </w:rPr>
        <w:instrText xml:space="preserve"> TOC \o "3-3" \h \z \u \t "-1" </w:instrText>
      </w:r>
      <w:r>
        <w:rPr>
          <w:rFonts w:ascii="Times New Roman" w:eastAsia="方正仿宋_GBK" w:cs="Times New Roman"/>
          <w:sz w:val="28"/>
        </w:rPr>
        <w:fldChar w:fldCharType="separate"/>
      </w: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"_Toc68791545"</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hAnsi="黑体" w:eastAsia="方正仿宋_GBK" w:cs="Times New Roman"/>
          <w:sz w:val="28"/>
        </w:rPr>
        <w:t>一、本级职责及机构设置情况</w:t>
      </w:r>
      <w:r>
        <w:rPr>
          <w:rFonts w:ascii="Times New Roman" w:eastAsia="方正仿宋_GBK" w:cs="Times New Roman"/>
          <w:sz w:val="28"/>
        </w:rPr>
        <w:tab/>
      </w:r>
      <w:r>
        <w:rPr>
          <w:rFonts w:hint="eastAsia" w:ascii="Times New Roman" w:cs="Times New Roman"/>
          <w:sz w:val="28"/>
        </w:rPr>
        <w:t>1</w:t>
      </w:r>
      <w:r>
        <w:rPr>
          <w:rStyle w:val="19"/>
          <w:rFonts w:ascii="Times New Roman" w:eastAsia="方正仿宋_GBK" w:cs="Times New Roman"/>
          <w:sz w:val="28"/>
        </w:rPr>
        <w:fldChar w:fldCharType="end"/>
      </w:r>
      <w:r>
        <w:rPr>
          <w:rStyle w:val="19"/>
          <w:rFonts w:hint="eastAsia" w:ascii="Times New Roman" w:eastAsia="方正仿宋_GBK" w:cs="Times New Roman"/>
          <w:sz w:val="28"/>
        </w:rPr>
        <w:t>6</w:t>
      </w:r>
    </w:p>
    <w:p>
      <w:pPr>
        <w:pStyle w:val="3"/>
        <w:tabs>
          <w:tab w:val="right" w:leader="dot" w:pos="14789"/>
        </w:tabs>
        <w:ind w:left="420" w:leftChars="200"/>
        <w:jc w:val="center"/>
        <w:rPr>
          <w:rFonts w:hint="eastAsia" w:ascii="Times New Roman" w:eastAsia="方正仿宋_GBK" w:cs="Times New Roman"/>
          <w:sz w:val="28"/>
        </w:rPr>
      </w:pP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"_Toc68791546"</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hAnsi="黑体" w:eastAsia="方正仿宋_GBK" w:cs="Times New Roman"/>
          <w:sz w:val="28"/>
        </w:rPr>
        <w:t>二、本级预算安排的总体情况</w:t>
      </w:r>
      <w:r>
        <w:rPr>
          <w:rFonts w:ascii="Times New Roman" w:eastAsia="方正仿宋_GBK" w:cs="Times New Roman"/>
          <w:sz w:val="28"/>
        </w:rPr>
        <w:tab/>
      </w:r>
      <w:r>
        <w:rPr>
          <w:rFonts w:hint="eastAsia" w:ascii="Times New Roman" w:cs="Times New Roman"/>
          <w:sz w:val="28"/>
        </w:rPr>
        <w:t>2</w:t>
      </w:r>
      <w:r>
        <w:rPr>
          <w:rStyle w:val="19"/>
          <w:rFonts w:ascii="Times New Roman" w:eastAsia="方正仿宋_GBK" w:cs="Times New Roman"/>
          <w:sz w:val="28"/>
        </w:rPr>
        <w:fldChar w:fldCharType="end"/>
      </w:r>
      <w:r>
        <w:rPr>
          <w:rStyle w:val="19"/>
          <w:rFonts w:hint="eastAsia" w:ascii="Times New Roman" w:eastAsia="方正仿宋_GBK" w:cs="Times New Roman"/>
          <w:sz w:val="28"/>
        </w:rPr>
        <w:t>9</w:t>
      </w:r>
    </w:p>
    <w:p>
      <w:pPr>
        <w:pStyle w:val="3"/>
        <w:tabs>
          <w:tab w:val="right" w:leader="dot" w:pos="14789"/>
        </w:tabs>
        <w:ind w:left="420" w:leftChars="200"/>
        <w:jc w:val="center"/>
        <w:rPr>
          <w:rStyle w:val="19"/>
          <w:rFonts w:ascii="Times New Roman" w:eastAsia="方正仿宋_GBK" w:cs="Times New Roman"/>
          <w:sz w:val="28"/>
        </w:rPr>
        <w:sectPr>
          <w:footerReference r:id="rId3" w:type="default"/>
          <w:pgSz w:w="16839" w:h="11907" w:orient="landscape"/>
          <w:pgMar w:top="680" w:right="1020" w:bottom="680" w:left="1020" w:header="851" w:footer="992" w:gutter="0"/>
          <w:cols w:space="720" w:num="1"/>
          <w:docGrid w:type="lines" w:linePitch="312" w:charSpace="0"/>
        </w:sectPr>
      </w:pPr>
    </w:p>
    <w:p>
      <w:pPr>
        <w:pStyle w:val="3"/>
        <w:tabs>
          <w:tab w:val="right" w:leader="dot" w:pos="14789"/>
        </w:tabs>
        <w:ind w:left="420" w:leftChars="200"/>
        <w:jc w:val="center"/>
        <w:rPr>
          <w:rFonts w:ascii="Times New Roman" w:eastAsia="方正仿宋_GBK" w:cs="Times New Roman"/>
          <w:sz w:val="28"/>
        </w:rPr>
      </w:pP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"_Toc68791547"</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hAnsi="黑体" w:eastAsia="方正仿宋_GBK" w:cs="Times New Roman"/>
          <w:sz w:val="28"/>
        </w:rPr>
        <w:t>三、机关运行经费安排情况</w:t>
      </w:r>
      <w:r>
        <w:rPr>
          <w:rFonts w:ascii="Times New Roman" w:eastAsia="方正仿宋_GBK" w:cs="Times New Roman"/>
          <w:sz w:val="28"/>
        </w:rPr>
        <w:tab/>
      </w:r>
      <w:r>
        <w:rPr>
          <w:rStyle w:val="19"/>
          <w:rFonts w:ascii="Times New Roman" w:eastAsia="方正仿宋_GBK" w:cs="Times New Roman"/>
          <w:sz w:val="28"/>
        </w:rPr>
        <w:fldChar w:fldCharType="end"/>
      </w:r>
      <w:r>
        <w:rPr>
          <w:rStyle w:val="19"/>
          <w:rFonts w:hint="eastAsia" w:ascii="Times New Roman" w:eastAsia="方正仿宋_GBK" w:cs="Times New Roman"/>
          <w:sz w:val="28"/>
        </w:rPr>
        <w:t>30</w:t>
      </w:r>
    </w:p>
    <w:p>
      <w:pPr>
        <w:pStyle w:val="3"/>
        <w:tabs>
          <w:tab w:val="right" w:leader="dot" w:pos="14789"/>
        </w:tabs>
        <w:ind w:left="420" w:leftChars="200"/>
        <w:jc w:val="center"/>
        <w:rPr>
          <w:rFonts w:hint="eastAsia" w:ascii="Times New Roman" w:eastAsia="方正仿宋_GBK" w:cs="Times New Roman"/>
          <w:sz w:val="28"/>
        </w:rPr>
      </w:pP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"_Toc68791548"</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hAnsi="黑体" w:eastAsia="方正仿宋_GBK" w:cs="Times New Roman"/>
          <w:sz w:val="28"/>
        </w:rPr>
        <w:t>四、财政拨款</w:t>
      </w:r>
      <w:r>
        <w:rPr>
          <w:rStyle w:val="19"/>
          <w:rFonts w:ascii="Times New Roman" w:hAnsi="黑体" w:eastAsia="方正仿宋_GBK" w:cs="Times New Roman"/>
          <w:sz w:val="28"/>
        </w:rPr>
        <w:t>“</w:t>
      </w:r>
      <w:r>
        <w:rPr>
          <w:rStyle w:val="19"/>
          <w:rFonts w:hint="eastAsia" w:ascii="Times New Roman" w:hAnsi="黑体" w:eastAsia="方正仿宋_GBK" w:cs="Times New Roman"/>
          <w:sz w:val="28"/>
        </w:rPr>
        <w:t>三公</w:t>
      </w:r>
      <w:r>
        <w:rPr>
          <w:rStyle w:val="19"/>
          <w:rFonts w:ascii="Times New Roman" w:hAnsi="黑体" w:eastAsia="方正仿宋_GBK" w:cs="Times New Roman"/>
          <w:sz w:val="28"/>
        </w:rPr>
        <w:t>”</w:t>
      </w:r>
      <w:r>
        <w:rPr>
          <w:rStyle w:val="19"/>
          <w:rFonts w:hint="eastAsia" w:ascii="Times New Roman" w:hAnsi="黑体" w:eastAsia="方正仿宋_GBK" w:cs="Times New Roman"/>
          <w:sz w:val="28"/>
        </w:rPr>
        <w:t>经费预算情况及增减变化原因</w:t>
      </w:r>
      <w:r>
        <w:rPr>
          <w:rFonts w:ascii="Times New Roman" w:eastAsia="方正仿宋_GBK" w:cs="Times New Roman"/>
          <w:sz w:val="28"/>
        </w:rPr>
        <w:tab/>
      </w:r>
      <w:r>
        <w:rPr>
          <w:rFonts w:hint="eastAsia" w:ascii="Times New Roman" w:cs="Times New Roman"/>
          <w:sz w:val="28"/>
        </w:rPr>
        <w:t>3</w:t>
      </w:r>
      <w:r>
        <w:rPr>
          <w:rStyle w:val="19"/>
          <w:rFonts w:ascii="Times New Roman" w:eastAsia="方正仿宋_GBK" w:cs="Times New Roman"/>
          <w:sz w:val="28"/>
        </w:rPr>
        <w:fldChar w:fldCharType="end"/>
      </w:r>
      <w:r>
        <w:rPr>
          <w:rStyle w:val="19"/>
          <w:rFonts w:hint="eastAsia" w:ascii="Times New Roman" w:eastAsia="方正仿宋_GBK" w:cs="Times New Roman"/>
          <w:sz w:val="28"/>
        </w:rPr>
        <w:t>0</w:t>
      </w:r>
    </w:p>
    <w:p>
      <w:pPr>
        <w:pStyle w:val="3"/>
        <w:tabs>
          <w:tab w:val="right" w:leader="dot" w:pos="14789"/>
        </w:tabs>
        <w:ind w:left="420" w:leftChars="200"/>
        <w:jc w:val="center"/>
        <w:rPr>
          <w:rFonts w:ascii="Times New Roman" w:eastAsia="方正仿宋_GBK" w:cs="Times New Roman"/>
          <w:sz w:val="28"/>
        </w:rPr>
      </w:pP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"_Toc68791549"</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hAnsi="黑体" w:eastAsia="方正仿宋_GBK" w:cs="Times New Roman"/>
          <w:sz w:val="28"/>
        </w:rPr>
        <w:t>五、预算绩效信息</w:t>
      </w:r>
      <w:r>
        <w:rPr>
          <w:rFonts w:ascii="Times New Roman" w:eastAsia="方正仿宋_GBK" w:cs="Times New Roman"/>
          <w:sz w:val="28"/>
        </w:rPr>
        <w:tab/>
      </w:r>
      <w:r>
        <w:rPr>
          <w:rStyle w:val="19"/>
          <w:rFonts w:ascii="Times New Roman" w:eastAsia="方正仿宋_GBK" w:cs="Times New Roman"/>
          <w:sz w:val="28"/>
        </w:rPr>
        <w:fldChar w:fldCharType="end"/>
      </w:r>
      <w:r>
        <w:rPr>
          <w:rStyle w:val="19"/>
          <w:rFonts w:hint="eastAsia" w:ascii="Times New Roman" w:eastAsia="方正仿宋_GBK" w:cs="Times New Roman"/>
          <w:sz w:val="28"/>
        </w:rPr>
        <w:t>30</w:t>
      </w:r>
    </w:p>
    <w:p>
      <w:pPr>
        <w:pStyle w:val="3"/>
        <w:tabs>
          <w:tab w:val="right" w:leader="dot" w:pos="14789"/>
        </w:tabs>
        <w:ind w:left="420" w:leftChars="200"/>
        <w:jc w:val="center"/>
        <w:rPr>
          <w:rFonts w:hint="eastAsia" w:ascii="Times New Roman" w:eastAsia="方正仿宋_GBK" w:cs="Times New Roman"/>
          <w:sz w:val="28"/>
        </w:rPr>
      </w:pP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"_Toc68791550"</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eastAsia="方正仿宋_GBK" w:cs="Times New Roman"/>
          <w:sz w:val="28"/>
        </w:rPr>
        <w:t>六、政府采购预算情况</w:t>
      </w:r>
      <w:r>
        <w:rPr>
          <w:rFonts w:ascii="Times New Roman" w:eastAsia="方正仿宋_GBK" w:cs="Times New Roman"/>
          <w:sz w:val="28"/>
        </w:rPr>
        <w:tab/>
      </w:r>
      <w:r>
        <w:rPr>
          <w:rFonts w:hint="eastAsia" w:ascii="Times New Roman" w:eastAsia="方正仿宋_GBK" w:cs="Times New Roman"/>
          <w:sz w:val="28"/>
        </w:rPr>
        <w:t>6</w:t>
      </w:r>
      <w:r>
        <w:rPr>
          <w:rStyle w:val="19"/>
          <w:rFonts w:ascii="Times New Roman" w:eastAsia="方正仿宋_GBK" w:cs="Times New Roman"/>
          <w:sz w:val="28"/>
        </w:rPr>
        <w:fldChar w:fldCharType="end"/>
      </w:r>
      <w:r>
        <w:rPr>
          <w:rStyle w:val="19"/>
          <w:rFonts w:hint="eastAsia" w:ascii="Times New Roman" w:eastAsia="方正仿宋_GBK" w:cs="Times New Roman"/>
          <w:sz w:val="28"/>
        </w:rPr>
        <w:t>4</w:t>
      </w:r>
    </w:p>
    <w:p>
      <w:pPr>
        <w:pStyle w:val="3"/>
        <w:tabs>
          <w:tab w:val="right" w:leader="dot" w:pos="14789"/>
        </w:tabs>
        <w:ind w:left="420" w:leftChars="200"/>
        <w:jc w:val="center"/>
        <w:rPr>
          <w:rFonts w:hint="eastAsia" w:ascii="Times New Roman" w:eastAsia="方正仿宋_GBK" w:cs="Times New Roman"/>
          <w:sz w:val="28"/>
        </w:rPr>
      </w:pP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"_Toc68791551"</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hAnsi="黑体" w:eastAsia="方正仿宋_GBK" w:cs="Times New Roman"/>
          <w:sz w:val="28"/>
        </w:rPr>
        <w:t>七、国有资产信息</w:t>
      </w:r>
      <w:r>
        <w:rPr>
          <w:rFonts w:ascii="Times New Roman" w:eastAsia="方正仿宋_GBK" w:cs="Times New Roman"/>
          <w:sz w:val="28"/>
        </w:rPr>
        <w:tab/>
      </w:r>
      <w:r>
        <w:rPr>
          <w:rFonts w:hint="eastAsia" w:ascii="Times New Roman" w:cs="Times New Roman"/>
          <w:sz w:val="28"/>
        </w:rPr>
        <w:t>6</w:t>
      </w:r>
      <w:r>
        <w:rPr>
          <w:rStyle w:val="19"/>
          <w:rFonts w:ascii="Times New Roman" w:eastAsia="方正仿宋_GBK" w:cs="Times New Roman"/>
          <w:sz w:val="28"/>
        </w:rPr>
        <w:fldChar w:fldCharType="end"/>
      </w:r>
      <w:r>
        <w:rPr>
          <w:rStyle w:val="19"/>
          <w:rFonts w:hint="eastAsia" w:ascii="Times New Roman" w:eastAsia="方正仿宋_GBK" w:cs="Times New Roman"/>
          <w:sz w:val="28"/>
        </w:rPr>
        <w:t>6</w:t>
      </w:r>
    </w:p>
    <w:p>
      <w:pPr>
        <w:pStyle w:val="3"/>
        <w:tabs>
          <w:tab w:val="right" w:leader="dot" w:pos="14789"/>
        </w:tabs>
        <w:ind w:left="420" w:leftChars="200"/>
        <w:jc w:val="center"/>
        <w:rPr>
          <w:rFonts w:ascii="Times New Roman" w:cs="Times New Roman"/>
          <w:sz w:val="28"/>
        </w:rPr>
      </w:pP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"_Toc68791552"</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hAnsi="黑体" w:eastAsia="方正仿宋_GBK" w:cs="Times New Roman"/>
          <w:sz w:val="28"/>
        </w:rPr>
        <w:t>八、名词解释</w:t>
      </w:r>
      <w:r>
        <w:rPr>
          <w:rFonts w:ascii="Times New Roman" w:eastAsia="方正仿宋_GBK" w:cs="Times New Roman"/>
          <w:sz w:val="28"/>
        </w:rPr>
        <w:tab/>
      </w:r>
      <w:r>
        <w:rPr>
          <w:rStyle w:val="19"/>
          <w:rFonts w:ascii="Times New Roman" w:eastAsia="方正仿宋_GBK" w:cs="Times New Roman"/>
          <w:sz w:val="28"/>
        </w:rPr>
        <w:fldChar w:fldCharType="end"/>
      </w:r>
      <w:r>
        <w:rPr>
          <w:rStyle w:val="19"/>
          <w:rFonts w:hint="eastAsia" w:ascii="Times New Roman" w:cs="Times New Roman"/>
          <w:sz w:val="28"/>
        </w:rPr>
        <w:t>67</w:t>
      </w:r>
    </w:p>
    <w:p>
      <w:pPr>
        <w:pStyle w:val="3"/>
        <w:tabs>
          <w:tab w:val="right" w:leader="dot" w:pos="14789"/>
        </w:tabs>
        <w:ind w:left="420" w:leftChars="200"/>
        <w:jc w:val="center"/>
        <w:rPr>
          <w:rFonts w:hint="eastAsia" w:ascii="Times New Roman" w:eastAsia="方正仿宋_GBK" w:cs="Times New Roman"/>
          <w:sz w:val="28"/>
        </w:rPr>
      </w:pPr>
      <w:r>
        <w:rPr>
          <w:rStyle w:val="19"/>
          <w:rFonts w:ascii="Times New Roman" w:eastAsia="方正仿宋_GBK" w:cs="Times New Roman"/>
          <w:sz w:val="28"/>
        </w:rPr>
        <w:fldChar w:fldCharType="begin"/>
      </w:r>
      <w:r>
        <w:rPr>
          <w:rStyle w:val="19"/>
          <w:rFonts w:ascii="Times New Roman" w:eastAsia="方正仿宋_GBK" w:cs="Times New Roman"/>
          <w:sz w:val="28"/>
        </w:rPr>
        <w:instrText xml:space="preserve"> </w:instrText>
      </w:r>
      <w:r>
        <w:rPr>
          <w:rFonts w:ascii="Times New Roman" w:eastAsia="方正仿宋_GBK" w:cs="Times New Roman"/>
          <w:sz w:val="28"/>
        </w:rPr>
        <w:instrText xml:space="preserve">HYPERLINK \l "_Toc68791553"</w:instrText>
      </w:r>
      <w:r>
        <w:rPr>
          <w:rStyle w:val="19"/>
          <w:rFonts w:ascii="Times New Roman" w:eastAsia="方正仿宋_GBK" w:cs="Times New Roman"/>
          <w:sz w:val="28"/>
        </w:rPr>
        <w:instrText xml:space="preserve"> </w:instrText>
      </w:r>
      <w:r>
        <w:rPr>
          <w:rStyle w:val="19"/>
          <w:rFonts w:ascii="Times New Roman" w:eastAsia="方正仿宋_GBK" w:cs="Times New Roman"/>
          <w:sz w:val="28"/>
        </w:rPr>
        <w:fldChar w:fldCharType="separate"/>
      </w:r>
      <w:r>
        <w:rPr>
          <w:rStyle w:val="19"/>
          <w:rFonts w:hint="eastAsia" w:ascii="Times New Roman" w:hAnsi="黑体" w:eastAsia="方正仿宋_GBK" w:cs="Times New Roman"/>
          <w:sz w:val="28"/>
        </w:rPr>
        <w:t>九、其他需要说明的事项</w:t>
      </w:r>
      <w:r>
        <w:rPr>
          <w:rFonts w:ascii="Times New Roman" w:eastAsia="方正仿宋_GBK" w:cs="Times New Roman"/>
          <w:sz w:val="28"/>
        </w:rPr>
        <w:tab/>
      </w:r>
      <w:r>
        <w:rPr>
          <w:rFonts w:hint="eastAsia" w:ascii="Times New Roman" w:cs="Times New Roman"/>
          <w:sz w:val="28"/>
        </w:rPr>
        <w:t>6</w:t>
      </w:r>
      <w:r>
        <w:rPr>
          <w:rStyle w:val="19"/>
          <w:rFonts w:ascii="Times New Roman" w:eastAsia="方正仿宋_GBK" w:cs="Times New Roman"/>
          <w:sz w:val="28"/>
        </w:rPr>
        <w:fldChar w:fldCharType="end"/>
      </w:r>
      <w:r>
        <w:rPr>
          <w:rStyle w:val="19"/>
          <w:rFonts w:hint="eastAsia" w:ascii="Times New Roman" w:eastAsia="方正仿宋_GBK" w:cs="Times New Roman"/>
          <w:sz w:val="28"/>
        </w:rPr>
        <w:t>8</w:t>
      </w:r>
    </w:p>
    <w:p>
      <w:pPr>
        <w:ind w:left="420" w:leftChars="200"/>
        <w:jc w:val="center"/>
        <w:rPr>
          <w:rFonts w:ascii="Times New Roman" w:hAnsi="宋体" w:cs="Times New Roman"/>
        </w:rPr>
      </w:pPr>
      <w:r>
        <w:rPr>
          <w:rFonts w:ascii="Times New Roman" w:eastAsia="方正仿宋_GBK" w:cs="Times New Roman"/>
          <w:sz w:val="28"/>
        </w:rPr>
        <w:fldChar w:fldCharType="end"/>
      </w:r>
    </w:p>
    <w:p>
      <w:pPr>
        <w:pStyle w:val="8"/>
        <w:tabs>
          <w:tab w:val="right" w:leader="dot" w:pos="14789"/>
        </w:tabs>
        <w:ind w:left="420" w:leftChars="200"/>
        <w:jc w:val="center"/>
        <w:rPr>
          <w:rFonts w:hAnsi="Calibri" w:eastAsia="方正仿宋_GBK"/>
          <w:sz w:val="28"/>
        </w:rPr>
      </w:pPr>
    </w:p>
    <w:p>
      <w:pPr>
        <w:ind w:left="420" w:leftChars="200"/>
        <w:jc w:val="center"/>
        <w:rPr>
          <w:rFonts w:ascii="Times New Roman" w:hAnsi="宋体" w:cs="Times New Roman"/>
        </w:rPr>
      </w:pPr>
    </w:p>
    <w:p>
      <w:pPr>
        <w:jc w:val="center"/>
        <w:rPr>
          <w:rFonts w:cs="Times New Roman"/>
        </w:rPr>
      </w:pPr>
      <w:r>
        <w:rPr>
          <w:rFonts w:ascii="方正小标宋_GBK" w:eastAsia="方正小标宋_GBK" w:cs="Times New Roman"/>
          <w:sz w:val="44"/>
        </w:rPr>
        <w:t xml:space="preserve"> </w:t>
      </w:r>
    </w:p>
    <w:p>
      <w:pPr>
        <w:ind w:firstLine="560" w:firstLineChars="200"/>
        <w:jc w:val="left"/>
        <w:rPr>
          <w:rFonts w:ascii="Times New Roman" w:eastAsia="方正仿宋_GBK" w:cs="Times New Roman"/>
          <w:sz w:val="28"/>
        </w:rPr>
      </w:pPr>
    </w:p>
    <w:p>
      <w:pPr>
        <w:spacing w:line="560" w:lineRule="exact"/>
        <w:jc w:val="left"/>
        <w:rPr>
          <w:rStyle w:val="19"/>
          <w:rFonts w:hint="eastAsia" w:ascii="宋体" w:hAnsi="宋体" w:cs="宋体"/>
          <w:color w:val="auto"/>
          <w:sz w:val="28"/>
        </w:rPr>
      </w:pPr>
    </w:p>
    <w:p>
      <w:pPr>
        <w:spacing w:line="560" w:lineRule="exact"/>
        <w:jc w:val="left"/>
        <w:rPr>
          <w:rStyle w:val="19"/>
          <w:rFonts w:hint="eastAsia" w:ascii="宋体" w:hAnsi="宋体" w:cs="宋体"/>
          <w:color w:val="auto"/>
          <w:sz w:val="28"/>
        </w:rPr>
      </w:pPr>
    </w:p>
    <w:p>
      <w:pPr>
        <w:spacing w:line="560" w:lineRule="exact"/>
        <w:jc w:val="left"/>
        <w:rPr>
          <w:rStyle w:val="19"/>
          <w:rFonts w:hint="eastAsia" w:ascii="宋体" w:hAnsi="宋体" w:cs="宋体"/>
          <w:color w:val="auto"/>
          <w:sz w:val="28"/>
        </w:rPr>
        <w:sectPr>
          <w:footerReference r:id="rId4" w:type="default"/>
          <w:pgSz w:w="16839" w:h="11907" w:orient="landscape"/>
          <w:pgMar w:top="680" w:right="1020" w:bottom="680" w:left="1020" w:header="851" w:footer="992" w:gutter="0"/>
          <w:pgNumType w:start="1"/>
          <w:cols w:space="720" w:num="1"/>
          <w:docGrid w:type="lines" w:linePitch="312" w:charSpace="0"/>
        </w:sectPr>
      </w:pPr>
    </w:p>
    <w:p>
      <w:pPr>
        <w:autoSpaceDE w:val="0"/>
        <w:autoSpaceDN w:val="0"/>
        <w:adjustRightInd w:val="0"/>
        <w:snapToGrid w:val="0"/>
        <w:spacing w:line="560" w:lineRule="atLeast"/>
        <w:jc w:val="left"/>
        <w:rPr>
          <w:rFonts w:hint="eastAsia" w:ascii="方正仿宋简体" w:hAnsi="仿宋_GB2312" w:eastAsia="方正仿宋简体" w:cs="仿宋_GB2312"/>
          <w:sz w:val="30"/>
          <w:szCs w:val="30"/>
        </w:rPr>
      </w:pPr>
    </w:p>
    <w:tbl>
      <w:tblPr>
        <w:tblStyle w:val="13"/>
        <w:tblW w:w="14175" w:type="dxa"/>
        <w:tblInd w:w="-522" w:type="dxa"/>
        <w:tblLayout w:type="fixed"/>
        <w:tblCellMar>
          <w:top w:w="0" w:type="dxa"/>
          <w:left w:w="108" w:type="dxa"/>
          <w:bottom w:w="0" w:type="dxa"/>
          <w:right w:w="108" w:type="dxa"/>
        </w:tblCellMar>
      </w:tblPr>
      <w:tblGrid>
        <w:gridCol w:w="4515"/>
        <w:gridCol w:w="1960"/>
        <w:gridCol w:w="140"/>
        <w:gridCol w:w="630"/>
        <w:gridCol w:w="750"/>
        <w:gridCol w:w="3330"/>
        <w:gridCol w:w="225"/>
        <w:gridCol w:w="2625"/>
      </w:tblGrid>
      <w:tr>
        <w:tblPrEx>
          <w:tblCellMar>
            <w:top w:w="0" w:type="dxa"/>
            <w:left w:w="108" w:type="dxa"/>
            <w:bottom w:w="0" w:type="dxa"/>
            <w:right w:w="108" w:type="dxa"/>
          </w:tblCellMar>
        </w:tblPrEx>
        <w:trPr>
          <w:trHeight w:val="315" w:hRule="atLeast"/>
        </w:trPr>
        <w:tc>
          <w:tcPr>
            <w:tcW w:w="6475" w:type="dxa"/>
            <w:gridSpan w:val="2"/>
            <w:tcBorders>
              <w:top w:val="nil"/>
              <w:left w:val="nil"/>
              <w:bottom w:val="nil"/>
              <w:right w:val="nil"/>
            </w:tcBorders>
            <w:noWrap/>
            <w:vAlign w:val="center"/>
          </w:tcPr>
          <w:p>
            <w:pPr>
              <w:widowControl/>
              <w:jc w:val="left"/>
              <w:rPr>
                <w:rFonts w:ascii="宋体" w:hAnsi="宋体" w:cs="宋体"/>
                <w:kern w:val="0"/>
                <w:sz w:val="22"/>
              </w:rPr>
            </w:pPr>
            <w:bookmarkStart w:id="0" w:name="RANGE!A1:D36"/>
            <w:r>
              <w:rPr>
                <w:rFonts w:hint="eastAsia" w:ascii="宋体" w:hAnsi="宋体" w:cs="宋体"/>
                <w:kern w:val="0"/>
                <w:sz w:val="22"/>
              </w:rPr>
              <w:t>附表</w:t>
            </w:r>
            <w:r>
              <w:rPr>
                <w:rFonts w:ascii="Times New Roman" w:hAnsi="Times New Roman" w:cs="Times New Roman"/>
                <w:kern w:val="0"/>
                <w:sz w:val="22"/>
              </w:rPr>
              <w:t>1-1</w:t>
            </w:r>
            <w:bookmarkEnd w:id="0"/>
          </w:p>
        </w:tc>
        <w:tc>
          <w:tcPr>
            <w:tcW w:w="1520" w:type="dxa"/>
            <w:gridSpan w:val="3"/>
            <w:tcBorders>
              <w:top w:val="nil"/>
              <w:left w:val="nil"/>
              <w:bottom w:val="nil"/>
              <w:right w:val="nil"/>
            </w:tcBorders>
            <w:noWrap/>
            <w:vAlign w:val="center"/>
          </w:tcPr>
          <w:p>
            <w:pPr>
              <w:widowControl/>
              <w:jc w:val="right"/>
              <w:rPr>
                <w:rFonts w:ascii="Times New Roman" w:hAnsi="Times New Roman" w:cs="Times New Roman"/>
                <w:kern w:val="0"/>
                <w:sz w:val="24"/>
                <w:szCs w:val="24"/>
              </w:rPr>
            </w:pPr>
          </w:p>
        </w:tc>
        <w:tc>
          <w:tcPr>
            <w:tcW w:w="3330" w:type="dxa"/>
            <w:tcBorders>
              <w:top w:val="nil"/>
              <w:left w:val="nil"/>
              <w:bottom w:val="nil"/>
              <w:right w:val="nil"/>
            </w:tcBorders>
            <w:noWrap/>
            <w:vAlign w:val="center"/>
          </w:tcPr>
          <w:p>
            <w:pPr>
              <w:widowControl/>
              <w:jc w:val="right"/>
              <w:rPr>
                <w:rFonts w:ascii="Times New Roman" w:hAnsi="Times New Roman" w:cs="Times New Roman"/>
                <w:kern w:val="0"/>
                <w:sz w:val="24"/>
                <w:szCs w:val="24"/>
              </w:rPr>
            </w:pPr>
          </w:p>
        </w:tc>
        <w:tc>
          <w:tcPr>
            <w:tcW w:w="2850" w:type="dxa"/>
            <w:gridSpan w:val="2"/>
            <w:tcBorders>
              <w:top w:val="nil"/>
              <w:left w:val="nil"/>
              <w:bottom w:val="nil"/>
              <w:right w:val="nil"/>
            </w:tcBorders>
            <w:noWrap/>
            <w:vAlign w:val="center"/>
          </w:tcPr>
          <w:p>
            <w:pPr>
              <w:widowControl/>
              <w:jc w:val="right"/>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360" w:hRule="atLeast"/>
        </w:trPr>
        <w:tc>
          <w:tcPr>
            <w:tcW w:w="14175" w:type="dxa"/>
            <w:gridSpan w:val="8"/>
            <w:tcBorders>
              <w:top w:val="nil"/>
              <w:left w:val="nil"/>
              <w:bottom w:val="nil"/>
              <w:right w:val="nil"/>
            </w:tcBorders>
            <w:noWrap/>
            <w:vAlign w:val="center"/>
          </w:tcPr>
          <w:p>
            <w:pPr>
              <w:widowControl/>
              <w:jc w:val="center"/>
              <w:rPr>
                <w:rFonts w:ascii="Times New Roman" w:hAnsi="Times New Roman" w:cs="Times New Roman"/>
                <w:color w:val="000000"/>
                <w:kern w:val="0"/>
                <w:sz w:val="36"/>
                <w:szCs w:val="36"/>
              </w:rPr>
            </w:pPr>
            <w:r>
              <w:rPr>
                <w:rFonts w:hint="eastAsia" w:ascii="方正小标宋_GBK" w:hAnsi="Times New Roman" w:eastAsia="方正小标宋_GBK" w:cs="Times New Roman"/>
                <w:color w:val="000000"/>
                <w:kern w:val="0"/>
                <w:sz w:val="36"/>
                <w:szCs w:val="36"/>
              </w:rPr>
              <w:t>本</w:t>
            </w:r>
            <w:r>
              <w:rPr>
                <w:rFonts w:hint="eastAsia" w:ascii="宋体" w:hAnsi="宋体" w:cs="宋体"/>
                <w:color w:val="000000"/>
                <w:kern w:val="0"/>
                <w:sz w:val="36"/>
                <w:szCs w:val="36"/>
              </w:rPr>
              <w:t>级</w:t>
            </w:r>
            <w:r>
              <w:rPr>
                <w:rFonts w:hint="eastAsia" w:ascii="方正小标宋_GBK" w:hAnsi="Times New Roman" w:eastAsia="方正小标宋_GBK" w:cs="Times New Roman"/>
                <w:color w:val="000000"/>
                <w:kern w:val="0"/>
                <w:sz w:val="36"/>
                <w:szCs w:val="36"/>
              </w:rPr>
              <w:t>预算收支总表</w:t>
            </w:r>
          </w:p>
        </w:tc>
      </w:tr>
      <w:tr>
        <w:tblPrEx>
          <w:tblCellMar>
            <w:top w:w="0" w:type="dxa"/>
            <w:left w:w="108" w:type="dxa"/>
            <w:bottom w:w="0" w:type="dxa"/>
            <w:right w:w="108" w:type="dxa"/>
          </w:tblCellMar>
        </w:tblPrEx>
        <w:trPr>
          <w:trHeight w:val="300" w:hRule="atLeast"/>
        </w:trPr>
        <w:tc>
          <w:tcPr>
            <w:tcW w:w="6615" w:type="dxa"/>
            <w:gridSpan w:val="3"/>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303遵化市发展和改革局本级</w:t>
            </w:r>
          </w:p>
        </w:tc>
        <w:tc>
          <w:tcPr>
            <w:tcW w:w="4710" w:type="dxa"/>
            <w:gridSpan w:val="3"/>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预算年度：2022</w:t>
            </w:r>
          </w:p>
        </w:tc>
        <w:tc>
          <w:tcPr>
            <w:tcW w:w="2850" w:type="dxa"/>
            <w:gridSpan w:val="2"/>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单位：万元</w:t>
            </w:r>
          </w:p>
        </w:tc>
      </w:tr>
      <w:tr>
        <w:tblPrEx>
          <w:tblCellMar>
            <w:top w:w="0" w:type="dxa"/>
            <w:left w:w="108" w:type="dxa"/>
            <w:bottom w:w="0" w:type="dxa"/>
            <w:right w:w="108" w:type="dxa"/>
          </w:tblCellMar>
        </w:tblPrEx>
        <w:trPr>
          <w:trHeight w:val="289" w:hRule="atLeast"/>
        </w:trPr>
        <w:tc>
          <w:tcPr>
            <w:tcW w:w="724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收入</w:t>
            </w:r>
          </w:p>
        </w:tc>
        <w:tc>
          <w:tcPr>
            <w:tcW w:w="6930"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支出</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    目</w:t>
            </w:r>
          </w:p>
        </w:tc>
        <w:tc>
          <w:tcPr>
            <w:tcW w:w="273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预算数</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    目</w:t>
            </w:r>
          </w:p>
        </w:tc>
        <w:tc>
          <w:tcPr>
            <w:tcW w:w="2625"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预算数</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一、一般公共预算拨款收入</w:t>
            </w:r>
          </w:p>
        </w:tc>
        <w:tc>
          <w:tcPr>
            <w:tcW w:w="2730" w:type="dxa"/>
            <w:gridSpan w:val="3"/>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13075.06</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一、一般公共服务支出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二、政府性基金预算拨款收入</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二、外交支出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三、国有资本经营预算拨款收入</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三、国防支出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四、财政专户管理资金收入</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四、公共安全支出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五、事业收入</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五、教育支出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六、事业单位经营收入</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六、科学技术支出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七、上级补助收入</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七、文化体育与传媒支出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八、附属单位上缴收入</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八、社会保障和就业支出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九、其他收入</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九、卫生健康支出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十、节能环保支出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十一、城乡社区支出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十二、农林水支出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十三、交通运输支出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十四、资源勘探工业信息等支出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十五、商业服务业等支出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十六、金融支出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十七、援助其他地区支出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十八、自然资源海洋气象等支出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十九、住房保障支出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二十、粮油物资储备支出</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二十一、国有资本经营预算支出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二十二、灾害防治及应急管理支出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二十三、债务还本支出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二十四、债务付息支出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二十五、债务发行费用支出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二十六、其他支出</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本年收入合计</w:t>
            </w:r>
          </w:p>
        </w:tc>
        <w:tc>
          <w:tcPr>
            <w:tcW w:w="2730" w:type="dxa"/>
            <w:gridSpan w:val="3"/>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4305"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本年支出合计</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         上年结转结余</w:t>
            </w:r>
          </w:p>
        </w:tc>
        <w:tc>
          <w:tcPr>
            <w:tcW w:w="2730" w:type="dxa"/>
            <w:gridSpan w:val="3"/>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4305" w:type="dxa"/>
            <w:gridSpan w:val="3"/>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                年终结转结余</w:t>
            </w:r>
          </w:p>
        </w:tc>
        <w:tc>
          <w:tcPr>
            <w:tcW w:w="2625"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4515"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总计</w:t>
            </w:r>
          </w:p>
        </w:tc>
        <w:tc>
          <w:tcPr>
            <w:tcW w:w="2730" w:type="dxa"/>
            <w:gridSpan w:val="3"/>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4305"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总计</w:t>
            </w:r>
          </w:p>
        </w:tc>
        <w:tc>
          <w:tcPr>
            <w:tcW w:w="2625"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r>
      <w:tr>
        <w:tblPrEx>
          <w:tblCellMar>
            <w:top w:w="0" w:type="dxa"/>
            <w:left w:w="108" w:type="dxa"/>
            <w:bottom w:w="0" w:type="dxa"/>
            <w:right w:w="108" w:type="dxa"/>
          </w:tblCellMar>
        </w:tblPrEx>
        <w:trPr>
          <w:trHeight w:val="585" w:hRule="atLeast"/>
        </w:trPr>
        <w:tc>
          <w:tcPr>
            <w:tcW w:w="14175" w:type="dxa"/>
            <w:gridSpan w:val="8"/>
            <w:tcBorders>
              <w:top w:val="nil"/>
              <w:left w:val="nil"/>
              <w:bottom w:val="nil"/>
              <w:right w:val="nil"/>
            </w:tcBorders>
            <w:noWrap w:val="0"/>
            <w:vAlign w:val="center"/>
          </w:tcPr>
          <w:p>
            <w:pPr>
              <w:widowControl/>
              <w:jc w:val="left"/>
              <w:rPr>
                <w:rFonts w:ascii="Times New Roman" w:hAnsi="Times New Roman" w:cs="Times New Roman"/>
                <w:kern w:val="0"/>
                <w:sz w:val="20"/>
                <w:szCs w:val="20"/>
              </w:rPr>
            </w:pPr>
          </w:p>
        </w:tc>
      </w:tr>
    </w:tbl>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tbl>
      <w:tblPr>
        <w:tblStyle w:val="13"/>
        <w:tblW w:w="13949" w:type="dxa"/>
        <w:tblInd w:w="-417" w:type="dxa"/>
        <w:tblLayout w:type="fixed"/>
        <w:tblCellMar>
          <w:top w:w="0" w:type="dxa"/>
          <w:left w:w="108" w:type="dxa"/>
          <w:bottom w:w="0" w:type="dxa"/>
          <w:right w:w="108" w:type="dxa"/>
        </w:tblCellMar>
      </w:tblPr>
      <w:tblGrid>
        <w:gridCol w:w="1575"/>
        <w:gridCol w:w="135"/>
        <w:gridCol w:w="2490"/>
        <w:gridCol w:w="1149"/>
        <w:gridCol w:w="1053"/>
        <w:gridCol w:w="197"/>
        <w:gridCol w:w="983"/>
        <w:gridCol w:w="172"/>
        <w:gridCol w:w="1008"/>
        <w:gridCol w:w="147"/>
        <w:gridCol w:w="493"/>
        <w:gridCol w:w="347"/>
        <w:gridCol w:w="293"/>
        <w:gridCol w:w="442"/>
        <w:gridCol w:w="198"/>
        <w:gridCol w:w="537"/>
        <w:gridCol w:w="103"/>
        <w:gridCol w:w="640"/>
        <w:gridCol w:w="640"/>
        <w:gridCol w:w="1347"/>
      </w:tblGrid>
      <w:tr>
        <w:tblPrEx>
          <w:tblCellMar>
            <w:top w:w="0" w:type="dxa"/>
            <w:left w:w="108" w:type="dxa"/>
            <w:bottom w:w="0" w:type="dxa"/>
            <w:right w:w="108" w:type="dxa"/>
          </w:tblCellMar>
        </w:tblPrEx>
        <w:trPr>
          <w:trHeight w:val="405" w:hRule="atLeast"/>
        </w:trPr>
        <w:tc>
          <w:tcPr>
            <w:tcW w:w="1710" w:type="dxa"/>
            <w:gridSpan w:val="2"/>
            <w:tcBorders>
              <w:top w:val="nil"/>
              <w:left w:val="nil"/>
              <w:bottom w:val="nil"/>
              <w:right w:val="nil"/>
            </w:tcBorders>
            <w:noWrap/>
            <w:vAlign w:val="center"/>
          </w:tcPr>
          <w:p>
            <w:pPr>
              <w:widowControl/>
              <w:jc w:val="left"/>
              <w:rPr>
                <w:rFonts w:ascii="宋体" w:hAnsi="宋体" w:cs="宋体"/>
                <w:kern w:val="0"/>
                <w:sz w:val="22"/>
              </w:rPr>
            </w:pPr>
            <w:r>
              <w:rPr>
                <w:rFonts w:hint="eastAsia" w:ascii="宋体" w:hAnsi="宋体" w:cs="宋体"/>
                <w:kern w:val="0"/>
                <w:sz w:val="22"/>
              </w:rPr>
              <w:t>附表</w:t>
            </w:r>
            <w:r>
              <w:rPr>
                <w:rFonts w:ascii="Times New Roman" w:hAnsi="Times New Roman" w:cs="Times New Roman"/>
                <w:kern w:val="0"/>
                <w:sz w:val="22"/>
              </w:rPr>
              <w:t>1-2</w:t>
            </w:r>
          </w:p>
        </w:tc>
        <w:tc>
          <w:tcPr>
            <w:tcW w:w="3639"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053"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18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18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64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64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347" w:type="dxa"/>
            <w:tcBorders>
              <w:top w:val="nil"/>
              <w:left w:val="nil"/>
              <w:bottom w:val="nil"/>
              <w:right w:val="nil"/>
            </w:tcBorders>
            <w:noWrap/>
            <w:vAlign w:val="center"/>
          </w:tcPr>
          <w:p>
            <w:pPr>
              <w:widowControl/>
              <w:jc w:val="right"/>
              <w:rPr>
                <w:rFonts w:ascii="Times New Roman" w:hAnsi="Times New Roman" w:cs="Times New Roman"/>
                <w:kern w:val="0"/>
                <w:sz w:val="22"/>
              </w:rPr>
            </w:pPr>
          </w:p>
        </w:tc>
      </w:tr>
      <w:tr>
        <w:tblPrEx>
          <w:tblCellMar>
            <w:top w:w="0" w:type="dxa"/>
            <w:left w:w="108" w:type="dxa"/>
            <w:bottom w:w="0" w:type="dxa"/>
            <w:right w:w="108" w:type="dxa"/>
          </w:tblCellMar>
        </w:tblPrEx>
        <w:trPr>
          <w:trHeight w:val="465" w:hRule="atLeast"/>
        </w:trPr>
        <w:tc>
          <w:tcPr>
            <w:tcW w:w="13949" w:type="dxa"/>
            <w:gridSpan w:val="20"/>
            <w:tcBorders>
              <w:top w:val="nil"/>
              <w:left w:val="nil"/>
              <w:bottom w:val="nil"/>
              <w:right w:val="nil"/>
            </w:tcBorders>
            <w:noWrap/>
            <w:vAlign w:val="center"/>
          </w:tcPr>
          <w:p>
            <w:pPr>
              <w:widowControl/>
              <w:jc w:val="center"/>
              <w:rPr>
                <w:rFonts w:ascii="Times New Roman" w:hAnsi="Times New Roman" w:cs="Times New Roman"/>
                <w:color w:val="000000"/>
                <w:kern w:val="0"/>
                <w:sz w:val="36"/>
                <w:szCs w:val="36"/>
              </w:rPr>
            </w:pPr>
            <w:r>
              <w:rPr>
                <w:rFonts w:hint="eastAsia" w:ascii="方正小标宋_GBK" w:hAnsi="Times New Roman" w:eastAsia="方正小标宋_GBK" w:cs="Times New Roman"/>
                <w:color w:val="000000"/>
                <w:kern w:val="0"/>
                <w:sz w:val="36"/>
                <w:szCs w:val="36"/>
              </w:rPr>
              <w:t>本</w:t>
            </w:r>
            <w:r>
              <w:rPr>
                <w:rFonts w:hint="eastAsia" w:ascii="宋体" w:hAnsi="宋体" w:cs="宋体"/>
                <w:color w:val="000000"/>
                <w:kern w:val="0"/>
                <w:sz w:val="36"/>
                <w:szCs w:val="36"/>
              </w:rPr>
              <w:t>级</w:t>
            </w:r>
            <w:r>
              <w:rPr>
                <w:rFonts w:hint="eastAsia" w:ascii="方正小标宋_GBK" w:hAnsi="Times New Roman" w:eastAsia="方正小标宋_GBK" w:cs="Times New Roman"/>
                <w:color w:val="000000"/>
                <w:kern w:val="0"/>
                <w:sz w:val="36"/>
                <w:szCs w:val="36"/>
              </w:rPr>
              <w:t>预算收入总表</w:t>
            </w:r>
          </w:p>
        </w:tc>
      </w:tr>
      <w:tr>
        <w:tblPrEx>
          <w:tblCellMar>
            <w:top w:w="0" w:type="dxa"/>
            <w:left w:w="108" w:type="dxa"/>
            <w:bottom w:w="0" w:type="dxa"/>
            <w:right w:w="108" w:type="dxa"/>
          </w:tblCellMar>
        </w:tblPrEx>
        <w:trPr>
          <w:trHeight w:val="300" w:hRule="atLeast"/>
        </w:trPr>
        <w:tc>
          <w:tcPr>
            <w:tcW w:w="8762" w:type="dxa"/>
            <w:gridSpan w:val="9"/>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303遵化市发展和改革局本级</w:t>
            </w:r>
          </w:p>
        </w:tc>
        <w:tc>
          <w:tcPr>
            <w:tcW w:w="1920" w:type="dxa"/>
            <w:gridSpan w:val="6"/>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预算年度：2022</w:t>
            </w:r>
          </w:p>
        </w:tc>
        <w:tc>
          <w:tcPr>
            <w:tcW w:w="640" w:type="dxa"/>
            <w:gridSpan w:val="2"/>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640" w:type="dxa"/>
            <w:tcBorders>
              <w:top w:val="nil"/>
              <w:left w:val="nil"/>
              <w:bottom w:val="nil"/>
              <w:right w:val="nil"/>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p>
        </w:tc>
        <w:tc>
          <w:tcPr>
            <w:tcW w:w="640"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47"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单位：万元</w:t>
            </w:r>
          </w:p>
        </w:tc>
      </w:tr>
      <w:tr>
        <w:tblPrEx>
          <w:tblCellMar>
            <w:top w:w="0" w:type="dxa"/>
            <w:left w:w="108" w:type="dxa"/>
            <w:bottom w:w="0" w:type="dxa"/>
            <w:right w:w="108" w:type="dxa"/>
          </w:tblCellMar>
        </w:tblPrEx>
        <w:trPr>
          <w:trHeight w:val="450" w:hRule="atLeast"/>
        </w:trPr>
        <w:tc>
          <w:tcPr>
            <w:tcW w:w="420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w:t>
            </w:r>
          </w:p>
        </w:tc>
        <w:tc>
          <w:tcPr>
            <w:tcW w:w="11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7253" w:type="dxa"/>
            <w:gridSpan w:val="15"/>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本年收入</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上年结转</w:t>
            </w:r>
          </w:p>
        </w:tc>
      </w:tr>
      <w:tr>
        <w:tblPrEx>
          <w:tblCellMar>
            <w:top w:w="0" w:type="dxa"/>
            <w:left w:w="108" w:type="dxa"/>
            <w:bottom w:w="0" w:type="dxa"/>
            <w:right w:w="108" w:type="dxa"/>
          </w:tblCellMar>
        </w:tblPrEx>
        <w:trPr>
          <w:trHeight w:val="795" w:hRule="atLeast"/>
        </w:trPr>
        <w:tc>
          <w:tcPr>
            <w:tcW w:w="1575"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功能分类科目编码</w:t>
            </w:r>
          </w:p>
        </w:tc>
        <w:tc>
          <w:tcPr>
            <w:tcW w:w="2625"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科目名称</w:t>
            </w: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25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小计</w:t>
            </w:r>
          </w:p>
        </w:tc>
        <w:tc>
          <w:tcPr>
            <w:tcW w:w="1155"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财政拨款收入</w:t>
            </w:r>
          </w:p>
        </w:tc>
        <w:tc>
          <w:tcPr>
            <w:tcW w:w="1155"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财政专户收入</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事业收入</w:t>
            </w:r>
          </w:p>
        </w:tc>
        <w:tc>
          <w:tcPr>
            <w:tcW w:w="735"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经营收入</w:t>
            </w:r>
          </w:p>
        </w:tc>
        <w:tc>
          <w:tcPr>
            <w:tcW w:w="735"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上级补助收入</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附属单位上缴收入</w:t>
            </w:r>
          </w:p>
        </w:tc>
        <w:tc>
          <w:tcPr>
            <w:tcW w:w="64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其他收入</w:t>
            </w: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r>
      <w:tr>
        <w:tblPrEx>
          <w:tblCellMar>
            <w:top w:w="0" w:type="dxa"/>
            <w:left w:w="108" w:type="dxa"/>
            <w:bottom w:w="0" w:type="dxa"/>
            <w:right w:w="108" w:type="dxa"/>
          </w:tblCellMar>
        </w:tblPrEx>
        <w:trPr>
          <w:trHeight w:val="450" w:hRule="atLeast"/>
        </w:trPr>
        <w:tc>
          <w:tcPr>
            <w:tcW w:w="42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一般公共服务支出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155" w:type="dxa"/>
            <w:gridSpan w:val="2"/>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发展与改革事务</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行政运行</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2010402</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一般行政管理事务</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32.00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32.00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32.00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2010404</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战略规划与实施</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438.00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438.00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438.00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2010406</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社会事业发展规划</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29.50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29.50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29.50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2010408</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物价管理</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21.00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21.00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21.00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社会保障和就业支出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行政事业单位养老支出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2080505</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107.59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107.59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107.59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2080506</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机关事业单位职业年金缴费支出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37.19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37.19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37.19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卫生健康支出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行政事业单位医疗</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2101101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行政单位医疗</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节能环保支出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21103</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污染防治</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2110301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大气</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住房保障支出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住房改革支出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2210201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粮油物资储备支出</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粮油事务</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180.73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180.73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180.73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2220102</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一般行政管理事务</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59.73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59.73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59.73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2220105</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粮食信息统计</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2220112</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粮食财务挂账利息补贴</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22204</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粮油储备</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75"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2220401</w:t>
            </w:r>
          </w:p>
        </w:tc>
        <w:tc>
          <w:tcPr>
            <w:tcW w:w="2625" w:type="dxa"/>
            <w:gridSpan w:val="2"/>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储备粮油补贴</w:t>
            </w:r>
          </w:p>
        </w:tc>
        <w:tc>
          <w:tcPr>
            <w:tcW w:w="1149"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25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15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15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840"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35"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743" w:type="dxa"/>
            <w:gridSpan w:val="2"/>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64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347"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70" w:lineRule="exact"/>
        <w:rPr>
          <w:rFonts w:hint="eastAsia" w:ascii="方正仿宋简体" w:hAnsi="方正仿宋简体" w:eastAsia="方正仿宋简体" w:cs="方正仿宋简体"/>
          <w:sz w:val="24"/>
          <w:szCs w:val="24"/>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tbl>
      <w:tblPr>
        <w:tblStyle w:val="13"/>
        <w:tblW w:w="14070" w:type="dxa"/>
        <w:tblInd w:w="-417" w:type="dxa"/>
        <w:tblLayout w:type="fixed"/>
        <w:tblCellMar>
          <w:top w:w="0" w:type="dxa"/>
          <w:left w:w="108" w:type="dxa"/>
          <w:bottom w:w="0" w:type="dxa"/>
          <w:right w:w="108" w:type="dxa"/>
        </w:tblCellMar>
      </w:tblPr>
      <w:tblGrid>
        <w:gridCol w:w="1507"/>
        <w:gridCol w:w="3045"/>
        <w:gridCol w:w="1053"/>
        <w:gridCol w:w="695"/>
        <w:gridCol w:w="533"/>
        <w:gridCol w:w="832"/>
        <w:gridCol w:w="1053"/>
        <w:gridCol w:w="312"/>
        <w:gridCol w:w="309"/>
        <w:gridCol w:w="621"/>
        <w:gridCol w:w="330"/>
        <w:gridCol w:w="1260"/>
        <w:gridCol w:w="2520"/>
      </w:tblGrid>
      <w:tr>
        <w:tblPrEx>
          <w:tblCellMar>
            <w:top w:w="0" w:type="dxa"/>
            <w:left w:w="108" w:type="dxa"/>
            <w:bottom w:w="0" w:type="dxa"/>
            <w:right w:w="108" w:type="dxa"/>
          </w:tblCellMar>
        </w:tblPrEx>
        <w:trPr>
          <w:trHeight w:val="465" w:hRule="atLeast"/>
        </w:trPr>
        <w:tc>
          <w:tcPr>
            <w:tcW w:w="4552" w:type="dxa"/>
            <w:gridSpan w:val="2"/>
            <w:tcBorders>
              <w:top w:val="nil"/>
              <w:left w:val="nil"/>
              <w:bottom w:val="nil"/>
              <w:right w:val="nil"/>
            </w:tcBorders>
            <w:noWrap/>
            <w:vAlign w:val="center"/>
          </w:tcPr>
          <w:p>
            <w:pPr>
              <w:widowControl/>
              <w:jc w:val="left"/>
              <w:rPr>
                <w:rFonts w:ascii="宋体" w:hAnsi="宋体" w:cs="宋体"/>
                <w:kern w:val="0"/>
                <w:sz w:val="22"/>
              </w:rPr>
            </w:pPr>
            <w:r>
              <w:rPr>
                <w:rFonts w:hint="eastAsia" w:ascii="宋体" w:hAnsi="宋体" w:cs="宋体"/>
                <w:kern w:val="0"/>
                <w:sz w:val="22"/>
              </w:rPr>
              <w:t>附表</w:t>
            </w:r>
            <w:r>
              <w:rPr>
                <w:rFonts w:ascii="Times New Roman" w:hAnsi="Times New Roman" w:cs="Times New Roman"/>
                <w:kern w:val="0"/>
                <w:sz w:val="22"/>
              </w:rPr>
              <w:t>1-3</w:t>
            </w:r>
          </w:p>
        </w:tc>
        <w:tc>
          <w:tcPr>
            <w:tcW w:w="1053"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228"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885"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621"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621"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4110" w:type="dxa"/>
            <w:gridSpan w:val="3"/>
            <w:tcBorders>
              <w:top w:val="nil"/>
              <w:left w:val="nil"/>
              <w:bottom w:val="nil"/>
              <w:right w:val="nil"/>
            </w:tcBorders>
            <w:noWrap/>
            <w:vAlign w:val="center"/>
          </w:tcPr>
          <w:p>
            <w:pPr>
              <w:widowControl/>
              <w:jc w:val="right"/>
              <w:rPr>
                <w:rFonts w:ascii="Times New Roman" w:hAnsi="Times New Roman" w:cs="Times New Roman"/>
                <w:kern w:val="0"/>
                <w:sz w:val="22"/>
              </w:rPr>
            </w:pPr>
          </w:p>
        </w:tc>
      </w:tr>
      <w:tr>
        <w:tblPrEx>
          <w:tblCellMar>
            <w:top w:w="0" w:type="dxa"/>
            <w:left w:w="108" w:type="dxa"/>
            <w:bottom w:w="0" w:type="dxa"/>
            <w:right w:w="108" w:type="dxa"/>
          </w:tblCellMar>
        </w:tblPrEx>
        <w:trPr>
          <w:trHeight w:val="465" w:hRule="atLeast"/>
        </w:trPr>
        <w:tc>
          <w:tcPr>
            <w:tcW w:w="14070" w:type="dxa"/>
            <w:gridSpan w:val="13"/>
            <w:tcBorders>
              <w:top w:val="nil"/>
              <w:left w:val="nil"/>
              <w:bottom w:val="nil"/>
              <w:right w:val="nil"/>
            </w:tcBorders>
            <w:noWrap/>
            <w:vAlign w:val="center"/>
          </w:tcPr>
          <w:p>
            <w:pPr>
              <w:widowControl/>
              <w:jc w:val="center"/>
              <w:rPr>
                <w:rFonts w:ascii="Times New Roman" w:hAnsi="Times New Roman" w:cs="Times New Roman"/>
                <w:color w:val="000000"/>
                <w:kern w:val="0"/>
                <w:sz w:val="36"/>
                <w:szCs w:val="36"/>
              </w:rPr>
            </w:pPr>
            <w:r>
              <w:rPr>
                <w:rFonts w:hint="eastAsia" w:ascii="方正小标宋_GBK" w:hAnsi="Times New Roman" w:eastAsia="方正小标宋_GBK" w:cs="Times New Roman"/>
                <w:color w:val="000000"/>
                <w:kern w:val="0"/>
                <w:sz w:val="36"/>
                <w:szCs w:val="36"/>
              </w:rPr>
              <w:t>本</w:t>
            </w:r>
            <w:r>
              <w:rPr>
                <w:rFonts w:hint="eastAsia" w:ascii="宋体" w:hAnsi="宋体" w:cs="宋体"/>
                <w:color w:val="000000"/>
                <w:kern w:val="0"/>
                <w:sz w:val="36"/>
                <w:szCs w:val="36"/>
              </w:rPr>
              <w:t>级</w:t>
            </w:r>
            <w:r>
              <w:rPr>
                <w:rFonts w:hint="eastAsia" w:ascii="方正小标宋_GBK" w:hAnsi="Times New Roman" w:eastAsia="方正小标宋_GBK" w:cs="Times New Roman"/>
                <w:color w:val="000000"/>
                <w:kern w:val="0"/>
                <w:sz w:val="36"/>
                <w:szCs w:val="36"/>
              </w:rPr>
              <w:t>预算支出总表</w:t>
            </w:r>
          </w:p>
        </w:tc>
      </w:tr>
      <w:tr>
        <w:tblPrEx>
          <w:tblCellMar>
            <w:top w:w="0" w:type="dxa"/>
            <w:left w:w="108" w:type="dxa"/>
            <w:bottom w:w="0" w:type="dxa"/>
            <w:right w:w="108" w:type="dxa"/>
          </w:tblCellMar>
        </w:tblPrEx>
        <w:trPr>
          <w:trHeight w:val="495" w:hRule="atLeast"/>
        </w:trPr>
        <w:tc>
          <w:tcPr>
            <w:tcW w:w="7665" w:type="dxa"/>
            <w:gridSpan w:val="6"/>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303遵化市发展和改革局本级</w:t>
            </w:r>
          </w:p>
        </w:tc>
        <w:tc>
          <w:tcPr>
            <w:tcW w:w="2625" w:type="dxa"/>
            <w:gridSpan w:val="5"/>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预算年度：2022</w:t>
            </w:r>
          </w:p>
        </w:tc>
        <w:tc>
          <w:tcPr>
            <w:tcW w:w="1260"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单位：万元</w:t>
            </w:r>
          </w:p>
        </w:tc>
      </w:tr>
      <w:tr>
        <w:tblPrEx>
          <w:tblCellMar>
            <w:top w:w="0" w:type="dxa"/>
            <w:left w:w="108" w:type="dxa"/>
            <w:bottom w:w="0" w:type="dxa"/>
            <w:right w:w="108" w:type="dxa"/>
          </w:tblCellMar>
        </w:tblPrEx>
        <w:trPr>
          <w:trHeight w:val="450" w:hRule="atLeast"/>
        </w:trPr>
        <w:tc>
          <w:tcPr>
            <w:tcW w:w="455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w:t>
            </w:r>
          </w:p>
        </w:tc>
        <w:tc>
          <w:tcPr>
            <w:tcW w:w="1748"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本年支出合计</w:t>
            </w:r>
          </w:p>
        </w:tc>
        <w:tc>
          <w:tcPr>
            <w:tcW w:w="13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基本支出</w:t>
            </w:r>
          </w:p>
        </w:tc>
        <w:tc>
          <w:tcPr>
            <w:tcW w:w="13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项目支出</w:t>
            </w:r>
          </w:p>
        </w:tc>
        <w:tc>
          <w:tcPr>
            <w:tcW w:w="126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经营支出</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上缴上级支出</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对附属单位补助支出</w:t>
            </w:r>
          </w:p>
        </w:tc>
      </w:tr>
      <w:tr>
        <w:tblPrEx>
          <w:tblCellMar>
            <w:top w:w="0" w:type="dxa"/>
            <w:left w:w="108" w:type="dxa"/>
            <w:bottom w:w="0" w:type="dxa"/>
            <w:right w:w="108" w:type="dxa"/>
          </w:tblCellMar>
        </w:tblPrEx>
        <w:trPr>
          <w:trHeight w:val="810" w:hRule="atLeast"/>
        </w:trPr>
        <w:tc>
          <w:tcPr>
            <w:tcW w:w="1507"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功能分类科目编码</w:t>
            </w:r>
          </w:p>
        </w:tc>
        <w:tc>
          <w:tcPr>
            <w:tcW w:w="304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科目名称</w:t>
            </w:r>
          </w:p>
        </w:tc>
        <w:tc>
          <w:tcPr>
            <w:tcW w:w="174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3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3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2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r>
      <w:tr>
        <w:tblPrEx>
          <w:tblCellMar>
            <w:top w:w="0" w:type="dxa"/>
            <w:left w:w="108" w:type="dxa"/>
            <w:bottom w:w="0" w:type="dxa"/>
            <w:right w:w="108" w:type="dxa"/>
          </w:tblCellMar>
        </w:tblPrEx>
        <w:trPr>
          <w:trHeight w:val="450" w:hRule="atLeast"/>
        </w:trPr>
        <w:tc>
          <w:tcPr>
            <w:tcW w:w="455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1195.83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11879.23 </w:t>
            </w:r>
          </w:p>
        </w:tc>
        <w:tc>
          <w:tcPr>
            <w:tcW w:w="1260" w:type="dxa"/>
            <w:gridSpan w:val="3"/>
            <w:tcBorders>
              <w:top w:val="nil"/>
              <w:left w:val="nil"/>
              <w:bottom w:val="nil"/>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nil"/>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nil"/>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一般公共服务支出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520.50 </w:t>
            </w:r>
          </w:p>
        </w:tc>
        <w:tc>
          <w:tcPr>
            <w:tcW w:w="1260" w:type="dxa"/>
            <w:gridSpan w:val="3"/>
            <w:tcBorders>
              <w:top w:val="single" w:color="auto" w:sz="4" w:space="0"/>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single" w:color="auto" w:sz="4" w:space="0"/>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single" w:color="auto" w:sz="4" w:space="0"/>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发展与改革事务</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520.50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行政运行</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2010402</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一般行政管理事务</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32.00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32.00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2010404</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战略规划与实施</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438.00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438.00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2010406</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社会事业发展规划</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29.50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29.50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2010408</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物价管理</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21.00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21.00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社会保障和就业支出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行政事业单位养老支出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2080505</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107.59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107.59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2080506</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机关事业单位职业年金缴费支出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37.19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37.19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卫生健康支出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行政事业单位医疗</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2101101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行政单位医疗</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节能环保支出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21103</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污染防治</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2110301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大气</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住房保障支出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住房改革支出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2210201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粮油物资储备支出</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粮油事务</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180.73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180.73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2220102</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一般行政管理事务</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59.73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59.73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2220105</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粮食信息统计</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2220112</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粮食财务挂账利息补贴</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22204</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粮油储备</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1507" w:type="dxa"/>
            <w:tcBorders>
              <w:top w:val="nil"/>
              <w:left w:val="single" w:color="auto" w:sz="4" w:space="0"/>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2220401</w:t>
            </w:r>
          </w:p>
        </w:tc>
        <w:tc>
          <w:tcPr>
            <w:tcW w:w="3045" w:type="dxa"/>
            <w:tcBorders>
              <w:top w:val="nil"/>
              <w:left w:val="nil"/>
              <w:bottom w:val="single" w:color="auto" w:sz="4" w:space="0"/>
              <w:right w:val="single" w:color="auto" w:sz="4" w:space="0"/>
            </w:tcBorders>
            <w:noWrap/>
            <w:vAlign w:val="top"/>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储备粮油补贴</w:t>
            </w:r>
          </w:p>
        </w:tc>
        <w:tc>
          <w:tcPr>
            <w:tcW w:w="1748"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260" w:type="dxa"/>
            <w:gridSpan w:val="3"/>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52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70" w:lineRule="exact"/>
        <w:rPr>
          <w:rFonts w:hint="eastAsia" w:ascii="方正仿宋简体" w:hAnsi="方正仿宋简体" w:eastAsia="方正仿宋简体" w:cs="方正仿宋简体"/>
          <w:sz w:val="24"/>
          <w:szCs w:val="24"/>
        </w:rPr>
      </w:pPr>
    </w:p>
    <w:p>
      <w:pPr>
        <w:spacing w:line="570" w:lineRule="exact"/>
        <w:rPr>
          <w:rFonts w:hint="eastAsia" w:ascii="方正仿宋简体" w:hAnsi="方正仿宋简体" w:eastAsia="方正仿宋简体" w:cs="方正仿宋简体"/>
          <w:sz w:val="24"/>
          <w:szCs w:val="24"/>
        </w:rPr>
      </w:pPr>
    </w:p>
    <w:p>
      <w:pPr>
        <w:spacing w:line="570" w:lineRule="exact"/>
        <w:rPr>
          <w:rFonts w:hint="eastAsia" w:ascii="方正仿宋简体" w:hAnsi="方正仿宋简体" w:eastAsia="方正仿宋简体" w:cs="方正仿宋简体"/>
          <w:sz w:val="24"/>
          <w:szCs w:val="24"/>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p>
      <w:pPr>
        <w:spacing w:line="570" w:lineRule="exact"/>
        <w:rPr>
          <w:rFonts w:hint="eastAsia" w:ascii="方正小标宋简体" w:hAnsi="方正小标宋简体" w:eastAsia="方正小标宋简体" w:cs="方正小标宋简体"/>
          <w:sz w:val="32"/>
          <w:szCs w:val="32"/>
        </w:rPr>
      </w:pPr>
    </w:p>
    <w:tbl>
      <w:tblPr>
        <w:tblStyle w:val="13"/>
        <w:tblW w:w="14175" w:type="dxa"/>
        <w:tblInd w:w="-312" w:type="dxa"/>
        <w:tblLayout w:type="fixed"/>
        <w:tblCellMar>
          <w:top w:w="0" w:type="dxa"/>
          <w:left w:w="108" w:type="dxa"/>
          <w:bottom w:w="0" w:type="dxa"/>
          <w:right w:w="108" w:type="dxa"/>
        </w:tblCellMar>
      </w:tblPr>
      <w:tblGrid>
        <w:gridCol w:w="3360"/>
        <w:gridCol w:w="1374"/>
        <w:gridCol w:w="306"/>
        <w:gridCol w:w="1225"/>
        <w:gridCol w:w="2135"/>
        <w:gridCol w:w="1195"/>
        <w:gridCol w:w="275"/>
        <w:gridCol w:w="805"/>
        <w:gridCol w:w="770"/>
        <w:gridCol w:w="450"/>
        <w:gridCol w:w="1020"/>
        <w:gridCol w:w="200"/>
        <w:gridCol w:w="1060"/>
      </w:tblGrid>
      <w:tr>
        <w:tblPrEx>
          <w:tblCellMar>
            <w:top w:w="0" w:type="dxa"/>
            <w:left w:w="108" w:type="dxa"/>
            <w:bottom w:w="0" w:type="dxa"/>
            <w:right w:w="108" w:type="dxa"/>
          </w:tblCellMar>
        </w:tblPrEx>
        <w:trPr>
          <w:trHeight w:val="360" w:hRule="atLeast"/>
        </w:trPr>
        <w:tc>
          <w:tcPr>
            <w:tcW w:w="4734" w:type="dxa"/>
            <w:gridSpan w:val="2"/>
            <w:tcBorders>
              <w:top w:val="nil"/>
              <w:left w:val="nil"/>
              <w:bottom w:val="nil"/>
              <w:right w:val="nil"/>
            </w:tcBorders>
            <w:noWrap/>
            <w:vAlign w:val="center"/>
          </w:tcPr>
          <w:p>
            <w:pPr>
              <w:widowControl/>
              <w:jc w:val="left"/>
              <w:rPr>
                <w:rFonts w:hint="eastAsia" w:ascii="宋体" w:hAnsi="宋体" w:cs="宋体"/>
                <w:kern w:val="0"/>
                <w:sz w:val="22"/>
              </w:rPr>
            </w:pPr>
            <w:bookmarkStart w:id="1" w:name="RANGE!A1:G38"/>
          </w:p>
          <w:p>
            <w:pPr>
              <w:widowControl/>
              <w:jc w:val="left"/>
              <w:rPr>
                <w:rFonts w:ascii="宋体" w:hAnsi="宋体" w:cs="宋体"/>
                <w:kern w:val="0"/>
                <w:sz w:val="22"/>
              </w:rPr>
            </w:pPr>
            <w:r>
              <w:rPr>
                <w:rFonts w:hint="eastAsia" w:ascii="宋体" w:hAnsi="宋体" w:cs="宋体"/>
                <w:kern w:val="0"/>
                <w:sz w:val="22"/>
              </w:rPr>
              <w:t>附表</w:t>
            </w:r>
            <w:r>
              <w:rPr>
                <w:rFonts w:ascii="Times New Roman" w:hAnsi="Times New Roman" w:cs="Times New Roman"/>
                <w:kern w:val="0"/>
                <w:sz w:val="22"/>
              </w:rPr>
              <w:t>1-4</w:t>
            </w:r>
            <w:bookmarkEnd w:id="1"/>
          </w:p>
        </w:tc>
        <w:tc>
          <w:tcPr>
            <w:tcW w:w="1531"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333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08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22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22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060" w:type="dxa"/>
            <w:tcBorders>
              <w:top w:val="nil"/>
              <w:left w:val="nil"/>
              <w:bottom w:val="nil"/>
              <w:right w:val="nil"/>
            </w:tcBorders>
            <w:noWrap/>
            <w:vAlign w:val="center"/>
          </w:tcPr>
          <w:p>
            <w:pPr>
              <w:widowControl/>
              <w:jc w:val="right"/>
              <w:rPr>
                <w:rFonts w:ascii="Times New Roman" w:hAnsi="Times New Roman" w:cs="Times New Roman"/>
                <w:kern w:val="0"/>
                <w:sz w:val="22"/>
              </w:rPr>
            </w:pPr>
          </w:p>
        </w:tc>
      </w:tr>
      <w:tr>
        <w:tblPrEx>
          <w:tblCellMar>
            <w:top w:w="0" w:type="dxa"/>
            <w:left w:w="108" w:type="dxa"/>
            <w:bottom w:w="0" w:type="dxa"/>
            <w:right w:w="108" w:type="dxa"/>
          </w:tblCellMar>
        </w:tblPrEx>
        <w:trPr>
          <w:trHeight w:val="360" w:hRule="atLeast"/>
        </w:trPr>
        <w:tc>
          <w:tcPr>
            <w:tcW w:w="14175" w:type="dxa"/>
            <w:gridSpan w:val="13"/>
            <w:tcBorders>
              <w:top w:val="nil"/>
              <w:left w:val="nil"/>
              <w:bottom w:val="nil"/>
              <w:right w:val="nil"/>
            </w:tcBorders>
            <w:noWrap/>
            <w:vAlign w:val="center"/>
          </w:tcPr>
          <w:p>
            <w:pPr>
              <w:widowControl/>
              <w:jc w:val="center"/>
              <w:rPr>
                <w:rFonts w:ascii="Times New Roman" w:hAnsi="Times New Roman" w:cs="Times New Roman"/>
                <w:color w:val="000000"/>
                <w:kern w:val="0"/>
                <w:sz w:val="36"/>
                <w:szCs w:val="36"/>
              </w:rPr>
            </w:pPr>
            <w:r>
              <w:rPr>
                <w:rFonts w:hint="eastAsia" w:ascii="方正小标宋_GBK" w:hAnsi="Times New Roman" w:eastAsia="方正小标宋_GBK" w:cs="Times New Roman"/>
                <w:color w:val="000000"/>
                <w:kern w:val="0"/>
                <w:sz w:val="36"/>
                <w:szCs w:val="36"/>
              </w:rPr>
              <w:t>本</w:t>
            </w:r>
            <w:r>
              <w:rPr>
                <w:rFonts w:hint="eastAsia" w:ascii="宋体" w:hAnsi="宋体" w:cs="宋体"/>
                <w:color w:val="000000"/>
                <w:kern w:val="0"/>
                <w:sz w:val="36"/>
                <w:szCs w:val="36"/>
              </w:rPr>
              <w:t>级</w:t>
            </w:r>
            <w:r>
              <w:rPr>
                <w:rFonts w:hint="eastAsia" w:ascii="方正小标宋_GBK" w:hAnsi="Times New Roman" w:eastAsia="方正小标宋_GBK" w:cs="Times New Roman"/>
                <w:color w:val="000000"/>
                <w:kern w:val="0"/>
                <w:sz w:val="36"/>
                <w:szCs w:val="36"/>
              </w:rPr>
              <w:t>预算财政拨款收支总表</w:t>
            </w:r>
          </w:p>
        </w:tc>
      </w:tr>
      <w:tr>
        <w:tblPrEx>
          <w:tblCellMar>
            <w:top w:w="0" w:type="dxa"/>
            <w:left w:w="108" w:type="dxa"/>
            <w:bottom w:w="0" w:type="dxa"/>
            <w:right w:w="108" w:type="dxa"/>
          </w:tblCellMar>
        </w:tblPrEx>
        <w:trPr>
          <w:trHeight w:val="300" w:hRule="atLeast"/>
        </w:trPr>
        <w:tc>
          <w:tcPr>
            <w:tcW w:w="5040" w:type="dxa"/>
            <w:gridSpan w:val="3"/>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303遵化市发展和改革局本级</w:t>
            </w:r>
          </w:p>
        </w:tc>
        <w:tc>
          <w:tcPr>
            <w:tcW w:w="4555" w:type="dxa"/>
            <w:gridSpan w:val="3"/>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预算年度：2022</w:t>
            </w:r>
          </w:p>
        </w:tc>
        <w:tc>
          <w:tcPr>
            <w:tcW w:w="1080" w:type="dxa"/>
            <w:gridSpan w:val="2"/>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20" w:type="dxa"/>
            <w:gridSpan w:val="2"/>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20"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260" w:type="dxa"/>
            <w:gridSpan w:val="2"/>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单位：万元</w:t>
            </w:r>
          </w:p>
        </w:tc>
      </w:tr>
      <w:tr>
        <w:tblPrEx>
          <w:tblCellMar>
            <w:top w:w="0" w:type="dxa"/>
            <w:left w:w="108" w:type="dxa"/>
            <w:bottom w:w="0" w:type="dxa"/>
            <w:right w:w="108" w:type="dxa"/>
          </w:tblCellMar>
        </w:tblPrEx>
        <w:trPr>
          <w:trHeight w:val="289" w:hRule="atLeast"/>
        </w:trPr>
        <w:tc>
          <w:tcPr>
            <w:tcW w:w="50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收入</w:t>
            </w:r>
          </w:p>
        </w:tc>
        <w:tc>
          <w:tcPr>
            <w:tcW w:w="9135" w:type="dxa"/>
            <w:gridSpan w:val="10"/>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支出</w:t>
            </w:r>
          </w:p>
        </w:tc>
      </w:tr>
      <w:tr>
        <w:tblPrEx>
          <w:tblCellMar>
            <w:top w:w="0" w:type="dxa"/>
            <w:left w:w="108" w:type="dxa"/>
            <w:bottom w:w="0" w:type="dxa"/>
            <w:right w:w="108" w:type="dxa"/>
          </w:tblCellMar>
        </w:tblPrEx>
        <w:trPr>
          <w:trHeight w:val="630"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    目</w:t>
            </w:r>
          </w:p>
        </w:tc>
        <w:tc>
          <w:tcPr>
            <w:tcW w:w="168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金额</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    目</w:t>
            </w:r>
          </w:p>
        </w:tc>
        <w:tc>
          <w:tcPr>
            <w:tcW w:w="147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1575"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一般公共预算财政拨款</w:t>
            </w:r>
          </w:p>
        </w:tc>
        <w:tc>
          <w:tcPr>
            <w:tcW w:w="1670" w:type="dxa"/>
            <w:gridSpan w:val="3"/>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政府性基金预算财政拨款</w:t>
            </w:r>
          </w:p>
        </w:tc>
        <w:tc>
          <w:tcPr>
            <w:tcW w:w="10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国有资本经营预算财政拨款</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一、一般公共预算财政拨款</w:t>
            </w:r>
          </w:p>
        </w:tc>
        <w:tc>
          <w:tcPr>
            <w:tcW w:w="168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13075.06</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一、一般公共服务支出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二、政府性基金预算财政拨款</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二、外交支出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三、国有资本经营预算财政拨款</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三、国防支出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四、公共安全支出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五、教育支出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六、科学技术支出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七、文化体育与传媒支出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八、社会保障和就业支出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九、卫生健康支出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十、节能环保支出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十一、城乡社区支出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十二、农林水支出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十三、交通运输支出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十四、资源勘探工业信息等支出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十五、商业服务业等支出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十六、金融支出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十七、援助其他地区支出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十八、自然资源海洋气象等支出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十九、住房保障支出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二十、粮油物资储备支出</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二十一、国有资本经营预算支出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二十二、灾害防治及应急管理支出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二十三、债务还本支出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二十四、债务付息支出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二十五、债务发行费用支出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二十六、其他支出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本年收入合计</w:t>
            </w:r>
          </w:p>
        </w:tc>
        <w:tc>
          <w:tcPr>
            <w:tcW w:w="168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13075.06</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本年支出合计</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年初财政拨款结转和结余</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年末财政拨款结转和结余</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一、一般公共预算拨款</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　</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二、政府性基金预算拨款</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　</w:t>
            </w:r>
          </w:p>
        </w:tc>
        <w:tc>
          <w:tcPr>
            <w:tcW w:w="147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三、国有资本经营预算拨款</w:t>
            </w:r>
          </w:p>
        </w:tc>
        <w:tc>
          <w:tcPr>
            <w:tcW w:w="16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47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75"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289" w:hRule="atLeast"/>
        </w:trPr>
        <w:tc>
          <w:tcPr>
            <w:tcW w:w="3360"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总计</w:t>
            </w:r>
          </w:p>
        </w:tc>
        <w:tc>
          <w:tcPr>
            <w:tcW w:w="168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13075.06</w:t>
            </w:r>
          </w:p>
        </w:tc>
        <w:tc>
          <w:tcPr>
            <w:tcW w:w="336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总计</w:t>
            </w:r>
          </w:p>
        </w:tc>
        <w:tc>
          <w:tcPr>
            <w:tcW w:w="1470"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575" w:type="dxa"/>
            <w:gridSpan w:val="2"/>
            <w:tcBorders>
              <w:top w:val="nil"/>
              <w:left w:val="nil"/>
              <w:bottom w:val="single" w:color="auto" w:sz="4" w:space="0"/>
              <w:right w:val="single" w:color="auto" w:sz="4" w:space="0"/>
            </w:tcBorders>
            <w:shd w:val="clear" w:color="auto" w:fill="auto"/>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670" w:type="dxa"/>
            <w:gridSpan w:val="3"/>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060" w:type="dxa"/>
            <w:tcBorders>
              <w:top w:val="nil"/>
              <w:left w:val="nil"/>
              <w:bottom w:val="single" w:color="auto" w:sz="4" w:space="0"/>
              <w:right w:val="single" w:color="auto" w:sz="4" w:space="0"/>
            </w:tcBorders>
            <w:noWrap/>
            <w:vAlign w:val="center"/>
          </w:tcPr>
          <w:p>
            <w:pPr>
              <w:widowControl/>
              <w:jc w:val="left"/>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　</w:t>
            </w:r>
          </w:p>
        </w:tc>
      </w:tr>
    </w:tbl>
    <w:p>
      <w:pPr>
        <w:spacing w:line="570" w:lineRule="exact"/>
        <w:rPr>
          <w:rFonts w:hint="eastAsia" w:ascii="方正仿宋简体" w:hAnsi="方正仿宋简体" w:eastAsia="方正仿宋简体" w:cs="方正仿宋简体"/>
          <w:sz w:val="24"/>
          <w:szCs w:val="2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tbl>
      <w:tblPr>
        <w:tblStyle w:val="13"/>
        <w:tblW w:w="14070" w:type="dxa"/>
        <w:tblInd w:w="-312" w:type="dxa"/>
        <w:tblLayout w:type="fixed"/>
        <w:tblCellMar>
          <w:top w:w="0" w:type="dxa"/>
          <w:left w:w="108" w:type="dxa"/>
          <w:bottom w:w="0" w:type="dxa"/>
          <w:right w:w="108" w:type="dxa"/>
        </w:tblCellMar>
      </w:tblPr>
      <w:tblGrid>
        <w:gridCol w:w="1461"/>
        <w:gridCol w:w="3870"/>
        <w:gridCol w:w="339"/>
        <w:gridCol w:w="1053"/>
        <w:gridCol w:w="312"/>
        <w:gridCol w:w="968"/>
        <w:gridCol w:w="502"/>
        <w:gridCol w:w="778"/>
        <w:gridCol w:w="587"/>
        <w:gridCol w:w="693"/>
        <w:gridCol w:w="987"/>
        <w:gridCol w:w="2520"/>
      </w:tblGrid>
      <w:tr>
        <w:tblPrEx>
          <w:tblCellMar>
            <w:top w:w="0" w:type="dxa"/>
            <w:left w:w="108" w:type="dxa"/>
            <w:bottom w:w="0" w:type="dxa"/>
            <w:right w:w="108" w:type="dxa"/>
          </w:tblCellMar>
        </w:tblPrEx>
        <w:trPr>
          <w:trHeight w:val="420" w:hRule="atLeast"/>
        </w:trPr>
        <w:tc>
          <w:tcPr>
            <w:tcW w:w="1461" w:type="dxa"/>
            <w:tcBorders>
              <w:top w:val="nil"/>
              <w:left w:val="nil"/>
              <w:bottom w:val="nil"/>
              <w:right w:val="nil"/>
            </w:tcBorders>
            <w:noWrap/>
            <w:vAlign w:val="center"/>
          </w:tcPr>
          <w:p>
            <w:pPr>
              <w:widowControl/>
              <w:jc w:val="left"/>
              <w:rPr>
                <w:rFonts w:hint="eastAsia" w:ascii="宋体" w:hAnsi="宋体" w:cs="宋体"/>
                <w:kern w:val="0"/>
                <w:sz w:val="22"/>
              </w:rPr>
            </w:pPr>
          </w:p>
          <w:p>
            <w:pPr>
              <w:widowControl/>
              <w:jc w:val="left"/>
              <w:rPr>
                <w:rFonts w:ascii="宋体" w:hAnsi="宋体" w:cs="宋体"/>
                <w:kern w:val="0"/>
                <w:sz w:val="22"/>
              </w:rPr>
            </w:pPr>
            <w:r>
              <w:rPr>
                <w:rFonts w:hint="eastAsia" w:ascii="宋体" w:hAnsi="宋体" w:cs="宋体"/>
                <w:kern w:val="0"/>
                <w:sz w:val="22"/>
              </w:rPr>
              <w:t>附表</w:t>
            </w:r>
            <w:r>
              <w:rPr>
                <w:rFonts w:ascii="Times New Roman" w:hAnsi="Times New Roman" w:cs="Times New Roman"/>
                <w:kern w:val="0"/>
                <w:sz w:val="22"/>
              </w:rPr>
              <w:t>1-5</w:t>
            </w:r>
          </w:p>
        </w:tc>
        <w:tc>
          <w:tcPr>
            <w:tcW w:w="387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392"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3507"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r>
      <w:tr>
        <w:tblPrEx>
          <w:tblCellMar>
            <w:top w:w="0" w:type="dxa"/>
            <w:left w:w="108" w:type="dxa"/>
            <w:bottom w:w="0" w:type="dxa"/>
            <w:right w:w="108" w:type="dxa"/>
          </w:tblCellMar>
        </w:tblPrEx>
        <w:trPr>
          <w:trHeight w:val="600" w:hRule="atLeast"/>
        </w:trPr>
        <w:tc>
          <w:tcPr>
            <w:tcW w:w="14070" w:type="dxa"/>
            <w:gridSpan w:val="12"/>
            <w:tcBorders>
              <w:top w:val="nil"/>
              <w:left w:val="nil"/>
              <w:bottom w:val="nil"/>
              <w:right w:val="nil"/>
            </w:tcBorders>
            <w:shd w:val="clear" w:color="auto" w:fill="FFFFFF"/>
            <w:noWrap w:val="0"/>
            <w:vAlign w:val="center"/>
          </w:tcPr>
          <w:p>
            <w:pPr>
              <w:widowControl/>
              <w:jc w:val="center"/>
              <w:rPr>
                <w:rFonts w:ascii="Times New Roman" w:hAnsi="Times New Roman" w:cs="Times New Roman"/>
                <w:kern w:val="0"/>
                <w:sz w:val="36"/>
                <w:szCs w:val="36"/>
              </w:rPr>
            </w:pPr>
            <w:r>
              <w:rPr>
                <w:rFonts w:hint="eastAsia" w:ascii="方正小标宋_GBK" w:hAnsi="Times New Roman" w:eastAsia="方正小标宋_GBK" w:cs="Times New Roman"/>
                <w:kern w:val="0"/>
                <w:sz w:val="36"/>
                <w:szCs w:val="36"/>
              </w:rPr>
              <w:t>本</w:t>
            </w:r>
            <w:r>
              <w:rPr>
                <w:rFonts w:hint="eastAsia" w:ascii="宋体" w:hAnsi="宋体" w:cs="宋体"/>
                <w:kern w:val="0"/>
                <w:sz w:val="36"/>
                <w:szCs w:val="36"/>
              </w:rPr>
              <w:t>级</w:t>
            </w:r>
            <w:r>
              <w:rPr>
                <w:rFonts w:hint="eastAsia" w:ascii="方正小标宋_GBK" w:hAnsi="Times New Roman" w:eastAsia="方正小标宋_GBK" w:cs="Times New Roman"/>
                <w:kern w:val="0"/>
                <w:sz w:val="36"/>
                <w:szCs w:val="36"/>
              </w:rPr>
              <w:t>预算一般公共预算财政拨款支出表</w:t>
            </w:r>
          </w:p>
        </w:tc>
      </w:tr>
      <w:tr>
        <w:tblPrEx>
          <w:tblCellMar>
            <w:top w:w="0" w:type="dxa"/>
            <w:left w:w="108" w:type="dxa"/>
            <w:bottom w:w="0" w:type="dxa"/>
            <w:right w:w="108" w:type="dxa"/>
          </w:tblCellMar>
        </w:tblPrEx>
        <w:trPr>
          <w:trHeight w:val="435" w:hRule="atLeast"/>
        </w:trPr>
        <w:tc>
          <w:tcPr>
            <w:tcW w:w="8003" w:type="dxa"/>
            <w:gridSpan w:val="6"/>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303遵化市发展和改革局本级</w:t>
            </w:r>
          </w:p>
        </w:tc>
        <w:tc>
          <w:tcPr>
            <w:tcW w:w="3547" w:type="dxa"/>
            <w:gridSpan w:val="5"/>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预算年度：2022</w:t>
            </w:r>
          </w:p>
        </w:tc>
        <w:tc>
          <w:tcPr>
            <w:tcW w:w="2520"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单位：万元</w:t>
            </w:r>
          </w:p>
        </w:tc>
      </w:tr>
      <w:tr>
        <w:tblPrEx>
          <w:tblCellMar>
            <w:top w:w="0" w:type="dxa"/>
            <w:left w:w="108" w:type="dxa"/>
            <w:bottom w:w="0" w:type="dxa"/>
            <w:right w:w="108" w:type="dxa"/>
          </w:tblCellMar>
        </w:tblPrEx>
        <w:trPr>
          <w:trHeight w:val="600" w:hRule="atLeast"/>
        </w:trPr>
        <w:tc>
          <w:tcPr>
            <w:tcW w:w="567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w:t>
            </w:r>
          </w:p>
        </w:tc>
        <w:tc>
          <w:tcPr>
            <w:tcW w:w="13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4515"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基本支出</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项目支出</w:t>
            </w:r>
          </w:p>
        </w:tc>
      </w:tr>
      <w:tr>
        <w:tblPrEx>
          <w:tblCellMar>
            <w:top w:w="0" w:type="dxa"/>
            <w:left w:w="108" w:type="dxa"/>
            <w:bottom w:w="0" w:type="dxa"/>
            <w:right w:w="108" w:type="dxa"/>
          </w:tblCellMar>
        </w:tblPrEx>
        <w:trPr>
          <w:trHeight w:val="990" w:hRule="atLeast"/>
        </w:trPr>
        <w:tc>
          <w:tcPr>
            <w:tcW w:w="1461" w:type="dxa"/>
            <w:tcBorders>
              <w:top w:val="nil"/>
              <w:left w:val="single" w:color="auto" w:sz="4" w:space="0"/>
              <w:bottom w:val="single" w:color="auto" w:sz="4" w:space="0"/>
              <w:right w:val="nil"/>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功能分类科目编码</w:t>
            </w:r>
          </w:p>
        </w:tc>
        <w:tc>
          <w:tcPr>
            <w:tcW w:w="4209"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科目名称</w:t>
            </w:r>
          </w:p>
        </w:tc>
        <w:tc>
          <w:tcPr>
            <w:tcW w:w="13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47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小计</w:t>
            </w:r>
          </w:p>
        </w:tc>
        <w:tc>
          <w:tcPr>
            <w:tcW w:w="1365"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人员经费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公用经费</w:t>
            </w: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r>
      <w:tr>
        <w:tblPrEx>
          <w:tblCellMar>
            <w:top w:w="0" w:type="dxa"/>
            <w:left w:w="108" w:type="dxa"/>
            <w:bottom w:w="0" w:type="dxa"/>
            <w:right w:w="108" w:type="dxa"/>
          </w:tblCellMar>
        </w:tblPrEx>
        <w:trPr>
          <w:trHeight w:val="450" w:hRule="atLeast"/>
        </w:trPr>
        <w:tc>
          <w:tcPr>
            <w:tcW w:w="567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13075.06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1195.83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1132.64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63.19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11879.23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一般公共服务支出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766.99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63.19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520.50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20104</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发展与改革事务</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1350.68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766.99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63.19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520.50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2010401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行政运行</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830.18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766.99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63.19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2010402</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一般行政管理事务</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32.00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32.00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2010404</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战略规划与实施</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438.00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438.00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2010406</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社会事业发展规划</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29.50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29.50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2010408</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物价管理</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21.00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21.00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社会保障和就业支出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行政事业单位养老支出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144.78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2080505</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机关事业单位基本养老保险缴费支出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107.59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107.59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107.59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2080506</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机关事业单位职业年金缴费支出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37.19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37.19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37.19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卫生健康支出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21011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行政事业单位医疗</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2101101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行政单位医疗</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141.61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节能环保支出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21103</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污染防治</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2110301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大气</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10720.00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住房保障支出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22102</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住房改革支出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2210201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住房公积金</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79.26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222</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粮油物资储备支出</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638.73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22201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粮油事务</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180.73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180.73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2220102</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一般行政管理事务</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59.73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59.73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2220105</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粮食信息统计</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3.00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2220112</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粮食财务挂账利息补贴</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118.00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22204</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粮油储备</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r>
      <w:tr>
        <w:tblPrEx>
          <w:tblCellMar>
            <w:top w:w="0" w:type="dxa"/>
            <w:left w:w="108" w:type="dxa"/>
            <w:bottom w:w="0" w:type="dxa"/>
            <w:right w:w="108" w:type="dxa"/>
          </w:tblCellMar>
        </w:tblPrEx>
        <w:trPr>
          <w:trHeight w:val="360" w:hRule="atLeast"/>
        </w:trPr>
        <w:tc>
          <w:tcPr>
            <w:tcW w:w="1461" w:type="dxa"/>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2220401</w:t>
            </w:r>
          </w:p>
        </w:tc>
        <w:tc>
          <w:tcPr>
            <w:tcW w:w="4209"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储备粮油补贴</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c>
          <w:tcPr>
            <w:tcW w:w="147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365"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680" w:type="dxa"/>
            <w:gridSpan w:val="2"/>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2520" w:type="dxa"/>
            <w:tcBorders>
              <w:top w:val="nil"/>
              <w:left w:val="nil"/>
              <w:bottom w:val="single" w:color="auto" w:sz="4" w:space="0"/>
              <w:right w:val="single" w:color="auto" w:sz="4" w:space="0"/>
            </w:tcBorders>
            <w:noWrap/>
            <w:vAlign w:val="top"/>
          </w:tcPr>
          <w:p>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458.00 </w:t>
            </w:r>
          </w:p>
        </w:tc>
      </w:tr>
    </w:tbl>
    <w:p>
      <w:pPr>
        <w:spacing w:line="570" w:lineRule="exact"/>
        <w:jc w:val="center"/>
        <w:rPr>
          <w:rFonts w:hint="eastAsia" w:ascii="方正仿宋简体" w:hAnsi="方正仿宋简体" w:eastAsia="方正仿宋简体" w:cs="方正仿宋简体"/>
          <w:sz w:val="24"/>
          <w:szCs w:val="24"/>
        </w:rPr>
      </w:pPr>
    </w:p>
    <w:p>
      <w:pPr>
        <w:spacing w:line="570" w:lineRule="exact"/>
        <w:jc w:val="center"/>
        <w:rPr>
          <w:rFonts w:hint="eastAsia" w:ascii="方正仿宋简体" w:hAnsi="方正仿宋简体" w:eastAsia="方正仿宋简体" w:cs="方正仿宋简体"/>
          <w:sz w:val="24"/>
          <w:szCs w:val="24"/>
        </w:rPr>
      </w:pPr>
    </w:p>
    <w:p>
      <w:pPr>
        <w:spacing w:line="570" w:lineRule="exact"/>
        <w:jc w:val="center"/>
        <w:rPr>
          <w:rFonts w:hint="eastAsia" w:ascii="方正仿宋简体" w:hAnsi="方正仿宋简体" w:eastAsia="方正仿宋简体" w:cs="方正仿宋简体"/>
          <w:sz w:val="24"/>
          <w:szCs w:val="24"/>
        </w:rPr>
      </w:pPr>
    </w:p>
    <w:p>
      <w:pPr>
        <w:spacing w:line="570" w:lineRule="exact"/>
        <w:jc w:val="center"/>
        <w:rPr>
          <w:rFonts w:hint="eastAsia" w:ascii="方正仿宋简体" w:hAnsi="方正仿宋简体" w:eastAsia="方正仿宋简体" w:cs="方正仿宋简体"/>
          <w:sz w:val="24"/>
          <w:szCs w:val="24"/>
        </w:rPr>
      </w:pPr>
    </w:p>
    <w:p>
      <w:pPr>
        <w:spacing w:line="570" w:lineRule="exact"/>
        <w:jc w:val="center"/>
        <w:rPr>
          <w:rFonts w:hint="eastAsia" w:ascii="方正仿宋简体" w:hAnsi="方正仿宋简体" w:eastAsia="方正仿宋简体" w:cs="方正仿宋简体"/>
          <w:sz w:val="24"/>
          <w:szCs w:val="24"/>
        </w:rPr>
      </w:pPr>
    </w:p>
    <w:p>
      <w:pPr>
        <w:spacing w:line="570" w:lineRule="exact"/>
        <w:jc w:val="center"/>
        <w:rPr>
          <w:rFonts w:hint="eastAsia" w:ascii="方正仿宋简体" w:hAnsi="方正仿宋简体" w:eastAsia="方正仿宋简体" w:cs="方正仿宋简体"/>
          <w:sz w:val="24"/>
          <w:szCs w:val="24"/>
        </w:rPr>
      </w:pPr>
    </w:p>
    <w:p>
      <w:pPr>
        <w:spacing w:line="570" w:lineRule="exact"/>
        <w:jc w:val="center"/>
        <w:rPr>
          <w:rFonts w:hint="eastAsia" w:ascii="方正仿宋简体" w:hAnsi="方正仿宋简体" w:eastAsia="方正仿宋简体" w:cs="方正仿宋简体"/>
          <w:sz w:val="24"/>
          <w:szCs w:val="24"/>
        </w:rPr>
      </w:pPr>
    </w:p>
    <w:p>
      <w:pPr>
        <w:spacing w:line="570" w:lineRule="exact"/>
        <w:jc w:val="center"/>
        <w:rPr>
          <w:rFonts w:hint="eastAsia" w:ascii="方正小标宋简体" w:hAnsi="方正小标宋简体" w:eastAsia="方正小标宋简体" w:cs="方正小标宋简体"/>
          <w:sz w:val="44"/>
          <w:szCs w:val="44"/>
        </w:rPr>
      </w:pPr>
    </w:p>
    <w:tbl>
      <w:tblPr>
        <w:tblStyle w:val="13"/>
        <w:tblW w:w="14070" w:type="dxa"/>
        <w:tblInd w:w="-312" w:type="dxa"/>
        <w:tblLayout w:type="fixed"/>
        <w:tblCellMar>
          <w:top w:w="0" w:type="dxa"/>
          <w:left w:w="108" w:type="dxa"/>
          <w:bottom w:w="0" w:type="dxa"/>
          <w:right w:w="108" w:type="dxa"/>
        </w:tblCellMar>
      </w:tblPr>
      <w:tblGrid>
        <w:gridCol w:w="1995"/>
        <w:gridCol w:w="420"/>
        <w:gridCol w:w="2260"/>
        <w:gridCol w:w="1520"/>
        <w:gridCol w:w="521"/>
        <w:gridCol w:w="1789"/>
        <w:gridCol w:w="101"/>
        <w:gridCol w:w="2104"/>
        <w:gridCol w:w="3360"/>
      </w:tblGrid>
      <w:tr>
        <w:tblPrEx>
          <w:tblCellMar>
            <w:top w:w="0" w:type="dxa"/>
            <w:left w:w="108" w:type="dxa"/>
            <w:bottom w:w="0" w:type="dxa"/>
            <w:right w:w="108" w:type="dxa"/>
          </w:tblCellMar>
        </w:tblPrEx>
        <w:trPr>
          <w:trHeight w:val="435" w:hRule="atLeast"/>
        </w:trPr>
        <w:tc>
          <w:tcPr>
            <w:tcW w:w="1995" w:type="dxa"/>
            <w:tcBorders>
              <w:top w:val="nil"/>
              <w:left w:val="nil"/>
              <w:bottom w:val="nil"/>
              <w:right w:val="nil"/>
            </w:tcBorders>
            <w:noWrap/>
            <w:vAlign w:val="center"/>
          </w:tcPr>
          <w:p>
            <w:pPr>
              <w:widowControl/>
              <w:jc w:val="left"/>
              <w:rPr>
                <w:rFonts w:ascii="宋体" w:hAnsi="宋体" w:cs="宋体"/>
                <w:kern w:val="0"/>
                <w:sz w:val="22"/>
              </w:rPr>
            </w:pPr>
            <w:bookmarkStart w:id="2" w:name="RANGE!A1:E37"/>
            <w:r>
              <w:rPr>
                <w:rFonts w:hint="eastAsia" w:ascii="宋体" w:hAnsi="宋体" w:cs="宋体"/>
                <w:kern w:val="0"/>
                <w:sz w:val="22"/>
              </w:rPr>
              <w:t>附表</w:t>
            </w:r>
            <w:r>
              <w:rPr>
                <w:rFonts w:ascii="Times New Roman" w:hAnsi="Times New Roman" w:cs="Times New Roman"/>
                <w:kern w:val="0"/>
                <w:sz w:val="22"/>
              </w:rPr>
              <w:t>1-6</w:t>
            </w:r>
            <w:bookmarkEnd w:id="2"/>
          </w:p>
        </w:tc>
        <w:tc>
          <w:tcPr>
            <w:tcW w:w="268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2041"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89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5464"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r>
      <w:tr>
        <w:tblPrEx>
          <w:tblCellMar>
            <w:top w:w="0" w:type="dxa"/>
            <w:left w:w="108" w:type="dxa"/>
            <w:bottom w:w="0" w:type="dxa"/>
            <w:right w:w="108" w:type="dxa"/>
          </w:tblCellMar>
        </w:tblPrEx>
        <w:trPr>
          <w:trHeight w:val="600" w:hRule="atLeast"/>
        </w:trPr>
        <w:tc>
          <w:tcPr>
            <w:tcW w:w="14070" w:type="dxa"/>
            <w:gridSpan w:val="9"/>
            <w:tcBorders>
              <w:top w:val="nil"/>
              <w:left w:val="nil"/>
              <w:bottom w:val="nil"/>
              <w:right w:val="nil"/>
            </w:tcBorders>
            <w:shd w:val="clear" w:color="auto" w:fill="FFFFFF"/>
            <w:noWrap w:val="0"/>
            <w:vAlign w:val="center"/>
          </w:tcPr>
          <w:p>
            <w:pPr>
              <w:widowControl/>
              <w:jc w:val="center"/>
              <w:rPr>
                <w:rFonts w:ascii="Times New Roman" w:hAnsi="Times New Roman" w:cs="Times New Roman"/>
                <w:kern w:val="0"/>
                <w:sz w:val="36"/>
                <w:szCs w:val="36"/>
              </w:rPr>
            </w:pPr>
            <w:r>
              <w:rPr>
                <w:rFonts w:hint="eastAsia" w:ascii="方正小标宋_GBK" w:hAnsi="Times New Roman" w:eastAsia="方正小标宋_GBK" w:cs="Times New Roman"/>
                <w:kern w:val="0"/>
                <w:sz w:val="36"/>
                <w:szCs w:val="36"/>
              </w:rPr>
              <w:t>本</w:t>
            </w:r>
            <w:r>
              <w:rPr>
                <w:rFonts w:hint="eastAsia" w:ascii="宋体" w:hAnsi="宋体" w:cs="宋体"/>
                <w:kern w:val="0"/>
                <w:sz w:val="36"/>
                <w:szCs w:val="36"/>
              </w:rPr>
              <w:t>级</w:t>
            </w:r>
            <w:r>
              <w:rPr>
                <w:rFonts w:hint="eastAsia" w:ascii="方正小标宋_GBK" w:hAnsi="Times New Roman" w:eastAsia="方正小标宋_GBK" w:cs="Times New Roman"/>
                <w:kern w:val="0"/>
                <w:sz w:val="36"/>
                <w:szCs w:val="36"/>
              </w:rPr>
              <w:t>预算一般公共预算财政拨款基本支出表</w:t>
            </w:r>
          </w:p>
        </w:tc>
      </w:tr>
      <w:tr>
        <w:tblPrEx>
          <w:tblCellMar>
            <w:top w:w="0" w:type="dxa"/>
            <w:left w:w="108" w:type="dxa"/>
            <w:bottom w:w="0" w:type="dxa"/>
            <w:right w:w="108" w:type="dxa"/>
          </w:tblCellMar>
        </w:tblPrEx>
        <w:trPr>
          <w:trHeight w:val="435" w:hRule="atLeast"/>
        </w:trPr>
        <w:tc>
          <w:tcPr>
            <w:tcW w:w="6716" w:type="dxa"/>
            <w:gridSpan w:val="5"/>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303遵化市发展和改革局</w:t>
            </w:r>
            <w:r>
              <w:rPr>
                <w:rFonts w:hint="eastAsia" w:ascii="方正仿宋简体" w:hAnsi="方正仿宋简体" w:eastAsia="方正仿宋简体" w:cs="方正仿宋简体"/>
                <w:color w:val="000000"/>
                <w:kern w:val="0"/>
                <w:sz w:val="24"/>
                <w:szCs w:val="24"/>
              </w:rPr>
              <w:t>本级</w:t>
            </w:r>
          </w:p>
        </w:tc>
        <w:tc>
          <w:tcPr>
            <w:tcW w:w="1890" w:type="dxa"/>
            <w:gridSpan w:val="2"/>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5464" w:type="dxa"/>
            <w:gridSpan w:val="2"/>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600" w:hRule="atLeast"/>
        </w:trPr>
        <w:tc>
          <w:tcPr>
            <w:tcW w:w="61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科目</w:t>
            </w:r>
          </w:p>
        </w:tc>
        <w:tc>
          <w:tcPr>
            <w:tcW w:w="7875"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基本支出</w:t>
            </w:r>
          </w:p>
        </w:tc>
      </w:tr>
      <w:tr>
        <w:tblPrEx>
          <w:tblCellMar>
            <w:top w:w="0" w:type="dxa"/>
            <w:left w:w="108" w:type="dxa"/>
            <w:bottom w:w="0" w:type="dxa"/>
            <w:right w:w="108" w:type="dxa"/>
          </w:tblCellMar>
        </w:tblPrEx>
        <w:trPr>
          <w:trHeight w:val="750" w:hRule="atLeast"/>
        </w:trPr>
        <w:tc>
          <w:tcPr>
            <w:tcW w:w="241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经济分类科目编码</w:t>
            </w:r>
          </w:p>
        </w:tc>
        <w:tc>
          <w:tcPr>
            <w:tcW w:w="378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科目名称</w:t>
            </w:r>
          </w:p>
        </w:tc>
        <w:tc>
          <w:tcPr>
            <w:tcW w:w="2310"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合计</w:t>
            </w:r>
          </w:p>
        </w:tc>
        <w:tc>
          <w:tcPr>
            <w:tcW w:w="2205"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人员经费</w:t>
            </w:r>
          </w:p>
        </w:tc>
        <w:tc>
          <w:tcPr>
            <w:tcW w:w="33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公用经费</w:t>
            </w:r>
          </w:p>
        </w:tc>
      </w:tr>
      <w:tr>
        <w:tblPrEx>
          <w:tblCellMar>
            <w:top w:w="0" w:type="dxa"/>
            <w:left w:w="108" w:type="dxa"/>
            <w:bottom w:w="0" w:type="dxa"/>
            <w:right w:w="108" w:type="dxa"/>
          </w:tblCellMar>
        </w:tblPrEx>
        <w:trPr>
          <w:trHeight w:val="450" w:hRule="atLeast"/>
        </w:trPr>
        <w:tc>
          <w:tcPr>
            <w:tcW w:w="61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合计</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1195.83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1132.64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63.19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工资福利支出</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1038.25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1038.25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30101</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基本工资</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402.11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402.11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30102</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津贴补贴</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204.51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204.51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30103</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奖金</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14.95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14.95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30107</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绩效工资</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81.96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81.96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30108</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机关事业单位基本养老保险缴费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107.59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107.59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30109</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职业年金缴费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37.19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37.19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30110</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职工基本医疗保险缴费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60.56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60.56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30111</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公务员医疗补助缴费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42.53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42.53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30112</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其他社会保障缴费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7.59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7.59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30113</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住房公积金</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79.26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79.26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商品和服务支出</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63.19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63.19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30201</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办公费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1.95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1.95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30206</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电费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1.30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1.30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30207</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邮电费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1.18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1.18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30208</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取暖费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12.62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12.62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30211</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差旅费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1.30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1.30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30215</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会议费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0.33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0.33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30216</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培训费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0.32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0.32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30217</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公务接待费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0.26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0.26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30228</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工会经费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6.16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6.16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30229</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福利费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7.00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7.00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30231</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公务用车运行维护费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6.15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6.15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30239</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其他交通费用</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22.56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22.56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30299</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其他商品和服务支出</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2.06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2.06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对个人和家庭的补助</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94.39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94.39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30302</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退休费</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46.62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46.62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30304</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抚恤金</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9.15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9.15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30307</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医疗费补助</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38.52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38.52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r>
        <w:tblPrEx>
          <w:tblCellMar>
            <w:top w:w="0" w:type="dxa"/>
            <w:left w:w="108" w:type="dxa"/>
            <w:bottom w:w="0" w:type="dxa"/>
            <w:right w:w="108" w:type="dxa"/>
          </w:tblCellMar>
        </w:tblPrEx>
        <w:trPr>
          <w:trHeight w:val="345" w:hRule="atLeast"/>
        </w:trPr>
        <w:tc>
          <w:tcPr>
            <w:tcW w:w="2415" w:type="dxa"/>
            <w:gridSpan w:val="2"/>
            <w:tcBorders>
              <w:top w:val="nil"/>
              <w:left w:val="single" w:color="auto" w:sz="4" w:space="0"/>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30309</w:t>
            </w:r>
          </w:p>
        </w:tc>
        <w:tc>
          <w:tcPr>
            <w:tcW w:w="3780" w:type="dxa"/>
            <w:gridSpan w:val="2"/>
            <w:tcBorders>
              <w:top w:val="nil"/>
              <w:left w:val="nil"/>
              <w:bottom w:val="single" w:color="auto" w:sz="4" w:space="0"/>
              <w:right w:val="single" w:color="auto" w:sz="4" w:space="0"/>
            </w:tcBorders>
            <w:noWrap/>
            <w:vAlign w:val="bottom"/>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奖励金</w:t>
            </w:r>
          </w:p>
        </w:tc>
        <w:tc>
          <w:tcPr>
            <w:tcW w:w="2310"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0.10 </w:t>
            </w:r>
          </w:p>
        </w:tc>
        <w:tc>
          <w:tcPr>
            <w:tcW w:w="2205" w:type="dxa"/>
            <w:gridSpan w:val="2"/>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xml:space="preserve">0.10 </w:t>
            </w:r>
          </w:p>
        </w:tc>
        <w:tc>
          <w:tcPr>
            <w:tcW w:w="3360" w:type="dxa"/>
            <w:tcBorders>
              <w:top w:val="nil"/>
              <w:left w:val="nil"/>
              <w:bottom w:val="single" w:color="auto" w:sz="4" w:space="0"/>
              <w:right w:val="single" w:color="auto" w:sz="4" w:space="0"/>
            </w:tcBorders>
            <w:noWrap/>
            <w:vAlign w:val="top"/>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r>
    </w:tbl>
    <w:p>
      <w:pPr>
        <w:spacing w:line="570" w:lineRule="exact"/>
        <w:jc w:val="center"/>
        <w:rPr>
          <w:rFonts w:hint="eastAsia" w:ascii="方正仿宋简体" w:hAnsi="方正仿宋简体" w:eastAsia="方正仿宋简体" w:cs="方正仿宋简体"/>
          <w:sz w:val="44"/>
          <w:szCs w:val="44"/>
        </w:rPr>
      </w:pPr>
    </w:p>
    <w:p>
      <w:pPr>
        <w:spacing w:line="570" w:lineRule="exact"/>
        <w:jc w:val="center"/>
        <w:rPr>
          <w:rFonts w:hint="eastAsia" w:ascii="方正仿宋简体" w:hAnsi="方正仿宋简体" w:eastAsia="方正仿宋简体" w:cs="方正仿宋简体"/>
          <w:sz w:val="44"/>
          <w:szCs w:val="44"/>
        </w:rPr>
      </w:pPr>
    </w:p>
    <w:p>
      <w:pPr>
        <w:spacing w:line="570" w:lineRule="exact"/>
        <w:jc w:val="center"/>
        <w:rPr>
          <w:rFonts w:hint="eastAsia" w:ascii="方正仿宋简体" w:hAnsi="方正仿宋简体" w:eastAsia="方正仿宋简体" w:cs="方正仿宋简体"/>
          <w:sz w:val="44"/>
          <w:szCs w:val="44"/>
        </w:rPr>
      </w:pPr>
    </w:p>
    <w:p>
      <w:pPr>
        <w:spacing w:line="570" w:lineRule="exact"/>
        <w:jc w:val="center"/>
        <w:rPr>
          <w:rFonts w:hint="eastAsia" w:ascii="方正仿宋简体" w:hAnsi="方正仿宋简体" w:eastAsia="方正仿宋简体" w:cs="方正仿宋简体"/>
          <w:sz w:val="44"/>
          <w:szCs w:val="44"/>
        </w:rPr>
      </w:pPr>
    </w:p>
    <w:p>
      <w:pPr>
        <w:spacing w:line="570" w:lineRule="exact"/>
        <w:jc w:val="center"/>
        <w:rPr>
          <w:rFonts w:hint="eastAsia" w:ascii="方正仿宋简体" w:hAnsi="方正仿宋简体" w:eastAsia="方正仿宋简体" w:cs="方正仿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tbl>
      <w:tblPr>
        <w:tblStyle w:val="13"/>
        <w:tblW w:w="14070" w:type="dxa"/>
        <w:tblInd w:w="-312" w:type="dxa"/>
        <w:tblLayout w:type="fixed"/>
        <w:tblCellMar>
          <w:top w:w="0" w:type="dxa"/>
          <w:left w:w="108" w:type="dxa"/>
          <w:bottom w:w="0" w:type="dxa"/>
          <w:right w:w="108" w:type="dxa"/>
        </w:tblCellMar>
      </w:tblPr>
      <w:tblGrid>
        <w:gridCol w:w="2036"/>
        <w:gridCol w:w="2269"/>
        <w:gridCol w:w="2835"/>
        <w:gridCol w:w="105"/>
        <w:gridCol w:w="681"/>
        <w:gridCol w:w="1163"/>
        <w:gridCol w:w="437"/>
        <w:gridCol w:w="1079"/>
        <w:gridCol w:w="3465"/>
      </w:tblGrid>
      <w:tr>
        <w:tblPrEx>
          <w:tblCellMar>
            <w:top w:w="0" w:type="dxa"/>
            <w:left w:w="108" w:type="dxa"/>
            <w:bottom w:w="0" w:type="dxa"/>
            <w:right w:w="108" w:type="dxa"/>
          </w:tblCellMar>
        </w:tblPrEx>
        <w:trPr>
          <w:trHeight w:val="420" w:hRule="atLeast"/>
        </w:trPr>
        <w:tc>
          <w:tcPr>
            <w:tcW w:w="2036" w:type="dxa"/>
            <w:tcBorders>
              <w:top w:val="nil"/>
              <w:left w:val="nil"/>
              <w:bottom w:val="nil"/>
              <w:right w:val="nil"/>
            </w:tcBorders>
            <w:noWrap/>
            <w:vAlign w:val="center"/>
          </w:tcPr>
          <w:p>
            <w:pPr>
              <w:widowControl/>
              <w:jc w:val="left"/>
              <w:rPr>
                <w:rFonts w:ascii="宋体" w:hAnsi="宋体" w:cs="宋体"/>
                <w:kern w:val="0"/>
                <w:sz w:val="22"/>
              </w:rPr>
            </w:pPr>
            <w:bookmarkStart w:id="3" w:name="RANGE!A1:F16"/>
            <w:r>
              <w:rPr>
                <w:rFonts w:hint="eastAsia" w:ascii="宋体" w:hAnsi="宋体" w:cs="宋体"/>
                <w:kern w:val="0"/>
                <w:sz w:val="22"/>
              </w:rPr>
              <w:t>附表</w:t>
            </w:r>
            <w:r>
              <w:rPr>
                <w:rFonts w:ascii="Times New Roman" w:hAnsi="Times New Roman" w:cs="Times New Roman"/>
                <w:kern w:val="0"/>
                <w:sz w:val="22"/>
              </w:rPr>
              <w:t>1-7</w:t>
            </w:r>
            <w:bookmarkEnd w:id="3"/>
          </w:p>
        </w:tc>
        <w:tc>
          <w:tcPr>
            <w:tcW w:w="2269"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2835"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786"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600"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4544" w:type="dxa"/>
            <w:gridSpan w:val="2"/>
            <w:tcBorders>
              <w:top w:val="nil"/>
              <w:left w:val="nil"/>
              <w:bottom w:val="nil"/>
              <w:right w:val="nil"/>
            </w:tcBorders>
            <w:noWrap/>
            <w:vAlign w:val="center"/>
          </w:tcPr>
          <w:p>
            <w:pPr>
              <w:widowControl/>
              <w:jc w:val="right"/>
              <w:rPr>
                <w:rFonts w:ascii="Times New Roman" w:hAnsi="Times New Roman" w:cs="Times New Roman"/>
                <w:kern w:val="0"/>
                <w:sz w:val="22"/>
              </w:rPr>
            </w:pPr>
          </w:p>
        </w:tc>
      </w:tr>
      <w:tr>
        <w:tblPrEx>
          <w:tblCellMar>
            <w:top w:w="0" w:type="dxa"/>
            <w:left w:w="108" w:type="dxa"/>
            <w:bottom w:w="0" w:type="dxa"/>
            <w:right w:w="108" w:type="dxa"/>
          </w:tblCellMar>
        </w:tblPrEx>
        <w:trPr>
          <w:trHeight w:val="600" w:hRule="atLeast"/>
        </w:trPr>
        <w:tc>
          <w:tcPr>
            <w:tcW w:w="14070" w:type="dxa"/>
            <w:gridSpan w:val="9"/>
            <w:tcBorders>
              <w:top w:val="nil"/>
              <w:left w:val="nil"/>
              <w:bottom w:val="nil"/>
              <w:right w:val="nil"/>
            </w:tcBorders>
            <w:shd w:val="clear" w:color="auto" w:fill="FFFFFF"/>
            <w:noWrap w:val="0"/>
            <w:vAlign w:val="center"/>
          </w:tcPr>
          <w:p>
            <w:pPr>
              <w:widowControl/>
              <w:jc w:val="center"/>
              <w:rPr>
                <w:rFonts w:ascii="Times New Roman" w:hAnsi="Times New Roman" w:cs="Times New Roman"/>
                <w:kern w:val="0"/>
                <w:sz w:val="36"/>
                <w:szCs w:val="36"/>
              </w:rPr>
            </w:pPr>
            <w:r>
              <w:rPr>
                <w:rFonts w:hint="eastAsia" w:ascii="方正小标宋_GBK" w:hAnsi="Times New Roman" w:eastAsia="方正小标宋_GBK" w:cs="Times New Roman"/>
                <w:kern w:val="0"/>
                <w:sz w:val="36"/>
                <w:szCs w:val="36"/>
              </w:rPr>
              <w:t>本</w:t>
            </w:r>
            <w:r>
              <w:rPr>
                <w:rFonts w:hint="eastAsia" w:ascii="宋体" w:hAnsi="宋体" w:cs="宋体"/>
                <w:kern w:val="0"/>
                <w:sz w:val="36"/>
                <w:szCs w:val="36"/>
              </w:rPr>
              <w:t>级</w:t>
            </w:r>
            <w:r>
              <w:rPr>
                <w:rFonts w:hint="eastAsia" w:ascii="方正小标宋_GBK" w:hAnsi="Times New Roman" w:eastAsia="方正小标宋_GBK" w:cs="Times New Roman"/>
                <w:kern w:val="0"/>
                <w:sz w:val="36"/>
                <w:szCs w:val="36"/>
              </w:rPr>
              <w:t>预算政府性基金预算财政拨款支出表</w:t>
            </w:r>
          </w:p>
        </w:tc>
      </w:tr>
      <w:tr>
        <w:tblPrEx>
          <w:tblCellMar>
            <w:top w:w="0" w:type="dxa"/>
            <w:left w:w="108" w:type="dxa"/>
            <w:bottom w:w="0" w:type="dxa"/>
            <w:right w:w="108" w:type="dxa"/>
          </w:tblCellMar>
        </w:tblPrEx>
        <w:trPr>
          <w:trHeight w:val="450" w:hRule="atLeast"/>
        </w:trPr>
        <w:tc>
          <w:tcPr>
            <w:tcW w:w="7245" w:type="dxa"/>
            <w:gridSpan w:val="4"/>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303遵化市发展和改革局本级</w:t>
            </w:r>
          </w:p>
        </w:tc>
        <w:tc>
          <w:tcPr>
            <w:tcW w:w="1844" w:type="dxa"/>
            <w:gridSpan w:val="2"/>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预算年度：2022</w:t>
            </w:r>
          </w:p>
        </w:tc>
        <w:tc>
          <w:tcPr>
            <w:tcW w:w="1516" w:type="dxa"/>
            <w:gridSpan w:val="2"/>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3465"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单位：万元</w:t>
            </w:r>
          </w:p>
        </w:tc>
      </w:tr>
      <w:tr>
        <w:tblPrEx>
          <w:tblCellMar>
            <w:top w:w="0" w:type="dxa"/>
            <w:left w:w="108" w:type="dxa"/>
            <w:bottom w:w="0" w:type="dxa"/>
            <w:right w:w="108" w:type="dxa"/>
          </w:tblCellMar>
        </w:tblPrEx>
        <w:trPr>
          <w:trHeight w:val="420" w:hRule="atLeast"/>
        </w:trPr>
        <w:tc>
          <w:tcPr>
            <w:tcW w:w="7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w:t>
            </w:r>
          </w:p>
        </w:tc>
        <w:tc>
          <w:tcPr>
            <w:tcW w:w="18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151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 xml:space="preserve">基本支出  </w:t>
            </w:r>
          </w:p>
        </w:tc>
        <w:tc>
          <w:tcPr>
            <w:tcW w:w="34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项目支出</w:t>
            </w:r>
          </w:p>
        </w:tc>
      </w:tr>
      <w:tr>
        <w:tblPrEx>
          <w:tblCellMar>
            <w:top w:w="0" w:type="dxa"/>
            <w:left w:w="108" w:type="dxa"/>
            <w:bottom w:w="0" w:type="dxa"/>
            <w:right w:w="108" w:type="dxa"/>
          </w:tblCellMar>
        </w:tblPrEx>
        <w:trPr>
          <w:trHeight w:val="420" w:hRule="atLeast"/>
        </w:trPr>
        <w:tc>
          <w:tcPr>
            <w:tcW w:w="430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功能分类科目编码</w:t>
            </w:r>
          </w:p>
        </w:tc>
        <w:tc>
          <w:tcPr>
            <w:tcW w:w="2940"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科目名称</w:t>
            </w:r>
          </w:p>
        </w:tc>
        <w:tc>
          <w:tcPr>
            <w:tcW w:w="18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5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3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r>
      <w:tr>
        <w:tblPrEx>
          <w:tblCellMar>
            <w:top w:w="0" w:type="dxa"/>
            <w:left w:w="108" w:type="dxa"/>
            <w:bottom w:w="0" w:type="dxa"/>
            <w:right w:w="108" w:type="dxa"/>
          </w:tblCellMar>
        </w:tblPrEx>
        <w:trPr>
          <w:trHeight w:val="420" w:hRule="atLeast"/>
        </w:trPr>
        <w:tc>
          <w:tcPr>
            <w:tcW w:w="43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294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8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15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3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r>
      <w:tr>
        <w:tblPrEx>
          <w:tblCellMar>
            <w:top w:w="0" w:type="dxa"/>
            <w:left w:w="108" w:type="dxa"/>
            <w:bottom w:w="0" w:type="dxa"/>
            <w:right w:w="108" w:type="dxa"/>
          </w:tblCellMar>
        </w:tblPrEx>
        <w:trPr>
          <w:trHeight w:val="450" w:hRule="atLeast"/>
        </w:trPr>
        <w:tc>
          <w:tcPr>
            <w:tcW w:w="7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1844"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16" w:type="dxa"/>
            <w:gridSpan w:val="2"/>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46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940"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844"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16"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4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940"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844"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16"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4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940"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844"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16"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4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940"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844"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16"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4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940"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844"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16"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4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450" w:hRule="atLeast"/>
        </w:trPr>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940"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844"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1516" w:type="dxa"/>
            <w:gridSpan w:val="2"/>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34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315" w:hRule="atLeast"/>
        </w:trPr>
        <w:tc>
          <w:tcPr>
            <w:tcW w:w="2036" w:type="dxa"/>
            <w:tcBorders>
              <w:top w:val="nil"/>
              <w:left w:val="nil"/>
              <w:bottom w:val="nil"/>
              <w:right w:val="nil"/>
            </w:tcBorders>
            <w:noWrap/>
            <w:vAlign w:val="center"/>
          </w:tcPr>
          <w:p>
            <w:pPr>
              <w:widowControl/>
              <w:jc w:val="left"/>
              <w:rPr>
                <w:rFonts w:hint="eastAsia" w:ascii="方正仿宋简体" w:hAnsi="方正仿宋简体" w:eastAsia="方正仿宋简体" w:cs="方正仿宋简体"/>
                <w:kern w:val="0"/>
                <w:sz w:val="24"/>
                <w:szCs w:val="24"/>
              </w:rPr>
            </w:pPr>
          </w:p>
        </w:tc>
        <w:tc>
          <w:tcPr>
            <w:tcW w:w="2269"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2940" w:type="dxa"/>
            <w:gridSpan w:val="2"/>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1844" w:type="dxa"/>
            <w:gridSpan w:val="2"/>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1516" w:type="dxa"/>
            <w:gridSpan w:val="2"/>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3465"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315" w:hRule="atLeast"/>
        </w:trPr>
        <w:tc>
          <w:tcPr>
            <w:tcW w:w="14070" w:type="dxa"/>
            <w:gridSpan w:val="9"/>
            <w:tcBorders>
              <w:top w:val="nil"/>
              <w:left w:val="nil"/>
              <w:bottom w:val="nil"/>
              <w:right w:val="nil"/>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注：无政府基金预算财政拨款预算，空表列示。</w:t>
            </w:r>
          </w:p>
        </w:tc>
      </w:tr>
    </w:tbl>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tbl>
      <w:tblPr>
        <w:tblStyle w:val="13"/>
        <w:tblW w:w="14070" w:type="dxa"/>
        <w:tblInd w:w="-312" w:type="dxa"/>
        <w:tblLayout w:type="fixed"/>
        <w:tblCellMar>
          <w:top w:w="0" w:type="dxa"/>
          <w:left w:w="108" w:type="dxa"/>
          <w:bottom w:w="0" w:type="dxa"/>
          <w:right w:w="108" w:type="dxa"/>
        </w:tblCellMar>
      </w:tblPr>
      <w:tblGrid>
        <w:gridCol w:w="1765"/>
        <w:gridCol w:w="1360"/>
        <w:gridCol w:w="3620"/>
        <w:gridCol w:w="1980"/>
        <w:gridCol w:w="1980"/>
        <w:gridCol w:w="3365"/>
      </w:tblGrid>
      <w:tr>
        <w:tblPrEx>
          <w:tblCellMar>
            <w:top w:w="0" w:type="dxa"/>
            <w:left w:w="108" w:type="dxa"/>
            <w:bottom w:w="0" w:type="dxa"/>
            <w:right w:w="108" w:type="dxa"/>
          </w:tblCellMar>
        </w:tblPrEx>
        <w:trPr>
          <w:trHeight w:val="420" w:hRule="atLeast"/>
        </w:trPr>
        <w:tc>
          <w:tcPr>
            <w:tcW w:w="1765" w:type="dxa"/>
            <w:tcBorders>
              <w:top w:val="nil"/>
              <w:left w:val="nil"/>
              <w:bottom w:val="nil"/>
              <w:right w:val="nil"/>
            </w:tcBorders>
            <w:noWrap/>
            <w:vAlign w:val="center"/>
          </w:tcPr>
          <w:p>
            <w:pPr>
              <w:widowControl/>
              <w:jc w:val="left"/>
              <w:rPr>
                <w:rFonts w:ascii="宋体" w:hAnsi="宋体" w:cs="宋体"/>
                <w:kern w:val="0"/>
                <w:sz w:val="22"/>
              </w:rPr>
            </w:pPr>
            <w:r>
              <w:rPr>
                <w:rFonts w:hint="eastAsia" w:ascii="宋体" w:hAnsi="宋体" w:cs="宋体"/>
                <w:kern w:val="0"/>
                <w:sz w:val="22"/>
              </w:rPr>
              <w:t>附表</w:t>
            </w:r>
            <w:r>
              <w:rPr>
                <w:rFonts w:ascii="Times New Roman" w:hAnsi="Times New Roman" w:cs="Times New Roman"/>
                <w:kern w:val="0"/>
                <w:sz w:val="22"/>
              </w:rPr>
              <w:t>1-8</w:t>
            </w:r>
          </w:p>
        </w:tc>
        <w:tc>
          <w:tcPr>
            <w:tcW w:w="136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362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98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198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3365" w:type="dxa"/>
            <w:tcBorders>
              <w:top w:val="nil"/>
              <w:left w:val="nil"/>
              <w:bottom w:val="nil"/>
              <w:right w:val="nil"/>
            </w:tcBorders>
            <w:noWrap/>
            <w:vAlign w:val="center"/>
          </w:tcPr>
          <w:p>
            <w:pPr>
              <w:widowControl/>
              <w:jc w:val="right"/>
              <w:rPr>
                <w:rFonts w:ascii="Times New Roman" w:hAnsi="Times New Roman" w:cs="Times New Roman"/>
                <w:kern w:val="0"/>
                <w:sz w:val="22"/>
              </w:rPr>
            </w:pPr>
          </w:p>
        </w:tc>
      </w:tr>
      <w:tr>
        <w:tblPrEx>
          <w:tblCellMar>
            <w:top w:w="0" w:type="dxa"/>
            <w:left w:w="108" w:type="dxa"/>
            <w:bottom w:w="0" w:type="dxa"/>
            <w:right w:w="108" w:type="dxa"/>
          </w:tblCellMar>
        </w:tblPrEx>
        <w:trPr>
          <w:trHeight w:val="600" w:hRule="atLeast"/>
        </w:trPr>
        <w:tc>
          <w:tcPr>
            <w:tcW w:w="14070" w:type="dxa"/>
            <w:gridSpan w:val="6"/>
            <w:tcBorders>
              <w:top w:val="nil"/>
              <w:left w:val="nil"/>
              <w:bottom w:val="nil"/>
              <w:right w:val="nil"/>
            </w:tcBorders>
            <w:shd w:val="clear" w:color="auto" w:fill="FFFFFF"/>
            <w:noWrap w:val="0"/>
            <w:vAlign w:val="center"/>
          </w:tcPr>
          <w:p>
            <w:pPr>
              <w:widowControl/>
              <w:jc w:val="center"/>
              <w:rPr>
                <w:rFonts w:ascii="Times New Roman" w:hAnsi="Times New Roman" w:cs="Times New Roman"/>
                <w:kern w:val="0"/>
                <w:sz w:val="36"/>
                <w:szCs w:val="36"/>
              </w:rPr>
            </w:pPr>
            <w:r>
              <w:rPr>
                <w:rFonts w:hint="eastAsia" w:ascii="方正小标宋_GBK" w:hAnsi="Times New Roman" w:eastAsia="方正小标宋_GBK" w:cs="Times New Roman"/>
                <w:kern w:val="0"/>
                <w:sz w:val="36"/>
                <w:szCs w:val="36"/>
              </w:rPr>
              <w:t>本</w:t>
            </w:r>
            <w:r>
              <w:rPr>
                <w:rFonts w:hint="eastAsia" w:ascii="宋体" w:hAnsi="宋体" w:cs="宋体"/>
                <w:kern w:val="0"/>
                <w:sz w:val="36"/>
                <w:szCs w:val="36"/>
              </w:rPr>
              <w:t>级</w:t>
            </w:r>
            <w:r>
              <w:rPr>
                <w:rFonts w:hint="eastAsia" w:ascii="方正小标宋_GBK" w:hAnsi="Times New Roman" w:eastAsia="方正小标宋_GBK" w:cs="Times New Roman"/>
                <w:kern w:val="0"/>
                <w:sz w:val="36"/>
                <w:szCs w:val="36"/>
              </w:rPr>
              <w:t>预算国有资本经营预算财政拨款支出表</w:t>
            </w:r>
          </w:p>
        </w:tc>
      </w:tr>
      <w:tr>
        <w:tblPrEx>
          <w:tblCellMar>
            <w:top w:w="0" w:type="dxa"/>
            <w:left w:w="108" w:type="dxa"/>
            <w:bottom w:w="0" w:type="dxa"/>
            <w:right w:w="108" w:type="dxa"/>
          </w:tblCellMar>
        </w:tblPrEx>
        <w:trPr>
          <w:trHeight w:val="435" w:hRule="atLeast"/>
        </w:trPr>
        <w:tc>
          <w:tcPr>
            <w:tcW w:w="6745" w:type="dxa"/>
            <w:gridSpan w:val="3"/>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303遵化市发展和改革局</w:t>
            </w:r>
            <w:r>
              <w:rPr>
                <w:rFonts w:hint="eastAsia" w:ascii="方正仿宋简体" w:hAnsi="方正仿宋简体" w:eastAsia="方正仿宋简体" w:cs="方正仿宋简体"/>
                <w:color w:val="000000"/>
                <w:kern w:val="0"/>
                <w:sz w:val="24"/>
                <w:szCs w:val="24"/>
              </w:rPr>
              <w:t>本级</w:t>
            </w:r>
          </w:p>
        </w:tc>
        <w:tc>
          <w:tcPr>
            <w:tcW w:w="1980"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预算年度：2022</w:t>
            </w:r>
          </w:p>
        </w:tc>
        <w:tc>
          <w:tcPr>
            <w:tcW w:w="1980" w:type="dxa"/>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　</w:t>
            </w:r>
          </w:p>
        </w:tc>
        <w:tc>
          <w:tcPr>
            <w:tcW w:w="3365"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2"/>
              </w:rPr>
            </w:pPr>
            <w:r>
              <w:rPr>
                <w:rFonts w:hint="eastAsia" w:ascii="方正仿宋简体" w:hAnsi="方正仿宋简体" w:eastAsia="方正仿宋简体" w:cs="方正仿宋简体"/>
                <w:color w:val="000000"/>
                <w:kern w:val="0"/>
                <w:sz w:val="22"/>
              </w:rPr>
              <w:t>单位：万元</w:t>
            </w:r>
          </w:p>
        </w:tc>
      </w:tr>
      <w:tr>
        <w:tblPrEx>
          <w:tblCellMar>
            <w:top w:w="0" w:type="dxa"/>
            <w:left w:w="108" w:type="dxa"/>
            <w:bottom w:w="0" w:type="dxa"/>
            <w:right w:w="108" w:type="dxa"/>
          </w:tblCellMar>
        </w:tblPrEx>
        <w:trPr>
          <w:trHeight w:val="435" w:hRule="atLeast"/>
        </w:trPr>
        <w:tc>
          <w:tcPr>
            <w:tcW w:w="67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科目</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合计</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 xml:space="preserve">基本支出  </w:t>
            </w:r>
          </w:p>
        </w:tc>
        <w:tc>
          <w:tcPr>
            <w:tcW w:w="33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项目支出</w:t>
            </w:r>
          </w:p>
        </w:tc>
      </w:tr>
      <w:tr>
        <w:tblPrEx>
          <w:tblCellMar>
            <w:top w:w="0" w:type="dxa"/>
            <w:left w:w="108" w:type="dxa"/>
            <w:bottom w:w="0" w:type="dxa"/>
            <w:right w:w="108" w:type="dxa"/>
          </w:tblCellMar>
        </w:tblPrEx>
        <w:trPr>
          <w:trHeight w:val="435" w:hRule="atLeast"/>
        </w:trPr>
        <w:tc>
          <w:tcPr>
            <w:tcW w:w="312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功能分类科目编码</w:t>
            </w:r>
          </w:p>
        </w:tc>
        <w:tc>
          <w:tcPr>
            <w:tcW w:w="36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2"/>
              </w:rPr>
            </w:pPr>
            <w:r>
              <w:rPr>
                <w:rFonts w:hint="eastAsia" w:ascii="方正仿宋简体" w:hAnsi="方正仿宋简体" w:eastAsia="方正仿宋简体" w:cs="方正仿宋简体"/>
                <w:b/>
                <w:bCs/>
                <w:kern w:val="0"/>
                <w:sz w:val="22"/>
              </w:rPr>
              <w:t>科目名称</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2"/>
              </w:rPr>
            </w:pPr>
          </w:p>
        </w:tc>
        <w:tc>
          <w:tcPr>
            <w:tcW w:w="3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2"/>
              </w:rPr>
            </w:pPr>
          </w:p>
        </w:tc>
      </w:tr>
      <w:tr>
        <w:tblPrEx>
          <w:tblCellMar>
            <w:top w:w="0" w:type="dxa"/>
            <w:left w:w="108" w:type="dxa"/>
            <w:bottom w:w="0" w:type="dxa"/>
            <w:right w:w="108" w:type="dxa"/>
          </w:tblCellMar>
        </w:tblPrEx>
        <w:trPr>
          <w:trHeight w:val="435" w:hRule="atLeast"/>
        </w:trPr>
        <w:tc>
          <w:tcPr>
            <w:tcW w:w="31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2"/>
              </w:rPr>
            </w:pPr>
          </w:p>
        </w:tc>
        <w:tc>
          <w:tcPr>
            <w:tcW w:w="36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2"/>
              </w:rPr>
            </w:pPr>
          </w:p>
        </w:tc>
        <w:tc>
          <w:tcPr>
            <w:tcW w:w="3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2"/>
              </w:rPr>
            </w:pPr>
          </w:p>
        </w:tc>
      </w:tr>
      <w:tr>
        <w:tblPrEx>
          <w:tblCellMar>
            <w:top w:w="0" w:type="dxa"/>
            <w:left w:w="108" w:type="dxa"/>
            <w:bottom w:w="0" w:type="dxa"/>
            <w:right w:w="108" w:type="dxa"/>
          </w:tblCellMar>
        </w:tblPrEx>
        <w:trPr>
          <w:trHeight w:val="450" w:hRule="atLeast"/>
        </w:trPr>
        <w:tc>
          <w:tcPr>
            <w:tcW w:w="67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合计</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36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450" w:hRule="atLeast"/>
        </w:trPr>
        <w:tc>
          <w:tcPr>
            <w:tcW w:w="3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62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3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450" w:hRule="atLeast"/>
        </w:trPr>
        <w:tc>
          <w:tcPr>
            <w:tcW w:w="3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62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3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450" w:hRule="atLeast"/>
        </w:trPr>
        <w:tc>
          <w:tcPr>
            <w:tcW w:w="3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62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3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450" w:hRule="atLeast"/>
        </w:trPr>
        <w:tc>
          <w:tcPr>
            <w:tcW w:w="3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62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3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450" w:hRule="atLeast"/>
        </w:trPr>
        <w:tc>
          <w:tcPr>
            <w:tcW w:w="3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62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3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450" w:hRule="atLeast"/>
        </w:trPr>
        <w:tc>
          <w:tcPr>
            <w:tcW w:w="3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62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c>
          <w:tcPr>
            <w:tcW w:w="3365" w:type="dxa"/>
            <w:tcBorders>
              <w:top w:val="nil"/>
              <w:left w:val="nil"/>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2"/>
              </w:rPr>
            </w:pPr>
            <w:r>
              <w:rPr>
                <w:rFonts w:hint="eastAsia" w:ascii="方正仿宋简体" w:hAnsi="方正仿宋简体" w:eastAsia="方正仿宋简体" w:cs="方正仿宋简体"/>
                <w:kern w:val="0"/>
                <w:sz w:val="22"/>
              </w:rPr>
              <w:t>　</w:t>
            </w:r>
          </w:p>
        </w:tc>
      </w:tr>
      <w:tr>
        <w:tblPrEx>
          <w:tblCellMar>
            <w:top w:w="0" w:type="dxa"/>
            <w:left w:w="108" w:type="dxa"/>
            <w:bottom w:w="0" w:type="dxa"/>
            <w:right w:w="108" w:type="dxa"/>
          </w:tblCellMar>
        </w:tblPrEx>
        <w:trPr>
          <w:trHeight w:val="315" w:hRule="atLeast"/>
        </w:trPr>
        <w:tc>
          <w:tcPr>
            <w:tcW w:w="1765" w:type="dxa"/>
            <w:tcBorders>
              <w:top w:val="nil"/>
              <w:left w:val="nil"/>
              <w:bottom w:val="nil"/>
              <w:right w:val="nil"/>
            </w:tcBorders>
            <w:noWrap/>
            <w:vAlign w:val="center"/>
          </w:tcPr>
          <w:p>
            <w:pPr>
              <w:widowControl/>
              <w:jc w:val="left"/>
              <w:rPr>
                <w:rFonts w:hint="eastAsia" w:ascii="方正仿宋简体" w:hAnsi="方正仿宋简体" w:eastAsia="方正仿宋简体" w:cs="方正仿宋简体"/>
                <w:kern w:val="0"/>
                <w:sz w:val="24"/>
                <w:szCs w:val="24"/>
              </w:rPr>
            </w:pPr>
          </w:p>
        </w:tc>
        <w:tc>
          <w:tcPr>
            <w:tcW w:w="1360"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3620"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1980"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1980"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3365"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315" w:hRule="atLeast"/>
        </w:trPr>
        <w:tc>
          <w:tcPr>
            <w:tcW w:w="6745" w:type="dxa"/>
            <w:gridSpan w:val="3"/>
            <w:tcBorders>
              <w:top w:val="nil"/>
              <w:left w:val="nil"/>
              <w:bottom w:val="nil"/>
              <w:right w:val="nil"/>
            </w:tcBorders>
            <w:noWrap/>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注：无国有资本经营预算财政拨款预算，空表列示。</w:t>
            </w:r>
          </w:p>
        </w:tc>
        <w:tc>
          <w:tcPr>
            <w:tcW w:w="1980"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1980"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c>
          <w:tcPr>
            <w:tcW w:w="3365" w:type="dxa"/>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4"/>
                <w:szCs w:val="24"/>
              </w:rPr>
            </w:pPr>
          </w:p>
        </w:tc>
      </w:tr>
    </w:tbl>
    <w:p>
      <w:pPr>
        <w:spacing w:line="570" w:lineRule="exact"/>
        <w:jc w:val="center"/>
        <w:rPr>
          <w:rFonts w:hint="eastAsia" w:ascii="方正仿宋简体" w:hAnsi="方正仿宋简体" w:eastAsia="方正仿宋简体" w:cs="方正仿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tbl>
      <w:tblPr>
        <w:tblStyle w:val="13"/>
        <w:tblW w:w="14070" w:type="dxa"/>
        <w:tblInd w:w="-312" w:type="dxa"/>
        <w:tblLayout w:type="fixed"/>
        <w:tblCellMar>
          <w:top w:w="0" w:type="dxa"/>
          <w:left w:w="108" w:type="dxa"/>
          <w:bottom w:w="0" w:type="dxa"/>
          <w:right w:w="108" w:type="dxa"/>
        </w:tblCellMar>
      </w:tblPr>
      <w:tblGrid>
        <w:gridCol w:w="4017"/>
        <w:gridCol w:w="2248"/>
        <w:gridCol w:w="2660"/>
        <w:gridCol w:w="2460"/>
        <w:gridCol w:w="2685"/>
      </w:tblGrid>
      <w:tr>
        <w:tblPrEx>
          <w:tblCellMar>
            <w:top w:w="0" w:type="dxa"/>
            <w:left w:w="108" w:type="dxa"/>
            <w:bottom w:w="0" w:type="dxa"/>
            <w:right w:w="108" w:type="dxa"/>
          </w:tblCellMar>
        </w:tblPrEx>
        <w:trPr>
          <w:trHeight w:val="300" w:hRule="atLeast"/>
        </w:trPr>
        <w:tc>
          <w:tcPr>
            <w:tcW w:w="4017" w:type="dxa"/>
            <w:tcBorders>
              <w:top w:val="nil"/>
              <w:left w:val="nil"/>
              <w:bottom w:val="nil"/>
              <w:right w:val="nil"/>
            </w:tcBorders>
            <w:noWrap/>
            <w:vAlign w:val="center"/>
          </w:tcPr>
          <w:p>
            <w:pPr>
              <w:widowControl/>
              <w:jc w:val="left"/>
              <w:rPr>
                <w:rFonts w:ascii="宋体" w:hAnsi="宋体" w:cs="宋体"/>
                <w:kern w:val="0"/>
                <w:sz w:val="22"/>
              </w:rPr>
            </w:pPr>
            <w:bookmarkStart w:id="4" w:name="RANGE!A1:E12"/>
            <w:r>
              <w:rPr>
                <w:rFonts w:hint="eastAsia" w:ascii="宋体" w:hAnsi="宋体" w:cs="宋体"/>
                <w:kern w:val="0"/>
                <w:sz w:val="22"/>
              </w:rPr>
              <w:t>附表</w:t>
            </w:r>
            <w:r>
              <w:rPr>
                <w:rFonts w:ascii="Times New Roman" w:hAnsi="Times New Roman" w:cs="Times New Roman"/>
                <w:kern w:val="0"/>
                <w:sz w:val="22"/>
              </w:rPr>
              <w:t>1-9</w:t>
            </w:r>
            <w:bookmarkEnd w:id="4"/>
          </w:p>
        </w:tc>
        <w:tc>
          <w:tcPr>
            <w:tcW w:w="2248"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266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2460" w:type="dxa"/>
            <w:tcBorders>
              <w:top w:val="nil"/>
              <w:left w:val="nil"/>
              <w:bottom w:val="nil"/>
              <w:right w:val="nil"/>
            </w:tcBorders>
            <w:noWrap/>
            <w:vAlign w:val="center"/>
          </w:tcPr>
          <w:p>
            <w:pPr>
              <w:widowControl/>
              <w:jc w:val="right"/>
              <w:rPr>
                <w:rFonts w:ascii="Times New Roman" w:hAnsi="Times New Roman" w:cs="Times New Roman"/>
                <w:kern w:val="0"/>
                <w:sz w:val="22"/>
              </w:rPr>
            </w:pPr>
          </w:p>
        </w:tc>
        <w:tc>
          <w:tcPr>
            <w:tcW w:w="2685" w:type="dxa"/>
            <w:tcBorders>
              <w:top w:val="nil"/>
              <w:left w:val="nil"/>
              <w:bottom w:val="nil"/>
              <w:right w:val="nil"/>
            </w:tcBorders>
            <w:noWrap/>
            <w:vAlign w:val="center"/>
          </w:tcPr>
          <w:p>
            <w:pPr>
              <w:widowControl/>
              <w:jc w:val="right"/>
              <w:rPr>
                <w:rFonts w:ascii="Times New Roman" w:hAnsi="Times New Roman" w:cs="Times New Roman"/>
                <w:kern w:val="0"/>
                <w:sz w:val="22"/>
              </w:rPr>
            </w:pPr>
          </w:p>
        </w:tc>
      </w:tr>
      <w:tr>
        <w:tblPrEx>
          <w:tblCellMar>
            <w:top w:w="0" w:type="dxa"/>
            <w:left w:w="108" w:type="dxa"/>
            <w:bottom w:w="0" w:type="dxa"/>
            <w:right w:w="108" w:type="dxa"/>
          </w:tblCellMar>
        </w:tblPrEx>
        <w:trPr>
          <w:trHeight w:val="600" w:hRule="atLeast"/>
        </w:trPr>
        <w:tc>
          <w:tcPr>
            <w:tcW w:w="14070" w:type="dxa"/>
            <w:gridSpan w:val="5"/>
            <w:tcBorders>
              <w:top w:val="nil"/>
              <w:left w:val="nil"/>
              <w:bottom w:val="nil"/>
              <w:right w:val="nil"/>
            </w:tcBorders>
            <w:shd w:val="clear" w:color="auto" w:fill="FFFFFF"/>
            <w:noWrap w:val="0"/>
            <w:vAlign w:val="center"/>
          </w:tcPr>
          <w:p>
            <w:pPr>
              <w:widowControl/>
              <w:jc w:val="center"/>
              <w:rPr>
                <w:rFonts w:ascii="Times New Roman" w:hAnsi="Times New Roman" w:cs="Times New Roman"/>
                <w:kern w:val="0"/>
                <w:sz w:val="36"/>
                <w:szCs w:val="36"/>
              </w:rPr>
            </w:pPr>
            <w:r>
              <w:rPr>
                <w:rFonts w:hint="eastAsia" w:ascii="方正小标宋_GBK" w:hAnsi="Times New Roman" w:eastAsia="方正小标宋_GBK" w:cs="Times New Roman"/>
                <w:kern w:val="0"/>
                <w:sz w:val="36"/>
                <w:szCs w:val="36"/>
              </w:rPr>
              <w:t>本</w:t>
            </w:r>
            <w:r>
              <w:rPr>
                <w:rFonts w:hint="eastAsia" w:ascii="宋体" w:hAnsi="宋体" w:cs="宋体"/>
                <w:kern w:val="0"/>
                <w:sz w:val="36"/>
                <w:szCs w:val="36"/>
              </w:rPr>
              <w:t>级</w:t>
            </w:r>
            <w:r>
              <w:rPr>
                <w:rFonts w:hint="eastAsia" w:ascii="方正小标宋_GBK" w:hAnsi="Times New Roman" w:eastAsia="方正小标宋_GBK" w:cs="Times New Roman"/>
                <w:kern w:val="0"/>
                <w:sz w:val="36"/>
                <w:szCs w:val="36"/>
              </w:rPr>
              <w:t>预算财政拨款</w:t>
            </w:r>
            <w:r>
              <w:rPr>
                <w:rFonts w:ascii="Times New Roman" w:hAnsi="Times New Roman" w:cs="Times New Roman"/>
                <w:kern w:val="0"/>
                <w:sz w:val="36"/>
                <w:szCs w:val="36"/>
              </w:rPr>
              <w:t>“</w:t>
            </w:r>
            <w:r>
              <w:rPr>
                <w:rFonts w:hint="eastAsia" w:ascii="方正小标宋_GBK" w:hAnsi="Times New Roman" w:eastAsia="方正小标宋_GBK" w:cs="Times New Roman"/>
                <w:kern w:val="0"/>
                <w:sz w:val="36"/>
                <w:szCs w:val="36"/>
              </w:rPr>
              <w:t>三公</w:t>
            </w:r>
            <w:r>
              <w:rPr>
                <w:rFonts w:ascii="Times New Roman" w:hAnsi="Times New Roman" w:cs="Times New Roman"/>
                <w:kern w:val="0"/>
                <w:sz w:val="36"/>
                <w:szCs w:val="36"/>
              </w:rPr>
              <w:t>”</w:t>
            </w:r>
            <w:r>
              <w:rPr>
                <w:rFonts w:hint="eastAsia" w:ascii="方正小标宋_GBK" w:hAnsi="Times New Roman" w:eastAsia="方正小标宋_GBK" w:cs="Times New Roman"/>
                <w:kern w:val="0"/>
                <w:sz w:val="36"/>
                <w:szCs w:val="36"/>
              </w:rPr>
              <w:t>经费支出表</w:t>
            </w:r>
          </w:p>
        </w:tc>
      </w:tr>
      <w:tr>
        <w:tblPrEx>
          <w:tblCellMar>
            <w:top w:w="0" w:type="dxa"/>
            <w:left w:w="108" w:type="dxa"/>
            <w:bottom w:w="0" w:type="dxa"/>
            <w:right w:w="108" w:type="dxa"/>
          </w:tblCellMar>
        </w:tblPrEx>
        <w:trPr>
          <w:trHeight w:val="360" w:hRule="atLeast"/>
        </w:trPr>
        <w:tc>
          <w:tcPr>
            <w:tcW w:w="6265" w:type="dxa"/>
            <w:gridSpan w:val="2"/>
            <w:tcBorders>
              <w:top w:val="nil"/>
              <w:left w:val="nil"/>
              <w:bottom w:val="nil"/>
              <w:right w:val="nil"/>
            </w:tcBorders>
            <w:shd w:val="clear" w:color="auto" w:fill="FFFFFF"/>
            <w:noWrap/>
            <w:vAlign w:val="center"/>
          </w:tcPr>
          <w:p>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303遵化市发展和改革局本级</w:t>
            </w:r>
          </w:p>
        </w:tc>
        <w:tc>
          <w:tcPr>
            <w:tcW w:w="2660"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预算年度：2022</w:t>
            </w:r>
          </w:p>
        </w:tc>
        <w:tc>
          <w:tcPr>
            <w:tcW w:w="2460" w:type="dxa"/>
            <w:tcBorders>
              <w:top w:val="nil"/>
              <w:left w:val="nil"/>
              <w:bottom w:val="nil"/>
              <w:right w:val="nil"/>
            </w:tcBorders>
            <w:shd w:val="clear" w:color="auto" w:fill="FFFFFF"/>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685" w:type="dxa"/>
            <w:tcBorders>
              <w:top w:val="nil"/>
              <w:left w:val="nil"/>
              <w:bottom w:val="nil"/>
              <w:right w:val="nil"/>
            </w:tcBorders>
            <w:shd w:val="clear" w:color="auto" w:fill="FFFFFF"/>
            <w:noWrap/>
            <w:vAlign w:val="center"/>
          </w:tcPr>
          <w:p>
            <w:pPr>
              <w:widowControl/>
              <w:jc w:val="righ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单位：万元</w:t>
            </w:r>
          </w:p>
        </w:tc>
      </w:tr>
      <w:tr>
        <w:tblPrEx>
          <w:tblCellMar>
            <w:top w:w="0" w:type="dxa"/>
            <w:left w:w="108" w:type="dxa"/>
            <w:bottom w:w="0" w:type="dxa"/>
            <w:right w:w="108" w:type="dxa"/>
          </w:tblCellMar>
        </w:tblPrEx>
        <w:trPr>
          <w:trHeight w:val="512" w:hRule="atLeast"/>
        </w:trPr>
        <w:tc>
          <w:tcPr>
            <w:tcW w:w="401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项目</w:t>
            </w:r>
          </w:p>
        </w:tc>
        <w:tc>
          <w:tcPr>
            <w:tcW w:w="1005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资金来源</w:t>
            </w:r>
          </w:p>
        </w:tc>
      </w:tr>
      <w:tr>
        <w:tblPrEx>
          <w:tblCellMar>
            <w:top w:w="0" w:type="dxa"/>
            <w:left w:w="108" w:type="dxa"/>
            <w:bottom w:w="0" w:type="dxa"/>
            <w:right w:w="108" w:type="dxa"/>
          </w:tblCellMar>
        </w:tblPrEx>
        <w:trPr>
          <w:trHeight w:val="690" w:hRule="atLeast"/>
        </w:trPr>
        <w:tc>
          <w:tcPr>
            <w:tcW w:w="401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方正仿宋简体" w:hAnsi="方正仿宋简体" w:eastAsia="方正仿宋简体" w:cs="方正仿宋简体"/>
                <w:b/>
                <w:bCs/>
                <w:kern w:val="0"/>
                <w:sz w:val="24"/>
                <w:szCs w:val="24"/>
              </w:rPr>
            </w:pPr>
          </w:p>
        </w:tc>
        <w:tc>
          <w:tcPr>
            <w:tcW w:w="2248"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合计</w:t>
            </w:r>
          </w:p>
        </w:tc>
        <w:tc>
          <w:tcPr>
            <w:tcW w:w="26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一般公共预算财政拨款</w:t>
            </w:r>
          </w:p>
        </w:tc>
        <w:tc>
          <w:tcPr>
            <w:tcW w:w="24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政府性基金财政拨款</w:t>
            </w:r>
          </w:p>
        </w:tc>
        <w:tc>
          <w:tcPr>
            <w:tcW w:w="268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bCs/>
                <w:kern w:val="0"/>
                <w:sz w:val="24"/>
                <w:szCs w:val="24"/>
              </w:rPr>
            </w:pPr>
            <w:r>
              <w:rPr>
                <w:rFonts w:hint="eastAsia" w:ascii="方正仿宋简体" w:hAnsi="方正仿宋简体" w:eastAsia="方正仿宋简体" w:cs="方正仿宋简体"/>
                <w:b/>
                <w:bCs/>
                <w:kern w:val="0"/>
                <w:sz w:val="24"/>
                <w:szCs w:val="24"/>
              </w:rPr>
              <w:t>国有资本经营预算财政拨款</w:t>
            </w:r>
          </w:p>
        </w:tc>
      </w:tr>
      <w:tr>
        <w:tblPrEx>
          <w:tblCellMar>
            <w:top w:w="0" w:type="dxa"/>
            <w:left w:w="108" w:type="dxa"/>
            <w:bottom w:w="0" w:type="dxa"/>
            <w:right w:w="108" w:type="dxa"/>
          </w:tblCellMar>
        </w:tblPrEx>
        <w:trPr>
          <w:trHeight w:val="600" w:hRule="atLeast"/>
        </w:trPr>
        <w:tc>
          <w:tcPr>
            <w:tcW w:w="401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合计</w:t>
            </w:r>
          </w:p>
        </w:tc>
        <w:tc>
          <w:tcPr>
            <w:tcW w:w="2248" w:type="dxa"/>
            <w:tcBorders>
              <w:top w:val="nil"/>
              <w:left w:val="nil"/>
              <w:bottom w:val="single" w:color="auto" w:sz="4" w:space="0"/>
              <w:right w:val="single" w:color="auto" w:sz="4" w:space="0"/>
            </w:tcBorders>
            <w:noWrap w:val="0"/>
            <w:vAlign w:val="center"/>
          </w:tcPr>
          <w:p>
            <w:pPr>
              <w:widowControl/>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6.41</w:t>
            </w:r>
          </w:p>
        </w:tc>
        <w:tc>
          <w:tcPr>
            <w:tcW w:w="2660" w:type="dxa"/>
            <w:tcBorders>
              <w:top w:val="nil"/>
              <w:left w:val="nil"/>
              <w:bottom w:val="single" w:color="auto" w:sz="4" w:space="0"/>
              <w:right w:val="single" w:color="auto" w:sz="4" w:space="0"/>
            </w:tcBorders>
            <w:noWrap w:val="0"/>
            <w:vAlign w:val="center"/>
          </w:tcPr>
          <w:p>
            <w:pPr>
              <w:widowControl/>
              <w:jc w:val="center"/>
              <w:rPr>
                <w:rFonts w:hint="default"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6.41</w:t>
            </w:r>
          </w:p>
        </w:tc>
        <w:tc>
          <w:tcPr>
            <w:tcW w:w="24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p>
        </w:tc>
        <w:tc>
          <w:tcPr>
            <w:tcW w:w="268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600" w:hRule="atLeast"/>
        </w:trPr>
        <w:tc>
          <w:tcPr>
            <w:tcW w:w="4017"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一、因公出国（境）费</w:t>
            </w:r>
          </w:p>
        </w:tc>
        <w:tc>
          <w:tcPr>
            <w:tcW w:w="2248"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6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4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p>
        </w:tc>
        <w:tc>
          <w:tcPr>
            <w:tcW w:w="268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p>
        </w:tc>
      </w:tr>
      <w:tr>
        <w:tblPrEx>
          <w:tblCellMar>
            <w:top w:w="0" w:type="dxa"/>
            <w:left w:w="108" w:type="dxa"/>
            <w:bottom w:w="0" w:type="dxa"/>
            <w:right w:w="108" w:type="dxa"/>
          </w:tblCellMar>
        </w:tblPrEx>
        <w:trPr>
          <w:trHeight w:val="600" w:hRule="atLeast"/>
        </w:trPr>
        <w:tc>
          <w:tcPr>
            <w:tcW w:w="4017"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二、公务用车购置及运行费</w:t>
            </w:r>
          </w:p>
        </w:tc>
        <w:tc>
          <w:tcPr>
            <w:tcW w:w="2248"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6.15</w:t>
            </w:r>
          </w:p>
        </w:tc>
        <w:tc>
          <w:tcPr>
            <w:tcW w:w="26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6.15</w:t>
            </w:r>
          </w:p>
        </w:tc>
        <w:tc>
          <w:tcPr>
            <w:tcW w:w="24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68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600" w:hRule="atLeast"/>
        </w:trPr>
        <w:tc>
          <w:tcPr>
            <w:tcW w:w="4017"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其中：公务用车购置费</w:t>
            </w:r>
          </w:p>
        </w:tc>
        <w:tc>
          <w:tcPr>
            <w:tcW w:w="2248"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6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4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68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600" w:hRule="atLeast"/>
        </w:trPr>
        <w:tc>
          <w:tcPr>
            <w:tcW w:w="4017"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           公务用车运行费</w:t>
            </w:r>
          </w:p>
        </w:tc>
        <w:tc>
          <w:tcPr>
            <w:tcW w:w="2248"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6.15</w:t>
            </w:r>
          </w:p>
        </w:tc>
        <w:tc>
          <w:tcPr>
            <w:tcW w:w="26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6.15</w:t>
            </w:r>
          </w:p>
        </w:tc>
        <w:tc>
          <w:tcPr>
            <w:tcW w:w="24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68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r>
        <w:tblPrEx>
          <w:tblCellMar>
            <w:top w:w="0" w:type="dxa"/>
            <w:left w:w="108" w:type="dxa"/>
            <w:bottom w:w="0" w:type="dxa"/>
            <w:right w:w="108" w:type="dxa"/>
          </w:tblCellMar>
        </w:tblPrEx>
        <w:trPr>
          <w:trHeight w:val="600" w:hRule="atLeast"/>
        </w:trPr>
        <w:tc>
          <w:tcPr>
            <w:tcW w:w="4017"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三、公务接待费</w:t>
            </w:r>
          </w:p>
        </w:tc>
        <w:tc>
          <w:tcPr>
            <w:tcW w:w="2248"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0.26</w:t>
            </w:r>
          </w:p>
        </w:tc>
        <w:tc>
          <w:tcPr>
            <w:tcW w:w="26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0.26</w:t>
            </w:r>
          </w:p>
        </w:tc>
        <w:tc>
          <w:tcPr>
            <w:tcW w:w="2460"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c>
          <w:tcPr>
            <w:tcW w:w="2685"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w:t>
            </w:r>
          </w:p>
        </w:tc>
      </w:tr>
    </w:tbl>
    <w:p>
      <w:pPr>
        <w:spacing w:line="570" w:lineRule="exact"/>
        <w:rPr>
          <w:rFonts w:ascii="方正小标宋简体" w:hAnsi="方正小标宋简体" w:eastAsia="方正小标宋简体" w:cs="方正小标宋简体"/>
          <w:sz w:val="44"/>
          <w:szCs w:val="44"/>
        </w:rPr>
        <w:sectPr>
          <w:footerReference r:id="rId5" w:type="default"/>
          <w:pgSz w:w="16840" w:h="11900" w:orient="landscape"/>
          <w:pgMar w:top="1304" w:right="1134" w:bottom="1304" w:left="1985" w:header="720" w:footer="720" w:gutter="0"/>
          <w:pgNumType w:start="1"/>
          <w:cols w:space="720" w:num="1"/>
        </w:sectPr>
      </w:pPr>
    </w:p>
    <w:p>
      <w:pPr>
        <w:spacing w:line="570" w:lineRule="exact"/>
        <w:ind w:left="-315" w:leftChars="-150" w:right="271" w:rightChars="129" w:firstLine="312" w:firstLineChars="71"/>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遵化市发展和改革局2022年本级</w:t>
      </w: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70" w:lineRule="exact"/>
        <w:ind w:firstLine="640" w:firstLineChars="200"/>
        <w:rPr>
          <w:rFonts w:hint="eastAsia" w:ascii="仿宋" w:hAnsi="仿宋" w:eastAsia="仿宋" w:cs="Times New Roman"/>
          <w:sz w:val="32"/>
          <w:szCs w:val="32"/>
        </w:rPr>
      </w:pPr>
    </w:p>
    <w:p>
      <w:pPr>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按照《预算法》、《地方预决算公开操作规程》和《河北省省级预算公开办法》规定，现将遵化市发展和改革局2022年本级预算公开如下：</w:t>
      </w:r>
    </w:p>
    <w:p>
      <w:pPr>
        <w:spacing w:line="560" w:lineRule="exact"/>
        <w:ind w:firstLine="560"/>
        <w:jc w:val="left"/>
        <w:rPr>
          <w:rFonts w:hint="eastAsia" w:ascii="方正黑体简体" w:hAnsi="方正黑体简体" w:eastAsia="方正黑体简体" w:cs="方正黑体简体"/>
          <w:sz w:val="32"/>
          <w:szCs w:val="32"/>
        </w:rPr>
      </w:pPr>
      <w:r>
        <w:rPr>
          <w:rFonts w:hint="eastAsia" w:ascii="宋体" w:hAnsi="宋体" w:eastAsia="方正黑体简体" w:cs="方正黑体简体"/>
          <w:sz w:val="32"/>
          <w:szCs w:val="32"/>
        </w:rPr>
        <w:t xml:space="preserve">  </w:t>
      </w:r>
      <w:bookmarkStart w:id="5" w:name="_Toc68791545"/>
      <w:r>
        <w:rPr>
          <w:rFonts w:hint="eastAsia" w:ascii="方正黑体简体" w:hAnsi="方正黑体简体" w:eastAsia="方正黑体简体" w:cs="方正黑体简体"/>
          <w:sz w:val="32"/>
          <w:szCs w:val="32"/>
        </w:rPr>
        <w:t>一、本级职责、机构设置等基本情况</w:t>
      </w:r>
      <w:bookmarkEnd w:id="5"/>
    </w:p>
    <w:p>
      <w:pPr>
        <w:spacing w:line="56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（一）本级职责</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 xml:space="preserve"> </w:t>
      </w:r>
      <w:r>
        <w:rPr>
          <w:rFonts w:hint="eastAsia" w:ascii="宋体" w:hAnsi="宋体" w:eastAsia="方正仿宋简体" w:cs="宋体"/>
          <w:sz w:val="32"/>
          <w:szCs w:val="32"/>
        </w:rPr>
        <w:t>根据</w:t>
      </w:r>
      <w:r>
        <w:rPr>
          <w:rFonts w:hint="eastAsia" w:ascii="宋体" w:hAnsi="宋体" w:eastAsia="方正仿宋简体" w:cs="宋体"/>
          <w:sz w:val="32"/>
          <w:szCs w:val="32"/>
          <w:lang w:val="zh-CN"/>
        </w:rPr>
        <w:t>遵办[2019]41号</w:t>
      </w:r>
      <w:r>
        <w:rPr>
          <w:rFonts w:hint="eastAsia" w:ascii="宋体" w:hAnsi="宋体" w:eastAsia="方正仿宋简体" w:cs="宋体"/>
          <w:sz w:val="32"/>
          <w:szCs w:val="32"/>
        </w:rPr>
        <w:t>文件，遵化市发展和改革局主要职责是：</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2、提出加快建设全市现代化经济体系、推动高质量发展的总体目标、重大任务以及相关政策。组织开展重大战略规划、重大政策、重大工程等的评估督导，提出相关调整建议。</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3、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4、指导推进和综合协调经济体制改革有关工作，提出相关改革建议。牵头推进供给侧结构性改革。协调推进产权制度和要素市场化配置改革。落实国家完善基本经济制度政策，推动现代化市场体系建设，会同有关本级组织实施市场准入负面清单制度。牵头推进优化营商环境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5、提出全市利用外资和境外投资的战略、规划、总量平衡和结构优化政策。牵头推进实施全市“一带一路”建设有关工作。承担统筹协调走出去有关工作。会同有关本级贯彻落实国家外商投资准入负面清单。负责全市全口径外债的总量控制、结构优化和监测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6、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7、推进落实区域协调发展战略、新型城镇化战略和重大政策，组织拟订相关区域规划和政策。推进实施京津冀协同发展等区域发展战略。组织拟订和实施老少边穷及其他特殊困难地区发展规划和政策，组织实施</w:t>
      </w:r>
      <w:r>
        <w:rPr>
          <w:rFonts w:hint="eastAsia" w:ascii="宋体" w:hAnsi="宋体" w:eastAsia="方正仿宋简体" w:cs="宋体"/>
          <w:sz w:val="32"/>
          <w:szCs w:val="32"/>
          <w:lang w:val="en-US" w:eastAsia="zh-CN"/>
        </w:rPr>
        <w:t>易</w:t>
      </w:r>
      <w:r>
        <w:rPr>
          <w:rFonts w:hint="eastAsia" w:ascii="宋体" w:hAnsi="宋体" w:eastAsia="方正仿宋简体" w:cs="宋体"/>
          <w:sz w:val="32"/>
          <w:szCs w:val="32"/>
        </w:rPr>
        <w:t>地扶贫搬迁等。统筹协调区域合作和对口支援工作。组织编制并推动实施新型城镇化规划。</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8、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9、推动实施全市创新驱动发展战略。会同相关本级拟订全市推进创新创业的规划和政策，提出创新发展和培育经济发展新动能的政策。会同相关本级规划布局市级重大科技基础设施。组织拟订并推动实施高技术产业和战略性新兴产业及数字经济发展规划政策，协调产业升级、重大技术装备推广应用等方面的重大问题。</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10、跟踪研判涉及经济安全、生态安全、资源安全、科技安全、社会安全等各类风险隐患，提出相关工作建议。协调落实重要工业品、原材料和重要农产品进出口调控措施。会同有关本级拟订全市储备物资品种目录、总体发展规划。</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11、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12、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13、组织拟订推进全市经济建设与国防建设协调发展的战略和规划，组织推进经济建设项目贯彻国防要求。</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14、负责全市粮食物资和能源管理工作。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15、负责重要商品和服务价格定调价前期成本监审工作和重要产品成本调查工作。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16、负责全市地方铁路行政管理工作。牵头负责铁路沿线环境安全监管职责。</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17、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18、完成市委、市政府交办的其他任务。</w:t>
      </w:r>
    </w:p>
    <w:p>
      <w:pPr>
        <w:adjustRightInd w:val="0"/>
        <w:snapToGrid w:val="0"/>
        <w:spacing w:line="570" w:lineRule="exact"/>
        <w:rPr>
          <w:rFonts w:hint="eastAsia" w:ascii="黑体" w:hAnsi="黑体" w:eastAsia="黑体" w:cs="方正仿宋简体"/>
          <w:sz w:val="32"/>
          <w:szCs w:val="32"/>
        </w:rPr>
      </w:pPr>
      <w:r>
        <w:rPr>
          <w:rFonts w:hint="eastAsia" w:ascii="宋体" w:hAnsi="宋体" w:eastAsia="方正仿宋简体" w:cs="方正仿宋简体"/>
          <w:sz w:val="32"/>
          <w:szCs w:val="32"/>
        </w:rPr>
        <w:t xml:space="preserve">   </w:t>
      </w:r>
      <w:r>
        <w:rPr>
          <w:rFonts w:hint="eastAsia" w:ascii="方正楷体简体" w:hAnsi="方正楷体简体" w:eastAsia="方正楷体简体" w:cs="方正楷体简体"/>
          <w:sz w:val="32"/>
          <w:szCs w:val="32"/>
        </w:rPr>
        <w:t xml:space="preserve"> (二)机构设置</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1、办公室。负责机关公文审核、文电运转、会议组织、政务督办、保密机要、信访、档案管理、电子政务、安全保卫等机关行政事务。承担人大代表建议、政协委员提案的组织协调、政务信息、政务公开。负责机关财务和国有资产管理，组织内部审计，指导所属单位财务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2、国民经济综合科。组织拟订国民经济和社会发展年度计划，做好年度计划与五年发展规划的统筹街接。监测分析全市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市经济建设与国防建设协调发展的战略和规划，组织推进经济建设项目贯彻国防要求。承担市委军民融合发展办公室职责。</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组织开展经济社会发展、改革开放的重大问题研究，重要文件起草。组织开展新闻宣传、舆论引导和舆情监测等工作。研究提出全市重大发展战略、经济结构调整政策和重大生产力布局建议，组织拟订并实施市发展规划。承担统一规划体系建设工作，统筹衔接市级专项规划、区域规划、空间规划与发展规划，统筹规划目录清单、审批计划和备案管理。协调推进市级特色小镇创建培育工作。提出新型城镇化战略、规划和城乡融合发展政策建议。</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研究提出全市服务业发展战略、规划和重要政策措施，协调解决相关重大问题。监测研判外贸形势并提出政策建议。承担全市重要商品总量平衡和宏观调控相关工作。组织拟订重要农产品进出口计划并监督执行。组织实施粮食、棉花进出口计划。研究提出粮食、棉花、食盐等重要商品流通体制改革意见。拟订市级粮食、食盐、食糖等重要商品的总量计划，并会同有关本级管理相关市级储备。组织实施现代服务业创新发展项目，提出相关的市财政性建设资金安排建议。会同有关本级研究提出全市现代物流发展战略和总体规划。</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监测研判经济运行态势并提出相关政策建议，协调经济运行中的重大问题。统筹协调煤、电、油、气及交通运输保障工作并组织应对有关重大突发性事件，提出安排相关应急物资储备和动用的建议。</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研究分析财政金融运行形势，参与研究提出我市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3、固定资产投资科（遵化市铁路建设和管理领导小组办公室）。提出深化投融资体制改革建议。起草固定资产投资管理有关规范性文件。安排中央预算内补助我市资金的建设项目和市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统筹交通运输发展规划与国家、省、唐山和我市发展规划的街接平衡。综合分析交通运输运行状况，协调有关重大问题，提出统筹综合交通发展有关政策建议。提出重大基础设施布局建议并协调实施。负责申请民航发展基金投资补助。组织编制全市铁路布局规划并组织实施。负责拟订全市地方铁路安全生产政策、规章制度和应急预案，</w:t>
      </w:r>
      <w:r>
        <w:rPr>
          <w:rFonts w:ascii="宋体" w:hAnsi="宋体" w:eastAsia="方正仿宋简体" w:cs="宋体"/>
          <w:sz w:val="32"/>
          <w:szCs w:val="32"/>
        </w:rPr>
        <w:t>指导地方铁路行业的安全生产管理工作。牵头负责铁路</w:t>
      </w:r>
      <w:r>
        <w:rPr>
          <w:rFonts w:hint="eastAsia" w:ascii="宋体" w:hAnsi="宋体" w:eastAsia="方正仿宋简体" w:cs="宋体"/>
          <w:sz w:val="32"/>
          <w:szCs w:val="32"/>
        </w:rPr>
        <w:t>沿线环境安全监管职责。承担全市地方铁路建设市场、运输市场监管责任，</w:t>
      </w:r>
      <w:r>
        <w:rPr>
          <w:rFonts w:ascii="宋体" w:hAnsi="宋体" w:eastAsia="方正仿宋简体" w:cs="宋体"/>
          <w:sz w:val="32"/>
          <w:szCs w:val="32"/>
        </w:rPr>
        <w:t>拟订地方铁路建设相关政策、制度并监督实施</w:t>
      </w:r>
      <w:r>
        <w:rPr>
          <w:rFonts w:hint="eastAsia" w:ascii="宋体" w:hAnsi="宋体" w:eastAsia="方正仿宋简体" w:cs="宋体"/>
          <w:sz w:val="32"/>
          <w:szCs w:val="32"/>
        </w:rPr>
        <w:t>，</w:t>
      </w:r>
      <w:r>
        <w:rPr>
          <w:rFonts w:ascii="宋体" w:hAnsi="宋体" w:eastAsia="方正仿宋简体" w:cs="宋体"/>
          <w:sz w:val="32"/>
          <w:szCs w:val="32"/>
        </w:rPr>
        <w:t>组织</w:t>
      </w:r>
      <w:r>
        <w:rPr>
          <w:rFonts w:hint="eastAsia" w:ascii="宋体" w:hAnsi="宋体" w:eastAsia="方正仿宋简体" w:cs="宋体"/>
          <w:sz w:val="32"/>
          <w:szCs w:val="32"/>
        </w:rPr>
        <w:t>协调地方铁路等有关重点工程建设、工程质量监督管理工作。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组织贯彻实施国家产业政策，研究拟定地方综合性产业政策。统筹街接工业发展规划。研究拟订支持实体经济发展、加快发展先进制造业的政策措施，会同有关本级提出工业重大项目布局建议和相关产业重大工程并协调实施。协调重大技术装备推广应用，谋划推进主导产业重大结构调整项目和重大产业基地建设。按照规定权限和要求负责工业投资项目管理。</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4、外资和高新技术科。综合分析利用外资和境外投资状况，研究提出全市利用外资和境外投资战略、规划，拟订利用外资和境外投资年度计划。按权限负责利用国外贷款项目、外商投资项目和境外投资项目的管理工作。执行外商投资产业指导目录、外商投资准入负面清单。协调全市基础设施互联互通、产能和装备制造、能源资源等领域重大项目的国际合作。推进实施“一带一路”建设相关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组织拟订推进创新创业和高技术产业发展的规划和政策。推进创新能力建设和新兴产业创业投资。会同有关方面提出市级重大科技基础设施规划布局建议。提出全市技术经济安全和培育经济发展新动能政策建议，推动技术创新和相关高新技术产业化，组织重大示范工程。统筹推进战略性新兴产业和数字经济、生物经济发展，会同有关方面推进全市大数据产业发展，街接平衡信息化发展规划与全市发展规划。</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负责全市经济技术交流，促进区域经济技术合作。承担对口支援和参与西部开发工作。统计、分析全市经济技术合作情况。负责与市外重点大专院校、科研院所的合作工作。承担市校科技合作开发资金的审核、使用和监督工作。负责市政府与外市县区政府、高校、企事业单位等合作协议的归口审核和管理。</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5、农村和社会事业发展科（体制改革综合科）。研究全市农村经济发展和改革重大问题，监测分析农村经济发展形势，提出农村经济发展战略和政策建议。组织编制农村经济发展、生态保护和建设、以工代赈工程建设中长期规划和年度计划，衔接平衡农业、林业、草原、水利、气象、生态及有关农村基础设施等发展规划、计划和政策。牵头组织特重大自然灾害的灾后恢复重建规划编制，协调有关重大问题。提出建立健全生态补偿机制的政策措施。负责林业、草原、水利、气象、农业科技、生态建设、以工代赈等方面相关建设项目的管理。提出市财政性建设资全相关项目及投资计划安排意见和国家资金重大项目布局建议，并协调实施。提出生态安全相关政策建议。组织农业资源区划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综合提出并协调实施社会发展战略、规划和政策。协调社会事业和产业发展政策及改革重大问题，提出相关市预算内基本建设资金安排建议。统筹推进基本公共服务体系建设。编制下达全市高等院校年度招生计划。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指导推进和综合协调经济体制改革。研究全市经济体制改革重大问题，拟订并组织实施综合性经济体制改革方案及有关专项改革方案，协调推进产权制度和要素市场化配置改革，组织实施市场准入负面清单制度。承担供给侧结构性改革相关工作。指导市综合改革试点和改革试验区工作。组织和参与协调有关规范性文件的调研起草。承担机关有关规范性文件的合法性审查工作。负责普法、行政执法协调监督和行政复议、行政应诉工作。组织有关法律和行政法规及规章执行情况的调查研究。推进全市优化营商环境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 xml:space="preserve"> 6、能源和环资科（市电力办公室）。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推进落实区域协调发展战略，组织拟订区域经济发展规划和政策。协调国土整治、开发利用和保护政策，参与制定土地政策，参与编制水资源平衡与节约规划、生态建设与环境整治规划。负责资源型城市转型与可持续发展工作。安排重点流域和区域环境综合整治项目。</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负责提出能源发展战略的建议，拟订能源发展规划、产业政策和年度指导计划并组织实施；起草有关能源行业的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标准，规范能源市场秩序；参与制定与能源相关的资源、财税、环保及应对气候变化等政策。负责监测电力运行态势，电力年度供需平衡、资源配置和电力需求侧管理，有序用电、迎峰度夏（冬）电力保障工作。负责组织有序放开发用电计划、推进电力市场建设相关工作。负责电力行政执法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7、价格调控科。拟订年度价格工作规划和综合性价格改革方案。研究提出年度价格总水平调控目标。监测分析研判全市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制订有关价格的重要政策和规范性文件。   拟订市定价目录、价格听证目录和政府定价等行为规则，组织实施市级定价项目价格听证。负责全市政府定价能源价格管理工作。组织实施国家有关能源价格改革方案和政策措施。拟订全市电力、天然气、成品油、热力等能源价格改革方案和政策措施，研究制定有利于能源节约、产业结构调整和环境保护的价格调节政策。负责全市公用事业、公共服务和公共管理领域价格和收费管理，组织实施国家有关改革方案和政策措施；拟订和调整市政府管理的国家机关收费项目和标准；拟订并动态调整行政事业性收费标准目录清单和政府定价经营服务性收费目录清单。</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8、重点项目建设管理科。负责研究制定全市重点建设项目管理办法；负责编制全市重点建设项目年度计划并督导落实；负责重点项目建设情况文字综合和情况反馈工作；负责全市重点项目建设考核；负责重点项目外部建设条件的协调落实；参与重点建设项目前期工作，及时协调、调度、督导解决有关重大问题。负责承办市重点建设领导小组会议及有关大型会议；负责组织重点项目观摩活动；负责组织市重点项目概算调整、竣工验收工作；承办市重点建设领导小组交办的其他事项。负责与央企及其总部的沟通联系，建立相关制度与工作机制；组织协调有关服务事项，共同做好服务央企工作，促进重大项目落地；负责央企服务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拟订相关重大战略规划、重大政策、重大工程等评估督导的制度并组织实施，提出相关评估评价意见和改进措施建议。</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研究提出我市沿海地区开放开发政策、结构调整以及重大项目布局等方面的建议； 协调解决沿海地区开放开发中的重大问题；督促指导省、市支持沿海地区开放开发各项政策措施的落实；牵头负责沿海地区重大事项的督办工作；协调组织对园区平台建设、重大项目的督导管理和重要生产要素的平衡衔接；参与负责对沿海地区经济运行情况的动态监测；牵头组织对沿海地区开发建设情况的专项考核工作；承担遵化市沿海地区开放开发领导小组办公室的日常工作；研究提出我市与京津冀协同发展的相关政策建议；协调做好我市相关规划编制和与国家、省、唐山和我市规划的衔接工作；积极争取国家、省、唐山市在体制机制、财税政策、专项资金和招商引资等方面的政策支持；督导协调我市与京津合作重大事项的落实工作；组织参与对重点平台、重大项目和重要生产要素的建设、协调和管理工作；组织开展与京津冀协同发展相关考核工作；组织落实国家、省、唐山市和我市关于推进京津冀协同发展工作的各项决策部署，承担遵化市京津冀协同发展工作领导小组办公室的日常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9、粮食和物资管理科。拟订全市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市粮食和物资储备体系建设及储备规模、品种目录的建议。负责实施市级粮食、食糖、食盐和救灾物资等物资储备的收储、轮换和日常管理。拟订市级粮食和物资储备的管理办法并组织实施，指导全市粮食和物资储备工作。承担全市粮食和物资储备统计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负责粮食流通和物资储备基础设施建设规划及项目管理。拟订市级粮食和物资储备的仓储管理规范和制度并组织实施。组织实施国家、省和唐山市粮食流通和物资储备有关标准、粮食质量标准和有关技术规范并监督执行。指导粮食流通和物资储备的科技创新、技术改造。承担基础设施建设、仓储和科技统计工作。对国家粮食流通和储备政策法规执行情况进行监督检查。拟订全市粮食流通监督检查制度并组织实施，依法组织对重大案件查处和督查督办。负责全市粮食流通的监督检查。负责对市级储备粮食、食糖、食盐和救灾物资等物资的督查检查，对其他本级管理的物资进行监督指导。承担粮食安全责任制考核日常工作。</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机关党委（人事科）。负责机关和直属单位的党群工作。负责局机关和所属单位的干部人事管理、机构编制、教育培训、人才发展、劳动工资和绩效管理等工作。负责机关离退休干部工作，指导直属单位离退休干部工作。</w:t>
      </w:r>
    </w:p>
    <w:p>
      <w:pPr>
        <w:autoSpaceDN w:val="0"/>
        <w:spacing w:line="54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rPr>
        <w:t>遵化市发展和改革局机关行政编制24名。正股级领导职数11名（含机关党委专职副书记1名，市委财经办秘书科科长1名）。</w:t>
      </w:r>
    </w:p>
    <w:p>
      <w:pPr>
        <w:adjustRightInd w:val="0"/>
        <w:snapToGrid w:val="0"/>
        <w:spacing w:line="570" w:lineRule="exact"/>
        <w:ind w:firstLine="633" w:firstLineChars="198"/>
        <w:rPr>
          <w:rFonts w:hint="eastAsia" w:ascii="宋体" w:hAnsi="宋体" w:eastAsia="方正仿宋简体" w:cs="宋体"/>
          <w:sz w:val="32"/>
          <w:szCs w:val="32"/>
        </w:rPr>
      </w:pPr>
    </w:p>
    <w:p>
      <w:pPr>
        <w:adjustRightInd w:val="0"/>
        <w:snapToGrid w:val="0"/>
        <w:spacing w:line="570" w:lineRule="exact"/>
        <w:ind w:firstLine="640" w:firstLineChars="200"/>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本级机构设置情况</w:t>
      </w:r>
    </w:p>
    <w:p>
      <w:pPr>
        <w:adjustRightInd w:val="0"/>
        <w:snapToGrid w:val="0"/>
        <w:spacing w:line="570" w:lineRule="exact"/>
        <w:ind w:firstLine="640" w:firstLineChars="200"/>
        <w:rPr>
          <w:rFonts w:hint="eastAsia" w:ascii="宋体" w:hAnsi="宋体" w:eastAsia="方正仿宋简体" w:cs="方正仿宋简体"/>
          <w:sz w:val="32"/>
          <w:szCs w:val="32"/>
        </w:rPr>
      </w:pP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82"/>
        <w:gridCol w:w="2285"/>
        <w:gridCol w:w="2491"/>
        <w:gridCol w:w="4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tblHeader/>
          <w:jc w:val="center"/>
        </w:trPr>
        <w:tc>
          <w:tcPr>
            <w:tcW w:w="4982" w:type="dxa"/>
            <w:vMerge w:val="restart"/>
            <w:noWrap w:val="0"/>
            <w:vAlign w:val="center"/>
          </w:tcPr>
          <w:p>
            <w:pPr>
              <w:adjustRightInd w:val="0"/>
              <w:snapToGrid w:val="0"/>
              <w:spacing w:line="570" w:lineRule="exact"/>
              <w:ind w:firstLine="200"/>
              <w:jc w:val="center"/>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单位名称</w:t>
            </w:r>
          </w:p>
        </w:tc>
        <w:tc>
          <w:tcPr>
            <w:tcW w:w="2285" w:type="dxa"/>
            <w:vMerge w:val="restart"/>
            <w:noWrap w:val="0"/>
            <w:vAlign w:val="center"/>
          </w:tcPr>
          <w:p>
            <w:pPr>
              <w:adjustRightInd w:val="0"/>
              <w:snapToGrid w:val="0"/>
              <w:spacing w:line="570" w:lineRule="exact"/>
              <w:ind w:firstLine="200"/>
              <w:jc w:val="center"/>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单位性质</w:t>
            </w:r>
          </w:p>
        </w:tc>
        <w:tc>
          <w:tcPr>
            <w:tcW w:w="2491" w:type="dxa"/>
            <w:vMerge w:val="restart"/>
            <w:noWrap w:val="0"/>
            <w:vAlign w:val="center"/>
          </w:tcPr>
          <w:p>
            <w:pPr>
              <w:adjustRightInd w:val="0"/>
              <w:snapToGrid w:val="0"/>
              <w:spacing w:line="570" w:lineRule="exact"/>
              <w:ind w:firstLine="200"/>
              <w:jc w:val="center"/>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单位规格</w:t>
            </w:r>
          </w:p>
        </w:tc>
        <w:tc>
          <w:tcPr>
            <w:tcW w:w="4982" w:type="dxa"/>
            <w:vMerge w:val="restart"/>
            <w:noWrap w:val="0"/>
            <w:vAlign w:val="center"/>
          </w:tcPr>
          <w:p>
            <w:pPr>
              <w:adjustRightInd w:val="0"/>
              <w:snapToGrid w:val="0"/>
              <w:spacing w:line="570" w:lineRule="exact"/>
              <w:jc w:val="center"/>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4982" w:type="dxa"/>
            <w:vMerge w:val="continue"/>
            <w:noWrap w:val="0"/>
            <w:vAlign w:val="center"/>
          </w:tcPr>
          <w:p>
            <w:pPr>
              <w:adjustRightInd w:val="0"/>
              <w:snapToGrid w:val="0"/>
              <w:spacing w:line="570" w:lineRule="exact"/>
              <w:ind w:firstLine="560" w:firstLineChars="200"/>
              <w:jc w:val="center"/>
              <w:rPr>
                <w:rFonts w:hint="eastAsia" w:ascii="方正仿宋简体" w:hAnsi="方正仿宋简体" w:eastAsia="方正仿宋简体" w:cs="方正仿宋简体"/>
                <w:sz w:val="28"/>
                <w:szCs w:val="28"/>
              </w:rPr>
            </w:pPr>
          </w:p>
        </w:tc>
        <w:tc>
          <w:tcPr>
            <w:tcW w:w="2285" w:type="dxa"/>
            <w:vMerge w:val="continue"/>
            <w:noWrap w:val="0"/>
            <w:vAlign w:val="center"/>
          </w:tcPr>
          <w:p>
            <w:pPr>
              <w:adjustRightInd w:val="0"/>
              <w:snapToGrid w:val="0"/>
              <w:spacing w:line="570" w:lineRule="exact"/>
              <w:ind w:firstLine="560" w:firstLineChars="200"/>
              <w:jc w:val="center"/>
              <w:rPr>
                <w:rFonts w:hint="eastAsia" w:ascii="方正仿宋简体" w:hAnsi="方正仿宋简体" w:eastAsia="方正仿宋简体" w:cs="方正仿宋简体"/>
                <w:sz w:val="28"/>
                <w:szCs w:val="28"/>
              </w:rPr>
            </w:pPr>
          </w:p>
        </w:tc>
        <w:tc>
          <w:tcPr>
            <w:tcW w:w="2491" w:type="dxa"/>
            <w:vMerge w:val="continue"/>
            <w:noWrap w:val="0"/>
            <w:vAlign w:val="center"/>
          </w:tcPr>
          <w:p>
            <w:pPr>
              <w:adjustRightInd w:val="0"/>
              <w:snapToGrid w:val="0"/>
              <w:spacing w:line="570" w:lineRule="exact"/>
              <w:ind w:firstLine="560" w:firstLineChars="200"/>
              <w:jc w:val="center"/>
              <w:rPr>
                <w:rFonts w:hint="eastAsia" w:ascii="方正仿宋简体" w:hAnsi="方正仿宋简体" w:eastAsia="方正仿宋简体" w:cs="方正仿宋简体"/>
                <w:sz w:val="28"/>
                <w:szCs w:val="28"/>
              </w:rPr>
            </w:pPr>
          </w:p>
        </w:tc>
        <w:tc>
          <w:tcPr>
            <w:tcW w:w="4982" w:type="dxa"/>
            <w:vMerge w:val="continue"/>
            <w:noWrap w:val="0"/>
            <w:vAlign w:val="center"/>
          </w:tcPr>
          <w:p>
            <w:pPr>
              <w:adjustRightInd w:val="0"/>
              <w:snapToGrid w:val="0"/>
              <w:spacing w:line="570" w:lineRule="exact"/>
              <w:ind w:firstLine="560" w:firstLineChars="200"/>
              <w:jc w:val="cente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exact"/>
          <w:jc w:val="center"/>
        </w:trPr>
        <w:tc>
          <w:tcPr>
            <w:tcW w:w="4982" w:type="dxa"/>
            <w:noWrap w:val="0"/>
            <w:vAlign w:val="center"/>
          </w:tcPr>
          <w:p>
            <w:pPr>
              <w:adjustRightInd w:val="0"/>
              <w:snapToGrid w:val="0"/>
              <w:spacing w:line="570" w:lineRule="exact"/>
              <w:ind w:firstLine="20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遵化市发展和改革局本级</w:t>
            </w:r>
          </w:p>
        </w:tc>
        <w:tc>
          <w:tcPr>
            <w:tcW w:w="2285" w:type="dxa"/>
            <w:noWrap w:val="0"/>
            <w:vAlign w:val="center"/>
          </w:tcPr>
          <w:p>
            <w:pPr>
              <w:adjustRightInd w:val="0"/>
              <w:snapToGrid w:val="0"/>
              <w:spacing w:line="570" w:lineRule="exact"/>
              <w:ind w:firstLine="20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2491" w:type="dxa"/>
            <w:noWrap w:val="0"/>
            <w:vAlign w:val="center"/>
          </w:tcPr>
          <w:p>
            <w:pPr>
              <w:adjustRightInd w:val="0"/>
              <w:snapToGrid w:val="0"/>
              <w:spacing w:line="570" w:lineRule="exact"/>
              <w:ind w:firstLine="20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正科级</w:t>
            </w:r>
          </w:p>
        </w:tc>
        <w:tc>
          <w:tcPr>
            <w:tcW w:w="4982" w:type="dxa"/>
            <w:noWrap w:val="0"/>
            <w:vAlign w:val="center"/>
          </w:tcPr>
          <w:p>
            <w:pPr>
              <w:adjustRightInd w:val="0"/>
              <w:snapToGrid w:val="0"/>
              <w:spacing w:line="570" w:lineRule="exact"/>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w:t>
            </w:r>
          </w:p>
        </w:tc>
      </w:tr>
    </w:tbl>
    <w:p>
      <w:pPr>
        <w:spacing w:line="570" w:lineRule="exact"/>
        <w:ind w:firstLine="200"/>
        <w:rPr>
          <w:rFonts w:hint="eastAsia" w:ascii="宋体" w:hAnsi="宋体" w:eastAsia="仿宋" w:cs="Times New Roman"/>
          <w:sz w:val="32"/>
          <w:szCs w:val="32"/>
        </w:rPr>
      </w:pPr>
    </w:p>
    <w:p>
      <w:pPr>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二、本级预算安排的总体情况</w:t>
      </w:r>
    </w:p>
    <w:p>
      <w:pPr>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按照预算管理有关规定，目前我省本级预算的编制实行综合预算管理，即全部收入和支出都反映在预算中。遵化市发展和改革局本级收支包含在本级预算中。</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1、收入说明</w:t>
      </w:r>
    </w:p>
    <w:p>
      <w:pPr>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反映本本级当年全部收入。2022年预算收入13075.06万元，其中：一般公共预算收入13075.06万元，政府性基金预算收入0万元，国有资本经营预算收入0万元，财政专户管理资金收入0万元，上级补助收入0万元，事业收入0万元，经营收入0万元，附属单位上缴收入0万元，其他收入0万元，上年结转0万元。</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2、支出说明</w:t>
      </w:r>
    </w:p>
    <w:p>
      <w:pPr>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收支预算总表支出栏、基本支出表、项目支出表按经济分类和支出功能分类科目编制，反映遵化市发展和改革局2022年度本级预算中支出预算的总体情况。2022年支出预算13075.06万元，其中基本支出1195.83万元，包括人员经费1132.64万元和日常公用经费63.19万元；项目支出11879.23万元，主要为采暖季洁净煤保供推广采购项目、重点项目建设考核奖励资金项目、11880吨市级储备粮保管轮换费用、8000吨市级储备小麦保管费用补贴和利息补贴等。</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3、比上年增减情况</w:t>
      </w:r>
    </w:p>
    <w:p>
      <w:pPr>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2022年预算收</w:t>
      </w:r>
      <w:r>
        <w:rPr>
          <w:rFonts w:hint="eastAsia" w:ascii="宋体" w:hAnsi="宋体" w:eastAsia="方正仿宋简体" w:cs="方正仿宋简体"/>
          <w:sz w:val="32"/>
          <w:szCs w:val="32"/>
          <w:lang w:val="en-US" w:eastAsia="zh-CN"/>
        </w:rPr>
        <w:t>入</w:t>
      </w:r>
      <w:r>
        <w:rPr>
          <w:rFonts w:hint="eastAsia" w:ascii="宋体" w:hAnsi="宋体" w:eastAsia="方正仿宋简体" w:cs="方正仿宋简体"/>
          <w:sz w:val="32"/>
          <w:szCs w:val="32"/>
        </w:rPr>
        <w:t>安排13075.06万元，较上年预算增加10321.35万元，其中：基本支出减少52.88万元，主要为人员退休，减少工资、保险等支出；项目支出增加10374.23万元，主要是增加了采暖季洁净煤保供推广采购项目、重点项目建设考核奖励资金项目等项目支出。2022年预算支</w:t>
      </w:r>
      <w:r>
        <w:rPr>
          <w:rFonts w:hint="eastAsia" w:ascii="宋体" w:hAnsi="宋体" w:eastAsia="方正仿宋简体" w:cs="方正仿宋简体"/>
          <w:sz w:val="32"/>
          <w:szCs w:val="32"/>
          <w:lang w:val="en-US" w:eastAsia="zh-CN"/>
        </w:rPr>
        <w:t>出</w:t>
      </w:r>
      <w:r>
        <w:rPr>
          <w:rFonts w:hint="eastAsia" w:ascii="宋体" w:hAnsi="宋体" w:eastAsia="方正仿宋简体" w:cs="方正仿宋简体"/>
          <w:sz w:val="32"/>
          <w:szCs w:val="32"/>
        </w:rPr>
        <w:t>安排13075.06万元，较上年预算增加10321.35万元，其中：基本支出减少52.88万元，主要为人员退休，减少工资、保险等支出；项目支出增加10374.23万元，主要是增加了采暖季洁净煤保供推广采购项目、重点项目建设考核奖励资金项目等项目支出。</w:t>
      </w:r>
    </w:p>
    <w:p>
      <w:pPr>
        <w:spacing w:line="560" w:lineRule="exact"/>
        <w:ind w:firstLine="640" w:firstLineChars="200"/>
        <w:jc w:val="left"/>
        <w:rPr>
          <w:rFonts w:hint="eastAsia" w:ascii="宋体" w:hAnsi="宋体" w:eastAsia="方正黑体简体" w:cs="方正黑体简体"/>
          <w:sz w:val="32"/>
          <w:szCs w:val="32"/>
        </w:rPr>
      </w:pPr>
      <w:bookmarkStart w:id="25" w:name="_GoBack"/>
      <w:bookmarkEnd w:id="25"/>
      <w:r>
        <w:rPr>
          <w:rFonts w:hint="eastAsia" w:ascii="宋体" w:hAnsi="宋体" w:eastAsia="方正黑体简体" w:cs="方正黑体简体"/>
          <w:sz w:val="32"/>
          <w:szCs w:val="32"/>
        </w:rPr>
        <w:t>三、机关运行经费安排情况</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2022年，本本级机关运行经费共计安排63.19万元，主要用于日常办公、维修、差旅、水电暖、物业、邮电、印刷、公务交通补贴等日常运行支出。</w:t>
      </w:r>
    </w:p>
    <w:p>
      <w:pPr>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四、财政拨款“三公”经费预算情况及增减变化原因</w:t>
      </w:r>
    </w:p>
    <w:p>
      <w:pPr>
        <w:spacing w:line="570" w:lineRule="exact"/>
        <w:ind w:firstLine="640" w:firstLineChars="200"/>
        <w:jc w:val="both"/>
        <w:rPr>
          <w:rFonts w:hint="eastAsia" w:ascii="宋体" w:hAnsi="宋体" w:eastAsia="方正仿宋简体"/>
          <w:color w:val="000000"/>
          <w:sz w:val="32"/>
          <w:szCs w:val="32"/>
          <w:lang w:eastAsia="zh-CN"/>
        </w:rPr>
      </w:pPr>
      <w:r>
        <w:rPr>
          <w:rFonts w:ascii="宋体" w:hAnsi="宋体" w:eastAsia="方正仿宋简体"/>
          <w:color w:val="000000"/>
          <w:sz w:val="32"/>
          <w:szCs w:val="32"/>
        </w:rPr>
        <w:t>202</w:t>
      </w:r>
      <w:r>
        <w:rPr>
          <w:rFonts w:hint="eastAsia" w:ascii="宋体" w:hAnsi="宋体" w:eastAsia="方正仿宋简体"/>
          <w:color w:val="000000"/>
          <w:sz w:val="32"/>
          <w:szCs w:val="32"/>
          <w:lang w:val="en-US" w:eastAsia="zh-CN"/>
        </w:rPr>
        <w:t>2</w:t>
      </w:r>
      <w:r>
        <w:rPr>
          <w:rFonts w:ascii="宋体" w:hAnsi="宋体" w:eastAsia="方正仿宋简体"/>
          <w:color w:val="000000"/>
          <w:sz w:val="32"/>
          <w:szCs w:val="32"/>
        </w:rPr>
        <w:t>年，</w:t>
      </w:r>
      <w:r>
        <w:rPr>
          <w:rFonts w:hint="eastAsia" w:ascii="宋体" w:hAnsi="宋体" w:eastAsia="方正仿宋简体" w:cs="方正仿宋简体"/>
          <w:color w:val="000000"/>
          <w:sz w:val="32"/>
          <w:szCs w:val="32"/>
        </w:rPr>
        <w:t>本级</w:t>
      </w:r>
      <w:r>
        <w:rPr>
          <w:rFonts w:ascii="宋体" w:hAnsi="宋体" w:eastAsia="方正仿宋简体"/>
          <w:color w:val="000000"/>
          <w:sz w:val="32"/>
          <w:szCs w:val="32"/>
        </w:rPr>
        <w:t>财政拨款“三公”经费预算安排6.41万元，</w:t>
      </w:r>
      <w:r>
        <w:rPr>
          <w:rFonts w:hint="eastAsia" w:ascii="宋体" w:hAnsi="宋体" w:eastAsia="方正仿宋简体"/>
          <w:color w:val="000000"/>
          <w:sz w:val="32"/>
          <w:szCs w:val="32"/>
          <w:lang w:eastAsia="zh-CN"/>
        </w:rPr>
        <w:t>与202</w:t>
      </w:r>
      <w:r>
        <w:rPr>
          <w:rFonts w:hint="eastAsia" w:ascii="宋体" w:hAnsi="宋体" w:eastAsia="方正仿宋简体"/>
          <w:color w:val="000000"/>
          <w:sz w:val="32"/>
          <w:szCs w:val="32"/>
          <w:lang w:val="en-US" w:eastAsia="zh-CN"/>
        </w:rPr>
        <w:t>1</w:t>
      </w:r>
      <w:r>
        <w:rPr>
          <w:rFonts w:hint="eastAsia" w:ascii="宋体" w:hAnsi="宋体" w:eastAsia="方正仿宋简体"/>
          <w:color w:val="000000"/>
          <w:sz w:val="32"/>
          <w:szCs w:val="32"/>
          <w:lang w:eastAsia="zh-CN"/>
        </w:rPr>
        <w:t>年相比持平，无增减变化。具体安排情况为：</w:t>
      </w:r>
    </w:p>
    <w:p>
      <w:pPr>
        <w:spacing w:line="570" w:lineRule="exact"/>
        <w:ind w:firstLine="640" w:firstLineChars="200"/>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（一）</w:t>
      </w:r>
      <w:r>
        <w:rPr>
          <w:rFonts w:ascii="宋体" w:hAnsi="宋体" w:eastAsia="方正仿宋简体"/>
          <w:color w:val="000000"/>
          <w:sz w:val="32"/>
          <w:szCs w:val="32"/>
        </w:rPr>
        <w:t>公务用车购置及运行费</w:t>
      </w:r>
      <w:r>
        <w:rPr>
          <w:rFonts w:hint="eastAsia" w:ascii="宋体" w:hAnsi="宋体" w:eastAsia="方正仿宋简体"/>
          <w:color w:val="000000"/>
          <w:sz w:val="32"/>
          <w:szCs w:val="32"/>
          <w:lang w:eastAsia="zh-CN"/>
        </w:rPr>
        <w:t>。共计安排</w:t>
      </w:r>
      <w:r>
        <w:rPr>
          <w:rFonts w:ascii="宋体" w:hAnsi="宋体" w:eastAsia="方正仿宋简体"/>
          <w:color w:val="000000"/>
          <w:sz w:val="32"/>
          <w:szCs w:val="32"/>
        </w:rPr>
        <w:t>6.15万元，</w:t>
      </w:r>
      <w:r>
        <w:rPr>
          <w:rFonts w:hint="eastAsia" w:ascii="宋体" w:hAnsi="宋体" w:eastAsia="方正仿宋简体"/>
          <w:color w:val="000000"/>
          <w:sz w:val="32"/>
          <w:szCs w:val="32"/>
          <w:lang w:eastAsia="zh-CN"/>
        </w:rPr>
        <w:t>与202</w:t>
      </w:r>
      <w:r>
        <w:rPr>
          <w:rFonts w:hint="eastAsia" w:ascii="宋体" w:hAnsi="宋体" w:eastAsia="方正仿宋简体"/>
          <w:color w:val="000000"/>
          <w:sz w:val="32"/>
          <w:szCs w:val="32"/>
          <w:lang w:val="en-US" w:eastAsia="zh-CN"/>
        </w:rPr>
        <w:t>1</w:t>
      </w:r>
      <w:r>
        <w:rPr>
          <w:rFonts w:hint="eastAsia" w:ascii="宋体" w:hAnsi="宋体" w:eastAsia="方正仿宋简体"/>
          <w:color w:val="000000"/>
          <w:sz w:val="32"/>
          <w:szCs w:val="32"/>
          <w:lang w:eastAsia="zh-CN"/>
        </w:rPr>
        <w:t>年相比持平，无增减变化。其中：（1）公务用车购置费安排0万元，与202</w:t>
      </w:r>
      <w:r>
        <w:rPr>
          <w:rFonts w:hint="eastAsia" w:ascii="宋体" w:hAnsi="宋体" w:eastAsia="方正仿宋简体"/>
          <w:color w:val="000000"/>
          <w:sz w:val="32"/>
          <w:szCs w:val="32"/>
          <w:lang w:val="en-US" w:eastAsia="zh-CN"/>
        </w:rPr>
        <w:t>1</w:t>
      </w:r>
      <w:r>
        <w:rPr>
          <w:rFonts w:hint="eastAsia" w:ascii="宋体" w:hAnsi="宋体" w:eastAsia="方正仿宋简体"/>
          <w:color w:val="000000"/>
          <w:sz w:val="32"/>
          <w:szCs w:val="32"/>
          <w:lang w:eastAsia="zh-CN"/>
        </w:rPr>
        <w:t>年相比持平，无增减变化。（2）公务用车运行维护费6.15万元，与202</w:t>
      </w:r>
      <w:r>
        <w:rPr>
          <w:rFonts w:hint="eastAsia" w:ascii="宋体" w:hAnsi="宋体" w:eastAsia="方正仿宋简体"/>
          <w:color w:val="000000"/>
          <w:sz w:val="32"/>
          <w:szCs w:val="32"/>
          <w:lang w:val="en-US" w:eastAsia="zh-CN"/>
        </w:rPr>
        <w:t>1</w:t>
      </w:r>
      <w:r>
        <w:rPr>
          <w:rFonts w:hint="eastAsia" w:ascii="宋体" w:hAnsi="宋体" w:eastAsia="方正仿宋简体"/>
          <w:color w:val="000000"/>
          <w:sz w:val="32"/>
          <w:szCs w:val="32"/>
          <w:lang w:eastAsia="zh-CN"/>
        </w:rPr>
        <w:t>年相比持平，无增减变化。</w:t>
      </w:r>
      <w:r>
        <w:rPr>
          <w:rFonts w:hint="eastAsia" w:ascii="宋体" w:hAnsi="宋体" w:eastAsia="方正仿宋简体"/>
          <w:color w:val="000000"/>
          <w:sz w:val="32"/>
          <w:szCs w:val="32"/>
          <w:lang w:val="en-US" w:eastAsia="zh-CN"/>
        </w:rPr>
        <w:t>原因</w:t>
      </w:r>
      <w:r>
        <w:rPr>
          <w:rFonts w:ascii="宋体" w:hAnsi="宋体" w:eastAsia="方正仿宋简体"/>
          <w:color w:val="000000"/>
          <w:sz w:val="32"/>
          <w:szCs w:val="32"/>
        </w:rPr>
        <w:t>是</w:t>
      </w:r>
      <w:r>
        <w:rPr>
          <w:rFonts w:hint="eastAsia" w:ascii="宋体" w:hAnsi="宋体" w:eastAsia="方正仿宋简体"/>
          <w:color w:val="000000"/>
          <w:sz w:val="32"/>
          <w:szCs w:val="32"/>
          <w:lang w:eastAsia="zh-CN"/>
        </w:rPr>
        <w:t>车辆运行维护费严格按照统一定额标准，公车数量未发生增减，车辆运行维护费无变化。</w:t>
      </w:r>
    </w:p>
    <w:p>
      <w:pPr>
        <w:spacing w:line="570" w:lineRule="exact"/>
        <w:ind w:firstLine="640" w:firstLineChars="200"/>
        <w:jc w:val="both"/>
        <w:rPr>
          <w:rFonts w:hint="default" w:ascii="宋体" w:hAnsi="宋体" w:eastAsia="方正仿宋简体"/>
          <w:color w:val="000000"/>
          <w:sz w:val="32"/>
          <w:szCs w:val="32"/>
          <w:lang w:val="en-US" w:eastAsia="zh-CN"/>
        </w:rPr>
      </w:pPr>
      <w:r>
        <w:rPr>
          <w:rFonts w:hint="eastAsia" w:ascii="宋体" w:hAnsi="宋体" w:eastAsia="方正仿宋简体"/>
          <w:color w:val="000000"/>
          <w:sz w:val="32"/>
          <w:szCs w:val="32"/>
          <w:lang w:eastAsia="zh-CN"/>
        </w:rPr>
        <w:t>（二）公务接待费。安排</w:t>
      </w:r>
      <w:r>
        <w:rPr>
          <w:rFonts w:ascii="宋体" w:hAnsi="宋体" w:eastAsia="方正仿宋简体"/>
          <w:color w:val="000000"/>
          <w:sz w:val="32"/>
          <w:szCs w:val="32"/>
        </w:rPr>
        <w:t>0.26万元，</w:t>
      </w:r>
      <w:r>
        <w:rPr>
          <w:rFonts w:hint="eastAsia" w:ascii="宋体" w:hAnsi="宋体" w:eastAsia="方正仿宋简体"/>
          <w:color w:val="000000"/>
          <w:sz w:val="32"/>
          <w:szCs w:val="32"/>
          <w:lang w:eastAsia="zh-CN"/>
        </w:rPr>
        <w:t>与202</w:t>
      </w:r>
      <w:r>
        <w:rPr>
          <w:rFonts w:hint="eastAsia" w:ascii="宋体" w:hAnsi="宋体" w:eastAsia="方正仿宋简体"/>
          <w:color w:val="000000"/>
          <w:sz w:val="32"/>
          <w:szCs w:val="32"/>
          <w:lang w:val="en-US" w:eastAsia="zh-CN"/>
        </w:rPr>
        <w:t>1</w:t>
      </w:r>
      <w:r>
        <w:rPr>
          <w:rFonts w:hint="eastAsia" w:ascii="宋体" w:hAnsi="宋体" w:eastAsia="方正仿宋简体"/>
          <w:color w:val="000000"/>
          <w:sz w:val="32"/>
          <w:szCs w:val="32"/>
          <w:lang w:eastAsia="zh-CN"/>
        </w:rPr>
        <w:t>年相比持平，</w:t>
      </w:r>
      <w:r>
        <w:rPr>
          <w:rFonts w:hint="eastAsia" w:ascii="宋体" w:hAnsi="宋体" w:eastAsia="方正仿宋简体"/>
          <w:color w:val="000000"/>
          <w:sz w:val="32"/>
          <w:szCs w:val="32"/>
          <w:lang w:val="en-US" w:eastAsia="zh-CN"/>
        </w:rPr>
        <w:t>原因</w:t>
      </w:r>
      <w:r>
        <w:rPr>
          <w:rFonts w:ascii="宋体" w:hAnsi="宋体" w:eastAsia="方正仿宋简体"/>
          <w:color w:val="000000"/>
          <w:sz w:val="32"/>
          <w:szCs w:val="32"/>
        </w:rPr>
        <w:t>是</w:t>
      </w:r>
      <w:r>
        <w:rPr>
          <w:rFonts w:hint="eastAsia" w:ascii="宋体" w:hAnsi="宋体" w:eastAsia="方正仿宋简体"/>
          <w:color w:val="000000"/>
          <w:sz w:val="32"/>
          <w:szCs w:val="32"/>
          <w:lang w:val="en-US" w:eastAsia="zh-CN"/>
        </w:rPr>
        <w:t>按照统一定额标准计算，</w:t>
      </w:r>
      <w:r>
        <w:rPr>
          <w:rFonts w:hint="eastAsia" w:ascii="宋体" w:hAnsi="宋体" w:eastAsia="方正仿宋简体"/>
          <w:color w:val="000000"/>
          <w:sz w:val="32"/>
          <w:szCs w:val="32"/>
          <w:lang w:eastAsia="zh-CN"/>
        </w:rPr>
        <w:t>无增</w:t>
      </w:r>
      <w:r>
        <w:rPr>
          <w:rFonts w:hint="eastAsia" w:ascii="宋体" w:hAnsi="宋体" w:eastAsia="方正仿宋简体"/>
          <w:color w:val="000000"/>
          <w:sz w:val="32"/>
          <w:szCs w:val="32"/>
          <w:lang w:val="en-US" w:eastAsia="zh-CN"/>
        </w:rPr>
        <w:t>减</w:t>
      </w:r>
      <w:r>
        <w:rPr>
          <w:rFonts w:hint="eastAsia" w:ascii="宋体" w:hAnsi="宋体" w:eastAsia="方正仿宋简体"/>
          <w:color w:val="000000"/>
          <w:sz w:val="32"/>
          <w:szCs w:val="32"/>
          <w:lang w:eastAsia="zh-CN"/>
        </w:rPr>
        <w:t>变化。</w:t>
      </w:r>
    </w:p>
    <w:p>
      <w:pPr>
        <w:spacing w:line="570" w:lineRule="exact"/>
        <w:ind w:firstLine="640" w:firstLineChars="200"/>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（三）</w:t>
      </w:r>
      <w:r>
        <w:rPr>
          <w:rFonts w:ascii="宋体" w:hAnsi="宋体" w:eastAsia="方正仿宋简体"/>
          <w:color w:val="000000"/>
          <w:sz w:val="32"/>
          <w:szCs w:val="32"/>
        </w:rPr>
        <w:t>因公出国（境）费</w:t>
      </w:r>
      <w:r>
        <w:rPr>
          <w:rFonts w:hint="eastAsia" w:ascii="宋体" w:hAnsi="宋体" w:eastAsia="方正仿宋简体"/>
          <w:color w:val="000000"/>
          <w:sz w:val="32"/>
          <w:szCs w:val="32"/>
          <w:lang w:eastAsia="zh-CN"/>
        </w:rPr>
        <w:t>。因公出国（境）安排0人，安排费用0万元，同比上年无增减变化。原因是没有因公出国（境）工作安排，所以未安排因公出国（境）费。</w:t>
      </w:r>
    </w:p>
    <w:p>
      <w:pPr>
        <w:spacing w:line="620" w:lineRule="exact"/>
        <w:ind w:firstLine="640" w:firstLineChars="200"/>
        <w:jc w:val="left"/>
        <w:rPr>
          <w:rFonts w:hint="eastAsia" w:ascii="方正黑体简体" w:hAnsi="方正黑体简体" w:eastAsia="方正黑体简体" w:cs="方正黑体简体"/>
          <w:sz w:val="32"/>
          <w:szCs w:val="32"/>
        </w:rPr>
      </w:pPr>
      <w:bookmarkStart w:id="6" w:name="_Toc68791549"/>
      <w:bookmarkStart w:id="7" w:name="_Toc471398463"/>
      <w:r>
        <w:rPr>
          <w:rFonts w:hint="eastAsia" w:ascii="方正黑体简体" w:hAnsi="方正黑体简体" w:eastAsia="方正黑体简体" w:cs="方正黑体简体"/>
          <w:sz w:val="32"/>
          <w:szCs w:val="32"/>
        </w:rPr>
        <w:t>五、预算绩效信息</w:t>
      </w:r>
      <w:bookmarkEnd w:id="6"/>
    </w:p>
    <w:p>
      <w:pPr>
        <w:spacing w:line="62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本级整体绩效目标</w:t>
      </w:r>
    </w:p>
    <w:p>
      <w:pPr>
        <w:spacing w:line="62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35"/>
        <w:spacing w:line="560" w:lineRule="exact"/>
        <w:jc w:val="both"/>
        <w:rPr>
          <w:rFonts w:hint="eastAsia" w:ascii="方正仿宋简体" w:eastAsia="方正仿宋简体"/>
          <w:sz w:val="32"/>
          <w:szCs w:val="32"/>
        </w:rPr>
      </w:pPr>
      <w:r>
        <w:rPr>
          <w:rFonts w:hint="eastAsia" w:ascii="方正仿宋简体" w:eastAsia="方正仿宋简体"/>
          <w:sz w:val="32"/>
          <w:szCs w:val="32"/>
        </w:rPr>
        <w:t>力促经济社会高质量发展，完成各项指标任务。全面落实项目建设机制，推进项目建设进程。精准谋划项目，把握工作先机，力争研报工作再上新台阶。完善工作制度，继续做好营商环境工作。继续做好节能、资源节约及环境保护各项工作，持续做好洁净煤保供工作，全力打赢蓝天保卫战。科学调整园区规划，加强物流园区建设，力促招商成果落地。培育一批战略性新兴产业企业，持续推进高技术工作。扎实做好粮食各项工作。力保价格平稳，加强群众生活必需品价格的监测和预报预警，严格落实上级收费政策，切实做好价格认定工作。全面加强党的领导，压实党建责任，深度融入中心工作，切实把党的政治优势转化为推动工作发展的动力，为促进各项工作开展提供坚强有力的政治保证。</w:t>
      </w:r>
    </w:p>
    <w:p>
      <w:pPr>
        <w:spacing w:line="570" w:lineRule="exact"/>
        <w:ind w:firstLine="200"/>
        <w:rPr>
          <w:rFonts w:hint="eastAsia" w:ascii="宋体" w:hAnsi="宋体" w:eastAsia="方正仿宋简体"/>
          <w:b/>
          <w:sz w:val="32"/>
          <w:szCs w:val="32"/>
        </w:rPr>
      </w:pPr>
      <w:r>
        <w:rPr>
          <w:rFonts w:hint="eastAsia" w:ascii="宋体" w:hAnsi="宋体" w:eastAsia="方正仿宋简体"/>
          <w:b/>
          <w:sz w:val="32"/>
          <w:szCs w:val="32"/>
        </w:rPr>
        <w:t xml:space="preserve"> </w:t>
      </w:r>
      <w:r>
        <w:rPr>
          <w:rFonts w:hint="eastAsia" w:ascii="方正楷体简体" w:hAnsi="方正楷体简体" w:eastAsia="方正楷体简体" w:cs="方正楷体简体"/>
          <w:sz w:val="32"/>
          <w:szCs w:val="32"/>
        </w:rPr>
        <w:t xml:space="preserve"> （二）分项绩效目标</w:t>
      </w:r>
    </w:p>
    <w:p>
      <w:pPr>
        <w:spacing w:line="560" w:lineRule="exact"/>
        <w:ind w:firstLine="640" w:firstLineChars="200"/>
        <w:rPr>
          <w:rFonts w:hint="eastAsia" w:ascii="宋体" w:hAnsi="宋体" w:eastAsia="方正仿宋简体"/>
          <w:sz w:val="32"/>
          <w:szCs w:val="32"/>
        </w:rPr>
      </w:pPr>
      <w:r>
        <w:rPr>
          <w:rFonts w:hint="eastAsia" w:ascii="宋体" w:hAnsi="宋体" w:eastAsia="方正仿宋简体"/>
          <w:sz w:val="32"/>
          <w:szCs w:val="32"/>
        </w:rPr>
        <w:t>1、做好2022年发改综合业务管理和综合事务管理。</w:t>
      </w:r>
    </w:p>
    <w:p>
      <w:pPr>
        <w:spacing w:line="560" w:lineRule="exact"/>
        <w:ind w:firstLine="640" w:firstLineChars="200"/>
        <w:rPr>
          <w:rFonts w:hint="eastAsia" w:ascii="宋体" w:hAnsi="宋体" w:eastAsia="方正仿宋简体"/>
          <w:sz w:val="32"/>
          <w:szCs w:val="32"/>
        </w:rPr>
      </w:pPr>
      <w:r>
        <w:rPr>
          <w:rFonts w:hint="eastAsia" w:ascii="宋体" w:hAnsi="宋体" w:eastAsia="方正仿宋简体"/>
          <w:sz w:val="32"/>
          <w:szCs w:val="32"/>
        </w:rPr>
        <w:t>绩效目标：全力推动我市高质量发展考核指标工作。</w:t>
      </w:r>
    </w:p>
    <w:p>
      <w:pPr>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绩效指标：地区生产总值增长7%，一般公共预算收入增长8.2%，固定资产投资增长7%以上。</w:t>
      </w:r>
    </w:p>
    <w:p>
      <w:pPr>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2、推进项目建设进程，确保实现全年建设目标。</w:t>
      </w:r>
    </w:p>
    <w:p>
      <w:pPr>
        <w:spacing w:line="560" w:lineRule="exact"/>
        <w:ind w:firstLine="630"/>
        <w:rPr>
          <w:rFonts w:hint="eastAsia" w:ascii="宋体" w:hAnsi="宋体" w:eastAsia="方正仿宋简体"/>
          <w:sz w:val="32"/>
          <w:szCs w:val="32"/>
        </w:rPr>
      </w:pPr>
      <w:r>
        <w:rPr>
          <w:rFonts w:hint="eastAsia" w:ascii="宋体" w:hAnsi="宋体" w:eastAsia="方正仿宋简体"/>
          <w:sz w:val="32"/>
          <w:szCs w:val="32"/>
        </w:rPr>
        <w:t>绩效目标：提高全市项目建设计划的科学性、精准性、指导性，组织好重点项目会议及活动，协调调动全市积极性，加快推进项目落地。</w:t>
      </w:r>
    </w:p>
    <w:p>
      <w:pPr>
        <w:spacing w:line="560" w:lineRule="exact"/>
        <w:ind w:firstLine="630"/>
        <w:rPr>
          <w:rFonts w:hint="eastAsia" w:ascii="宋体" w:hAnsi="宋体" w:eastAsia="方正仿宋简体"/>
          <w:bCs/>
          <w:sz w:val="32"/>
          <w:szCs w:val="32"/>
        </w:rPr>
      </w:pPr>
      <w:r>
        <w:rPr>
          <w:rFonts w:hint="eastAsia" w:ascii="宋体" w:hAnsi="宋体" w:eastAsia="方正仿宋简体"/>
          <w:bCs/>
          <w:sz w:val="32"/>
          <w:szCs w:val="32"/>
        </w:rPr>
        <w:t>绩效指标：力争2022年全年实施重点项目100个以上，完成投资200亿元以上。</w:t>
      </w:r>
    </w:p>
    <w:p>
      <w:pPr>
        <w:adjustRightInd w:val="0"/>
        <w:snapToGrid w:val="0"/>
        <w:spacing w:line="560" w:lineRule="exact"/>
        <w:ind w:firstLine="627" w:firstLineChars="196"/>
        <w:rPr>
          <w:rFonts w:hint="eastAsia" w:ascii="宋体" w:hAnsi="宋体" w:eastAsia="方正仿宋简体"/>
          <w:bCs/>
          <w:sz w:val="32"/>
          <w:szCs w:val="32"/>
        </w:rPr>
      </w:pPr>
      <w:r>
        <w:rPr>
          <w:rFonts w:hint="eastAsia" w:ascii="宋体" w:hAnsi="宋体" w:eastAsia="方正仿宋简体"/>
          <w:sz w:val="32"/>
          <w:szCs w:val="32"/>
        </w:rPr>
        <w:t>3</w:t>
      </w:r>
      <w:r>
        <w:rPr>
          <w:rFonts w:hint="eastAsia" w:ascii="宋体" w:hAnsi="宋体" w:eastAsia="方正仿宋简体"/>
          <w:bCs/>
          <w:sz w:val="32"/>
          <w:szCs w:val="32"/>
        </w:rPr>
        <w:t>、开展粮食流通统计及监督检查工作。</w:t>
      </w:r>
    </w:p>
    <w:p>
      <w:pPr>
        <w:adjustRightInd w:val="0"/>
        <w:snapToGrid w:val="0"/>
        <w:spacing w:line="560" w:lineRule="exact"/>
        <w:ind w:firstLine="627" w:firstLineChars="196"/>
        <w:rPr>
          <w:rFonts w:hint="eastAsia" w:ascii="宋体" w:hAnsi="宋体" w:eastAsia="方正仿宋简体"/>
          <w:sz w:val="32"/>
          <w:szCs w:val="32"/>
        </w:rPr>
      </w:pPr>
      <w:r>
        <w:rPr>
          <w:rFonts w:hint="eastAsia" w:ascii="宋体" w:hAnsi="宋体" w:eastAsia="方正仿宋简体"/>
          <w:bCs/>
          <w:sz w:val="32"/>
          <w:szCs w:val="32"/>
        </w:rPr>
        <w:t>绩效目标：</w:t>
      </w:r>
      <w:r>
        <w:rPr>
          <w:rFonts w:hint="eastAsia" w:ascii="宋体" w:hAnsi="宋体" w:eastAsia="方正仿宋简体"/>
          <w:sz w:val="32"/>
          <w:szCs w:val="32"/>
        </w:rPr>
        <w:t>规范粮食市场秩序，保障粮油安全。</w:t>
      </w:r>
    </w:p>
    <w:p>
      <w:pPr>
        <w:adjustRightInd w:val="0"/>
        <w:snapToGrid w:val="0"/>
        <w:spacing w:line="560" w:lineRule="exact"/>
        <w:ind w:firstLine="640" w:firstLineChars="200"/>
        <w:rPr>
          <w:rFonts w:hint="eastAsia" w:ascii="宋体" w:hAnsi="宋体" w:eastAsia="方正仿宋简体"/>
          <w:color w:val="000000"/>
          <w:sz w:val="32"/>
          <w:szCs w:val="32"/>
        </w:rPr>
      </w:pPr>
      <w:r>
        <w:rPr>
          <w:rFonts w:hint="eastAsia" w:ascii="宋体" w:hAnsi="宋体" w:eastAsia="方正仿宋简体"/>
          <w:bCs/>
          <w:sz w:val="32"/>
          <w:szCs w:val="32"/>
        </w:rPr>
        <w:t>绩效指标：</w:t>
      </w:r>
      <w:r>
        <w:rPr>
          <w:rFonts w:hint="eastAsia" w:ascii="宋体" w:hAnsi="宋体" w:eastAsia="方正仿宋简体"/>
          <w:color w:val="000000"/>
          <w:sz w:val="32"/>
          <w:szCs w:val="32"/>
        </w:rPr>
        <w:t>确保储备粮承储数量真实、质量完好，储存安全。</w:t>
      </w:r>
    </w:p>
    <w:p>
      <w:pPr>
        <w:adjustRightInd w:val="0"/>
        <w:snapToGrid w:val="0"/>
        <w:spacing w:line="560" w:lineRule="exact"/>
        <w:ind w:firstLine="640" w:firstLineChars="200"/>
        <w:rPr>
          <w:rFonts w:hint="eastAsia" w:ascii="宋体" w:hAnsi="宋体" w:eastAsia="方正仿宋简体" w:cs="方正楷体简体"/>
          <w:bCs/>
          <w:color w:val="000000"/>
          <w:sz w:val="32"/>
          <w:szCs w:val="32"/>
        </w:rPr>
      </w:pPr>
      <w:r>
        <w:rPr>
          <w:rFonts w:hint="eastAsia" w:ascii="宋体" w:hAnsi="宋体" w:eastAsia="方正仿宋简体"/>
          <w:sz w:val="32"/>
          <w:szCs w:val="32"/>
        </w:rPr>
        <w:t>4</w:t>
      </w:r>
      <w:r>
        <w:rPr>
          <w:rFonts w:hint="eastAsia" w:ascii="宋体" w:hAnsi="宋体" w:eastAsia="方正仿宋简体"/>
          <w:bCs/>
          <w:sz w:val="32"/>
          <w:szCs w:val="32"/>
        </w:rPr>
        <w:t>、</w:t>
      </w:r>
      <w:r>
        <w:rPr>
          <w:rFonts w:hint="eastAsia" w:ascii="宋体" w:hAnsi="宋体" w:eastAsia="方正仿宋简体" w:cs="仿宋"/>
          <w:color w:val="000000"/>
          <w:sz w:val="32"/>
          <w:szCs w:val="32"/>
        </w:rPr>
        <w:t>加强价格调控，力保价格平稳</w:t>
      </w:r>
      <w:r>
        <w:rPr>
          <w:rFonts w:hint="eastAsia" w:ascii="宋体" w:hAnsi="宋体" w:eastAsia="方正仿宋简体" w:cs="方正仿宋简体"/>
          <w:color w:val="000000"/>
          <w:sz w:val="32"/>
          <w:szCs w:val="32"/>
        </w:rPr>
        <w:t>。</w:t>
      </w:r>
    </w:p>
    <w:p>
      <w:pPr>
        <w:adjustRightInd w:val="0"/>
        <w:snapToGrid w:val="0"/>
        <w:spacing w:line="560" w:lineRule="exact"/>
        <w:ind w:firstLine="640" w:firstLineChars="200"/>
        <w:rPr>
          <w:rFonts w:hint="eastAsia" w:ascii="宋体" w:hAnsi="宋体" w:eastAsia="方正仿宋简体"/>
          <w:color w:val="000000"/>
          <w:sz w:val="32"/>
          <w:szCs w:val="32"/>
        </w:rPr>
      </w:pPr>
      <w:r>
        <w:rPr>
          <w:rFonts w:hint="eastAsia" w:ascii="宋体" w:hAnsi="宋体" w:eastAsia="方正仿宋简体"/>
          <w:bCs/>
          <w:sz w:val="32"/>
          <w:szCs w:val="32"/>
        </w:rPr>
        <w:t>绩效目标：</w:t>
      </w:r>
      <w:r>
        <w:rPr>
          <w:rFonts w:hint="eastAsia" w:ascii="宋体" w:hAnsi="宋体" w:eastAsia="方正仿宋简体"/>
          <w:color w:val="000000"/>
          <w:sz w:val="32"/>
          <w:szCs w:val="32"/>
        </w:rPr>
        <w:t>加强群众生活必需品价格的监测和预报预警。</w:t>
      </w:r>
    </w:p>
    <w:p>
      <w:pPr>
        <w:adjustRightInd w:val="0"/>
        <w:snapToGrid w:val="0"/>
        <w:spacing w:line="560" w:lineRule="exact"/>
        <w:ind w:firstLine="640" w:firstLineChars="200"/>
        <w:rPr>
          <w:rFonts w:hint="eastAsia" w:ascii="宋体" w:hAnsi="宋体" w:eastAsia="方正仿宋简体" w:cs="方正仿宋简体"/>
          <w:color w:val="000000"/>
          <w:sz w:val="32"/>
          <w:szCs w:val="32"/>
        </w:rPr>
      </w:pPr>
      <w:r>
        <w:rPr>
          <w:rFonts w:hint="eastAsia" w:ascii="宋体" w:hAnsi="宋体" w:eastAsia="方正仿宋简体"/>
          <w:bCs/>
          <w:sz w:val="32"/>
          <w:szCs w:val="32"/>
        </w:rPr>
        <w:t>绩效指标：</w:t>
      </w:r>
      <w:r>
        <w:rPr>
          <w:rFonts w:hint="eastAsia" w:ascii="宋体" w:hAnsi="宋体" w:eastAsia="方正仿宋简体" w:cs="方正仿宋简体"/>
          <w:color w:val="000000"/>
          <w:sz w:val="32"/>
          <w:szCs w:val="32"/>
        </w:rPr>
        <w:t xml:space="preserve"> </w:t>
      </w:r>
      <w:r>
        <w:rPr>
          <w:rFonts w:hint="eastAsia" w:ascii="宋体" w:hAnsi="宋体" w:eastAsia="方正仿宋简体"/>
          <w:color w:val="000000"/>
          <w:sz w:val="32"/>
          <w:szCs w:val="32"/>
        </w:rPr>
        <w:t>做好农产品价格成本调查工作，加强价格监测，服务民生。</w:t>
      </w:r>
    </w:p>
    <w:p>
      <w:pPr>
        <w:spacing w:line="560" w:lineRule="exact"/>
        <w:ind w:firstLine="630"/>
        <w:rPr>
          <w:rFonts w:hint="eastAsia" w:ascii="宋体" w:hAnsi="宋体" w:eastAsia="方正仿宋简体"/>
          <w:bCs/>
          <w:sz w:val="32"/>
          <w:szCs w:val="32"/>
        </w:rPr>
      </w:pPr>
      <w:r>
        <w:rPr>
          <w:rFonts w:hint="eastAsia" w:ascii="宋体" w:hAnsi="宋体" w:eastAsia="方正仿宋简体"/>
          <w:sz w:val="32"/>
          <w:szCs w:val="32"/>
        </w:rPr>
        <w:t>5</w:t>
      </w:r>
      <w:r>
        <w:rPr>
          <w:rFonts w:hint="eastAsia" w:ascii="宋体" w:hAnsi="宋体" w:eastAsia="方正仿宋简体"/>
          <w:bCs/>
          <w:sz w:val="32"/>
          <w:szCs w:val="32"/>
        </w:rPr>
        <w:t>、切实做好价格认定工作，提供</w:t>
      </w:r>
      <w:r>
        <w:rPr>
          <w:rFonts w:ascii="宋体" w:hAnsi="宋体" w:eastAsia="方正仿宋简体"/>
          <w:bCs/>
          <w:sz w:val="32"/>
          <w:szCs w:val="32"/>
        </w:rPr>
        <w:t>准确、可靠的</w:t>
      </w:r>
      <w:r>
        <w:rPr>
          <w:rFonts w:hint="eastAsia" w:ascii="宋体" w:hAnsi="宋体" w:eastAsia="方正仿宋简体"/>
          <w:bCs/>
          <w:sz w:val="32"/>
          <w:szCs w:val="32"/>
        </w:rPr>
        <w:t>价格认定结论。</w:t>
      </w:r>
    </w:p>
    <w:p>
      <w:pPr>
        <w:spacing w:line="560" w:lineRule="exact"/>
        <w:ind w:firstLine="630"/>
        <w:rPr>
          <w:rFonts w:hint="eastAsia" w:ascii="宋体" w:hAnsi="宋体" w:eastAsia="方正仿宋简体"/>
          <w:bCs/>
          <w:sz w:val="32"/>
          <w:szCs w:val="32"/>
        </w:rPr>
      </w:pPr>
      <w:r>
        <w:rPr>
          <w:rFonts w:hint="eastAsia" w:ascii="宋体" w:hAnsi="宋体" w:eastAsia="方正仿宋简体"/>
          <w:bCs/>
          <w:sz w:val="32"/>
          <w:szCs w:val="32"/>
        </w:rPr>
        <w:t>绩效目标：</w:t>
      </w:r>
      <w:r>
        <w:rPr>
          <w:rFonts w:ascii="宋体" w:hAnsi="宋体" w:eastAsia="方正仿宋简体"/>
          <w:bCs/>
          <w:sz w:val="32"/>
          <w:szCs w:val="32"/>
        </w:rPr>
        <w:t>遵循依法、公正、科学、效率的原则，扎实做好涉纪检监察、涉刑事案件价格认定工作以及行政事项价格认定工作</w:t>
      </w:r>
      <w:r>
        <w:rPr>
          <w:rFonts w:hint="eastAsia" w:ascii="宋体" w:hAnsi="宋体" w:eastAsia="方正仿宋简体"/>
          <w:bCs/>
          <w:sz w:val="32"/>
          <w:szCs w:val="32"/>
        </w:rPr>
        <w:t>。</w:t>
      </w:r>
    </w:p>
    <w:p>
      <w:pPr>
        <w:spacing w:line="560" w:lineRule="exact"/>
        <w:ind w:firstLine="630"/>
        <w:rPr>
          <w:rFonts w:hint="eastAsia" w:ascii="宋体" w:hAnsi="宋体" w:eastAsia="方正仿宋简体"/>
          <w:bCs/>
          <w:sz w:val="32"/>
          <w:szCs w:val="32"/>
        </w:rPr>
      </w:pPr>
      <w:r>
        <w:rPr>
          <w:rFonts w:hint="eastAsia" w:ascii="宋体" w:hAnsi="宋体" w:eastAsia="方正仿宋简体"/>
          <w:bCs/>
          <w:sz w:val="32"/>
          <w:szCs w:val="32"/>
        </w:rPr>
        <w:t>绩效指标：</w:t>
      </w:r>
      <w:r>
        <w:rPr>
          <w:rFonts w:ascii="宋体" w:hAnsi="宋体" w:eastAsia="方正仿宋简体"/>
          <w:bCs/>
          <w:sz w:val="32"/>
          <w:szCs w:val="32"/>
        </w:rPr>
        <w:t>作出准确、可靠的价格认定结论，为行政工作提供依据，保障司法、行政工作顺利开展。</w:t>
      </w:r>
    </w:p>
    <w:p>
      <w:pPr>
        <w:adjustRightInd w:val="0"/>
        <w:snapToGrid w:val="0"/>
        <w:spacing w:line="560" w:lineRule="exact"/>
        <w:ind w:firstLine="627" w:firstLineChars="196"/>
        <w:rPr>
          <w:rFonts w:hint="eastAsia" w:ascii="宋体" w:hAnsi="宋体" w:eastAsia="方正仿宋简体" w:cs="方正楷体简体"/>
          <w:bCs/>
          <w:color w:val="000000"/>
          <w:sz w:val="32"/>
          <w:szCs w:val="32"/>
        </w:rPr>
      </w:pPr>
      <w:r>
        <w:rPr>
          <w:rFonts w:hint="eastAsia" w:ascii="宋体" w:hAnsi="宋体" w:eastAsia="方正仿宋简体"/>
          <w:sz w:val="32"/>
          <w:szCs w:val="32"/>
        </w:rPr>
        <w:t>6</w:t>
      </w:r>
      <w:r>
        <w:rPr>
          <w:rFonts w:hint="eastAsia" w:ascii="宋体" w:hAnsi="宋体" w:eastAsia="方正仿宋简体"/>
          <w:bCs/>
          <w:sz w:val="32"/>
          <w:szCs w:val="32"/>
        </w:rPr>
        <w:t>、</w:t>
      </w:r>
      <w:r>
        <w:rPr>
          <w:rFonts w:hint="eastAsia" w:ascii="宋体" w:hAnsi="宋体" w:eastAsia="方正仿宋简体" w:cs="方正楷体简体"/>
          <w:bCs/>
          <w:color w:val="000000"/>
          <w:sz w:val="32"/>
          <w:szCs w:val="32"/>
        </w:rPr>
        <w:t>加强生态文明建设，</w:t>
      </w:r>
      <w:r>
        <w:rPr>
          <w:rStyle w:val="32"/>
          <w:rFonts w:hint="eastAsia" w:ascii="宋体" w:hAnsi="宋体" w:eastAsia="方正仿宋简体" w:cs="方正仿宋简体"/>
          <w:bCs/>
          <w:color w:val="000000"/>
          <w:sz w:val="32"/>
          <w:szCs w:val="32"/>
        </w:rPr>
        <w:t>持续做好洁净煤保供工作。</w:t>
      </w:r>
    </w:p>
    <w:p>
      <w:pPr>
        <w:adjustRightInd w:val="0"/>
        <w:snapToGrid w:val="0"/>
        <w:spacing w:line="560" w:lineRule="exact"/>
        <w:ind w:firstLine="627" w:firstLineChars="196"/>
        <w:rPr>
          <w:rFonts w:hint="eastAsia" w:ascii="宋体" w:hAnsi="宋体" w:eastAsia="方正仿宋简体" w:cs="方正楷体简体"/>
          <w:bCs/>
          <w:color w:val="000000"/>
          <w:sz w:val="32"/>
          <w:szCs w:val="32"/>
        </w:rPr>
      </w:pPr>
      <w:r>
        <w:rPr>
          <w:rFonts w:hint="eastAsia" w:ascii="宋体" w:hAnsi="宋体" w:eastAsia="方正仿宋简体"/>
          <w:bCs/>
          <w:sz w:val="32"/>
          <w:szCs w:val="32"/>
        </w:rPr>
        <w:t>绩效目标：</w:t>
      </w:r>
      <w:r>
        <w:rPr>
          <w:rFonts w:ascii="宋体" w:hAnsi="宋体" w:eastAsia="方正仿宋简体" w:cs="方正楷体简体"/>
          <w:bCs/>
          <w:color w:val="000000"/>
          <w:sz w:val="32"/>
          <w:szCs w:val="32"/>
        </w:rPr>
        <w:t>认真贯彻落实洁净煤取暖相关政策精神，畅通煤企供应渠道，高效灵活配送</w:t>
      </w:r>
      <w:r>
        <w:rPr>
          <w:rFonts w:hint="eastAsia" w:ascii="宋体" w:hAnsi="宋体" w:eastAsia="方正仿宋简体" w:cs="方正楷体简体"/>
          <w:bCs/>
          <w:color w:val="000000"/>
          <w:sz w:val="32"/>
          <w:szCs w:val="32"/>
        </w:rPr>
        <w:t>。</w:t>
      </w:r>
    </w:p>
    <w:p>
      <w:pPr>
        <w:adjustRightInd w:val="0"/>
        <w:snapToGrid w:val="0"/>
        <w:spacing w:line="560" w:lineRule="exact"/>
        <w:ind w:firstLine="640" w:firstLineChars="200"/>
        <w:rPr>
          <w:rFonts w:hint="eastAsia" w:ascii="宋体" w:hAnsi="宋体" w:eastAsia="方正仿宋简体" w:cs="方正楷体简体"/>
          <w:bCs/>
          <w:color w:val="000000"/>
          <w:sz w:val="32"/>
          <w:szCs w:val="32"/>
        </w:rPr>
      </w:pPr>
      <w:r>
        <w:rPr>
          <w:rFonts w:hint="eastAsia" w:ascii="宋体" w:hAnsi="宋体" w:eastAsia="方正仿宋简体" w:cs="方正楷体简体"/>
          <w:bCs/>
          <w:color w:val="000000"/>
          <w:sz w:val="32"/>
          <w:szCs w:val="32"/>
        </w:rPr>
        <w:t>绩效指标：做到洁净型煤应供尽供、应保尽保。</w:t>
      </w:r>
    </w:p>
    <w:p>
      <w:pPr>
        <w:adjustRightInd w:val="0"/>
        <w:snapToGrid w:val="0"/>
        <w:spacing w:line="560" w:lineRule="exact"/>
        <w:ind w:firstLine="627" w:firstLineChars="196"/>
        <w:rPr>
          <w:rFonts w:hint="eastAsia" w:ascii="宋体" w:hAnsi="宋体" w:eastAsia="方正仿宋简体" w:cs="方正楷体简体"/>
          <w:bCs/>
          <w:color w:val="000000"/>
          <w:sz w:val="32"/>
          <w:szCs w:val="32"/>
        </w:rPr>
      </w:pPr>
      <w:r>
        <w:rPr>
          <w:rFonts w:hint="eastAsia" w:ascii="宋体" w:hAnsi="宋体" w:eastAsia="方正仿宋简体"/>
          <w:sz w:val="32"/>
          <w:szCs w:val="32"/>
        </w:rPr>
        <w:t>7</w:t>
      </w:r>
      <w:r>
        <w:rPr>
          <w:rFonts w:hint="eastAsia" w:ascii="宋体" w:hAnsi="宋体" w:eastAsia="方正仿宋简体"/>
          <w:bCs/>
          <w:sz w:val="32"/>
          <w:szCs w:val="32"/>
        </w:rPr>
        <w:t>、</w:t>
      </w:r>
      <w:r>
        <w:rPr>
          <w:rFonts w:hint="eastAsia" w:ascii="宋体" w:hAnsi="宋体" w:eastAsia="方正仿宋简体" w:cs="方正楷体简体"/>
          <w:bCs/>
          <w:color w:val="000000"/>
          <w:sz w:val="32"/>
          <w:szCs w:val="32"/>
        </w:rPr>
        <w:t>提升产业功能布局，加强园区建设。</w:t>
      </w:r>
    </w:p>
    <w:p>
      <w:pPr>
        <w:adjustRightInd w:val="0"/>
        <w:snapToGrid w:val="0"/>
        <w:spacing w:line="560" w:lineRule="exact"/>
        <w:ind w:firstLine="627" w:firstLineChars="196"/>
        <w:rPr>
          <w:rFonts w:hint="eastAsia" w:ascii="宋体" w:hAnsi="宋体" w:eastAsia="方正仿宋简体"/>
          <w:bCs/>
          <w:sz w:val="32"/>
          <w:szCs w:val="32"/>
        </w:rPr>
      </w:pPr>
      <w:r>
        <w:rPr>
          <w:rFonts w:hint="eastAsia" w:ascii="宋体" w:hAnsi="宋体" w:eastAsia="方正仿宋简体"/>
          <w:bCs/>
          <w:sz w:val="32"/>
          <w:szCs w:val="32"/>
        </w:rPr>
        <w:t>绩效目标：</w:t>
      </w:r>
      <w:r>
        <w:rPr>
          <w:rFonts w:hint="eastAsia" w:ascii="宋体" w:hAnsi="宋体" w:eastAsia="方正仿宋简体" w:cs="方正仿宋简体"/>
          <w:color w:val="000000"/>
          <w:sz w:val="32"/>
          <w:szCs w:val="32"/>
        </w:rPr>
        <w:t>科学调整园区建设，狠抓园区项目建设。</w:t>
      </w:r>
    </w:p>
    <w:p>
      <w:pPr>
        <w:spacing w:line="560" w:lineRule="exact"/>
        <w:ind w:firstLine="630"/>
        <w:rPr>
          <w:rFonts w:hint="eastAsia" w:ascii="宋体" w:hAnsi="宋体" w:eastAsia="方正仿宋简体"/>
          <w:bCs/>
          <w:sz w:val="32"/>
          <w:szCs w:val="32"/>
        </w:rPr>
      </w:pPr>
      <w:r>
        <w:rPr>
          <w:rFonts w:hint="eastAsia" w:ascii="宋体" w:hAnsi="宋体" w:eastAsia="方正仿宋简体"/>
          <w:bCs/>
          <w:sz w:val="32"/>
          <w:szCs w:val="32"/>
        </w:rPr>
        <w:t>绩效指标：精准抓实项目建设，提升园区发展后劲，</w:t>
      </w:r>
      <w:r>
        <w:rPr>
          <w:rFonts w:hint="eastAsia" w:ascii="宋体" w:hAnsi="宋体" w:eastAsia="方正仿宋简体" w:cs="方正仿宋简体"/>
          <w:color w:val="000000"/>
          <w:sz w:val="32"/>
          <w:szCs w:val="32"/>
        </w:rPr>
        <w:t>力促招商成果落地。</w:t>
      </w:r>
    </w:p>
    <w:p>
      <w:pPr>
        <w:adjustRightInd w:val="0"/>
        <w:snapToGrid w:val="0"/>
        <w:spacing w:line="560" w:lineRule="exact"/>
        <w:ind w:firstLine="640" w:firstLineChars="200"/>
        <w:rPr>
          <w:rFonts w:hint="eastAsia" w:ascii="宋体" w:hAnsi="宋体" w:eastAsia="方正仿宋简体" w:cs="方正楷体简体"/>
          <w:bCs/>
          <w:color w:val="000000"/>
          <w:sz w:val="32"/>
          <w:szCs w:val="32"/>
        </w:rPr>
      </w:pPr>
      <w:r>
        <w:rPr>
          <w:rFonts w:hint="eastAsia" w:ascii="宋体" w:hAnsi="宋体" w:eastAsia="方正仿宋简体"/>
          <w:sz w:val="32"/>
          <w:szCs w:val="32"/>
        </w:rPr>
        <w:t>8</w:t>
      </w:r>
      <w:r>
        <w:rPr>
          <w:rFonts w:hint="eastAsia" w:ascii="宋体" w:hAnsi="宋体" w:eastAsia="方正仿宋简体"/>
          <w:bCs/>
          <w:sz w:val="32"/>
          <w:szCs w:val="32"/>
        </w:rPr>
        <w:t>、</w:t>
      </w:r>
      <w:r>
        <w:rPr>
          <w:rFonts w:hint="eastAsia" w:ascii="宋体" w:hAnsi="宋体" w:eastAsia="方正仿宋简体"/>
          <w:color w:val="000000"/>
          <w:sz w:val="32"/>
          <w:szCs w:val="32"/>
        </w:rPr>
        <w:t>持续抓好党建工作。</w:t>
      </w:r>
    </w:p>
    <w:p>
      <w:pPr>
        <w:adjustRightInd w:val="0"/>
        <w:snapToGrid w:val="0"/>
        <w:spacing w:line="560" w:lineRule="exact"/>
        <w:ind w:firstLine="640" w:firstLineChars="200"/>
        <w:rPr>
          <w:rFonts w:hint="eastAsia" w:ascii="宋体" w:hAnsi="宋体" w:eastAsia="方正仿宋简体"/>
          <w:color w:val="000000"/>
          <w:sz w:val="32"/>
          <w:szCs w:val="32"/>
        </w:rPr>
      </w:pPr>
      <w:r>
        <w:rPr>
          <w:rFonts w:hint="eastAsia" w:ascii="宋体" w:hAnsi="宋体" w:eastAsia="方正仿宋简体"/>
          <w:bCs/>
          <w:sz w:val="32"/>
          <w:szCs w:val="32"/>
        </w:rPr>
        <w:t>绩效目标：</w:t>
      </w:r>
      <w:r>
        <w:rPr>
          <w:rFonts w:hint="eastAsia" w:ascii="宋体" w:hAnsi="宋体" w:eastAsia="方正仿宋简体"/>
          <w:color w:val="000000"/>
          <w:sz w:val="32"/>
          <w:szCs w:val="32"/>
        </w:rPr>
        <w:t>全面加强党的领导，压实党建责任，深度融入中心工作。</w:t>
      </w:r>
    </w:p>
    <w:p>
      <w:pPr>
        <w:adjustRightInd w:val="0"/>
        <w:snapToGrid w:val="0"/>
        <w:spacing w:line="560" w:lineRule="exact"/>
        <w:ind w:firstLine="640" w:firstLineChars="200"/>
        <w:rPr>
          <w:rFonts w:hint="eastAsia" w:ascii="宋体" w:hAnsi="宋体" w:eastAsia="方正仿宋简体" w:cs="方正仿宋简体"/>
          <w:color w:val="000000"/>
          <w:sz w:val="32"/>
          <w:szCs w:val="32"/>
        </w:rPr>
      </w:pPr>
      <w:r>
        <w:rPr>
          <w:rFonts w:hint="eastAsia" w:ascii="宋体" w:hAnsi="宋体" w:eastAsia="方正仿宋简体"/>
          <w:bCs/>
          <w:sz w:val="32"/>
          <w:szCs w:val="32"/>
        </w:rPr>
        <w:t>绩效指标：</w:t>
      </w:r>
      <w:r>
        <w:rPr>
          <w:rFonts w:hint="eastAsia" w:ascii="宋体" w:hAnsi="宋体" w:eastAsia="方正仿宋简体"/>
          <w:color w:val="000000"/>
          <w:sz w:val="32"/>
          <w:szCs w:val="32"/>
        </w:rPr>
        <w:t>切实把党的政治优势转化为推动工作发展的动力，为促进各项工作开展提供坚强有力的政治保证。</w:t>
      </w:r>
    </w:p>
    <w:p>
      <w:pPr>
        <w:adjustRightInd w:val="0"/>
        <w:snapToGrid w:val="0"/>
        <w:spacing w:line="570" w:lineRule="exact"/>
        <w:ind w:firstLine="640" w:firstLineChars="200"/>
        <w:rPr>
          <w:rFonts w:hint="eastAsia" w:ascii="宋体" w:hAnsi="宋体" w:eastAsia="方正仿宋简体" w:cs="方正仿宋简体"/>
          <w:color w:val="000000"/>
          <w:sz w:val="32"/>
          <w:szCs w:val="32"/>
        </w:rPr>
      </w:pPr>
      <w:r>
        <w:rPr>
          <w:rFonts w:hint="eastAsia" w:ascii="方正楷体简体" w:hAnsi="宋体" w:eastAsia="方正楷体简体"/>
          <w:color w:val="000000"/>
          <w:sz w:val="32"/>
          <w:szCs w:val="32"/>
        </w:rPr>
        <w:t>（三）工作保障措施</w:t>
      </w:r>
    </w:p>
    <w:p>
      <w:pPr>
        <w:pStyle w:val="36"/>
        <w:spacing w:line="560" w:lineRule="exact"/>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1、按照“三个一”的工作标准，重点关注固投、一般公财、第三产业增加值等指标，加强调度、硬化措施，加大对项目入库工作的督导力度，同时配合统计局辅助督导佐证材料准备，持续充盈项目库，确保后续固投增长持续有力。强化政策收集，强化政策分析，及时研判政策导向，分析解读政策文件，精准筛选申报项目，确保申报质量。抓谋划储备，筑实争资基础，精准筛选谋划一批高质量项目。协调落实争资项目开工要素，保证项目按计划开工建设，确保资金下得来，接的住，在使用过程中不出问题。</w:t>
      </w:r>
    </w:p>
    <w:p>
      <w:pPr>
        <w:pStyle w:val="36"/>
        <w:spacing w:line="560" w:lineRule="exact"/>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2、全面落实项目建设机制，开展好大比武擂台赛活动，做好省市重点项目计划中期调整申报和本级重点项目中期调整工作，强化台帐管理,超前谋划，精心筹备，周密组织好唐山市及本级重点项目观摩和集中开工活动，确保最佳活动效果。</w:t>
      </w:r>
    </w:p>
    <w:p>
      <w:pPr>
        <w:pStyle w:val="36"/>
        <w:spacing w:line="560" w:lineRule="exact"/>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3、开展社会粮情调查，完善粮食市场流通统计工作，做好粮食流通统计报表各项相关工作。做好粮食安全责任制考核工作，认真开展粮食监督检查工作，重点督导企业积极推进我市粮食系统安全风险辨识管控和隐患排查治理双重预防机制建设。</w:t>
      </w:r>
    </w:p>
    <w:p>
      <w:pPr>
        <w:pStyle w:val="36"/>
        <w:spacing w:line="560" w:lineRule="exact"/>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4、加强群众生活必需品价格的监测和预报预警，严格落实上级收费政策，为我市优化营商环境提供保障。</w:t>
      </w:r>
    </w:p>
    <w:p>
      <w:pPr>
        <w:pStyle w:val="36"/>
        <w:spacing w:line="560" w:lineRule="exact"/>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5、切实开展价格认定综合业务平台推广应用建设，主动担当作为，积极参加省、市价格认定中心价格认定综合业务平台推广应用网络培训，熟悉平台运行流程，掌握操作要领，着力提高价格认定人员的实操能力。</w:t>
      </w:r>
    </w:p>
    <w:p>
      <w:pPr>
        <w:pStyle w:val="36"/>
        <w:spacing w:line="560" w:lineRule="exact"/>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6、根据实际，强化洁净型煤生产配送体系建设，加强组织协调，督导煤企畅通供应渠道，及时进行储备，开展高效灵活配送；督导建成区内相关乡镇街道落实保供任务，加强宣传力度，严格按照方案要求执行配送程序，做到洁净型煤应供尽供、应保尽保。</w:t>
      </w:r>
    </w:p>
    <w:p>
      <w:pPr>
        <w:pStyle w:val="36"/>
        <w:spacing w:line="560" w:lineRule="exact"/>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7、精准抓实项目建设，提升园区发展后劲。紧紧围绕项目建设、园区建设，从规划—建设—管理入手，以基础设施建设为重点，不断提升项目承载力，一批大项目、好项目入驻园区。</w:t>
      </w:r>
    </w:p>
    <w:p>
      <w:pPr>
        <w:pStyle w:val="36"/>
        <w:spacing w:line="560" w:lineRule="exact"/>
        <w:jc w:val="both"/>
        <w:rPr>
          <w:rFonts w:hint="eastAsia"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8、结合学习教育和分管工作，查自身存在问题短板、剖产生问题内部根源、定整改问题具体措施，强化问题导向。</w:t>
      </w:r>
    </w:p>
    <w:p>
      <w:pPr>
        <w:spacing w:line="560" w:lineRule="exact"/>
        <w:ind w:firstLine="630"/>
        <w:rPr>
          <w:rFonts w:hint="eastAsia" w:ascii="宋体" w:hAnsi="宋体" w:eastAsia="方正仿宋简体"/>
          <w:color w:val="000000"/>
          <w:sz w:val="32"/>
          <w:szCs w:val="32"/>
        </w:rPr>
      </w:pPr>
      <w:r>
        <w:rPr>
          <w:rFonts w:hint="eastAsia" w:ascii="宋体" w:hAnsi="宋体" w:eastAsia="方正仿宋简体"/>
          <w:color w:val="000000"/>
          <w:sz w:val="32"/>
          <w:szCs w:val="32"/>
        </w:rPr>
        <w:t>完善制度建设。制定完善预算绩效管理制度、资金管理办法、工作保障制度等，为全年预算绩效目标的实现奠定制度基础。</w:t>
      </w:r>
    </w:p>
    <w:p>
      <w:pPr>
        <w:spacing w:line="560" w:lineRule="exact"/>
        <w:ind w:firstLine="630"/>
        <w:rPr>
          <w:rFonts w:hint="eastAsia" w:ascii="宋体" w:hAnsi="宋体" w:eastAsia="方正仿宋简体"/>
          <w:color w:val="000000"/>
          <w:sz w:val="32"/>
          <w:szCs w:val="32"/>
        </w:rPr>
      </w:pPr>
      <w:r>
        <w:rPr>
          <w:rFonts w:hint="eastAsia" w:ascii="宋体" w:hAnsi="宋体" w:eastAsia="方正仿宋简体"/>
          <w:color w:val="000000"/>
          <w:sz w:val="32"/>
          <w:szCs w:val="32"/>
        </w:rPr>
        <w:t>加强支出管理。采取优化支出结构、编细编实预算、加快履行政府采购手续、尽快启动项目、及时支付资金、6月底前细化代编预算、按规定及时下达资金等多种措施，确保支出进度达标。</w:t>
      </w:r>
    </w:p>
    <w:p>
      <w:pPr>
        <w:spacing w:line="560" w:lineRule="exact"/>
        <w:ind w:firstLine="630"/>
        <w:rPr>
          <w:rFonts w:hint="eastAsia" w:ascii="宋体" w:hAnsi="宋体" w:eastAsia="方正仿宋简体"/>
          <w:color w:val="000000"/>
          <w:sz w:val="32"/>
          <w:szCs w:val="32"/>
        </w:rPr>
      </w:pPr>
      <w:r>
        <w:rPr>
          <w:rFonts w:hint="eastAsia" w:ascii="宋体" w:hAnsi="宋体" w:eastAsia="方正仿宋简体"/>
          <w:color w:val="000000"/>
          <w:sz w:val="32"/>
          <w:szCs w:val="32"/>
        </w:rPr>
        <w:t>加强绩效运行监控。按要求开展绩效运行监控，发现问题及时采取措施，确保绩效目标如期保质实现。</w:t>
      </w:r>
    </w:p>
    <w:p>
      <w:pPr>
        <w:spacing w:line="560" w:lineRule="exact"/>
        <w:ind w:firstLine="630"/>
        <w:rPr>
          <w:rFonts w:hint="eastAsia" w:ascii="宋体" w:hAnsi="宋体" w:eastAsia="方正仿宋简体"/>
          <w:color w:val="000000"/>
          <w:sz w:val="32"/>
          <w:szCs w:val="32"/>
        </w:rPr>
      </w:pPr>
      <w:r>
        <w:rPr>
          <w:rFonts w:hint="eastAsia" w:ascii="宋体" w:hAnsi="宋体" w:eastAsia="方正仿宋简体"/>
          <w:color w:val="000000"/>
          <w:sz w:val="32"/>
          <w:szCs w:val="32"/>
        </w:rPr>
        <w:t>做好绩效自评。按要求开展上年度本级预算绩效自评和重点评价工作，对评价中发现的问题及时整改，调整优化支出结构，提高财政资金使用效益。</w:t>
      </w:r>
    </w:p>
    <w:p>
      <w:pPr>
        <w:spacing w:line="560" w:lineRule="exact"/>
        <w:ind w:firstLine="630"/>
        <w:rPr>
          <w:rFonts w:hint="eastAsia" w:ascii="宋体" w:hAnsi="宋体" w:eastAsia="方正仿宋简体"/>
          <w:color w:val="000000"/>
          <w:sz w:val="32"/>
          <w:szCs w:val="32"/>
        </w:rPr>
      </w:pPr>
      <w:r>
        <w:rPr>
          <w:rFonts w:hint="eastAsia" w:ascii="宋体" w:hAnsi="宋体" w:eastAsia="方正仿宋简体"/>
          <w:color w:val="000000"/>
          <w:sz w:val="32"/>
          <w:szCs w:val="32"/>
        </w:rPr>
        <w:t>规范财务资产管理。完善财务管理制度，严格审批程序，加强固定资产登记、使用和报废处置管理，做到支出合理，物尽其用。</w:t>
      </w:r>
    </w:p>
    <w:p>
      <w:pPr>
        <w:spacing w:line="560" w:lineRule="exact"/>
        <w:ind w:firstLine="630"/>
        <w:rPr>
          <w:rFonts w:hint="eastAsia" w:ascii="宋体" w:hAnsi="宋体" w:eastAsia="方正仿宋简体"/>
          <w:color w:val="000000"/>
          <w:sz w:val="32"/>
          <w:szCs w:val="32"/>
        </w:rPr>
      </w:pPr>
      <w:r>
        <w:rPr>
          <w:rFonts w:hint="eastAsia" w:ascii="宋体" w:hAnsi="宋体" w:eastAsia="方正仿宋简体"/>
          <w:color w:val="00000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630"/>
        <w:rPr>
          <w:rFonts w:hint="eastAsia" w:ascii="宋体" w:hAnsi="宋体" w:eastAsia="方正仿宋简体"/>
          <w:color w:val="000000"/>
          <w:sz w:val="32"/>
          <w:szCs w:val="32"/>
        </w:rPr>
      </w:pPr>
      <w:r>
        <w:rPr>
          <w:rFonts w:hint="eastAsia" w:ascii="宋体" w:hAnsi="宋体" w:eastAsia="方正仿宋简体"/>
          <w:color w:val="000000"/>
          <w:sz w:val="32"/>
          <w:szCs w:val="32"/>
        </w:rPr>
        <w:t>加强宣传培训调研等。加强人员培训，提高本本级职工业务素质；加强调研，提出优化财政资金配置、提高资金使用效益的意见；加大宣传力度，强化预算绩效管理意识，促进预算绩效管理水平进一步提升。</w:t>
      </w:r>
    </w:p>
    <w:p>
      <w:pPr>
        <w:spacing w:line="400" w:lineRule="exact"/>
        <w:ind w:firstLine="482" w:firstLineChars="150"/>
        <w:jc w:val="left"/>
        <w:rPr>
          <w:rFonts w:hint="eastAsia" w:ascii="方正黑体简体" w:hAnsi="黑体" w:eastAsia="方正黑体简体" w:cs="方正仿宋_GBK"/>
          <w:b/>
          <w:sz w:val="32"/>
          <w:szCs w:val="32"/>
        </w:rPr>
      </w:pPr>
    </w:p>
    <w:p>
      <w:pPr>
        <w:spacing w:line="62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预算项目绩效目标</w:t>
      </w:r>
    </w:p>
    <w:p>
      <w:pPr>
        <w:spacing w:line="400" w:lineRule="exact"/>
        <w:ind w:firstLine="482" w:firstLineChars="150"/>
        <w:jc w:val="left"/>
        <w:rPr>
          <w:rFonts w:hint="eastAsia" w:ascii="方正黑体简体" w:hAnsi="黑体" w:eastAsia="方正黑体简体" w:cs="方正仿宋_GBK"/>
          <w:b/>
          <w:sz w:val="32"/>
          <w:szCs w:val="32"/>
        </w:rPr>
      </w:pPr>
    </w:p>
    <w:p>
      <w:pPr>
        <w:spacing w:line="400" w:lineRule="exact"/>
        <w:ind w:firstLine="482" w:firstLineChars="150"/>
        <w:jc w:val="left"/>
        <w:rPr>
          <w:rFonts w:hint="eastAsia" w:ascii="方正黑体简体" w:hAnsi="黑体" w:eastAsia="方正黑体简体" w:cs="方正仿宋_GBK"/>
          <w:b/>
          <w:sz w:val="32"/>
          <w:szCs w:val="32"/>
        </w:rPr>
      </w:pPr>
    </w:p>
    <w:p>
      <w:pPr>
        <w:outlineLvl w:val="3"/>
        <w:rPr>
          <w:rFonts w:ascii="方正仿宋_GBK" w:hAnsi="方正仿宋_GBK" w:eastAsia="方正仿宋_GBK" w:cs="方正仿宋_GBK"/>
          <w:color w:val="000000"/>
          <w:sz w:val="28"/>
        </w:rPr>
      </w:pPr>
      <w:bookmarkStart w:id="8" w:name="_Toc_4_4_0000000004"/>
    </w:p>
    <w:p>
      <w:pPr>
        <w:outlineLvl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1.发改局综合业务经费绩效目标表</w:t>
      </w:r>
      <w:bookmarkEnd w:id="8"/>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0"/>
        <w:gridCol w:w="2175"/>
        <w:gridCol w:w="1680"/>
        <w:gridCol w:w="2734"/>
        <w:gridCol w:w="2040"/>
        <w:gridCol w:w="790"/>
        <w:gridCol w:w="32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9"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3241"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855"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13028122P00312310001R</w:t>
            </w:r>
          </w:p>
        </w:tc>
        <w:tc>
          <w:tcPr>
            <w:tcW w:w="273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071"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发改局综合业务经费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7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6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32.00</w:t>
            </w:r>
          </w:p>
        </w:tc>
        <w:tc>
          <w:tcPr>
            <w:tcW w:w="273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20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32.00</w:t>
            </w:r>
          </w:p>
        </w:tc>
        <w:tc>
          <w:tcPr>
            <w:tcW w:w="79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324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continue"/>
            <w:noWrap w:val="0"/>
            <w:vAlign w:val="top"/>
          </w:tcPr>
          <w:p>
            <w:pPr>
              <w:rPr>
                <w:rFonts w:hint="eastAsia" w:ascii="方正仿宋简体" w:hAnsi="方正仿宋简体" w:eastAsia="方正仿宋简体" w:cs="方正仿宋简体"/>
              </w:rPr>
            </w:pPr>
          </w:p>
        </w:tc>
        <w:tc>
          <w:tcPr>
            <w:tcW w:w="12660"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发挥好协调职能，牵头做好相关工作的协调调度，为领导决策提供依据，确保全市国民经济平稳较快发展。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855"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73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04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4031"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continue"/>
            <w:noWrap w:val="0"/>
            <w:vAlign w:val="top"/>
          </w:tcPr>
          <w:p>
            <w:pPr>
              <w:rPr>
                <w:rFonts w:hint="eastAsia" w:ascii="方正仿宋简体" w:hAnsi="方正仿宋简体" w:eastAsia="方正仿宋简体" w:cs="方正仿宋简体"/>
              </w:rPr>
            </w:pPr>
          </w:p>
        </w:tc>
        <w:tc>
          <w:tcPr>
            <w:tcW w:w="3855"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734"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204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031"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660"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1.发挥好协调职能，牵头做好相关工作的协调调度，为领导决策提供依据，确保全市国民经济平稳较快发展。</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2.充分发挥参谋助手作用，促进我市经济社会高质量发展。</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0"/>
        <w:gridCol w:w="1425"/>
        <w:gridCol w:w="1845"/>
        <w:gridCol w:w="3225"/>
        <w:gridCol w:w="1200"/>
        <w:gridCol w:w="4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8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4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84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2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0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496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综合业务管理工作完成率</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各项综合业务工作任务完成情况占各项综合业务工作任务的比例 </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continue"/>
            <w:noWrap w:val="0"/>
            <w:vAlign w:val="center"/>
          </w:tcPr>
          <w:p>
            <w:pPr>
              <w:rPr>
                <w:rFonts w:hint="eastAsia" w:ascii="方正仿宋简体" w:hAnsi="方正仿宋简体" w:eastAsia="方正仿宋简体" w:cs="方正仿宋简体"/>
              </w:rPr>
            </w:pP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全年工作任务达标率</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全年工作任务达到预期质量目标情况</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continue"/>
            <w:noWrap w:val="0"/>
            <w:vAlign w:val="center"/>
          </w:tcPr>
          <w:p>
            <w:pPr>
              <w:rPr>
                <w:rFonts w:hint="eastAsia" w:ascii="方正仿宋简体" w:hAnsi="方正仿宋简体" w:eastAsia="方正仿宋简体" w:cs="方正仿宋简体"/>
              </w:rPr>
            </w:pP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报销时效性</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按照审批程序及时报销</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continue"/>
            <w:noWrap w:val="0"/>
            <w:vAlign w:val="center"/>
          </w:tcPr>
          <w:p>
            <w:pPr>
              <w:rPr>
                <w:rFonts w:hint="eastAsia" w:ascii="方正仿宋简体" w:hAnsi="方正仿宋简体" w:eastAsia="方正仿宋简体" w:cs="方正仿宋简体"/>
              </w:rPr>
            </w:pP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节约项目开支</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践行厉行节约反对浪费制度体系建设</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continue"/>
            <w:noWrap w:val="0"/>
            <w:vAlign w:val="center"/>
          </w:tcPr>
          <w:p>
            <w:pPr>
              <w:rPr>
                <w:rFonts w:hint="eastAsia" w:ascii="方正仿宋简体" w:hAnsi="方正仿宋简体" w:eastAsia="方正仿宋简体" w:cs="方正仿宋简体"/>
              </w:rPr>
            </w:pP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业务保障率</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有效保障相关业务、工作等开展的业务次数占总业务量的比率</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continue"/>
            <w:noWrap w:val="0"/>
            <w:vAlign w:val="center"/>
          </w:tcPr>
          <w:p>
            <w:pPr>
              <w:rPr>
                <w:rFonts w:hint="eastAsia" w:ascii="方正仿宋简体" w:hAnsi="方正仿宋简体" w:eastAsia="方正仿宋简体" w:cs="方正仿宋简体"/>
              </w:rPr>
            </w:pP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工作环境改善程度</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对工作环境的改善程度</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vMerge w:val="continue"/>
            <w:noWrap w:val="0"/>
            <w:vAlign w:val="center"/>
          </w:tcPr>
          <w:p>
            <w:pPr>
              <w:rPr>
                <w:rFonts w:hint="eastAsia" w:ascii="方正仿宋简体" w:hAnsi="方正仿宋简体" w:eastAsia="方正仿宋简体" w:cs="方正仿宋简体"/>
              </w:rPr>
            </w:pP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提高发改领域服务保障能力</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有利于业务开展，提高服务保障能力</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4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32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受益群体调查中，满意和较满意的人数占全部调查人数的比率</w:t>
            </w:r>
          </w:p>
        </w:tc>
        <w:tc>
          <w:tcPr>
            <w:tcW w:w="12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bl>
    <w:p>
      <w:pPr>
        <w:rPr>
          <w:rFonts w:hint="eastAsia" w:ascii="方正仿宋简体" w:hAnsi="方正仿宋简体" w:eastAsia="方正仿宋简体" w:cs="方正仿宋简体"/>
        </w:rPr>
        <w:sectPr>
          <w:pgSz w:w="16840" w:h="11900" w:orient="landscape"/>
          <w:pgMar w:top="1304" w:right="1405" w:bottom="1304" w:left="1575" w:header="720" w:footer="720" w:gutter="0"/>
          <w:cols w:space="720" w:num="1"/>
        </w:sectPr>
      </w:pPr>
    </w:p>
    <w:p>
      <w:pPr>
        <w:ind w:firstLine="560"/>
        <w:outlineLvl w:val="3"/>
        <w:rPr>
          <w:rFonts w:hint="eastAsia" w:ascii="方正仿宋简体" w:hAnsi="方正仿宋简体" w:eastAsia="方正仿宋简体" w:cs="方正仿宋简体"/>
        </w:rPr>
      </w:pPr>
      <w:bookmarkStart w:id="9" w:name="_Toc_4_4_0000000005"/>
      <w:r>
        <w:rPr>
          <w:rFonts w:hint="eastAsia" w:ascii="方正仿宋简体" w:hAnsi="方正仿宋简体" w:eastAsia="方正仿宋简体" w:cs="方正仿宋简体"/>
          <w:color w:val="000000"/>
          <w:sz w:val="28"/>
        </w:rPr>
        <w:t>2.11880吨市级储备粮保管、轮换费用绩效目标表</w:t>
      </w:r>
      <w:bookmarkEnd w:id="9"/>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7"/>
        <w:gridCol w:w="3269"/>
        <w:gridCol w:w="1845"/>
        <w:gridCol w:w="2461"/>
        <w:gridCol w:w="1396"/>
        <w:gridCol w:w="1366"/>
        <w:gridCol w:w="20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84"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056"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5114"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13028122P003140100017</w:t>
            </w:r>
          </w:p>
        </w:tc>
        <w:tc>
          <w:tcPr>
            <w:tcW w:w="246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818"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11880吨市级储备粮保管、轮换费用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7"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326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8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311.00</w:t>
            </w:r>
          </w:p>
        </w:tc>
        <w:tc>
          <w:tcPr>
            <w:tcW w:w="246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9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311.00</w:t>
            </w:r>
          </w:p>
        </w:tc>
        <w:tc>
          <w:tcPr>
            <w:tcW w:w="136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0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7" w:type="dxa"/>
            <w:vMerge w:val="continue"/>
            <w:noWrap w:val="0"/>
            <w:vAlign w:val="top"/>
          </w:tcPr>
          <w:p>
            <w:pPr>
              <w:rPr>
                <w:rFonts w:hint="eastAsia" w:ascii="方正仿宋简体" w:hAnsi="方正仿宋简体" w:eastAsia="方正仿宋简体" w:cs="方正仿宋简体"/>
              </w:rPr>
            </w:pPr>
          </w:p>
        </w:tc>
        <w:tc>
          <w:tcPr>
            <w:tcW w:w="12393"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用于11880吨市级储备粮保管、轮换费用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7"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5114"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46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9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22"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7" w:type="dxa"/>
            <w:vMerge w:val="continue"/>
            <w:noWrap w:val="0"/>
            <w:vAlign w:val="top"/>
          </w:tcPr>
          <w:p>
            <w:pPr>
              <w:rPr>
                <w:rFonts w:hint="eastAsia" w:ascii="方正仿宋简体" w:hAnsi="方正仿宋简体" w:eastAsia="方正仿宋简体" w:cs="方正仿宋简体"/>
              </w:rPr>
            </w:pPr>
          </w:p>
        </w:tc>
        <w:tc>
          <w:tcPr>
            <w:tcW w:w="5114"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461"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9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422"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393"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1.增加我市市级储备粮11880吨，确保我市粮食市场供应，维护正常的社会秩序和社会稳定。</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2.确保我市储备粮储存安全，确保储备粮储的进、管得好、调的动，用的上，确保粮食库存数量真实，质量良好。</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5"/>
        <w:gridCol w:w="1530"/>
        <w:gridCol w:w="1905"/>
        <w:gridCol w:w="2850"/>
        <w:gridCol w:w="1560"/>
        <w:gridCol w:w="4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53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90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5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56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454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储备物资数量</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储备物资实际库存数量与计划应存数量相符</w:t>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11880吨</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continue"/>
            <w:noWrap w:val="0"/>
            <w:vAlign w:val="center"/>
          </w:tcPr>
          <w:p>
            <w:pPr>
              <w:rPr>
                <w:rFonts w:hint="eastAsia" w:ascii="方正仿宋简体" w:hAnsi="方正仿宋简体" w:eastAsia="方正仿宋简体" w:cs="方正仿宋简体"/>
              </w:rPr>
            </w:pP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储备物资质量完好率</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储备物资质量完好率</w:t>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continue"/>
            <w:noWrap w:val="0"/>
            <w:vAlign w:val="center"/>
          </w:tcPr>
          <w:p>
            <w:pPr>
              <w:rPr>
                <w:rFonts w:hint="eastAsia" w:ascii="方正仿宋简体" w:hAnsi="方正仿宋简体" w:eastAsia="方正仿宋简体" w:cs="方正仿宋简体"/>
              </w:rPr>
            </w:pP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按规定时限轮换</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按规定时限轮换</w:t>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5年/次</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continue"/>
            <w:noWrap w:val="0"/>
            <w:vAlign w:val="center"/>
          </w:tcPr>
          <w:p>
            <w:pPr>
              <w:rPr>
                <w:rFonts w:hint="eastAsia" w:ascii="方正仿宋简体" w:hAnsi="方正仿宋简体" w:eastAsia="方正仿宋简体" w:cs="方正仿宋简体"/>
              </w:rPr>
            </w:pP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对市区人口粮食供应提供保障</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对我市城镇人口紧急情况下的粮食供应提供可持续性保障　 </w:t>
            </w:r>
            <w:r>
              <w:rPr>
                <w:rFonts w:hint="eastAsia" w:ascii="方正仿宋简体" w:hAnsi="方正仿宋简体" w:eastAsia="方正仿宋简体" w:cs="方正仿宋简体"/>
              </w:rPr>
              <w:tab/>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8" w:hRule="atLeast"/>
          <w:jc w:val="center"/>
        </w:trPr>
        <w:tc>
          <w:tcPr>
            <w:tcW w:w="2355" w:type="dxa"/>
            <w:vMerge w:val="continue"/>
            <w:noWrap w:val="0"/>
            <w:vAlign w:val="center"/>
          </w:tcPr>
          <w:p>
            <w:pPr>
              <w:rPr>
                <w:rFonts w:hint="eastAsia" w:ascii="方正仿宋简体" w:hAnsi="方正仿宋简体" w:eastAsia="方正仿宋简体" w:cs="方正仿宋简体"/>
              </w:rPr>
            </w:pP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市场价格稳定率</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发生突发事件时保证粮食市场价格稳定</w:t>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0" w:hRule="atLeast"/>
          <w:jc w:val="center"/>
        </w:trPr>
        <w:tc>
          <w:tcPr>
            <w:tcW w:w="2355" w:type="dxa"/>
            <w:vMerge w:val="continue"/>
            <w:noWrap w:val="0"/>
            <w:vAlign w:val="center"/>
          </w:tcPr>
          <w:p>
            <w:pPr>
              <w:rPr>
                <w:rFonts w:hint="eastAsia" w:ascii="方正仿宋简体" w:hAnsi="方正仿宋简体" w:eastAsia="方正仿宋简体" w:cs="方正仿宋简体"/>
              </w:rPr>
            </w:pP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储备物资应急保障率</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储备粮实际应急供应量占计划供应量的比率</w:t>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4" w:hRule="atLeast"/>
          <w:jc w:val="center"/>
        </w:trPr>
        <w:tc>
          <w:tcPr>
            <w:tcW w:w="2355" w:type="dxa"/>
            <w:vMerge w:val="continue"/>
            <w:noWrap w:val="0"/>
            <w:vAlign w:val="center"/>
          </w:tcPr>
          <w:p>
            <w:pPr>
              <w:rPr>
                <w:rFonts w:hint="eastAsia" w:ascii="方正仿宋简体" w:hAnsi="方正仿宋简体" w:eastAsia="方正仿宋简体" w:cs="方正仿宋简体"/>
              </w:rPr>
            </w:pP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维护市场稳定</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保证粮食市场稳定</w:t>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3" w:hRule="atLeast"/>
          <w:jc w:val="center"/>
        </w:trPr>
        <w:tc>
          <w:tcPr>
            <w:tcW w:w="2355"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0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28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受益群体对该项目的满意程度</w:t>
            </w:r>
          </w:p>
        </w:tc>
        <w:tc>
          <w:tcPr>
            <w:tcW w:w="15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540"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遵化市发展和改革局、遵化市财政局、中国农业发展银行遵化市支行文件《关于下达2021年新增遵化市本级粮食储备计划的通知》（遵发改粮食[2021]41号）</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ind w:firstLine="560"/>
        <w:outlineLvl w:val="3"/>
        <w:rPr>
          <w:rFonts w:hint="eastAsia" w:ascii="方正仿宋简体" w:hAnsi="方正仿宋简体" w:eastAsia="方正仿宋简体" w:cs="方正仿宋简体"/>
        </w:rPr>
      </w:pPr>
      <w:bookmarkStart w:id="10" w:name="_Toc_4_4_0000000006"/>
      <w:r>
        <w:rPr>
          <w:rFonts w:hint="eastAsia" w:ascii="方正仿宋简体" w:hAnsi="方正仿宋简体" w:eastAsia="方正仿宋简体" w:cs="方正仿宋简体"/>
          <w:color w:val="000000"/>
          <w:sz w:val="28"/>
        </w:rPr>
        <w:t>3.8000吨市级储备小麦保管费用补贴和利息补贴绩效目标表</w:t>
      </w:r>
      <w:bookmarkEnd w:id="10"/>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1"/>
        <w:gridCol w:w="2786"/>
        <w:gridCol w:w="1107"/>
        <w:gridCol w:w="2076"/>
        <w:gridCol w:w="1422"/>
        <w:gridCol w:w="1392"/>
        <w:gridCol w:w="29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64"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976"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893"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13028122P00313210001B</w:t>
            </w:r>
          </w:p>
        </w:tc>
        <w:tc>
          <w:tcPr>
            <w:tcW w:w="207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790"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8000吨市级储备小麦保管费用补贴和利息补贴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1"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78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136.00</w:t>
            </w:r>
          </w:p>
        </w:tc>
        <w:tc>
          <w:tcPr>
            <w:tcW w:w="207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4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136.00</w:t>
            </w:r>
          </w:p>
        </w:tc>
        <w:tc>
          <w:tcPr>
            <w:tcW w:w="139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97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1" w:type="dxa"/>
            <w:vMerge w:val="continue"/>
            <w:noWrap w:val="0"/>
            <w:vAlign w:val="top"/>
          </w:tcPr>
          <w:p>
            <w:pPr>
              <w:rPr>
                <w:rFonts w:hint="eastAsia" w:ascii="方正仿宋简体" w:hAnsi="方正仿宋简体" w:eastAsia="方正仿宋简体" w:cs="方正仿宋简体"/>
              </w:rPr>
            </w:pPr>
          </w:p>
        </w:tc>
        <w:tc>
          <w:tcPr>
            <w:tcW w:w="11759"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用于市级储备小麦保管费用补贴和利息补贴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1"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893"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07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42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4368"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1" w:type="dxa"/>
            <w:vMerge w:val="continue"/>
            <w:noWrap w:val="0"/>
            <w:vAlign w:val="top"/>
          </w:tcPr>
          <w:p>
            <w:pPr>
              <w:rPr>
                <w:rFonts w:hint="eastAsia" w:ascii="方正仿宋简体" w:hAnsi="方正仿宋简体" w:eastAsia="方正仿宋简体" w:cs="方正仿宋简体"/>
              </w:rPr>
            </w:pPr>
          </w:p>
        </w:tc>
        <w:tc>
          <w:tcPr>
            <w:tcW w:w="3893"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07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22"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368"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759"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1.及时支付保管费用和利息补贴，做好市级8000吨储备粮承储各项工作。</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2.确保我市储备粮储存安全，确保储备粮储的进、管的好、调的动，用的上，确保粮食库存数量真实，质量良好。</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90"/>
        <w:gridCol w:w="1600"/>
        <w:gridCol w:w="2285"/>
        <w:gridCol w:w="2057"/>
        <w:gridCol w:w="1485"/>
        <w:gridCol w:w="4285"/>
        <w:gridCol w:w="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9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60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28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05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48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4323"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8" w:type="dxa"/>
          <w:trHeight w:val="369" w:hRule="atLeast"/>
          <w:jc w:val="center"/>
        </w:trPr>
        <w:tc>
          <w:tcPr>
            <w:tcW w:w="299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储备物资数量</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储备物资实际库存数量与计划应存数量相符</w:t>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8000吨</w:t>
            </w:r>
          </w:p>
        </w:tc>
        <w:tc>
          <w:tcPr>
            <w:tcW w:w="428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0" w:type="dxa"/>
            <w:vMerge w:val="continue"/>
            <w:noWrap w:val="0"/>
            <w:vAlign w:val="center"/>
          </w:tcPr>
          <w:p>
            <w:pPr>
              <w:rPr>
                <w:rFonts w:hint="eastAsia" w:ascii="方正仿宋简体" w:hAnsi="方正仿宋简体" w:eastAsia="方正仿宋简体" w:cs="方正仿宋简体"/>
              </w:rPr>
            </w:pP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储备物资质量完好率</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储备物资质量完好率</w:t>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5年/次</w:t>
            </w:r>
          </w:p>
        </w:tc>
        <w:tc>
          <w:tcPr>
            <w:tcW w:w="4323" w:type="dxa"/>
            <w:gridSpan w:val="2"/>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0" w:type="dxa"/>
            <w:vMerge w:val="continue"/>
            <w:noWrap w:val="0"/>
            <w:vAlign w:val="center"/>
          </w:tcPr>
          <w:p>
            <w:pPr>
              <w:rPr>
                <w:rFonts w:hint="eastAsia" w:ascii="方正仿宋简体" w:hAnsi="方正仿宋简体" w:eastAsia="方正仿宋简体" w:cs="方正仿宋简体"/>
              </w:rPr>
            </w:pP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按规定时限轮换</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按规定时限轮换</w:t>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323"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0" w:type="dxa"/>
            <w:vMerge w:val="continue"/>
            <w:noWrap w:val="0"/>
            <w:vAlign w:val="center"/>
          </w:tcPr>
          <w:p>
            <w:pPr>
              <w:rPr>
                <w:rFonts w:hint="eastAsia" w:ascii="方正仿宋简体" w:hAnsi="方正仿宋简体" w:eastAsia="方正仿宋简体" w:cs="方正仿宋简体"/>
              </w:rPr>
            </w:pP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323" w:type="dxa"/>
            <w:gridSpan w:val="2"/>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对市区人口粮食供应提供保障</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对我市城镇人口紧急情况下的粮食供应提供可持续性保障　 </w:t>
            </w:r>
            <w:r>
              <w:rPr>
                <w:rFonts w:hint="eastAsia" w:ascii="方正仿宋简体" w:hAnsi="方正仿宋简体" w:eastAsia="方正仿宋简体" w:cs="方正仿宋简体"/>
              </w:rPr>
              <w:tab/>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323" w:type="dxa"/>
            <w:gridSpan w:val="2"/>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0" w:type="dxa"/>
            <w:vMerge w:val="continue"/>
            <w:noWrap w:val="0"/>
            <w:vAlign w:val="center"/>
          </w:tcPr>
          <w:p>
            <w:pPr>
              <w:rPr>
                <w:rFonts w:hint="eastAsia" w:ascii="方正仿宋简体" w:hAnsi="方正仿宋简体" w:eastAsia="方正仿宋简体" w:cs="方正仿宋简体"/>
              </w:rPr>
            </w:pP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市场价格稳定率</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发生突发事件时保证粮食市场价格稳定</w:t>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w:t>
            </w:r>
            <w:r>
              <w:rPr>
                <w:rFonts w:hint="eastAsia" w:ascii="方正仿宋简体" w:hAnsi="方正仿宋简体" w:eastAsia="方正仿宋简体" w:cs="方正仿宋简体"/>
                <w:sz w:val="18"/>
                <w:szCs w:val="18"/>
              </w:rPr>
              <w:t>95</w:t>
            </w:r>
            <w:r>
              <w:rPr>
                <w:rFonts w:hint="eastAsia" w:ascii="方正仿宋简体" w:hAnsi="方正仿宋简体" w:eastAsia="方正仿宋简体" w:cs="方正仿宋简体"/>
              </w:rPr>
              <w:t>%</w:t>
            </w:r>
          </w:p>
        </w:tc>
        <w:tc>
          <w:tcPr>
            <w:tcW w:w="4323" w:type="dxa"/>
            <w:gridSpan w:val="2"/>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0" w:type="dxa"/>
            <w:vMerge w:val="continue"/>
            <w:noWrap w:val="0"/>
            <w:vAlign w:val="center"/>
          </w:tcPr>
          <w:p>
            <w:pPr>
              <w:rPr>
                <w:rFonts w:hint="eastAsia" w:ascii="方正仿宋简体" w:hAnsi="方正仿宋简体" w:eastAsia="方正仿宋简体" w:cs="方正仿宋简体"/>
              </w:rPr>
            </w:pP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储备物资应急保障率</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储备粮实际应急供应量占计划供应量的比率</w:t>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323" w:type="dxa"/>
            <w:gridSpan w:val="2"/>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0" w:type="dxa"/>
            <w:vMerge w:val="continue"/>
            <w:noWrap w:val="0"/>
            <w:vAlign w:val="center"/>
          </w:tcPr>
          <w:p>
            <w:pPr>
              <w:rPr>
                <w:rFonts w:hint="eastAsia" w:ascii="方正仿宋简体" w:hAnsi="方正仿宋简体" w:eastAsia="方正仿宋简体" w:cs="方正仿宋简体"/>
              </w:rPr>
            </w:pP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维护市场稳定</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保证粮食市场稳定</w:t>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323" w:type="dxa"/>
            <w:gridSpan w:val="2"/>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20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受益群体对该项目的满意程度</w:t>
            </w:r>
          </w:p>
        </w:tc>
        <w:tc>
          <w:tcPr>
            <w:tcW w:w="14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323" w:type="dxa"/>
            <w:gridSpan w:val="2"/>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遵化市市级储备粮收购计划的通知（遵粮调字[2008]01号）、（遵粮调字[2011]02号）、《关于调整市级储备粮保管费用补贴的意见》</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ind w:firstLine="560"/>
        <w:outlineLvl w:val="3"/>
        <w:rPr>
          <w:rFonts w:hint="eastAsia" w:ascii="方正仿宋简体" w:hAnsi="方正仿宋简体" w:eastAsia="方正仿宋简体" w:cs="方正仿宋简体"/>
        </w:rPr>
      </w:pPr>
      <w:bookmarkStart w:id="11" w:name="_Toc_4_4_0000000007"/>
      <w:r>
        <w:rPr>
          <w:rFonts w:hint="eastAsia" w:ascii="方正仿宋简体" w:hAnsi="方正仿宋简体" w:eastAsia="方正仿宋简体" w:cs="方正仿宋简体"/>
          <w:color w:val="000000"/>
          <w:sz w:val="28"/>
        </w:rPr>
        <w:t>4.采暖季洁净煤保供推广采购项目绩效目标表</w:t>
      </w:r>
      <w:bookmarkEnd w:id="11"/>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9"/>
        <w:gridCol w:w="2906"/>
        <w:gridCol w:w="1453"/>
        <w:gridCol w:w="3034"/>
        <w:gridCol w:w="1388"/>
        <w:gridCol w:w="1358"/>
        <w:gridCol w:w="1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78"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1962"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4359"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13028122P003371100012</w:t>
            </w:r>
          </w:p>
        </w:tc>
        <w:tc>
          <w:tcPr>
            <w:tcW w:w="303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708"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采暖季洁净煤保供推广采购项目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90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45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10720.00</w:t>
            </w:r>
          </w:p>
        </w:tc>
        <w:tc>
          <w:tcPr>
            <w:tcW w:w="303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8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10720.00</w:t>
            </w:r>
          </w:p>
        </w:tc>
        <w:tc>
          <w:tcPr>
            <w:tcW w:w="135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noWrap w:val="0"/>
            <w:vAlign w:val="top"/>
          </w:tcPr>
          <w:p>
            <w:pPr>
              <w:rPr>
                <w:rFonts w:hint="eastAsia" w:ascii="方正仿宋简体" w:hAnsi="方正仿宋简体" w:eastAsia="方正仿宋简体" w:cs="方正仿宋简体"/>
              </w:rPr>
            </w:pPr>
          </w:p>
        </w:tc>
        <w:tc>
          <w:tcPr>
            <w:tcW w:w="12101"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用于采暖季洁净煤保供推广采购项目支出。</w:t>
            </w:r>
          </w:p>
          <w:p>
            <w:pPr>
              <w:pStyle w:val="40"/>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4359"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303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8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320"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noWrap w:val="0"/>
            <w:vAlign w:val="top"/>
          </w:tcPr>
          <w:p>
            <w:pPr>
              <w:rPr>
                <w:rFonts w:hint="eastAsia" w:ascii="方正仿宋简体" w:hAnsi="方正仿宋简体" w:eastAsia="方正仿宋简体" w:cs="方正仿宋简体"/>
              </w:rPr>
            </w:pPr>
          </w:p>
        </w:tc>
        <w:tc>
          <w:tcPr>
            <w:tcW w:w="4359"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3034"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88"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320"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101"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1.10月底前全部配送到位</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2.采暖季前全覆盖</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3"/>
        <w:gridCol w:w="1570"/>
        <w:gridCol w:w="2803"/>
        <w:gridCol w:w="3027"/>
        <w:gridCol w:w="1458"/>
        <w:gridCol w:w="3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2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57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80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02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45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25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煤源落实数量</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组织开展洁净煤招投标，按照洁净煤需求充分落实煤源</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vMerge w:val="continue"/>
            <w:noWrap w:val="0"/>
            <w:vAlign w:val="center"/>
          </w:tcPr>
          <w:p>
            <w:pPr>
              <w:rPr>
                <w:rFonts w:hint="eastAsia" w:ascii="方正仿宋简体" w:hAnsi="方正仿宋简体" w:eastAsia="方正仿宋简体" w:cs="方正仿宋简体"/>
              </w:rPr>
            </w:pP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确保优质优价</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通过组织招投标，根据市场变化形势，研究制定价格联动措施，确保优质优价</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vMerge w:val="continue"/>
            <w:noWrap w:val="0"/>
            <w:vAlign w:val="center"/>
          </w:tcPr>
          <w:p>
            <w:pPr>
              <w:rPr>
                <w:rFonts w:hint="eastAsia" w:ascii="方正仿宋简体" w:hAnsi="方正仿宋简体" w:eastAsia="方正仿宋简体" w:cs="方正仿宋简体"/>
              </w:rPr>
            </w:pP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保供时限</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采暖季前实现全覆盖</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vMerge w:val="continue"/>
            <w:noWrap w:val="0"/>
            <w:vAlign w:val="center"/>
          </w:tcPr>
          <w:p>
            <w:pPr>
              <w:rPr>
                <w:rFonts w:hint="eastAsia" w:ascii="方正仿宋简体" w:hAnsi="方正仿宋简体" w:eastAsia="方正仿宋简体" w:cs="方正仿宋简体"/>
              </w:rPr>
            </w:pP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降低农户购买价格</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努力加大财政补贴力度，进一步降低农户自筹价格</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vMerge w:val="continue"/>
            <w:noWrap w:val="0"/>
            <w:vAlign w:val="center"/>
          </w:tcPr>
          <w:p>
            <w:pPr>
              <w:rPr>
                <w:rFonts w:hint="eastAsia" w:ascii="方正仿宋简体" w:hAnsi="方正仿宋简体" w:eastAsia="方正仿宋简体" w:cs="方正仿宋简体"/>
              </w:rPr>
            </w:pP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保供企业及乡镇认真落实</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督导保供企业落实煤源，加快配送进度</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vMerge w:val="continue"/>
            <w:noWrap w:val="0"/>
            <w:vAlign w:val="center"/>
          </w:tcPr>
          <w:p>
            <w:pPr>
              <w:rPr>
                <w:rFonts w:hint="eastAsia" w:ascii="方正仿宋简体" w:hAnsi="方正仿宋简体" w:eastAsia="方正仿宋简体" w:cs="方正仿宋简体"/>
              </w:rPr>
            </w:pP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推动大气环境质量改善</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推动大气污染指标改善</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vMerge w:val="continue"/>
            <w:noWrap w:val="0"/>
            <w:vAlign w:val="center"/>
          </w:tcPr>
          <w:p>
            <w:pPr>
              <w:rPr>
                <w:rFonts w:hint="eastAsia" w:ascii="方正仿宋简体" w:hAnsi="方正仿宋简体" w:eastAsia="方正仿宋简体" w:cs="方正仿宋简体"/>
              </w:rPr>
            </w:pP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杜绝农户使用劣质散煤</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通过洁净煤推广保供工作，促进劣质散煤治理</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3"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农户满意度</w:t>
            </w:r>
          </w:p>
        </w:tc>
        <w:tc>
          <w:tcPr>
            <w:tcW w:w="30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农户对洁净煤保供工作评价进一步提高</w:t>
            </w:r>
          </w:p>
        </w:tc>
        <w:tc>
          <w:tcPr>
            <w:tcW w:w="1458"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5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遵化市2021年采暖季洁净煤取暖工作实施方案</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ind w:firstLine="560"/>
        <w:outlineLvl w:val="3"/>
        <w:rPr>
          <w:rFonts w:hint="eastAsia" w:ascii="方正仿宋简体" w:hAnsi="方正仿宋简体" w:eastAsia="方正仿宋简体" w:cs="方正仿宋简体"/>
        </w:rPr>
      </w:pPr>
      <w:bookmarkStart w:id="12" w:name="_Toc_4_4_0000000008"/>
      <w:r>
        <w:rPr>
          <w:rFonts w:hint="eastAsia" w:ascii="方正仿宋简体" w:hAnsi="方正仿宋简体" w:eastAsia="方正仿宋简体" w:cs="方正仿宋简体"/>
          <w:color w:val="000000"/>
          <w:sz w:val="28"/>
        </w:rPr>
        <w:t>5.改制企业内退人员退养费及社保费绩效目标表</w:t>
      </w:r>
      <w:bookmarkEnd w:id="12"/>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45"/>
        <w:gridCol w:w="3064"/>
        <w:gridCol w:w="1020"/>
        <w:gridCol w:w="1986"/>
        <w:gridCol w:w="1433"/>
        <w:gridCol w:w="1341"/>
        <w:gridCol w:w="24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89"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451"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4084"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13028122P002406100011</w:t>
            </w:r>
          </w:p>
        </w:tc>
        <w:tc>
          <w:tcPr>
            <w:tcW w:w="198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25"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改制企业内退人员退养费及社保费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5"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306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22.68</w:t>
            </w:r>
          </w:p>
        </w:tc>
        <w:tc>
          <w:tcPr>
            <w:tcW w:w="198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4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22.68</w:t>
            </w:r>
          </w:p>
        </w:tc>
        <w:tc>
          <w:tcPr>
            <w:tcW w:w="134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4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5" w:type="dxa"/>
            <w:vMerge w:val="continue"/>
            <w:noWrap w:val="0"/>
            <w:vAlign w:val="top"/>
          </w:tcPr>
          <w:p>
            <w:pPr>
              <w:rPr>
                <w:rFonts w:hint="eastAsia" w:ascii="方正仿宋简体" w:hAnsi="方正仿宋简体" w:eastAsia="方正仿宋简体" w:cs="方正仿宋简体"/>
              </w:rPr>
            </w:pPr>
          </w:p>
        </w:tc>
        <w:tc>
          <w:tcPr>
            <w:tcW w:w="11295"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原粮食局改制企业5名伤残内退人员伤残津贴14.66万元；社会保险费3.46万元；396人每人50元春节慰问费1.98万元，53人每人480元遗属补助2.58万元，经核算，共需要资金22.68万元。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5"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4084"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98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43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792"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5" w:type="dxa"/>
            <w:vMerge w:val="continue"/>
            <w:noWrap w:val="0"/>
            <w:vAlign w:val="top"/>
          </w:tcPr>
          <w:p>
            <w:pPr>
              <w:rPr>
                <w:rFonts w:hint="eastAsia" w:ascii="方正仿宋简体" w:hAnsi="方正仿宋简体" w:eastAsia="方正仿宋简体" w:cs="方正仿宋简体"/>
              </w:rPr>
            </w:pPr>
          </w:p>
        </w:tc>
        <w:tc>
          <w:tcPr>
            <w:tcW w:w="4084"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198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433"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792"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295"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1.处理好原粮食老人事项，按时发放2022年度内退人员退养费、伤残津贴等。</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42"/>
        <w:gridCol w:w="1556"/>
        <w:gridCol w:w="1779"/>
        <w:gridCol w:w="2779"/>
        <w:gridCol w:w="1445"/>
        <w:gridCol w:w="3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4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55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77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77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44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73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保障人数</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保障单位发放工资福利及缴纳保险的人数</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5人</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vMerge w:val="continue"/>
            <w:noWrap w:val="0"/>
            <w:vAlign w:val="center"/>
          </w:tcPr>
          <w:p>
            <w:pPr>
              <w:rPr>
                <w:rFonts w:hint="eastAsia" w:ascii="方正仿宋简体" w:hAnsi="方正仿宋简体" w:eastAsia="方正仿宋简体" w:cs="方正仿宋简体"/>
              </w:rPr>
            </w:pP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全体人员年底考核合格率</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单位人员年底考核合格率　 </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vMerge w:val="continue"/>
            <w:noWrap w:val="0"/>
            <w:vAlign w:val="center"/>
          </w:tcPr>
          <w:p>
            <w:pPr>
              <w:rPr>
                <w:rFonts w:hint="eastAsia" w:ascii="方正仿宋简体" w:hAnsi="方正仿宋简体" w:eastAsia="方正仿宋简体" w:cs="方正仿宋简体"/>
              </w:rPr>
            </w:pP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发放及时率</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发放金额占全年金额的比例</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vMerge w:val="continue"/>
            <w:noWrap w:val="0"/>
            <w:vAlign w:val="center"/>
          </w:tcPr>
          <w:p>
            <w:pPr>
              <w:rPr>
                <w:rFonts w:hint="eastAsia" w:ascii="方正仿宋简体" w:hAnsi="方正仿宋简体" w:eastAsia="方正仿宋简体" w:cs="方正仿宋简体"/>
              </w:rPr>
            </w:pP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协调劳资关系</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提高职工工作积极性和劳动生产率　 </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vMerge w:val="continue"/>
            <w:noWrap w:val="0"/>
            <w:vAlign w:val="center"/>
          </w:tcPr>
          <w:p>
            <w:pPr>
              <w:rPr>
                <w:rFonts w:hint="eastAsia" w:ascii="方正仿宋简体" w:hAnsi="方正仿宋简体" w:eastAsia="方正仿宋简体" w:cs="方正仿宋简体"/>
              </w:rPr>
            </w:pP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促进社会和谐稳定</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促进社会和谐稳定</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vMerge w:val="continue"/>
            <w:noWrap w:val="0"/>
            <w:vAlign w:val="center"/>
          </w:tcPr>
          <w:p>
            <w:pPr>
              <w:rPr>
                <w:rFonts w:hint="eastAsia" w:ascii="方正仿宋简体" w:hAnsi="方正仿宋简体" w:eastAsia="方正仿宋简体" w:cs="方正仿宋简体"/>
              </w:rPr>
            </w:pP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环保意识增强</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环保意识明显提高 </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vMerge w:val="continue"/>
            <w:noWrap w:val="0"/>
            <w:vAlign w:val="center"/>
          </w:tcPr>
          <w:p>
            <w:pPr>
              <w:rPr>
                <w:rFonts w:hint="eastAsia" w:ascii="方正仿宋简体" w:hAnsi="方正仿宋简体" w:eastAsia="方正仿宋简体" w:cs="方正仿宋简体"/>
              </w:rPr>
            </w:pP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年初预算执行情况</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严格执行年初预算，有效防止超预算</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2"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单位人员满意度</w:t>
            </w:r>
          </w:p>
        </w:tc>
        <w:tc>
          <w:tcPr>
            <w:tcW w:w="27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走访调查或以问卷形式征求满意度</w:t>
            </w:r>
          </w:p>
        </w:tc>
        <w:tc>
          <w:tcPr>
            <w:tcW w:w="144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3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bl>
    <w:p>
      <w:pPr>
        <w:rPr>
          <w:rFonts w:hint="eastAsia" w:ascii="方正仿宋简体" w:hAnsi="方正仿宋简体" w:eastAsia="方正仿宋简体" w:cs="方正仿宋简体"/>
        </w:rPr>
        <w:sectPr>
          <w:pgSz w:w="16840" w:h="11900" w:orient="landscape"/>
          <w:pgMar w:top="1304" w:right="1134" w:bottom="1304" w:left="1020" w:header="720" w:footer="720" w:gutter="0"/>
          <w:cols w:space="720" w:num="1"/>
        </w:sectPr>
      </w:pPr>
    </w:p>
    <w:p>
      <w:pPr>
        <w:ind w:firstLine="560"/>
        <w:outlineLvl w:val="3"/>
        <w:rPr>
          <w:rFonts w:hint="eastAsia" w:ascii="方正仿宋简体" w:hAnsi="方正仿宋简体" w:eastAsia="方正仿宋简体" w:cs="方正仿宋简体"/>
        </w:rPr>
      </w:pPr>
      <w:bookmarkStart w:id="13" w:name="_Toc_4_4_0000000009"/>
      <w:r>
        <w:rPr>
          <w:rFonts w:hint="eastAsia" w:ascii="方正仿宋简体" w:hAnsi="方正仿宋简体" w:eastAsia="方正仿宋简体" w:cs="方正仿宋简体"/>
          <w:color w:val="000000"/>
          <w:sz w:val="28"/>
        </w:rPr>
        <w:t>6.改制人员工资及社保费绩效目标表</w:t>
      </w:r>
      <w:bookmarkEnd w:id="13"/>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3"/>
        <w:gridCol w:w="2187"/>
        <w:gridCol w:w="1530"/>
        <w:gridCol w:w="2899"/>
        <w:gridCol w:w="1392"/>
        <w:gridCol w:w="1362"/>
        <w:gridCol w:w="22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43"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297"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717"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13028122P00240510001B</w:t>
            </w:r>
          </w:p>
        </w:tc>
        <w:tc>
          <w:tcPr>
            <w:tcW w:w="289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051"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改制人员工资及社保费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3"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8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5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37.05</w:t>
            </w:r>
          </w:p>
        </w:tc>
        <w:tc>
          <w:tcPr>
            <w:tcW w:w="289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9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37.05</w:t>
            </w:r>
          </w:p>
        </w:tc>
        <w:tc>
          <w:tcPr>
            <w:tcW w:w="136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29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3" w:type="dxa"/>
            <w:vMerge w:val="continue"/>
            <w:noWrap w:val="0"/>
            <w:vAlign w:val="top"/>
          </w:tcPr>
          <w:p>
            <w:pPr>
              <w:rPr>
                <w:rFonts w:hint="eastAsia" w:ascii="方正仿宋简体" w:hAnsi="方正仿宋简体" w:eastAsia="方正仿宋简体" w:cs="方正仿宋简体"/>
              </w:rPr>
            </w:pPr>
          </w:p>
        </w:tc>
        <w:tc>
          <w:tcPr>
            <w:tcW w:w="11667"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原粮食局自收自支9人工资20.85万元，社会保险费11.57万元，取暖费等4.63万元，经核算共需资金37.05万元。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3"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717"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89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9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659"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3" w:type="dxa"/>
            <w:vMerge w:val="continue"/>
            <w:noWrap w:val="0"/>
            <w:vAlign w:val="top"/>
          </w:tcPr>
          <w:p>
            <w:pPr>
              <w:rPr>
                <w:rFonts w:hint="eastAsia" w:ascii="方正仿宋简体" w:hAnsi="方正仿宋简体" w:eastAsia="方正仿宋简体" w:cs="方正仿宋简体"/>
              </w:rPr>
            </w:pPr>
          </w:p>
        </w:tc>
        <w:tc>
          <w:tcPr>
            <w:tcW w:w="3717"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899"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92"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59"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667"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1.处理好原粮食老人事项，按时发放2022年9人工资，及时缴纳职工社会保险费</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9"/>
        <w:gridCol w:w="1343"/>
        <w:gridCol w:w="2351"/>
        <w:gridCol w:w="2911"/>
        <w:gridCol w:w="1343"/>
        <w:gridCol w:w="3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7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4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35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91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4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71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保障人数</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保障单位发放工资福利及缴纳保险的人数</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9人</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vMerge w:val="continue"/>
            <w:noWrap w:val="0"/>
            <w:vAlign w:val="center"/>
          </w:tcPr>
          <w:p>
            <w:pPr>
              <w:rPr>
                <w:rFonts w:hint="eastAsia" w:ascii="方正仿宋简体" w:hAnsi="方正仿宋简体" w:eastAsia="方正仿宋简体" w:cs="方正仿宋简体"/>
              </w:rPr>
            </w:pP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全体人员年底考核合格率</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单位人员年底考核合格率　 </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vMerge w:val="continue"/>
            <w:noWrap w:val="0"/>
            <w:vAlign w:val="center"/>
          </w:tcPr>
          <w:p>
            <w:pPr>
              <w:rPr>
                <w:rFonts w:hint="eastAsia" w:ascii="方正仿宋简体" w:hAnsi="方正仿宋简体" w:eastAsia="方正仿宋简体" w:cs="方正仿宋简体"/>
              </w:rPr>
            </w:pP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发放及时率</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发放金额占全年金额的比例</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vMerge w:val="continue"/>
            <w:noWrap w:val="0"/>
            <w:vAlign w:val="center"/>
          </w:tcPr>
          <w:p>
            <w:pPr>
              <w:rPr>
                <w:rFonts w:hint="eastAsia" w:ascii="方正仿宋简体" w:hAnsi="方正仿宋简体" w:eastAsia="方正仿宋简体" w:cs="方正仿宋简体"/>
              </w:rPr>
            </w:pP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协调劳资关系</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提高职工工作积极性和劳动生产率　</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vMerge w:val="continue"/>
            <w:noWrap w:val="0"/>
            <w:vAlign w:val="center"/>
          </w:tcPr>
          <w:p>
            <w:pPr>
              <w:rPr>
                <w:rFonts w:hint="eastAsia" w:ascii="方正仿宋简体" w:hAnsi="方正仿宋简体" w:eastAsia="方正仿宋简体" w:cs="方正仿宋简体"/>
              </w:rPr>
            </w:pP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促进社会和谐稳定</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促进社会和谐稳定</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vMerge w:val="continue"/>
            <w:noWrap w:val="0"/>
            <w:vAlign w:val="center"/>
          </w:tcPr>
          <w:p>
            <w:pPr>
              <w:rPr>
                <w:rFonts w:hint="eastAsia" w:ascii="方正仿宋简体" w:hAnsi="方正仿宋简体" w:eastAsia="方正仿宋简体" w:cs="方正仿宋简体"/>
              </w:rPr>
            </w:pP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环保意识增强</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环保意识明显提高</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vMerge w:val="continue"/>
            <w:noWrap w:val="0"/>
            <w:vAlign w:val="center"/>
          </w:tcPr>
          <w:p>
            <w:pPr>
              <w:rPr>
                <w:rFonts w:hint="eastAsia" w:ascii="方正仿宋简体" w:hAnsi="方正仿宋简体" w:eastAsia="方正仿宋简体" w:cs="方正仿宋简体"/>
              </w:rPr>
            </w:pP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年初预算执行情况</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严格执行年初预算，有效防止超预算</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9"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35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单位人员满意度</w:t>
            </w:r>
          </w:p>
        </w:tc>
        <w:tc>
          <w:tcPr>
            <w:tcW w:w="291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走访调查或以问卷形式征求满意度</w:t>
            </w:r>
          </w:p>
        </w:tc>
        <w:tc>
          <w:tcPr>
            <w:tcW w:w="134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遵化市人民政府印发《关于进一步深化粮食流通体制改革的实施意见》（(2004)53号）</w:t>
            </w:r>
          </w:p>
        </w:tc>
      </w:tr>
    </w:tbl>
    <w:p>
      <w:pPr>
        <w:rPr>
          <w:rFonts w:hint="eastAsia" w:ascii="方正仿宋简体" w:hAnsi="方正仿宋简体" w:eastAsia="方正仿宋简体" w:cs="方正仿宋简体"/>
        </w:rPr>
        <w:sectPr>
          <w:pgSz w:w="16840" w:h="11900" w:orient="landscape"/>
          <w:pgMar w:top="1304" w:right="1134" w:bottom="1304" w:left="1020" w:header="720" w:footer="720" w:gutter="0"/>
          <w:cols w:space="720" w:num="1"/>
        </w:sectPr>
      </w:pPr>
    </w:p>
    <w:p>
      <w:pPr>
        <w:outlineLvl w:val="3"/>
        <w:rPr>
          <w:rFonts w:hint="eastAsia" w:ascii="方正仿宋简体" w:hAnsi="方正仿宋简体" w:eastAsia="方正仿宋简体" w:cs="方正仿宋简体"/>
        </w:rPr>
      </w:pPr>
      <w:bookmarkStart w:id="14" w:name="_Toc_4_4_0000000010"/>
      <w:r>
        <w:rPr>
          <w:rFonts w:hint="eastAsia" w:ascii="方正仿宋简体" w:hAnsi="方正仿宋简体" w:eastAsia="方正仿宋简体" w:cs="方正仿宋简体"/>
          <w:color w:val="000000"/>
          <w:sz w:val="28"/>
        </w:rPr>
        <w:t>7.规模服务业企业奖励资金绩效目标表</w:t>
      </w:r>
      <w:bookmarkEnd w:id="14"/>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0"/>
        <w:gridCol w:w="2115"/>
        <w:gridCol w:w="1215"/>
        <w:gridCol w:w="2925"/>
        <w:gridCol w:w="2100"/>
        <w:gridCol w:w="1620"/>
        <w:gridCol w:w="19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25"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1915"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330"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13028122P003130100010</w:t>
            </w:r>
          </w:p>
        </w:tc>
        <w:tc>
          <w:tcPr>
            <w:tcW w:w="29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635"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规模服务业企业奖励资金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1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21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29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210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62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91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vMerge w:val="continue"/>
            <w:noWrap w:val="0"/>
            <w:vAlign w:val="top"/>
          </w:tcPr>
          <w:p>
            <w:pPr>
              <w:rPr>
                <w:rFonts w:hint="eastAsia" w:ascii="方正仿宋简体" w:hAnsi="方正仿宋简体" w:eastAsia="方正仿宋简体" w:cs="方正仿宋简体"/>
              </w:rPr>
            </w:pPr>
          </w:p>
        </w:tc>
        <w:tc>
          <w:tcPr>
            <w:tcW w:w="11890"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用于规模服务业企业奖励资金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330"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9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0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535"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vMerge w:val="continue"/>
            <w:noWrap w:val="0"/>
            <w:vAlign w:val="top"/>
          </w:tcPr>
          <w:p>
            <w:pPr>
              <w:rPr>
                <w:rFonts w:hint="eastAsia" w:ascii="方正仿宋简体" w:hAnsi="方正仿宋简体" w:eastAsia="方正仿宋简体" w:cs="方正仿宋简体"/>
              </w:rPr>
            </w:pPr>
          </w:p>
        </w:tc>
        <w:tc>
          <w:tcPr>
            <w:tcW w:w="3330"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925"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210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535"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890"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1.弥补企业由于入统产生的税费，提高入统规模企业的积极性，尽可能多的企业达到入统要求。</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2.保障企业持续、良性健康发展。</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0"/>
        <w:gridCol w:w="1965"/>
        <w:gridCol w:w="2055"/>
        <w:gridCol w:w="2550"/>
        <w:gridCol w:w="1080"/>
        <w:gridCol w:w="5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7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96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05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55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08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502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入统企业数量（个）</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符合条件入统企业个数</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4个</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vMerge w:val="continue"/>
            <w:noWrap w:val="0"/>
            <w:vAlign w:val="center"/>
          </w:tcPr>
          <w:p>
            <w:pPr>
              <w:rPr>
                <w:rFonts w:hint="eastAsia" w:ascii="方正仿宋简体" w:hAnsi="方正仿宋简体" w:eastAsia="方正仿宋简体" w:cs="方正仿宋简体"/>
              </w:rPr>
            </w:pP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验收合格率（%）</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验收合格的企业数量占当年新增入统企业数量的比率　 </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vMerge w:val="continue"/>
            <w:noWrap w:val="0"/>
            <w:vAlign w:val="center"/>
          </w:tcPr>
          <w:p>
            <w:pPr>
              <w:rPr>
                <w:rFonts w:hint="eastAsia" w:ascii="方正仿宋简体" w:hAnsi="方正仿宋简体" w:eastAsia="方正仿宋简体" w:cs="方正仿宋简体"/>
              </w:rPr>
            </w:pP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补贴发放时间（%）　 </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企业向国家统计局报送数据第一个月内发放。</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vMerge w:val="continue"/>
            <w:noWrap w:val="0"/>
            <w:vAlign w:val="center"/>
          </w:tcPr>
          <w:p>
            <w:pPr>
              <w:rPr>
                <w:rFonts w:hint="eastAsia" w:ascii="方正仿宋简体" w:hAnsi="方正仿宋简体" w:eastAsia="方正仿宋简体" w:cs="方正仿宋简体"/>
              </w:rPr>
            </w:pP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企业新增纳税额（%）</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企业新增纳税额超过补贴发放金额。</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企业报税率（%）</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申报纳税企业数量占新入统企业的比例</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vMerge w:val="continue"/>
            <w:noWrap w:val="0"/>
            <w:vAlign w:val="center"/>
          </w:tcPr>
          <w:p>
            <w:pPr>
              <w:rPr>
                <w:rFonts w:hint="eastAsia" w:ascii="方正仿宋简体" w:hAnsi="方正仿宋简体" w:eastAsia="方正仿宋简体" w:cs="方正仿宋简体"/>
              </w:rPr>
            </w:pP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企业营业收入（万元）</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入统企业营业收入</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≥2000万</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vMerge w:val="continue"/>
            <w:noWrap w:val="0"/>
            <w:vAlign w:val="center"/>
          </w:tcPr>
          <w:p>
            <w:pPr>
              <w:rPr>
                <w:rFonts w:hint="eastAsia" w:ascii="方正仿宋简体" w:hAnsi="方正仿宋简体" w:eastAsia="方正仿宋简体" w:cs="方正仿宋简体"/>
              </w:rPr>
            </w:pP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减少排放，提高资源利用率（%）</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与同类规下企业相比，企业有效提高资源利用率</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vMerge w:val="continue"/>
            <w:noWrap w:val="0"/>
            <w:vAlign w:val="center"/>
          </w:tcPr>
          <w:p>
            <w:pPr>
              <w:rPr>
                <w:rFonts w:hint="eastAsia" w:ascii="方正仿宋简体" w:hAnsi="方正仿宋简体" w:eastAsia="方正仿宋简体" w:cs="方正仿宋简体"/>
              </w:rPr>
            </w:pP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能够长期反映我市服务业发展情况　 </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5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企业对工作满意度（%）</w:t>
            </w:r>
          </w:p>
        </w:tc>
        <w:tc>
          <w:tcPr>
            <w:tcW w:w="2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企业对新增入统工作满意</w:t>
            </w:r>
          </w:p>
        </w:tc>
        <w:tc>
          <w:tcPr>
            <w:tcW w:w="108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502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《遵化市发展改革局、遵化市工业和信息化局关于对新增规模企业实施奖励的请示》及市领导批示意</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outlineLvl w:val="3"/>
        <w:rPr>
          <w:rFonts w:hint="eastAsia" w:ascii="方正仿宋简体" w:hAnsi="方正仿宋简体" w:eastAsia="方正仿宋简体" w:cs="方正仿宋简体"/>
        </w:rPr>
      </w:pPr>
      <w:bookmarkStart w:id="15" w:name="_Toc_4_4_0000000011"/>
      <w:r>
        <w:rPr>
          <w:rFonts w:hint="eastAsia" w:ascii="方正仿宋简体" w:hAnsi="方正仿宋简体" w:eastAsia="方正仿宋简体" w:cs="方正仿宋简体"/>
          <w:color w:val="000000"/>
          <w:sz w:val="28"/>
        </w:rPr>
        <w:t>8.国家农村产业融合发展示范园创建考核认定工作经费绩效目标表</w:t>
      </w:r>
      <w:bookmarkEnd w:id="15"/>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5"/>
        <w:gridCol w:w="3026"/>
        <w:gridCol w:w="1681"/>
        <w:gridCol w:w="2687"/>
        <w:gridCol w:w="1392"/>
        <w:gridCol w:w="1362"/>
        <w:gridCol w:w="19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73"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1967"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4707"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13028122P00314210001J</w:t>
            </w:r>
          </w:p>
        </w:tc>
        <w:tc>
          <w:tcPr>
            <w:tcW w:w="268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721"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国家农村产业融合发展示范园创建考核认定工作经费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5"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302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6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29.50</w:t>
            </w:r>
          </w:p>
        </w:tc>
        <w:tc>
          <w:tcPr>
            <w:tcW w:w="268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9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29.50</w:t>
            </w:r>
          </w:p>
        </w:tc>
        <w:tc>
          <w:tcPr>
            <w:tcW w:w="136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96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5" w:type="dxa"/>
            <w:vMerge w:val="continue"/>
            <w:noWrap w:val="0"/>
            <w:vAlign w:val="top"/>
          </w:tcPr>
          <w:p>
            <w:pPr>
              <w:rPr>
                <w:rFonts w:hint="eastAsia" w:ascii="方正仿宋简体" w:hAnsi="方正仿宋简体" w:eastAsia="方正仿宋简体" w:cs="方正仿宋简体"/>
              </w:rPr>
            </w:pPr>
          </w:p>
        </w:tc>
        <w:tc>
          <w:tcPr>
            <w:tcW w:w="12115"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主要用于编制遵化市国家农村产业融合发展示范园创建自评报告和制作视频宣传片。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5"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4707"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68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9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329"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5" w:type="dxa"/>
            <w:vMerge w:val="continue"/>
            <w:noWrap w:val="0"/>
            <w:vAlign w:val="top"/>
          </w:tcPr>
          <w:p>
            <w:pPr>
              <w:rPr>
                <w:rFonts w:hint="eastAsia" w:ascii="方正仿宋简体" w:hAnsi="方正仿宋简体" w:eastAsia="方正仿宋简体" w:cs="方正仿宋简体"/>
              </w:rPr>
            </w:pPr>
          </w:p>
        </w:tc>
        <w:tc>
          <w:tcPr>
            <w:tcW w:w="4707"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687"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92"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329"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115"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1.编制遵化市国家农村产业融合发展示范园创建自评报告、制作遵化市农村产业融合发展示范园创建视频宣传片</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2.顺利通过省级初评，最终进入国家考核认定名单。</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0"/>
        <w:gridCol w:w="1234"/>
        <w:gridCol w:w="3479"/>
        <w:gridCol w:w="3591"/>
        <w:gridCol w:w="1122"/>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2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3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347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59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2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69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编制完成遵化市国家农村产业融合发展示范园创建自评报告、制作遵化市农村产业融合发展示范园创建视频宣传片</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编制完成遵化市国家农村产业融合发展示范园创建自评报告、制作遵化市农村产业融合发展示范园创建视频宣传片</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1个</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Merge w:val="continue"/>
            <w:noWrap w:val="0"/>
            <w:vAlign w:val="center"/>
          </w:tcPr>
          <w:p>
            <w:pPr>
              <w:rPr>
                <w:rFonts w:hint="eastAsia" w:ascii="方正仿宋简体" w:hAnsi="方正仿宋简体" w:eastAsia="方正仿宋简体" w:cs="方正仿宋简体"/>
              </w:rPr>
            </w:pP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编制符合国家农村产业融合发展示范园创建标准指标</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从示范园规划、实施方案、重点建设项目建设等领域制定符合遵化市国家农村产业融合发展示范园创建认定的各项指标</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Merge w:val="continue"/>
            <w:noWrap w:val="0"/>
            <w:vAlign w:val="center"/>
          </w:tcPr>
          <w:p>
            <w:pPr>
              <w:rPr>
                <w:rFonts w:hint="eastAsia" w:ascii="方正仿宋简体" w:hAnsi="方正仿宋简体" w:eastAsia="方正仿宋简体" w:cs="方正仿宋简体"/>
              </w:rPr>
            </w:pP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在合同期内编制完成率</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在签订合同要求的时间内编制完成率。</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Merge w:val="continue"/>
            <w:noWrap w:val="0"/>
            <w:vAlign w:val="center"/>
          </w:tcPr>
          <w:p>
            <w:pPr>
              <w:rPr>
                <w:rFonts w:hint="eastAsia" w:ascii="方正仿宋简体" w:hAnsi="方正仿宋简体" w:eastAsia="方正仿宋简体" w:cs="方正仿宋简体"/>
              </w:rPr>
            </w:pP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成果应用率</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编制自评报告、制作视频宣传片成果数量占成果总数的比率</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意见建议采纳率</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被采纳的意见建议数量占总数量的比率</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Merge w:val="continue"/>
            <w:noWrap w:val="0"/>
            <w:vAlign w:val="center"/>
          </w:tcPr>
          <w:p>
            <w:pPr>
              <w:rPr>
                <w:rFonts w:hint="eastAsia" w:ascii="方正仿宋简体" w:hAnsi="方正仿宋简体" w:eastAsia="方正仿宋简体" w:cs="方正仿宋简体"/>
              </w:rPr>
            </w:pP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新产业新业态带动农户就业情况</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示范园内参与农事体验、农产品电子商务、特色农业展会等的农户占当地农户比例</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Merge w:val="continue"/>
            <w:noWrap w:val="0"/>
            <w:vAlign w:val="center"/>
          </w:tcPr>
          <w:p>
            <w:pPr>
              <w:rPr>
                <w:rFonts w:hint="eastAsia" w:ascii="方正仿宋简体" w:hAnsi="方正仿宋简体" w:eastAsia="方正仿宋简体" w:cs="方正仿宋简体"/>
              </w:rPr>
            </w:pP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自评报告征求意见人数</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向社会各界征求意见的人数</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≥30人</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Merge w:val="continue"/>
            <w:noWrap w:val="0"/>
            <w:vAlign w:val="center"/>
          </w:tcPr>
          <w:p>
            <w:pPr>
              <w:rPr>
                <w:rFonts w:hint="eastAsia" w:ascii="方正仿宋简体" w:hAnsi="方正仿宋简体" w:eastAsia="方正仿宋简体" w:cs="方正仿宋简体"/>
              </w:rPr>
            </w:pP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指导今后三年示范园经济发展</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成为遵化市国家农村产业融合发展示范园未来三年经济发展的纲领性文件</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34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59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所提供服务的满意程度</w:t>
            </w:r>
          </w:p>
        </w:tc>
        <w:tc>
          <w:tcPr>
            <w:tcW w:w="11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9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河北省发展和改革委员会《关于抓紧上报第三批国家农村产业融合发展示范园认定材料的通知》</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outlineLvl w:val="3"/>
        <w:rPr>
          <w:rFonts w:hint="eastAsia" w:ascii="方正仿宋简体" w:hAnsi="方正仿宋简体" w:eastAsia="方正仿宋简体" w:cs="方正仿宋简体"/>
        </w:rPr>
      </w:pPr>
      <w:bookmarkStart w:id="16" w:name="_Toc_4_4_0000000012"/>
      <w:r>
        <w:rPr>
          <w:rFonts w:hint="eastAsia" w:ascii="方正仿宋简体" w:hAnsi="方正仿宋简体" w:eastAsia="方正仿宋简体" w:cs="方正仿宋简体"/>
          <w:color w:val="000000"/>
          <w:sz w:val="28"/>
        </w:rPr>
        <w:t>9.粮食流通统计调查经费及粮食监督检查工作经费绩效目标表</w:t>
      </w:r>
      <w:bookmarkEnd w:id="16"/>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8"/>
        <w:gridCol w:w="2326"/>
        <w:gridCol w:w="1772"/>
        <w:gridCol w:w="3006"/>
        <w:gridCol w:w="1376"/>
        <w:gridCol w:w="1346"/>
        <w:gridCol w:w="22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84"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256"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4098"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13028122P00312610001T</w:t>
            </w:r>
          </w:p>
        </w:tc>
        <w:tc>
          <w:tcPr>
            <w:tcW w:w="300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978"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粮食流通统计调查经费及粮食监督检查工作经费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2658"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32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300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7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134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25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2658" w:type="dxa"/>
            <w:vMerge w:val="continue"/>
            <w:noWrap w:val="0"/>
            <w:vAlign w:val="top"/>
          </w:tcPr>
          <w:p>
            <w:pPr>
              <w:rPr>
                <w:rFonts w:hint="eastAsia" w:ascii="方正仿宋简体" w:hAnsi="方正仿宋简体" w:eastAsia="方正仿宋简体" w:cs="方正仿宋简体"/>
              </w:rPr>
            </w:pPr>
          </w:p>
        </w:tc>
        <w:tc>
          <w:tcPr>
            <w:tcW w:w="12082"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用于粮食流通统计调查经费及粮食监督检查工作经费</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pPr>
              <w:pStyle w:val="40"/>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4098"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300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7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602"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Merge w:val="continue"/>
            <w:noWrap w:val="0"/>
            <w:vAlign w:val="top"/>
          </w:tcPr>
          <w:p>
            <w:pPr>
              <w:rPr>
                <w:rFonts w:hint="eastAsia" w:ascii="方正仿宋简体" w:hAnsi="方正仿宋简体" w:eastAsia="方正仿宋简体" w:cs="方正仿宋简体"/>
              </w:rPr>
            </w:pPr>
          </w:p>
        </w:tc>
        <w:tc>
          <w:tcPr>
            <w:tcW w:w="4098"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300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7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602"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082"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全市原粮市场和成品粮市场价格监测，掌握全市原粮市场玉米、小麦和成品粮市场面粉、大米、食用油价格，掌握规模粮食加工经营企业粮食经营情况，了解夏秋粮收购储存情况，为政府调控粮食市场提供依据。</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2.加大粮食市场执法大检查，进一步规范粮食市场秩序，保障粮油市场价格平稳。　 </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2"/>
        <w:gridCol w:w="1772"/>
        <w:gridCol w:w="2326"/>
        <w:gridCol w:w="3765"/>
        <w:gridCol w:w="1550"/>
        <w:gridCol w:w="2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8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77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32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76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55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64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政策性粮食监管率</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实际监管数量占应监管数量的比例</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vMerge w:val="continue"/>
            <w:noWrap w:val="0"/>
            <w:vAlign w:val="center"/>
          </w:tcPr>
          <w:p>
            <w:pPr>
              <w:rPr>
                <w:rFonts w:hint="eastAsia" w:ascii="方正仿宋简体" w:hAnsi="方正仿宋简体" w:eastAsia="方正仿宋简体" w:cs="方正仿宋简体"/>
              </w:rPr>
            </w:pP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储备粮质量完好率</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无质量问题粮食占全部储存数量的比例</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vMerge w:val="continue"/>
            <w:noWrap w:val="0"/>
            <w:vAlign w:val="center"/>
          </w:tcPr>
          <w:p>
            <w:pPr>
              <w:rPr>
                <w:rFonts w:hint="eastAsia" w:ascii="方正仿宋简体" w:hAnsi="方正仿宋简体" w:eastAsia="方正仿宋简体" w:cs="方正仿宋简体"/>
              </w:rPr>
            </w:pP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完成及时率</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反映全部工作任务完成的及时情况和效率情况</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vMerge w:val="continue"/>
            <w:noWrap w:val="0"/>
            <w:vAlign w:val="center"/>
          </w:tcPr>
          <w:p>
            <w:pPr>
              <w:rPr>
                <w:rFonts w:hint="eastAsia" w:ascii="方正仿宋简体" w:hAnsi="方正仿宋简体" w:eastAsia="方正仿宋简体" w:cs="方正仿宋简体"/>
              </w:rPr>
            </w:pP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节约项目开支</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践行厉行节约反对浪费制度体系建设</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vMerge w:val="continue"/>
            <w:noWrap w:val="0"/>
            <w:vAlign w:val="center"/>
          </w:tcPr>
          <w:p>
            <w:pPr>
              <w:rPr>
                <w:rFonts w:hint="eastAsia" w:ascii="方正仿宋简体" w:hAnsi="方正仿宋简体" w:eastAsia="方正仿宋简体" w:cs="方正仿宋简体"/>
              </w:rPr>
            </w:pP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案件办结率</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办结案件数量占立案案件总数的比率　</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vMerge w:val="continue"/>
            <w:noWrap w:val="0"/>
            <w:vAlign w:val="center"/>
          </w:tcPr>
          <w:p>
            <w:pPr>
              <w:rPr>
                <w:rFonts w:hint="eastAsia" w:ascii="方正仿宋简体" w:hAnsi="方正仿宋简体" w:eastAsia="方正仿宋简体" w:cs="方正仿宋简体"/>
              </w:rPr>
            </w:pP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对工作环境的改善程度</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对工作环境的改善程度　 </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vMerge w:val="continue"/>
            <w:noWrap w:val="0"/>
            <w:vAlign w:val="center"/>
          </w:tcPr>
          <w:p>
            <w:pPr>
              <w:rPr>
                <w:rFonts w:hint="eastAsia" w:ascii="方正仿宋简体" w:hAnsi="方正仿宋简体" w:eastAsia="方正仿宋简体" w:cs="方正仿宋简体"/>
              </w:rPr>
            </w:pP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维护粮食流通市场秩序</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保障粮食安全　 </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2"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32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37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受益群体调查中，满意和较满意的人数占全部调查人数的比率</w:t>
            </w:r>
          </w:p>
        </w:tc>
        <w:tc>
          <w:tcPr>
            <w:tcW w:w="15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45"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《河北省粮食流通管理规定》,《国家粮食流通统计制度》</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outlineLvl w:val="3"/>
        <w:rPr>
          <w:rFonts w:hint="eastAsia" w:ascii="方正仿宋简体" w:hAnsi="方正仿宋简体" w:eastAsia="方正仿宋简体" w:cs="方正仿宋简体"/>
        </w:rPr>
      </w:pPr>
      <w:bookmarkStart w:id="17" w:name="_Toc_4_4_0000000013"/>
      <w:r>
        <w:rPr>
          <w:rFonts w:hint="eastAsia" w:ascii="方正仿宋简体" w:hAnsi="方正仿宋简体" w:eastAsia="方正仿宋简体" w:cs="方正仿宋简体"/>
          <w:color w:val="000000"/>
          <w:sz w:val="28"/>
        </w:rPr>
        <w:t>10.农产品成本调查、成本监审、价格监测工作经费绩效目标表</w:t>
      </w:r>
      <w:bookmarkEnd w:id="17"/>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5"/>
        <w:gridCol w:w="1970"/>
        <w:gridCol w:w="1423"/>
        <w:gridCol w:w="2956"/>
        <w:gridCol w:w="1752"/>
        <w:gridCol w:w="1641"/>
        <w:gridCol w:w="21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87"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153"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393"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13028122P00312710001G</w:t>
            </w:r>
          </w:p>
        </w:tc>
        <w:tc>
          <w:tcPr>
            <w:tcW w:w="295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46"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农产品成本调查、成本监审、价格监测工作经费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5"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97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42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295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75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164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5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5" w:type="dxa"/>
            <w:vMerge w:val="continue"/>
            <w:noWrap w:val="0"/>
            <w:vAlign w:val="top"/>
          </w:tcPr>
          <w:p>
            <w:pPr>
              <w:rPr>
                <w:rFonts w:hint="eastAsia" w:ascii="方正仿宋简体" w:hAnsi="方正仿宋简体" w:eastAsia="方正仿宋简体" w:cs="方正仿宋简体"/>
              </w:rPr>
            </w:pPr>
          </w:p>
        </w:tc>
        <w:tc>
          <w:tcPr>
            <w:tcW w:w="11895"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用于农产品成本调查、成本监审、价格监测等支出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5"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393"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95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75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794"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5" w:type="dxa"/>
            <w:vMerge w:val="continue"/>
            <w:noWrap w:val="0"/>
            <w:vAlign w:val="top"/>
          </w:tcPr>
          <w:p>
            <w:pPr>
              <w:rPr>
                <w:rFonts w:hint="eastAsia" w:ascii="方正仿宋简体" w:hAnsi="方正仿宋简体" w:eastAsia="方正仿宋简体" w:cs="方正仿宋简体"/>
              </w:rPr>
            </w:pPr>
          </w:p>
        </w:tc>
        <w:tc>
          <w:tcPr>
            <w:tcW w:w="3393"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95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752"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794"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895"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1.加强对农户填报数据的指导，保证数据真实可靠、科学合理，做好种植业农产品成本收益情况的调查、分析和汇总，为国家调整产业政策提供依据</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2.对政府调定价项目的成本监审和成本调查工作，为政府制定价格提供依据；科学、有效地组织和规范价格监测工作，保障价格监测数据的真实性、准确性和及时性，为政府调控商品价格提供依据。</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1536"/>
        <w:gridCol w:w="2633"/>
        <w:gridCol w:w="2962"/>
        <w:gridCol w:w="1316"/>
        <w:gridCol w:w="3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3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53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3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96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1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45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农产品成本调查完成率</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实际完成农产品调查任务占应完成任务的比率</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pPr>
              <w:rPr>
                <w:rFonts w:hint="eastAsia" w:ascii="方正仿宋简体" w:hAnsi="方正仿宋简体" w:eastAsia="方正仿宋简体" w:cs="方正仿宋简体"/>
              </w:rPr>
            </w:pP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价格监测任务完成率</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实际完成价格监测任务占应完成任务的比率</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pPr>
              <w:rPr>
                <w:rFonts w:hint="eastAsia" w:ascii="方正仿宋简体" w:hAnsi="方正仿宋简体" w:eastAsia="方正仿宋简体" w:cs="方正仿宋简体"/>
              </w:rPr>
            </w:pP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完成及时率</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反映全部工作任务完成的及时程度和效率情况。</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pPr>
              <w:rPr>
                <w:rFonts w:hint="eastAsia" w:ascii="方正仿宋简体" w:hAnsi="方正仿宋简体" w:eastAsia="方正仿宋简体" w:cs="方正仿宋简体"/>
              </w:rPr>
            </w:pP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节约项目开支</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践行厉行节约反对浪费制度体系建设</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pPr>
              <w:rPr>
                <w:rFonts w:hint="eastAsia" w:ascii="方正仿宋简体" w:hAnsi="方正仿宋简体" w:eastAsia="方正仿宋简体" w:cs="方正仿宋简体"/>
              </w:rPr>
            </w:pP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真实性</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按监测数据据实上报</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pPr>
              <w:rPr>
                <w:rFonts w:hint="eastAsia" w:ascii="方正仿宋简体" w:hAnsi="方正仿宋简体" w:eastAsia="方正仿宋简体" w:cs="方正仿宋简体"/>
              </w:rPr>
            </w:pP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工作环境改善程度</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对工作环境的改善程度　 </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vMerge w:val="continue"/>
            <w:noWrap w:val="0"/>
            <w:vAlign w:val="center"/>
          </w:tcPr>
          <w:p>
            <w:pPr>
              <w:rPr>
                <w:rFonts w:hint="eastAsia" w:ascii="方正仿宋简体" w:hAnsi="方正仿宋简体" w:eastAsia="方正仿宋简体" w:cs="方正仿宋简体"/>
              </w:rPr>
            </w:pP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工作环境改善程度</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对工作环境的改善程度</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6"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5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3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96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通过问卷调查，满意和较满意的服务对象占全部调研对象的比例</w:t>
            </w:r>
          </w:p>
        </w:tc>
        <w:tc>
          <w:tcPr>
            <w:tcW w:w="131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45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《农产品成本调查补助资金使用管理办法》（财建[2003]237号)，《河北省价格监测规定》</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outlineLvl w:val="3"/>
        <w:rPr>
          <w:rFonts w:hint="eastAsia" w:ascii="方正仿宋简体" w:hAnsi="方正仿宋简体" w:eastAsia="方正仿宋简体" w:cs="方正仿宋简体"/>
        </w:rPr>
      </w:pPr>
      <w:bookmarkStart w:id="18" w:name="_Toc_4_4_0000000014"/>
      <w:r>
        <w:rPr>
          <w:rFonts w:hint="eastAsia" w:ascii="方正仿宋简体" w:hAnsi="方正仿宋简体" w:eastAsia="方正仿宋简体" w:cs="方正仿宋简体"/>
          <w:color w:val="000000"/>
          <w:sz w:val="28"/>
        </w:rPr>
        <w:t>11.涉案资产鉴定工作经费绩效目标表</w:t>
      </w:r>
      <w:bookmarkEnd w:id="18"/>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4"/>
        <w:gridCol w:w="2683"/>
        <w:gridCol w:w="1342"/>
        <w:gridCol w:w="3018"/>
        <w:gridCol w:w="1230"/>
        <w:gridCol w:w="1650"/>
        <w:gridCol w:w="24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37"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403"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4025"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13028122P003125100015</w:t>
            </w:r>
          </w:p>
        </w:tc>
        <w:tc>
          <w:tcPr>
            <w:tcW w:w="301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83"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涉案资产鉴定工作经费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68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11.00</w:t>
            </w:r>
          </w:p>
        </w:tc>
        <w:tc>
          <w:tcPr>
            <w:tcW w:w="301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23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11.00</w:t>
            </w:r>
          </w:p>
        </w:tc>
        <w:tc>
          <w:tcPr>
            <w:tcW w:w="165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40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Merge w:val="continue"/>
            <w:noWrap w:val="0"/>
            <w:vAlign w:val="top"/>
          </w:tcPr>
          <w:p>
            <w:pPr>
              <w:rPr>
                <w:rFonts w:hint="eastAsia" w:ascii="方正仿宋简体" w:hAnsi="方正仿宋简体" w:eastAsia="方正仿宋简体" w:cs="方正仿宋简体"/>
              </w:rPr>
            </w:pPr>
          </w:p>
        </w:tc>
        <w:tc>
          <w:tcPr>
            <w:tcW w:w="12326"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用于涉案资产鉴定工作经费</w:t>
            </w:r>
            <w:r>
              <w:rPr>
                <w:rFonts w:hint="eastAsia" w:ascii="方正仿宋简体" w:hAnsi="方正仿宋简体" w:eastAsia="方正仿宋简体" w:cs="方正仿宋简体"/>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4025"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301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23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4053"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Merge w:val="continue"/>
            <w:noWrap w:val="0"/>
            <w:vAlign w:val="top"/>
          </w:tcPr>
          <w:p>
            <w:pPr>
              <w:rPr>
                <w:rFonts w:hint="eastAsia" w:ascii="方正仿宋简体" w:hAnsi="方正仿宋简体" w:eastAsia="方正仿宋简体" w:cs="方正仿宋简体"/>
              </w:rPr>
            </w:pPr>
          </w:p>
        </w:tc>
        <w:tc>
          <w:tcPr>
            <w:tcW w:w="4025"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3018"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2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053"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326"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1.依法依规认定，确保调查数据真实、客观，认定结论准确。</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2.扎实做好涉纪检监察、涉刑事案件价格认定工作以及涉行政事项价格认定工作。</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1881"/>
        <w:gridCol w:w="1913"/>
        <w:gridCol w:w="3236"/>
        <w:gridCol w:w="1227"/>
        <w:gridCol w:w="4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88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91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23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2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406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价格认定件数</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受理价格认定的案件数量</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≥50件</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noWrap w:val="0"/>
            <w:vAlign w:val="center"/>
          </w:tcPr>
          <w:p>
            <w:pPr>
              <w:rPr>
                <w:rFonts w:hint="eastAsia" w:ascii="方正仿宋简体" w:hAnsi="方正仿宋简体" w:eastAsia="方正仿宋简体" w:cs="方正仿宋简体"/>
              </w:rPr>
            </w:pP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办案准确率</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准确办理案件的数量占办理案件总数的比例</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noWrap w:val="0"/>
            <w:vAlign w:val="center"/>
          </w:tcPr>
          <w:p>
            <w:pPr>
              <w:rPr>
                <w:rFonts w:hint="eastAsia" w:ascii="方正仿宋简体" w:hAnsi="方正仿宋简体" w:eastAsia="方正仿宋简体" w:cs="方正仿宋简体"/>
              </w:rPr>
            </w:pP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完成及时率</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反映全部工作任务完成的及时程度和效率情况</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noWrap w:val="0"/>
            <w:vAlign w:val="center"/>
          </w:tcPr>
          <w:p>
            <w:pPr>
              <w:rPr>
                <w:rFonts w:hint="eastAsia" w:ascii="方正仿宋简体" w:hAnsi="方正仿宋简体" w:eastAsia="方正仿宋简体" w:cs="方正仿宋简体"/>
              </w:rPr>
            </w:pP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节约项目开支　 </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践行厉行节约反对浪费制度体系建设</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noWrap w:val="0"/>
            <w:vAlign w:val="center"/>
          </w:tcPr>
          <w:p>
            <w:pPr>
              <w:rPr>
                <w:rFonts w:hint="eastAsia" w:ascii="方正仿宋简体" w:hAnsi="方正仿宋简体" w:eastAsia="方正仿宋简体" w:cs="方正仿宋简体"/>
              </w:rPr>
            </w:pP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案件办结率</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办结案件占受理案件的比例</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noWrap w:val="0"/>
            <w:vAlign w:val="center"/>
          </w:tcPr>
          <w:p>
            <w:pPr>
              <w:rPr>
                <w:rFonts w:hint="eastAsia" w:ascii="方正仿宋简体" w:hAnsi="方正仿宋简体" w:eastAsia="方正仿宋简体" w:cs="方正仿宋简体"/>
              </w:rPr>
            </w:pP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工作环境改善程度</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对工作环境的改善程度 </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noWrap w:val="0"/>
            <w:vAlign w:val="center"/>
          </w:tcPr>
          <w:p>
            <w:pPr>
              <w:rPr>
                <w:rFonts w:hint="eastAsia" w:ascii="方正仿宋简体" w:hAnsi="方正仿宋简体" w:eastAsia="方正仿宋简体" w:cs="方正仿宋简体"/>
              </w:rPr>
            </w:pP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提供价格保障服务</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为司法机关办理相关案件、为行政工作提供依据。</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881"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13"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32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通过问卷调查，满意和较满意的服务对象占全部调研对象的比率</w:t>
            </w:r>
          </w:p>
        </w:tc>
        <w:tc>
          <w:tcPr>
            <w:tcW w:w="122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0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《价格认定管理办法》（[2015]2251号)</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outlineLvl w:val="3"/>
        <w:rPr>
          <w:rFonts w:hint="eastAsia" w:ascii="方正仿宋简体" w:hAnsi="方正仿宋简体" w:eastAsia="方正仿宋简体" w:cs="方正仿宋简体"/>
        </w:rPr>
      </w:pPr>
      <w:bookmarkStart w:id="19" w:name="_Toc_4_4_0000000015"/>
      <w:r>
        <w:rPr>
          <w:rFonts w:hint="eastAsia" w:ascii="方正仿宋简体" w:hAnsi="方正仿宋简体" w:eastAsia="方正仿宋简体" w:cs="方正仿宋简体"/>
          <w:color w:val="000000"/>
          <w:sz w:val="28"/>
        </w:rPr>
        <w:t>12.应急成品粮油转为市级成品粮油常规应急储备费用绩效目标表</w:t>
      </w:r>
      <w:bookmarkEnd w:id="19"/>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0"/>
        <w:gridCol w:w="2688"/>
        <w:gridCol w:w="1344"/>
        <w:gridCol w:w="3024"/>
        <w:gridCol w:w="2177"/>
        <w:gridCol w:w="1361"/>
        <w:gridCol w:w="196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74"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1966"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4032"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13028122P00312910001U</w:t>
            </w:r>
          </w:p>
        </w:tc>
        <w:tc>
          <w:tcPr>
            <w:tcW w:w="302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04"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应急成品粮油转为市级成品粮油常规应急储备费用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68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4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11.00</w:t>
            </w:r>
          </w:p>
        </w:tc>
        <w:tc>
          <w:tcPr>
            <w:tcW w:w="302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21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11.00</w:t>
            </w:r>
          </w:p>
        </w:tc>
        <w:tc>
          <w:tcPr>
            <w:tcW w:w="136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96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0" w:type="dxa"/>
            <w:vMerge w:val="continue"/>
            <w:noWrap w:val="0"/>
            <w:vAlign w:val="top"/>
          </w:tcPr>
          <w:p>
            <w:pPr>
              <w:rPr>
                <w:rFonts w:hint="eastAsia" w:ascii="方正仿宋简体" w:hAnsi="方正仿宋简体" w:eastAsia="方正仿宋简体" w:cs="方正仿宋简体"/>
              </w:rPr>
            </w:pPr>
          </w:p>
        </w:tc>
        <w:tc>
          <w:tcPr>
            <w:tcW w:w="12560"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用于应急成品粮油转为市级成品粮油常规应急储备费用</w:t>
            </w:r>
            <w:r>
              <w:rPr>
                <w:rFonts w:hint="eastAsia" w:ascii="方正仿宋简体" w:hAnsi="方正仿宋简体" w:eastAsia="方正仿宋简体" w:cs="方正仿宋简体"/>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4032"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302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7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327"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0" w:type="dxa"/>
            <w:vMerge w:val="continue"/>
            <w:noWrap w:val="0"/>
            <w:vAlign w:val="top"/>
          </w:tcPr>
          <w:p>
            <w:pPr>
              <w:rPr>
                <w:rFonts w:hint="eastAsia" w:ascii="方正仿宋简体" w:hAnsi="方正仿宋简体" w:eastAsia="方正仿宋简体" w:cs="方正仿宋简体"/>
              </w:rPr>
            </w:pPr>
          </w:p>
        </w:tc>
        <w:tc>
          <w:tcPr>
            <w:tcW w:w="4032"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3024"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2177"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327"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560"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1.对达到储存期限的粮食及时轮换，支付轮换费用，做好成品粮油储备粮轮换工作。</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2.确保我市储备粮储存安全，确保储备粮储的进、管得好、调的动，用的上，确保粮食库存数量真实，质量良好。</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0"/>
        <w:gridCol w:w="1677"/>
        <w:gridCol w:w="2124"/>
        <w:gridCol w:w="4136"/>
        <w:gridCol w:w="1342"/>
        <w:gridCol w:w="3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67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12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413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4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27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储备物资数量（吨）</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储备物资实际库存数量与采购数相符</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386.8吨</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vMerge w:val="continue"/>
            <w:noWrap w:val="0"/>
            <w:vAlign w:val="center"/>
          </w:tcPr>
          <w:p>
            <w:pPr>
              <w:rPr>
                <w:rFonts w:hint="eastAsia" w:ascii="方正仿宋简体" w:hAnsi="方正仿宋简体" w:eastAsia="方正仿宋简体" w:cs="方正仿宋简体"/>
              </w:rPr>
            </w:pP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储备物资质量完好率（%）</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无质量问题储备粮数量占全部储存数量的比率</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vMerge w:val="continue"/>
            <w:noWrap w:val="0"/>
            <w:vAlign w:val="center"/>
          </w:tcPr>
          <w:p>
            <w:pPr>
              <w:rPr>
                <w:rFonts w:hint="eastAsia" w:ascii="方正仿宋简体" w:hAnsi="方正仿宋简体" w:eastAsia="方正仿宋简体" w:cs="方正仿宋简体"/>
              </w:rPr>
            </w:pP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按规定时限定期轮换率</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按规定时限定期轮换率</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vMerge w:val="continue"/>
            <w:noWrap w:val="0"/>
            <w:vAlign w:val="center"/>
          </w:tcPr>
          <w:p>
            <w:pPr>
              <w:rPr>
                <w:rFonts w:hint="eastAsia" w:ascii="方正仿宋简体" w:hAnsi="方正仿宋简体" w:eastAsia="方正仿宋简体" w:cs="方正仿宋简体"/>
              </w:rPr>
            </w:pP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预算资金完成率 </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市场价格稳定率</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发生突发事件时保证粮食市场价格稳定</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vMerge w:val="continue"/>
            <w:noWrap w:val="0"/>
            <w:vAlign w:val="center"/>
          </w:tcPr>
          <w:p>
            <w:pPr>
              <w:rPr>
                <w:rFonts w:hint="eastAsia" w:ascii="方正仿宋简体" w:hAnsi="方正仿宋简体" w:eastAsia="方正仿宋简体" w:cs="方正仿宋简体"/>
              </w:rPr>
            </w:pP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储备物资应急保障率（%）</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储备粮实际应急供应量占计划供应量的比率</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vMerge w:val="continue"/>
            <w:noWrap w:val="0"/>
            <w:vAlign w:val="center"/>
          </w:tcPr>
          <w:p>
            <w:pPr>
              <w:rPr>
                <w:rFonts w:hint="eastAsia" w:ascii="方正仿宋简体" w:hAnsi="方正仿宋简体" w:eastAsia="方正仿宋简体" w:cs="方正仿宋简体"/>
              </w:rPr>
            </w:pP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维护市场稳定</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保证粮食市场稳定　 </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vMerge w:val="continue"/>
            <w:noWrap w:val="0"/>
            <w:vAlign w:val="center"/>
          </w:tcPr>
          <w:p>
            <w:pPr>
              <w:rPr>
                <w:rFonts w:hint="eastAsia" w:ascii="方正仿宋简体" w:hAnsi="方正仿宋简体" w:eastAsia="方正仿宋简体" w:cs="方正仿宋简体"/>
              </w:rPr>
            </w:pP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对市区人口粮食供应提供可持续性保障</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对我市城镇人口紧急情况下的粮食供应提供可持续性保障　 </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7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12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41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受益群体调查中，满意和较满意的人数占全部调查人数的比率</w:t>
            </w:r>
          </w:p>
        </w:tc>
        <w:tc>
          <w:tcPr>
            <w:tcW w:w="134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271" w:type="dxa"/>
            <w:noWrap w:val="0"/>
            <w:vAlign w:val="center"/>
          </w:tcPr>
          <w:p>
            <w:pPr>
              <w:pStyle w:val="4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遵化市人民政府关于贯彻落实粮食安全责任制的实施意见（遵政字[2016]14号）</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r>
        <w:rPr>
          <w:rFonts w:hint="eastAsia" w:ascii="方正仿宋简体" w:hAnsi="方正仿宋简体" w:eastAsia="方正仿宋简体" w:cs="方正仿宋简体"/>
        </w:rPr>
        <w:t xml:space="preserve"> </w:t>
      </w:r>
    </w:p>
    <w:p>
      <w:pPr>
        <w:rPr>
          <w:rFonts w:hint="eastAsia" w:ascii="方正仿宋简体" w:hAnsi="方正仿宋简体" w:eastAsia="方正仿宋简体" w:cs="方正仿宋简体"/>
        </w:rPr>
      </w:pPr>
      <w:bookmarkStart w:id="20" w:name="_Toc_4_4_0000000016"/>
      <w:r>
        <w:rPr>
          <w:rFonts w:hint="eastAsia" w:ascii="方正仿宋简体" w:hAnsi="方正仿宋简体" w:eastAsia="方正仿宋简体" w:cs="方正仿宋简体"/>
          <w:color w:val="000000"/>
          <w:sz w:val="28"/>
        </w:rPr>
        <w:t>13.政策性粮食财务挂账利息绩效目标表</w:t>
      </w:r>
      <w:bookmarkEnd w:id="20"/>
    </w:p>
    <w:tbl>
      <w:tblPr>
        <w:tblStyle w:val="13"/>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9"/>
        <w:gridCol w:w="2648"/>
        <w:gridCol w:w="1434"/>
        <w:gridCol w:w="3422"/>
        <w:gridCol w:w="1370"/>
        <w:gridCol w:w="1341"/>
        <w:gridCol w:w="19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04"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1936"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4082"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13028122P003128100016</w:t>
            </w:r>
          </w:p>
        </w:tc>
        <w:tc>
          <w:tcPr>
            <w:tcW w:w="342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647"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政策性粮食财务挂账利息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9"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648"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43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118.00</w:t>
            </w:r>
          </w:p>
        </w:tc>
        <w:tc>
          <w:tcPr>
            <w:tcW w:w="342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7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118.00</w:t>
            </w:r>
          </w:p>
        </w:tc>
        <w:tc>
          <w:tcPr>
            <w:tcW w:w="134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936"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9" w:type="dxa"/>
            <w:vMerge w:val="continue"/>
            <w:noWrap w:val="0"/>
            <w:vAlign w:val="top"/>
          </w:tcPr>
          <w:p>
            <w:pPr>
              <w:rPr>
                <w:rFonts w:hint="eastAsia" w:ascii="方正仿宋简体" w:hAnsi="方正仿宋简体" w:eastAsia="方正仿宋简体" w:cs="方正仿宋简体"/>
              </w:rPr>
            </w:pPr>
          </w:p>
        </w:tc>
        <w:tc>
          <w:tcPr>
            <w:tcW w:w="12151"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用于政策性粮食财务挂账利息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9"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4082"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342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7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277"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9" w:type="dxa"/>
            <w:vMerge w:val="continue"/>
            <w:noWrap w:val="0"/>
            <w:vAlign w:val="top"/>
          </w:tcPr>
          <w:p>
            <w:pPr>
              <w:rPr>
                <w:rFonts w:hint="eastAsia" w:ascii="方正仿宋简体" w:hAnsi="方正仿宋简体" w:eastAsia="方正仿宋简体" w:cs="方正仿宋简体"/>
              </w:rPr>
            </w:pPr>
          </w:p>
        </w:tc>
        <w:tc>
          <w:tcPr>
            <w:tcW w:w="4082"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3422"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7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277"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151"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1.严格执行《河北省粮食风险基金管理办法》</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2.按银行提供的计息单按时拨付政策性粮食财务挂账利息，加强政策性挂账利息的管理，确保利息计算准确、资金安全划入专户核算，拨付及时，确保各项粮改政策的落实。</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3"/>
        <w:gridCol w:w="1660"/>
        <w:gridCol w:w="2325"/>
        <w:gridCol w:w="2435"/>
        <w:gridCol w:w="1107"/>
        <w:gridCol w:w="4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73"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66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3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43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0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464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归还贷款利息金额</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应归还贷款利息金额</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118万元</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依利率调整履行合同</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依利率调整履行合同情况</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归还贷款利息及时率</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归还贷款利息及时情况</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节约项目开支</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及时还息，不造成额外开支</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资金到位率</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到账资金占拨付资金的比率</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信用良好率 </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保持良好的信用体系建设　　 </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避免违约率</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做好政策性挂账贷款相关工作</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3"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3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受益对象满意度</w:t>
            </w:r>
          </w:p>
        </w:tc>
        <w:tc>
          <w:tcPr>
            <w:tcW w:w="243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通过问卷调查，满意和较满意的受益对象占全部调研对象的比率</w:t>
            </w:r>
          </w:p>
        </w:tc>
        <w:tc>
          <w:tcPr>
            <w:tcW w:w="1107"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64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河北省财政厅关于印发《河北省粮食风险基金管理办法》的通知（冀财建[2014]101号）</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ind w:firstLine="280" w:firstLineChars="100"/>
        <w:outlineLvl w:val="3"/>
        <w:rPr>
          <w:rFonts w:hint="eastAsia" w:ascii="方正仿宋简体" w:hAnsi="方正仿宋简体" w:eastAsia="方正仿宋简体" w:cs="方正仿宋简体"/>
        </w:rPr>
      </w:pPr>
      <w:bookmarkStart w:id="21" w:name="_Toc_4_4_0000000017"/>
      <w:r>
        <w:rPr>
          <w:rFonts w:hint="eastAsia" w:ascii="方正仿宋简体" w:hAnsi="方正仿宋简体" w:eastAsia="方正仿宋简体" w:cs="方正仿宋简体"/>
          <w:color w:val="000000"/>
          <w:sz w:val="28"/>
        </w:rPr>
        <w:t>14.重点项目工作经费绩效目标表</w:t>
      </w:r>
      <w:bookmarkEnd w:id="21"/>
    </w:p>
    <w:tbl>
      <w:tblPr>
        <w:tblStyle w:val="13"/>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0"/>
        <w:gridCol w:w="2116"/>
        <w:gridCol w:w="1365"/>
        <w:gridCol w:w="2737"/>
        <w:gridCol w:w="1304"/>
        <w:gridCol w:w="1276"/>
        <w:gridCol w:w="25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88"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572"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481" w:type="dxa"/>
            <w:gridSpan w:val="2"/>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13028122P00312410001F</w:t>
            </w:r>
          </w:p>
        </w:tc>
        <w:tc>
          <w:tcPr>
            <w:tcW w:w="273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152" w:type="dxa"/>
            <w:gridSpan w:val="3"/>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1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6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37.00</w:t>
            </w:r>
          </w:p>
        </w:tc>
        <w:tc>
          <w:tcPr>
            <w:tcW w:w="273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04"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37.00</w:t>
            </w:r>
          </w:p>
        </w:tc>
        <w:tc>
          <w:tcPr>
            <w:tcW w:w="127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57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0" w:type="dxa"/>
            <w:vMerge w:val="continue"/>
            <w:noWrap w:val="0"/>
            <w:vAlign w:val="top"/>
          </w:tcPr>
          <w:p>
            <w:pPr>
              <w:rPr>
                <w:rFonts w:hint="eastAsia" w:ascii="方正仿宋简体" w:hAnsi="方正仿宋简体" w:eastAsia="方正仿宋简体" w:cs="方正仿宋简体"/>
              </w:rPr>
            </w:pPr>
          </w:p>
        </w:tc>
        <w:tc>
          <w:tcPr>
            <w:tcW w:w="11370"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发挥好协调职能，牵头做好相关工作的协调调度，为领导决策提供依据，确保全市国民经济平稳较快发展。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481"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73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848"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0" w:type="dxa"/>
            <w:vMerge w:val="continue"/>
            <w:noWrap w:val="0"/>
            <w:vAlign w:val="top"/>
          </w:tcPr>
          <w:p>
            <w:pPr>
              <w:rPr>
                <w:rFonts w:hint="eastAsia" w:ascii="方正仿宋简体" w:hAnsi="方正仿宋简体" w:eastAsia="方正仿宋简体" w:cs="方正仿宋简体"/>
              </w:rPr>
            </w:pPr>
          </w:p>
        </w:tc>
        <w:tc>
          <w:tcPr>
            <w:tcW w:w="3481"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737"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1304"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3848"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370" w:type="dxa"/>
            <w:gridSpan w:val="6"/>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1.争取更多的项目列入省市重点项目计划，确保完成全市各项项目建设任务目标。</w:t>
            </w:r>
          </w:p>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2.加大项目储备，努力实现谋划储备、开工建设一批、竣工投产一批的良性发展格局。</w:t>
            </w:r>
          </w:p>
        </w:tc>
      </w:tr>
    </w:tbl>
    <w:p>
      <w:pPr>
        <w:spacing w:line="2"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0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1"/>
        <w:gridCol w:w="1722"/>
        <w:gridCol w:w="1995"/>
        <w:gridCol w:w="2625"/>
        <w:gridCol w:w="1260"/>
        <w:gridCol w:w="3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81"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72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99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2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6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76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重点项目活动次数</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提前谋划，周密组织，确实唐山及市本级重大项目活动顺利开展，达到理想效果　</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≥6次</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Merge w:val="continue"/>
            <w:noWrap w:val="0"/>
            <w:vAlign w:val="center"/>
          </w:tcPr>
          <w:p>
            <w:pPr>
              <w:rPr>
                <w:rFonts w:hint="eastAsia" w:ascii="方正仿宋简体" w:hAnsi="方正仿宋简体" w:eastAsia="方正仿宋简体" w:cs="方正仿宋简体"/>
              </w:rPr>
            </w:pP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重点项目验收合格率</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验收合格项目占当年建设项目的比率</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Merge w:val="continue"/>
            <w:noWrap w:val="0"/>
            <w:vAlign w:val="center"/>
          </w:tcPr>
          <w:p>
            <w:pPr>
              <w:rPr>
                <w:rFonts w:hint="eastAsia" w:ascii="方正仿宋简体" w:hAnsi="方正仿宋简体" w:eastAsia="方正仿宋简体" w:cs="方正仿宋简体"/>
              </w:rPr>
            </w:pP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报销时效性</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按照审批程序及时报销</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Merge w:val="continue"/>
            <w:noWrap w:val="0"/>
            <w:vAlign w:val="center"/>
          </w:tcPr>
          <w:p>
            <w:pPr>
              <w:rPr>
                <w:rFonts w:hint="eastAsia" w:ascii="方正仿宋简体" w:hAnsi="方正仿宋简体" w:eastAsia="方正仿宋简体" w:cs="方正仿宋简体"/>
              </w:rPr>
            </w:pP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Merge w:val="restart"/>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节约项目开支</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践行厉行节约反对浪费制度体系建设</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Merge w:val="continue"/>
            <w:noWrap w:val="0"/>
            <w:vAlign w:val="center"/>
          </w:tcPr>
          <w:p>
            <w:pPr>
              <w:rPr>
                <w:rFonts w:hint="eastAsia" w:ascii="方正仿宋简体" w:hAnsi="方正仿宋简体" w:eastAsia="方正仿宋简体" w:cs="方正仿宋简体"/>
              </w:rPr>
            </w:pP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重点项目建设完成率</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重点项目建设完成全年建设计划率 </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Merge w:val="continue"/>
            <w:noWrap w:val="0"/>
            <w:vAlign w:val="center"/>
          </w:tcPr>
          <w:p>
            <w:pPr>
              <w:rPr>
                <w:rFonts w:hint="eastAsia" w:ascii="方正仿宋简体" w:hAnsi="方正仿宋简体" w:eastAsia="方正仿宋简体" w:cs="方正仿宋简体"/>
              </w:rPr>
            </w:pP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工作环境改善程度</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对工作环境的改善程度　 </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vMerge w:val="continue"/>
            <w:noWrap w:val="0"/>
            <w:vAlign w:val="center"/>
          </w:tcPr>
          <w:p>
            <w:pPr>
              <w:rPr>
                <w:rFonts w:hint="eastAsia" w:ascii="方正仿宋简体" w:hAnsi="方正仿宋简体" w:eastAsia="方正仿宋简体" w:cs="方正仿宋简体"/>
              </w:rPr>
            </w:pP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稳增长、调结构</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促进经济振兴惠民生</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1"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722"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9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262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受益群体调查中，满意和较满意的人数占全部调查人数的比率</w:t>
            </w:r>
          </w:p>
        </w:tc>
        <w:tc>
          <w:tcPr>
            <w:tcW w:w="12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76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中共遵化市委办公室、遵化市人民政府办公室关于印发《遵化市发展和改革局职责配置、内设机构和人员编制规定》的通知（遵办字[2019]41号）。</w:t>
            </w:r>
          </w:p>
        </w:tc>
      </w:tr>
    </w:tbl>
    <w:p>
      <w:pPr>
        <w:rPr>
          <w:rFonts w:hint="eastAsia" w:ascii="方正仿宋简体" w:hAnsi="方正仿宋简体" w:eastAsia="方正仿宋简体" w:cs="方正仿宋简体"/>
        </w:rPr>
        <w:sectPr>
          <w:pgSz w:w="16840" w:h="11900" w:orient="landscape"/>
          <w:pgMar w:top="1304" w:right="1134" w:bottom="1304" w:left="1985" w:header="720" w:footer="720" w:gutter="0"/>
          <w:cols w:space="720" w:num="1"/>
        </w:sectPr>
      </w:pPr>
    </w:p>
    <w:p>
      <w:pPr>
        <w:ind w:firstLine="560" w:firstLineChars="200"/>
        <w:outlineLvl w:val="3"/>
        <w:rPr>
          <w:rFonts w:hint="eastAsia" w:ascii="方正仿宋简体" w:hAnsi="方正仿宋简体" w:eastAsia="方正仿宋简体" w:cs="方正仿宋简体"/>
        </w:rPr>
      </w:pPr>
      <w:bookmarkStart w:id="22" w:name="_Toc_4_4_0000000018"/>
      <w:r>
        <w:rPr>
          <w:rFonts w:hint="eastAsia" w:ascii="方正仿宋简体" w:hAnsi="方正仿宋简体" w:eastAsia="方正仿宋简体" w:cs="方正仿宋简体"/>
          <w:color w:val="000000"/>
          <w:sz w:val="28"/>
        </w:rPr>
        <w:t>15.重点项目建设考核奖励资金项目绩效目标表</w:t>
      </w:r>
      <w:bookmarkEnd w:id="22"/>
    </w:p>
    <w:tbl>
      <w:tblPr>
        <w:tblStyle w:val="13"/>
        <w:tblW w:w="141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2100"/>
        <w:gridCol w:w="1245"/>
        <w:gridCol w:w="2790"/>
        <w:gridCol w:w="2340"/>
        <w:gridCol w:w="2100"/>
        <w:gridCol w:w="20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61" w:type="dxa"/>
            <w:gridSpan w:val="6"/>
            <w:tcBorders>
              <w:top w:val="single" w:color="FFFFFF" w:sz="6" w:space="0"/>
              <w:left w:val="single" w:color="FFFFFF" w:sz="6" w:space="0"/>
              <w:right w:val="single" w:color="FFFFFF" w:sz="6" w:space="0"/>
            </w:tcBorders>
            <w:noWrap w:val="0"/>
            <w:vAlign w:val="center"/>
          </w:tcPr>
          <w:p>
            <w:pPr>
              <w:pStyle w:val="3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303001遵化市发展和改革局本级</w:t>
            </w:r>
          </w:p>
        </w:tc>
        <w:tc>
          <w:tcPr>
            <w:tcW w:w="2005" w:type="dxa"/>
            <w:tcBorders>
              <w:top w:val="single" w:color="FFFFFF" w:sz="6" w:space="0"/>
              <w:left w:val="single" w:color="FFFFFF" w:sz="6" w:space="0"/>
              <w:right w:val="single" w:color="FFFFFF" w:sz="6" w:space="0"/>
            </w:tcBorders>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586"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345" w:type="dxa"/>
            <w:gridSpan w:val="2"/>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13028122P00337310001D</w:t>
            </w:r>
          </w:p>
        </w:tc>
        <w:tc>
          <w:tcPr>
            <w:tcW w:w="279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445" w:type="dxa"/>
            <w:gridSpan w:val="3"/>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重点项目建设考核奖励资金项目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586" w:type="dxa"/>
            <w:vMerge w:val="restart"/>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0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24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381.00</w:t>
            </w:r>
          </w:p>
        </w:tc>
        <w:tc>
          <w:tcPr>
            <w:tcW w:w="279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23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381.00</w:t>
            </w:r>
          </w:p>
        </w:tc>
        <w:tc>
          <w:tcPr>
            <w:tcW w:w="210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00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586" w:type="dxa"/>
            <w:vMerge w:val="continue"/>
            <w:noWrap w:val="0"/>
            <w:vAlign w:val="top"/>
          </w:tcPr>
          <w:p>
            <w:pPr>
              <w:spacing w:line="200" w:lineRule="exact"/>
              <w:rPr>
                <w:rFonts w:hint="eastAsia" w:ascii="方正仿宋简体" w:hAnsi="方正仿宋简体" w:eastAsia="方正仿宋简体" w:cs="方正仿宋简体"/>
              </w:rPr>
            </w:pPr>
          </w:p>
        </w:tc>
        <w:tc>
          <w:tcPr>
            <w:tcW w:w="12580" w:type="dxa"/>
            <w:gridSpan w:val="6"/>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用于重点项目建设考核奖励资金支出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86" w:type="dxa"/>
            <w:vMerge w:val="restart"/>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345" w:type="dxa"/>
            <w:gridSpan w:val="2"/>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79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34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4105" w:type="dxa"/>
            <w:gridSpan w:val="2"/>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Merge w:val="continue"/>
            <w:noWrap w:val="0"/>
            <w:vAlign w:val="top"/>
          </w:tcPr>
          <w:p>
            <w:pPr>
              <w:spacing w:line="200" w:lineRule="exact"/>
              <w:rPr>
                <w:rFonts w:hint="eastAsia" w:ascii="方正仿宋简体" w:hAnsi="方正仿宋简体" w:eastAsia="方正仿宋简体" w:cs="方正仿宋简体"/>
              </w:rPr>
            </w:pPr>
          </w:p>
        </w:tc>
        <w:tc>
          <w:tcPr>
            <w:tcW w:w="3345"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30</w:t>
            </w:r>
            <w:r>
              <w:rPr>
                <w:rFonts w:hint="eastAsia" w:ascii="方正仿宋简体" w:hAnsi="方正仿宋简体" w:eastAsia="方正仿宋简体" w:cs="方正仿宋简体"/>
              </w:rPr>
              <w:t>%</w:t>
            </w:r>
          </w:p>
        </w:tc>
        <w:tc>
          <w:tcPr>
            <w:tcW w:w="279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6</w:t>
            </w:r>
            <w:r>
              <w:rPr>
                <w:rFonts w:hint="eastAsia" w:ascii="方正仿宋简体" w:hAnsi="方正仿宋简体" w:eastAsia="方正仿宋简体" w:cs="方正仿宋简体"/>
              </w:rPr>
              <w:t>0%</w:t>
            </w:r>
          </w:p>
        </w:tc>
        <w:tc>
          <w:tcPr>
            <w:tcW w:w="234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90</w:t>
            </w:r>
            <w:r>
              <w:rPr>
                <w:rFonts w:hint="eastAsia" w:ascii="方正仿宋简体" w:hAnsi="方正仿宋简体" w:eastAsia="方正仿宋简体" w:cs="方正仿宋简体"/>
              </w:rPr>
              <w:t>%</w:t>
            </w:r>
          </w:p>
        </w:tc>
        <w:tc>
          <w:tcPr>
            <w:tcW w:w="4105" w:type="dxa"/>
            <w:gridSpan w:val="2"/>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580" w:type="dxa"/>
            <w:gridSpan w:val="6"/>
            <w:noWrap w:val="0"/>
            <w:vAlign w:val="center"/>
          </w:tcPr>
          <w:p>
            <w:pPr>
              <w:pStyle w:val="40"/>
              <w:spacing w:line="200" w:lineRule="exact"/>
              <w:rPr>
                <w:rFonts w:hint="eastAsia" w:ascii="方正仿宋简体" w:hAnsi="方正仿宋简体" w:eastAsia="方正仿宋简体" w:cs="方正仿宋简体"/>
                <w:lang w:eastAsia="zh-CN"/>
              </w:rPr>
            </w:pPr>
          </w:p>
          <w:p>
            <w:pPr>
              <w:pStyle w:val="40"/>
              <w:spacing w:line="200" w:lineRule="exact"/>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1.提速全市重点项目建设，助力经济社会高质量发展。</w:t>
            </w:r>
          </w:p>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2.充分调动各乡镇（街道）、市直各本级抓重点项目建设的积极性，发挥重点项目考评指挥棒作用，落实考评奖惩。</w:t>
            </w:r>
          </w:p>
        </w:tc>
      </w:tr>
    </w:tbl>
    <w:p>
      <w:pPr>
        <w:spacing w:line="2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rPr>
        <w:t xml:space="preserve"> </w:t>
      </w:r>
    </w:p>
    <w:tbl>
      <w:tblPr>
        <w:tblStyle w:val="13"/>
        <w:tblW w:w="141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1380"/>
        <w:gridCol w:w="1920"/>
        <w:gridCol w:w="3240"/>
        <w:gridCol w:w="1125"/>
        <w:gridCol w:w="4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98"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8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92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240"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25"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4912" w:type="dxa"/>
            <w:noWrap w:val="0"/>
            <w:vAlign w:val="center"/>
          </w:tcPr>
          <w:p>
            <w:pPr>
              <w:pStyle w:val="41"/>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exact"/>
          <w:jc w:val="center"/>
        </w:trPr>
        <w:tc>
          <w:tcPr>
            <w:tcW w:w="1598" w:type="dxa"/>
            <w:vMerge w:val="restart"/>
            <w:noWrap w:val="0"/>
            <w:vAlign w:val="center"/>
          </w:tcPr>
          <w:p>
            <w:pPr>
              <w:pStyle w:val="42"/>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组织并完成重点项目观摩、集中开工活动次数</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组织各级项目观摩、集中开工、市本级重点项目观摩次数。</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≥6次</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598" w:type="dxa"/>
            <w:vMerge w:val="continue"/>
            <w:noWrap w:val="0"/>
            <w:vAlign w:val="center"/>
          </w:tcPr>
          <w:p>
            <w:pPr>
              <w:spacing w:line="200" w:lineRule="exact"/>
              <w:rPr>
                <w:rFonts w:hint="eastAsia" w:ascii="方正仿宋简体" w:hAnsi="方正仿宋简体" w:eastAsia="方正仿宋简体" w:cs="方正仿宋简体"/>
              </w:rPr>
            </w:pP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重点项目参与个数</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参与唐山观摩、集中开工、市本级重点项目个数</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≥15次</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98" w:type="dxa"/>
            <w:vMerge w:val="continue"/>
            <w:noWrap w:val="0"/>
            <w:vAlign w:val="center"/>
          </w:tcPr>
          <w:p>
            <w:pPr>
              <w:spacing w:line="200" w:lineRule="exact"/>
              <w:rPr>
                <w:rFonts w:hint="eastAsia" w:ascii="方正仿宋简体" w:hAnsi="方正仿宋简体" w:eastAsia="方正仿宋简体" w:cs="方正仿宋简体"/>
              </w:rPr>
            </w:pP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活动完成时间</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按既定活动时间完成</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598" w:type="dxa"/>
            <w:vMerge w:val="continue"/>
            <w:noWrap w:val="0"/>
            <w:vAlign w:val="center"/>
          </w:tcPr>
          <w:p>
            <w:pPr>
              <w:spacing w:line="200" w:lineRule="exact"/>
              <w:rPr>
                <w:rFonts w:hint="eastAsia" w:ascii="方正仿宋简体" w:hAnsi="方正仿宋简体" w:eastAsia="方正仿宋简体" w:cs="方正仿宋简体"/>
              </w:rPr>
            </w:pP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98" w:type="dxa"/>
            <w:vMerge w:val="restart"/>
            <w:noWrap w:val="0"/>
            <w:vAlign w:val="center"/>
          </w:tcPr>
          <w:p>
            <w:pPr>
              <w:pStyle w:val="42"/>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鼓励更多的重点项目建设单位及乡镇（街道）参与率</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鼓励更多的重点项目建设单位及乡镇（街道）参与率</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598" w:type="dxa"/>
            <w:vMerge w:val="continue"/>
            <w:noWrap w:val="0"/>
            <w:vAlign w:val="center"/>
          </w:tcPr>
          <w:p>
            <w:pPr>
              <w:spacing w:line="200" w:lineRule="exact"/>
              <w:rPr>
                <w:rFonts w:hint="eastAsia" w:ascii="方正仿宋简体" w:hAnsi="方正仿宋简体" w:eastAsia="方正仿宋简体" w:cs="方正仿宋简体"/>
              </w:rPr>
            </w:pP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节约项目奖励开支</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践行厉行节约反对浪费制度体系建设，节约项目开支</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5" w:hRule="atLeast"/>
          <w:jc w:val="center"/>
        </w:trPr>
        <w:tc>
          <w:tcPr>
            <w:tcW w:w="1598" w:type="dxa"/>
            <w:vMerge w:val="continue"/>
            <w:noWrap w:val="0"/>
            <w:vAlign w:val="center"/>
          </w:tcPr>
          <w:p>
            <w:pPr>
              <w:spacing w:line="200" w:lineRule="exact"/>
              <w:rPr>
                <w:rFonts w:hint="eastAsia" w:ascii="方正仿宋简体" w:hAnsi="方正仿宋简体" w:eastAsia="方正仿宋简体" w:cs="方正仿宋简体"/>
              </w:rPr>
            </w:pP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积极支持绿色低碳环保节能项目发展</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积极支持绿色、低碳、环保、节能降能项目发展，争取更多重点项目列入环保正面清单，确保项目建设顺利。</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598" w:type="dxa"/>
            <w:vMerge w:val="continue"/>
            <w:noWrap w:val="0"/>
            <w:vAlign w:val="center"/>
          </w:tcPr>
          <w:p>
            <w:pPr>
              <w:spacing w:line="200" w:lineRule="exact"/>
              <w:rPr>
                <w:rFonts w:hint="eastAsia" w:ascii="方正仿宋简体" w:hAnsi="方正仿宋简体" w:eastAsia="方正仿宋简体" w:cs="方正仿宋简体"/>
              </w:rPr>
            </w:pP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指导今后重点项目建设、经济高质量发展</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提高我市重点项目建设质量，促进经济社会高质量发展。</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598" w:type="dxa"/>
            <w:noWrap w:val="0"/>
            <w:vAlign w:val="center"/>
          </w:tcPr>
          <w:p>
            <w:pPr>
              <w:pStyle w:val="42"/>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8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92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涉及到的重点项目建设单位、属地乡镇（街道）满意度</w:t>
            </w:r>
          </w:p>
        </w:tc>
        <w:tc>
          <w:tcPr>
            <w:tcW w:w="3240"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涉及到的重点项目建设单位、属地乡镇（街道）对相关活动满意</w:t>
            </w:r>
          </w:p>
        </w:tc>
        <w:tc>
          <w:tcPr>
            <w:tcW w:w="1125"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912" w:type="dxa"/>
            <w:noWrap w:val="0"/>
            <w:vAlign w:val="center"/>
          </w:tcPr>
          <w:p>
            <w:pPr>
              <w:pStyle w:val="40"/>
              <w:spacing w:line="20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中共遵化市委办公室、遵化市人民政府办公室关于印发《遵化市重点项目建设考评办法（试行）的通知（遵办【2021】133号</w:t>
            </w:r>
          </w:p>
        </w:tc>
      </w:tr>
    </w:tbl>
    <w:p>
      <w:pPr>
        <w:rPr>
          <w:rFonts w:hint="eastAsia" w:ascii="方正仿宋简体" w:hAnsi="方正仿宋简体" w:eastAsia="方正仿宋简体" w:cs="方正仿宋简体"/>
        </w:rPr>
      </w:pPr>
    </w:p>
    <w:p>
      <w:pPr>
        <w:spacing w:line="400" w:lineRule="exact"/>
        <w:ind w:firstLine="482" w:firstLineChars="150"/>
        <w:jc w:val="left"/>
        <w:rPr>
          <w:rFonts w:hint="eastAsia" w:ascii="方正仿宋简体" w:hAnsi="方正仿宋简体" w:eastAsia="方正仿宋简体" w:cs="方正仿宋简体"/>
          <w:b/>
          <w:sz w:val="32"/>
          <w:szCs w:val="32"/>
        </w:rPr>
      </w:pPr>
    </w:p>
    <w:p>
      <w:pPr>
        <w:spacing w:line="400" w:lineRule="exact"/>
        <w:ind w:firstLine="480" w:firstLineChars="150"/>
        <w:jc w:val="left"/>
        <w:rPr>
          <w:rFonts w:hint="eastAsia" w:ascii="方正仿宋简体" w:hAnsi="方正仿宋简体" w:eastAsia="方正仿宋简体" w:cs="方正仿宋简体"/>
          <w:sz w:val="32"/>
          <w:szCs w:val="32"/>
        </w:rPr>
      </w:pPr>
    </w:p>
    <w:bookmarkEnd w:id="7"/>
    <w:p>
      <w:pPr>
        <w:spacing w:line="580" w:lineRule="exact"/>
        <w:ind w:firstLine="640" w:firstLineChars="200"/>
        <w:rPr>
          <w:rFonts w:hint="eastAsia" w:ascii="方正仿宋简体" w:hAnsi="方正仿宋简体" w:eastAsia="方正仿宋简体" w:cs="方正仿宋简体"/>
          <w:sz w:val="32"/>
          <w:szCs w:val="32"/>
        </w:rPr>
      </w:pPr>
    </w:p>
    <w:p>
      <w:pPr>
        <w:spacing w:line="580" w:lineRule="exact"/>
        <w:ind w:firstLine="640" w:firstLineChars="200"/>
        <w:rPr>
          <w:rFonts w:hint="eastAsia" w:ascii="方正仿宋简体" w:hAnsi="方正仿宋简体" w:eastAsia="方正仿宋简体" w:cs="方正仿宋简体"/>
          <w:sz w:val="32"/>
          <w:szCs w:val="32"/>
        </w:rPr>
        <w:sectPr>
          <w:pgSz w:w="16839" w:h="11907" w:orient="landscape"/>
          <w:pgMar w:top="1361" w:right="1021" w:bottom="1361" w:left="1021" w:header="851" w:footer="992" w:gutter="0"/>
          <w:cols w:space="720" w:num="1"/>
          <w:docGrid w:type="lines" w:linePitch="312" w:charSpace="0"/>
        </w:sectPr>
      </w:pPr>
    </w:p>
    <w:p>
      <w:pPr>
        <w:ind w:firstLine="640" w:firstLineChars="200"/>
        <w:rPr>
          <w:rFonts w:hint="eastAsia" w:ascii="方正黑体简体" w:hAnsi="方正黑体简体" w:eastAsia="方正黑体简体" w:cs="方正黑体简体"/>
          <w:bCs/>
          <w:color w:val="000000"/>
          <w:sz w:val="32"/>
          <w:szCs w:val="32"/>
        </w:rPr>
      </w:pPr>
      <w:bookmarkStart w:id="23" w:name="_Toc471398468"/>
      <w:r>
        <w:rPr>
          <w:rFonts w:hint="eastAsia" w:ascii="方正黑体简体" w:hAnsi="方正黑体简体" w:eastAsia="方正黑体简体" w:cs="方正黑体简体"/>
          <w:bCs/>
          <w:color w:val="000000"/>
          <w:sz w:val="32"/>
          <w:szCs w:val="32"/>
        </w:rPr>
        <w:t>六、政府采购预算情况</w:t>
      </w:r>
    </w:p>
    <w:p>
      <w:pPr>
        <w:spacing w:line="560" w:lineRule="exact"/>
        <w:rPr>
          <w:rFonts w:hint="eastAsia" w:ascii="宋体" w:hAnsi="宋体" w:eastAsia="方正仿宋简体"/>
          <w:sz w:val="32"/>
          <w:szCs w:val="32"/>
        </w:rPr>
      </w:pPr>
      <w:r>
        <w:rPr>
          <w:rFonts w:hint="eastAsia" w:ascii="宋体" w:hAnsi="宋体" w:eastAsia="方正仿宋简体" w:cs="方正仿宋简体"/>
          <w:color w:val="000000"/>
          <w:sz w:val="32"/>
          <w:szCs w:val="32"/>
        </w:rPr>
        <w:t xml:space="preserve">    2022年，遵化市发展和改革局本级安排政府采购预算18.1万元，较上年增加0.55万元,原因为发改局综合业务经费、涉案资产鉴定工作经费增加了</w:t>
      </w:r>
      <w:r>
        <w:rPr>
          <w:rFonts w:hint="eastAsia" w:ascii="宋体" w:hAnsi="宋体" w:eastAsia="方正仿宋简体"/>
          <w:sz w:val="32"/>
          <w:szCs w:val="32"/>
        </w:rPr>
        <w:t>政府采购支出</w:t>
      </w:r>
      <w:r>
        <w:rPr>
          <w:rFonts w:hint="eastAsia" w:ascii="宋体" w:hAnsi="宋体" w:eastAsia="方正仿宋简体" w:cs="方正仿宋简体"/>
          <w:sz w:val="32"/>
          <w:szCs w:val="32"/>
        </w:rPr>
        <w:t>。具体内容见下表。</w:t>
      </w:r>
    </w:p>
    <w:bookmarkEnd w:id="23"/>
    <w:p>
      <w:pPr>
        <w:jc w:val="center"/>
        <w:outlineLvl w:val="1"/>
        <w:rPr>
          <w:rFonts w:hint="eastAsia" w:ascii="方正小标宋_GBK" w:hAnsi="方正小标宋_GBK" w:cs="方正小标宋_GBK"/>
          <w:color w:val="000000"/>
          <w:sz w:val="32"/>
        </w:rPr>
      </w:pPr>
      <w:bookmarkStart w:id="24" w:name="_Toc_2_2_0000000007"/>
    </w:p>
    <w:p>
      <w:pPr>
        <w:spacing w:line="560" w:lineRule="exact"/>
        <w:jc w:val="center"/>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本级政府采购预算</w:t>
      </w:r>
      <w:bookmarkEnd w:id="24"/>
    </w:p>
    <w:tbl>
      <w:tblPr>
        <w:tblStyle w:val="13"/>
        <w:tblW w:w="155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766"/>
        <w:gridCol w:w="1385"/>
        <w:gridCol w:w="1050"/>
        <w:gridCol w:w="630"/>
        <w:gridCol w:w="474"/>
        <w:gridCol w:w="1050"/>
        <w:gridCol w:w="1052"/>
        <w:gridCol w:w="964"/>
        <w:gridCol w:w="964"/>
        <w:gridCol w:w="964"/>
        <w:gridCol w:w="937"/>
        <w:gridCol w:w="735"/>
        <w:gridCol w:w="945"/>
        <w:gridCol w:w="1050"/>
        <w:gridCol w:w="1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34" w:type="dxa"/>
            <w:gridSpan w:val="7"/>
            <w:tcBorders>
              <w:top w:val="single" w:color="FFFFFF" w:sz="6" w:space="0"/>
              <w:left w:val="single" w:color="FFFFFF" w:sz="6" w:space="0"/>
              <w:right w:val="single" w:color="FFFFFF" w:sz="6" w:space="0"/>
            </w:tcBorders>
            <w:noWrap w:val="0"/>
            <w:vAlign w:val="center"/>
          </w:tcPr>
          <w:p>
            <w:pPr>
              <w:spacing w:line="560" w:lineRule="exact"/>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303遵化市发展和改革局</w:t>
            </w:r>
          </w:p>
        </w:tc>
        <w:tc>
          <w:tcPr>
            <w:tcW w:w="8661" w:type="dxa"/>
            <w:gridSpan w:val="9"/>
            <w:tcBorders>
              <w:top w:val="single" w:color="FFFFFF" w:sz="6" w:space="0"/>
              <w:left w:val="single" w:color="FFFFFF" w:sz="6" w:space="0"/>
              <w:right w:val="single" w:color="FFFFFF" w:sz="6" w:space="0"/>
            </w:tcBorders>
            <w:noWrap w:val="0"/>
            <w:vAlign w:val="center"/>
          </w:tcPr>
          <w:p>
            <w:pPr>
              <w:spacing w:line="560" w:lineRule="exact"/>
              <w:jc w:val="right"/>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45" w:type="dxa"/>
            <w:gridSpan w:val="2"/>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1385"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105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63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计量  单位</w:t>
            </w:r>
          </w:p>
        </w:tc>
        <w:tc>
          <w:tcPr>
            <w:tcW w:w="474"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105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7611" w:type="dxa"/>
            <w:gridSpan w:val="8"/>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政府采购金额（当年本级预算安排资金）</w:t>
            </w:r>
          </w:p>
        </w:tc>
        <w:tc>
          <w:tcPr>
            <w:tcW w:w="1050" w:type="dxa"/>
            <w:vMerge w:val="restart"/>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79"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766"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1385" w:type="dxa"/>
            <w:vMerge w:val="continue"/>
            <w:noWrap w:val="0"/>
            <w:vAlign w:val="top"/>
          </w:tcPr>
          <w:p>
            <w:pPr>
              <w:rPr>
                <w:rFonts w:hint="eastAsia" w:ascii="方正仿宋简体" w:hAnsi="方正仿宋简体" w:eastAsia="方正仿宋简体" w:cs="方正仿宋简体"/>
              </w:rPr>
            </w:pPr>
          </w:p>
        </w:tc>
        <w:tc>
          <w:tcPr>
            <w:tcW w:w="1050" w:type="dxa"/>
            <w:vMerge w:val="continue"/>
            <w:noWrap w:val="0"/>
            <w:vAlign w:val="top"/>
          </w:tcPr>
          <w:p>
            <w:pPr>
              <w:rPr>
                <w:rFonts w:hint="eastAsia" w:ascii="方正仿宋简体" w:hAnsi="方正仿宋简体" w:eastAsia="方正仿宋简体" w:cs="方正仿宋简体"/>
              </w:rPr>
            </w:pPr>
          </w:p>
        </w:tc>
        <w:tc>
          <w:tcPr>
            <w:tcW w:w="630" w:type="dxa"/>
            <w:vMerge w:val="continue"/>
            <w:noWrap w:val="0"/>
            <w:vAlign w:val="top"/>
          </w:tcPr>
          <w:p>
            <w:pPr>
              <w:rPr>
                <w:rFonts w:hint="eastAsia" w:ascii="方正仿宋简体" w:hAnsi="方正仿宋简体" w:eastAsia="方正仿宋简体" w:cs="方正仿宋简体"/>
              </w:rPr>
            </w:pPr>
          </w:p>
        </w:tc>
        <w:tc>
          <w:tcPr>
            <w:tcW w:w="474" w:type="dxa"/>
            <w:vMerge w:val="continue"/>
            <w:noWrap w:val="0"/>
            <w:vAlign w:val="top"/>
          </w:tcPr>
          <w:p>
            <w:pPr>
              <w:rPr>
                <w:rFonts w:hint="eastAsia" w:ascii="方正仿宋简体" w:hAnsi="方正仿宋简体" w:eastAsia="方正仿宋简体" w:cs="方正仿宋简体"/>
              </w:rPr>
            </w:pPr>
          </w:p>
        </w:tc>
        <w:tc>
          <w:tcPr>
            <w:tcW w:w="1050" w:type="dxa"/>
            <w:vMerge w:val="continue"/>
            <w:noWrap w:val="0"/>
            <w:vAlign w:val="top"/>
          </w:tcPr>
          <w:p>
            <w:pPr>
              <w:rPr>
                <w:rFonts w:hint="eastAsia" w:ascii="方正仿宋简体" w:hAnsi="方正仿宋简体" w:eastAsia="方正仿宋简体" w:cs="方正仿宋简体"/>
              </w:rPr>
            </w:pPr>
          </w:p>
        </w:tc>
        <w:tc>
          <w:tcPr>
            <w:tcW w:w="1052"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96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96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964"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937"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73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    资金</w:t>
            </w:r>
          </w:p>
        </w:tc>
        <w:tc>
          <w:tcPr>
            <w:tcW w:w="945"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    款结转</w:t>
            </w:r>
          </w:p>
        </w:tc>
        <w:tc>
          <w:tcPr>
            <w:tcW w:w="1050" w:type="dxa"/>
            <w:noWrap w:val="0"/>
            <w:vAlign w:val="center"/>
          </w:tcPr>
          <w:p>
            <w:pPr>
              <w:pStyle w:val="41"/>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    转结余</w:t>
            </w:r>
          </w:p>
        </w:tc>
        <w:tc>
          <w:tcPr>
            <w:tcW w:w="1050" w:type="dxa"/>
            <w:vMerge w:val="continue"/>
            <w:noWrap w:val="0"/>
            <w:vAlign w:val="top"/>
          </w:tcPr>
          <w:p>
            <w:pP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5"/>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766" w:type="dxa"/>
            <w:noWrap w:val="0"/>
            <w:vAlign w:val="center"/>
          </w:tcPr>
          <w:p>
            <w:pPr>
              <w:pStyle w:val="46"/>
              <w:rPr>
                <w:rFonts w:hint="eastAsia" w:ascii="方正仿宋简体" w:hAnsi="方正仿宋简体" w:eastAsia="方正仿宋简体" w:cs="方正仿宋简体"/>
                <w:b/>
                <w:kern w:val="0"/>
                <w:sz w:val="21"/>
                <w:szCs w:val="24"/>
                <w:lang w:val="en-US" w:eastAsia="uk-UA" w:bidi="ar-SA"/>
              </w:rPr>
            </w:pPr>
            <w:r>
              <w:rPr>
                <w:rFonts w:hint="eastAsia" w:ascii="方正仿宋简体" w:hAnsi="方正仿宋简体" w:eastAsia="方正仿宋简体" w:cs="方正仿宋简体"/>
              </w:rPr>
              <w:t>18.10</w:t>
            </w:r>
          </w:p>
        </w:tc>
        <w:tc>
          <w:tcPr>
            <w:tcW w:w="1385" w:type="dxa"/>
            <w:noWrap w:val="0"/>
            <w:vAlign w:val="center"/>
          </w:tcPr>
          <w:p>
            <w:pPr>
              <w:pStyle w:val="39"/>
              <w:rPr>
                <w:rFonts w:hint="eastAsia" w:ascii="方正仿宋简体" w:hAnsi="方正仿宋简体" w:eastAsia="方正仿宋简体" w:cs="方正仿宋简体"/>
              </w:rPr>
            </w:pPr>
          </w:p>
        </w:tc>
        <w:tc>
          <w:tcPr>
            <w:tcW w:w="1050" w:type="dxa"/>
            <w:noWrap w:val="0"/>
            <w:vAlign w:val="center"/>
          </w:tcPr>
          <w:p>
            <w:pPr>
              <w:pStyle w:val="39"/>
              <w:rPr>
                <w:rFonts w:hint="eastAsia" w:ascii="方正仿宋简体" w:hAnsi="方正仿宋简体" w:eastAsia="方正仿宋简体" w:cs="方正仿宋简体"/>
              </w:rPr>
            </w:pPr>
          </w:p>
        </w:tc>
        <w:tc>
          <w:tcPr>
            <w:tcW w:w="630" w:type="dxa"/>
            <w:noWrap w:val="0"/>
            <w:vAlign w:val="center"/>
          </w:tcPr>
          <w:p>
            <w:pPr>
              <w:pStyle w:val="45"/>
              <w:rPr>
                <w:rFonts w:hint="eastAsia" w:ascii="方正仿宋简体" w:hAnsi="方正仿宋简体" w:eastAsia="方正仿宋简体" w:cs="方正仿宋简体"/>
              </w:rPr>
            </w:pPr>
          </w:p>
        </w:tc>
        <w:tc>
          <w:tcPr>
            <w:tcW w:w="474" w:type="dxa"/>
            <w:noWrap w:val="0"/>
            <w:vAlign w:val="center"/>
          </w:tcPr>
          <w:p>
            <w:pPr>
              <w:pStyle w:val="46"/>
              <w:rPr>
                <w:rFonts w:hint="eastAsia" w:ascii="方正仿宋简体" w:hAnsi="方正仿宋简体" w:eastAsia="方正仿宋简体" w:cs="方正仿宋简体"/>
              </w:rPr>
            </w:pPr>
          </w:p>
        </w:tc>
        <w:tc>
          <w:tcPr>
            <w:tcW w:w="1050" w:type="dxa"/>
            <w:noWrap w:val="0"/>
            <w:vAlign w:val="center"/>
          </w:tcPr>
          <w:p>
            <w:pPr>
              <w:pStyle w:val="46"/>
              <w:rPr>
                <w:rFonts w:hint="eastAsia" w:ascii="方正仿宋简体" w:hAnsi="方正仿宋简体" w:eastAsia="方正仿宋简体" w:cs="方正仿宋简体"/>
              </w:rPr>
            </w:pPr>
          </w:p>
        </w:tc>
        <w:tc>
          <w:tcPr>
            <w:tcW w:w="1052" w:type="dxa"/>
            <w:noWrap w:val="0"/>
            <w:vAlign w:val="center"/>
          </w:tcPr>
          <w:p>
            <w:pPr>
              <w:pStyle w:val="46"/>
              <w:rPr>
                <w:rFonts w:hint="eastAsia" w:ascii="方正仿宋简体" w:hAnsi="方正仿宋简体" w:eastAsia="方正仿宋简体" w:cs="方正仿宋简体"/>
              </w:rPr>
            </w:pPr>
            <w:r>
              <w:rPr>
                <w:rFonts w:hint="eastAsia" w:ascii="方正仿宋简体" w:hAnsi="方正仿宋简体" w:eastAsia="方正仿宋简体" w:cs="方正仿宋简体"/>
              </w:rPr>
              <w:t>18.10</w:t>
            </w:r>
          </w:p>
        </w:tc>
        <w:tc>
          <w:tcPr>
            <w:tcW w:w="964" w:type="dxa"/>
            <w:noWrap w:val="0"/>
            <w:vAlign w:val="center"/>
          </w:tcPr>
          <w:p>
            <w:pPr>
              <w:pStyle w:val="46"/>
              <w:rPr>
                <w:rFonts w:hint="eastAsia" w:ascii="方正仿宋简体" w:hAnsi="方正仿宋简体" w:eastAsia="方正仿宋简体" w:cs="方正仿宋简体"/>
              </w:rPr>
            </w:pPr>
            <w:r>
              <w:rPr>
                <w:rFonts w:hint="eastAsia" w:ascii="方正仿宋简体" w:hAnsi="方正仿宋简体" w:eastAsia="方正仿宋简体" w:cs="方正仿宋简体"/>
              </w:rPr>
              <w:t>18.10</w:t>
            </w:r>
          </w:p>
        </w:tc>
        <w:tc>
          <w:tcPr>
            <w:tcW w:w="964" w:type="dxa"/>
            <w:noWrap w:val="0"/>
            <w:vAlign w:val="center"/>
          </w:tcPr>
          <w:p>
            <w:pPr>
              <w:pStyle w:val="46"/>
              <w:rPr>
                <w:rFonts w:hint="eastAsia" w:ascii="方正仿宋简体" w:hAnsi="方正仿宋简体" w:eastAsia="方正仿宋简体" w:cs="方正仿宋简体"/>
              </w:rPr>
            </w:pPr>
          </w:p>
        </w:tc>
        <w:tc>
          <w:tcPr>
            <w:tcW w:w="964" w:type="dxa"/>
            <w:noWrap w:val="0"/>
            <w:vAlign w:val="center"/>
          </w:tcPr>
          <w:p>
            <w:pPr>
              <w:pStyle w:val="46"/>
              <w:rPr>
                <w:rFonts w:hint="eastAsia" w:ascii="方正仿宋简体" w:hAnsi="方正仿宋简体" w:eastAsia="方正仿宋简体" w:cs="方正仿宋简体"/>
              </w:rPr>
            </w:pPr>
          </w:p>
        </w:tc>
        <w:tc>
          <w:tcPr>
            <w:tcW w:w="937" w:type="dxa"/>
            <w:noWrap w:val="0"/>
            <w:vAlign w:val="center"/>
          </w:tcPr>
          <w:p>
            <w:pPr>
              <w:pStyle w:val="46"/>
              <w:rPr>
                <w:rFonts w:hint="eastAsia" w:ascii="方正仿宋简体" w:hAnsi="方正仿宋简体" w:eastAsia="方正仿宋简体" w:cs="方正仿宋简体"/>
              </w:rPr>
            </w:pPr>
          </w:p>
        </w:tc>
        <w:tc>
          <w:tcPr>
            <w:tcW w:w="735" w:type="dxa"/>
            <w:noWrap w:val="0"/>
            <w:vAlign w:val="center"/>
          </w:tcPr>
          <w:p>
            <w:pPr>
              <w:pStyle w:val="46"/>
              <w:rPr>
                <w:rFonts w:hint="eastAsia" w:ascii="方正仿宋简体" w:hAnsi="方正仿宋简体" w:eastAsia="方正仿宋简体" w:cs="方正仿宋简体"/>
              </w:rPr>
            </w:pPr>
          </w:p>
        </w:tc>
        <w:tc>
          <w:tcPr>
            <w:tcW w:w="945" w:type="dxa"/>
            <w:noWrap w:val="0"/>
            <w:vAlign w:val="center"/>
          </w:tcPr>
          <w:p>
            <w:pPr>
              <w:pStyle w:val="46"/>
              <w:rPr>
                <w:rFonts w:hint="eastAsia" w:ascii="方正仿宋简体" w:hAnsi="方正仿宋简体" w:eastAsia="方正仿宋简体" w:cs="方正仿宋简体"/>
              </w:rPr>
            </w:pPr>
          </w:p>
        </w:tc>
        <w:tc>
          <w:tcPr>
            <w:tcW w:w="1050" w:type="dxa"/>
            <w:noWrap w:val="0"/>
            <w:vAlign w:val="center"/>
          </w:tcPr>
          <w:p>
            <w:pPr>
              <w:pStyle w:val="46"/>
              <w:rPr>
                <w:rFonts w:hint="eastAsia" w:ascii="方正仿宋简体" w:hAnsi="方正仿宋简体" w:eastAsia="方正仿宋简体" w:cs="方正仿宋简体"/>
              </w:rPr>
            </w:pPr>
          </w:p>
        </w:tc>
        <w:tc>
          <w:tcPr>
            <w:tcW w:w="1050" w:type="dxa"/>
            <w:noWrap w:val="0"/>
            <w:vAlign w:val="center"/>
          </w:tcPr>
          <w:p>
            <w:pPr>
              <w:pStyle w:val="46"/>
              <w:rPr>
                <w:rFonts w:hint="eastAsia" w:ascii="方正仿宋简体" w:hAnsi="方正仿宋简体" w:eastAsia="方正仿宋简体" w:cs="方正仿宋简体"/>
              </w:rPr>
            </w:pPr>
            <w:r>
              <w:rPr>
                <w:rFonts w:hint="eastAsia" w:ascii="方正仿宋简体" w:hAnsi="方正仿宋简体" w:eastAsia="方正仿宋简体" w:cs="方正仿宋简体"/>
              </w:rP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5"/>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遵化市发展和改革局本级小计</w:t>
            </w:r>
          </w:p>
        </w:tc>
        <w:tc>
          <w:tcPr>
            <w:tcW w:w="766" w:type="dxa"/>
            <w:noWrap w:val="0"/>
            <w:vAlign w:val="center"/>
          </w:tcPr>
          <w:p>
            <w:pPr>
              <w:pStyle w:val="46"/>
              <w:rPr>
                <w:rFonts w:hint="eastAsia" w:ascii="方正仿宋简体" w:hAnsi="方正仿宋简体" w:eastAsia="方正仿宋简体" w:cs="方正仿宋简体"/>
                <w:b/>
                <w:kern w:val="0"/>
                <w:sz w:val="21"/>
                <w:szCs w:val="24"/>
                <w:lang w:val="en-US" w:eastAsia="uk-UA" w:bidi="ar-SA"/>
              </w:rPr>
            </w:pPr>
            <w:r>
              <w:rPr>
                <w:rFonts w:hint="eastAsia" w:ascii="方正仿宋简体" w:hAnsi="方正仿宋简体" w:eastAsia="方正仿宋简体" w:cs="方正仿宋简体"/>
              </w:rPr>
              <w:t>18.10</w:t>
            </w:r>
          </w:p>
        </w:tc>
        <w:tc>
          <w:tcPr>
            <w:tcW w:w="1385" w:type="dxa"/>
            <w:noWrap w:val="0"/>
            <w:vAlign w:val="center"/>
          </w:tcPr>
          <w:p>
            <w:pPr>
              <w:pStyle w:val="39"/>
              <w:rPr>
                <w:rFonts w:hint="eastAsia" w:ascii="方正仿宋简体" w:hAnsi="方正仿宋简体" w:eastAsia="方正仿宋简体" w:cs="方正仿宋简体"/>
              </w:rPr>
            </w:pPr>
          </w:p>
        </w:tc>
        <w:tc>
          <w:tcPr>
            <w:tcW w:w="1050" w:type="dxa"/>
            <w:noWrap w:val="0"/>
            <w:vAlign w:val="center"/>
          </w:tcPr>
          <w:p>
            <w:pPr>
              <w:pStyle w:val="39"/>
              <w:rPr>
                <w:rFonts w:hint="eastAsia" w:ascii="方正仿宋简体" w:hAnsi="方正仿宋简体" w:eastAsia="方正仿宋简体" w:cs="方正仿宋简体"/>
              </w:rPr>
            </w:pPr>
          </w:p>
        </w:tc>
        <w:tc>
          <w:tcPr>
            <w:tcW w:w="630" w:type="dxa"/>
            <w:noWrap w:val="0"/>
            <w:vAlign w:val="center"/>
          </w:tcPr>
          <w:p>
            <w:pPr>
              <w:pStyle w:val="45"/>
              <w:rPr>
                <w:rFonts w:hint="eastAsia" w:ascii="方正仿宋简体" w:hAnsi="方正仿宋简体" w:eastAsia="方正仿宋简体" w:cs="方正仿宋简体"/>
              </w:rPr>
            </w:pPr>
          </w:p>
        </w:tc>
        <w:tc>
          <w:tcPr>
            <w:tcW w:w="474" w:type="dxa"/>
            <w:noWrap w:val="0"/>
            <w:vAlign w:val="center"/>
          </w:tcPr>
          <w:p>
            <w:pPr>
              <w:pStyle w:val="46"/>
              <w:rPr>
                <w:rFonts w:hint="eastAsia" w:ascii="方正仿宋简体" w:hAnsi="方正仿宋简体" w:eastAsia="方正仿宋简体" w:cs="方正仿宋简体"/>
              </w:rPr>
            </w:pPr>
          </w:p>
        </w:tc>
        <w:tc>
          <w:tcPr>
            <w:tcW w:w="1050" w:type="dxa"/>
            <w:noWrap w:val="0"/>
            <w:vAlign w:val="center"/>
          </w:tcPr>
          <w:p>
            <w:pPr>
              <w:pStyle w:val="46"/>
              <w:rPr>
                <w:rFonts w:hint="eastAsia" w:ascii="方正仿宋简体" w:hAnsi="方正仿宋简体" w:eastAsia="方正仿宋简体" w:cs="方正仿宋简体"/>
              </w:rPr>
            </w:pPr>
          </w:p>
        </w:tc>
        <w:tc>
          <w:tcPr>
            <w:tcW w:w="1052" w:type="dxa"/>
            <w:noWrap w:val="0"/>
            <w:vAlign w:val="center"/>
          </w:tcPr>
          <w:p>
            <w:pPr>
              <w:pStyle w:val="46"/>
              <w:rPr>
                <w:rFonts w:hint="eastAsia" w:ascii="方正仿宋简体" w:hAnsi="方正仿宋简体" w:eastAsia="方正仿宋简体" w:cs="方正仿宋简体"/>
              </w:rPr>
            </w:pPr>
            <w:r>
              <w:rPr>
                <w:rFonts w:hint="eastAsia" w:ascii="方正仿宋简体" w:hAnsi="方正仿宋简体" w:eastAsia="方正仿宋简体" w:cs="方正仿宋简体"/>
              </w:rPr>
              <w:t>18.10</w:t>
            </w:r>
          </w:p>
        </w:tc>
        <w:tc>
          <w:tcPr>
            <w:tcW w:w="964" w:type="dxa"/>
            <w:noWrap w:val="0"/>
            <w:vAlign w:val="center"/>
          </w:tcPr>
          <w:p>
            <w:pPr>
              <w:pStyle w:val="46"/>
              <w:rPr>
                <w:rFonts w:hint="eastAsia" w:ascii="方正仿宋简体" w:hAnsi="方正仿宋简体" w:eastAsia="方正仿宋简体" w:cs="方正仿宋简体"/>
              </w:rPr>
            </w:pPr>
            <w:r>
              <w:rPr>
                <w:rFonts w:hint="eastAsia" w:ascii="方正仿宋简体" w:hAnsi="方正仿宋简体" w:eastAsia="方正仿宋简体" w:cs="方正仿宋简体"/>
              </w:rPr>
              <w:t>18.10</w:t>
            </w:r>
          </w:p>
        </w:tc>
        <w:tc>
          <w:tcPr>
            <w:tcW w:w="964" w:type="dxa"/>
            <w:noWrap w:val="0"/>
            <w:vAlign w:val="center"/>
          </w:tcPr>
          <w:p>
            <w:pPr>
              <w:pStyle w:val="46"/>
              <w:rPr>
                <w:rFonts w:hint="eastAsia" w:ascii="方正仿宋简体" w:hAnsi="方正仿宋简体" w:eastAsia="方正仿宋简体" w:cs="方正仿宋简体"/>
              </w:rPr>
            </w:pPr>
          </w:p>
        </w:tc>
        <w:tc>
          <w:tcPr>
            <w:tcW w:w="964" w:type="dxa"/>
            <w:noWrap w:val="0"/>
            <w:vAlign w:val="center"/>
          </w:tcPr>
          <w:p>
            <w:pPr>
              <w:pStyle w:val="46"/>
              <w:rPr>
                <w:rFonts w:hint="eastAsia" w:ascii="方正仿宋简体" w:hAnsi="方正仿宋简体" w:eastAsia="方正仿宋简体" w:cs="方正仿宋简体"/>
              </w:rPr>
            </w:pPr>
          </w:p>
        </w:tc>
        <w:tc>
          <w:tcPr>
            <w:tcW w:w="937" w:type="dxa"/>
            <w:noWrap w:val="0"/>
            <w:vAlign w:val="center"/>
          </w:tcPr>
          <w:p>
            <w:pPr>
              <w:pStyle w:val="46"/>
              <w:rPr>
                <w:rFonts w:hint="eastAsia" w:ascii="方正仿宋简体" w:hAnsi="方正仿宋简体" w:eastAsia="方正仿宋简体" w:cs="方正仿宋简体"/>
              </w:rPr>
            </w:pPr>
          </w:p>
        </w:tc>
        <w:tc>
          <w:tcPr>
            <w:tcW w:w="735" w:type="dxa"/>
            <w:noWrap w:val="0"/>
            <w:vAlign w:val="center"/>
          </w:tcPr>
          <w:p>
            <w:pPr>
              <w:pStyle w:val="46"/>
              <w:rPr>
                <w:rFonts w:hint="eastAsia" w:ascii="方正仿宋简体" w:hAnsi="方正仿宋简体" w:eastAsia="方正仿宋简体" w:cs="方正仿宋简体"/>
              </w:rPr>
            </w:pPr>
          </w:p>
        </w:tc>
        <w:tc>
          <w:tcPr>
            <w:tcW w:w="945" w:type="dxa"/>
            <w:noWrap w:val="0"/>
            <w:vAlign w:val="center"/>
          </w:tcPr>
          <w:p>
            <w:pPr>
              <w:pStyle w:val="46"/>
              <w:rPr>
                <w:rFonts w:hint="eastAsia" w:ascii="方正仿宋简体" w:hAnsi="方正仿宋简体" w:eastAsia="方正仿宋简体" w:cs="方正仿宋简体"/>
              </w:rPr>
            </w:pPr>
          </w:p>
        </w:tc>
        <w:tc>
          <w:tcPr>
            <w:tcW w:w="1050" w:type="dxa"/>
            <w:noWrap w:val="0"/>
            <w:vAlign w:val="center"/>
          </w:tcPr>
          <w:p>
            <w:pPr>
              <w:pStyle w:val="46"/>
              <w:rPr>
                <w:rFonts w:hint="eastAsia" w:ascii="方正仿宋简体" w:hAnsi="方正仿宋简体" w:eastAsia="方正仿宋简体" w:cs="方正仿宋简体"/>
              </w:rPr>
            </w:pPr>
          </w:p>
        </w:tc>
        <w:tc>
          <w:tcPr>
            <w:tcW w:w="1050" w:type="dxa"/>
            <w:noWrap w:val="0"/>
            <w:vAlign w:val="center"/>
          </w:tcPr>
          <w:p>
            <w:pPr>
              <w:pStyle w:val="46"/>
              <w:rPr>
                <w:rFonts w:hint="eastAsia" w:ascii="方正仿宋简体" w:hAnsi="方正仿宋简体" w:eastAsia="方正仿宋简体" w:cs="方正仿宋简体"/>
              </w:rPr>
            </w:pPr>
            <w:r>
              <w:rPr>
                <w:rFonts w:hint="eastAsia" w:ascii="方正仿宋简体" w:hAnsi="方正仿宋简体" w:eastAsia="方正仿宋简体" w:cs="方正仿宋简体"/>
              </w:rP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公用类项目</w:t>
            </w:r>
          </w:p>
        </w:tc>
        <w:tc>
          <w:tcPr>
            <w:tcW w:w="766" w:type="dxa"/>
            <w:noWrap w:val="0"/>
            <w:vAlign w:val="center"/>
          </w:tcPr>
          <w:p>
            <w:pPr>
              <w:pStyle w:val="38"/>
              <w:rPr>
                <w:rFonts w:hint="eastAsia" w:ascii="方正仿宋简体" w:hAnsi="方正仿宋简体" w:eastAsia="方正仿宋简体" w:cs="方正仿宋简体"/>
                <w:kern w:val="0"/>
                <w:sz w:val="21"/>
                <w:szCs w:val="24"/>
                <w:lang w:val="en-US" w:eastAsia="uk-UA" w:bidi="ar-SA"/>
              </w:rPr>
            </w:pPr>
            <w:r>
              <w:rPr>
                <w:rFonts w:hint="eastAsia" w:ascii="方正仿宋简体" w:hAnsi="方正仿宋简体" w:eastAsia="方正仿宋简体" w:cs="方正仿宋简体"/>
              </w:rPr>
              <w:t>3.00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车辆维修和保养服务</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C050301</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辆</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公用类项目</w:t>
            </w:r>
          </w:p>
        </w:tc>
        <w:tc>
          <w:tcPr>
            <w:tcW w:w="766" w:type="dxa"/>
            <w:noWrap w:val="0"/>
            <w:vAlign w:val="center"/>
          </w:tcPr>
          <w:p>
            <w:pPr>
              <w:pStyle w:val="38"/>
              <w:rPr>
                <w:rFonts w:hint="eastAsia" w:ascii="方正仿宋简体" w:hAnsi="方正仿宋简体" w:eastAsia="方正仿宋简体" w:cs="方正仿宋简体"/>
                <w:kern w:val="0"/>
                <w:sz w:val="21"/>
                <w:szCs w:val="24"/>
                <w:lang w:val="en-US" w:eastAsia="uk-UA" w:bidi="ar-SA"/>
              </w:rPr>
            </w:pPr>
            <w:r>
              <w:rPr>
                <w:rFonts w:hint="eastAsia" w:ascii="方正仿宋简体" w:hAnsi="方正仿宋简体" w:eastAsia="方正仿宋简体" w:cs="方正仿宋简体"/>
              </w:rPr>
              <w:t>1.05</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机动车保险服务</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C15040201</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辆</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0.35</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发改局综合业务经费</w:t>
            </w:r>
          </w:p>
        </w:tc>
        <w:tc>
          <w:tcPr>
            <w:tcW w:w="766" w:type="dxa"/>
            <w:noWrap w:val="0"/>
            <w:vAlign w:val="center"/>
          </w:tcPr>
          <w:p>
            <w:pPr>
              <w:pStyle w:val="38"/>
              <w:rPr>
                <w:rFonts w:hint="eastAsia" w:ascii="方正仿宋简体" w:hAnsi="方正仿宋简体" w:eastAsia="方正仿宋简体" w:cs="方正仿宋简体"/>
                <w:kern w:val="0"/>
                <w:sz w:val="21"/>
                <w:szCs w:val="24"/>
                <w:lang w:val="en-US" w:eastAsia="uk-UA" w:bidi="ar-SA"/>
              </w:rPr>
            </w:pPr>
            <w:r>
              <w:rPr>
                <w:rFonts w:hint="eastAsia" w:ascii="方正仿宋简体" w:hAnsi="方正仿宋简体" w:eastAsia="方正仿宋简体" w:cs="方正仿宋简体"/>
              </w:rPr>
              <w:t>2.25</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A02010104</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2.25</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2.25</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发改局综合业务经费</w:t>
            </w:r>
          </w:p>
        </w:tc>
        <w:tc>
          <w:tcPr>
            <w:tcW w:w="766" w:type="dxa"/>
            <w:noWrap w:val="0"/>
            <w:vAlign w:val="center"/>
          </w:tcPr>
          <w:p>
            <w:pPr>
              <w:pStyle w:val="38"/>
              <w:rPr>
                <w:rFonts w:hint="eastAsia" w:ascii="方正仿宋简体" w:hAnsi="方正仿宋简体" w:eastAsia="方正仿宋简体" w:cs="方正仿宋简体"/>
                <w:kern w:val="0"/>
                <w:sz w:val="21"/>
                <w:szCs w:val="24"/>
                <w:lang w:val="en-US" w:eastAsia="uk-UA" w:bidi="ar-SA"/>
              </w:rPr>
            </w:pPr>
            <w:r>
              <w:rPr>
                <w:rFonts w:hint="eastAsia" w:ascii="方正仿宋简体" w:hAnsi="方正仿宋简体" w:eastAsia="方正仿宋简体" w:cs="方正仿宋简体"/>
              </w:rPr>
              <w:t>1.20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便携式计算机</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1.20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1.20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发改局综合业务经费</w:t>
            </w:r>
          </w:p>
        </w:tc>
        <w:tc>
          <w:tcPr>
            <w:tcW w:w="766" w:type="dxa"/>
            <w:noWrap w:val="0"/>
            <w:vAlign w:val="center"/>
          </w:tcPr>
          <w:p>
            <w:pPr>
              <w:pStyle w:val="38"/>
              <w:rPr>
                <w:rFonts w:hint="eastAsia" w:ascii="方正仿宋简体" w:hAnsi="方正仿宋简体" w:eastAsia="方正仿宋简体" w:cs="方正仿宋简体"/>
                <w:kern w:val="0"/>
                <w:sz w:val="21"/>
                <w:szCs w:val="24"/>
                <w:lang w:val="en-US" w:eastAsia="uk-UA" w:bidi="ar-SA"/>
              </w:rPr>
            </w:pPr>
            <w:r>
              <w:rPr>
                <w:rFonts w:hint="eastAsia" w:ascii="方正仿宋简体" w:hAnsi="方正仿宋简体" w:eastAsia="方正仿宋简体" w:cs="方正仿宋简体"/>
              </w:rPr>
              <w:t>0.60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激光打印机</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A0201060102</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发改局综合业务经费</w:t>
            </w:r>
          </w:p>
        </w:tc>
        <w:tc>
          <w:tcPr>
            <w:tcW w:w="766" w:type="dxa"/>
            <w:noWrap w:val="0"/>
            <w:vAlign w:val="center"/>
          </w:tcPr>
          <w:p>
            <w:pPr>
              <w:pStyle w:val="38"/>
              <w:rPr>
                <w:rFonts w:hint="eastAsia" w:ascii="方正仿宋简体" w:hAnsi="方正仿宋简体" w:eastAsia="方正仿宋简体" w:cs="方正仿宋简体"/>
                <w:kern w:val="0"/>
                <w:sz w:val="21"/>
                <w:szCs w:val="24"/>
                <w:lang w:val="en-US" w:eastAsia="uk-UA" w:bidi="ar-SA"/>
              </w:rPr>
            </w:pPr>
            <w:r>
              <w:rPr>
                <w:rFonts w:hint="eastAsia" w:ascii="方正仿宋简体" w:hAnsi="方正仿宋简体" w:eastAsia="方正仿宋简体" w:cs="方正仿宋简体"/>
              </w:rPr>
              <w:t>1.80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空调机</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A0206180203</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0.30</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1.80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1.80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发改局综合业务经费</w:t>
            </w:r>
          </w:p>
        </w:tc>
        <w:tc>
          <w:tcPr>
            <w:tcW w:w="766"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0.80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木制台、桌类</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A060205</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套</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0.16</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0.80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0.80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发改局综合业务经费</w:t>
            </w:r>
          </w:p>
        </w:tc>
        <w:tc>
          <w:tcPr>
            <w:tcW w:w="766"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0.63</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金属质柜类</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A060503</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0.09</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0.63</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0.63</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重点项目工作经费</w:t>
            </w:r>
          </w:p>
        </w:tc>
        <w:tc>
          <w:tcPr>
            <w:tcW w:w="766"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2.25</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A02010104</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2.25</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2.25</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重点项目工作经费</w:t>
            </w:r>
          </w:p>
        </w:tc>
        <w:tc>
          <w:tcPr>
            <w:tcW w:w="766"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便携式计算机</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重点项目工作经费</w:t>
            </w:r>
          </w:p>
        </w:tc>
        <w:tc>
          <w:tcPr>
            <w:tcW w:w="766"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激光打印机</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A0201060102</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重点项目工作经费</w:t>
            </w:r>
          </w:p>
        </w:tc>
        <w:tc>
          <w:tcPr>
            <w:tcW w:w="766"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1.80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空调机</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A0206180203</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0.30</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1.80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1.80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重点项目工作经费</w:t>
            </w:r>
          </w:p>
        </w:tc>
        <w:tc>
          <w:tcPr>
            <w:tcW w:w="766"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0.80</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木制台、桌类</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A060205</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套</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0.16</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0.80</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0.80</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重点项目工作经费</w:t>
            </w:r>
          </w:p>
        </w:tc>
        <w:tc>
          <w:tcPr>
            <w:tcW w:w="766"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0.72</w:t>
            </w:r>
          </w:p>
        </w:tc>
        <w:tc>
          <w:tcPr>
            <w:tcW w:w="1385"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金属质柜类</w:t>
            </w:r>
          </w:p>
        </w:tc>
        <w:tc>
          <w:tcPr>
            <w:tcW w:w="1050" w:type="dxa"/>
            <w:noWrap w:val="0"/>
            <w:vAlign w:val="center"/>
          </w:tcPr>
          <w:p>
            <w:pPr>
              <w:pStyle w:val="40"/>
              <w:rPr>
                <w:rFonts w:hint="eastAsia" w:ascii="方正仿宋简体" w:hAnsi="方正仿宋简体" w:eastAsia="方正仿宋简体" w:cs="方正仿宋简体"/>
              </w:rPr>
            </w:pPr>
            <w:r>
              <w:rPr>
                <w:rFonts w:hint="eastAsia" w:ascii="方正仿宋简体" w:hAnsi="方正仿宋简体" w:eastAsia="方正仿宋简体" w:cs="方正仿宋简体"/>
              </w:rPr>
              <w:t>A060503</w:t>
            </w:r>
          </w:p>
        </w:tc>
        <w:tc>
          <w:tcPr>
            <w:tcW w:w="630" w:type="dxa"/>
            <w:noWrap w:val="0"/>
            <w:vAlign w:val="center"/>
          </w:tcPr>
          <w:p>
            <w:pPr>
              <w:pStyle w:val="42"/>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47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0.09</w:t>
            </w:r>
          </w:p>
        </w:tc>
        <w:tc>
          <w:tcPr>
            <w:tcW w:w="1052"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0.72</w:t>
            </w:r>
          </w:p>
        </w:tc>
        <w:tc>
          <w:tcPr>
            <w:tcW w:w="964"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0.72</w:t>
            </w:r>
          </w:p>
        </w:tc>
        <w:tc>
          <w:tcPr>
            <w:tcW w:w="964" w:type="dxa"/>
            <w:noWrap w:val="0"/>
            <w:vAlign w:val="center"/>
          </w:tcPr>
          <w:p>
            <w:pPr>
              <w:pStyle w:val="38"/>
              <w:rPr>
                <w:rFonts w:hint="eastAsia" w:ascii="方正仿宋简体" w:hAnsi="方正仿宋简体" w:eastAsia="方正仿宋简体" w:cs="方正仿宋简体"/>
              </w:rPr>
            </w:pPr>
          </w:p>
        </w:tc>
        <w:tc>
          <w:tcPr>
            <w:tcW w:w="964" w:type="dxa"/>
            <w:noWrap w:val="0"/>
            <w:vAlign w:val="center"/>
          </w:tcPr>
          <w:p>
            <w:pPr>
              <w:pStyle w:val="38"/>
              <w:rPr>
                <w:rFonts w:hint="eastAsia" w:ascii="方正仿宋简体" w:hAnsi="方正仿宋简体" w:eastAsia="方正仿宋简体" w:cs="方正仿宋简体"/>
              </w:rPr>
            </w:pPr>
          </w:p>
        </w:tc>
        <w:tc>
          <w:tcPr>
            <w:tcW w:w="937" w:type="dxa"/>
            <w:noWrap w:val="0"/>
            <w:vAlign w:val="center"/>
          </w:tcPr>
          <w:p>
            <w:pPr>
              <w:pStyle w:val="38"/>
              <w:rPr>
                <w:rFonts w:hint="eastAsia" w:ascii="方正仿宋简体" w:hAnsi="方正仿宋简体" w:eastAsia="方正仿宋简体" w:cs="方正仿宋简体"/>
              </w:rPr>
            </w:pPr>
          </w:p>
        </w:tc>
        <w:tc>
          <w:tcPr>
            <w:tcW w:w="735" w:type="dxa"/>
            <w:noWrap w:val="0"/>
            <w:vAlign w:val="center"/>
          </w:tcPr>
          <w:p>
            <w:pPr>
              <w:pStyle w:val="38"/>
              <w:rPr>
                <w:rFonts w:hint="eastAsia" w:ascii="方正仿宋简体" w:hAnsi="方正仿宋简体" w:eastAsia="方正仿宋简体" w:cs="方正仿宋简体"/>
              </w:rPr>
            </w:pPr>
          </w:p>
        </w:tc>
        <w:tc>
          <w:tcPr>
            <w:tcW w:w="945"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p>
        </w:tc>
        <w:tc>
          <w:tcPr>
            <w:tcW w:w="1050" w:type="dxa"/>
            <w:noWrap w:val="0"/>
            <w:vAlign w:val="center"/>
          </w:tcPr>
          <w:p>
            <w:pPr>
              <w:pStyle w:val="38"/>
              <w:rPr>
                <w:rFonts w:hint="eastAsia" w:ascii="方正仿宋简体" w:hAnsi="方正仿宋简体" w:eastAsia="方正仿宋简体" w:cs="方正仿宋简体"/>
              </w:rPr>
            </w:pPr>
            <w:r>
              <w:rPr>
                <w:rFonts w:hint="eastAsia" w:ascii="方正仿宋简体" w:hAnsi="方正仿宋简体" w:eastAsia="方正仿宋简体" w:cs="方正仿宋简体"/>
              </w:rPr>
              <w:t>0.72</w:t>
            </w:r>
          </w:p>
        </w:tc>
      </w:tr>
    </w:tbl>
    <w:p>
      <w:pPr>
        <w:spacing w:line="500" w:lineRule="exact"/>
        <w:jc w:val="left"/>
        <w:rPr>
          <w:sz w:val="24"/>
          <w:szCs w:val="24"/>
        </w:rPr>
        <w:sectPr>
          <w:pgSz w:w="16840" w:h="11900" w:orient="landscape"/>
          <w:pgMar w:top="1020" w:right="1361" w:bottom="1020" w:left="1361" w:header="720" w:footer="720" w:gutter="0"/>
          <w:cols w:space="720" w:num="1"/>
        </w:sectPr>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p>
    <w:p>
      <w:pPr>
        <w:autoSpaceDE w:val="0"/>
        <w:autoSpaceDN w:val="0"/>
        <w:adjustRightInd w:val="0"/>
        <w:snapToGrid w:val="0"/>
        <w:spacing w:line="570" w:lineRule="exact"/>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七、国有资产信息</w:t>
      </w:r>
    </w:p>
    <w:p>
      <w:pPr>
        <w:spacing w:line="570" w:lineRule="exact"/>
        <w:rPr>
          <w:rFonts w:hint="eastAsia" w:ascii="宋体" w:hAnsi="宋体" w:eastAsia="方正仿宋简体" w:cs="Times New Roman"/>
          <w:sz w:val="32"/>
          <w:szCs w:val="32"/>
        </w:rPr>
      </w:pPr>
      <w:r>
        <w:rPr>
          <w:rFonts w:hint="eastAsia" w:ascii="方正仿宋简体" w:hAnsi="仿宋" w:eastAsia="方正仿宋简体" w:cs="Times New Roman"/>
          <w:sz w:val="32"/>
          <w:szCs w:val="32"/>
        </w:rPr>
        <w:t xml:space="preserve">    </w:t>
      </w:r>
      <w:r>
        <w:rPr>
          <w:rFonts w:hint="eastAsia" w:ascii="宋体" w:hAnsi="宋体" w:eastAsia="方正仿宋简体" w:cs="Times New Roman"/>
          <w:sz w:val="32"/>
          <w:szCs w:val="32"/>
        </w:rPr>
        <w:t>遵化市发展和改革局本级上年末固定资产金额133.45万元（详见下表），本年度拟购置固定资产14.05万元，主要为计算机设备、打印设备、空调、办公家具等，详见政府采购预算表。</w:t>
      </w:r>
    </w:p>
    <w:p>
      <w:pPr>
        <w:spacing w:line="570" w:lineRule="exact"/>
        <w:ind w:firstLine="320" w:firstLineChars="100"/>
        <w:rPr>
          <w:rFonts w:hint="eastAsia" w:ascii="方正仿宋简体" w:hAnsi="仿宋" w:eastAsia="方正仿宋简体" w:cs="Times New Roman"/>
          <w:sz w:val="32"/>
          <w:szCs w:val="32"/>
        </w:rPr>
      </w:pPr>
    </w:p>
    <w:tbl>
      <w:tblPr>
        <w:tblStyle w:val="13"/>
        <w:tblW w:w="13482" w:type="dxa"/>
        <w:tblInd w:w="66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spacing w:line="570" w:lineRule="exact"/>
              <w:ind w:firstLine="200"/>
              <w:jc w:val="center"/>
              <w:rPr>
                <w:rFonts w:hint="eastAsia" w:ascii="方正仿宋简体" w:eastAsia="方正仿宋简体" w:cs="宋体"/>
                <w:bCs/>
                <w:kern w:val="0"/>
                <w:sz w:val="32"/>
                <w:szCs w:val="32"/>
              </w:rPr>
            </w:pPr>
            <w:r>
              <w:rPr>
                <w:rFonts w:hint="eastAsia" w:ascii="方正仿宋简体" w:hAnsi="宋体" w:eastAsia="方正仿宋简体" w:cs="宋体"/>
                <w:bCs/>
                <w:kern w:val="0"/>
                <w:sz w:val="32"/>
                <w:szCs w:val="32"/>
              </w:rPr>
              <w:t>遵化市发展和改革局本级固定资产占用情况表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570" w:lineRule="exact"/>
              <w:ind w:firstLine="200"/>
              <w:jc w:val="left"/>
              <w:rPr>
                <w:rFonts w:hint="eastAsia" w:ascii="方正仿宋简体" w:eastAsia="方正仿宋简体" w:cs="宋体"/>
                <w:kern w:val="0"/>
                <w:sz w:val="22"/>
              </w:rPr>
            </w:pPr>
            <w:r>
              <w:rPr>
                <w:rFonts w:hint="eastAsia" w:ascii="方正仿宋简体" w:hAnsi="宋体" w:eastAsia="方正仿宋简体" w:cs="宋体"/>
                <w:kern w:val="0"/>
                <w:sz w:val="22"/>
              </w:rPr>
              <w:t>编制本级：遵化市发展和改革局本级</w:t>
            </w:r>
          </w:p>
        </w:tc>
        <w:tc>
          <w:tcPr>
            <w:tcW w:w="5103" w:type="dxa"/>
            <w:tcBorders>
              <w:top w:val="nil"/>
              <w:left w:val="nil"/>
              <w:bottom w:val="nil"/>
              <w:right w:val="nil"/>
            </w:tcBorders>
            <w:noWrap w:val="0"/>
            <w:vAlign w:val="center"/>
          </w:tcPr>
          <w:p>
            <w:pPr>
              <w:widowControl/>
              <w:spacing w:line="570" w:lineRule="exact"/>
              <w:ind w:firstLine="200"/>
              <w:jc w:val="left"/>
              <w:rPr>
                <w:rFonts w:hint="eastAsia" w:ascii="方正仿宋简体" w:eastAsia="方正仿宋简体" w:cs="宋体"/>
                <w:kern w:val="0"/>
                <w:sz w:val="22"/>
              </w:rPr>
            </w:pPr>
            <w:r>
              <w:rPr>
                <w:rFonts w:hint="eastAsia" w:ascii="方正仿宋简体" w:hAnsi="宋体" w:eastAsia="方正仿宋简体" w:cs="宋体"/>
                <w:kern w:val="0"/>
                <w:sz w:val="22"/>
              </w:rPr>
              <w:t xml:space="preserve">              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570" w:lineRule="exact"/>
              <w:ind w:firstLine="200"/>
              <w:jc w:val="center"/>
              <w:rPr>
                <w:rFonts w:hint="eastAsia" w:ascii="方正仿宋简体" w:eastAsia="方正仿宋简体" w:cs="宋体"/>
                <w:b/>
                <w:bCs/>
                <w:kern w:val="0"/>
                <w:sz w:val="22"/>
              </w:rPr>
            </w:pPr>
            <w:r>
              <w:rPr>
                <w:rFonts w:hint="eastAsia" w:ascii="方正仿宋简体" w:hAnsi="宋体" w:eastAsia="方正仿宋简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570" w:lineRule="exact"/>
              <w:ind w:firstLine="200"/>
              <w:jc w:val="center"/>
              <w:rPr>
                <w:rFonts w:hint="eastAsia" w:ascii="方正仿宋简体" w:eastAsia="方正仿宋简体" w:cs="宋体"/>
                <w:b/>
                <w:bCs/>
                <w:kern w:val="0"/>
                <w:sz w:val="22"/>
              </w:rPr>
            </w:pPr>
            <w:r>
              <w:rPr>
                <w:rFonts w:hint="eastAsia" w:ascii="方正仿宋简体" w:hAnsi="宋体" w:eastAsia="方正仿宋简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70" w:lineRule="exact"/>
              <w:ind w:firstLine="200"/>
              <w:jc w:val="center"/>
              <w:rPr>
                <w:rFonts w:hint="eastAsia" w:ascii="方正仿宋简体" w:eastAsia="方正仿宋简体" w:cs="宋体"/>
                <w:b/>
                <w:bCs/>
                <w:kern w:val="0"/>
                <w:sz w:val="22"/>
              </w:rPr>
            </w:pPr>
            <w:r>
              <w:rPr>
                <w:rFonts w:hint="eastAsia" w:ascii="方正仿宋简体" w:hAnsi="宋体" w:eastAsia="方正仿宋简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70" w:lineRule="exact"/>
              <w:ind w:firstLine="200"/>
              <w:jc w:val="center"/>
              <w:rPr>
                <w:rFonts w:hint="eastAsia" w:ascii="方正仿宋简体" w:eastAsia="方正仿宋简体" w:cs="宋体"/>
                <w:kern w:val="0"/>
                <w:sz w:val="22"/>
              </w:rPr>
            </w:pPr>
            <w:r>
              <w:rPr>
                <w:rFonts w:hint="eastAsia" w:ascii="方正仿宋简体" w:hAnsi="宋体" w:eastAsia="方正仿宋简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hAnsi="方正仿宋简体" w:eastAsia="方正仿宋简体" w:cs="方正仿宋简体"/>
                <w:sz w:val="22"/>
              </w:rPr>
              <w:t>——</w:t>
            </w:r>
          </w:p>
        </w:tc>
        <w:tc>
          <w:tcPr>
            <w:tcW w:w="5103"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cs="宋体"/>
                <w:sz w:val="22"/>
              </w:rPr>
              <w:t>133.45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70" w:lineRule="exact"/>
              <w:ind w:firstLine="200"/>
              <w:jc w:val="left"/>
              <w:rPr>
                <w:rFonts w:hint="eastAsia" w:ascii="方正仿宋简体" w:eastAsia="方正仿宋简体" w:cs="宋体"/>
                <w:kern w:val="0"/>
                <w:sz w:val="22"/>
              </w:rPr>
            </w:pPr>
            <w:r>
              <w:rPr>
                <w:rFonts w:hint="eastAsia" w:ascii="方正仿宋简体" w:hAnsi="宋体" w:eastAsia="方正仿宋简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cs="宋体"/>
                <w:sz w:val="22"/>
              </w:rPr>
              <w:t>0</w:t>
            </w:r>
          </w:p>
        </w:tc>
        <w:tc>
          <w:tcPr>
            <w:tcW w:w="5103"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cs="宋体"/>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70" w:lineRule="exact"/>
              <w:ind w:firstLine="200"/>
              <w:jc w:val="left"/>
              <w:rPr>
                <w:rFonts w:hint="eastAsia" w:ascii="方正仿宋简体" w:eastAsia="方正仿宋简体" w:cs="宋体"/>
                <w:kern w:val="0"/>
                <w:sz w:val="22"/>
              </w:rPr>
            </w:pPr>
            <w:r>
              <w:rPr>
                <w:rFonts w:hint="eastAsia" w:ascii="方正仿宋简体" w:hAnsi="宋体" w:eastAsia="方正仿宋简体" w:cs="宋体"/>
                <w:kern w:val="0"/>
                <w:sz w:val="22"/>
              </w:rPr>
              <w:t xml:space="preserve">   其中：办公用房（平方米）</w:t>
            </w:r>
          </w:p>
        </w:tc>
        <w:tc>
          <w:tcPr>
            <w:tcW w:w="3155"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cs="宋体"/>
                <w:sz w:val="22"/>
              </w:rPr>
              <w:t>0</w:t>
            </w:r>
          </w:p>
        </w:tc>
        <w:tc>
          <w:tcPr>
            <w:tcW w:w="5103"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cs="宋体"/>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70" w:lineRule="exact"/>
              <w:ind w:firstLine="200"/>
              <w:jc w:val="left"/>
              <w:rPr>
                <w:rFonts w:hint="eastAsia" w:ascii="方正仿宋简体" w:eastAsia="方正仿宋简体" w:cs="宋体"/>
                <w:kern w:val="0"/>
                <w:sz w:val="22"/>
              </w:rPr>
            </w:pPr>
            <w:r>
              <w:rPr>
                <w:rFonts w:hint="eastAsia" w:ascii="方正仿宋简体" w:hAnsi="宋体" w:eastAsia="方正仿宋简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sz w:val="22"/>
              </w:rPr>
              <w:t>2</w:t>
            </w:r>
          </w:p>
        </w:tc>
        <w:tc>
          <w:tcPr>
            <w:tcW w:w="5103"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cs="宋体"/>
                <w:sz w:val="22"/>
              </w:rPr>
              <w:t>44.16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70" w:lineRule="exact"/>
              <w:ind w:firstLine="200"/>
              <w:jc w:val="left"/>
              <w:rPr>
                <w:rFonts w:hint="eastAsia" w:ascii="方正仿宋简体" w:eastAsia="方正仿宋简体" w:cs="宋体"/>
                <w:kern w:val="0"/>
                <w:sz w:val="22"/>
              </w:rPr>
            </w:pPr>
            <w:r>
              <w:rPr>
                <w:rFonts w:hint="eastAsia" w:ascii="方正仿宋简体" w:hAnsi="宋体" w:eastAsia="方正仿宋简体" w:cs="宋体"/>
                <w:kern w:val="0"/>
                <w:sz w:val="22"/>
              </w:rPr>
              <w:t>3、单价在20万元以上的设备</w:t>
            </w:r>
          </w:p>
        </w:tc>
        <w:tc>
          <w:tcPr>
            <w:tcW w:w="3155"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sz w:val="22"/>
              </w:rPr>
              <w:t>0　</w:t>
            </w:r>
          </w:p>
        </w:tc>
        <w:tc>
          <w:tcPr>
            <w:tcW w:w="5103" w:type="dxa"/>
            <w:tcBorders>
              <w:top w:val="nil"/>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cs="宋体"/>
                <w:sz w:val="22"/>
              </w:rPr>
              <w:t>0</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570" w:lineRule="exact"/>
              <w:ind w:firstLine="200"/>
              <w:jc w:val="left"/>
              <w:rPr>
                <w:rFonts w:hint="eastAsia" w:ascii="方正仿宋简体" w:eastAsia="方正仿宋简体" w:cs="宋体"/>
                <w:kern w:val="0"/>
                <w:sz w:val="22"/>
              </w:rPr>
            </w:pPr>
            <w:r>
              <w:rPr>
                <w:rFonts w:hint="eastAsia" w:ascii="方正仿宋简体" w:hAnsi="宋体" w:eastAsia="方正仿宋简体" w:cs="宋体"/>
                <w:kern w:val="0"/>
                <w:sz w:val="22"/>
              </w:rPr>
              <w:t>4、其他固定资产</w:t>
            </w:r>
          </w:p>
        </w:tc>
        <w:tc>
          <w:tcPr>
            <w:tcW w:w="3155" w:type="dxa"/>
            <w:tcBorders>
              <w:top w:val="single" w:color="auto" w:sz="4" w:space="0"/>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sz w:val="22"/>
              </w:rPr>
              <w:t>702</w:t>
            </w:r>
          </w:p>
        </w:tc>
        <w:tc>
          <w:tcPr>
            <w:tcW w:w="5103" w:type="dxa"/>
            <w:tcBorders>
              <w:top w:val="single" w:color="auto" w:sz="4" w:space="0"/>
              <w:left w:val="nil"/>
              <w:bottom w:val="single" w:color="auto" w:sz="4" w:space="0"/>
              <w:right w:val="single" w:color="auto" w:sz="4" w:space="0"/>
            </w:tcBorders>
            <w:noWrap w:val="0"/>
            <w:vAlign w:val="center"/>
          </w:tcPr>
          <w:p>
            <w:pPr>
              <w:spacing w:line="570" w:lineRule="exact"/>
              <w:ind w:firstLine="200"/>
              <w:jc w:val="center"/>
              <w:rPr>
                <w:rFonts w:hint="eastAsia" w:ascii="方正仿宋简体" w:eastAsia="方正仿宋简体" w:cs="宋体"/>
                <w:sz w:val="22"/>
              </w:rPr>
            </w:pPr>
            <w:r>
              <w:rPr>
                <w:rFonts w:hint="eastAsia" w:ascii="方正仿宋简体" w:eastAsia="方正仿宋简体" w:cs="宋体"/>
                <w:sz w:val="22"/>
              </w:rPr>
              <w:t>89.29</w:t>
            </w:r>
          </w:p>
        </w:tc>
      </w:tr>
    </w:tbl>
    <w:p>
      <w:pPr>
        <w:autoSpaceDE w:val="0"/>
        <w:autoSpaceDN w:val="0"/>
        <w:adjustRightInd w:val="0"/>
        <w:snapToGrid w:val="0"/>
        <w:spacing w:line="570" w:lineRule="exact"/>
        <w:jc w:val="left"/>
        <w:rPr>
          <w:rFonts w:hint="eastAsia" w:ascii="方正黑体简体" w:hAnsi="方正黑体简体" w:eastAsia="方正黑体简体" w:cs="方正黑体简体"/>
          <w:sz w:val="32"/>
          <w:szCs w:val="32"/>
        </w:rPr>
      </w:pPr>
    </w:p>
    <w:p>
      <w:pPr>
        <w:autoSpaceDE w:val="0"/>
        <w:autoSpaceDN w:val="0"/>
        <w:adjustRightInd w:val="0"/>
        <w:snapToGrid w:val="0"/>
        <w:spacing w:line="570" w:lineRule="exact"/>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snapToGrid w:val="0"/>
        <w:spacing w:line="570" w:lineRule="exact"/>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snapToGrid w:val="0"/>
        <w:spacing w:line="57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1、一般公共预算拨款收入：指省级财政当年拨付的资金。</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2、事业收入：指事业单位开展专业业务活动及辅助活动所取得的收入。</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3、其他收入：指除“一般公共预算拨款收入”、“事业收入”等以外的收入。主要是按规定动用的租房收入、存款利息收入等。</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4、基本支出：指为保障机构正常运转、完成日常工作任务而发生的人员支出和公用支出。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5、项目支出：指在基本支出之外为完成特定行政任务和事业发展目标所发生的支出。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6、上缴上级支出：指下级单位上缴上级的支出。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7、“三公”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9、上年结转：指以前年度尚未完成、结转到本年仍按原规定用途继续使用的资金。</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10、事业单位经营支出：指事业单位在专业业务活动及其辅助活动之外开展非独立核算经营活动发生的支出。</w:t>
      </w:r>
    </w:p>
    <w:p>
      <w:pPr>
        <w:autoSpaceDE w:val="0"/>
        <w:autoSpaceDN w:val="0"/>
        <w:adjustRightInd w:val="0"/>
        <w:snapToGrid w:val="0"/>
        <w:spacing w:line="57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遵化市发展和改革局本级2022年本级预算中未安排政府性基金预算、国有资本经营预算，故单位预算政府性基金预算财政拨款支出表、单位预算国有资本经营预算财政拨款支出表为空。</w:t>
      </w:r>
    </w:p>
    <w:sectPr>
      <w:headerReference r:id="rId8" w:type="first"/>
      <w:footerReference r:id="rId11" w:type="first"/>
      <w:headerReference r:id="rId6" w:type="default"/>
      <w:footerReference r:id="rId9" w:type="default"/>
      <w:headerReference r:id="rId7" w:type="even"/>
      <w:footerReference r:id="rId10" w:type="even"/>
      <w:pgSz w:w="16839" w:h="11907" w:orient="landscape"/>
      <w:pgMar w:top="680" w:right="1021" w:bottom="680" w:left="102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D58FEF-BC48-4069-A998-7AB7D05409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3B13365-04BD-49EE-9ACD-159F9ABBB36A}"/>
  </w:font>
  <w:font w:name="方正仿宋_GBK">
    <w:altName w:val="微软雅黑"/>
    <w:panose1 w:val="00000000000000000000"/>
    <w:charset w:val="00"/>
    <w:family w:val="auto"/>
    <w:pitch w:val="default"/>
    <w:sig w:usb0="00000000" w:usb1="00000000" w:usb2="00000010" w:usb3="00000000" w:csb0="00040001" w:csb1="00000000"/>
    <w:embedRegular r:id="rId3" w:fontKey="{7BC9F7E6-4B48-4078-BAEF-0F0B1502A723}"/>
  </w:font>
  <w:font w:name="方正书宋_GBK">
    <w:altName w:val="微软雅黑"/>
    <w:panose1 w:val="00000000000000000000"/>
    <w:charset w:val="00"/>
    <w:family w:val="auto"/>
    <w:pitch w:val="default"/>
    <w:sig w:usb0="00000000" w:usb1="00000000" w:usb2="00000010" w:usb3="00000000" w:csb0="00040001" w:csb1="00000000"/>
  </w:font>
  <w:font w:name="方正小标宋_GBK">
    <w:panose1 w:val="02000000000000000000"/>
    <w:charset w:val="86"/>
    <w:family w:val="roman"/>
    <w:pitch w:val="default"/>
    <w:sig w:usb0="A00002BF" w:usb1="38CF7CFA" w:usb2="00082016" w:usb3="00000000" w:csb0="00040001" w:csb1="00000000"/>
    <w:embedRegular r:id="rId4" w:fontKey="{8801C2A3-A997-428A-85C9-85A94F244FBA}"/>
  </w:font>
  <w:font w:name="方正小标宋简体">
    <w:panose1 w:val="02000000000000000000"/>
    <w:charset w:val="86"/>
    <w:family w:val="script"/>
    <w:pitch w:val="default"/>
    <w:sig w:usb0="00000001" w:usb1="080E0000" w:usb2="00000000" w:usb3="00000000" w:csb0="00040000" w:csb1="00000000"/>
    <w:embedRegular r:id="rId5" w:fontKey="{1FCF6BE0-DF1A-43BD-B699-C4FADFFC5105}"/>
  </w:font>
  <w:font w:name="方正楷体_GBK">
    <w:panose1 w:val="02000000000000000000"/>
    <w:charset w:val="86"/>
    <w:family w:val="roman"/>
    <w:pitch w:val="default"/>
    <w:sig w:usb0="800002BF" w:usb1="38CF7CFA" w:usb2="00000016" w:usb3="00000000" w:csb0="00040000" w:csb1="00000000"/>
    <w:embedRegular r:id="rId6" w:fontKey="{995CB4F8-1836-4A44-A68E-0C3FC9FF9EA1}"/>
  </w:font>
  <w:font w:name="方正仿宋简体">
    <w:panose1 w:val="02000000000000000000"/>
    <w:charset w:val="86"/>
    <w:family w:val="script"/>
    <w:pitch w:val="default"/>
    <w:sig w:usb0="00000001" w:usb1="080E0000" w:usb2="00000000" w:usb3="00000000" w:csb0="00040000" w:csb1="00000000"/>
    <w:embedRegular r:id="rId7" w:fontKey="{974872AB-EDF4-4566-8124-CD82AC142755}"/>
  </w:font>
  <w:font w:name="仿宋_GB2312">
    <w:panose1 w:val="02010609030101010101"/>
    <w:charset w:val="86"/>
    <w:family w:val="modern"/>
    <w:pitch w:val="default"/>
    <w:sig w:usb0="00000001" w:usb1="080E0000" w:usb2="00000000" w:usb3="00000000" w:csb0="00040000" w:csb1="00000000"/>
    <w:embedRegular r:id="rId8" w:fontKey="{2BC516E0-4D35-47AC-A491-7B2BDAA5C625}"/>
  </w:font>
  <w:font w:name="仿宋">
    <w:panose1 w:val="02010609060101010101"/>
    <w:charset w:val="86"/>
    <w:family w:val="modern"/>
    <w:pitch w:val="default"/>
    <w:sig w:usb0="800002BF" w:usb1="38CF7CFA" w:usb2="00000016" w:usb3="00000000" w:csb0="00040001" w:csb1="00000000"/>
    <w:embedRegular r:id="rId9" w:fontKey="{F6986E3E-820A-494B-8E94-5AD28FD97178}"/>
  </w:font>
  <w:font w:name="方正黑体简体">
    <w:panose1 w:val="02010601030101010101"/>
    <w:charset w:val="86"/>
    <w:family w:val="script"/>
    <w:pitch w:val="default"/>
    <w:sig w:usb0="00000001" w:usb1="080E0000" w:usb2="00000000" w:usb3="00000000" w:csb0="00040000" w:csb1="00000000"/>
  </w:font>
  <w:font w:name="方正楷体简体">
    <w:panose1 w:val="02000000000000000000"/>
    <w:charset w:val="86"/>
    <w:family w:val="script"/>
    <w:pitch w:val="default"/>
    <w:sig w:usb0="00000001" w:usb1="080E0000" w:usb2="00000000" w:usb3="00000000" w:csb0="00040000" w:csb1="00000000"/>
    <w:embedRegular r:id="rId10" w:fontKey="{878388E7-53E1-4744-940D-10BC8FB82B5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5"/>
                            <w:rPr>
                              <w:rStyle w:val="17"/>
                            </w:rPr>
                          </w:pPr>
                          <w:r>
                            <w:rPr>
                              <w:rStyle w:val="17"/>
                            </w:rPr>
                            <w:fldChar w:fldCharType="begin"/>
                          </w:r>
                          <w:r>
                            <w:rPr>
                              <w:rStyle w:val="17"/>
                            </w:rPr>
                            <w:instrText xml:space="preserve">PAGE  </w:instrText>
                          </w:r>
                          <w:r>
                            <w:rPr>
                              <w:rStyle w:val="17"/>
                            </w:rPr>
                            <w:fldChar w:fldCharType="separate"/>
                          </w:r>
                          <w:r>
                            <w:rPr>
                              <w:rStyle w:val="17"/>
                            </w:rPr>
                            <w:t>17</w:t>
                          </w:r>
                          <w:r>
                            <w:rPr>
                              <w:rStyle w:val="17"/>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KVcUfVAQAAqAMAAA4AAABkcnMvZTJvRG9jLnhtbK1TzY7TMBC+I/EO&#10;lu80SbeL2KjpClQtQkKwUuEBXMduLPlPHrdJXwDegBMX7vtcfQ7GTtqF5bIHLs54PP5mvs9flreD&#10;0eQgAihnG1rNSkqE5a5VdtfQr1/uXr2hBCKzLdPOioYeBdDb1csXy97XYu46p1sRCIJYqHvf0C5G&#10;XxcF8E4YBjPnhcVD6YJhEbdhV7SB9YhudDEvy9dF70Lrg+MCALPr8ZBOiOE5gE5KxcXa8b0RNo6o&#10;QWgWkRJ0ygNd5WmlFDx+lhJEJLqhyDTmFZtgvE1rsVqyeheY7xSfRmDPGeEJJ8OUxaYXqDWLjOyD&#10;+gfKKB4cOBln3JliJJIVQRZV+USbTce8yFxQavAX0eH/wfJPh/tAVItOoMQygw9++vH99PPh9Osb&#10;mZeLm6RQ76HGwo3H0ji8c0OqnvKAyUR8kMGkL1IieI76Hi/6iiESni5Vi5ura0o4HlVX1WJxnVCK&#10;x8s+QHwvnCEpaGjA58uqssNHiGPpuST1su5OaY15Vmv7VwIxx4zIHphuJx7jvCmKw3aYSGxde0Ru&#10;PfqgoRZtT4n+YFHmZJlzEM7B9hzsfVC7LnsqdQf/dh9xpDxp6jDCIsO0wQfMXCezJYf8uc9Vjz/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EpVxR9UBAACoAwAADgAAAAAAAAABACAAAAAf&#10;AQAAZHJzL2Uyb0RvYy54bWxQSwUGAAAAAAYABgBZAQAAZgUAAAAA&#10;">
              <v:fill on="f" focussize="0,0"/>
              <v:stroke on="f"/>
              <v:imagedata o:title=""/>
              <o:lock v:ext="edit" aspectratio="f"/>
              <v:textbox inset="0mm,0mm,0mm,0mm" style="mso-fit-shape-to-text:t;">
                <w:txbxContent>
                  <w:p>
                    <w:pPr>
                      <w:pStyle w:val="5"/>
                      <w:rPr>
                        <w:rStyle w:val="17"/>
                      </w:rPr>
                    </w:pPr>
                    <w:r>
                      <w:rPr>
                        <w:rStyle w:val="17"/>
                      </w:rPr>
                      <w:fldChar w:fldCharType="begin"/>
                    </w:r>
                    <w:r>
                      <w:rPr>
                        <w:rStyle w:val="17"/>
                      </w:rPr>
                      <w:instrText xml:space="preserve">PAGE  </w:instrText>
                    </w:r>
                    <w:r>
                      <w:rPr>
                        <w:rStyle w:val="17"/>
                      </w:rPr>
                      <w:fldChar w:fldCharType="separate"/>
                    </w:r>
                    <w:r>
                      <w:rPr>
                        <w:rStyle w:val="17"/>
                      </w:rPr>
                      <w:t>17</w:t>
                    </w:r>
                    <w:r>
                      <w:rPr>
                        <w:rStyle w:val="17"/>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5"/>
                            <w:jc w:val="right"/>
                          </w:pPr>
                          <w:r>
                            <w:rPr>
                              <w:rStyle w:val="17"/>
                            </w:rPr>
                            <w:fldChar w:fldCharType="begin"/>
                          </w:r>
                          <w:r>
                            <w:rPr>
                              <w:rStyle w:val="17"/>
                            </w:rPr>
                            <w:instrText xml:space="preserve"> PAGE </w:instrText>
                          </w:r>
                          <w:r>
                            <w:rPr>
                              <w:rStyle w:val="17"/>
                            </w:rPr>
                            <w:fldChar w:fldCharType="separate"/>
                          </w:r>
                          <w:r>
                            <w:rPr>
                              <w:rStyle w:val="17"/>
                            </w:rPr>
                            <w:t>68</w:t>
                          </w:r>
                          <w:r>
                            <w:rPr>
                              <w:rStyle w:val="17"/>
                            </w:rPr>
                            <w:fldChar w:fldCharType="end"/>
                          </w:r>
                          <w:r>
                            <w:rPr>
                              <w:rStyle w:val="17"/>
                              <w:rFonts w:hint="eastAsia"/>
                            </w:rPr>
                            <w:t xml:space="preserve">                                                                                                                                                                 </w:t>
                          </w:r>
                          <w:r>
                            <w:rPr>
                              <w:rFonts w:hint="eastAsia"/>
                            </w:rPr>
                            <w:t xml:space="preserve">                                                                                                                                                 </w:t>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1viXTUAQAAqAMAAA4AAABkcnMvZTJvRG9jLnhtbK1TzY7TMBC+I/EO&#10;lu80SbdFEDVdgapFSAiQFh7AdezGkv/kcZv0BeANOHHhznP1OXbspC0slz1wccYz42/m+2ayuh2M&#10;JgcRQDnb0GpWUiIsd62yu4Z+/XL34hUlEJltmXZWNPQogN6unz9b9b4Wc9c53YpAEMRC3fuGdjH6&#10;uiiAd8IwmDkvLAalC4ZFvIZd0QbWI7rRxbwsXxa9C60PjgsA9G7GIJ0Qw1MAnZSKi43jeyNsHFGD&#10;0CwiJeiUB7rO3UopePwkJYhIdEORacwnFkF7m85ivWL1LjDfKT61wJ7SwiNOhimLRS9QGxYZ2Qf1&#10;D5RRPDhwMs64M8VIJCuCLKrykTb3HfMic0GpwV9Eh/8Hyz8ePgei2obOKbHM4MBPP76ffv4+/fpG&#10;5uUyK9R7qDHx3mNqHN66AfcmKZf8gM5EfJDBpC9SIhhHfY8XfcUQCU+PqsXrmyUlHEPVTbVYLBNK&#10;cX3sA8R3whmSjIYGHF9WlR0+QBxTzymplnV3Sus8Qm3/ciDm6BF5B6bX136TFYftMJHYuvaI3Hrc&#10;g4ZaXHtK9HuLMqeVORvhbGzPxt4HtevyTqXq4N/sI7aUO00VRlhkmC44wMx1Wra0IX/ec9b1B1s/&#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Btb4l01AEAAKgDAAAOAAAAAAAAAAEAIAAAAB8B&#10;AABkcnMvZTJvRG9jLnhtbFBLBQYAAAAABgAGAFkBAABlBQAAAAA=&#10;">
              <v:fill on="f" focussize="0,0"/>
              <v:stroke on="f"/>
              <v:imagedata o:title=""/>
              <o:lock v:ext="edit" aspectratio="f"/>
              <v:textbox inset="0mm,0mm,0mm,0mm" style="mso-fit-shape-to-text:t;">
                <w:txbxContent>
                  <w:p>
                    <w:pPr>
                      <w:pStyle w:val="5"/>
                      <w:jc w:val="right"/>
                    </w:pPr>
                    <w:r>
                      <w:rPr>
                        <w:rStyle w:val="17"/>
                      </w:rPr>
                      <w:fldChar w:fldCharType="begin"/>
                    </w:r>
                    <w:r>
                      <w:rPr>
                        <w:rStyle w:val="17"/>
                      </w:rPr>
                      <w:instrText xml:space="preserve"> PAGE </w:instrText>
                    </w:r>
                    <w:r>
                      <w:rPr>
                        <w:rStyle w:val="17"/>
                      </w:rPr>
                      <w:fldChar w:fldCharType="separate"/>
                    </w:r>
                    <w:r>
                      <w:rPr>
                        <w:rStyle w:val="17"/>
                      </w:rPr>
                      <w:t>68</w:t>
                    </w:r>
                    <w:r>
                      <w:rPr>
                        <w:rStyle w:val="17"/>
                      </w:rPr>
                      <w:fldChar w:fldCharType="end"/>
                    </w:r>
                    <w:r>
                      <w:rPr>
                        <w:rStyle w:val="17"/>
                        <w:rFonts w:hint="eastAsia"/>
                      </w:rPr>
                      <w:t xml:space="preserve">                                                                                                                                                                 </w:t>
                    </w:r>
                    <w:r>
                      <w:rPr>
                        <w:rFonts w:hint="eastAsi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TczZWYxZTY1YmUyMjhmNmQwNjM2OTBjMDMyNmMifQ=="/>
  </w:docVars>
  <w:rsids>
    <w:rsidRoot w:val="00172A27"/>
    <w:rsid w:val="000030CE"/>
    <w:rsid w:val="00006AB3"/>
    <w:rsid w:val="00007F63"/>
    <w:rsid w:val="00014C25"/>
    <w:rsid w:val="00016454"/>
    <w:rsid w:val="00017072"/>
    <w:rsid w:val="00020EB8"/>
    <w:rsid w:val="000220AE"/>
    <w:rsid w:val="000357F3"/>
    <w:rsid w:val="00037DA4"/>
    <w:rsid w:val="000400DA"/>
    <w:rsid w:val="00050B93"/>
    <w:rsid w:val="00050EC4"/>
    <w:rsid w:val="0005652B"/>
    <w:rsid w:val="00063031"/>
    <w:rsid w:val="00063A56"/>
    <w:rsid w:val="00065AD7"/>
    <w:rsid w:val="000668C5"/>
    <w:rsid w:val="00075F33"/>
    <w:rsid w:val="0009367C"/>
    <w:rsid w:val="00095752"/>
    <w:rsid w:val="000965A7"/>
    <w:rsid w:val="0009771C"/>
    <w:rsid w:val="000A11CF"/>
    <w:rsid w:val="000A2990"/>
    <w:rsid w:val="000B329C"/>
    <w:rsid w:val="000C29C4"/>
    <w:rsid w:val="000C3975"/>
    <w:rsid w:val="000E6698"/>
    <w:rsid w:val="0010304F"/>
    <w:rsid w:val="00106A80"/>
    <w:rsid w:val="00114FC9"/>
    <w:rsid w:val="00115C05"/>
    <w:rsid w:val="001250AE"/>
    <w:rsid w:val="001439DE"/>
    <w:rsid w:val="00145930"/>
    <w:rsid w:val="00146844"/>
    <w:rsid w:val="00156AFD"/>
    <w:rsid w:val="00161D9D"/>
    <w:rsid w:val="00162A67"/>
    <w:rsid w:val="0017062D"/>
    <w:rsid w:val="00173AFE"/>
    <w:rsid w:val="001777E6"/>
    <w:rsid w:val="001812DC"/>
    <w:rsid w:val="00181B1D"/>
    <w:rsid w:val="00181E57"/>
    <w:rsid w:val="00192FBF"/>
    <w:rsid w:val="00193A93"/>
    <w:rsid w:val="001A03C2"/>
    <w:rsid w:val="001A24FA"/>
    <w:rsid w:val="001C2258"/>
    <w:rsid w:val="001C25AD"/>
    <w:rsid w:val="001C2BCB"/>
    <w:rsid w:val="001C2E8B"/>
    <w:rsid w:val="001C4AF5"/>
    <w:rsid w:val="001D1246"/>
    <w:rsid w:val="001D1301"/>
    <w:rsid w:val="001E4FCA"/>
    <w:rsid w:val="001F221A"/>
    <w:rsid w:val="001F754E"/>
    <w:rsid w:val="001F7D3B"/>
    <w:rsid w:val="002023EE"/>
    <w:rsid w:val="002109AE"/>
    <w:rsid w:val="002112DD"/>
    <w:rsid w:val="00217824"/>
    <w:rsid w:val="0022054A"/>
    <w:rsid w:val="002316A6"/>
    <w:rsid w:val="00232D02"/>
    <w:rsid w:val="00240212"/>
    <w:rsid w:val="002425B1"/>
    <w:rsid w:val="002509E7"/>
    <w:rsid w:val="00253165"/>
    <w:rsid w:val="002760C8"/>
    <w:rsid w:val="0028229F"/>
    <w:rsid w:val="0028530A"/>
    <w:rsid w:val="002870FE"/>
    <w:rsid w:val="00290478"/>
    <w:rsid w:val="00291424"/>
    <w:rsid w:val="002A30D0"/>
    <w:rsid w:val="002A4015"/>
    <w:rsid w:val="002B4D8D"/>
    <w:rsid w:val="002B67E1"/>
    <w:rsid w:val="002C2760"/>
    <w:rsid w:val="002C344C"/>
    <w:rsid w:val="002C3878"/>
    <w:rsid w:val="002D08C7"/>
    <w:rsid w:val="00300CFE"/>
    <w:rsid w:val="003052F6"/>
    <w:rsid w:val="00306087"/>
    <w:rsid w:val="00312385"/>
    <w:rsid w:val="003127BF"/>
    <w:rsid w:val="0031424B"/>
    <w:rsid w:val="0032311A"/>
    <w:rsid w:val="003271EF"/>
    <w:rsid w:val="003313B5"/>
    <w:rsid w:val="00340058"/>
    <w:rsid w:val="00343CA3"/>
    <w:rsid w:val="00353BB2"/>
    <w:rsid w:val="00353E3B"/>
    <w:rsid w:val="00354DEC"/>
    <w:rsid w:val="00356287"/>
    <w:rsid w:val="0035628D"/>
    <w:rsid w:val="0036401D"/>
    <w:rsid w:val="00367D7F"/>
    <w:rsid w:val="00372281"/>
    <w:rsid w:val="00376956"/>
    <w:rsid w:val="00391C70"/>
    <w:rsid w:val="003954F3"/>
    <w:rsid w:val="003B1500"/>
    <w:rsid w:val="003B6673"/>
    <w:rsid w:val="003C0FEB"/>
    <w:rsid w:val="003C29E1"/>
    <w:rsid w:val="003C607C"/>
    <w:rsid w:val="003D2DFE"/>
    <w:rsid w:val="003D38F2"/>
    <w:rsid w:val="003E0A59"/>
    <w:rsid w:val="003E294B"/>
    <w:rsid w:val="003E30A7"/>
    <w:rsid w:val="003E72EA"/>
    <w:rsid w:val="003F44DD"/>
    <w:rsid w:val="003F6767"/>
    <w:rsid w:val="0040090F"/>
    <w:rsid w:val="00402A37"/>
    <w:rsid w:val="00405C5B"/>
    <w:rsid w:val="00426601"/>
    <w:rsid w:val="0044308D"/>
    <w:rsid w:val="00443607"/>
    <w:rsid w:val="00443E71"/>
    <w:rsid w:val="004619C0"/>
    <w:rsid w:val="00466965"/>
    <w:rsid w:val="00466F42"/>
    <w:rsid w:val="004775A4"/>
    <w:rsid w:val="004A0CB9"/>
    <w:rsid w:val="004A1B4F"/>
    <w:rsid w:val="004B3AC2"/>
    <w:rsid w:val="004B3EA1"/>
    <w:rsid w:val="004B6D58"/>
    <w:rsid w:val="004C2ADB"/>
    <w:rsid w:val="004D1E65"/>
    <w:rsid w:val="004D4BE2"/>
    <w:rsid w:val="004D710F"/>
    <w:rsid w:val="004F08BD"/>
    <w:rsid w:val="00513B00"/>
    <w:rsid w:val="00513EA5"/>
    <w:rsid w:val="005369D1"/>
    <w:rsid w:val="00546277"/>
    <w:rsid w:val="005541CC"/>
    <w:rsid w:val="005619CB"/>
    <w:rsid w:val="0056541B"/>
    <w:rsid w:val="005737B7"/>
    <w:rsid w:val="005839AB"/>
    <w:rsid w:val="0058419B"/>
    <w:rsid w:val="00586152"/>
    <w:rsid w:val="00586E30"/>
    <w:rsid w:val="005873A9"/>
    <w:rsid w:val="00594321"/>
    <w:rsid w:val="005A3324"/>
    <w:rsid w:val="005A3E2C"/>
    <w:rsid w:val="005C169C"/>
    <w:rsid w:val="005C66A7"/>
    <w:rsid w:val="005D2471"/>
    <w:rsid w:val="005F1EF3"/>
    <w:rsid w:val="00606B8A"/>
    <w:rsid w:val="00623BC2"/>
    <w:rsid w:val="00624B36"/>
    <w:rsid w:val="006337DD"/>
    <w:rsid w:val="006362F6"/>
    <w:rsid w:val="00637329"/>
    <w:rsid w:val="00651C35"/>
    <w:rsid w:val="00651C9E"/>
    <w:rsid w:val="006673C6"/>
    <w:rsid w:val="00670423"/>
    <w:rsid w:val="006A0444"/>
    <w:rsid w:val="006A482A"/>
    <w:rsid w:val="006A75F3"/>
    <w:rsid w:val="006B20AF"/>
    <w:rsid w:val="006B2B3D"/>
    <w:rsid w:val="006B51F5"/>
    <w:rsid w:val="006D595F"/>
    <w:rsid w:val="006D7625"/>
    <w:rsid w:val="006E0AA3"/>
    <w:rsid w:val="006F1001"/>
    <w:rsid w:val="006F7CA4"/>
    <w:rsid w:val="007002C9"/>
    <w:rsid w:val="00701FA5"/>
    <w:rsid w:val="007033D3"/>
    <w:rsid w:val="00711878"/>
    <w:rsid w:val="007153C4"/>
    <w:rsid w:val="00720D77"/>
    <w:rsid w:val="00720E0C"/>
    <w:rsid w:val="00731519"/>
    <w:rsid w:val="00733D5C"/>
    <w:rsid w:val="007378DF"/>
    <w:rsid w:val="00741325"/>
    <w:rsid w:val="0074208E"/>
    <w:rsid w:val="00742A23"/>
    <w:rsid w:val="00746EB3"/>
    <w:rsid w:val="007711CC"/>
    <w:rsid w:val="00772C7A"/>
    <w:rsid w:val="0078380B"/>
    <w:rsid w:val="00787F16"/>
    <w:rsid w:val="0079573C"/>
    <w:rsid w:val="007B376D"/>
    <w:rsid w:val="007C04C0"/>
    <w:rsid w:val="007C29CC"/>
    <w:rsid w:val="007D689B"/>
    <w:rsid w:val="007E3788"/>
    <w:rsid w:val="007F2E99"/>
    <w:rsid w:val="007F6C3D"/>
    <w:rsid w:val="007F7BC9"/>
    <w:rsid w:val="008008AF"/>
    <w:rsid w:val="008018DB"/>
    <w:rsid w:val="00802F10"/>
    <w:rsid w:val="00802F9E"/>
    <w:rsid w:val="008146B6"/>
    <w:rsid w:val="0081533F"/>
    <w:rsid w:val="008450F6"/>
    <w:rsid w:val="008459F1"/>
    <w:rsid w:val="00845FF2"/>
    <w:rsid w:val="00847466"/>
    <w:rsid w:val="00850E9D"/>
    <w:rsid w:val="00854192"/>
    <w:rsid w:val="0086427F"/>
    <w:rsid w:val="00866EFE"/>
    <w:rsid w:val="008868B4"/>
    <w:rsid w:val="008921A6"/>
    <w:rsid w:val="00894862"/>
    <w:rsid w:val="008A6BDF"/>
    <w:rsid w:val="008B4C1C"/>
    <w:rsid w:val="008B638F"/>
    <w:rsid w:val="008C2B4C"/>
    <w:rsid w:val="008C65CF"/>
    <w:rsid w:val="008D781F"/>
    <w:rsid w:val="008F0B41"/>
    <w:rsid w:val="008F28D2"/>
    <w:rsid w:val="008F7CD9"/>
    <w:rsid w:val="00900F48"/>
    <w:rsid w:val="00906CD1"/>
    <w:rsid w:val="00910E2D"/>
    <w:rsid w:val="0091467E"/>
    <w:rsid w:val="00915315"/>
    <w:rsid w:val="009215A9"/>
    <w:rsid w:val="009341CC"/>
    <w:rsid w:val="009705B0"/>
    <w:rsid w:val="00973939"/>
    <w:rsid w:val="00986DA7"/>
    <w:rsid w:val="0099664F"/>
    <w:rsid w:val="009A5093"/>
    <w:rsid w:val="009A55B2"/>
    <w:rsid w:val="009A7755"/>
    <w:rsid w:val="009B6785"/>
    <w:rsid w:val="009B76BF"/>
    <w:rsid w:val="009C4215"/>
    <w:rsid w:val="009C6411"/>
    <w:rsid w:val="009D1F4D"/>
    <w:rsid w:val="009D4331"/>
    <w:rsid w:val="009E0CFB"/>
    <w:rsid w:val="009E1496"/>
    <w:rsid w:val="009E14EA"/>
    <w:rsid w:val="009E2B9F"/>
    <w:rsid w:val="009E6C38"/>
    <w:rsid w:val="00A00280"/>
    <w:rsid w:val="00A00F1D"/>
    <w:rsid w:val="00A0183F"/>
    <w:rsid w:val="00A11CEA"/>
    <w:rsid w:val="00A20A16"/>
    <w:rsid w:val="00A24320"/>
    <w:rsid w:val="00A2570B"/>
    <w:rsid w:val="00A31DC0"/>
    <w:rsid w:val="00A3477B"/>
    <w:rsid w:val="00A40147"/>
    <w:rsid w:val="00A41B9C"/>
    <w:rsid w:val="00A51004"/>
    <w:rsid w:val="00A51295"/>
    <w:rsid w:val="00A56C06"/>
    <w:rsid w:val="00A71BF4"/>
    <w:rsid w:val="00A91DD6"/>
    <w:rsid w:val="00A9262F"/>
    <w:rsid w:val="00AB3B04"/>
    <w:rsid w:val="00AB611B"/>
    <w:rsid w:val="00AC0327"/>
    <w:rsid w:val="00AC29E8"/>
    <w:rsid w:val="00AD02A8"/>
    <w:rsid w:val="00AD1780"/>
    <w:rsid w:val="00AF2D06"/>
    <w:rsid w:val="00AF30FE"/>
    <w:rsid w:val="00AF4E85"/>
    <w:rsid w:val="00B0496C"/>
    <w:rsid w:val="00B0530C"/>
    <w:rsid w:val="00B0641E"/>
    <w:rsid w:val="00B12B13"/>
    <w:rsid w:val="00B229DA"/>
    <w:rsid w:val="00B41B18"/>
    <w:rsid w:val="00B43648"/>
    <w:rsid w:val="00B447E9"/>
    <w:rsid w:val="00B54390"/>
    <w:rsid w:val="00B56146"/>
    <w:rsid w:val="00B7568F"/>
    <w:rsid w:val="00B76B47"/>
    <w:rsid w:val="00B814B0"/>
    <w:rsid w:val="00B816F3"/>
    <w:rsid w:val="00B8292E"/>
    <w:rsid w:val="00B90597"/>
    <w:rsid w:val="00B94ABB"/>
    <w:rsid w:val="00B96872"/>
    <w:rsid w:val="00B97AE5"/>
    <w:rsid w:val="00BA1FBB"/>
    <w:rsid w:val="00BB0286"/>
    <w:rsid w:val="00BD062E"/>
    <w:rsid w:val="00BD0DB2"/>
    <w:rsid w:val="00BD1CAC"/>
    <w:rsid w:val="00BD30EC"/>
    <w:rsid w:val="00BD323D"/>
    <w:rsid w:val="00BF296B"/>
    <w:rsid w:val="00BF4C6E"/>
    <w:rsid w:val="00C06E22"/>
    <w:rsid w:val="00C115C2"/>
    <w:rsid w:val="00C14133"/>
    <w:rsid w:val="00C14382"/>
    <w:rsid w:val="00C20F9C"/>
    <w:rsid w:val="00C21563"/>
    <w:rsid w:val="00C21DEA"/>
    <w:rsid w:val="00C42977"/>
    <w:rsid w:val="00C540DE"/>
    <w:rsid w:val="00C6702C"/>
    <w:rsid w:val="00C72345"/>
    <w:rsid w:val="00C75EE7"/>
    <w:rsid w:val="00C77595"/>
    <w:rsid w:val="00C837C4"/>
    <w:rsid w:val="00C86E02"/>
    <w:rsid w:val="00C94A9D"/>
    <w:rsid w:val="00CB15FB"/>
    <w:rsid w:val="00CB1B8D"/>
    <w:rsid w:val="00CB23CB"/>
    <w:rsid w:val="00CB5586"/>
    <w:rsid w:val="00CB72DB"/>
    <w:rsid w:val="00CC097D"/>
    <w:rsid w:val="00CD3578"/>
    <w:rsid w:val="00CD4144"/>
    <w:rsid w:val="00CD6E26"/>
    <w:rsid w:val="00CE0687"/>
    <w:rsid w:val="00CE2B5A"/>
    <w:rsid w:val="00CF132E"/>
    <w:rsid w:val="00D05DD4"/>
    <w:rsid w:val="00D07572"/>
    <w:rsid w:val="00D24AE5"/>
    <w:rsid w:val="00D251C2"/>
    <w:rsid w:val="00D251F8"/>
    <w:rsid w:val="00D3202A"/>
    <w:rsid w:val="00D33249"/>
    <w:rsid w:val="00D40A5D"/>
    <w:rsid w:val="00D43521"/>
    <w:rsid w:val="00D541BE"/>
    <w:rsid w:val="00D54BD9"/>
    <w:rsid w:val="00D552F1"/>
    <w:rsid w:val="00D6007A"/>
    <w:rsid w:val="00D635A9"/>
    <w:rsid w:val="00D874D0"/>
    <w:rsid w:val="00D93DCA"/>
    <w:rsid w:val="00D9701C"/>
    <w:rsid w:val="00DA344B"/>
    <w:rsid w:val="00DA7BF8"/>
    <w:rsid w:val="00DB06B6"/>
    <w:rsid w:val="00DB2DC6"/>
    <w:rsid w:val="00DB3D56"/>
    <w:rsid w:val="00DB537E"/>
    <w:rsid w:val="00DC4B6A"/>
    <w:rsid w:val="00DC741B"/>
    <w:rsid w:val="00DD153C"/>
    <w:rsid w:val="00DD3712"/>
    <w:rsid w:val="00DF393A"/>
    <w:rsid w:val="00DF53F0"/>
    <w:rsid w:val="00E0332A"/>
    <w:rsid w:val="00E0442C"/>
    <w:rsid w:val="00E21894"/>
    <w:rsid w:val="00E33227"/>
    <w:rsid w:val="00E353C5"/>
    <w:rsid w:val="00E51716"/>
    <w:rsid w:val="00E57B37"/>
    <w:rsid w:val="00E64594"/>
    <w:rsid w:val="00E67F73"/>
    <w:rsid w:val="00E711C1"/>
    <w:rsid w:val="00E73DAC"/>
    <w:rsid w:val="00E93017"/>
    <w:rsid w:val="00EA3394"/>
    <w:rsid w:val="00EA36A0"/>
    <w:rsid w:val="00EA562E"/>
    <w:rsid w:val="00EB6966"/>
    <w:rsid w:val="00EB7E04"/>
    <w:rsid w:val="00EC55D2"/>
    <w:rsid w:val="00ED08C6"/>
    <w:rsid w:val="00ED3948"/>
    <w:rsid w:val="00ED51ED"/>
    <w:rsid w:val="00ED6CBE"/>
    <w:rsid w:val="00EF40CF"/>
    <w:rsid w:val="00EF78D8"/>
    <w:rsid w:val="00F0398B"/>
    <w:rsid w:val="00F04CD5"/>
    <w:rsid w:val="00F05338"/>
    <w:rsid w:val="00F14F8E"/>
    <w:rsid w:val="00F15379"/>
    <w:rsid w:val="00F27AA9"/>
    <w:rsid w:val="00F36662"/>
    <w:rsid w:val="00F37042"/>
    <w:rsid w:val="00F466F4"/>
    <w:rsid w:val="00F551D4"/>
    <w:rsid w:val="00F6120D"/>
    <w:rsid w:val="00F62BC4"/>
    <w:rsid w:val="00F64CE3"/>
    <w:rsid w:val="00F67BAA"/>
    <w:rsid w:val="00F775C5"/>
    <w:rsid w:val="00FA2916"/>
    <w:rsid w:val="00FA5B3F"/>
    <w:rsid w:val="00FC6CB1"/>
    <w:rsid w:val="00FD681C"/>
    <w:rsid w:val="00FE20E2"/>
    <w:rsid w:val="00FF1377"/>
    <w:rsid w:val="03CF27BF"/>
    <w:rsid w:val="05BE50FD"/>
    <w:rsid w:val="077970AD"/>
    <w:rsid w:val="08A912F9"/>
    <w:rsid w:val="0B8C249E"/>
    <w:rsid w:val="0D7C5582"/>
    <w:rsid w:val="0E3756DF"/>
    <w:rsid w:val="0EBB70C4"/>
    <w:rsid w:val="0EE550F4"/>
    <w:rsid w:val="13E80C02"/>
    <w:rsid w:val="1F03461E"/>
    <w:rsid w:val="1FF40D34"/>
    <w:rsid w:val="20492575"/>
    <w:rsid w:val="25024B7E"/>
    <w:rsid w:val="313A62BA"/>
    <w:rsid w:val="36DB2974"/>
    <w:rsid w:val="46DA6E28"/>
    <w:rsid w:val="49FD0430"/>
    <w:rsid w:val="4FEC67C1"/>
    <w:rsid w:val="5081359F"/>
    <w:rsid w:val="6051043C"/>
    <w:rsid w:val="64A70923"/>
    <w:rsid w:val="66993C52"/>
    <w:rsid w:val="67183625"/>
    <w:rsid w:val="70B35E15"/>
    <w:rsid w:val="70C42337"/>
    <w:rsid w:val="73C8406D"/>
    <w:rsid w:val="7D141683"/>
    <w:rsid w:val="7E350DAB"/>
    <w:rsid w:val="7FB73D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5">
    <w:name w:val="Default Paragraph Font"/>
    <w:link w:val="16"/>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toc 3"/>
    <w:basedOn w:val="1"/>
    <w:next w:val="1"/>
    <w:unhideWhenUsed/>
    <w:qFormat/>
    <w:uiPriority w:val="39"/>
    <w:pPr>
      <w:ind w:left="840" w:leftChars="400"/>
    </w:pPr>
  </w:style>
  <w:style w:type="paragraph" w:styleId="4">
    <w:name w:val="Balloon Text"/>
    <w:basedOn w:val="1"/>
    <w:link w:val="21"/>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toc 1"/>
    <w:basedOn w:val="1"/>
    <w:next w:val="1"/>
    <w:qFormat/>
    <w:uiPriority w:val="0"/>
    <w:rPr>
      <w:rFonts w:ascii="Times New Roman" w:hAnsi="Times New Roman" w:eastAsia="宋体" w:cs="Times New Roman"/>
      <w:szCs w:val="24"/>
    </w:rPr>
  </w:style>
  <w:style w:type="paragraph" w:styleId="8">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9">
    <w:name w:val="footnote text"/>
    <w:basedOn w:val="1"/>
    <w:link w:val="24"/>
    <w:semiHidden/>
    <w:qFormat/>
    <w:uiPriority w:val="0"/>
    <w:pPr>
      <w:snapToGrid w:val="0"/>
      <w:jc w:val="left"/>
    </w:pPr>
    <w:rPr>
      <w:rFonts w:cs="Times New Roman"/>
      <w:sz w:val="18"/>
      <w:szCs w:val="18"/>
    </w:rPr>
  </w:style>
  <w:style w:type="paragraph" w:styleId="10">
    <w:name w:val="toc 2"/>
    <w:basedOn w:val="1"/>
    <w:next w:val="1"/>
    <w:qFormat/>
    <w:uiPriority w:val="0"/>
    <w:pPr>
      <w:ind w:left="420" w:leftChars="200"/>
    </w:pPr>
    <w:rPr>
      <w:rFonts w:ascii="Times New Roman" w:hAnsi="Times New Roman" w:eastAsia="宋体" w:cs="Times New Roman"/>
      <w:szCs w:val="24"/>
    </w:rPr>
  </w:style>
  <w:style w:type="paragraph" w:styleId="11">
    <w:name w:val="Normal (Web)"/>
    <w:basedOn w:val="1"/>
    <w:qFormat/>
    <w:uiPriority w:val="0"/>
    <w:pPr>
      <w:spacing w:before="100" w:beforeAutospacing="1" w:after="100" w:afterAutospacing="1"/>
      <w:jc w:val="left"/>
    </w:pPr>
    <w:rPr>
      <w:rFonts w:cs="Times New Roman"/>
      <w:kern w:val="0"/>
      <w:sz w:val="24"/>
      <w:szCs w:val="24"/>
    </w:rPr>
  </w:style>
  <w:style w:type="paragraph" w:styleId="12">
    <w:name w:val="Body Text First Indent 2"/>
    <w:basedOn w:val="2"/>
    <w:link w:val="25"/>
    <w:qFormat/>
    <w:uiPriority w:val="0"/>
    <w:pPr>
      <w:spacing w:after="0"/>
      <w:ind w:firstLine="420" w:firstLineChars="200"/>
    </w:pPr>
    <w:rPr>
      <w:rFonts w:cs="Calibri"/>
      <w:color w:val="0000FF"/>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1 Char Char Char Char Char Char"/>
    <w:basedOn w:val="1"/>
    <w:link w:val="15"/>
    <w:uiPriority w:val="0"/>
    <w:rPr>
      <w:rFonts w:ascii="Times New Roman" w:hAnsi="Times New Roman" w:cs="Times New Roman"/>
      <w:szCs w:val="24"/>
    </w:rPr>
  </w:style>
  <w:style w:type="character" w:styleId="17">
    <w:name w:val="page number"/>
    <w:basedOn w:val="15"/>
    <w:qFormat/>
    <w:uiPriority w:val="0"/>
  </w:style>
  <w:style w:type="character" w:styleId="18">
    <w:name w:val="FollowedHyperlink"/>
    <w:qFormat/>
    <w:uiPriority w:val="0"/>
    <w:rPr>
      <w:color w:val="800080"/>
      <w:u w:val="none"/>
    </w:rPr>
  </w:style>
  <w:style w:type="character" w:styleId="19">
    <w:name w:val="Hyperlink"/>
    <w:basedOn w:val="15"/>
    <w:qFormat/>
    <w:uiPriority w:val="0"/>
    <w:rPr>
      <w:color w:val="0000FF"/>
      <w:u w:val="none"/>
    </w:rPr>
  </w:style>
  <w:style w:type="character" w:styleId="20">
    <w:name w:val="footnote reference"/>
    <w:basedOn w:val="15"/>
    <w:semiHidden/>
    <w:qFormat/>
    <w:uiPriority w:val="0"/>
    <w:rPr>
      <w:vertAlign w:val="superscript"/>
    </w:rPr>
  </w:style>
  <w:style w:type="character" w:customStyle="1" w:styleId="21">
    <w:name w:val=" Char Char"/>
    <w:link w:val="4"/>
    <w:qFormat/>
    <w:uiPriority w:val="0"/>
    <w:rPr>
      <w:sz w:val="18"/>
      <w:szCs w:val="18"/>
    </w:rPr>
  </w:style>
  <w:style w:type="character" w:customStyle="1" w:styleId="22">
    <w:name w:val=" Char Char1"/>
    <w:link w:val="5"/>
    <w:qFormat/>
    <w:uiPriority w:val="0"/>
    <w:rPr>
      <w:rFonts w:ascii="Times New Roman" w:hAnsi="Times New Roman" w:eastAsia="宋体" w:cs="Times New Roman"/>
      <w:sz w:val="18"/>
      <w:szCs w:val="18"/>
    </w:rPr>
  </w:style>
  <w:style w:type="character" w:customStyle="1" w:styleId="23">
    <w:name w:val=" Char Char2"/>
    <w:link w:val="6"/>
    <w:qFormat/>
    <w:uiPriority w:val="0"/>
    <w:rPr>
      <w:rFonts w:ascii="Times New Roman" w:hAnsi="Times New Roman" w:eastAsia="宋体" w:cs="Times New Roman"/>
      <w:sz w:val="18"/>
      <w:szCs w:val="18"/>
    </w:rPr>
  </w:style>
  <w:style w:type="character" w:customStyle="1" w:styleId="24">
    <w:name w:val="Footnote Text Char"/>
    <w:basedOn w:val="15"/>
    <w:link w:val="9"/>
    <w:semiHidden/>
    <w:qFormat/>
    <w:locked/>
    <w:uiPriority w:val="0"/>
    <w:rPr>
      <w:rFonts w:ascii="Calibri" w:hAnsi="Calibri" w:eastAsia="宋体"/>
      <w:kern w:val="2"/>
      <w:sz w:val="18"/>
      <w:szCs w:val="18"/>
      <w:lang w:val="en-US" w:eastAsia="zh-CN" w:bidi="ar-SA"/>
    </w:rPr>
  </w:style>
  <w:style w:type="character" w:customStyle="1" w:styleId="25">
    <w:name w:val="Body Text First Indent 2 Char"/>
    <w:basedOn w:val="15"/>
    <w:link w:val="12"/>
    <w:semiHidden/>
    <w:qFormat/>
    <w:locked/>
    <w:uiPriority w:val="0"/>
    <w:rPr>
      <w:rFonts w:ascii="Calibri" w:hAnsi="Calibri" w:eastAsia="宋体" w:cs="Calibri"/>
      <w:color w:val="0000FF"/>
      <w:kern w:val="2"/>
      <w:sz w:val="21"/>
      <w:szCs w:val="21"/>
      <w:lang w:val="en-US" w:eastAsia="zh-CN" w:bidi="ar-SA"/>
    </w:rPr>
  </w:style>
  <w:style w:type="character" w:customStyle="1" w:styleId="26">
    <w:name w:val="Balloon Text Char"/>
    <w:basedOn w:val="15"/>
    <w:semiHidden/>
    <w:qFormat/>
    <w:locked/>
    <w:uiPriority w:val="0"/>
    <w:rPr>
      <w:rFonts w:cs="Times New Roman"/>
      <w:sz w:val="18"/>
      <w:szCs w:val="18"/>
    </w:rPr>
  </w:style>
  <w:style w:type="character" w:customStyle="1" w:styleId="27">
    <w:name w:val="Footer Char"/>
    <w:basedOn w:val="15"/>
    <w:qFormat/>
    <w:locked/>
    <w:uiPriority w:val="0"/>
    <w:rPr>
      <w:rFonts w:ascii="Times New Roman" w:hAnsi="Times New Roman" w:eastAsia="宋体" w:cs="Times New Roman"/>
      <w:sz w:val="18"/>
      <w:szCs w:val="18"/>
    </w:rPr>
  </w:style>
  <w:style w:type="character" w:customStyle="1" w:styleId="28">
    <w:name w:val="Header Char"/>
    <w:basedOn w:val="15"/>
    <w:qFormat/>
    <w:locked/>
    <w:uiPriority w:val="0"/>
    <w:rPr>
      <w:rFonts w:ascii="Times New Roman" w:hAnsi="Times New Roman" w:eastAsia="宋体" w:cs="Times New Roman"/>
      <w:sz w:val="18"/>
      <w:szCs w:val="18"/>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p0"/>
    <w:basedOn w:val="1"/>
    <w:qFormat/>
    <w:uiPriority w:val="0"/>
    <w:pPr>
      <w:spacing w:line="365" w:lineRule="atLeast"/>
      <w:ind w:left="1"/>
    </w:pPr>
    <w:rPr>
      <w:rFonts w:cs="Calibri"/>
      <w:sz w:val="20"/>
      <w:szCs w:val="21"/>
    </w:rPr>
  </w:style>
  <w:style w:type="paragraph" w:customStyle="1" w:styleId="31">
    <w:name w:val=" Char Char1 Char Char Char Char Char Char Char Char Char Char Char Char Char Char1 Char Char Char Char Char Char1"/>
    <w:basedOn w:val="1"/>
    <w:qFormat/>
    <w:uiPriority w:val="0"/>
    <w:pPr>
      <w:widowControl/>
      <w:spacing w:after="156" w:afterLines="50" w:line="300" w:lineRule="auto"/>
      <w:ind w:firstLine="200" w:firstLineChars="200"/>
    </w:pPr>
    <w:rPr>
      <w:rFonts w:ascii="Times New Roman" w:hAnsi="Times New Roman" w:cs="Times New Roman"/>
      <w:szCs w:val="20"/>
    </w:rPr>
  </w:style>
  <w:style w:type="character" w:customStyle="1" w:styleId="32">
    <w:name w:val="NormalCharacter"/>
    <w:link w:val="33"/>
    <w:semiHidden/>
    <w:qFormat/>
    <w:locked/>
    <w:uiPriority w:val="0"/>
    <w:rPr>
      <w:rFonts w:eastAsia="宋体"/>
      <w:kern w:val="2"/>
      <w:sz w:val="21"/>
      <w:szCs w:val="21"/>
      <w:lang w:val="en-US" w:eastAsia="zh-CN" w:bidi="ar-SA"/>
    </w:rPr>
  </w:style>
  <w:style w:type="paragraph" w:customStyle="1" w:styleId="33">
    <w:name w:val="UserStyle_0"/>
    <w:basedOn w:val="1"/>
    <w:link w:val="32"/>
    <w:qFormat/>
    <w:uiPriority w:val="0"/>
    <w:pPr>
      <w:widowControl/>
      <w:textAlignment w:val="baseline"/>
    </w:pPr>
    <w:rPr>
      <w:rFonts w:ascii="Times New Roman" w:hAnsi="Times New Roman" w:cs="Times New Roman"/>
      <w:szCs w:val="21"/>
    </w:rPr>
  </w:style>
  <w:style w:type="character" w:customStyle="1" w:styleId="34">
    <w:name w:val="font41"/>
    <w:qFormat/>
    <w:uiPriority w:val="0"/>
    <w:rPr>
      <w:rFonts w:hint="eastAsia" w:ascii="宋体" w:hAnsi="宋体" w:eastAsia="宋体" w:cs="宋体"/>
      <w:b/>
      <w:color w:val="000000"/>
      <w:sz w:val="20"/>
      <w:szCs w:val="20"/>
      <w:u w:val="none"/>
    </w:rPr>
  </w:style>
  <w:style w:type="paragraph" w:customStyle="1" w:styleId="3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6">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7">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3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4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4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42">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43">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44">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45">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46">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5881</Words>
  <Characters>33525</Characters>
  <Lines>279</Lines>
  <Paragraphs>78</Paragraphs>
  <TotalTime>0</TotalTime>
  <ScaleCrop>false</ScaleCrop>
  <LinksUpToDate>false</LinksUpToDate>
  <CharactersWithSpaces>39328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2022-02-10T08:04:00Z</dcterms:created>
  <dc:creator>guest</dc:creator>
  <cp:lastModifiedBy>一个实在的人</cp:lastModifiedBy>
  <cp:lastPrinted>2022-05-19T06:40:00Z</cp:lastPrinted>
  <dcterms:modified xsi:type="dcterms:W3CDTF">2023-09-20T03:03:55Z</dcterms:modified>
  <dc:title>user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955DB7C16F0A4AA0ACB298777D2C7B56_13</vt:lpwstr>
  </property>
</Properties>
</file>