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baseline"/>
        <w:rPr>
          <w:rFonts w:hAnsi="宋体"/>
          <w:b/>
          <w:bCs/>
          <w:color w:val="auto"/>
          <w:sz w:val="36"/>
          <w:szCs w:val="44"/>
        </w:rPr>
      </w:pPr>
    </w:p>
    <w:p>
      <w:pPr>
        <w:pStyle w:val="2"/>
        <w:ind w:left="400" w:firstLine="723"/>
        <w:rPr>
          <w:rFonts w:hAnsi="宋体"/>
          <w:b/>
          <w:bCs/>
          <w:color w:val="auto"/>
          <w:sz w:val="36"/>
          <w:szCs w:val="44"/>
        </w:rPr>
      </w:pPr>
    </w:p>
    <w:p>
      <w:pPr>
        <w:rPr>
          <w:color w:val="auto"/>
        </w:rPr>
      </w:pPr>
    </w:p>
    <w:p>
      <w:pPr>
        <w:jc w:val="center"/>
        <w:textAlignment w:val="baseline"/>
        <w:rPr>
          <w:rFonts w:hAnsi="宋体"/>
          <w:b/>
          <w:bCs/>
          <w:color w:val="auto"/>
          <w:sz w:val="36"/>
          <w:szCs w:val="44"/>
        </w:rPr>
      </w:pPr>
      <w:r>
        <w:rPr>
          <w:color w:val="auto"/>
          <w:sz w:val="36"/>
        </w:rPr>
        <mc:AlternateContent>
          <mc:Choice Requires="wps">
            <w:drawing>
              <wp:anchor distT="0" distB="0" distL="114300" distR="114300" simplePos="0" relativeHeight="251659264" behindDoc="0" locked="0" layoutInCell="1" allowOverlap="1">
                <wp:simplePos x="0" y="0"/>
                <wp:positionH relativeFrom="column">
                  <wp:posOffset>2218055</wp:posOffset>
                </wp:positionH>
                <wp:positionV relativeFrom="paragraph">
                  <wp:posOffset>278130</wp:posOffset>
                </wp:positionV>
                <wp:extent cx="3514725" cy="17284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514725" cy="1728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48" w:afterLines="20" w:line="520" w:lineRule="exact"/>
                              <w:jc w:val="center"/>
                              <w:rPr>
                                <w:rFonts w:hint="eastAsia" w:ascii="方正小标宋简体" w:hAnsi="方正小标宋简体" w:eastAsia="方正小标宋简体" w:cs="方正小标宋简体"/>
                                <w:bCs/>
                                <w:sz w:val="32"/>
                                <w:szCs w:val="32"/>
                                <w:lang w:val="en-US" w:eastAsia="zh-CN"/>
                              </w:rPr>
                            </w:pPr>
                            <w:r>
                              <w:rPr>
                                <w:rFonts w:hint="eastAsia" w:ascii="方正小标宋简体" w:hAnsi="方正小标宋简体" w:eastAsia="方正小标宋简体" w:cs="方正小标宋简体"/>
                                <w:bCs/>
                                <w:sz w:val="32"/>
                                <w:szCs w:val="32"/>
                                <w:lang w:val="en-US" w:eastAsia="zh-CN"/>
                              </w:rPr>
                              <w:t>遵化市城市管理综合行政执法局2022年路灯信号灯及平射灯等运行费用</w:t>
                            </w:r>
                          </w:p>
                          <w:p>
                            <w:pPr>
                              <w:spacing w:after="48" w:afterLines="20" w:line="52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lang w:val="en-US" w:eastAsia="zh-CN"/>
                              </w:rPr>
                              <w:t>项目</w:t>
                            </w:r>
                            <w:r>
                              <w:rPr>
                                <w:rFonts w:hint="eastAsia" w:ascii="方正小标宋简体" w:hAnsi="方正小标宋简体" w:eastAsia="方正小标宋简体" w:cs="方正小标宋简体"/>
                                <w:bCs/>
                                <w:sz w:val="32"/>
                                <w:szCs w:val="32"/>
                              </w:rPr>
                              <w:t>绩效评价报告</w:t>
                            </w:r>
                          </w:p>
                          <w:p>
                            <w:pPr>
                              <w:spacing w:line="500" w:lineRule="exact"/>
                              <w:jc w:val="center"/>
                              <w:rPr>
                                <w:rFonts w:asciiTheme="majorEastAsia" w:hAnsiTheme="majorEastAsia" w:eastAsiaTheme="majorEastAsia"/>
                                <w:b/>
                                <w:sz w:val="32"/>
                                <w:szCs w:val="32"/>
                                <w:highlight w:val="none"/>
                              </w:rPr>
                            </w:pPr>
                            <w:r>
                              <w:rPr>
                                <w:rFonts w:hint="eastAsia" w:hAnsi="宋体" w:cs="宋体"/>
                                <w:b/>
                                <w:bCs/>
                                <w:sz w:val="24"/>
                                <w:szCs w:val="24"/>
                                <w:highlight w:val="none"/>
                              </w:rPr>
                              <w:t>新正绩效（202</w:t>
                            </w:r>
                            <w:r>
                              <w:rPr>
                                <w:rFonts w:hint="eastAsia" w:hAnsi="宋体" w:cs="宋体"/>
                                <w:b/>
                                <w:bCs/>
                                <w:sz w:val="24"/>
                                <w:szCs w:val="24"/>
                                <w:highlight w:val="none"/>
                                <w:lang w:val="en-US" w:eastAsia="zh-CN"/>
                              </w:rPr>
                              <w:t>3</w:t>
                            </w:r>
                            <w:r>
                              <w:rPr>
                                <w:rFonts w:hint="eastAsia" w:hAnsi="宋体" w:cs="宋体"/>
                                <w:b/>
                                <w:bCs/>
                                <w:sz w:val="24"/>
                                <w:szCs w:val="24"/>
                                <w:highlight w:val="none"/>
                              </w:rPr>
                              <w:t>）第 11</w:t>
                            </w:r>
                            <w:r>
                              <w:rPr>
                                <w:rFonts w:hint="eastAsia" w:hAnsi="宋体" w:cs="宋体"/>
                                <w:b/>
                                <w:bCs/>
                                <w:sz w:val="24"/>
                                <w:szCs w:val="24"/>
                                <w:highlight w:val="none"/>
                                <w:lang w:val="en-US" w:eastAsia="zh-CN"/>
                              </w:rPr>
                              <w:t>42</w:t>
                            </w:r>
                            <w:r>
                              <w:rPr>
                                <w:rFonts w:hint="eastAsia" w:hAnsi="宋体" w:cs="宋体"/>
                                <w:b/>
                                <w:bCs/>
                                <w:sz w:val="24"/>
                                <w:szCs w:val="24"/>
                                <w:highlight w:val="none"/>
                              </w:rPr>
                              <w:t xml:space="preserve"> 号</w:t>
                            </w:r>
                          </w:p>
                          <w:p>
                            <w:pPr>
                              <w:jc w:val="center"/>
                              <w:rPr>
                                <w:rFonts w:asciiTheme="majorEastAsia" w:hAnsiTheme="majorEastAsia" w:eastAsiaTheme="majorEastAsia"/>
                                <w:b/>
                                <w:sz w:val="32"/>
                                <w:szCs w:val="32"/>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65pt;margin-top:21.9pt;height:136.1pt;width:276.75pt;z-index:251659264;mso-width-relative:page;mso-height-relative:page;" filled="f" stroked="f" coordsize="21600,21600" o:gfxdata="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1vBUT2wAAAAoBAAAPAAAAAAAAAAEAIAAAACIA&#10;AABkcnMvZG93bnJldi54bWxQSwECFAAUAAAACACHTuJAb0+zcD8CAABnBAAADgAAAAAAAAABACAA&#10;AAAqAQAAZHJzL2Uyb0RvYy54bWxQSwUGAAAAAAYABgBZAQAA2wUAAAAA&#10;">
                <v:fill on="f" focussize="0,0"/>
                <v:stroke on="f" weight="0.5pt"/>
                <v:imagedata o:title=""/>
                <o:lock v:ext="edit" aspectratio="f"/>
                <v:textbox>
                  <w:txbxContent>
                    <w:p>
                      <w:pPr>
                        <w:spacing w:after="48" w:afterLines="20" w:line="520" w:lineRule="exact"/>
                        <w:jc w:val="center"/>
                        <w:rPr>
                          <w:rFonts w:hint="eastAsia" w:ascii="方正小标宋简体" w:hAnsi="方正小标宋简体" w:eastAsia="方正小标宋简体" w:cs="方正小标宋简体"/>
                          <w:bCs/>
                          <w:sz w:val="32"/>
                          <w:szCs w:val="32"/>
                          <w:lang w:val="en-US" w:eastAsia="zh-CN"/>
                        </w:rPr>
                      </w:pPr>
                      <w:r>
                        <w:rPr>
                          <w:rFonts w:hint="eastAsia" w:ascii="方正小标宋简体" w:hAnsi="方正小标宋简体" w:eastAsia="方正小标宋简体" w:cs="方正小标宋简体"/>
                          <w:bCs/>
                          <w:sz w:val="32"/>
                          <w:szCs w:val="32"/>
                          <w:lang w:val="en-US" w:eastAsia="zh-CN"/>
                        </w:rPr>
                        <w:t>遵化市城市管理综合行政执法局2022年路灯信号灯及平射灯等运行费用</w:t>
                      </w:r>
                    </w:p>
                    <w:p>
                      <w:pPr>
                        <w:spacing w:after="48" w:afterLines="20" w:line="52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lang w:val="en-US" w:eastAsia="zh-CN"/>
                        </w:rPr>
                        <w:t>项目</w:t>
                      </w:r>
                      <w:r>
                        <w:rPr>
                          <w:rFonts w:hint="eastAsia" w:ascii="方正小标宋简体" w:hAnsi="方正小标宋简体" w:eastAsia="方正小标宋简体" w:cs="方正小标宋简体"/>
                          <w:bCs/>
                          <w:sz w:val="32"/>
                          <w:szCs w:val="32"/>
                        </w:rPr>
                        <w:t>绩效评价报告</w:t>
                      </w:r>
                    </w:p>
                    <w:p>
                      <w:pPr>
                        <w:spacing w:line="500" w:lineRule="exact"/>
                        <w:jc w:val="center"/>
                        <w:rPr>
                          <w:rFonts w:asciiTheme="majorEastAsia" w:hAnsiTheme="majorEastAsia" w:eastAsiaTheme="majorEastAsia"/>
                          <w:b/>
                          <w:sz w:val="32"/>
                          <w:szCs w:val="32"/>
                          <w:highlight w:val="none"/>
                        </w:rPr>
                      </w:pPr>
                      <w:r>
                        <w:rPr>
                          <w:rFonts w:hint="eastAsia" w:hAnsi="宋体" w:cs="宋体"/>
                          <w:b/>
                          <w:bCs/>
                          <w:sz w:val="24"/>
                          <w:szCs w:val="24"/>
                          <w:highlight w:val="none"/>
                        </w:rPr>
                        <w:t>新正绩效（202</w:t>
                      </w:r>
                      <w:r>
                        <w:rPr>
                          <w:rFonts w:hint="eastAsia" w:hAnsi="宋体" w:cs="宋体"/>
                          <w:b/>
                          <w:bCs/>
                          <w:sz w:val="24"/>
                          <w:szCs w:val="24"/>
                          <w:highlight w:val="none"/>
                          <w:lang w:val="en-US" w:eastAsia="zh-CN"/>
                        </w:rPr>
                        <w:t>3</w:t>
                      </w:r>
                      <w:r>
                        <w:rPr>
                          <w:rFonts w:hint="eastAsia" w:hAnsi="宋体" w:cs="宋体"/>
                          <w:b/>
                          <w:bCs/>
                          <w:sz w:val="24"/>
                          <w:szCs w:val="24"/>
                          <w:highlight w:val="none"/>
                        </w:rPr>
                        <w:t>）第 11</w:t>
                      </w:r>
                      <w:r>
                        <w:rPr>
                          <w:rFonts w:hint="eastAsia" w:hAnsi="宋体" w:cs="宋体"/>
                          <w:b/>
                          <w:bCs/>
                          <w:sz w:val="24"/>
                          <w:szCs w:val="24"/>
                          <w:highlight w:val="none"/>
                          <w:lang w:val="en-US" w:eastAsia="zh-CN"/>
                        </w:rPr>
                        <w:t>42</w:t>
                      </w:r>
                      <w:r>
                        <w:rPr>
                          <w:rFonts w:hint="eastAsia" w:hAnsi="宋体" w:cs="宋体"/>
                          <w:b/>
                          <w:bCs/>
                          <w:sz w:val="24"/>
                          <w:szCs w:val="24"/>
                          <w:highlight w:val="none"/>
                        </w:rPr>
                        <w:t xml:space="preserve"> 号</w:t>
                      </w:r>
                    </w:p>
                    <w:p>
                      <w:pPr>
                        <w:jc w:val="center"/>
                        <w:rPr>
                          <w:rFonts w:asciiTheme="majorEastAsia" w:hAnsiTheme="majorEastAsia" w:eastAsiaTheme="majorEastAsia"/>
                          <w:b/>
                          <w:sz w:val="32"/>
                          <w:szCs w:val="32"/>
                        </w:rPr>
                      </w:pPr>
                    </w:p>
                    <w:p/>
                  </w:txbxContent>
                </v:textbox>
              </v:shape>
            </w:pict>
          </mc:Fallback>
        </mc:AlternateContent>
      </w:r>
    </w:p>
    <w:p>
      <w:pPr>
        <w:jc w:val="center"/>
        <w:textAlignment w:val="baseline"/>
        <w:rPr>
          <w:rFonts w:hAnsi="宋体"/>
          <w:b/>
          <w:bCs/>
          <w:color w:val="auto"/>
          <w:sz w:val="36"/>
          <w:szCs w:val="44"/>
        </w:rPr>
      </w:pPr>
    </w:p>
    <w:p>
      <w:pPr>
        <w:jc w:val="center"/>
        <w:textAlignment w:val="baseline"/>
        <w:rPr>
          <w:rFonts w:hAnsi="宋体"/>
          <w:b/>
          <w:bCs/>
          <w:color w:val="auto"/>
          <w:sz w:val="24"/>
          <w:szCs w:val="24"/>
        </w:rPr>
      </w:pPr>
    </w:p>
    <w:p>
      <w:pPr>
        <w:jc w:val="center"/>
        <w:textAlignment w:val="baseline"/>
        <w:rPr>
          <w:rFonts w:hAnsi="宋体"/>
          <w:b/>
          <w:bCs/>
          <w:color w:val="auto"/>
          <w:sz w:val="24"/>
          <w:szCs w:val="24"/>
        </w:rPr>
      </w:pPr>
    </w:p>
    <w:p>
      <w:pPr>
        <w:jc w:val="center"/>
        <w:rPr>
          <w:rFonts w:asciiTheme="majorEastAsia" w:hAnsiTheme="majorEastAsia" w:eastAsiaTheme="majorEastAsia"/>
          <w:b/>
          <w:color w:val="auto"/>
          <w:sz w:val="32"/>
          <w:szCs w:val="32"/>
        </w:rPr>
      </w:pPr>
    </w:p>
    <w:p>
      <w:pPr>
        <w:spacing w:line="660" w:lineRule="exact"/>
        <w:ind w:firstLine="883" w:firstLineChars="200"/>
        <w:rPr>
          <w:rFonts w:ascii="新宋体" w:hAnsi="新宋体" w:eastAsia="新宋体" w:cs="黑体"/>
          <w:b/>
          <w:color w:val="auto"/>
          <w:sz w:val="44"/>
          <w:szCs w:val="44"/>
        </w:rPr>
      </w:pPr>
    </w:p>
    <w:p>
      <w:pPr>
        <w:textAlignment w:val="baseline"/>
        <w:rPr>
          <w:rFonts w:ascii="Times New Roman" w:eastAsia="黑体"/>
          <w:b/>
          <w:color w:val="auto"/>
          <w:szCs w:val="32"/>
        </w:rPr>
      </w:pPr>
    </w:p>
    <w:p>
      <w:pPr>
        <w:textAlignment w:val="baseline"/>
        <w:rPr>
          <w:rFonts w:hAnsi="宋体"/>
          <w:color w:val="auto"/>
          <w:szCs w:val="32"/>
        </w:rPr>
      </w:pPr>
    </w:p>
    <w:p>
      <w:pPr>
        <w:textAlignment w:val="baseline"/>
        <w:rPr>
          <w:rFonts w:hAnsi="宋体"/>
          <w:color w:val="auto"/>
          <w:szCs w:val="32"/>
        </w:rPr>
      </w:pPr>
    </w:p>
    <w:p>
      <w:pPr>
        <w:textAlignment w:val="baseline"/>
        <w:rPr>
          <w:rFonts w:hAnsi="宋体"/>
          <w:color w:val="auto"/>
          <w:szCs w:val="32"/>
        </w:rPr>
      </w:pPr>
    </w:p>
    <w:p>
      <w:pPr>
        <w:spacing w:line="276" w:lineRule="auto"/>
        <w:textAlignment w:val="baseline"/>
        <w:rPr>
          <w:rFonts w:ascii="仿宋" w:hAnsi="仿宋" w:eastAsia="仿宋"/>
          <w:color w:val="auto"/>
          <w:sz w:val="32"/>
          <w:szCs w:val="32"/>
        </w:rPr>
      </w:pPr>
    </w:p>
    <w:p>
      <w:pPr>
        <w:spacing w:line="276" w:lineRule="auto"/>
        <w:textAlignment w:val="baseline"/>
        <w:rPr>
          <w:rFonts w:ascii="仿宋" w:hAnsi="仿宋" w:eastAsia="仿宋"/>
          <w:color w:val="auto"/>
          <w:sz w:val="32"/>
          <w:szCs w:val="32"/>
        </w:rPr>
      </w:pPr>
    </w:p>
    <w:p>
      <w:pPr>
        <w:spacing w:line="276" w:lineRule="auto"/>
        <w:textAlignment w:val="baseline"/>
        <w:rPr>
          <w:rFonts w:ascii="仿宋" w:hAnsi="仿宋" w:eastAsia="仿宋"/>
          <w:color w:val="auto"/>
          <w:sz w:val="32"/>
          <w:szCs w:val="32"/>
        </w:rPr>
      </w:pPr>
    </w:p>
    <w:p>
      <w:pPr>
        <w:spacing w:line="276" w:lineRule="auto"/>
        <w:textAlignment w:val="baseline"/>
        <w:rPr>
          <w:rFonts w:ascii="仿宋" w:hAnsi="仿宋" w:eastAsia="仿宋"/>
          <w:color w:val="auto"/>
          <w:sz w:val="32"/>
          <w:szCs w:val="32"/>
        </w:rPr>
      </w:pPr>
    </w:p>
    <w:p>
      <w:pPr>
        <w:spacing w:line="360" w:lineRule="auto"/>
        <w:textAlignment w:val="baseline"/>
        <w:rPr>
          <w:rFonts w:ascii="仿宋" w:hAnsi="仿宋" w:eastAsia="仿宋"/>
          <w:color w:val="auto"/>
          <w:sz w:val="30"/>
          <w:szCs w:val="30"/>
        </w:rPr>
      </w:pPr>
      <w:r>
        <w:rPr>
          <w:rFonts w:hint="eastAsia" w:ascii="仿宋" w:hAnsi="仿宋" w:eastAsia="仿宋"/>
          <w:b/>
          <w:bCs/>
          <w:color w:val="auto"/>
          <w:sz w:val="30"/>
          <w:szCs w:val="30"/>
        </w:rPr>
        <w:t>委 托 方：</w:t>
      </w:r>
      <w:r>
        <w:rPr>
          <w:rFonts w:hint="eastAsia" w:ascii="仿宋" w:hAnsi="仿宋" w:eastAsia="仿宋"/>
          <w:color w:val="auto"/>
          <w:sz w:val="30"/>
          <w:szCs w:val="30"/>
          <w:lang w:val="en-US" w:eastAsia="zh-CN"/>
        </w:rPr>
        <w:t>遵化市</w:t>
      </w:r>
      <w:r>
        <w:rPr>
          <w:rFonts w:hint="eastAsia" w:ascii="仿宋" w:hAnsi="仿宋" w:eastAsia="仿宋"/>
          <w:color w:val="auto"/>
          <w:sz w:val="30"/>
          <w:szCs w:val="30"/>
        </w:rPr>
        <w:t>财政局</w:t>
      </w:r>
    </w:p>
    <w:p>
      <w:pPr>
        <w:spacing w:line="360" w:lineRule="auto"/>
        <w:textAlignment w:val="baseline"/>
        <w:rPr>
          <w:rFonts w:hint="eastAsia" w:ascii="仿宋" w:hAnsi="仿宋" w:eastAsia="仿宋"/>
          <w:color w:val="auto"/>
          <w:sz w:val="30"/>
          <w:szCs w:val="30"/>
        </w:rPr>
      </w:pPr>
      <w:r>
        <w:rPr>
          <w:rFonts w:hint="eastAsia" w:ascii="仿宋" w:hAnsi="仿宋" w:eastAsia="仿宋"/>
          <w:b/>
          <w:bCs/>
          <w:color w:val="auto"/>
          <w:sz w:val="30"/>
          <w:szCs w:val="30"/>
        </w:rPr>
        <w:t>项目名称：</w:t>
      </w:r>
      <w:r>
        <w:rPr>
          <w:rFonts w:hint="eastAsia" w:ascii="仿宋" w:hAnsi="仿宋" w:eastAsia="仿宋"/>
          <w:color w:val="auto"/>
          <w:sz w:val="30"/>
          <w:szCs w:val="30"/>
        </w:rPr>
        <w:t>2022年路灯信号灯及平射灯等运行费用</w:t>
      </w:r>
    </w:p>
    <w:p>
      <w:pPr>
        <w:spacing w:line="360" w:lineRule="auto"/>
        <w:textAlignment w:val="baseline"/>
        <w:rPr>
          <w:rFonts w:hint="eastAsia" w:ascii="仿宋" w:hAnsi="仿宋" w:eastAsia="仿宋"/>
          <w:color w:val="auto"/>
          <w:sz w:val="30"/>
          <w:szCs w:val="30"/>
          <w:lang w:val="en-US" w:eastAsia="zh-CN"/>
        </w:rPr>
      </w:pPr>
      <w:r>
        <w:rPr>
          <w:rFonts w:hint="eastAsia" w:ascii="仿宋" w:hAnsi="仿宋" w:eastAsia="仿宋"/>
          <w:b/>
          <w:bCs/>
          <w:color w:val="auto"/>
          <w:sz w:val="30"/>
          <w:szCs w:val="30"/>
        </w:rPr>
        <w:t>项目单位：</w:t>
      </w:r>
      <w:r>
        <w:rPr>
          <w:rFonts w:hint="eastAsia" w:ascii="仿宋" w:hAnsi="仿宋" w:eastAsia="仿宋"/>
          <w:color w:val="auto"/>
          <w:sz w:val="30"/>
          <w:szCs w:val="30"/>
          <w:lang w:val="en-US" w:eastAsia="zh-CN"/>
        </w:rPr>
        <w:t>遵化市城市管理综合行政执法局</w:t>
      </w:r>
    </w:p>
    <w:p>
      <w:pPr>
        <w:spacing w:line="360" w:lineRule="auto"/>
        <w:textAlignment w:val="baseline"/>
        <w:rPr>
          <w:rFonts w:ascii="仿宋" w:hAnsi="仿宋" w:eastAsia="仿宋"/>
          <w:color w:val="auto"/>
          <w:sz w:val="30"/>
          <w:szCs w:val="30"/>
        </w:rPr>
      </w:pPr>
      <w:r>
        <w:rPr>
          <w:rFonts w:hint="eastAsia" w:ascii="仿宋" w:hAnsi="仿宋" w:eastAsia="仿宋"/>
          <w:b/>
          <w:bCs/>
          <w:color w:val="auto"/>
          <w:sz w:val="30"/>
          <w:szCs w:val="30"/>
        </w:rPr>
        <w:t>评价机构：</w:t>
      </w:r>
      <w:r>
        <w:rPr>
          <w:rFonts w:hint="eastAsia" w:ascii="仿宋" w:hAnsi="仿宋" w:eastAsia="仿宋"/>
          <w:color w:val="auto"/>
          <w:sz w:val="30"/>
          <w:szCs w:val="30"/>
        </w:rPr>
        <w:t>唐山市新正会计师事务所（普通合伙）</w:t>
      </w:r>
    </w:p>
    <w:p>
      <w:pPr>
        <w:spacing w:line="360" w:lineRule="auto"/>
        <w:rPr>
          <w:rFonts w:ascii="仿宋" w:hAnsi="仿宋" w:eastAsia="仿宋" w:cs="仿宋"/>
          <w:color w:val="auto"/>
          <w:sz w:val="30"/>
          <w:szCs w:val="30"/>
        </w:rPr>
      </w:pPr>
      <w:r>
        <w:rPr>
          <w:rFonts w:hint="eastAsia" w:ascii="仿宋" w:hAnsi="仿宋" w:eastAsia="仿宋"/>
          <w:b/>
          <w:bCs/>
          <w:color w:val="auto"/>
          <w:sz w:val="30"/>
          <w:szCs w:val="30"/>
        </w:rPr>
        <w:t>报告日</w:t>
      </w:r>
      <w:r>
        <w:rPr>
          <w:rFonts w:hint="eastAsia" w:ascii="仿宋" w:hAnsi="仿宋" w:eastAsia="仿宋"/>
          <w:b/>
          <w:bCs/>
          <w:color w:val="auto"/>
          <w:sz w:val="30"/>
          <w:szCs w:val="30"/>
          <w:highlight w:val="none"/>
        </w:rPr>
        <w:t>期：</w:t>
      </w:r>
      <w:r>
        <w:rPr>
          <w:rFonts w:hint="eastAsia" w:ascii="仿宋" w:hAnsi="仿宋" w:eastAsia="仿宋" w:cs="仿宋"/>
          <w:color w:val="auto"/>
          <w:sz w:val="30"/>
          <w:szCs w:val="30"/>
          <w:highlight w:val="none"/>
        </w:rPr>
        <w:t>二〇二三年</w:t>
      </w:r>
      <w:r>
        <w:rPr>
          <w:rFonts w:hint="eastAsia" w:ascii="仿宋" w:hAnsi="仿宋" w:eastAsia="仿宋" w:cs="仿宋"/>
          <w:color w:val="auto"/>
          <w:sz w:val="30"/>
          <w:szCs w:val="30"/>
          <w:highlight w:val="none"/>
          <w:lang w:val="en-US" w:eastAsia="zh-CN"/>
        </w:rPr>
        <w:t>七</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lang w:val="en-US" w:eastAsia="zh-CN"/>
        </w:rPr>
        <w:t>三十一</w:t>
      </w:r>
      <w:r>
        <w:rPr>
          <w:rFonts w:hint="eastAsia" w:ascii="仿宋" w:hAnsi="仿宋" w:eastAsia="仿宋" w:cs="仿宋"/>
          <w:color w:val="auto"/>
          <w:sz w:val="30"/>
          <w:szCs w:val="30"/>
          <w:highlight w:val="none"/>
        </w:rPr>
        <w:t>日</w:t>
      </w:r>
      <w:r>
        <w:rPr>
          <w:rFonts w:ascii="仿宋" w:hAnsi="仿宋" w:eastAsia="仿宋" w:cs="仿宋"/>
          <w:color w:val="auto"/>
          <w:sz w:val="30"/>
          <w:szCs w:val="30"/>
        </w:rPr>
        <w:br w:type="page"/>
      </w:r>
    </w:p>
    <w:p>
      <w:pPr>
        <w:pStyle w:val="27"/>
        <w:bidi w:val="0"/>
        <w:rPr>
          <w:rFonts w:hint="eastAsia"/>
          <w:lang w:val="en-US" w:eastAsia="zh-CN"/>
        </w:rPr>
      </w:pPr>
      <w:r>
        <w:rPr>
          <w:rFonts w:hint="eastAsia"/>
          <w:lang w:val="en-US" w:eastAsia="zh-CN"/>
        </w:rPr>
        <w:t>遵化市城市管理综合行政执法局</w:t>
      </w:r>
    </w:p>
    <w:p>
      <w:pPr>
        <w:pStyle w:val="27"/>
        <w:bidi w:val="0"/>
        <w:rPr>
          <w:rFonts w:hint="eastAsia"/>
        </w:rPr>
      </w:pPr>
      <w:r>
        <w:rPr>
          <w:rFonts w:hint="eastAsia"/>
          <w:lang w:val="en-US" w:eastAsia="zh-CN"/>
        </w:rPr>
        <w:t>2022年路灯信号灯及平射灯等运行费用</w:t>
      </w:r>
      <w:r>
        <w:rPr>
          <w:rFonts w:hint="eastAsia"/>
        </w:rPr>
        <w:t>项目</w:t>
      </w:r>
    </w:p>
    <w:p>
      <w:pPr>
        <w:pStyle w:val="27"/>
        <w:bidi w:val="0"/>
      </w:pPr>
      <w:r>
        <w:rPr>
          <w:rFonts w:hint="eastAsia"/>
        </w:rPr>
        <w:t>绩效评价报告</w:t>
      </w:r>
    </w:p>
    <w:p>
      <w:pPr>
        <w:spacing w:line="360" w:lineRule="auto"/>
        <w:textAlignment w:val="baseline"/>
        <w:rPr>
          <w:rFonts w:ascii="仿宋" w:hAnsi="仿宋" w:eastAsia="仿宋" w:cs="仿宋_GB2312"/>
          <w:b/>
          <w:color w:val="auto"/>
          <w:sz w:val="30"/>
          <w:szCs w:val="30"/>
        </w:rPr>
      </w:pPr>
      <w:bookmarkStart w:id="0" w:name="_Toc29302675"/>
      <w:r>
        <w:rPr>
          <w:rFonts w:hint="eastAsia" w:ascii="仿宋" w:hAnsi="仿宋" w:eastAsia="仿宋" w:cs="仿宋_GB2312"/>
          <w:b/>
          <w:color w:val="auto"/>
          <w:sz w:val="30"/>
          <w:szCs w:val="30"/>
          <w:lang w:val="en-US" w:eastAsia="zh-CN"/>
        </w:rPr>
        <w:t>遵化市</w:t>
      </w:r>
      <w:r>
        <w:rPr>
          <w:rFonts w:hint="eastAsia" w:ascii="仿宋" w:hAnsi="仿宋" w:eastAsia="仿宋" w:cs="仿宋_GB2312"/>
          <w:b/>
          <w:color w:val="auto"/>
          <w:sz w:val="30"/>
          <w:szCs w:val="30"/>
        </w:rPr>
        <w:t>财政局：</w:t>
      </w:r>
      <w:bookmarkEnd w:id="0"/>
    </w:p>
    <w:p>
      <w:pPr>
        <w:pStyle w:val="30"/>
        <w:bidi w:val="0"/>
        <w:rPr>
          <w:lang w:val="zh-CN"/>
        </w:rPr>
      </w:pPr>
      <w:r>
        <w:rPr>
          <w:rFonts w:hint="eastAsia"/>
          <w:lang w:val="zh-CN"/>
        </w:rPr>
        <w:t>为了解</w:t>
      </w:r>
      <w:r>
        <w:rPr>
          <w:rFonts w:hint="eastAsia"/>
          <w:lang w:val="en-US"/>
        </w:rPr>
        <w:t>遵化市城市管理综合行政执法局2022年路灯信号灯及平射灯等运行费用项目</w:t>
      </w:r>
      <w:r>
        <w:rPr>
          <w:rFonts w:hint="eastAsia"/>
          <w:lang w:val="zh-CN"/>
        </w:rPr>
        <w:t>使用情况，加强财政支出绩效管理，建立科学、规范的财政支出绩效评价体系，提高财政资金使用效益，我们接受贵单位委托，对</w:t>
      </w:r>
      <w:r>
        <w:rPr>
          <w:rFonts w:hint="eastAsia"/>
          <w:lang w:val="en-US"/>
        </w:rPr>
        <w:t>遵化市城市管理综合行政执法局2022年路灯信号灯及平射灯等运行费用项目</w:t>
      </w:r>
      <w:r>
        <w:rPr>
          <w:rFonts w:hint="eastAsia"/>
          <w:lang w:val="zh-CN"/>
        </w:rPr>
        <w:t>进行绩效评价。在绩效评价过程中，我们结合项目的实际情况，实施了包括询问查证、实地查看等我们认为必要的程序。经评价，该项目综合绩效评价得分</w:t>
      </w:r>
      <w:r>
        <w:rPr>
          <w:rFonts w:hint="eastAsia"/>
          <w:lang w:val="en-US"/>
        </w:rPr>
        <w:t>90.94</w:t>
      </w:r>
      <w:r>
        <w:rPr>
          <w:rFonts w:hint="eastAsia"/>
          <w:lang w:val="zh-CN"/>
        </w:rPr>
        <w:t>分，评价等级为“</w:t>
      </w:r>
      <w:r>
        <w:rPr>
          <w:rFonts w:hint="eastAsia"/>
          <w:lang w:val="en-US"/>
        </w:rPr>
        <w:t>优</w:t>
      </w:r>
      <w:r>
        <w:rPr>
          <w:rFonts w:hint="eastAsia"/>
          <w:lang w:val="zh-CN"/>
        </w:rPr>
        <w:t>”。</w:t>
      </w:r>
    </w:p>
    <w:p>
      <w:pPr>
        <w:pStyle w:val="2"/>
        <w:ind w:left="400" w:firstLine="600"/>
        <w:rPr>
          <w:rFonts w:ascii="仿宋" w:hAnsi="仿宋" w:eastAsia="仿宋" w:cs="仿宋_GB2312"/>
          <w:color w:val="auto"/>
          <w:sz w:val="30"/>
          <w:szCs w:val="30"/>
          <w:lang w:val="zh-CN" w:bidi="zh-CN"/>
        </w:rPr>
      </w:pPr>
    </w:p>
    <w:p>
      <w:pPr>
        <w:rPr>
          <w:color w:val="auto"/>
          <w:lang w:val="zh-CN"/>
        </w:rPr>
      </w:pPr>
    </w:p>
    <w:tbl>
      <w:tblPr>
        <w:tblStyle w:val="19"/>
        <w:tblW w:w="5000" w:type="pct"/>
        <w:tblInd w:w="0" w:type="dxa"/>
        <w:tblLayout w:type="autofit"/>
        <w:tblCellMar>
          <w:top w:w="0" w:type="dxa"/>
          <w:left w:w="108" w:type="dxa"/>
          <w:bottom w:w="0" w:type="dxa"/>
          <w:right w:w="108" w:type="dxa"/>
        </w:tblCellMar>
      </w:tblPr>
      <w:tblGrid>
        <w:gridCol w:w="9061"/>
      </w:tblGrid>
      <w:tr>
        <w:trPr>
          <w:trHeight w:val="680" w:hRule="atLeast"/>
        </w:trPr>
        <w:tc>
          <w:tcPr>
            <w:tcW w:w="5000" w:type="pct"/>
            <w:vAlign w:val="center"/>
          </w:tcPr>
          <w:p>
            <w:pPr>
              <w:tabs>
                <w:tab w:val="left" w:pos="574"/>
              </w:tabs>
              <w:autoSpaceDE/>
              <w:autoSpaceDN/>
              <w:adjustRightInd/>
              <w:spacing w:line="400" w:lineRule="exact"/>
              <w:jc w:val="center"/>
              <w:rPr>
                <w:rFonts w:ascii="仿宋" w:hAnsi="仿宋" w:eastAsia="仿宋" w:cs="仿宋"/>
                <w:b/>
                <w:color w:val="auto"/>
                <w:kern w:val="2"/>
                <w:sz w:val="30"/>
                <w:szCs w:val="30"/>
              </w:rPr>
            </w:pPr>
            <w:r>
              <w:rPr>
                <w:rFonts w:hint="eastAsia" w:ascii="仿宋" w:hAnsi="仿宋" w:eastAsia="仿宋" w:cs="仿宋"/>
                <w:b/>
                <w:color w:val="auto"/>
                <w:kern w:val="2"/>
                <w:sz w:val="30"/>
                <w:szCs w:val="30"/>
              </w:rPr>
              <w:t xml:space="preserve">                  报告主评人：</w:t>
            </w:r>
          </w:p>
        </w:tc>
      </w:tr>
      <w:tr>
        <w:tblPrEx>
          <w:tblCellMar>
            <w:top w:w="0" w:type="dxa"/>
            <w:left w:w="108" w:type="dxa"/>
            <w:bottom w:w="0" w:type="dxa"/>
            <w:right w:w="108" w:type="dxa"/>
          </w:tblCellMar>
        </w:tblPrEx>
        <w:trPr>
          <w:trHeight w:val="680" w:hRule="atLeast"/>
        </w:trPr>
        <w:tc>
          <w:tcPr>
            <w:tcW w:w="5000" w:type="pct"/>
            <w:vAlign w:val="center"/>
          </w:tcPr>
          <w:p>
            <w:pPr>
              <w:tabs>
                <w:tab w:val="left" w:pos="574"/>
              </w:tabs>
              <w:autoSpaceDE/>
              <w:autoSpaceDN/>
              <w:adjustRightInd/>
              <w:spacing w:line="400" w:lineRule="exact"/>
              <w:jc w:val="right"/>
              <w:rPr>
                <w:rFonts w:ascii="仿宋" w:hAnsi="仿宋" w:eastAsia="仿宋" w:cs="仿宋"/>
                <w:b/>
                <w:color w:val="auto"/>
                <w:kern w:val="2"/>
                <w:sz w:val="30"/>
                <w:szCs w:val="30"/>
              </w:rPr>
            </w:pPr>
            <w:r>
              <w:rPr>
                <w:rFonts w:hint="eastAsia" w:ascii="仿宋" w:hAnsi="仿宋" w:eastAsia="仿宋" w:cs="仿宋"/>
                <w:b/>
                <w:color w:val="auto"/>
                <w:kern w:val="2"/>
                <w:sz w:val="30"/>
                <w:szCs w:val="30"/>
              </w:rPr>
              <w:t>唐山市新正会计师事务所（普通合伙）</w:t>
            </w:r>
          </w:p>
        </w:tc>
      </w:tr>
      <w:tr>
        <w:tblPrEx>
          <w:tblCellMar>
            <w:top w:w="0" w:type="dxa"/>
            <w:left w:w="108" w:type="dxa"/>
            <w:bottom w:w="0" w:type="dxa"/>
            <w:right w:w="108" w:type="dxa"/>
          </w:tblCellMar>
        </w:tblPrEx>
        <w:trPr>
          <w:trHeight w:val="680" w:hRule="atLeast"/>
        </w:trPr>
        <w:tc>
          <w:tcPr>
            <w:tcW w:w="5000" w:type="pct"/>
            <w:vAlign w:val="center"/>
          </w:tcPr>
          <w:p>
            <w:pPr>
              <w:tabs>
                <w:tab w:val="left" w:pos="574"/>
              </w:tabs>
              <w:autoSpaceDE/>
              <w:autoSpaceDN/>
              <w:adjustRightInd/>
              <w:spacing w:line="400" w:lineRule="exact"/>
              <w:jc w:val="center"/>
              <w:rPr>
                <w:rFonts w:ascii="仿宋" w:hAnsi="仿宋" w:eastAsia="仿宋" w:cs="仿宋"/>
                <w:b/>
                <w:color w:val="auto"/>
                <w:kern w:val="2"/>
                <w:sz w:val="30"/>
                <w:szCs w:val="30"/>
              </w:rPr>
            </w:pPr>
            <w:r>
              <w:rPr>
                <w:rFonts w:hint="eastAsia" w:ascii="仿宋" w:hAnsi="仿宋" w:eastAsia="仿宋" w:cs="仿宋"/>
                <w:b/>
                <w:color w:val="auto"/>
                <w:sz w:val="30"/>
                <w:szCs w:val="30"/>
              </w:rPr>
              <w:t xml:space="preserve">              </w:t>
            </w:r>
            <w:r>
              <w:rPr>
                <w:rFonts w:hint="eastAsia" w:ascii="仿宋" w:hAnsi="仿宋" w:eastAsia="仿宋" w:cs="仿宋"/>
                <w:b/>
                <w:color w:val="auto"/>
                <w:sz w:val="30"/>
                <w:szCs w:val="30"/>
                <w:highlight w:val="none"/>
              </w:rPr>
              <w:t xml:space="preserve">       二〇二三年</w:t>
            </w: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月</w:t>
            </w:r>
            <w:r>
              <w:rPr>
                <w:rFonts w:hint="eastAsia" w:ascii="仿宋" w:hAnsi="仿宋" w:eastAsia="仿宋" w:cs="仿宋"/>
                <w:b/>
                <w:color w:val="auto"/>
                <w:sz w:val="30"/>
                <w:szCs w:val="30"/>
                <w:highlight w:val="none"/>
                <w:lang w:val="en-US" w:eastAsia="zh-CN"/>
              </w:rPr>
              <w:t>三十一</w:t>
            </w:r>
            <w:r>
              <w:rPr>
                <w:rFonts w:hint="eastAsia" w:ascii="仿宋" w:hAnsi="仿宋" w:eastAsia="仿宋" w:cs="仿宋"/>
                <w:b/>
                <w:color w:val="auto"/>
                <w:sz w:val="30"/>
                <w:szCs w:val="30"/>
                <w:highlight w:val="none"/>
              </w:rPr>
              <w:t>日</w:t>
            </w:r>
          </w:p>
        </w:tc>
      </w:tr>
    </w:tbl>
    <w:p>
      <w:pPr>
        <w:spacing w:after="48" w:afterLines="20" w:line="520" w:lineRule="exact"/>
        <w:textAlignment w:val="baseline"/>
        <w:rPr>
          <w:rFonts w:ascii="仿宋" w:hAnsi="仿宋" w:eastAsia="仿宋" w:cs="仿宋"/>
          <w:color w:val="auto"/>
          <w:sz w:val="30"/>
          <w:szCs w:val="30"/>
        </w:rPr>
      </w:pPr>
      <w:r>
        <w:rPr>
          <w:rFonts w:ascii="仿宋" w:hAnsi="仿宋" w:eastAsia="仿宋" w:cs="仿宋"/>
          <w:color w:val="auto"/>
          <w:sz w:val="30"/>
          <w:szCs w:val="30"/>
        </w:rPr>
        <w:br w:type="page"/>
      </w:r>
    </w:p>
    <w:sdt>
      <w:sdtPr>
        <w:rPr>
          <w:rFonts w:hint="eastAsia" w:ascii="方正小标宋简体" w:hAnsi="方正小标宋简体" w:eastAsia="方正小标宋简体" w:cs="方正小标宋简体"/>
          <w:bCs/>
          <w:color w:val="auto"/>
          <w:sz w:val="44"/>
          <w:szCs w:val="44"/>
        </w:rPr>
        <w:id w:val="1136294287"/>
        <w:docPartObj>
          <w:docPartGallery w:val="Table of Contents"/>
          <w:docPartUnique/>
        </w:docPartObj>
      </w:sdtPr>
      <w:sdtEndPr>
        <w:rPr>
          <w:rFonts w:hint="eastAsia" w:ascii="方正小标宋简体" w:hAnsi="方正小标宋简体" w:eastAsia="方正小标宋简体" w:cs="方正小标宋简体"/>
          <w:bCs/>
          <w:color w:val="auto"/>
          <w:sz w:val="32"/>
          <w:szCs w:val="32"/>
        </w:rPr>
      </w:sdtEndPr>
      <w:sdtContent>
        <w:sdt>
          <w:sdtPr>
            <w:rPr>
              <w:rFonts w:hint="eastAsia" w:ascii="方正小标宋简体" w:hAnsi="方正小标宋简体" w:eastAsia="方正小标宋简体" w:cs="方正小标宋简体"/>
              <w:bCs/>
              <w:color w:val="auto"/>
              <w:sz w:val="44"/>
              <w:szCs w:val="44"/>
            </w:rPr>
            <w:id w:val="147478054"/>
            <w:docPartObj>
              <w:docPartGallery w:val="Table of Contents"/>
              <w:docPartUnique/>
            </w:docPartObj>
          </w:sdtPr>
          <w:sdtEndPr>
            <w:rPr>
              <w:rFonts w:hint="eastAsia" w:ascii="方正小标宋简体" w:hAnsi="方正小标宋简体" w:eastAsia="方正小标宋简体" w:cs="方正小标宋简体"/>
              <w:bCs/>
              <w:color w:val="auto"/>
              <w:sz w:val="32"/>
              <w:szCs w:val="32"/>
            </w:rPr>
          </w:sdtEndPr>
          <w:sdtContent>
            <w:p>
              <w:pPr>
                <w:spacing w:after="48" w:afterLines="20" w:line="520" w:lineRule="exact"/>
                <w:jc w:val="center"/>
                <w:rPr>
                  <w:rFonts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目    录</w:t>
              </w:r>
            </w:p>
            <w:p>
              <w:pPr>
                <w:jc w:val="center"/>
                <w:rPr>
                  <w:b/>
                  <w:bCs/>
                  <w:color w:val="auto"/>
                  <w:sz w:val="28"/>
                  <w:szCs w:val="28"/>
                </w:rPr>
              </w:pPr>
            </w:p>
            <w:p>
              <w:pPr>
                <w:pStyle w:val="15"/>
                <w:tabs>
                  <w:tab w:val="right" w:leader="dot" w:pos="8845"/>
                </w:tabs>
                <w:rPr>
                  <w:sz w:val="28"/>
                  <w:szCs w:val="28"/>
                </w:rPr>
              </w:pPr>
              <w:r>
                <w:rPr>
                  <w:rFonts w:hAnsi="宋体"/>
                  <w:b/>
                  <w:bCs/>
                  <w:color w:val="auto"/>
                  <w:sz w:val="28"/>
                  <w:szCs w:val="28"/>
                </w:rPr>
                <w:fldChar w:fldCharType="begin"/>
              </w:r>
              <w:r>
                <w:rPr>
                  <w:rFonts w:hAnsi="宋体"/>
                  <w:b/>
                  <w:bCs/>
                  <w:color w:val="auto"/>
                  <w:sz w:val="28"/>
                  <w:szCs w:val="28"/>
                </w:rPr>
                <w:instrText xml:space="preserve">TOC \o "1-2" \h \u </w:instrText>
              </w:r>
              <w:r>
                <w:rPr>
                  <w:rFonts w:hAnsi="宋体"/>
                  <w:b/>
                  <w:bCs/>
                  <w:color w:val="auto"/>
                  <w:sz w:val="28"/>
                  <w:szCs w:val="28"/>
                </w:rPr>
                <w:fldChar w:fldCharType="separate"/>
              </w:r>
              <w:r>
                <w:rPr>
                  <w:rFonts w:hAnsi="宋体"/>
                  <w:bCs/>
                  <w:color w:val="auto"/>
                  <w:sz w:val="28"/>
                  <w:szCs w:val="28"/>
                </w:rPr>
                <w:fldChar w:fldCharType="begin"/>
              </w:r>
              <w:r>
                <w:rPr>
                  <w:rFonts w:hAnsi="宋体"/>
                  <w:bCs/>
                  <w:sz w:val="28"/>
                  <w:szCs w:val="28"/>
                </w:rPr>
                <w:instrText xml:space="preserve"> HYPERLINK \l _Toc5414 </w:instrText>
              </w:r>
              <w:r>
                <w:rPr>
                  <w:rFonts w:hAnsi="宋体"/>
                  <w:bCs/>
                  <w:sz w:val="28"/>
                  <w:szCs w:val="28"/>
                </w:rPr>
                <w:fldChar w:fldCharType="separate"/>
              </w:r>
              <w:r>
                <w:rPr>
                  <w:rFonts w:hint="eastAsia" w:ascii="黑体" w:hAnsi="黑体" w:eastAsia="黑体" w:cs="黑体"/>
                  <w:bCs/>
                  <w:sz w:val="28"/>
                  <w:szCs w:val="28"/>
                </w:rPr>
                <w:t>一、项目基本情况</w:t>
              </w:r>
              <w:r>
                <w:rPr>
                  <w:sz w:val="28"/>
                  <w:szCs w:val="28"/>
                </w:rPr>
                <w:tab/>
              </w:r>
              <w:r>
                <w:rPr>
                  <w:sz w:val="28"/>
                  <w:szCs w:val="28"/>
                </w:rPr>
                <w:fldChar w:fldCharType="begin"/>
              </w:r>
              <w:r>
                <w:rPr>
                  <w:sz w:val="28"/>
                  <w:szCs w:val="28"/>
                </w:rPr>
                <w:instrText xml:space="preserve"> PAGEREF _Toc5414 \h </w:instrText>
              </w:r>
              <w:r>
                <w:rPr>
                  <w:sz w:val="28"/>
                  <w:szCs w:val="28"/>
                </w:rPr>
                <w:fldChar w:fldCharType="separate"/>
              </w:r>
              <w:r>
                <w:rPr>
                  <w:sz w:val="28"/>
                  <w:szCs w:val="28"/>
                </w:rPr>
                <w:t>1</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_Toc14410 </w:instrText>
              </w:r>
              <w:r>
                <w:rPr>
                  <w:rFonts w:hAnsi="宋体"/>
                  <w:bCs/>
                  <w:sz w:val="28"/>
                  <w:szCs w:val="28"/>
                </w:rPr>
                <w:fldChar w:fldCharType="separate"/>
              </w:r>
              <w:r>
                <w:rPr>
                  <w:rFonts w:hint="eastAsia" w:ascii="华文楷体" w:hAnsi="华文楷体" w:eastAsia="华文楷体" w:cs="华文楷体"/>
                  <w:bCs/>
                  <w:sz w:val="28"/>
                  <w:szCs w:val="28"/>
                </w:rPr>
                <w:t>（一）项目概况</w:t>
              </w:r>
              <w:r>
                <w:rPr>
                  <w:sz w:val="28"/>
                  <w:szCs w:val="28"/>
                </w:rPr>
                <w:tab/>
              </w:r>
              <w:r>
                <w:rPr>
                  <w:sz w:val="28"/>
                  <w:szCs w:val="28"/>
                </w:rPr>
                <w:fldChar w:fldCharType="begin"/>
              </w:r>
              <w:r>
                <w:rPr>
                  <w:sz w:val="28"/>
                  <w:szCs w:val="28"/>
                </w:rPr>
                <w:instrText xml:space="preserve"> PAGEREF _Toc14410 \h </w:instrText>
              </w:r>
              <w:r>
                <w:rPr>
                  <w:sz w:val="28"/>
                  <w:szCs w:val="28"/>
                </w:rPr>
                <w:fldChar w:fldCharType="separate"/>
              </w:r>
              <w:r>
                <w:rPr>
                  <w:sz w:val="28"/>
                  <w:szCs w:val="28"/>
                </w:rPr>
                <w:t>1</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_Toc11670 </w:instrText>
              </w:r>
              <w:r>
                <w:rPr>
                  <w:rFonts w:hAnsi="宋体"/>
                  <w:bCs/>
                  <w:sz w:val="28"/>
                  <w:szCs w:val="28"/>
                </w:rPr>
                <w:fldChar w:fldCharType="separate"/>
              </w:r>
              <w:r>
                <w:rPr>
                  <w:rFonts w:hint="eastAsia" w:ascii="华文楷体" w:hAnsi="华文楷体" w:eastAsia="华文楷体" w:cs="华文楷体"/>
                  <w:bCs/>
                  <w:sz w:val="28"/>
                  <w:szCs w:val="28"/>
                  <w:lang w:eastAsia="zh-CN"/>
                </w:rPr>
                <w:t>（</w:t>
              </w:r>
              <w:r>
                <w:rPr>
                  <w:rFonts w:hint="eastAsia" w:ascii="华文楷体" w:hAnsi="华文楷体" w:eastAsia="华文楷体" w:cs="华文楷体"/>
                  <w:bCs/>
                  <w:sz w:val="28"/>
                  <w:szCs w:val="28"/>
                  <w:lang w:val="en-US" w:eastAsia="zh-CN"/>
                </w:rPr>
                <w:t>二</w:t>
              </w:r>
              <w:r>
                <w:rPr>
                  <w:rFonts w:hint="eastAsia" w:ascii="华文楷体" w:hAnsi="华文楷体" w:eastAsia="华文楷体" w:cs="华文楷体"/>
                  <w:bCs/>
                  <w:sz w:val="28"/>
                  <w:szCs w:val="28"/>
                  <w:lang w:eastAsia="zh-CN"/>
                </w:rPr>
                <w:t>）</w:t>
              </w:r>
              <w:r>
                <w:rPr>
                  <w:rFonts w:hint="eastAsia" w:ascii="华文楷体" w:hAnsi="华文楷体" w:eastAsia="华文楷体" w:cs="华文楷体"/>
                  <w:bCs/>
                  <w:sz w:val="28"/>
                  <w:szCs w:val="28"/>
                </w:rPr>
                <w:t>项目绩效目标</w:t>
              </w:r>
              <w:r>
                <w:rPr>
                  <w:sz w:val="28"/>
                  <w:szCs w:val="28"/>
                </w:rPr>
                <w:tab/>
              </w:r>
              <w:r>
                <w:rPr>
                  <w:sz w:val="28"/>
                  <w:szCs w:val="28"/>
                </w:rPr>
                <w:fldChar w:fldCharType="begin"/>
              </w:r>
              <w:r>
                <w:rPr>
                  <w:sz w:val="28"/>
                  <w:szCs w:val="28"/>
                </w:rPr>
                <w:instrText xml:space="preserve"> PAGEREF _Toc11670 \h </w:instrText>
              </w:r>
              <w:r>
                <w:rPr>
                  <w:sz w:val="28"/>
                  <w:szCs w:val="28"/>
                </w:rPr>
                <w:fldChar w:fldCharType="separate"/>
              </w:r>
              <w:r>
                <w:rPr>
                  <w:sz w:val="28"/>
                  <w:szCs w:val="28"/>
                </w:rPr>
                <w:t>1</w:t>
              </w:r>
              <w:r>
                <w:rPr>
                  <w:sz w:val="28"/>
                  <w:szCs w:val="28"/>
                </w:rPr>
                <w:fldChar w:fldCharType="end"/>
              </w:r>
              <w:r>
                <w:rPr>
                  <w:rFonts w:hAnsi="宋体"/>
                  <w:bCs/>
                  <w:color w:val="auto"/>
                  <w:sz w:val="28"/>
                  <w:szCs w:val="28"/>
                </w:rPr>
                <w:fldChar w:fldCharType="end"/>
              </w:r>
            </w:p>
            <w:p>
              <w:pPr>
                <w:pStyle w:val="15"/>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_Toc8506 </w:instrText>
              </w:r>
              <w:r>
                <w:rPr>
                  <w:rFonts w:hAnsi="宋体"/>
                  <w:bCs/>
                  <w:sz w:val="28"/>
                  <w:szCs w:val="28"/>
                </w:rPr>
                <w:fldChar w:fldCharType="separate"/>
              </w:r>
              <w:r>
                <w:rPr>
                  <w:rFonts w:hint="eastAsia" w:ascii="黑体" w:hAnsi="黑体" w:eastAsia="黑体" w:cs="黑体"/>
                  <w:bCs/>
                  <w:sz w:val="28"/>
                  <w:szCs w:val="28"/>
                </w:rPr>
                <w:t>二、项目实施情况</w:t>
              </w:r>
              <w:r>
                <w:rPr>
                  <w:sz w:val="28"/>
                  <w:szCs w:val="28"/>
                </w:rPr>
                <w:tab/>
              </w:r>
              <w:r>
                <w:rPr>
                  <w:sz w:val="28"/>
                  <w:szCs w:val="28"/>
                </w:rPr>
                <w:fldChar w:fldCharType="begin"/>
              </w:r>
              <w:r>
                <w:rPr>
                  <w:sz w:val="28"/>
                  <w:szCs w:val="28"/>
                </w:rPr>
                <w:instrText xml:space="preserve"> PAGEREF _Toc8506 \h </w:instrText>
              </w:r>
              <w:r>
                <w:rPr>
                  <w:sz w:val="28"/>
                  <w:szCs w:val="28"/>
                </w:rPr>
                <w:fldChar w:fldCharType="separate"/>
              </w:r>
              <w:r>
                <w:rPr>
                  <w:sz w:val="28"/>
                  <w:szCs w:val="28"/>
                </w:rPr>
                <w:t>2</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_Toc15528 </w:instrText>
              </w:r>
              <w:r>
                <w:rPr>
                  <w:rFonts w:hAnsi="宋体"/>
                  <w:bCs/>
                  <w:sz w:val="28"/>
                  <w:szCs w:val="28"/>
                </w:rPr>
                <w:fldChar w:fldCharType="separate"/>
              </w:r>
              <w:r>
                <w:rPr>
                  <w:rFonts w:hint="eastAsia" w:ascii="华文楷体" w:hAnsi="华文楷体" w:eastAsia="华文楷体" w:cs="华文楷体"/>
                  <w:bCs/>
                  <w:sz w:val="28"/>
                  <w:szCs w:val="28"/>
                  <w:lang w:eastAsia="zh-CN"/>
                </w:rPr>
                <w:t>（一）项目资金</w:t>
              </w:r>
              <w:r>
                <w:rPr>
                  <w:rFonts w:hint="eastAsia" w:ascii="华文楷体" w:hAnsi="华文楷体" w:eastAsia="华文楷体" w:cs="华文楷体"/>
                  <w:bCs/>
                  <w:sz w:val="28"/>
                  <w:szCs w:val="28"/>
                  <w:lang w:val="en-US" w:eastAsia="zh-CN"/>
                </w:rPr>
                <w:t>到位、</w:t>
              </w:r>
              <w:r>
                <w:rPr>
                  <w:rFonts w:hint="eastAsia" w:ascii="华文楷体" w:hAnsi="华文楷体" w:eastAsia="华文楷体" w:cs="华文楷体"/>
                  <w:bCs/>
                  <w:sz w:val="28"/>
                  <w:szCs w:val="28"/>
                  <w:lang w:eastAsia="zh-CN"/>
                </w:rPr>
                <w:t>使用及管理情况</w:t>
              </w:r>
              <w:r>
                <w:rPr>
                  <w:sz w:val="28"/>
                  <w:szCs w:val="28"/>
                </w:rPr>
                <w:tab/>
              </w:r>
              <w:r>
                <w:rPr>
                  <w:sz w:val="28"/>
                  <w:szCs w:val="28"/>
                </w:rPr>
                <w:fldChar w:fldCharType="begin"/>
              </w:r>
              <w:r>
                <w:rPr>
                  <w:sz w:val="28"/>
                  <w:szCs w:val="28"/>
                </w:rPr>
                <w:instrText xml:space="preserve"> PAGEREF _Toc15528 \h </w:instrText>
              </w:r>
              <w:r>
                <w:rPr>
                  <w:sz w:val="28"/>
                  <w:szCs w:val="28"/>
                </w:rPr>
                <w:fldChar w:fldCharType="separate"/>
              </w:r>
              <w:r>
                <w:rPr>
                  <w:sz w:val="28"/>
                  <w:szCs w:val="28"/>
                </w:rPr>
                <w:t>2</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_Toc29825 </w:instrText>
              </w:r>
              <w:r>
                <w:rPr>
                  <w:rFonts w:hAnsi="宋体"/>
                  <w:bCs/>
                  <w:sz w:val="28"/>
                  <w:szCs w:val="28"/>
                </w:rPr>
                <w:fldChar w:fldCharType="separate"/>
              </w:r>
              <w:r>
                <w:rPr>
                  <w:rFonts w:hint="eastAsia" w:ascii="华文楷体" w:hAnsi="华文楷体" w:eastAsia="华文楷体" w:cs="华文楷体"/>
                  <w:bCs/>
                  <w:sz w:val="28"/>
                  <w:szCs w:val="28"/>
                  <w:lang w:eastAsia="zh-CN"/>
                </w:rPr>
                <w:t>（</w:t>
              </w:r>
              <w:r>
                <w:rPr>
                  <w:rFonts w:hint="eastAsia" w:ascii="华文楷体" w:hAnsi="华文楷体" w:eastAsia="华文楷体" w:cs="华文楷体"/>
                  <w:bCs/>
                  <w:sz w:val="28"/>
                  <w:szCs w:val="28"/>
                  <w:lang w:val="en-US" w:eastAsia="zh-CN"/>
                </w:rPr>
                <w:t>二</w:t>
              </w:r>
              <w:r>
                <w:rPr>
                  <w:rFonts w:hint="eastAsia" w:ascii="华文楷体" w:hAnsi="华文楷体" w:eastAsia="华文楷体" w:cs="华文楷体"/>
                  <w:bCs/>
                  <w:sz w:val="28"/>
                  <w:szCs w:val="28"/>
                  <w:lang w:eastAsia="zh-CN"/>
                </w:rPr>
                <w:t>）项目组织实施管理情况</w:t>
              </w:r>
              <w:r>
                <w:rPr>
                  <w:sz w:val="28"/>
                  <w:szCs w:val="28"/>
                </w:rPr>
                <w:tab/>
              </w:r>
              <w:r>
                <w:rPr>
                  <w:sz w:val="28"/>
                  <w:szCs w:val="28"/>
                </w:rPr>
                <w:fldChar w:fldCharType="begin"/>
              </w:r>
              <w:r>
                <w:rPr>
                  <w:sz w:val="28"/>
                  <w:szCs w:val="28"/>
                </w:rPr>
                <w:instrText xml:space="preserve"> PAGEREF _Toc29825 \h </w:instrText>
              </w:r>
              <w:r>
                <w:rPr>
                  <w:sz w:val="28"/>
                  <w:szCs w:val="28"/>
                </w:rPr>
                <w:fldChar w:fldCharType="separate"/>
              </w:r>
              <w:r>
                <w:rPr>
                  <w:sz w:val="28"/>
                  <w:szCs w:val="28"/>
                </w:rPr>
                <w:t>3</w:t>
              </w:r>
              <w:r>
                <w:rPr>
                  <w:sz w:val="28"/>
                  <w:szCs w:val="28"/>
                </w:rPr>
                <w:fldChar w:fldCharType="end"/>
              </w:r>
              <w:r>
                <w:rPr>
                  <w:rFonts w:hAnsi="宋体"/>
                  <w:bCs/>
                  <w:color w:val="auto"/>
                  <w:sz w:val="28"/>
                  <w:szCs w:val="28"/>
                </w:rPr>
                <w:fldChar w:fldCharType="end"/>
              </w:r>
            </w:p>
            <w:p>
              <w:pPr>
                <w:pStyle w:val="15"/>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_Toc9980 </w:instrText>
              </w:r>
              <w:r>
                <w:rPr>
                  <w:rFonts w:hAnsi="宋体"/>
                  <w:bCs/>
                  <w:sz w:val="28"/>
                  <w:szCs w:val="28"/>
                </w:rPr>
                <w:fldChar w:fldCharType="separate"/>
              </w:r>
              <w:r>
                <w:rPr>
                  <w:rFonts w:hint="eastAsia" w:ascii="黑体" w:hAnsi="黑体" w:eastAsia="黑体" w:cs="黑体"/>
                  <w:bCs/>
                  <w:sz w:val="28"/>
                  <w:szCs w:val="28"/>
                </w:rPr>
                <w:t>三、绩效评价工作情况</w:t>
              </w:r>
              <w:r>
                <w:rPr>
                  <w:sz w:val="28"/>
                  <w:szCs w:val="28"/>
                </w:rPr>
                <w:tab/>
              </w:r>
              <w:r>
                <w:rPr>
                  <w:sz w:val="28"/>
                  <w:szCs w:val="28"/>
                </w:rPr>
                <w:fldChar w:fldCharType="begin"/>
              </w:r>
              <w:r>
                <w:rPr>
                  <w:sz w:val="28"/>
                  <w:szCs w:val="28"/>
                </w:rPr>
                <w:instrText xml:space="preserve"> PAGEREF _Toc9980 \h </w:instrText>
              </w:r>
              <w:r>
                <w:rPr>
                  <w:sz w:val="28"/>
                  <w:szCs w:val="28"/>
                </w:rPr>
                <w:fldChar w:fldCharType="separate"/>
              </w:r>
              <w:r>
                <w:rPr>
                  <w:sz w:val="28"/>
                  <w:szCs w:val="28"/>
                </w:rPr>
                <w:t>5</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_Toc22570 </w:instrText>
              </w:r>
              <w:r>
                <w:rPr>
                  <w:rFonts w:hAnsi="宋体"/>
                  <w:bCs/>
                  <w:sz w:val="28"/>
                  <w:szCs w:val="28"/>
                </w:rPr>
                <w:fldChar w:fldCharType="separate"/>
              </w:r>
              <w:r>
                <w:rPr>
                  <w:rFonts w:hint="eastAsia" w:ascii="华文楷体" w:hAnsi="华文楷体" w:eastAsia="华文楷体" w:cs="华文楷体"/>
                  <w:bCs/>
                  <w:sz w:val="28"/>
                  <w:szCs w:val="28"/>
                  <w:lang w:eastAsia="zh-CN"/>
                </w:rPr>
                <w:t>（一）绩效评价目的</w:t>
              </w:r>
              <w:r>
                <w:rPr>
                  <w:sz w:val="28"/>
                  <w:szCs w:val="28"/>
                </w:rPr>
                <w:tab/>
              </w:r>
              <w:r>
                <w:rPr>
                  <w:sz w:val="28"/>
                  <w:szCs w:val="28"/>
                </w:rPr>
                <w:fldChar w:fldCharType="begin"/>
              </w:r>
              <w:r>
                <w:rPr>
                  <w:sz w:val="28"/>
                  <w:szCs w:val="28"/>
                </w:rPr>
                <w:instrText xml:space="preserve"> PAGEREF _Toc22570 \h </w:instrText>
              </w:r>
              <w:r>
                <w:rPr>
                  <w:sz w:val="28"/>
                  <w:szCs w:val="28"/>
                </w:rPr>
                <w:fldChar w:fldCharType="separate"/>
              </w:r>
              <w:r>
                <w:rPr>
                  <w:sz w:val="28"/>
                  <w:szCs w:val="28"/>
                </w:rPr>
                <w:t>5</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_Toc9909 </w:instrText>
              </w:r>
              <w:r>
                <w:rPr>
                  <w:rFonts w:hAnsi="宋体"/>
                  <w:bCs/>
                  <w:sz w:val="28"/>
                  <w:szCs w:val="28"/>
                </w:rPr>
                <w:fldChar w:fldCharType="separate"/>
              </w:r>
              <w:r>
                <w:rPr>
                  <w:rFonts w:hint="eastAsia" w:ascii="华文楷体" w:hAnsi="华文楷体" w:eastAsia="华文楷体" w:cs="华文楷体"/>
                  <w:bCs/>
                  <w:sz w:val="28"/>
                  <w:szCs w:val="28"/>
                  <w:lang w:eastAsia="zh-CN"/>
                </w:rPr>
                <w:t>（二）绩效评价依据</w:t>
              </w:r>
              <w:r>
                <w:rPr>
                  <w:sz w:val="28"/>
                  <w:szCs w:val="28"/>
                </w:rPr>
                <w:tab/>
              </w:r>
              <w:r>
                <w:rPr>
                  <w:sz w:val="28"/>
                  <w:szCs w:val="28"/>
                </w:rPr>
                <w:fldChar w:fldCharType="begin"/>
              </w:r>
              <w:r>
                <w:rPr>
                  <w:sz w:val="28"/>
                  <w:szCs w:val="28"/>
                </w:rPr>
                <w:instrText xml:space="preserve"> PAGEREF _Toc9909 \h </w:instrText>
              </w:r>
              <w:r>
                <w:rPr>
                  <w:sz w:val="28"/>
                  <w:szCs w:val="28"/>
                </w:rPr>
                <w:fldChar w:fldCharType="separate"/>
              </w:r>
              <w:r>
                <w:rPr>
                  <w:sz w:val="28"/>
                  <w:szCs w:val="28"/>
                </w:rPr>
                <w:t>5</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_Toc8451 </w:instrText>
              </w:r>
              <w:r>
                <w:rPr>
                  <w:rFonts w:hAnsi="宋体"/>
                  <w:bCs/>
                  <w:sz w:val="28"/>
                  <w:szCs w:val="28"/>
                </w:rPr>
                <w:fldChar w:fldCharType="separate"/>
              </w:r>
              <w:r>
                <w:rPr>
                  <w:rFonts w:hint="eastAsia" w:ascii="华文楷体" w:hAnsi="华文楷体" w:eastAsia="华文楷体" w:cs="华文楷体"/>
                  <w:bCs/>
                  <w:sz w:val="28"/>
                  <w:szCs w:val="28"/>
                  <w:lang w:eastAsia="zh-CN"/>
                </w:rPr>
                <w:t>（三）评价对象、范围及内容</w:t>
              </w:r>
              <w:r>
                <w:rPr>
                  <w:sz w:val="28"/>
                  <w:szCs w:val="28"/>
                </w:rPr>
                <w:tab/>
              </w:r>
              <w:r>
                <w:rPr>
                  <w:sz w:val="28"/>
                  <w:szCs w:val="28"/>
                </w:rPr>
                <w:fldChar w:fldCharType="begin"/>
              </w:r>
              <w:r>
                <w:rPr>
                  <w:sz w:val="28"/>
                  <w:szCs w:val="28"/>
                </w:rPr>
                <w:instrText xml:space="preserve"> PAGEREF _Toc8451 \h </w:instrText>
              </w:r>
              <w:r>
                <w:rPr>
                  <w:sz w:val="28"/>
                  <w:szCs w:val="28"/>
                </w:rPr>
                <w:fldChar w:fldCharType="separate"/>
              </w:r>
              <w:r>
                <w:rPr>
                  <w:sz w:val="28"/>
                  <w:szCs w:val="28"/>
                </w:rPr>
                <w:t>6</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_Toc7095 </w:instrText>
              </w:r>
              <w:r>
                <w:rPr>
                  <w:rFonts w:hAnsi="宋体"/>
                  <w:bCs/>
                  <w:sz w:val="28"/>
                  <w:szCs w:val="28"/>
                </w:rPr>
                <w:fldChar w:fldCharType="separate"/>
              </w:r>
              <w:r>
                <w:rPr>
                  <w:rFonts w:hint="eastAsia" w:ascii="华文楷体" w:hAnsi="华文楷体" w:eastAsia="华文楷体" w:cs="华文楷体"/>
                  <w:bCs/>
                  <w:sz w:val="28"/>
                  <w:szCs w:val="28"/>
                  <w:lang w:eastAsia="zh-CN"/>
                </w:rPr>
                <w:t>（四）绩效评价指标体系</w:t>
              </w:r>
              <w:r>
                <w:rPr>
                  <w:sz w:val="28"/>
                  <w:szCs w:val="28"/>
                </w:rPr>
                <w:tab/>
              </w:r>
              <w:r>
                <w:rPr>
                  <w:sz w:val="28"/>
                  <w:szCs w:val="28"/>
                </w:rPr>
                <w:fldChar w:fldCharType="begin"/>
              </w:r>
              <w:r>
                <w:rPr>
                  <w:sz w:val="28"/>
                  <w:szCs w:val="28"/>
                </w:rPr>
                <w:instrText xml:space="preserve"> PAGEREF _Toc7095 \h </w:instrText>
              </w:r>
              <w:r>
                <w:rPr>
                  <w:sz w:val="28"/>
                  <w:szCs w:val="28"/>
                </w:rPr>
                <w:fldChar w:fldCharType="separate"/>
              </w:r>
              <w:r>
                <w:rPr>
                  <w:sz w:val="28"/>
                  <w:szCs w:val="28"/>
                </w:rPr>
                <w:t>7</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_Toc23661 </w:instrText>
              </w:r>
              <w:r>
                <w:rPr>
                  <w:rFonts w:hAnsi="宋体"/>
                  <w:bCs/>
                  <w:sz w:val="28"/>
                  <w:szCs w:val="28"/>
                </w:rPr>
                <w:fldChar w:fldCharType="separate"/>
              </w:r>
              <w:r>
                <w:rPr>
                  <w:rFonts w:hint="eastAsia" w:ascii="华文楷体" w:hAnsi="华文楷体" w:eastAsia="华文楷体" w:cs="华文楷体"/>
                  <w:bCs/>
                  <w:sz w:val="28"/>
                  <w:szCs w:val="28"/>
                  <w:lang w:eastAsia="zh-CN"/>
                </w:rPr>
                <w:t>（五）绩效评价原则、评价方法</w:t>
              </w:r>
              <w:r>
                <w:rPr>
                  <w:sz w:val="28"/>
                  <w:szCs w:val="28"/>
                </w:rPr>
                <w:tab/>
              </w:r>
              <w:r>
                <w:rPr>
                  <w:sz w:val="28"/>
                  <w:szCs w:val="28"/>
                </w:rPr>
                <w:fldChar w:fldCharType="begin"/>
              </w:r>
              <w:r>
                <w:rPr>
                  <w:sz w:val="28"/>
                  <w:szCs w:val="28"/>
                </w:rPr>
                <w:instrText xml:space="preserve"> PAGEREF _Toc23661 \h </w:instrText>
              </w:r>
              <w:r>
                <w:rPr>
                  <w:sz w:val="28"/>
                  <w:szCs w:val="28"/>
                </w:rPr>
                <w:fldChar w:fldCharType="separate"/>
              </w:r>
              <w:r>
                <w:rPr>
                  <w:sz w:val="28"/>
                  <w:szCs w:val="28"/>
                </w:rPr>
                <w:t>8</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_Toc32456 </w:instrText>
              </w:r>
              <w:r>
                <w:rPr>
                  <w:rFonts w:hAnsi="宋体"/>
                  <w:bCs/>
                  <w:sz w:val="28"/>
                  <w:szCs w:val="28"/>
                </w:rPr>
                <w:fldChar w:fldCharType="separate"/>
              </w:r>
              <w:r>
                <w:rPr>
                  <w:rFonts w:hint="eastAsia" w:ascii="华文楷体" w:hAnsi="华文楷体" w:eastAsia="华文楷体" w:cs="华文楷体"/>
                  <w:bCs/>
                  <w:sz w:val="28"/>
                  <w:szCs w:val="28"/>
                  <w:lang w:eastAsia="zh-CN"/>
                </w:rPr>
                <w:t>（六）绩效评价工作过程</w:t>
              </w:r>
              <w:r>
                <w:rPr>
                  <w:sz w:val="28"/>
                  <w:szCs w:val="28"/>
                </w:rPr>
                <w:tab/>
              </w:r>
              <w:r>
                <w:rPr>
                  <w:sz w:val="28"/>
                  <w:szCs w:val="28"/>
                </w:rPr>
                <w:fldChar w:fldCharType="begin"/>
              </w:r>
              <w:r>
                <w:rPr>
                  <w:sz w:val="28"/>
                  <w:szCs w:val="28"/>
                </w:rPr>
                <w:instrText xml:space="preserve"> PAGEREF _Toc32456 \h </w:instrText>
              </w:r>
              <w:r>
                <w:rPr>
                  <w:sz w:val="28"/>
                  <w:szCs w:val="28"/>
                </w:rPr>
                <w:fldChar w:fldCharType="separate"/>
              </w:r>
              <w:r>
                <w:rPr>
                  <w:sz w:val="28"/>
                  <w:szCs w:val="28"/>
                </w:rPr>
                <w:t>9</w:t>
              </w:r>
              <w:r>
                <w:rPr>
                  <w:sz w:val="28"/>
                  <w:szCs w:val="28"/>
                </w:rPr>
                <w:fldChar w:fldCharType="end"/>
              </w:r>
              <w:r>
                <w:rPr>
                  <w:rFonts w:hAnsi="宋体"/>
                  <w:bCs/>
                  <w:color w:val="auto"/>
                  <w:sz w:val="28"/>
                  <w:szCs w:val="28"/>
                </w:rPr>
                <w:fldChar w:fldCharType="end"/>
              </w:r>
            </w:p>
            <w:p>
              <w:pPr>
                <w:pStyle w:val="15"/>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_Toc17776 </w:instrText>
              </w:r>
              <w:r>
                <w:rPr>
                  <w:rFonts w:hAnsi="宋体"/>
                  <w:bCs/>
                  <w:sz w:val="28"/>
                  <w:szCs w:val="28"/>
                </w:rPr>
                <w:fldChar w:fldCharType="separate"/>
              </w:r>
              <w:r>
                <w:rPr>
                  <w:rFonts w:hint="eastAsia" w:ascii="黑体" w:hAnsi="黑体" w:eastAsia="黑体" w:cs="黑体"/>
                  <w:bCs/>
                  <w:sz w:val="28"/>
                  <w:szCs w:val="28"/>
                </w:rPr>
                <w:t>四、项目绩效情况</w:t>
              </w:r>
              <w:r>
                <w:rPr>
                  <w:sz w:val="28"/>
                  <w:szCs w:val="28"/>
                </w:rPr>
                <w:tab/>
              </w:r>
              <w:r>
                <w:rPr>
                  <w:sz w:val="28"/>
                  <w:szCs w:val="28"/>
                </w:rPr>
                <w:fldChar w:fldCharType="begin"/>
              </w:r>
              <w:r>
                <w:rPr>
                  <w:sz w:val="28"/>
                  <w:szCs w:val="28"/>
                </w:rPr>
                <w:instrText xml:space="preserve"> PAGEREF _Toc17776 \h </w:instrText>
              </w:r>
              <w:r>
                <w:rPr>
                  <w:sz w:val="28"/>
                  <w:szCs w:val="28"/>
                </w:rPr>
                <w:fldChar w:fldCharType="separate"/>
              </w:r>
              <w:r>
                <w:rPr>
                  <w:sz w:val="28"/>
                  <w:szCs w:val="28"/>
                </w:rPr>
                <w:t>11</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_Toc5822 </w:instrText>
              </w:r>
              <w:r>
                <w:rPr>
                  <w:rFonts w:hAnsi="宋体"/>
                  <w:bCs/>
                  <w:sz w:val="28"/>
                  <w:szCs w:val="28"/>
                </w:rPr>
                <w:fldChar w:fldCharType="separate"/>
              </w:r>
              <w:r>
                <w:rPr>
                  <w:rFonts w:hint="eastAsia" w:ascii="华文楷体" w:hAnsi="华文楷体" w:eastAsia="华文楷体" w:cs="华文楷体"/>
                  <w:bCs/>
                  <w:sz w:val="28"/>
                  <w:szCs w:val="28"/>
                  <w:lang w:eastAsia="zh-CN"/>
                </w:rPr>
                <w:t>（一）项目产出</w:t>
              </w:r>
              <w:r>
                <w:rPr>
                  <w:sz w:val="28"/>
                  <w:szCs w:val="28"/>
                </w:rPr>
                <w:tab/>
              </w:r>
              <w:r>
                <w:rPr>
                  <w:sz w:val="28"/>
                  <w:szCs w:val="28"/>
                </w:rPr>
                <w:fldChar w:fldCharType="begin"/>
              </w:r>
              <w:r>
                <w:rPr>
                  <w:sz w:val="28"/>
                  <w:szCs w:val="28"/>
                </w:rPr>
                <w:instrText xml:space="preserve"> PAGEREF _Toc5822 \h </w:instrText>
              </w:r>
              <w:r>
                <w:rPr>
                  <w:sz w:val="28"/>
                  <w:szCs w:val="28"/>
                </w:rPr>
                <w:fldChar w:fldCharType="separate"/>
              </w:r>
              <w:r>
                <w:rPr>
                  <w:sz w:val="28"/>
                  <w:szCs w:val="28"/>
                </w:rPr>
                <w:t>11</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_Toc26548 </w:instrText>
              </w:r>
              <w:r>
                <w:rPr>
                  <w:rFonts w:hAnsi="宋体"/>
                  <w:bCs/>
                  <w:sz w:val="28"/>
                  <w:szCs w:val="28"/>
                </w:rPr>
                <w:fldChar w:fldCharType="separate"/>
              </w:r>
              <w:r>
                <w:rPr>
                  <w:rFonts w:hint="eastAsia" w:ascii="华文楷体" w:hAnsi="华文楷体" w:eastAsia="华文楷体" w:cs="华文楷体"/>
                  <w:bCs/>
                  <w:sz w:val="28"/>
                  <w:szCs w:val="28"/>
                  <w:lang w:eastAsia="zh-CN"/>
                </w:rPr>
                <w:t>（</w:t>
              </w:r>
              <w:r>
                <w:rPr>
                  <w:rFonts w:hint="eastAsia" w:ascii="华文楷体" w:hAnsi="华文楷体" w:eastAsia="华文楷体" w:cs="华文楷体"/>
                  <w:bCs/>
                  <w:sz w:val="28"/>
                  <w:szCs w:val="28"/>
                  <w:lang w:val="en-US" w:eastAsia="zh-CN"/>
                </w:rPr>
                <w:t>二</w:t>
              </w:r>
              <w:r>
                <w:rPr>
                  <w:rFonts w:hint="eastAsia" w:ascii="华文楷体" w:hAnsi="华文楷体" w:eastAsia="华文楷体" w:cs="华文楷体"/>
                  <w:bCs/>
                  <w:sz w:val="28"/>
                  <w:szCs w:val="28"/>
                  <w:lang w:eastAsia="zh-CN"/>
                </w:rPr>
                <w:t>）项目效益</w:t>
              </w:r>
              <w:r>
                <w:rPr>
                  <w:sz w:val="28"/>
                  <w:szCs w:val="28"/>
                </w:rPr>
                <w:tab/>
              </w:r>
              <w:r>
                <w:rPr>
                  <w:sz w:val="28"/>
                  <w:szCs w:val="28"/>
                </w:rPr>
                <w:fldChar w:fldCharType="begin"/>
              </w:r>
              <w:r>
                <w:rPr>
                  <w:sz w:val="28"/>
                  <w:szCs w:val="28"/>
                </w:rPr>
                <w:instrText xml:space="preserve"> PAGEREF _Toc26548 \h </w:instrText>
              </w:r>
              <w:r>
                <w:rPr>
                  <w:sz w:val="28"/>
                  <w:szCs w:val="28"/>
                </w:rPr>
                <w:fldChar w:fldCharType="separate"/>
              </w:r>
              <w:r>
                <w:rPr>
                  <w:sz w:val="28"/>
                  <w:szCs w:val="28"/>
                </w:rPr>
                <w:t>11</w:t>
              </w:r>
              <w:r>
                <w:rPr>
                  <w:sz w:val="28"/>
                  <w:szCs w:val="28"/>
                </w:rPr>
                <w:fldChar w:fldCharType="end"/>
              </w:r>
              <w:r>
                <w:rPr>
                  <w:rFonts w:hAnsi="宋体"/>
                  <w:bCs/>
                  <w:color w:val="auto"/>
                  <w:sz w:val="28"/>
                  <w:szCs w:val="28"/>
                </w:rPr>
                <w:fldChar w:fldCharType="end"/>
              </w:r>
            </w:p>
            <w:p>
              <w:pPr>
                <w:pStyle w:val="15"/>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_Toc18466 </w:instrText>
              </w:r>
              <w:r>
                <w:rPr>
                  <w:rFonts w:hAnsi="宋体"/>
                  <w:bCs/>
                  <w:sz w:val="28"/>
                  <w:szCs w:val="28"/>
                </w:rPr>
                <w:fldChar w:fldCharType="separate"/>
              </w:r>
              <w:r>
                <w:rPr>
                  <w:rFonts w:hint="eastAsia" w:ascii="黑体" w:hAnsi="黑体" w:eastAsia="黑体" w:cs="黑体"/>
                  <w:bCs/>
                  <w:sz w:val="28"/>
                  <w:szCs w:val="28"/>
                </w:rPr>
                <w:t>五、综合评价情况及评价结论</w:t>
              </w:r>
              <w:r>
                <w:rPr>
                  <w:sz w:val="28"/>
                  <w:szCs w:val="28"/>
                </w:rPr>
                <w:tab/>
              </w:r>
              <w:r>
                <w:rPr>
                  <w:sz w:val="28"/>
                  <w:szCs w:val="28"/>
                </w:rPr>
                <w:fldChar w:fldCharType="begin"/>
              </w:r>
              <w:r>
                <w:rPr>
                  <w:sz w:val="28"/>
                  <w:szCs w:val="28"/>
                </w:rPr>
                <w:instrText xml:space="preserve"> PAGEREF _Toc18466 \h </w:instrText>
              </w:r>
              <w:r>
                <w:rPr>
                  <w:sz w:val="28"/>
                  <w:szCs w:val="28"/>
                </w:rPr>
                <w:fldChar w:fldCharType="separate"/>
              </w:r>
              <w:r>
                <w:rPr>
                  <w:sz w:val="28"/>
                  <w:szCs w:val="28"/>
                </w:rPr>
                <w:t>11</w:t>
              </w:r>
              <w:r>
                <w:rPr>
                  <w:sz w:val="28"/>
                  <w:szCs w:val="28"/>
                </w:rPr>
                <w:fldChar w:fldCharType="end"/>
              </w:r>
              <w:r>
                <w:rPr>
                  <w:rFonts w:hAnsi="宋体"/>
                  <w:bCs/>
                  <w:color w:val="auto"/>
                  <w:sz w:val="28"/>
                  <w:szCs w:val="28"/>
                </w:rPr>
                <w:fldChar w:fldCharType="end"/>
              </w:r>
            </w:p>
            <w:p>
              <w:pPr>
                <w:pStyle w:val="15"/>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_Toc1813 </w:instrText>
              </w:r>
              <w:r>
                <w:rPr>
                  <w:rFonts w:hAnsi="宋体"/>
                  <w:bCs/>
                  <w:sz w:val="28"/>
                  <w:szCs w:val="28"/>
                </w:rPr>
                <w:fldChar w:fldCharType="separate"/>
              </w:r>
              <w:r>
                <w:rPr>
                  <w:rFonts w:hint="eastAsia" w:ascii="黑体" w:hAnsi="黑体" w:eastAsia="黑体" w:cs="黑体"/>
                  <w:bCs/>
                  <w:sz w:val="28"/>
                  <w:szCs w:val="28"/>
                  <w:lang w:val="en-US" w:eastAsia="zh-CN"/>
                </w:rPr>
                <w:t>六、</w:t>
              </w:r>
              <w:r>
                <w:rPr>
                  <w:rFonts w:hint="eastAsia" w:ascii="黑体" w:hAnsi="黑体" w:eastAsia="黑体" w:cs="黑体"/>
                  <w:bCs/>
                  <w:sz w:val="28"/>
                  <w:szCs w:val="28"/>
                </w:rPr>
                <w:t>存在的主要问题</w:t>
              </w:r>
              <w:r>
                <w:rPr>
                  <w:sz w:val="28"/>
                  <w:szCs w:val="28"/>
                </w:rPr>
                <w:tab/>
              </w:r>
              <w:r>
                <w:rPr>
                  <w:sz w:val="28"/>
                  <w:szCs w:val="28"/>
                </w:rPr>
                <w:fldChar w:fldCharType="begin"/>
              </w:r>
              <w:r>
                <w:rPr>
                  <w:sz w:val="28"/>
                  <w:szCs w:val="28"/>
                </w:rPr>
                <w:instrText xml:space="preserve"> PAGEREF _Toc1813 \h </w:instrText>
              </w:r>
              <w:r>
                <w:rPr>
                  <w:sz w:val="28"/>
                  <w:szCs w:val="28"/>
                </w:rPr>
                <w:fldChar w:fldCharType="separate"/>
              </w:r>
              <w:r>
                <w:rPr>
                  <w:sz w:val="28"/>
                  <w:szCs w:val="28"/>
                </w:rPr>
                <w:t>12</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_Toc23284 </w:instrText>
              </w:r>
              <w:r>
                <w:rPr>
                  <w:rFonts w:hAnsi="宋体"/>
                  <w:bCs/>
                  <w:sz w:val="28"/>
                  <w:szCs w:val="28"/>
                </w:rPr>
                <w:fldChar w:fldCharType="separate"/>
              </w:r>
              <w:r>
                <w:rPr>
                  <w:rFonts w:hint="eastAsia" w:ascii="华文楷体" w:hAnsi="华文楷体" w:eastAsia="华文楷体" w:cs="华文楷体"/>
                  <w:bCs/>
                  <w:sz w:val="28"/>
                  <w:szCs w:val="28"/>
                  <w:lang w:val="en-US" w:eastAsia="zh-CN"/>
                </w:rPr>
                <w:t>（一）项目产出质量不达标</w:t>
              </w:r>
              <w:r>
                <w:rPr>
                  <w:sz w:val="28"/>
                  <w:szCs w:val="28"/>
                </w:rPr>
                <w:tab/>
              </w:r>
              <w:r>
                <w:rPr>
                  <w:sz w:val="28"/>
                  <w:szCs w:val="28"/>
                </w:rPr>
                <w:fldChar w:fldCharType="begin"/>
              </w:r>
              <w:r>
                <w:rPr>
                  <w:sz w:val="28"/>
                  <w:szCs w:val="28"/>
                </w:rPr>
                <w:instrText xml:space="preserve"> PAGEREF _Toc23284 \h </w:instrText>
              </w:r>
              <w:r>
                <w:rPr>
                  <w:sz w:val="28"/>
                  <w:szCs w:val="28"/>
                </w:rPr>
                <w:fldChar w:fldCharType="separate"/>
              </w:r>
              <w:r>
                <w:rPr>
                  <w:sz w:val="28"/>
                  <w:szCs w:val="28"/>
                </w:rPr>
                <w:t>12</w:t>
              </w:r>
              <w:r>
                <w:rPr>
                  <w:sz w:val="28"/>
                  <w:szCs w:val="28"/>
                </w:rPr>
                <w:fldChar w:fldCharType="end"/>
              </w:r>
              <w:r>
                <w:rPr>
                  <w:rFonts w:hAnsi="宋体"/>
                  <w:bCs/>
                  <w:color w:val="auto"/>
                  <w:sz w:val="28"/>
                  <w:szCs w:val="28"/>
                </w:rPr>
                <w:fldChar w:fldCharType="end"/>
              </w:r>
            </w:p>
            <w:p>
              <w:pPr>
                <w:pStyle w:val="17"/>
                <w:tabs>
                  <w:tab w:val="right" w:leader="dot" w:pos="8845"/>
                </w:tabs>
                <w:rPr>
                  <w:sz w:val="28"/>
                  <w:szCs w:val="28"/>
                </w:rPr>
              </w:pPr>
              <w:r>
                <w:rPr>
                  <w:rFonts w:hAnsi="宋体"/>
                  <w:bCs/>
                  <w:color w:val="auto"/>
                  <w:sz w:val="28"/>
                  <w:szCs w:val="28"/>
                </w:rPr>
                <w:fldChar w:fldCharType="begin"/>
              </w:r>
              <w:r>
                <w:rPr>
                  <w:rFonts w:hAnsi="宋体"/>
                  <w:bCs/>
                  <w:sz w:val="28"/>
                  <w:szCs w:val="28"/>
                </w:rPr>
                <w:instrText xml:space="preserve"> HYPERLINK \l _Toc22752 </w:instrText>
              </w:r>
              <w:r>
                <w:rPr>
                  <w:rFonts w:hAnsi="宋体"/>
                  <w:bCs/>
                  <w:sz w:val="28"/>
                  <w:szCs w:val="28"/>
                </w:rPr>
                <w:fldChar w:fldCharType="separate"/>
              </w:r>
              <w:r>
                <w:rPr>
                  <w:rFonts w:hint="eastAsia" w:ascii="华文楷体" w:hAnsi="华文楷体" w:eastAsia="华文楷体" w:cs="华文楷体"/>
                  <w:bCs/>
                  <w:sz w:val="28"/>
                  <w:szCs w:val="28"/>
                  <w:lang w:val="en-US" w:eastAsia="zh-CN"/>
                </w:rPr>
                <w:t>（二）绩效指标设置不规范</w:t>
              </w:r>
              <w:r>
                <w:rPr>
                  <w:sz w:val="28"/>
                  <w:szCs w:val="28"/>
                </w:rPr>
                <w:tab/>
              </w:r>
              <w:r>
                <w:rPr>
                  <w:sz w:val="28"/>
                  <w:szCs w:val="28"/>
                </w:rPr>
                <w:fldChar w:fldCharType="begin"/>
              </w:r>
              <w:r>
                <w:rPr>
                  <w:sz w:val="28"/>
                  <w:szCs w:val="28"/>
                </w:rPr>
                <w:instrText xml:space="preserve"> PAGEREF _Toc22752 \h </w:instrText>
              </w:r>
              <w:r>
                <w:rPr>
                  <w:sz w:val="28"/>
                  <w:szCs w:val="28"/>
                </w:rPr>
                <w:fldChar w:fldCharType="separate"/>
              </w:r>
              <w:r>
                <w:rPr>
                  <w:sz w:val="28"/>
                  <w:szCs w:val="28"/>
                </w:rPr>
                <w:t>13</w:t>
              </w:r>
              <w:r>
                <w:rPr>
                  <w:sz w:val="28"/>
                  <w:szCs w:val="28"/>
                </w:rPr>
                <w:fldChar w:fldCharType="end"/>
              </w:r>
              <w:r>
                <w:rPr>
                  <w:rFonts w:hAnsi="宋体"/>
                  <w:bCs/>
                  <w:color w:val="auto"/>
                  <w:sz w:val="28"/>
                  <w:szCs w:val="28"/>
                </w:rPr>
                <w:fldChar w:fldCharType="end"/>
              </w:r>
            </w:p>
            <w:p>
              <w:pPr>
                <w:pStyle w:val="15"/>
                <w:tabs>
                  <w:tab w:val="right" w:leader="dot" w:pos="8845"/>
                </w:tabs>
              </w:pPr>
              <w:r>
                <w:rPr>
                  <w:rFonts w:hAnsi="宋体"/>
                  <w:bCs/>
                  <w:color w:val="auto"/>
                  <w:sz w:val="28"/>
                  <w:szCs w:val="28"/>
                </w:rPr>
                <w:fldChar w:fldCharType="begin"/>
              </w:r>
              <w:r>
                <w:rPr>
                  <w:rFonts w:hAnsi="宋体"/>
                  <w:bCs/>
                  <w:sz w:val="28"/>
                  <w:szCs w:val="28"/>
                </w:rPr>
                <w:instrText xml:space="preserve"> HYPERLINK \l _Toc12141 </w:instrText>
              </w:r>
              <w:r>
                <w:rPr>
                  <w:rFonts w:hAnsi="宋体"/>
                  <w:bCs/>
                  <w:sz w:val="28"/>
                  <w:szCs w:val="28"/>
                </w:rPr>
                <w:fldChar w:fldCharType="separate"/>
              </w:r>
              <w:r>
                <w:rPr>
                  <w:rFonts w:hint="eastAsia" w:ascii="黑体" w:hAnsi="黑体" w:eastAsia="黑体" w:cs="黑体"/>
                  <w:bCs/>
                  <w:sz w:val="28"/>
                  <w:szCs w:val="28"/>
                </w:rPr>
                <w:t>七、意见建议</w:t>
              </w:r>
              <w:r>
                <w:rPr>
                  <w:sz w:val="28"/>
                  <w:szCs w:val="28"/>
                </w:rPr>
                <w:tab/>
              </w:r>
              <w:r>
                <w:rPr>
                  <w:sz w:val="28"/>
                  <w:szCs w:val="28"/>
                </w:rPr>
                <w:fldChar w:fldCharType="begin"/>
              </w:r>
              <w:r>
                <w:rPr>
                  <w:sz w:val="28"/>
                  <w:szCs w:val="28"/>
                </w:rPr>
                <w:instrText xml:space="preserve"> PAGEREF _Toc12141 \h </w:instrText>
              </w:r>
              <w:r>
                <w:rPr>
                  <w:sz w:val="28"/>
                  <w:szCs w:val="28"/>
                </w:rPr>
                <w:fldChar w:fldCharType="separate"/>
              </w:r>
              <w:r>
                <w:rPr>
                  <w:sz w:val="28"/>
                  <w:szCs w:val="28"/>
                </w:rPr>
                <w:t>13</w:t>
              </w:r>
              <w:r>
                <w:rPr>
                  <w:sz w:val="28"/>
                  <w:szCs w:val="28"/>
                </w:rPr>
                <w:fldChar w:fldCharType="end"/>
              </w:r>
              <w:r>
                <w:rPr>
                  <w:rFonts w:hAnsi="宋体"/>
                  <w:bCs/>
                  <w:color w:val="auto"/>
                  <w:sz w:val="28"/>
                  <w:szCs w:val="28"/>
                </w:rPr>
                <w:fldChar w:fldCharType="end"/>
              </w:r>
            </w:p>
            <w:p>
              <w:pPr>
                <w:spacing w:line="360" w:lineRule="auto"/>
                <w:jc w:val="center"/>
                <w:rPr>
                  <w:rFonts w:asciiTheme="majorEastAsia" w:hAnsiTheme="majorEastAsia" w:eastAsiaTheme="majorEastAsia"/>
                  <w:b/>
                  <w:color w:val="auto"/>
                  <w:sz w:val="36"/>
                  <w:szCs w:val="36"/>
                </w:rPr>
                <w:sectPr>
                  <w:headerReference r:id="rId3" w:type="default"/>
                  <w:footerReference r:id="rId4" w:type="default"/>
                  <w:pgSz w:w="11907" w:h="16840"/>
                  <w:pgMar w:top="1440" w:right="1474" w:bottom="1440" w:left="1588" w:header="851" w:footer="992" w:gutter="0"/>
                  <w:cols w:space="720" w:num="1"/>
                </w:sectPr>
              </w:pPr>
              <w:r>
                <w:rPr>
                  <w:rFonts w:hAnsi="宋体"/>
                  <w:bCs/>
                  <w:color w:val="auto"/>
                  <w:szCs w:val="28"/>
                </w:rPr>
                <w:fldChar w:fldCharType="end"/>
              </w:r>
            </w:p>
          </w:sdtContent>
        </w:sdt>
      </w:sdtContent>
    </w:sdt>
    <w:p>
      <w:pPr>
        <w:pStyle w:val="2"/>
        <w:ind w:left="400" w:firstLine="400"/>
        <w:rPr>
          <w:color w:val="auto"/>
        </w:rPr>
      </w:pPr>
      <w:bookmarkStart w:id="1" w:name="_Toc57373818"/>
      <w:bookmarkEnd w:id="1"/>
      <w:bookmarkStart w:id="2" w:name="_Toc57373821"/>
    </w:p>
    <w:bookmarkEnd w:id="2"/>
    <w:p>
      <w:pPr>
        <w:pStyle w:val="27"/>
        <w:bidi w:val="0"/>
        <w:rPr>
          <w:rFonts w:hint="eastAsia"/>
          <w:lang w:val="en-US" w:eastAsia="zh-CN"/>
        </w:rPr>
      </w:pPr>
      <w:bookmarkStart w:id="3" w:name="_Toc57373823"/>
      <w:r>
        <w:rPr>
          <w:rFonts w:hint="eastAsia"/>
          <w:lang w:val="en-US" w:eastAsia="zh-CN"/>
        </w:rPr>
        <w:t>遵化市城市管理综合行政执法局</w:t>
      </w:r>
    </w:p>
    <w:p>
      <w:pPr>
        <w:pStyle w:val="27"/>
        <w:bidi w:val="0"/>
      </w:pPr>
      <w:r>
        <w:rPr>
          <w:rFonts w:hint="eastAsia"/>
          <w:lang w:val="en-US" w:eastAsia="zh-CN"/>
        </w:rPr>
        <w:t>2022年路灯信号灯及平射灯等运行费用项目</w:t>
      </w:r>
    </w:p>
    <w:bookmarkEnd w:id="3"/>
    <w:p>
      <w:pPr>
        <w:pStyle w:val="27"/>
        <w:bidi w:val="0"/>
      </w:pPr>
      <w:r>
        <w:rPr>
          <w:rFonts w:hint="eastAsia"/>
        </w:rPr>
        <w:t>绩效评价报告</w:t>
      </w:r>
    </w:p>
    <w:p>
      <w:pPr>
        <w:pStyle w:val="29"/>
        <w:bidi w:val="0"/>
      </w:pPr>
      <w:bookmarkStart w:id="4" w:name="_Toc5414"/>
      <w:bookmarkStart w:id="5" w:name="_Toc29302676"/>
      <w:r>
        <w:rPr>
          <w:rFonts w:hint="eastAsia"/>
        </w:rPr>
        <w:t>一、项目基本情况</w:t>
      </w:r>
      <w:bookmarkEnd w:id="4"/>
      <w:bookmarkEnd w:id="5"/>
    </w:p>
    <w:p>
      <w:pPr>
        <w:pStyle w:val="28"/>
        <w:bidi w:val="0"/>
        <w:rPr>
          <w:rFonts w:hint="eastAsia"/>
        </w:rPr>
      </w:pPr>
      <w:bookmarkStart w:id="6" w:name="_Toc29302677"/>
      <w:bookmarkStart w:id="7" w:name="_Toc14410"/>
      <w:r>
        <w:rPr>
          <w:rFonts w:hint="eastAsia"/>
        </w:rPr>
        <w:t>（一）项目概况</w:t>
      </w:r>
      <w:bookmarkEnd w:id="6"/>
      <w:bookmarkEnd w:id="7"/>
      <w:bookmarkStart w:id="8" w:name="_Toc29302678"/>
    </w:p>
    <w:p>
      <w:pPr>
        <w:pStyle w:val="30"/>
        <w:bidi w:val="0"/>
        <w:rPr>
          <w:rFonts w:hint="default"/>
          <w:lang w:val="en-US"/>
        </w:rPr>
      </w:pPr>
      <w:r>
        <w:rPr>
          <w:rFonts w:hint="eastAsia"/>
          <w:lang w:val="en-US"/>
        </w:rPr>
        <w:t>为了保障城市夜间交通安全、市民出行方便，提高居民生活质量，提升城市形象，2022年2月10日遵化市城市管理综合行政执法局（以下简称“城管局”）向遵化市人民政府递交了关于拨付2022年度城区路灯电费预算360万元的请示。2022年2月10日市领导批准了该项资金的安排。</w:t>
      </w:r>
    </w:p>
    <w:p>
      <w:pPr>
        <w:pStyle w:val="30"/>
        <w:bidi w:val="0"/>
        <w:rPr>
          <w:rFonts w:hint="eastAsia"/>
        </w:rPr>
      </w:pPr>
      <w:r>
        <w:rPr>
          <w:rFonts w:hint="eastAsia"/>
          <w:lang w:val="en-US"/>
        </w:rPr>
        <w:t>遵化市</w:t>
      </w:r>
      <w:r>
        <w:rPr>
          <w:rFonts w:hint="eastAsia"/>
        </w:rPr>
        <w:t>城区照明区域为东至东二环，西至西十里铺，南至承唐高速口，北至北三环（</w:t>
      </w:r>
      <w:r>
        <w:rPr>
          <w:rFonts w:hint="eastAsia"/>
          <w:lang w:val="en-US"/>
        </w:rPr>
        <w:t>不含北三环</w:t>
      </w:r>
      <w:r>
        <w:rPr>
          <w:rFonts w:hint="eastAsia"/>
        </w:rPr>
        <w:t>），外加东高速口中华灯。共设有路灯杆4424基，路灯7547盏，含小街小巷路灯800盏，主街主路及小街小巷光源为高压钠灯和LED灯，东高速口和桥梁中华灯、小区及社区光源以13W节能灯泡为主。配电线路长度约200多千米，配电变压器77台，总功率1368.53千瓦。</w:t>
      </w:r>
    </w:p>
    <w:p>
      <w:pPr>
        <w:pStyle w:val="28"/>
        <w:bidi w:val="0"/>
        <w:rPr>
          <w:rFonts w:hint="eastAsia"/>
        </w:rPr>
      </w:pPr>
      <w:bookmarkStart w:id="9" w:name="_Toc11670"/>
      <w:r>
        <w:rPr>
          <w:rFonts w:hint="eastAsia"/>
          <w:lang w:eastAsia="zh-CN"/>
        </w:rPr>
        <w:t>（</w:t>
      </w:r>
      <w:r>
        <w:rPr>
          <w:rFonts w:hint="eastAsia"/>
          <w:lang w:val="en-US" w:eastAsia="zh-CN"/>
        </w:rPr>
        <w:t>二</w:t>
      </w:r>
      <w:r>
        <w:rPr>
          <w:rFonts w:hint="eastAsia"/>
          <w:lang w:eastAsia="zh-CN"/>
        </w:rPr>
        <w:t>）</w:t>
      </w:r>
      <w:r>
        <w:rPr>
          <w:rFonts w:hint="eastAsia"/>
        </w:rPr>
        <w:t>项目绩效目标</w:t>
      </w:r>
      <w:bookmarkEnd w:id="8"/>
      <w:bookmarkEnd w:id="9"/>
      <w:bookmarkStart w:id="10" w:name="_Toc29302679"/>
    </w:p>
    <w:p>
      <w:pPr>
        <w:pStyle w:val="30"/>
        <w:bidi w:val="0"/>
        <w:rPr>
          <w:rFonts w:hint="eastAsia"/>
          <w:lang w:val="en-US" w:eastAsia="zh-CN"/>
        </w:rPr>
      </w:pPr>
      <w:r>
        <w:rPr>
          <w:rFonts w:hint="eastAsia"/>
          <w:lang w:val="en-US" w:eastAsia="zh-CN"/>
        </w:rPr>
        <w:t>为保障城市夜间交通安全、市民出行方便，提高居民生活质量，提升城市形象，做好市政道路照明及亮化设施、确保照明工作正常运转。</w:t>
      </w:r>
    </w:p>
    <w:p>
      <w:pPr>
        <w:pStyle w:val="29"/>
        <w:bidi w:val="0"/>
        <w:rPr>
          <w:rFonts w:hint="eastAsia"/>
        </w:rPr>
      </w:pPr>
      <w:bookmarkStart w:id="11" w:name="_Toc8506"/>
      <w:r>
        <w:rPr>
          <w:rFonts w:hint="eastAsia"/>
        </w:rPr>
        <w:t>二、项目实施情况</w:t>
      </w:r>
      <w:bookmarkEnd w:id="11"/>
    </w:p>
    <w:p>
      <w:pPr>
        <w:pStyle w:val="28"/>
        <w:bidi w:val="0"/>
        <w:rPr>
          <w:rFonts w:hint="eastAsia"/>
          <w:lang w:eastAsia="zh-CN"/>
        </w:rPr>
      </w:pPr>
      <w:bookmarkStart w:id="12" w:name="_Toc15528"/>
      <w:r>
        <w:rPr>
          <w:rFonts w:hint="eastAsia"/>
          <w:lang w:eastAsia="zh-CN"/>
        </w:rPr>
        <w:t>（一）项目资金</w:t>
      </w:r>
      <w:r>
        <w:rPr>
          <w:rFonts w:hint="eastAsia"/>
          <w:lang w:val="en-US" w:eastAsia="zh-CN"/>
        </w:rPr>
        <w:t>到位、</w:t>
      </w:r>
      <w:r>
        <w:rPr>
          <w:rFonts w:hint="eastAsia"/>
          <w:lang w:eastAsia="zh-CN"/>
        </w:rPr>
        <w:t>使用及管理情况</w:t>
      </w:r>
      <w:bookmarkEnd w:id="12"/>
    </w:p>
    <w:p>
      <w:pPr>
        <w:pStyle w:val="30"/>
        <w:bidi w:val="0"/>
        <w:rPr>
          <w:rFonts w:hint="eastAsia"/>
          <w:lang w:val="en-US"/>
        </w:rPr>
      </w:pPr>
      <w:r>
        <w:rPr>
          <w:rFonts w:hint="eastAsia"/>
          <w:lang w:val="en-US"/>
        </w:rPr>
        <w:t>1</w:t>
      </w:r>
      <w:r>
        <w:rPr>
          <w:rFonts w:hint="eastAsia"/>
          <w:lang w:val="en-US" w:eastAsia="zh-CN"/>
        </w:rPr>
        <w:t>.</w:t>
      </w:r>
      <w:r>
        <w:rPr>
          <w:rFonts w:hint="eastAsia"/>
          <w:lang w:val="en-US"/>
        </w:rPr>
        <w:t>资金到位情况</w:t>
      </w:r>
    </w:p>
    <w:p>
      <w:pPr>
        <w:pStyle w:val="30"/>
        <w:bidi w:val="0"/>
        <w:rPr>
          <w:rFonts w:hint="eastAsia"/>
          <w:lang w:val="en-US" w:eastAsia="zh-CN"/>
        </w:rPr>
      </w:pPr>
      <w:r>
        <w:rPr>
          <w:rFonts w:hint="eastAsia"/>
          <w:lang w:val="en-US"/>
        </w:rPr>
        <w:t>根据</w:t>
      </w:r>
      <w:r>
        <w:rPr>
          <w:rFonts w:hint="eastAsia"/>
          <w:lang w:val="en-US" w:eastAsia="zh-CN"/>
        </w:rPr>
        <w:t>相关批复文件要求</w:t>
      </w:r>
      <w:r>
        <w:rPr>
          <w:rFonts w:hint="eastAsia"/>
          <w:lang w:val="en-US"/>
        </w:rPr>
        <w:t>，2022年路灯信号灯及平射灯等运行费用项目</w:t>
      </w:r>
      <w:r>
        <w:rPr>
          <w:rFonts w:hint="eastAsia"/>
          <w:lang w:val="en-US" w:eastAsia="zh-CN"/>
        </w:rPr>
        <w:t>经批准预算资金360万元，</w:t>
      </w:r>
      <w:r>
        <w:rPr>
          <w:rFonts w:hint="eastAsia"/>
          <w:lang w:val="en-US"/>
        </w:rPr>
        <w:t>截至202</w:t>
      </w:r>
      <w:r>
        <w:rPr>
          <w:rFonts w:hint="eastAsia"/>
          <w:lang w:val="en-US" w:eastAsia="zh-CN"/>
        </w:rPr>
        <w:t>2</w:t>
      </w:r>
      <w:r>
        <w:rPr>
          <w:rFonts w:hint="eastAsia"/>
          <w:lang w:val="en-US"/>
        </w:rPr>
        <w:t>年底，</w:t>
      </w:r>
      <w:r>
        <w:rPr>
          <w:rFonts w:hint="eastAsia"/>
          <w:lang w:val="en-US" w:eastAsia="zh-CN"/>
        </w:rPr>
        <w:t>实际到位资金299.29万元</w:t>
      </w:r>
      <w:r>
        <w:rPr>
          <w:rFonts w:hint="eastAsia"/>
          <w:lang w:val="en-US"/>
        </w:rPr>
        <w:t>。资金到位率</w:t>
      </w:r>
      <w:r>
        <w:rPr>
          <w:rFonts w:hint="eastAsia"/>
          <w:lang w:val="en-US" w:eastAsia="zh-CN"/>
        </w:rPr>
        <w:t>83.14%。</w:t>
      </w:r>
    </w:p>
    <w:p>
      <w:pPr>
        <w:pStyle w:val="30"/>
        <w:bidi w:val="0"/>
        <w:rPr>
          <w:rFonts w:hint="eastAsia"/>
          <w:lang w:val="en-US"/>
        </w:rPr>
      </w:pPr>
      <w:r>
        <w:rPr>
          <w:rFonts w:hint="eastAsia"/>
          <w:lang w:val="en-US"/>
        </w:rPr>
        <w:t>2</w:t>
      </w:r>
      <w:r>
        <w:rPr>
          <w:rFonts w:hint="eastAsia"/>
          <w:lang w:val="en-US" w:eastAsia="zh-CN"/>
        </w:rPr>
        <w:t>.</w:t>
      </w:r>
      <w:r>
        <w:rPr>
          <w:rFonts w:hint="eastAsia"/>
          <w:lang w:val="en-US"/>
        </w:rPr>
        <w:t>资金使用情况</w:t>
      </w:r>
    </w:p>
    <w:p>
      <w:pPr>
        <w:pStyle w:val="30"/>
        <w:bidi w:val="0"/>
        <w:rPr>
          <w:rFonts w:hint="eastAsia"/>
          <w:lang w:val="en-US" w:eastAsia="zh-CN"/>
        </w:rPr>
      </w:pPr>
      <w:r>
        <w:rPr>
          <w:rFonts w:hint="eastAsia"/>
          <w:lang w:val="en-US" w:eastAsia="zh-CN"/>
        </w:rPr>
        <w:t>截至2022年底，城管局支付</w:t>
      </w:r>
      <w:r>
        <w:rPr>
          <w:rFonts w:hint="eastAsia"/>
          <w:lang w:val="en-US"/>
        </w:rPr>
        <w:t>2022年路灯信号灯及平射灯等运行费用</w:t>
      </w:r>
      <w:r>
        <w:rPr>
          <w:rFonts w:hint="eastAsia"/>
          <w:lang w:val="en-US" w:eastAsia="zh-CN"/>
        </w:rPr>
        <w:t>299.29万元，预算执行率100%，项目资金支出明细如下：</w:t>
      </w:r>
    </w:p>
    <w:p>
      <w:pPr>
        <w:pStyle w:val="26"/>
        <w:bidi w:val="0"/>
        <w:rPr>
          <w:rFonts w:hint="eastAsia"/>
          <w:lang w:val="en-US" w:eastAsia="zh-CN"/>
        </w:rPr>
      </w:pPr>
      <w:r>
        <w:rPr>
          <w:rFonts w:hint="eastAsia"/>
          <w:lang w:val="en-US" w:eastAsia="zh-CN"/>
        </w:rPr>
        <w:t>2022年路灯信号灯及平射灯等运行费用支出明细表</w:t>
      </w:r>
    </w:p>
    <w:p>
      <w:pPr>
        <w:pStyle w:val="26"/>
        <w:bidi w:val="0"/>
        <w:rPr>
          <w:rFonts w:hint="eastAsia"/>
          <w:lang w:val="en-US" w:eastAsia="zh-CN"/>
        </w:rPr>
      </w:pPr>
      <w:r>
        <w:rPr>
          <w:rFonts w:hint="eastAsia"/>
          <w:lang w:val="en-US" w:eastAsia="zh-CN"/>
        </w:rPr>
        <w:t xml:space="preserve">                                                          单位：元</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42"/>
        <w:gridCol w:w="2296"/>
        <w:gridCol w:w="3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项目</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金额</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316,704.92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305,061.23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250,586.99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225,039.95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267,662.50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180,103.41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7月份路灯电费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198,714.71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212,668.77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9月份路灯电费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225,241.48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10月份路灯电费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255,082.62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11月份路灯电费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255,584.62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12月份路灯电费</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300,460.44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城区内路灯电费缴纳数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合计</w:t>
            </w:r>
          </w:p>
        </w:tc>
        <w:tc>
          <w:tcPr>
            <w:tcW w:w="1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 xml:space="preserve">2,992,911.64 </w:t>
            </w:r>
          </w:p>
        </w:tc>
        <w:tc>
          <w:tcPr>
            <w:tcW w:w="2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auto"/>
                <w:sz w:val="22"/>
                <w:szCs w:val="22"/>
                <w:u w:val="none"/>
              </w:rPr>
            </w:pPr>
          </w:p>
        </w:tc>
      </w:tr>
    </w:tbl>
    <w:p>
      <w:pPr>
        <w:pStyle w:val="8"/>
        <w:spacing w:line="360" w:lineRule="auto"/>
        <w:ind w:firstLine="602" w:firstLineChars="200"/>
        <w:jc w:val="right"/>
        <w:rPr>
          <w:rFonts w:hint="default" w:ascii="仿宋" w:hAnsi="仿宋" w:eastAsia="仿宋" w:cs="仿宋_GB2312"/>
          <w:b/>
          <w:bCs/>
          <w:color w:val="auto"/>
          <w:sz w:val="30"/>
          <w:szCs w:val="30"/>
          <w:lang w:val="en-US" w:eastAsia="zh-CN"/>
        </w:rPr>
      </w:pPr>
    </w:p>
    <w:p>
      <w:pPr>
        <w:pStyle w:val="30"/>
        <w:bidi w:val="0"/>
        <w:rPr>
          <w:rFonts w:hint="eastAsia"/>
          <w:lang w:val="en-US"/>
        </w:rPr>
      </w:pPr>
      <w:r>
        <w:rPr>
          <w:rFonts w:hint="eastAsia"/>
          <w:lang w:val="en-US"/>
        </w:rPr>
        <w:t>3</w:t>
      </w:r>
      <w:r>
        <w:rPr>
          <w:rFonts w:hint="eastAsia"/>
          <w:lang w:val="en-US" w:eastAsia="zh-CN"/>
        </w:rPr>
        <w:t>.</w:t>
      </w:r>
      <w:r>
        <w:rPr>
          <w:rFonts w:hint="eastAsia"/>
          <w:lang w:val="en-US"/>
        </w:rPr>
        <w:t>资金管理情况</w:t>
      </w:r>
    </w:p>
    <w:p>
      <w:pPr>
        <w:pStyle w:val="30"/>
        <w:bidi w:val="0"/>
        <w:rPr>
          <w:rFonts w:hint="eastAsia"/>
          <w:lang w:val="en-US"/>
        </w:rPr>
      </w:pPr>
      <w:r>
        <w:rPr>
          <w:rFonts w:hint="eastAsia"/>
          <w:lang w:val="en-US"/>
        </w:rPr>
        <w:t>为加强财务管理和监督，合理、有效、规范使用2022年路灯信号灯及平射灯等运行费用项目资金，强化绩效和责任意识，有效提高专项资金使用效率，</w:t>
      </w:r>
      <w:r>
        <w:rPr>
          <w:rFonts w:hint="eastAsia"/>
          <w:lang w:val="en-US" w:eastAsia="zh-CN"/>
        </w:rPr>
        <w:t>城管局</w:t>
      </w:r>
      <w:r>
        <w:rPr>
          <w:rFonts w:hint="eastAsia"/>
          <w:lang w:val="en-US"/>
        </w:rPr>
        <w:t>按照《</w:t>
      </w:r>
      <w:r>
        <w:rPr>
          <w:rFonts w:hint="eastAsia"/>
          <w:lang w:val="en-US" w:eastAsia="zh-CN"/>
        </w:rPr>
        <w:t>遵化市城市管理综合行政执法局财务管理办法</w:t>
      </w:r>
      <w:r>
        <w:rPr>
          <w:rFonts w:hint="eastAsia"/>
          <w:lang w:val="en-US"/>
        </w:rPr>
        <w:t>》及相关会计制度规定申请财政资金，资金的拨付有完整的审批程序和手续，未出现违规使用资金行为。</w:t>
      </w:r>
    </w:p>
    <w:p>
      <w:pPr>
        <w:pStyle w:val="28"/>
        <w:bidi w:val="0"/>
        <w:rPr>
          <w:rFonts w:hint="eastAsia" w:ascii="华文楷体" w:hAnsi="华文楷体" w:eastAsia="华文楷体" w:cs="华文楷体"/>
          <w:bCs/>
          <w:color w:val="auto"/>
          <w:szCs w:val="30"/>
          <w:lang w:eastAsia="zh-CN"/>
        </w:rPr>
      </w:pPr>
      <w:bookmarkStart w:id="13" w:name="_Toc29825"/>
      <w:r>
        <w:rPr>
          <w:rFonts w:hint="eastAsia"/>
          <w:lang w:eastAsia="zh-CN"/>
        </w:rPr>
        <w:t>（</w:t>
      </w:r>
      <w:r>
        <w:rPr>
          <w:rFonts w:hint="eastAsia"/>
          <w:lang w:val="en-US" w:eastAsia="zh-CN"/>
        </w:rPr>
        <w:t>二</w:t>
      </w:r>
      <w:r>
        <w:rPr>
          <w:rFonts w:hint="eastAsia"/>
          <w:lang w:eastAsia="zh-CN"/>
        </w:rPr>
        <w:t>）项目组织实施管理情况</w:t>
      </w:r>
      <w:bookmarkEnd w:id="13"/>
    </w:p>
    <w:p>
      <w:pPr>
        <w:pStyle w:val="30"/>
        <w:bidi w:val="0"/>
        <w:rPr>
          <w:rFonts w:hint="eastAsia"/>
          <w:lang w:val="en-US" w:eastAsia="zh-CN"/>
        </w:rPr>
      </w:pPr>
      <w:r>
        <w:rPr>
          <w:rFonts w:hint="eastAsia"/>
          <w:lang w:val="en-US" w:eastAsia="zh-CN"/>
        </w:rPr>
        <w:t>项目日常管理工作主要由遵化市城市管理综合行政执法局的下属单位遵化市城区路灯所组织实施，根据《遵化市城区路灯所路灯设施维修养护管理制度》及《遵化市城区路灯所路灯设施维护高空作业安全防护措施》条例精神，加强对遵化市区域内的路灯设施管理，更好地为经济社会发展服务。遵化市城区路灯所成立安全生产领导小组，负责城区内路灯设施维修维护工作。</w:t>
      </w:r>
    </w:p>
    <w:p>
      <w:pPr>
        <w:pStyle w:val="30"/>
        <w:bidi w:val="0"/>
        <w:rPr>
          <w:rFonts w:hint="eastAsia"/>
          <w:lang w:val="en-US" w:eastAsia="zh-CN"/>
        </w:rPr>
      </w:pPr>
      <w:r>
        <w:rPr>
          <w:rFonts w:hint="eastAsia"/>
          <w:lang w:val="en-US" w:eastAsia="zh-CN"/>
        </w:rPr>
        <w:t>具体工作如下:</w:t>
      </w:r>
    </w:p>
    <w:p>
      <w:pPr>
        <w:pStyle w:val="30"/>
        <w:bidi w:val="0"/>
        <w:rPr>
          <w:rFonts w:hint="default"/>
          <w:lang w:val="en-US" w:eastAsia="zh-CN"/>
        </w:rPr>
      </w:pPr>
      <w:r>
        <w:rPr>
          <w:rFonts w:hint="eastAsia"/>
          <w:lang w:val="en-US" w:eastAsia="zh-CN"/>
        </w:rPr>
        <w:t>1.路灯巡查检修工作按目的分为：定期性巡查维修及特殊性巡查检修。</w:t>
      </w:r>
    </w:p>
    <w:p>
      <w:pPr>
        <w:pStyle w:val="30"/>
        <w:bidi w:val="0"/>
        <w:rPr>
          <w:rFonts w:hint="eastAsia"/>
          <w:lang w:val="en-US" w:eastAsia="zh-CN"/>
        </w:rPr>
      </w:pPr>
      <w:r>
        <w:rPr>
          <w:rFonts w:hint="eastAsia"/>
          <w:lang w:val="en-US" w:eastAsia="zh-CN"/>
        </w:rPr>
        <w:t>（1）定期性巡查检修是根据维修路灯经验和路灯设施实际运行情况，结合设施量、光源类别、灯型等多种因素所决定，巡查检修周期规定如下：</w:t>
      </w:r>
    </w:p>
    <w:p>
      <w:pPr>
        <w:pStyle w:val="30"/>
        <w:bidi w:val="0"/>
        <w:rPr>
          <w:rFonts w:hint="eastAsia"/>
          <w:lang w:val="en-US" w:eastAsia="zh-CN"/>
        </w:rPr>
      </w:pPr>
      <w:r>
        <w:rPr>
          <w:rFonts w:hint="eastAsia"/>
          <w:lang w:val="en-US" w:eastAsia="zh-CN"/>
        </w:rPr>
        <w:t>主次干道路灯每月二次、小巷路灯每月一次；</w:t>
      </w:r>
    </w:p>
    <w:p>
      <w:pPr>
        <w:pStyle w:val="30"/>
        <w:bidi w:val="0"/>
        <w:rPr>
          <w:rFonts w:hint="eastAsia"/>
          <w:lang w:val="en-US" w:eastAsia="zh-CN"/>
        </w:rPr>
      </w:pPr>
      <w:r>
        <w:rPr>
          <w:rFonts w:hint="eastAsia"/>
          <w:lang w:val="en-US" w:eastAsia="zh-CN"/>
        </w:rPr>
        <w:t>架空线路、配电箱、供电变压器每季度一次。</w:t>
      </w:r>
    </w:p>
    <w:p>
      <w:pPr>
        <w:pStyle w:val="30"/>
        <w:bidi w:val="0"/>
        <w:rPr>
          <w:rFonts w:hint="eastAsia"/>
          <w:lang w:val="en-US" w:eastAsia="zh-CN"/>
        </w:rPr>
      </w:pPr>
      <w:r>
        <w:rPr>
          <w:rFonts w:hint="eastAsia"/>
          <w:lang w:val="en-US" w:eastAsia="zh-CN"/>
        </w:rPr>
        <w:t>照明设施全面保洁维修维护每半年一次。</w:t>
      </w:r>
    </w:p>
    <w:p>
      <w:pPr>
        <w:pStyle w:val="30"/>
        <w:bidi w:val="0"/>
        <w:rPr>
          <w:rFonts w:hint="eastAsia"/>
          <w:lang w:val="en-US" w:eastAsia="zh-CN"/>
        </w:rPr>
      </w:pPr>
      <w:r>
        <w:rPr>
          <w:rFonts w:hint="eastAsia"/>
          <w:lang w:val="en-US" w:eastAsia="zh-CN"/>
        </w:rPr>
        <w:t>（2）特殊性巡查检修是指属下列情况之一的巡修：</w:t>
      </w:r>
    </w:p>
    <w:p>
      <w:pPr>
        <w:pStyle w:val="30"/>
        <w:bidi w:val="0"/>
        <w:rPr>
          <w:rFonts w:hint="eastAsia"/>
          <w:lang w:val="en-US" w:eastAsia="zh-CN"/>
        </w:rPr>
      </w:pPr>
      <w:r>
        <w:rPr>
          <w:rFonts w:hint="eastAsia"/>
          <w:lang w:val="en-US" w:eastAsia="zh-CN"/>
        </w:rPr>
        <w:t>固定重大节日和重要的政治活动；</w:t>
      </w:r>
    </w:p>
    <w:p>
      <w:pPr>
        <w:pStyle w:val="30"/>
        <w:bidi w:val="0"/>
        <w:rPr>
          <w:rFonts w:hint="eastAsia"/>
          <w:lang w:val="en-US" w:eastAsia="zh-CN"/>
        </w:rPr>
      </w:pPr>
      <w:r>
        <w:rPr>
          <w:rFonts w:hint="eastAsia"/>
          <w:lang w:val="en-US" w:eastAsia="zh-CN"/>
        </w:rPr>
        <w:t>遇有异常自然条件（如洪涝、大风、暴雨、雷电等）；</w:t>
      </w:r>
    </w:p>
    <w:p>
      <w:pPr>
        <w:pStyle w:val="30"/>
        <w:bidi w:val="0"/>
        <w:rPr>
          <w:rFonts w:hint="eastAsia"/>
          <w:lang w:val="en-US" w:eastAsia="zh-CN"/>
        </w:rPr>
      </w:pPr>
      <w:r>
        <w:rPr>
          <w:rFonts w:hint="eastAsia"/>
          <w:lang w:val="en-US" w:eastAsia="zh-CN"/>
        </w:rPr>
        <w:t>遇有人为的破坏（如被盗、交通事故等）。</w:t>
      </w:r>
    </w:p>
    <w:p>
      <w:pPr>
        <w:pStyle w:val="30"/>
        <w:bidi w:val="0"/>
        <w:rPr>
          <w:rFonts w:hint="eastAsia"/>
          <w:lang w:val="en-US" w:eastAsia="zh-CN"/>
        </w:rPr>
      </w:pPr>
      <w:r>
        <w:rPr>
          <w:rFonts w:hint="eastAsia"/>
          <w:lang w:val="en-US" w:eastAsia="zh-CN"/>
        </w:rPr>
        <w:t>2. 巡查检修要求</w:t>
      </w:r>
    </w:p>
    <w:p>
      <w:pPr>
        <w:pStyle w:val="30"/>
        <w:bidi w:val="0"/>
        <w:rPr>
          <w:rFonts w:hint="eastAsia"/>
          <w:lang w:val="en-US" w:eastAsia="zh-CN"/>
        </w:rPr>
      </w:pPr>
      <w:r>
        <w:rPr>
          <w:rFonts w:hint="eastAsia"/>
          <w:lang w:val="en-US" w:eastAsia="zh-CN"/>
        </w:rPr>
        <w:t>（1）灯具四件套（灯泡、镇流器、触发器、电容）故障1个工作日修复。</w:t>
      </w:r>
    </w:p>
    <w:p>
      <w:pPr>
        <w:pStyle w:val="30"/>
        <w:bidi w:val="0"/>
        <w:rPr>
          <w:rFonts w:hint="eastAsia"/>
          <w:lang w:val="en-US" w:eastAsia="zh-CN"/>
        </w:rPr>
      </w:pPr>
      <w:r>
        <w:rPr>
          <w:rFonts w:hint="eastAsia"/>
          <w:lang w:val="en-US" w:eastAsia="zh-CN"/>
        </w:rPr>
        <w:t>（2）常规线路路障2个工作日内修复。</w:t>
      </w:r>
    </w:p>
    <w:p>
      <w:pPr>
        <w:pStyle w:val="30"/>
        <w:bidi w:val="0"/>
        <w:rPr>
          <w:rFonts w:hint="eastAsia"/>
          <w:lang w:val="en-US" w:eastAsia="zh-CN"/>
        </w:rPr>
      </w:pPr>
      <w:r>
        <w:rPr>
          <w:rFonts w:hint="eastAsia"/>
          <w:lang w:val="en-US" w:eastAsia="zh-CN"/>
        </w:rPr>
        <w:t>（3）遇有线路设施被盗或自然灾害损坏，根据实际情况尽快修复。</w:t>
      </w:r>
    </w:p>
    <w:p>
      <w:pPr>
        <w:pStyle w:val="30"/>
        <w:bidi w:val="0"/>
        <w:rPr>
          <w:rFonts w:hint="eastAsia"/>
          <w:lang w:val="en-US" w:eastAsia="zh-CN"/>
        </w:rPr>
      </w:pPr>
      <w:r>
        <w:rPr>
          <w:rFonts w:hint="eastAsia"/>
          <w:lang w:val="en-US" w:eastAsia="zh-CN"/>
        </w:rPr>
        <w:t>（4）重大节日、政治活动，立即组织修复。</w:t>
      </w:r>
    </w:p>
    <w:p>
      <w:pPr>
        <w:pStyle w:val="30"/>
        <w:bidi w:val="0"/>
        <w:rPr>
          <w:rFonts w:hint="eastAsia"/>
          <w:lang w:val="en-US" w:eastAsia="zh-CN"/>
        </w:rPr>
      </w:pPr>
      <w:r>
        <w:rPr>
          <w:rFonts w:hint="eastAsia"/>
          <w:lang w:val="en-US" w:eastAsia="zh-CN"/>
        </w:rPr>
        <w:t>（5）对危及人身、交通安全的路灯设施，一经发现，立即组织处理抢修。</w:t>
      </w:r>
    </w:p>
    <w:p>
      <w:pPr>
        <w:pStyle w:val="30"/>
        <w:bidi w:val="0"/>
        <w:rPr>
          <w:rFonts w:hint="eastAsia"/>
          <w:lang w:val="en-US" w:eastAsia="zh-CN"/>
        </w:rPr>
      </w:pPr>
      <w:r>
        <w:rPr>
          <w:rFonts w:hint="eastAsia"/>
          <w:lang w:val="en-US" w:eastAsia="zh-CN"/>
        </w:rPr>
        <w:t>3.路灯电费缴纳要求</w:t>
      </w:r>
    </w:p>
    <w:p>
      <w:pPr>
        <w:pStyle w:val="30"/>
        <w:bidi w:val="0"/>
        <w:rPr>
          <w:rFonts w:hint="default"/>
          <w:lang w:val="en-US" w:eastAsia="zh-CN"/>
        </w:rPr>
      </w:pPr>
      <w:r>
        <w:rPr>
          <w:rFonts w:hint="eastAsia"/>
          <w:lang w:val="en-US" w:eastAsia="zh-CN"/>
        </w:rPr>
        <w:t>每月月初遵化市电力公司将所有路灯变压器使用的电费进行汇总送到遵化市城区路灯所，遵化市城区路灯所审核之后送到城管局财务进行报票。</w:t>
      </w:r>
    </w:p>
    <w:p>
      <w:pPr>
        <w:pStyle w:val="29"/>
        <w:bidi w:val="0"/>
        <w:rPr>
          <w:rFonts w:hint="eastAsia"/>
        </w:rPr>
      </w:pPr>
      <w:bookmarkStart w:id="14" w:name="_Toc9980"/>
      <w:r>
        <w:rPr>
          <w:rFonts w:hint="eastAsia"/>
        </w:rPr>
        <w:t>三、绩效评价工作情况</w:t>
      </w:r>
      <w:bookmarkEnd w:id="10"/>
      <w:bookmarkEnd w:id="14"/>
    </w:p>
    <w:p>
      <w:pPr>
        <w:pStyle w:val="28"/>
        <w:bidi w:val="0"/>
        <w:rPr>
          <w:rFonts w:hint="eastAsia" w:ascii="华文楷体" w:hAnsi="华文楷体" w:eastAsia="华文楷体" w:cs="华文楷体"/>
          <w:bCs/>
          <w:color w:val="auto"/>
          <w:szCs w:val="30"/>
          <w:lang w:eastAsia="zh-CN"/>
        </w:rPr>
      </w:pPr>
      <w:bookmarkStart w:id="15" w:name="_Toc29302680"/>
      <w:bookmarkStart w:id="16" w:name="_Toc22570"/>
      <w:r>
        <w:rPr>
          <w:rFonts w:hint="eastAsia"/>
          <w:lang w:eastAsia="zh-CN"/>
        </w:rPr>
        <w:t>（一）绩效评价目的</w:t>
      </w:r>
      <w:bookmarkEnd w:id="15"/>
      <w:bookmarkEnd w:id="16"/>
    </w:p>
    <w:p>
      <w:pPr>
        <w:pStyle w:val="30"/>
        <w:bidi w:val="0"/>
        <w:rPr>
          <w:lang w:val="zh-CN"/>
        </w:rPr>
      </w:pPr>
      <w:bookmarkStart w:id="17" w:name="_Toc29302681"/>
      <w:r>
        <w:rPr>
          <w:rFonts w:hint="eastAsia"/>
          <w:lang w:val="zh-CN"/>
        </w:rPr>
        <w:t>1.通过对</w:t>
      </w:r>
      <w:r>
        <w:rPr>
          <w:rFonts w:hint="eastAsia"/>
          <w:lang w:val="en-US"/>
        </w:rPr>
        <w:t>遵化市城市管理综合行政执法局2022年路灯信号灯及平射灯等运行费用项目</w:t>
      </w:r>
      <w:r>
        <w:rPr>
          <w:rFonts w:hint="eastAsia"/>
          <w:lang w:val="zh-CN"/>
        </w:rPr>
        <w:t>的绩效评价，了解和掌握项目实施的具体情况，评价其项目资金安排的科学性、合理性、规范性和资金使用成效，及时总结项目管理经验，完善项目管理办法，提高项目管理水平和资金的使用效益。</w:t>
      </w:r>
    </w:p>
    <w:p>
      <w:pPr>
        <w:pStyle w:val="30"/>
        <w:bidi w:val="0"/>
        <w:rPr>
          <w:lang w:val="zh-CN"/>
        </w:rPr>
      </w:pPr>
      <w:r>
        <w:rPr>
          <w:rFonts w:hint="eastAsia"/>
          <w:lang w:val="zh-CN"/>
        </w:rPr>
        <w:t>2.促使项目单位根据绩效评价中发现的问题，认真加以整改，及时调整和完善单位的工作计划和绩效目标并加强项目管理，提高管理水平，同时为项目后续资金投入、分配和管理提供决策依据。</w:t>
      </w:r>
    </w:p>
    <w:p>
      <w:pPr>
        <w:pStyle w:val="28"/>
        <w:bidi w:val="0"/>
        <w:rPr>
          <w:rFonts w:hint="eastAsia"/>
          <w:lang w:eastAsia="zh-CN"/>
        </w:rPr>
      </w:pPr>
      <w:bookmarkStart w:id="18" w:name="_Toc9909"/>
      <w:r>
        <w:rPr>
          <w:rFonts w:hint="eastAsia"/>
          <w:lang w:eastAsia="zh-CN"/>
        </w:rPr>
        <w:t>（二）绩效评价依据</w:t>
      </w:r>
      <w:bookmarkEnd w:id="17"/>
      <w:bookmarkEnd w:id="18"/>
    </w:p>
    <w:p>
      <w:pPr>
        <w:pStyle w:val="30"/>
        <w:bidi w:val="0"/>
        <w:rPr>
          <w:lang w:val="zh-CN"/>
        </w:rPr>
      </w:pPr>
      <w:r>
        <w:rPr>
          <w:rFonts w:hint="eastAsia"/>
          <w:lang w:val="zh-CN"/>
        </w:rPr>
        <w:t>1.</w:t>
      </w:r>
      <w:r>
        <w:rPr>
          <w:lang w:val="zh-CN"/>
        </w:rPr>
        <w:t>《</w:t>
      </w:r>
      <w:r>
        <w:rPr>
          <w:rFonts w:hint="eastAsia"/>
          <w:lang w:val="zh-CN"/>
        </w:rPr>
        <w:t>中华人民共和国预算法</w:t>
      </w:r>
      <w:r>
        <w:rPr>
          <w:lang w:val="zh-CN"/>
        </w:rPr>
        <w:t>》</w:t>
      </w:r>
      <w:r>
        <w:rPr>
          <w:rFonts w:hint="eastAsia"/>
          <w:lang w:val="zh-CN"/>
        </w:rPr>
        <w:t>；</w:t>
      </w:r>
    </w:p>
    <w:p>
      <w:pPr>
        <w:pStyle w:val="30"/>
        <w:bidi w:val="0"/>
        <w:rPr>
          <w:lang w:val="zh-CN"/>
        </w:rPr>
      </w:pPr>
      <w:r>
        <w:rPr>
          <w:rFonts w:hint="eastAsia"/>
          <w:lang w:val="zh-CN"/>
        </w:rPr>
        <w:t>2.</w:t>
      </w:r>
      <w:r>
        <w:rPr>
          <w:lang w:val="zh-CN"/>
        </w:rPr>
        <w:t>中共中央国务院《关于全面实施预算绩效管理的意见》(中发〔2018〕34号);</w:t>
      </w:r>
    </w:p>
    <w:p>
      <w:pPr>
        <w:pStyle w:val="30"/>
        <w:bidi w:val="0"/>
        <w:rPr>
          <w:lang w:val="zh-CN"/>
        </w:rPr>
      </w:pPr>
      <w:r>
        <w:rPr>
          <w:rFonts w:hint="eastAsia"/>
          <w:lang w:val="zh-CN"/>
        </w:rPr>
        <w:t>3.</w:t>
      </w:r>
      <w:r>
        <w:rPr>
          <w:lang w:val="zh-CN"/>
        </w:rPr>
        <w:t>财政部《关于贯彻落实&lt;中共中央国务院关于全面实施预算绩效管理的意见&gt;的通知》(财预〔2018〕167 号);</w:t>
      </w:r>
    </w:p>
    <w:p>
      <w:pPr>
        <w:pStyle w:val="30"/>
        <w:bidi w:val="0"/>
        <w:rPr>
          <w:rFonts w:hint="eastAsia"/>
          <w:lang w:val="zh-CN"/>
        </w:rPr>
      </w:pPr>
      <w:r>
        <w:rPr>
          <w:rFonts w:hint="eastAsia"/>
          <w:lang w:val="zh-CN"/>
        </w:rPr>
        <w:t>4.财政部</w:t>
      </w:r>
      <w:r>
        <w:rPr>
          <w:lang w:val="zh-CN"/>
        </w:rPr>
        <w:t>《</w:t>
      </w:r>
      <w:r>
        <w:rPr>
          <w:rFonts w:hint="eastAsia"/>
          <w:lang w:val="zh-CN"/>
        </w:rPr>
        <w:t>关于印发〈项目支出绩效管理办法</w:t>
      </w:r>
      <w:r>
        <w:rPr>
          <w:lang w:val="zh-CN"/>
        </w:rPr>
        <w:t>&gt;</w:t>
      </w:r>
      <w:r>
        <w:rPr>
          <w:rFonts w:hint="eastAsia"/>
          <w:lang w:val="zh-CN"/>
        </w:rPr>
        <w:t>的通知</w:t>
      </w:r>
      <w:r>
        <w:rPr>
          <w:lang w:val="zh-CN"/>
        </w:rPr>
        <w:t>》</w:t>
      </w:r>
      <w:r>
        <w:rPr>
          <w:rFonts w:hint="eastAsia"/>
          <w:lang w:val="zh-CN"/>
        </w:rPr>
        <w:t>（财预〔2020〕10号）；</w:t>
      </w:r>
    </w:p>
    <w:p>
      <w:pPr>
        <w:pStyle w:val="30"/>
        <w:bidi w:val="0"/>
        <w:rPr>
          <w:rFonts w:hint="eastAsia"/>
          <w:lang w:val="zh-CN"/>
        </w:rPr>
      </w:pPr>
      <w:r>
        <w:rPr>
          <w:rFonts w:hint="eastAsia"/>
          <w:lang w:val="zh-CN"/>
        </w:rPr>
        <w:t>5.唐山市财政局关于印发《唐山市市级项目支出绩效重点评价管理办法》的通知（唐财绩〔2020〕5号）；</w:t>
      </w:r>
    </w:p>
    <w:p>
      <w:pPr>
        <w:pStyle w:val="30"/>
        <w:bidi w:val="0"/>
        <w:rPr>
          <w:lang w:val="zh-CN"/>
        </w:rPr>
      </w:pPr>
      <w:r>
        <w:rPr>
          <w:rFonts w:hint="eastAsia"/>
          <w:lang w:val="en-US"/>
        </w:rPr>
        <w:t>6.</w:t>
      </w:r>
      <w:r>
        <w:rPr>
          <w:lang w:val="zh-CN"/>
        </w:rPr>
        <w:t>唐山市委、市政府印发《唐山市全面实施预算绩效管理的实施意见》(唐发〔2019〕22号);</w:t>
      </w:r>
    </w:p>
    <w:p>
      <w:pPr>
        <w:pStyle w:val="30"/>
        <w:bidi w:val="0"/>
        <w:rPr>
          <w:lang w:val="zh-CN"/>
        </w:rPr>
      </w:pPr>
      <w:r>
        <w:rPr>
          <w:rFonts w:hint="eastAsia"/>
          <w:lang w:val="en-US"/>
        </w:rPr>
        <w:t>7.</w:t>
      </w:r>
      <w:r>
        <w:rPr>
          <w:rFonts w:hint="eastAsia"/>
          <w:lang w:val="zh-CN"/>
        </w:rPr>
        <w:t>唐山市财政局《唐山市分行业分领域绩效指标和标准体系》；</w:t>
      </w:r>
    </w:p>
    <w:p>
      <w:pPr>
        <w:pStyle w:val="30"/>
        <w:bidi w:val="0"/>
        <w:rPr>
          <w:lang w:val="zh-CN"/>
        </w:rPr>
      </w:pPr>
      <w:r>
        <w:rPr>
          <w:rFonts w:hint="eastAsia"/>
          <w:lang w:val="en-US"/>
        </w:rPr>
        <w:t>8.</w:t>
      </w:r>
      <w:r>
        <w:rPr>
          <w:rFonts w:hint="eastAsia"/>
          <w:lang w:val="zh-CN"/>
        </w:rPr>
        <w:t>中国注册会计师协会《会计师事务所财政支出绩效评价业务指引》（会协〔2016〕10号）；</w:t>
      </w:r>
    </w:p>
    <w:p>
      <w:pPr>
        <w:pStyle w:val="30"/>
        <w:bidi w:val="0"/>
      </w:pPr>
      <w:r>
        <w:rPr>
          <w:rFonts w:hint="eastAsia"/>
          <w:lang w:val="en-US"/>
        </w:rPr>
        <w:t>9.</w:t>
      </w:r>
      <w:r>
        <w:rPr>
          <w:rFonts w:hint="eastAsia"/>
          <w:lang w:val="zh-CN"/>
        </w:rPr>
        <w:t>其他相关依据。</w:t>
      </w:r>
      <w:bookmarkStart w:id="19" w:name="_bookmark13"/>
      <w:bookmarkEnd w:id="19"/>
      <w:bookmarkStart w:id="20" w:name="_bookmark12"/>
      <w:bookmarkEnd w:id="20"/>
      <w:bookmarkStart w:id="21" w:name="_bookmark11"/>
      <w:bookmarkEnd w:id="21"/>
    </w:p>
    <w:p>
      <w:pPr>
        <w:pStyle w:val="28"/>
        <w:bidi w:val="0"/>
        <w:rPr>
          <w:rFonts w:hint="eastAsia"/>
          <w:lang w:eastAsia="zh-CN"/>
        </w:rPr>
      </w:pPr>
      <w:bookmarkStart w:id="22" w:name="_Toc29302682"/>
      <w:bookmarkStart w:id="23" w:name="_Toc8451"/>
      <w:r>
        <w:rPr>
          <w:rFonts w:hint="eastAsia"/>
          <w:lang w:eastAsia="zh-CN"/>
        </w:rPr>
        <w:t>（三）评价对象、范围</w:t>
      </w:r>
      <w:bookmarkEnd w:id="22"/>
      <w:r>
        <w:rPr>
          <w:rFonts w:hint="eastAsia"/>
          <w:lang w:eastAsia="zh-CN"/>
        </w:rPr>
        <w:t>及内容</w:t>
      </w:r>
      <w:bookmarkEnd w:id="23"/>
    </w:p>
    <w:p>
      <w:pPr>
        <w:pStyle w:val="30"/>
        <w:bidi w:val="0"/>
        <w:rPr>
          <w:lang w:val="zh-CN"/>
        </w:rPr>
      </w:pPr>
      <w:r>
        <w:rPr>
          <w:rFonts w:hint="eastAsia"/>
          <w:lang w:val="zh-CN"/>
        </w:rPr>
        <w:t>1.</w:t>
      </w:r>
      <w:r>
        <w:rPr>
          <w:rFonts w:hint="eastAsia"/>
        </w:rPr>
        <w:t>绩效评价的对象</w:t>
      </w:r>
    </w:p>
    <w:p>
      <w:pPr>
        <w:pStyle w:val="30"/>
        <w:bidi w:val="0"/>
        <w:rPr>
          <w:rFonts w:hint="eastAsia"/>
          <w:lang w:val="en-US"/>
        </w:rPr>
      </w:pPr>
      <w:r>
        <w:rPr>
          <w:rFonts w:hint="eastAsia"/>
          <w:lang w:val="en-US"/>
        </w:rPr>
        <w:t>遵化市城市管理综合行政执法局2022年路灯信号灯及平射灯等运行费用。</w:t>
      </w:r>
    </w:p>
    <w:p>
      <w:pPr>
        <w:pStyle w:val="30"/>
        <w:bidi w:val="0"/>
        <w:rPr>
          <w:lang w:val="zh-CN"/>
        </w:rPr>
      </w:pPr>
      <w:r>
        <w:rPr>
          <w:rFonts w:hint="eastAsia"/>
          <w:lang w:val="zh-CN"/>
        </w:rPr>
        <w:t>2.绩效评价的范围</w:t>
      </w:r>
    </w:p>
    <w:p>
      <w:pPr>
        <w:pStyle w:val="30"/>
        <w:bidi w:val="0"/>
        <w:rPr>
          <w:lang w:val="zh-CN"/>
        </w:rPr>
      </w:pPr>
      <w:r>
        <w:rPr>
          <w:rFonts w:hint="eastAsia"/>
          <w:lang w:val="en-US"/>
        </w:rPr>
        <w:t>遵化市城市管理综合行政执法局2022年路灯信号灯及平射灯等运行费用</w:t>
      </w:r>
      <w:r>
        <w:rPr>
          <w:rFonts w:hint="eastAsia"/>
          <w:lang w:val="zh-CN"/>
        </w:rPr>
        <w:t>项目完成情况、服务经费投入的运行情况、项目实施后产生的绩效情况。</w:t>
      </w:r>
    </w:p>
    <w:p>
      <w:pPr>
        <w:pStyle w:val="30"/>
        <w:bidi w:val="0"/>
        <w:rPr>
          <w:lang w:val="zh-CN"/>
        </w:rPr>
      </w:pPr>
      <w:r>
        <w:rPr>
          <w:rFonts w:hint="eastAsia"/>
          <w:lang w:val="zh-CN"/>
        </w:rPr>
        <w:t>3.</w:t>
      </w:r>
      <w:r>
        <w:rPr>
          <w:rFonts w:hint="eastAsia"/>
        </w:rPr>
        <w:t>绩效评价的内容</w:t>
      </w:r>
    </w:p>
    <w:p>
      <w:pPr>
        <w:pStyle w:val="30"/>
        <w:bidi w:val="0"/>
      </w:pPr>
      <w:bookmarkStart w:id="24" w:name="_Hlk79574200"/>
      <w:bookmarkStart w:id="25" w:name="_Toc29302683"/>
      <w:r>
        <w:rPr>
          <w:rFonts w:hint="eastAsia"/>
        </w:rPr>
        <w:t>（</w:t>
      </w:r>
      <w:r>
        <w:t>1</w:t>
      </w:r>
      <w:r>
        <w:rPr>
          <w:rFonts w:hint="eastAsia"/>
        </w:rPr>
        <w:t>）绩效目标的设定情况。重点评价绩效目标设立的充分性、明确性、合理性以及细化程度。</w:t>
      </w:r>
    </w:p>
    <w:p>
      <w:pPr>
        <w:pStyle w:val="30"/>
        <w:bidi w:val="0"/>
      </w:pPr>
      <w:r>
        <w:rPr>
          <w:rFonts w:hint="eastAsia"/>
        </w:rPr>
        <w:t>（</w:t>
      </w:r>
      <w:r>
        <w:t>2</w:t>
      </w:r>
      <w:r>
        <w:rPr>
          <w:rFonts w:hint="eastAsia"/>
        </w:rPr>
        <w:t>）资金投入和使用情况。重点评价资金分配过程、投入方式、资金到位、预算执行和结果。</w:t>
      </w:r>
    </w:p>
    <w:p>
      <w:pPr>
        <w:pStyle w:val="30"/>
        <w:bidi w:val="0"/>
      </w:pPr>
      <w:r>
        <w:rPr>
          <w:rFonts w:hint="eastAsia"/>
        </w:rPr>
        <w:t>（</w:t>
      </w:r>
      <w:r>
        <w:t>3</w:t>
      </w:r>
      <w:r>
        <w:rPr>
          <w:rFonts w:hint="eastAsia"/>
        </w:rPr>
        <w:t>）为实现绩效目标制定的制度、采取的措施等，包括项目管理制度、财务管理制度和绩效跟踪管理措施等。</w:t>
      </w:r>
    </w:p>
    <w:p>
      <w:pPr>
        <w:pStyle w:val="30"/>
        <w:bidi w:val="0"/>
        <w:rPr>
          <w:lang w:val="zh-CN"/>
        </w:rPr>
      </w:pPr>
      <w:r>
        <w:rPr>
          <w:rFonts w:hint="eastAsia"/>
        </w:rPr>
        <w:t>（</w:t>
      </w:r>
      <w:r>
        <w:t>4</w:t>
      </w:r>
      <w:r>
        <w:rPr>
          <w:rFonts w:hint="eastAsia"/>
        </w:rPr>
        <w:t>）绩效目标的实现程度和效果。</w:t>
      </w:r>
      <w:r>
        <w:rPr>
          <w:rFonts w:hint="eastAsia"/>
          <w:lang w:val="zh-CN"/>
        </w:rPr>
        <w:t>绩效目标的实现程度包括产出数量、产出质量、产出时效和产出成本。效益包括社会效益、</w:t>
      </w:r>
      <w:r>
        <w:rPr>
          <w:rFonts w:hint="eastAsia"/>
          <w:lang w:val="en-US"/>
        </w:rPr>
        <w:t>生态效益、</w:t>
      </w:r>
      <w:r>
        <w:rPr>
          <w:rFonts w:hint="eastAsia"/>
        </w:rPr>
        <w:t>可持续影响</w:t>
      </w:r>
      <w:r>
        <w:rPr>
          <w:rFonts w:hint="eastAsia"/>
          <w:lang w:val="zh-CN"/>
        </w:rPr>
        <w:t>及满意度。</w:t>
      </w:r>
    </w:p>
    <w:bookmarkEnd w:id="24"/>
    <w:p>
      <w:pPr>
        <w:pStyle w:val="30"/>
        <w:bidi w:val="0"/>
        <w:rPr>
          <w:lang w:val="zh-CN"/>
        </w:rPr>
      </w:pPr>
      <w:r>
        <w:rPr>
          <w:rFonts w:hint="eastAsia"/>
          <w:lang w:val="zh-CN"/>
        </w:rPr>
        <w:t>（5）其他相关内容。</w:t>
      </w:r>
    </w:p>
    <w:p>
      <w:pPr>
        <w:pStyle w:val="28"/>
        <w:bidi w:val="0"/>
        <w:rPr>
          <w:rFonts w:hint="eastAsia" w:ascii="华文楷体" w:hAnsi="华文楷体" w:eastAsia="华文楷体" w:cs="华文楷体"/>
          <w:bCs/>
          <w:color w:val="auto"/>
          <w:szCs w:val="30"/>
          <w:lang w:eastAsia="zh-CN"/>
        </w:rPr>
      </w:pPr>
      <w:bookmarkStart w:id="26" w:name="_Toc7095"/>
      <w:r>
        <w:rPr>
          <w:rFonts w:hint="eastAsia"/>
          <w:lang w:eastAsia="zh-CN"/>
        </w:rPr>
        <w:t>（四）绩效评价指标体系</w:t>
      </w:r>
      <w:bookmarkEnd w:id="25"/>
      <w:bookmarkEnd w:id="26"/>
    </w:p>
    <w:p>
      <w:pPr>
        <w:pStyle w:val="30"/>
        <w:bidi w:val="0"/>
        <w:rPr>
          <w:lang w:val="zh-CN"/>
        </w:rPr>
      </w:pPr>
      <w:r>
        <w:rPr>
          <w:rFonts w:hint="eastAsia"/>
          <w:lang w:val="zh-CN"/>
        </w:rPr>
        <w:t>依据财政部关于印发《项目支出绩效管理办法》的通知（财预〔2020〕10号）等政策法规，针对项目情况，我们建立了规范的评价指标体系并确定评分标准，评价指标体系共设定“</w:t>
      </w:r>
      <w:r>
        <w:rPr>
          <w:rFonts w:hint="eastAsia"/>
          <w:lang w:val="en-US"/>
        </w:rPr>
        <w:t>决策</w:t>
      </w:r>
      <w:r>
        <w:rPr>
          <w:rFonts w:hint="eastAsia"/>
          <w:lang w:val="zh-CN"/>
        </w:rPr>
        <w:t>指标”“过程指标”“产出指标”“效益指标”4个一级评价指标、10个二级评价指标、</w:t>
      </w:r>
      <w:r>
        <w:rPr>
          <w:rFonts w:hint="eastAsia"/>
          <w:lang w:val="en-US"/>
        </w:rPr>
        <w:t>19</w:t>
      </w:r>
      <w:r>
        <w:rPr>
          <w:rFonts w:hint="eastAsia"/>
          <w:lang w:val="zh-CN"/>
        </w:rPr>
        <w:t>个三级指标。绩效评价结果实施百分制和四级分类。四个级别分别是：优（90分（含）—100分）、良（80分（含）—90分）、中（60分（含）—80分）、差（60分以下）。指标设置和评分标准力求可行性、客观性、科学性与简明性。</w:t>
      </w:r>
    </w:p>
    <w:p>
      <w:pPr>
        <w:pStyle w:val="30"/>
        <w:bidi w:val="0"/>
        <w:rPr>
          <w:lang w:val="ru-RU"/>
        </w:rPr>
      </w:pPr>
      <w:r>
        <w:rPr>
          <w:rFonts w:hint="eastAsia"/>
          <w:lang w:val="ru-RU"/>
        </w:rPr>
        <w:t>1</w:t>
      </w:r>
      <w:r>
        <w:rPr>
          <w:rFonts w:hint="eastAsia"/>
          <w:lang w:val="ru-RU" w:eastAsia="zh-CN"/>
        </w:rPr>
        <w:t>.</w:t>
      </w:r>
      <w:r>
        <w:rPr>
          <w:rFonts w:hint="eastAsia"/>
          <w:lang w:val="ru-RU"/>
        </w:rPr>
        <w:t>决策指标：包含项目立项、绩效目标和资金投入，主要考核项目立项依据充分性、程序规范性，绩效目标合理性、指标明确性，同时考核项目资金落实情况。</w:t>
      </w:r>
    </w:p>
    <w:p>
      <w:pPr>
        <w:pStyle w:val="30"/>
        <w:bidi w:val="0"/>
      </w:pPr>
      <w:r>
        <w:rPr>
          <w:rFonts w:hint="eastAsia"/>
        </w:rPr>
        <w:t>2</w:t>
      </w:r>
      <w:r>
        <w:rPr>
          <w:rFonts w:hint="eastAsia"/>
          <w:lang w:eastAsia="zh-CN"/>
        </w:rPr>
        <w:t>.</w:t>
      </w:r>
      <w:r>
        <w:rPr>
          <w:rFonts w:hint="eastAsia"/>
        </w:rPr>
        <w:t>过程指标：包含资金管理和组织实施，主要考核项目资金到位率、预算执行率、资金使用合规性以及制度建设的健全性、执行的有效性以及程序实施的规范性等。</w:t>
      </w:r>
    </w:p>
    <w:p>
      <w:pPr>
        <w:pStyle w:val="30"/>
        <w:bidi w:val="0"/>
      </w:pPr>
      <w:r>
        <w:rPr>
          <w:rFonts w:hint="eastAsia"/>
        </w:rPr>
        <w:t>3</w:t>
      </w:r>
      <w:r>
        <w:rPr>
          <w:rFonts w:hint="eastAsia"/>
          <w:lang w:eastAsia="zh-CN"/>
        </w:rPr>
        <w:t>.</w:t>
      </w:r>
      <w:r>
        <w:rPr>
          <w:rFonts w:hint="eastAsia"/>
        </w:rPr>
        <w:t>产出指标：包含产出数量、产出质量、产出时效和产出成本，对各项具体指标完成情况进行定性及定量分析评价。</w:t>
      </w:r>
    </w:p>
    <w:p>
      <w:pPr>
        <w:pStyle w:val="30"/>
        <w:bidi w:val="0"/>
        <w:rPr>
          <w:lang w:val="zh-CN"/>
        </w:rPr>
      </w:pPr>
      <w:r>
        <w:rPr>
          <w:rFonts w:hint="eastAsia"/>
        </w:rPr>
        <w:t>4</w:t>
      </w:r>
      <w:r>
        <w:rPr>
          <w:rFonts w:hint="eastAsia"/>
          <w:lang w:eastAsia="zh-CN"/>
        </w:rPr>
        <w:t>.</w:t>
      </w:r>
      <w:r>
        <w:rPr>
          <w:rFonts w:hint="eastAsia"/>
        </w:rPr>
        <w:t>效益指标：</w:t>
      </w:r>
      <w:r>
        <w:rPr>
          <w:rFonts w:hint="eastAsia"/>
          <w:lang w:val="zh-CN"/>
        </w:rPr>
        <w:t>包含社会效益、生态效益、</w:t>
      </w:r>
      <w:r>
        <w:rPr>
          <w:rFonts w:hint="eastAsia"/>
        </w:rPr>
        <w:t>可持续影响及</w:t>
      </w:r>
      <w:r>
        <w:rPr>
          <w:rFonts w:hint="eastAsia"/>
          <w:lang w:val="zh-CN"/>
        </w:rPr>
        <w:t>满意度，主要反映和考核项目实施所产生的效益及社会公众或服务对象对项目实施效果的满意程度。</w:t>
      </w:r>
    </w:p>
    <w:p>
      <w:pPr>
        <w:pStyle w:val="30"/>
        <w:bidi w:val="0"/>
        <w:rPr>
          <w:lang w:val="zh-CN"/>
        </w:rPr>
      </w:pPr>
      <w:r>
        <w:rPr>
          <w:rFonts w:hint="eastAsia"/>
          <w:lang w:val="zh-CN"/>
        </w:rPr>
        <w:t>指标体系和评分标准参见附表2《遵化市城市管理综合行政执法局2022年路灯信号灯及平射灯等运行费用项目绩效评价指标表》。</w:t>
      </w:r>
    </w:p>
    <w:p>
      <w:pPr>
        <w:pStyle w:val="28"/>
        <w:bidi w:val="0"/>
        <w:rPr>
          <w:rFonts w:hint="eastAsia" w:ascii="华文楷体" w:hAnsi="华文楷体" w:eastAsia="华文楷体" w:cs="华文楷体"/>
          <w:bCs/>
          <w:color w:val="auto"/>
          <w:szCs w:val="30"/>
          <w:lang w:eastAsia="zh-CN"/>
        </w:rPr>
      </w:pPr>
      <w:bookmarkStart w:id="27" w:name="_Toc23661"/>
      <w:bookmarkStart w:id="28" w:name="_Toc29302684"/>
      <w:bookmarkStart w:id="29" w:name="_Toc29302685"/>
      <w:r>
        <w:rPr>
          <w:rFonts w:hint="eastAsia"/>
          <w:lang w:eastAsia="zh-CN"/>
        </w:rPr>
        <w:t>（五）绩效评价原则、评价方法</w:t>
      </w:r>
      <w:bookmarkEnd w:id="27"/>
      <w:bookmarkEnd w:id="28"/>
    </w:p>
    <w:p>
      <w:pPr>
        <w:pStyle w:val="30"/>
        <w:bidi w:val="0"/>
        <w:rPr>
          <w:lang w:val="zh-CN"/>
        </w:rPr>
      </w:pPr>
      <w:r>
        <w:rPr>
          <w:rFonts w:hint="eastAsia"/>
          <w:lang w:val="zh-CN"/>
        </w:rPr>
        <w:t>1.绩效评价原则</w:t>
      </w:r>
    </w:p>
    <w:p>
      <w:pPr>
        <w:pStyle w:val="30"/>
        <w:bidi w:val="0"/>
      </w:pPr>
      <w:r>
        <w:rPr>
          <w:rFonts w:hint="eastAsia"/>
        </w:rPr>
        <w:t>科学规范：绩效评价注重财政资金支出的经济性、效率性和有效性，严格执行规定的程序，采用定量与定性分析相结合的方法。</w:t>
      </w:r>
    </w:p>
    <w:p>
      <w:pPr>
        <w:pStyle w:val="30"/>
        <w:bidi w:val="0"/>
      </w:pPr>
      <w:r>
        <w:rPr>
          <w:rFonts w:hint="eastAsia"/>
        </w:rPr>
        <w:t>公正公开：绩效评价客观、公正，标准统一、资料可靠，依法公开并接受监督。</w:t>
      </w:r>
    </w:p>
    <w:p>
      <w:pPr>
        <w:pStyle w:val="30"/>
        <w:bidi w:val="0"/>
      </w:pPr>
      <w:r>
        <w:rPr>
          <w:rFonts w:hint="eastAsia"/>
        </w:rPr>
        <w:t>绩效相关：绩效评价针对具体支出及其产出绩效进行</w:t>
      </w:r>
      <w:r>
        <w:rPr>
          <w:rFonts w:hint="eastAsia"/>
          <w:lang w:eastAsia="zh-CN"/>
        </w:rPr>
        <w:t>，</w:t>
      </w:r>
      <w:r>
        <w:rPr>
          <w:rFonts w:hint="eastAsia"/>
        </w:rPr>
        <w:t>评价结果清晰反映支出和产出绩效之间的紧密对应关系。</w:t>
      </w:r>
    </w:p>
    <w:p>
      <w:pPr>
        <w:pStyle w:val="30"/>
        <w:bidi w:val="0"/>
        <w:rPr>
          <w:lang w:val="zh-CN"/>
        </w:rPr>
      </w:pPr>
      <w:r>
        <w:rPr>
          <w:rFonts w:hint="eastAsia"/>
          <w:lang w:val="zh-CN"/>
        </w:rPr>
        <w:t>2.绩效评价方法</w:t>
      </w:r>
    </w:p>
    <w:p>
      <w:pPr>
        <w:pStyle w:val="30"/>
        <w:bidi w:val="0"/>
      </w:pPr>
      <w:r>
        <w:t>成本效益分析法：在绩效评价指标分析过程中，将项目实施投入的资金、人员及技术力量等与项目产出、效益进行关联性分析，以判断项目投入与产出是否成比例。</w:t>
      </w:r>
    </w:p>
    <w:p>
      <w:pPr>
        <w:pStyle w:val="30"/>
        <w:bidi w:val="0"/>
      </w:pPr>
      <w:bookmarkStart w:id="30" w:name="_bookmark14"/>
      <w:bookmarkEnd w:id="30"/>
      <w:r>
        <w:t>比较分析法</w:t>
      </w:r>
      <w:r>
        <w:rPr>
          <w:rFonts w:hint="eastAsia"/>
        </w:rPr>
        <w:t>：</w:t>
      </w:r>
      <w:r>
        <w:t>通过对项目的实际产出和取得效益与计划标准及设定目标进行对比，判断项目的绩效产出和效益的实现程度。</w:t>
      </w:r>
    </w:p>
    <w:p>
      <w:pPr>
        <w:pStyle w:val="30"/>
        <w:bidi w:val="0"/>
      </w:pPr>
      <w:r>
        <w:t>因素分析法</w:t>
      </w:r>
      <w:r>
        <w:rPr>
          <w:rFonts w:hint="eastAsia"/>
        </w:rPr>
        <w:t>：</w:t>
      </w:r>
      <w:r>
        <w:t>在对共性指标的评价时，主要通过对设置考察点进行因素分析，来确定对应指标的实现程度和存在问题。</w:t>
      </w:r>
    </w:p>
    <w:p>
      <w:pPr>
        <w:pStyle w:val="30"/>
        <w:bidi w:val="0"/>
      </w:pPr>
      <w:r>
        <w:t>案卷分析法</w:t>
      </w:r>
      <w:r>
        <w:rPr>
          <w:rFonts w:hint="eastAsia"/>
        </w:rPr>
        <w:t>：</w:t>
      </w:r>
      <w:r>
        <w:t>通过对收集的项目资料进行梳理研究</w:t>
      </w:r>
      <w:r>
        <w:rPr>
          <w:rFonts w:hint="eastAsia"/>
        </w:rPr>
        <w:t>，</w:t>
      </w:r>
      <w:r>
        <w:t>统计汇总出关键数据和信息，用于指标评价和分析，为绩效评价结果的形成提供依据和支撑。</w:t>
      </w:r>
    </w:p>
    <w:p>
      <w:pPr>
        <w:pStyle w:val="30"/>
        <w:bidi w:val="0"/>
      </w:pPr>
      <w:r>
        <w:t>问卷调查法：绩效评价工作组在现场调研时，通过发放、填写项目受益群众满意度调查问卷，并回收问卷进行统计分析</w:t>
      </w:r>
      <w:r>
        <w:rPr>
          <w:rFonts w:hint="eastAsia"/>
        </w:rPr>
        <w:t>，</w:t>
      </w:r>
      <w:r>
        <w:t>了解受益群众对项目实施情况的知晓度和认知度，为满意度指标的评价提供数据支持。</w:t>
      </w:r>
    </w:p>
    <w:p>
      <w:pPr>
        <w:pStyle w:val="28"/>
        <w:bidi w:val="0"/>
        <w:rPr>
          <w:rFonts w:hint="eastAsia"/>
          <w:lang w:eastAsia="zh-CN"/>
        </w:rPr>
      </w:pPr>
      <w:bookmarkStart w:id="31" w:name="_Toc32456"/>
      <w:r>
        <w:rPr>
          <w:rFonts w:hint="eastAsia"/>
          <w:lang w:eastAsia="zh-CN"/>
        </w:rPr>
        <w:t>（六）绩效评价工作过程</w:t>
      </w:r>
      <w:bookmarkEnd w:id="29"/>
      <w:bookmarkEnd w:id="31"/>
    </w:p>
    <w:p>
      <w:pPr>
        <w:pStyle w:val="30"/>
        <w:bidi w:val="0"/>
        <w:rPr>
          <w:lang w:val="zh-CN"/>
        </w:rPr>
      </w:pPr>
      <w:bookmarkStart w:id="32" w:name="_Toc56500100"/>
      <w:bookmarkStart w:id="33" w:name="_Toc35502614"/>
      <w:bookmarkStart w:id="34" w:name="_Toc29302686"/>
      <w:r>
        <w:rPr>
          <w:rFonts w:hint="eastAsia"/>
          <w:lang w:val="zh-CN"/>
        </w:rPr>
        <w:t>1.评价前期准备阶段</w:t>
      </w:r>
      <w:bookmarkEnd w:id="32"/>
      <w:bookmarkEnd w:id="33"/>
    </w:p>
    <w:p>
      <w:pPr>
        <w:pStyle w:val="30"/>
        <w:bidi w:val="0"/>
        <w:rPr>
          <w:lang w:val="zh-CN"/>
        </w:rPr>
      </w:pPr>
      <w:r>
        <w:rPr>
          <w:rFonts w:hint="eastAsia"/>
          <w:lang w:val="zh-CN"/>
        </w:rPr>
        <w:t>（1）财政局召开三方会议并介绍绩效评价相关情况，向</w:t>
      </w:r>
      <w:r>
        <w:rPr>
          <w:rFonts w:hint="eastAsia"/>
          <w:lang w:val="en-US"/>
        </w:rPr>
        <w:t>城管局</w:t>
      </w:r>
      <w:r>
        <w:rPr>
          <w:rFonts w:hint="eastAsia"/>
          <w:lang w:val="zh-CN"/>
        </w:rPr>
        <w:t>下达《绩效评价通知书》，事务所向</w:t>
      </w:r>
      <w:r>
        <w:rPr>
          <w:rFonts w:hint="eastAsia"/>
          <w:lang w:val="en-US"/>
        </w:rPr>
        <w:t>城管局</w:t>
      </w:r>
      <w:r>
        <w:rPr>
          <w:rFonts w:hint="eastAsia"/>
          <w:lang w:val="zh-CN"/>
        </w:rPr>
        <w:t>发放《绩效评价资料清单》并确定资料提交时间。</w:t>
      </w:r>
    </w:p>
    <w:p>
      <w:pPr>
        <w:pStyle w:val="30"/>
        <w:bidi w:val="0"/>
        <w:rPr>
          <w:lang w:val="zh-CN"/>
        </w:rPr>
      </w:pPr>
      <w:r>
        <w:rPr>
          <w:rFonts w:hint="eastAsia"/>
          <w:lang w:val="zh-CN"/>
        </w:rPr>
        <w:t>（2）成立评价组，明确工作范围和职责，提出本次绩效评价的要求，初步确定评价的总体时间安排。</w:t>
      </w:r>
    </w:p>
    <w:p>
      <w:pPr>
        <w:pStyle w:val="30"/>
        <w:bidi w:val="0"/>
        <w:rPr>
          <w:lang w:val="zh-CN"/>
        </w:rPr>
      </w:pPr>
      <w:r>
        <w:rPr>
          <w:rFonts w:hint="eastAsia"/>
          <w:lang w:val="zh-CN"/>
        </w:rPr>
        <w:t>（3）组织评价组人员学习财政支出绩效评价和项目管理方面的政策及有关项目实施依据、实施方案、专项资金管理等文件精神，在各参评人员对项目情况有了进一步了解的基础上，明确评价工作程序及要求，解析评价指标体系。</w:t>
      </w:r>
    </w:p>
    <w:p>
      <w:pPr>
        <w:pStyle w:val="30"/>
        <w:bidi w:val="0"/>
        <w:rPr>
          <w:lang w:val="zh-CN"/>
        </w:rPr>
      </w:pPr>
      <w:bookmarkStart w:id="35" w:name="_Toc56500101"/>
      <w:bookmarkStart w:id="36" w:name="_Toc35502615"/>
      <w:r>
        <w:rPr>
          <w:rFonts w:hint="eastAsia"/>
          <w:lang w:val="zh-CN"/>
        </w:rPr>
        <w:t>2.评价指标体系设计阶段</w:t>
      </w:r>
      <w:bookmarkEnd w:id="35"/>
      <w:bookmarkEnd w:id="36"/>
    </w:p>
    <w:p>
      <w:pPr>
        <w:pStyle w:val="30"/>
        <w:bidi w:val="0"/>
      </w:pPr>
      <w:bookmarkStart w:id="37" w:name="_Toc35502616"/>
      <w:bookmarkStart w:id="38" w:name="_Toc56500102"/>
      <w:r>
        <w:rPr>
          <w:rFonts w:hint="eastAsia"/>
        </w:rPr>
        <w:t>（</w:t>
      </w:r>
      <w:r>
        <w:t>1</w:t>
      </w:r>
      <w:r>
        <w:rPr>
          <w:rFonts w:hint="eastAsia"/>
        </w:rPr>
        <w:t>）通过对项目基础资料深入了解，对评价指标体系深入剖析，充分考虑本项目特点，拟定绩效评价指标（详见附表</w:t>
      </w:r>
      <w:r>
        <w:t>2</w:t>
      </w:r>
      <w:r>
        <w:rPr>
          <w:rFonts w:hint="eastAsia"/>
        </w:rPr>
        <w:t>）。</w:t>
      </w:r>
    </w:p>
    <w:p>
      <w:pPr>
        <w:pStyle w:val="30"/>
        <w:bidi w:val="0"/>
      </w:pPr>
      <w:r>
        <w:rPr>
          <w:rFonts w:hint="eastAsia"/>
        </w:rPr>
        <w:t>（</w:t>
      </w:r>
      <w:r>
        <w:t>2</w:t>
      </w:r>
      <w:r>
        <w:rPr>
          <w:rFonts w:hint="eastAsia"/>
        </w:rPr>
        <w:t>）拟定的指标体系，在征求项目单位意见后进行补充和完善。</w:t>
      </w:r>
    </w:p>
    <w:p>
      <w:pPr>
        <w:pStyle w:val="30"/>
        <w:bidi w:val="0"/>
        <w:rPr>
          <w:lang w:val="zh-CN"/>
        </w:rPr>
      </w:pPr>
      <w:r>
        <w:rPr>
          <w:rFonts w:hint="eastAsia"/>
          <w:lang w:val="zh-CN"/>
        </w:rPr>
        <w:t>3.评价实施阶段</w:t>
      </w:r>
      <w:bookmarkEnd w:id="37"/>
      <w:bookmarkEnd w:id="38"/>
    </w:p>
    <w:p>
      <w:pPr>
        <w:pStyle w:val="30"/>
        <w:bidi w:val="0"/>
      </w:pPr>
      <w:r>
        <w:rPr>
          <w:rFonts w:hint="eastAsia"/>
        </w:rPr>
        <w:t>（</w:t>
      </w:r>
      <w:r>
        <w:t>1</w:t>
      </w:r>
      <w:r>
        <w:rPr>
          <w:rFonts w:hint="eastAsia"/>
        </w:rPr>
        <w:t>）对项目单位提交的项目资料进行汇总、整理，检查、核实项目资料中的数据后，确定检查重点和疑点问题、检查方法及具体时间安排等。</w:t>
      </w:r>
    </w:p>
    <w:p>
      <w:pPr>
        <w:pStyle w:val="30"/>
        <w:bidi w:val="0"/>
        <w:rPr>
          <w:lang w:val="zh-CN"/>
        </w:rPr>
      </w:pPr>
      <w:r>
        <w:rPr>
          <w:rFonts w:hint="eastAsia"/>
        </w:rPr>
        <w:t>（</w:t>
      </w:r>
      <w:r>
        <w:t>2</w:t>
      </w:r>
      <w:r>
        <w:rPr>
          <w:rFonts w:hint="eastAsia"/>
        </w:rPr>
        <w:t>）对项目实施情况进行检查，在听取项目单位对项目实施情况汇报基础上，核实相关资料的真实性、合理性，对项目资料中反映或分析中发现的问题进行重点检查。</w:t>
      </w:r>
    </w:p>
    <w:p>
      <w:pPr>
        <w:pStyle w:val="30"/>
        <w:bidi w:val="0"/>
        <w:rPr>
          <w:lang w:val="zh-CN"/>
        </w:rPr>
      </w:pPr>
      <w:r>
        <w:rPr>
          <w:rFonts w:hint="eastAsia"/>
          <w:lang w:val="zh-CN"/>
        </w:rPr>
        <w:t>（3）在全面分析整理被检查项目的相关数据资料的基础上，总结检查情况，对照评价指标和标准，进行综合评议与打分，得出评价结论，撰写评价报告。</w:t>
      </w:r>
    </w:p>
    <w:p>
      <w:pPr>
        <w:pStyle w:val="30"/>
        <w:bidi w:val="0"/>
        <w:rPr>
          <w:lang w:val="zh-CN"/>
        </w:rPr>
      </w:pPr>
      <w:bookmarkStart w:id="39" w:name="_Toc56500103"/>
      <w:bookmarkStart w:id="40" w:name="_Toc35502617"/>
      <w:r>
        <w:rPr>
          <w:rFonts w:hint="eastAsia"/>
          <w:lang w:val="zh-CN"/>
        </w:rPr>
        <w:t>4.评价报告阶段</w:t>
      </w:r>
      <w:bookmarkEnd w:id="39"/>
      <w:bookmarkEnd w:id="40"/>
    </w:p>
    <w:p>
      <w:pPr>
        <w:pStyle w:val="30"/>
        <w:bidi w:val="0"/>
        <w:rPr>
          <w:lang w:val="zh-CN"/>
        </w:rPr>
      </w:pPr>
      <w:r>
        <w:rPr>
          <w:rFonts w:hint="eastAsia"/>
          <w:lang w:val="zh-CN"/>
        </w:rPr>
        <w:t>（1）对项目的相关资料进行分析汇总。</w:t>
      </w:r>
    </w:p>
    <w:p>
      <w:pPr>
        <w:pStyle w:val="30"/>
        <w:bidi w:val="0"/>
        <w:rPr>
          <w:lang w:val="zh-CN"/>
        </w:rPr>
      </w:pPr>
      <w:r>
        <w:rPr>
          <w:rFonts w:hint="eastAsia"/>
          <w:lang w:val="zh-CN"/>
        </w:rPr>
        <w:t>（2）形成绩效评价报告初稿，</w:t>
      </w:r>
      <w:r>
        <w:rPr>
          <w:rFonts w:hint="eastAsia"/>
        </w:rPr>
        <w:t>征求项目单位意见</w:t>
      </w:r>
      <w:r>
        <w:rPr>
          <w:rFonts w:hint="eastAsia"/>
          <w:lang w:val="zh-CN"/>
        </w:rPr>
        <w:t xml:space="preserve">，补充完善评价报告；形成遵化市城市管理综合行政执法局2022年路灯信号灯及平射灯等运行费用项目绩效评价报告（包括文字和表格部分）。   </w:t>
      </w:r>
    </w:p>
    <w:p>
      <w:pPr>
        <w:pStyle w:val="30"/>
        <w:bidi w:val="0"/>
      </w:pPr>
      <w:bookmarkStart w:id="41" w:name="_Toc17776"/>
      <w:r>
        <w:rPr>
          <w:rFonts w:hint="eastAsia"/>
        </w:rPr>
        <w:t>四、</w:t>
      </w:r>
      <w:bookmarkEnd w:id="34"/>
      <w:r>
        <w:rPr>
          <w:rFonts w:hint="eastAsia"/>
        </w:rPr>
        <w:t>项目绩效情况</w:t>
      </w:r>
      <w:bookmarkEnd w:id="41"/>
    </w:p>
    <w:p>
      <w:pPr>
        <w:pStyle w:val="28"/>
        <w:bidi w:val="0"/>
        <w:rPr>
          <w:rFonts w:hint="eastAsia"/>
          <w:lang w:eastAsia="zh-CN"/>
        </w:rPr>
      </w:pPr>
      <w:bookmarkStart w:id="42" w:name="_Toc5822"/>
      <w:r>
        <w:rPr>
          <w:rFonts w:hint="eastAsia"/>
          <w:lang w:eastAsia="zh-CN"/>
        </w:rPr>
        <w:t>（一）项目产出</w:t>
      </w:r>
      <w:bookmarkEnd w:id="42"/>
    </w:p>
    <w:p>
      <w:pPr>
        <w:pStyle w:val="30"/>
        <w:bidi w:val="0"/>
        <w:rPr>
          <w:rFonts w:hint="default"/>
          <w:lang w:val="en-US"/>
        </w:rPr>
      </w:pPr>
      <w:r>
        <w:rPr>
          <w:rFonts w:hint="eastAsia"/>
          <w:lang w:val="zh-CN"/>
        </w:rPr>
        <w:t xml:space="preserve"> 2022年路灯信号灯及平射灯等运行费用项目</w:t>
      </w:r>
      <w:r>
        <w:rPr>
          <w:rFonts w:hint="eastAsia"/>
          <w:lang w:val="en-US" w:eastAsia="zh-CN"/>
        </w:rPr>
        <w:t>完成了对城区7403盏路灯，77台变压器，174.314公里线路进行维护，全年共维修路灯1185盏，更换触发器360个，新安装太阳能灯具25套，新补灯杆13棵，微电脑钟控4个，交流接触器6台，修复文化北路、朝阳路、西二环、北二环、东一环等道路的路灯控制柜28台次，处理路灯突发事故及地埋线故障31处，更换地埋电缆和架空线共计1864余米，对全市50多台变压器进行防腐喷漆并贴安全标识，对建明街120棵树进行景观亮化提升。</w:t>
      </w:r>
    </w:p>
    <w:p>
      <w:pPr>
        <w:pStyle w:val="28"/>
        <w:bidi w:val="0"/>
        <w:rPr>
          <w:rFonts w:hint="eastAsia"/>
          <w:lang w:eastAsia="zh-CN"/>
        </w:rPr>
      </w:pPr>
      <w:bookmarkStart w:id="43" w:name="_Toc26548"/>
      <w:r>
        <w:rPr>
          <w:rFonts w:hint="eastAsia"/>
          <w:lang w:eastAsia="zh-CN"/>
        </w:rPr>
        <w:t>（</w:t>
      </w:r>
      <w:r>
        <w:rPr>
          <w:rFonts w:hint="eastAsia"/>
          <w:lang w:val="en-US" w:eastAsia="zh-CN"/>
        </w:rPr>
        <w:t>二</w:t>
      </w:r>
      <w:r>
        <w:rPr>
          <w:rFonts w:hint="eastAsia"/>
          <w:lang w:eastAsia="zh-CN"/>
        </w:rPr>
        <w:t>）项目效益</w:t>
      </w:r>
      <w:bookmarkEnd w:id="43"/>
    </w:p>
    <w:p>
      <w:pPr>
        <w:pStyle w:val="30"/>
        <w:bidi w:val="0"/>
        <w:rPr>
          <w:rFonts w:hint="default" w:ascii="仿宋" w:hAnsi="仿宋" w:eastAsia="仿宋" w:cs="仿宋_GB2312"/>
          <w:color w:val="auto"/>
          <w:szCs w:val="30"/>
          <w:lang w:val="en-US" w:bidi="zh-CN"/>
        </w:rPr>
      </w:pPr>
      <w:r>
        <w:rPr>
          <w:rFonts w:hint="eastAsia"/>
          <w:lang w:val="en-US"/>
        </w:rPr>
        <w:t>该项目的实施</w:t>
      </w:r>
      <w:r>
        <w:rPr>
          <w:rFonts w:hint="eastAsia"/>
          <w:lang w:val="zh-CN"/>
        </w:rPr>
        <w:t>在一定程度有效保障了城区道路照明的正常运行，</w:t>
      </w:r>
      <w:r>
        <w:rPr>
          <w:rFonts w:hint="eastAsia"/>
          <w:lang w:val="en-US"/>
        </w:rPr>
        <w:t>方便了市民夜间出行及夜间道路安全。</w:t>
      </w:r>
    </w:p>
    <w:p>
      <w:pPr>
        <w:pStyle w:val="29"/>
        <w:bidi w:val="0"/>
      </w:pPr>
      <w:bookmarkStart w:id="44" w:name="_Toc18466"/>
      <w:r>
        <w:rPr>
          <w:rFonts w:hint="eastAsia"/>
        </w:rPr>
        <w:t>五、综合评价情况及评价结论</w:t>
      </w:r>
      <w:bookmarkEnd w:id="44"/>
    </w:p>
    <w:p>
      <w:pPr>
        <w:pStyle w:val="30"/>
        <w:bidi w:val="0"/>
        <w:rPr>
          <w:lang w:val="zh-CN"/>
        </w:rPr>
      </w:pPr>
      <w:r>
        <w:rPr>
          <w:rFonts w:hint="eastAsia"/>
          <w:lang w:val="zh-CN"/>
        </w:rPr>
        <w:t>依据</w:t>
      </w:r>
      <w:r>
        <w:rPr>
          <w:rFonts w:hint="eastAsia"/>
          <w:lang w:val="en-US"/>
        </w:rPr>
        <w:t>遵化市城市管理综合行政执法局2022年路灯信号灯及平射灯等运行费用项目</w:t>
      </w:r>
      <w:r>
        <w:rPr>
          <w:rFonts w:hint="eastAsia"/>
          <w:lang w:val="zh-CN"/>
        </w:rPr>
        <w:t>绩效评价指标和相关数据，对照评分标准和绩效分值，通过对决策、过程、产出与效益四个方面的逐项分析评价，</w:t>
      </w:r>
      <w:r>
        <w:rPr>
          <w:rFonts w:hint="eastAsia"/>
          <w:lang w:val="en-US"/>
        </w:rPr>
        <w:t>遵化市城市管理综合行政执法局2022年路灯信号灯及平射灯等运行费用项目</w:t>
      </w:r>
      <w:r>
        <w:rPr>
          <w:rFonts w:hint="eastAsia"/>
          <w:lang w:val="zh-CN"/>
        </w:rPr>
        <w:t>绩效评价得分</w:t>
      </w:r>
      <w:r>
        <w:rPr>
          <w:rFonts w:hint="eastAsia"/>
          <w:lang w:val="en-US"/>
        </w:rPr>
        <w:t>90.94</w:t>
      </w:r>
      <w:r>
        <w:rPr>
          <w:rFonts w:hint="eastAsia"/>
          <w:lang w:val="zh-CN"/>
        </w:rPr>
        <w:t>分，综合评价等级为“</w:t>
      </w:r>
      <w:r>
        <w:rPr>
          <w:rFonts w:hint="eastAsia"/>
          <w:lang w:val="en-US"/>
        </w:rPr>
        <w:t>优</w:t>
      </w:r>
      <w:r>
        <w:rPr>
          <w:rFonts w:hint="eastAsia"/>
          <w:lang w:val="zh-CN"/>
        </w:rPr>
        <w:t>”。具体情况如下：</w:t>
      </w:r>
    </w:p>
    <w:p>
      <w:pPr>
        <w:pStyle w:val="26"/>
        <w:bidi w:val="0"/>
        <w:rPr>
          <w:rFonts w:hint="eastAsia"/>
          <w:lang w:eastAsia="zh-CN"/>
        </w:rPr>
      </w:pPr>
      <w:r>
        <w:rPr>
          <w:rFonts w:hint="eastAsia"/>
          <w:lang w:eastAsia="zh-CN"/>
        </w:rPr>
        <w:t>遵化市城市管理综合行政执法局2022年路灯信号灯及平射灯等运行费用项目</w:t>
      </w:r>
    </w:p>
    <w:p>
      <w:pPr>
        <w:pStyle w:val="26"/>
        <w:bidi w:val="0"/>
      </w:pPr>
      <w:r>
        <w:rPr>
          <w:rFonts w:hint="eastAsia"/>
        </w:rPr>
        <w:t>绩效评价得分情况简表：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
                <w:color w:val="auto"/>
                <w:sz w:val="24"/>
                <w:szCs w:val="24"/>
              </w:rPr>
            </w:pPr>
            <w:r>
              <w:rPr>
                <w:rFonts w:hint="eastAsia" w:ascii="仿宋" w:hAnsi="仿宋" w:eastAsia="仿宋" w:cs="宋体"/>
                <w:b/>
                <w:color w:val="auto"/>
                <w:sz w:val="24"/>
                <w:szCs w:val="24"/>
              </w:rPr>
              <w:t>一级指标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
                <w:color w:val="auto"/>
                <w:sz w:val="24"/>
                <w:szCs w:val="24"/>
              </w:rPr>
            </w:pPr>
            <w:r>
              <w:rPr>
                <w:rFonts w:hint="eastAsia" w:ascii="仿宋" w:hAnsi="仿宋" w:eastAsia="仿宋" w:cs="宋体"/>
                <w:b/>
                <w:color w:val="auto"/>
                <w:sz w:val="24"/>
                <w:szCs w:val="24"/>
              </w:rPr>
              <w:t>满分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
                <w:color w:val="auto"/>
                <w:sz w:val="24"/>
                <w:szCs w:val="24"/>
              </w:rPr>
            </w:pPr>
            <w:r>
              <w:rPr>
                <w:rFonts w:hint="eastAsia" w:ascii="仿宋" w:hAnsi="仿宋" w:eastAsia="仿宋" w:cs="宋体"/>
                <w:b/>
                <w:color w:val="auto"/>
                <w:sz w:val="24"/>
                <w:szCs w:val="24"/>
              </w:rPr>
              <w:t>得分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
                <w:color w:val="auto"/>
                <w:sz w:val="24"/>
                <w:szCs w:val="24"/>
              </w:rPr>
            </w:pPr>
            <w:r>
              <w:rPr>
                <w:rFonts w:hint="eastAsia" w:ascii="仿宋" w:hAnsi="仿宋" w:eastAsia="仿宋" w:cs="宋体"/>
                <w:b/>
                <w:color w:val="auto"/>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决策指标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仿宋_GB2312"/>
                <w:color w:val="auto"/>
                <w:sz w:val="24"/>
                <w:szCs w:val="24"/>
                <w:lang w:bidi="zh-CN"/>
              </w:rPr>
            </w:pPr>
            <w:r>
              <w:rPr>
                <w:rFonts w:hint="eastAsia" w:ascii="仿宋" w:hAnsi="仿宋" w:eastAsia="仿宋" w:cs="仿宋_GB2312"/>
                <w:color w:val="auto"/>
                <w:sz w:val="24"/>
                <w:szCs w:val="24"/>
                <w:lang w:bidi="zh-CN"/>
              </w:rPr>
              <w:t>11.00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bidi="zh-CN"/>
              </w:rPr>
            </w:pPr>
            <w:r>
              <w:rPr>
                <w:rFonts w:hint="eastAsia" w:ascii="仿宋" w:hAnsi="仿宋" w:eastAsia="仿宋" w:cs="仿宋_GB2312"/>
                <w:color w:val="auto"/>
                <w:sz w:val="24"/>
                <w:szCs w:val="24"/>
                <w:lang w:val="en-US" w:bidi="zh-CN"/>
              </w:rPr>
              <w:t>10.50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eastAsia" w:ascii="仿宋" w:hAnsi="仿宋" w:eastAsia="仿宋" w:cs="宋体"/>
                <w:bCs/>
                <w:color w:val="auto"/>
                <w:sz w:val="24"/>
                <w:szCs w:val="24"/>
                <w:lang w:val="en-US" w:eastAsia="zh-CN"/>
              </w:rPr>
            </w:pPr>
            <w:r>
              <w:rPr>
                <w:rFonts w:hint="eastAsia" w:ascii="仿宋" w:hAnsi="仿宋" w:eastAsia="仿宋" w:cs="宋体"/>
                <w:bCs/>
                <w:color w:val="auto"/>
                <w:sz w:val="24"/>
                <w:szCs w:val="24"/>
                <w:lang w:val="en-US" w:eastAsia="zh-CN"/>
              </w:rPr>
              <w:t>95.45%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过程指标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仿宋_GB2312"/>
                <w:color w:val="auto"/>
                <w:sz w:val="24"/>
                <w:szCs w:val="24"/>
                <w:lang w:bidi="zh-CN"/>
              </w:rPr>
            </w:pPr>
            <w:r>
              <w:rPr>
                <w:rFonts w:hint="eastAsia" w:ascii="仿宋" w:hAnsi="仿宋" w:eastAsia="仿宋" w:cs="仿宋_GB2312"/>
                <w:color w:val="auto"/>
                <w:sz w:val="24"/>
                <w:szCs w:val="24"/>
                <w:lang w:bidi="zh-CN"/>
              </w:rPr>
              <w:t>29.00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bidi="zh-CN"/>
              </w:rPr>
            </w:pPr>
            <w:r>
              <w:rPr>
                <w:rFonts w:hint="eastAsia" w:ascii="仿宋" w:hAnsi="仿宋" w:eastAsia="仿宋" w:cs="仿宋_GB2312"/>
                <w:color w:val="auto"/>
                <w:sz w:val="24"/>
                <w:szCs w:val="24"/>
                <w:lang w:val="en-US" w:bidi="zh-CN"/>
              </w:rPr>
              <w:t>28.44</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eastAsia" w:ascii="仿宋" w:hAnsi="仿宋" w:eastAsia="仿宋" w:cs="宋体"/>
                <w:bCs/>
                <w:color w:val="auto"/>
                <w:sz w:val="24"/>
                <w:szCs w:val="24"/>
                <w:lang w:val="en-US" w:eastAsia="zh-CN"/>
              </w:rPr>
            </w:pPr>
            <w:r>
              <w:rPr>
                <w:rFonts w:hint="eastAsia" w:ascii="仿宋" w:hAnsi="仿宋" w:eastAsia="仿宋" w:cs="宋体"/>
                <w:bCs/>
                <w:color w:val="auto"/>
                <w:sz w:val="24"/>
                <w:szCs w:val="24"/>
                <w:lang w:val="en-US" w:eastAsia="zh-CN"/>
              </w:rPr>
              <w:t>98.07%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产出指标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仿宋_GB2312"/>
                <w:color w:val="auto"/>
                <w:sz w:val="24"/>
                <w:szCs w:val="24"/>
                <w:lang w:bidi="zh-CN"/>
              </w:rPr>
            </w:pPr>
            <w:r>
              <w:rPr>
                <w:rFonts w:hint="eastAsia" w:ascii="仿宋" w:hAnsi="仿宋" w:eastAsia="仿宋" w:cs="仿宋_GB2312"/>
                <w:color w:val="auto"/>
                <w:sz w:val="24"/>
                <w:szCs w:val="24"/>
                <w:lang w:bidi="zh-CN"/>
              </w:rPr>
              <w:t>36.00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bidi="zh-CN"/>
              </w:rPr>
            </w:pPr>
            <w:r>
              <w:rPr>
                <w:rFonts w:hint="eastAsia" w:ascii="仿宋" w:hAnsi="仿宋" w:eastAsia="仿宋" w:cs="仿宋_GB2312"/>
                <w:color w:val="auto"/>
                <w:sz w:val="24"/>
                <w:szCs w:val="24"/>
                <w:lang w:val="en-US" w:bidi="zh-CN"/>
              </w:rPr>
              <w:t>34.00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eastAsia" w:ascii="仿宋" w:hAnsi="仿宋" w:eastAsia="仿宋" w:cs="宋体"/>
                <w:bCs/>
                <w:color w:val="auto"/>
                <w:sz w:val="24"/>
                <w:szCs w:val="24"/>
                <w:lang w:val="en-US" w:eastAsia="zh-CN"/>
              </w:rPr>
            </w:pPr>
            <w:r>
              <w:rPr>
                <w:rFonts w:hint="eastAsia" w:ascii="仿宋" w:hAnsi="仿宋" w:eastAsia="仿宋" w:cs="宋体"/>
                <w:bCs/>
                <w:color w:val="auto"/>
                <w:sz w:val="24"/>
                <w:szCs w:val="24"/>
                <w:lang w:val="en-US" w:eastAsia="zh-CN"/>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效益指标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仿宋_GB2312"/>
                <w:color w:val="auto"/>
                <w:sz w:val="24"/>
                <w:szCs w:val="24"/>
                <w:lang w:bidi="zh-CN"/>
              </w:rPr>
            </w:pPr>
            <w:r>
              <w:rPr>
                <w:rFonts w:hint="eastAsia" w:ascii="仿宋" w:hAnsi="仿宋" w:eastAsia="仿宋" w:cs="仿宋_GB2312"/>
                <w:color w:val="auto"/>
                <w:sz w:val="24"/>
                <w:szCs w:val="24"/>
                <w:lang w:bidi="zh-CN"/>
              </w:rPr>
              <w:t>24.00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bidi="zh-CN"/>
              </w:rPr>
            </w:pPr>
            <w:r>
              <w:rPr>
                <w:rFonts w:hint="eastAsia" w:ascii="仿宋" w:hAnsi="仿宋" w:eastAsia="仿宋" w:cs="仿宋_GB2312"/>
                <w:color w:val="auto"/>
                <w:sz w:val="24"/>
                <w:szCs w:val="24"/>
                <w:lang w:val="en-US" w:bidi="zh-CN"/>
              </w:rPr>
              <w:t>18.00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eastAsia" w:ascii="仿宋" w:hAnsi="仿宋" w:eastAsia="仿宋" w:cs="宋体"/>
                <w:bCs/>
                <w:color w:val="auto"/>
                <w:sz w:val="24"/>
                <w:szCs w:val="24"/>
                <w:lang w:val="en-US" w:eastAsia="zh-CN"/>
              </w:rPr>
            </w:pPr>
            <w:r>
              <w:rPr>
                <w:rFonts w:hint="eastAsia" w:ascii="仿宋" w:hAnsi="仿宋" w:eastAsia="仿宋" w:cs="宋体"/>
                <w:bCs/>
                <w:color w:val="auto"/>
                <w:sz w:val="24"/>
                <w:szCs w:val="24"/>
                <w:lang w:val="en-US" w:eastAsia="zh-CN"/>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综合绩效</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仿宋_GB2312"/>
                <w:color w:val="auto"/>
                <w:sz w:val="24"/>
                <w:szCs w:val="24"/>
                <w:lang w:bidi="zh-CN"/>
              </w:rPr>
              <w:t>100.00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宋体"/>
                <w:bCs/>
                <w:color w:val="auto"/>
                <w:sz w:val="24"/>
                <w:szCs w:val="24"/>
                <w:lang w:val="en-US" w:eastAsia="zh-CN"/>
              </w:rPr>
            </w:pPr>
            <w:r>
              <w:rPr>
                <w:rFonts w:hint="eastAsia" w:ascii="仿宋" w:hAnsi="仿宋" w:eastAsia="仿宋" w:cs="宋体"/>
                <w:bCs/>
                <w:color w:val="auto"/>
                <w:sz w:val="24"/>
                <w:szCs w:val="24"/>
                <w:lang w:val="en-US" w:eastAsia="zh-CN"/>
              </w:rPr>
              <w:t>90.94</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宋体"/>
                <w:bCs/>
                <w:color w:val="auto"/>
                <w:sz w:val="24"/>
                <w:szCs w:val="24"/>
                <w:lang w:val="en-US" w:eastAsia="zh-CN"/>
              </w:rPr>
            </w:pPr>
            <w:r>
              <w:rPr>
                <w:rFonts w:hint="eastAsia" w:ascii="仿宋" w:hAnsi="仿宋" w:eastAsia="仿宋" w:cs="宋体"/>
                <w:bCs/>
                <w:color w:val="auto"/>
                <w:sz w:val="24"/>
                <w:szCs w:val="24"/>
                <w:lang w:val="en-US" w:eastAsia="zh-CN"/>
              </w:rPr>
              <w:t>90.94%</w:t>
            </w:r>
          </w:p>
        </w:tc>
      </w:tr>
    </w:tbl>
    <w:p>
      <w:pPr>
        <w:pStyle w:val="29"/>
        <w:bidi w:val="0"/>
        <w:rPr>
          <w:rFonts w:hint="default"/>
          <w:lang w:val="en-US" w:eastAsia="zh-CN"/>
        </w:rPr>
      </w:pPr>
      <w:bookmarkStart w:id="45" w:name="_Toc1813"/>
      <w:r>
        <w:rPr>
          <w:rFonts w:hint="eastAsia"/>
          <w:lang w:val="en-US" w:eastAsia="zh-CN"/>
        </w:rPr>
        <w:t>六、</w:t>
      </w:r>
      <w:r>
        <w:rPr>
          <w:rFonts w:hint="eastAsia"/>
        </w:rPr>
        <w:t>存在的主要问题</w:t>
      </w:r>
      <w:bookmarkEnd w:id="45"/>
    </w:p>
    <w:p>
      <w:pPr>
        <w:pStyle w:val="28"/>
        <w:bidi w:val="0"/>
        <w:rPr>
          <w:rFonts w:hint="default"/>
          <w:lang w:val="en-US" w:eastAsia="zh-CN"/>
        </w:rPr>
      </w:pPr>
      <w:bookmarkStart w:id="46" w:name="_Toc23284"/>
      <w:r>
        <w:rPr>
          <w:rFonts w:hint="eastAsia"/>
          <w:lang w:val="en-US" w:eastAsia="zh-CN"/>
        </w:rPr>
        <w:t>（一）项目产出质量不达标</w:t>
      </w:r>
      <w:bookmarkEnd w:id="46"/>
    </w:p>
    <w:p>
      <w:pPr>
        <w:pStyle w:val="30"/>
        <w:bidi w:val="0"/>
        <w:rPr>
          <w:rFonts w:hint="eastAsia"/>
          <w:lang w:val="en-US" w:eastAsia="zh-CN"/>
        </w:rPr>
      </w:pPr>
      <w:r>
        <w:rPr>
          <w:rFonts w:hint="default"/>
          <w:lang w:val="en-US" w:eastAsia="zh-CN"/>
        </w:rPr>
        <w:t>经实地</w:t>
      </w:r>
      <w:r>
        <w:rPr>
          <w:rFonts w:hint="eastAsia"/>
          <w:lang w:val="en-US" w:eastAsia="zh-CN"/>
        </w:rPr>
        <w:t>察看及问卷走访</w:t>
      </w:r>
      <w:r>
        <w:rPr>
          <w:rFonts w:hint="default"/>
          <w:lang w:val="en-US" w:eastAsia="zh-CN"/>
        </w:rPr>
        <w:t>，</w:t>
      </w:r>
      <w:r>
        <w:rPr>
          <w:rFonts w:hint="eastAsia"/>
          <w:lang w:val="en-US" w:eastAsia="zh-CN"/>
        </w:rPr>
        <w:t>照明区域内个别支路因树木茂密，路灯受到严重遮挡，导致路面亮度分布不均，亮度不足。</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19700" cy="2705100"/>
            <wp:effectExtent l="0" t="0" r="0"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8"/>
                    <a:stretch>
                      <a:fillRect/>
                    </a:stretch>
                  </pic:blipFill>
                  <pic:spPr>
                    <a:xfrm>
                      <a:off x="0" y="0"/>
                      <a:ext cx="5219700" cy="27051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19700" cy="2705100"/>
            <wp:effectExtent l="0" t="0" r="0" b="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9"/>
                    <a:stretch>
                      <a:fillRect/>
                    </a:stretch>
                  </pic:blipFill>
                  <pic:spPr>
                    <a:xfrm>
                      <a:off x="0" y="0"/>
                      <a:ext cx="5219700" cy="27051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19700" cy="2705100"/>
            <wp:effectExtent l="0" t="0" r="0" b="0"/>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0"/>
                    <a:stretch>
                      <a:fillRect/>
                    </a:stretch>
                  </pic:blipFill>
                  <pic:spPr>
                    <a:xfrm>
                      <a:off x="0" y="0"/>
                      <a:ext cx="5219700" cy="2705100"/>
                    </a:xfrm>
                    <a:prstGeom prst="rect">
                      <a:avLst/>
                    </a:prstGeom>
                    <a:noFill/>
                    <a:ln w="9525">
                      <a:noFill/>
                    </a:ln>
                  </pic:spPr>
                </pic:pic>
              </a:graphicData>
            </a:graphic>
          </wp:inline>
        </w:drawing>
      </w:r>
    </w:p>
    <w:p>
      <w:pPr>
        <w:pStyle w:val="2"/>
        <w:rPr>
          <w:rFonts w:hint="eastAsia" w:ascii="仿宋" w:hAnsi="仿宋" w:eastAsia="仿宋" w:cs="仿宋_GB2312"/>
          <w:color w:val="auto"/>
          <w:sz w:val="30"/>
          <w:szCs w:val="30"/>
          <w:lang w:val="en-US" w:eastAsia="zh-CN" w:bidi="zh-CN"/>
        </w:rPr>
      </w:pPr>
    </w:p>
    <w:p>
      <w:pPr>
        <w:pStyle w:val="28"/>
        <w:bidi w:val="0"/>
        <w:rPr>
          <w:rFonts w:hint="eastAsia"/>
          <w:lang w:val="en-US" w:eastAsia="zh-CN"/>
        </w:rPr>
      </w:pPr>
      <w:bookmarkStart w:id="47" w:name="_Toc22752"/>
      <w:r>
        <w:rPr>
          <w:rFonts w:hint="eastAsia"/>
          <w:lang w:val="en-US" w:eastAsia="zh-CN"/>
        </w:rPr>
        <w:t>（二）绩效指标设置不规范</w:t>
      </w:r>
      <w:bookmarkEnd w:id="47"/>
    </w:p>
    <w:p>
      <w:pPr>
        <w:pStyle w:val="30"/>
        <w:bidi w:val="0"/>
        <w:rPr>
          <w:rFonts w:hint="default"/>
          <w:lang w:val="en-US" w:eastAsia="zh-CN"/>
        </w:rPr>
      </w:pPr>
      <w:r>
        <w:rPr>
          <w:rFonts w:hint="eastAsia"/>
          <w:lang w:val="en-US" w:eastAsia="zh-CN"/>
        </w:rPr>
        <w:t>项目单位提供的《2022年路灯信号灯及平射灯等运行费用项目绩效目标表》中成本指标资本成本为≥100%，经济效益指标“道路照明设施完好率98%以上，次干道亮灯率95%以上，设施完好率95%以上”该指标与指标内容关系性弱，绩效指标设置规范性有待提高。</w:t>
      </w:r>
    </w:p>
    <w:p>
      <w:pPr>
        <w:pStyle w:val="29"/>
        <w:bidi w:val="0"/>
        <w:rPr>
          <w:lang w:val="zh-CN"/>
        </w:rPr>
      </w:pPr>
      <w:bookmarkStart w:id="48" w:name="_Toc12141"/>
      <w:r>
        <w:rPr>
          <w:rFonts w:hint="eastAsia"/>
        </w:rPr>
        <w:t>七、意见建议</w:t>
      </w:r>
      <w:bookmarkEnd w:id="48"/>
    </w:p>
    <w:p>
      <w:pPr>
        <w:pStyle w:val="30"/>
        <w:bidi w:val="0"/>
        <w:rPr>
          <w:rFonts w:hint="eastAsia"/>
          <w:lang w:val="zh-CN"/>
        </w:rPr>
      </w:pPr>
      <w:r>
        <w:rPr>
          <w:rFonts w:hint="eastAsia"/>
          <w:lang w:val="en-US"/>
        </w:rPr>
        <w:t>1.</w:t>
      </w:r>
      <w:r>
        <w:rPr>
          <w:rFonts w:hint="eastAsia"/>
          <w:lang w:val="zh-CN"/>
        </w:rPr>
        <w:t>加强绩效管理。绩效管理应贯穿项目始终，切实与实际实施项目相关，在申报项目预算时制定明确、细化、量化、合理的绩效目标，在项目结束后按要求对项目进行自评，通过自评工作发现项目建设中存在的不足和问题并及时进行整改。</w:t>
      </w:r>
    </w:p>
    <w:p>
      <w:pPr>
        <w:pStyle w:val="30"/>
        <w:bidi w:val="0"/>
        <w:rPr>
          <w:rFonts w:hint="default" w:ascii="仿宋" w:hAnsi="仿宋" w:eastAsia="仿宋" w:cs="仿宋_GB2312"/>
          <w:color w:val="auto"/>
          <w:szCs w:val="30"/>
          <w:lang w:val="en-US" w:bidi="zh-CN"/>
        </w:rPr>
      </w:pPr>
      <w:r>
        <w:rPr>
          <w:rFonts w:hint="eastAsia"/>
          <w:lang w:val="en-US"/>
        </w:rPr>
        <w:t>2.加强对路灯设置工作的监管，确保规定得到有效的执行。市区应该加强对路灯建设的审查和验收，对不符合要求的路灯设置及时予以纠正。</w:t>
      </w:r>
    </w:p>
    <w:p>
      <w:pPr>
        <w:spacing w:line="360" w:lineRule="auto"/>
        <w:ind w:firstLine="640" w:firstLineChars="200"/>
        <w:jc w:val="both"/>
        <w:textAlignment w:val="baseline"/>
        <w:rPr>
          <w:rStyle w:val="52"/>
          <w:rFonts w:hint="eastAsia"/>
          <w:lang w:val="zh-CN"/>
        </w:rPr>
      </w:pPr>
    </w:p>
    <w:p>
      <w:pPr>
        <w:spacing w:line="360" w:lineRule="auto"/>
        <w:ind w:firstLine="640" w:firstLineChars="200"/>
        <w:jc w:val="both"/>
        <w:textAlignment w:val="baseline"/>
        <w:rPr>
          <w:rStyle w:val="52"/>
          <w:rFonts w:hint="eastAsia"/>
          <w:lang w:val="zh-CN"/>
        </w:rPr>
      </w:pPr>
    </w:p>
    <w:p>
      <w:pPr>
        <w:spacing w:line="360" w:lineRule="auto"/>
        <w:ind w:firstLine="640" w:firstLineChars="200"/>
        <w:jc w:val="both"/>
        <w:textAlignment w:val="baseline"/>
        <w:rPr>
          <w:rStyle w:val="52"/>
          <w:rFonts w:hint="eastAsia"/>
          <w:lang w:val="zh-CN"/>
        </w:rPr>
      </w:pPr>
    </w:p>
    <w:p>
      <w:pPr>
        <w:spacing w:line="360" w:lineRule="auto"/>
        <w:ind w:firstLine="640" w:firstLineChars="200"/>
        <w:jc w:val="both"/>
        <w:textAlignment w:val="baseline"/>
        <w:rPr>
          <w:rFonts w:ascii="仿宋" w:hAnsi="仿宋" w:eastAsia="仿宋" w:cs="仿宋_GB2312"/>
          <w:b/>
          <w:bCs/>
          <w:color w:val="auto"/>
          <w:sz w:val="30"/>
          <w:szCs w:val="30"/>
          <w:lang w:val="zh-CN" w:bidi="zh-CN"/>
        </w:rPr>
      </w:pPr>
      <w:bookmarkStart w:id="49" w:name="_GoBack"/>
      <w:bookmarkEnd w:id="49"/>
      <w:r>
        <w:rPr>
          <w:rStyle w:val="52"/>
          <w:rFonts w:hint="eastAsia"/>
          <w:lang w:val="zh-CN"/>
        </w:rPr>
        <w:t>附表：</w:t>
      </w:r>
      <w:r>
        <w:rPr>
          <w:rFonts w:hint="eastAsia" w:ascii="仿宋" w:hAnsi="仿宋" w:eastAsia="仿宋" w:cs="仿宋_GB2312"/>
          <w:b/>
          <w:bCs/>
          <w:color w:val="auto"/>
          <w:sz w:val="30"/>
          <w:szCs w:val="30"/>
          <w:lang w:val="zh-CN" w:bidi="zh-CN"/>
        </w:rPr>
        <w:t xml:space="preserve"> </w:t>
      </w:r>
    </w:p>
    <w:p>
      <w:pPr>
        <w:pStyle w:val="30"/>
        <w:bidi w:val="0"/>
        <w:rPr>
          <w:rFonts w:hint="eastAsia"/>
          <w:lang w:val="zh-CN"/>
        </w:rPr>
      </w:pPr>
      <w:r>
        <w:rPr>
          <w:rFonts w:hint="eastAsia"/>
          <w:lang w:val="en-US"/>
        </w:rPr>
        <w:t>1.</w:t>
      </w:r>
      <w:r>
        <w:rPr>
          <w:rFonts w:hint="eastAsia"/>
          <w:lang w:val="zh-CN"/>
        </w:rPr>
        <w:t>遵化市城市管理综合行政执法局2022年路灯信号灯及平射灯等运行费用项目绩效评价得分情况表</w:t>
      </w:r>
    </w:p>
    <w:p>
      <w:pPr>
        <w:pStyle w:val="30"/>
        <w:bidi w:val="0"/>
        <w:rPr>
          <w:rFonts w:hint="eastAsia"/>
          <w:lang w:val="zh-CN"/>
        </w:rPr>
      </w:pPr>
      <w:r>
        <w:rPr>
          <w:rFonts w:hint="eastAsia"/>
          <w:lang w:val="en-US"/>
        </w:rPr>
        <w:t>2.</w:t>
      </w:r>
      <w:r>
        <w:rPr>
          <w:rFonts w:hint="eastAsia"/>
          <w:lang w:val="zh-CN"/>
        </w:rPr>
        <w:t>遵化市城市管理综合行政执法局2022年路灯信号灯及平射灯等运行费用项目绩效评价指标表</w:t>
      </w:r>
    </w:p>
    <w:p>
      <w:pPr>
        <w:pStyle w:val="30"/>
        <w:bidi w:val="0"/>
        <w:rPr>
          <w:rFonts w:hint="eastAsia"/>
          <w:lang w:val="zh-CN"/>
        </w:rPr>
      </w:pPr>
      <w:r>
        <w:rPr>
          <w:rFonts w:hint="eastAsia"/>
          <w:lang w:val="en-US" w:eastAsia="zh-CN"/>
        </w:rPr>
        <w:t>3.</w:t>
      </w:r>
      <w:r>
        <w:rPr>
          <w:rFonts w:hint="eastAsia"/>
          <w:lang w:val="zh-CN"/>
        </w:rPr>
        <w:t>遵化市城市管理综合行政执法局2022年路灯信号灯及平射灯等运行费用项目随机社会调查问卷汇总表</w:t>
      </w:r>
    </w:p>
    <w:p>
      <w:pPr>
        <w:pStyle w:val="30"/>
        <w:bidi w:val="0"/>
        <w:rPr>
          <w:rFonts w:hint="default"/>
          <w:lang w:val="en-US"/>
        </w:rPr>
      </w:pPr>
      <w:r>
        <w:rPr>
          <w:rFonts w:hint="eastAsia"/>
          <w:lang w:val="en-US"/>
        </w:rPr>
        <w:t>4.遵化市城市管理综合行政执法局2022年路灯信号灯及平射灯等运行费用项目随机社会调查问卷统计表</w:t>
      </w:r>
    </w:p>
    <w:sectPr>
      <w:headerReference r:id="rId5" w:type="default"/>
      <w:footerReference r:id="rId6" w:type="default"/>
      <w:pgSz w:w="11906" w:h="16838"/>
      <w:pgMar w:top="1440" w:right="1797" w:bottom="1440" w:left="1797" w:header="680" w:footer="454" w:gutter="0"/>
      <w:pgNumType w:fmt="decimal"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62252FD-E8BE-4E2B-80E3-CF37A7680E8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7FB0DEB9-2BE7-495D-B538-5406A9DC5B99}"/>
  </w:font>
  <w:font w:name="方正小标宋简体">
    <w:panose1 w:val="02000000000000000000"/>
    <w:charset w:val="86"/>
    <w:family w:val="auto"/>
    <w:pitch w:val="default"/>
    <w:sig w:usb0="00000001" w:usb1="08000000" w:usb2="00000000" w:usb3="00000000" w:csb0="00040000" w:csb1="00000000"/>
    <w:embedRegular r:id="rId3" w:fontKey="{8742FC46-D6F3-4240-BE67-15B515AFF108}"/>
  </w:font>
  <w:font w:name="方正楷体_GB2312">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仿宋_GB2312">
    <w:altName w:val="仿宋"/>
    <w:panose1 w:val="00000000000000000000"/>
    <w:charset w:val="00"/>
    <w:family w:val="auto"/>
    <w:pitch w:val="default"/>
    <w:sig w:usb0="00000000" w:usb1="00000000" w:usb2="00000000" w:usb3="00000000" w:csb0="00000000" w:csb1="00000000"/>
    <w:embedRegular r:id="rId4" w:fontKey="{3C5FC5A0-1F32-4348-9EE5-0231884C01AB}"/>
  </w:font>
  <w:font w:name="新宋体">
    <w:panose1 w:val="02010609030101010101"/>
    <w:charset w:val="86"/>
    <w:family w:val="modern"/>
    <w:pitch w:val="default"/>
    <w:sig w:usb0="00000283" w:usb1="288F0000" w:usb2="00000006" w:usb3="00000000" w:csb0="00040001" w:csb1="00000000"/>
    <w:embedRegular r:id="rId5" w:fontKey="{E0DEE143-42D2-4AC8-AC51-874E9E7F89D4}"/>
  </w:font>
  <w:font w:name="华文楷体">
    <w:panose1 w:val="02010600040101010101"/>
    <w:charset w:val="86"/>
    <w:family w:val="auto"/>
    <w:pitch w:val="default"/>
    <w:sig w:usb0="00000287" w:usb1="080F0000" w:usb2="00000000" w:usb3="00000000" w:csb0="0004009F" w:csb1="DFD70000"/>
    <w:embedRegular r:id="rId6" w:fontKey="{C510E2DC-3161-40F0-912F-E30849DB9308}"/>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left w:val="none" w:color="auto" w:sz="0" w:space="4"/>
        <w:bottom w:val="none" w:color="auto" w:sz="0" w:space="1"/>
        <w:right w:val="none" w:color="auto" w:sz="0" w:space="4"/>
      </w:pBdr>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4</w:t>
                          </w:r>
                          <w:r>
                            <w:fldChar w:fldCharType="end"/>
                          </w:r>
                          <w:r>
                            <w:t xml:space="preserve"> 页 共</w:t>
                          </w:r>
                          <w:r>
                            <w:rPr>
                              <w:rFonts w:hint="eastAsia"/>
                              <w:lang w:val="en-US" w:eastAsia="zh-CN"/>
                            </w:rPr>
                            <w:t xml:space="preserve"> 14 </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4</w:t>
                    </w:r>
                    <w:r>
                      <w:fldChar w:fldCharType="end"/>
                    </w:r>
                    <w:r>
                      <w:t xml:space="preserve"> 页 共</w:t>
                    </w:r>
                    <w:r>
                      <w:rPr>
                        <w:rFonts w:hint="eastAsia"/>
                        <w:lang w:val="en-US" w:eastAsia="zh-CN"/>
                      </w:rPr>
                      <w:t xml:space="preserve"> 14 </w:t>
                    </w:r>
                    <w:r>
                      <w:t>页</w:t>
                    </w:r>
                  </w:p>
                </w:txbxContent>
              </v:textbox>
            </v:shape>
          </w:pict>
        </mc:Fallback>
      </mc:AlternateContent>
    </w:r>
    <w:r>
      <w:rPr>
        <w:rFonts w:hint="eastAsia" w:hAnsi="宋体" w:cs="宋体"/>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3"/>
                    </w:pPr>
                  </w:p>
                </w:txbxContent>
              </v:textbox>
            </v:shape>
          </w:pict>
        </mc:Fallback>
      </mc:AlternateContent>
    </w:r>
    <w:r>
      <w:rPr>
        <w:rFonts w:hint="eastAsia" w:hAnsi="宋体" w:cs="宋体"/>
        <w:kern w:val="2"/>
        <w:sz w:val="18"/>
        <w:szCs w:val="18"/>
        <w:lang w:bidi="ar"/>
      </w:rPr>
      <w:t xml:space="preserve">地址：河北省唐山市路北区光明路48-3              </w:t>
    </w:r>
    <w:r>
      <w:rPr>
        <w:rFonts w:hint="eastAsia" w:ascii="Calibri" w:hAnsi="Calibri"/>
        <w:kern w:val="2"/>
        <w:sz w:val="21"/>
        <w:szCs w:val="22"/>
        <w:lang w:bidi="ar"/>
      </w:rPr>
      <w:t xml:space="preserve">                    </w:t>
    </w:r>
    <w:r>
      <w:rPr>
        <w:rFonts w:hint="eastAsia" w:hAnsi="宋体" w:cs="宋体"/>
        <w:kern w:val="2"/>
        <w:sz w:val="18"/>
        <w:szCs w:val="18"/>
        <w:lang w:bidi="ar"/>
      </w:rPr>
      <w:t>电话：0315-5757564</w:t>
    </w:r>
    <w:r>
      <w:rPr>
        <w:rFonts w:ascii="Calibri" w:hAnsi="Calibri"/>
        <w:kern w:val="2"/>
        <w:sz w:val="21"/>
        <w:szCs w:val="22"/>
        <w:lang w:bidi="ar"/>
      </w:rPr>
      <w:tab/>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jc w:val="right"/>
    </w:pPr>
    <w:r>
      <w:rPr>
        <w:rFonts w:hint="eastAsia"/>
      </w:rPr>
      <w:t xml:space="preserve">                          遵化市城市管理综合行政执法局2022年路灯信号灯及平射灯等运行费用项目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wMTVlNDZlNWZkMTJmOGMxYjMyNjNiMTI5YWU3ZjQifQ=="/>
  </w:docVars>
  <w:rsids>
    <w:rsidRoot w:val="000B4CF0"/>
    <w:rsid w:val="00001BF6"/>
    <w:rsid w:val="00001D22"/>
    <w:rsid w:val="00003FFA"/>
    <w:rsid w:val="00004389"/>
    <w:rsid w:val="00010943"/>
    <w:rsid w:val="00013322"/>
    <w:rsid w:val="00015B3C"/>
    <w:rsid w:val="00016B1C"/>
    <w:rsid w:val="00017377"/>
    <w:rsid w:val="0002149B"/>
    <w:rsid w:val="000228FC"/>
    <w:rsid w:val="0002362C"/>
    <w:rsid w:val="00023AB7"/>
    <w:rsid w:val="00034A68"/>
    <w:rsid w:val="00035F1B"/>
    <w:rsid w:val="0003733D"/>
    <w:rsid w:val="00037CF3"/>
    <w:rsid w:val="00040260"/>
    <w:rsid w:val="00043A78"/>
    <w:rsid w:val="000447DD"/>
    <w:rsid w:val="0004583D"/>
    <w:rsid w:val="0004778B"/>
    <w:rsid w:val="00055A45"/>
    <w:rsid w:val="00055F85"/>
    <w:rsid w:val="00064AF1"/>
    <w:rsid w:val="00065B68"/>
    <w:rsid w:val="00066911"/>
    <w:rsid w:val="0007312A"/>
    <w:rsid w:val="00075105"/>
    <w:rsid w:val="0008205D"/>
    <w:rsid w:val="000824DE"/>
    <w:rsid w:val="00085814"/>
    <w:rsid w:val="000872F1"/>
    <w:rsid w:val="00087FE2"/>
    <w:rsid w:val="0009422B"/>
    <w:rsid w:val="00094FD3"/>
    <w:rsid w:val="000A63E0"/>
    <w:rsid w:val="000A6C79"/>
    <w:rsid w:val="000A6DD7"/>
    <w:rsid w:val="000A79FA"/>
    <w:rsid w:val="000B4CF0"/>
    <w:rsid w:val="000B7CCD"/>
    <w:rsid w:val="000C2F55"/>
    <w:rsid w:val="000D3304"/>
    <w:rsid w:val="000E0A6C"/>
    <w:rsid w:val="000E2D79"/>
    <w:rsid w:val="000E513C"/>
    <w:rsid w:val="000E6235"/>
    <w:rsid w:val="000F30E3"/>
    <w:rsid w:val="000F3F9F"/>
    <w:rsid w:val="000F639C"/>
    <w:rsid w:val="001023E1"/>
    <w:rsid w:val="00104E53"/>
    <w:rsid w:val="00105A10"/>
    <w:rsid w:val="0010631D"/>
    <w:rsid w:val="00110E50"/>
    <w:rsid w:val="00112713"/>
    <w:rsid w:val="00123BC4"/>
    <w:rsid w:val="00125287"/>
    <w:rsid w:val="001351FA"/>
    <w:rsid w:val="00136FAC"/>
    <w:rsid w:val="00137450"/>
    <w:rsid w:val="00141B24"/>
    <w:rsid w:val="001479B1"/>
    <w:rsid w:val="00152777"/>
    <w:rsid w:val="0015446D"/>
    <w:rsid w:val="001548EF"/>
    <w:rsid w:val="0015534A"/>
    <w:rsid w:val="001555B8"/>
    <w:rsid w:val="00157595"/>
    <w:rsid w:val="001609FA"/>
    <w:rsid w:val="0016234E"/>
    <w:rsid w:val="00163AE2"/>
    <w:rsid w:val="001652BF"/>
    <w:rsid w:val="00166280"/>
    <w:rsid w:val="0017338F"/>
    <w:rsid w:val="00184088"/>
    <w:rsid w:val="001916CC"/>
    <w:rsid w:val="001979A4"/>
    <w:rsid w:val="001A6D4F"/>
    <w:rsid w:val="001A7396"/>
    <w:rsid w:val="001B1F2A"/>
    <w:rsid w:val="001B212E"/>
    <w:rsid w:val="001B30A4"/>
    <w:rsid w:val="001B72A7"/>
    <w:rsid w:val="001C4027"/>
    <w:rsid w:val="001C4428"/>
    <w:rsid w:val="001C5871"/>
    <w:rsid w:val="001D4C35"/>
    <w:rsid w:val="001D4D88"/>
    <w:rsid w:val="001E0290"/>
    <w:rsid w:val="001E0DF2"/>
    <w:rsid w:val="001E5102"/>
    <w:rsid w:val="001E7297"/>
    <w:rsid w:val="001F499D"/>
    <w:rsid w:val="001F4CD0"/>
    <w:rsid w:val="00200224"/>
    <w:rsid w:val="00201447"/>
    <w:rsid w:val="00201AAA"/>
    <w:rsid w:val="00201C49"/>
    <w:rsid w:val="00201E98"/>
    <w:rsid w:val="00203925"/>
    <w:rsid w:val="00206534"/>
    <w:rsid w:val="00207C07"/>
    <w:rsid w:val="00210495"/>
    <w:rsid w:val="00211CC1"/>
    <w:rsid w:val="002151E0"/>
    <w:rsid w:val="00221743"/>
    <w:rsid w:val="00222415"/>
    <w:rsid w:val="00224910"/>
    <w:rsid w:val="00225399"/>
    <w:rsid w:val="00226039"/>
    <w:rsid w:val="00226F86"/>
    <w:rsid w:val="00230F12"/>
    <w:rsid w:val="002332DB"/>
    <w:rsid w:val="00233421"/>
    <w:rsid w:val="0023355A"/>
    <w:rsid w:val="0023516A"/>
    <w:rsid w:val="00235B47"/>
    <w:rsid w:val="002369C0"/>
    <w:rsid w:val="00240AFE"/>
    <w:rsid w:val="00241A08"/>
    <w:rsid w:val="00242FED"/>
    <w:rsid w:val="00247FFA"/>
    <w:rsid w:val="00250B61"/>
    <w:rsid w:val="00252077"/>
    <w:rsid w:val="002544F9"/>
    <w:rsid w:val="00262393"/>
    <w:rsid w:val="00263C6B"/>
    <w:rsid w:val="00275213"/>
    <w:rsid w:val="00276A1D"/>
    <w:rsid w:val="002803B6"/>
    <w:rsid w:val="0028325E"/>
    <w:rsid w:val="00285F24"/>
    <w:rsid w:val="00287736"/>
    <w:rsid w:val="00291EA0"/>
    <w:rsid w:val="002929BE"/>
    <w:rsid w:val="00292EBF"/>
    <w:rsid w:val="00295A59"/>
    <w:rsid w:val="00297375"/>
    <w:rsid w:val="00297730"/>
    <w:rsid w:val="002A0ADF"/>
    <w:rsid w:val="002A189B"/>
    <w:rsid w:val="002A4741"/>
    <w:rsid w:val="002B2773"/>
    <w:rsid w:val="002B49C0"/>
    <w:rsid w:val="002B75C5"/>
    <w:rsid w:val="002C0877"/>
    <w:rsid w:val="002C5C47"/>
    <w:rsid w:val="002C60CB"/>
    <w:rsid w:val="002D2059"/>
    <w:rsid w:val="002D3766"/>
    <w:rsid w:val="002E21D3"/>
    <w:rsid w:val="002F4135"/>
    <w:rsid w:val="002F4186"/>
    <w:rsid w:val="002F5A7E"/>
    <w:rsid w:val="0030012D"/>
    <w:rsid w:val="003006D7"/>
    <w:rsid w:val="00302B4E"/>
    <w:rsid w:val="00303388"/>
    <w:rsid w:val="00303CE0"/>
    <w:rsid w:val="00320F07"/>
    <w:rsid w:val="003240AC"/>
    <w:rsid w:val="00327DCB"/>
    <w:rsid w:val="0033050F"/>
    <w:rsid w:val="00331262"/>
    <w:rsid w:val="00331760"/>
    <w:rsid w:val="00334157"/>
    <w:rsid w:val="00334A93"/>
    <w:rsid w:val="00336E3C"/>
    <w:rsid w:val="00341433"/>
    <w:rsid w:val="003435FA"/>
    <w:rsid w:val="00343A17"/>
    <w:rsid w:val="00345677"/>
    <w:rsid w:val="00350A2E"/>
    <w:rsid w:val="003528AC"/>
    <w:rsid w:val="003532FE"/>
    <w:rsid w:val="003579F7"/>
    <w:rsid w:val="0036155E"/>
    <w:rsid w:val="003616C5"/>
    <w:rsid w:val="00361956"/>
    <w:rsid w:val="00370016"/>
    <w:rsid w:val="003708D7"/>
    <w:rsid w:val="00370AF7"/>
    <w:rsid w:val="0037263E"/>
    <w:rsid w:val="00376087"/>
    <w:rsid w:val="00376A4A"/>
    <w:rsid w:val="003825C1"/>
    <w:rsid w:val="0038778D"/>
    <w:rsid w:val="0039117B"/>
    <w:rsid w:val="00391729"/>
    <w:rsid w:val="0039233B"/>
    <w:rsid w:val="00395306"/>
    <w:rsid w:val="003A03D7"/>
    <w:rsid w:val="003A0DCD"/>
    <w:rsid w:val="003A54AA"/>
    <w:rsid w:val="003A76DE"/>
    <w:rsid w:val="003B23E2"/>
    <w:rsid w:val="003B6EF7"/>
    <w:rsid w:val="003B71B4"/>
    <w:rsid w:val="003C204E"/>
    <w:rsid w:val="003C54DB"/>
    <w:rsid w:val="003E0182"/>
    <w:rsid w:val="003F0B86"/>
    <w:rsid w:val="003F77B5"/>
    <w:rsid w:val="00403071"/>
    <w:rsid w:val="00404681"/>
    <w:rsid w:val="00404BEC"/>
    <w:rsid w:val="004128E6"/>
    <w:rsid w:val="00412AA3"/>
    <w:rsid w:val="004135F0"/>
    <w:rsid w:val="004178C3"/>
    <w:rsid w:val="00422E47"/>
    <w:rsid w:val="00424006"/>
    <w:rsid w:val="00433F90"/>
    <w:rsid w:val="00434179"/>
    <w:rsid w:val="00436E55"/>
    <w:rsid w:val="004374E7"/>
    <w:rsid w:val="0044267F"/>
    <w:rsid w:val="00443B5B"/>
    <w:rsid w:val="00443C4B"/>
    <w:rsid w:val="00445A83"/>
    <w:rsid w:val="0044664F"/>
    <w:rsid w:val="004555A8"/>
    <w:rsid w:val="00462191"/>
    <w:rsid w:val="00462F11"/>
    <w:rsid w:val="00465691"/>
    <w:rsid w:val="004719A0"/>
    <w:rsid w:val="004758AB"/>
    <w:rsid w:val="00480422"/>
    <w:rsid w:val="00480B32"/>
    <w:rsid w:val="00483B80"/>
    <w:rsid w:val="0048556C"/>
    <w:rsid w:val="0048645B"/>
    <w:rsid w:val="00486837"/>
    <w:rsid w:val="004903C7"/>
    <w:rsid w:val="00493F26"/>
    <w:rsid w:val="00497344"/>
    <w:rsid w:val="004A0B55"/>
    <w:rsid w:val="004A6CAC"/>
    <w:rsid w:val="004B2649"/>
    <w:rsid w:val="004C2902"/>
    <w:rsid w:val="004C3A16"/>
    <w:rsid w:val="004C4D51"/>
    <w:rsid w:val="004C5196"/>
    <w:rsid w:val="004C56DB"/>
    <w:rsid w:val="004D0C41"/>
    <w:rsid w:val="004D3FEA"/>
    <w:rsid w:val="004D5AE7"/>
    <w:rsid w:val="004E0787"/>
    <w:rsid w:val="004E0BD7"/>
    <w:rsid w:val="004E458F"/>
    <w:rsid w:val="004F109C"/>
    <w:rsid w:val="004F246A"/>
    <w:rsid w:val="004F59DA"/>
    <w:rsid w:val="004F5E2A"/>
    <w:rsid w:val="004F737D"/>
    <w:rsid w:val="004F7D06"/>
    <w:rsid w:val="00503CE2"/>
    <w:rsid w:val="00505635"/>
    <w:rsid w:val="0050656F"/>
    <w:rsid w:val="00514A07"/>
    <w:rsid w:val="00516847"/>
    <w:rsid w:val="0052564C"/>
    <w:rsid w:val="00525A51"/>
    <w:rsid w:val="00525CFC"/>
    <w:rsid w:val="0053078E"/>
    <w:rsid w:val="0053144F"/>
    <w:rsid w:val="005324CC"/>
    <w:rsid w:val="00532DDE"/>
    <w:rsid w:val="0053318C"/>
    <w:rsid w:val="0053515E"/>
    <w:rsid w:val="0055342A"/>
    <w:rsid w:val="00553B22"/>
    <w:rsid w:val="00555B1D"/>
    <w:rsid w:val="0056384A"/>
    <w:rsid w:val="0056438A"/>
    <w:rsid w:val="00564ABE"/>
    <w:rsid w:val="00567424"/>
    <w:rsid w:val="005849D0"/>
    <w:rsid w:val="005870F0"/>
    <w:rsid w:val="005908BC"/>
    <w:rsid w:val="0059538C"/>
    <w:rsid w:val="005A35EA"/>
    <w:rsid w:val="005A7F03"/>
    <w:rsid w:val="005B2C40"/>
    <w:rsid w:val="005B54B6"/>
    <w:rsid w:val="005C1755"/>
    <w:rsid w:val="005C40BD"/>
    <w:rsid w:val="005C5DAF"/>
    <w:rsid w:val="005C7602"/>
    <w:rsid w:val="005D06DE"/>
    <w:rsid w:val="005D109B"/>
    <w:rsid w:val="005D1CE0"/>
    <w:rsid w:val="005D60FA"/>
    <w:rsid w:val="005D6435"/>
    <w:rsid w:val="005E014F"/>
    <w:rsid w:val="005E10E6"/>
    <w:rsid w:val="005E2C5E"/>
    <w:rsid w:val="005E4766"/>
    <w:rsid w:val="005E4C30"/>
    <w:rsid w:val="005F0B9C"/>
    <w:rsid w:val="005F310E"/>
    <w:rsid w:val="005F4122"/>
    <w:rsid w:val="005F4A98"/>
    <w:rsid w:val="005F612C"/>
    <w:rsid w:val="005F78F3"/>
    <w:rsid w:val="005F7F5B"/>
    <w:rsid w:val="005F7F90"/>
    <w:rsid w:val="0060414C"/>
    <w:rsid w:val="00604A43"/>
    <w:rsid w:val="006058EF"/>
    <w:rsid w:val="00605990"/>
    <w:rsid w:val="006076EF"/>
    <w:rsid w:val="0060781C"/>
    <w:rsid w:val="006132E4"/>
    <w:rsid w:val="00622BA6"/>
    <w:rsid w:val="00631B9F"/>
    <w:rsid w:val="006330C2"/>
    <w:rsid w:val="00634DF7"/>
    <w:rsid w:val="006362D8"/>
    <w:rsid w:val="00636E33"/>
    <w:rsid w:val="006417A1"/>
    <w:rsid w:val="006431CC"/>
    <w:rsid w:val="006475DB"/>
    <w:rsid w:val="006514C7"/>
    <w:rsid w:val="00653B75"/>
    <w:rsid w:val="006570E5"/>
    <w:rsid w:val="006574EF"/>
    <w:rsid w:val="006611CF"/>
    <w:rsid w:val="00663AAA"/>
    <w:rsid w:val="00664A21"/>
    <w:rsid w:val="00666DFD"/>
    <w:rsid w:val="00675233"/>
    <w:rsid w:val="0067527C"/>
    <w:rsid w:val="00676A56"/>
    <w:rsid w:val="00682355"/>
    <w:rsid w:val="006916C5"/>
    <w:rsid w:val="00691FD7"/>
    <w:rsid w:val="006940B1"/>
    <w:rsid w:val="00694C61"/>
    <w:rsid w:val="00697E9B"/>
    <w:rsid w:val="006A2BE0"/>
    <w:rsid w:val="006A2E64"/>
    <w:rsid w:val="006B0626"/>
    <w:rsid w:val="006B095E"/>
    <w:rsid w:val="006B1697"/>
    <w:rsid w:val="006B379C"/>
    <w:rsid w:val="006B484F"/>
    <w:rsid w:val="006B7067"/>
    <w:rsid w:val="006C305D"/>
    <w:rsid w:val="006C494F"/>
    <w:rsid w:val="006C4B7B"/>
    <w:rsid w:val="006D20DA"/>
    <w:rsid w:val="006D2520"/>
    <w:rsid w:val="006E0A03"/>
    <w:rsid w:val="006E3898"/>
    <w:rsid w:val="006F15F8"/>
    <w:rsid w:val="006F2C84"/>
    <w:rsid w:val="006F401C"/>
    <w:rsid w:val="006F60B2"/>
    <w:rsid w:val="006F710A"/>
    <w:rsid w:val="0070022C"/>
    <w:rsid w:val="007028A7"/>
    <w:rsid w:val="0070353B"/>
    <w:rsid w:val="0070573B"/>
    <w:rsid w:val="0071045F"/>
    <w:rsid w:val="00710DC1"/>
    <w:rsid w:val="007136A6"/>
    <w:rsid w:val="00720842"/>
    <w:rsid w:val="0072265D"/>
    <w:rsid w:val="0072319B"/>
    <w:rsid w:val="007248C9"/>
    <w:rsid w:val="00724F2A"/>
    <w:rsid w:val="00726F60"/>
    <w:rsid w:val="00730278"/>
    <w:rsid w:val="00731FAD"/>
    <w:rsid w:val="00732D1E"/>
    <w:rsid w:val="00733B3F"/>
    <w:rsid w:val="0073464B"/>
    <w:rsid w:val="00736928"/>
    <w:rsid w:val="00737C9D"/>
    <w:rsid w:val="007400A0"/>
    <w:rsid w:val="00741BDB"/>
    <w:rsid w:val="00743516"/>
    <w:rsid w:val="0074626C"/>
    <w:rsid w:val="0075112A"/>
    <w:rsid w:val="0075190A"/>
    <w:rsid w:val="00752027"/>
    <w:rsid w:val="00756AD9"/>
    <w:rsid w:val="00762E01"/>
    <w:rsid w:val="00765534"/>
    <w:rsid w:val="007707A9"/>
    <w:rsid w:val="00771EFB"/>
    <w:rsid w:val="0077242F"/>
    <w:rsid w:val="00774F99"/>
    <w:rsid w:val="0077664A"/>
    <w:rsid w:val="00776C80"/>
    <w:rsid w:val="00782B8A"/>
    <w:rsid w:val="00782EA4"/>
    <w:rsid w:val="007931D2"/>
    <w:rsid w:val="00795003"/>
    <w:rsid w:val="007A3866"/>
    <w:rsid w:val="007A52B4"/>
    <w:rsid w:val="007C307C"/>
    <w:rsid w:val="007C5237"/>
    <w:rsid w:val="007C6C11"/>
    <w:rsid w:val="007C7226"/>
    <w:rsid w:val="007D170F"/>
    <w:rsid w:val="007D77B5"/>
    <w:rsid w:val="007D7F4B"/>
    <w:rsid w:val="007E6243"/>
    <w:rsid w:val="007E797E"/>
    <w:rsid w:val="007F1356"/>
    <w:rsid w:val="007F21A1"/>
    <w:rsid w:val="008016C6"/>
    <w:rsid w:val="0080206C"/>
    <w:rsid w:val="008068EA"/>
    <w:rsid w:val="00806FC6"/>
    <w:rsid w:val="008074C8"/>
    <w:rsid w:val="00811A2D"/>
    <w:rsid w:val="00811F87"/>
    <w:rsid w:val="008148D7"/>
    <w:rsid w:val="00814C22"/>
    <w:rsid w:val="00817439"/>
    <w:rsid w:val="008255A4"/>
    <w:rsid w:val="008263E5"/>
    <w:rsid w:val="00826857"/>
    <w:rsid w:val="00830AB7"/>
    <w:rsid w:val="008323A1"/>
    <w:rsid w:val="00832980"/>
    <w:rsid w:val="00834448"/>
    <w:rsid w:val="008377BC"/>
    <w:rsid w:val="008441B5"/>
    <w:rsid w:val="0085380F"/>
    <w:rsid w:val="00855B31"/>
    <w:rsid w:val="00857C1C"/>
    <w:rsid w:val="00861886"/>
    <w:rsid w:val="0086198D"/>
    <w:rsid w:val="00873805"/>
    <w:rsid w:val="0087724C"/>
    <w:rsid w:val="00881C03"/>
    <w:rsid w:val="00881E3D"/>
    <w:rsid w:val="00882ED0"/>
    <w:rsid w:val="00886655"/>
    <w:rsid w:val="00887314"/>
    <w:rsid w:val="0089047E"/>
    <w:rsid w:val="0089237A"/>
    <w:rsid w:val="00894395"/>
    <w:rsid w:val="0089720D"/>
    <w:rsid w:val="0089723E"/>
    <w:rsid w:val="008A27F2"/>
    <w:rsid w:val="008A4830"/>
    <w:rsid w:val="008A6E45"/>
    <w:rsid w:val="008B113D"/>
    <w:rsid w:val="008B1170"/>
    <w:rsid w:val="008B58CB"/>
    <w:rsid w:val="008C0349"/>
    <w:rsid w:val="008C15D0"/>
    <w:rsid w:val="008C40EA"/>
    <w:rsid w:val="008C55F8"/>
    <w:rsid w:val="008C6A19"/>
    <w:rsid w:val="008C7061"/>
    <w:rsid w:val="008C7B69"/>
    <w:rsid w:val="008D3ACA"/>
    <w:rsid w:val="008D67E0"/>
    <w:rsid w:val="008D7B58"/>
    <w:rsid w:val="008F42FA"/>
    <w:rsid w:val="008F67CF"/>
    <w:rsid w:val="00901D77"/>
    <w:rsid w:val="009049ED"/>
    <w:rsid w:val="00916407"/>
    <w:rsid w:val="00916DA7"/>
    <w:rsid w:val="009217BC"/>
    <w:rsid w:val="00922288"/>
    <w:rsid w:val="009266A0"/>
    <w:rsid w:val="00926898"/>
    <w:rsid w:val="00926D2E"/>
    <w:rsid w:val="00930024"/>
    <w:rsid w:val="0093091B"/>
    <w:rsid w:val="009314CB"/>
    <w:rsid w:val="00933318"/>
    <w:rsid w:val="00936B39"/>
    <w:rsid w:val="009405FF"/>
    <w:rsid w:val="009416FF"/>
    <w:rsid w:val="00941E22"/>
    <w:rsid w:val="00942458"/>
    <w:rsid w:val="00942631"/>
    <w:rsid w:val="00947858"/>
    <w:rsid w:val="0095046B"/>
    <w:rsid w:val="009512AD"/>
    <w:rsid w:val="00951D17"/>
    <w:rsid w:val="00954066"/>
    <w:rsid w:val="00957716"/>
    <w:rsid w:val="00961C45"/>
    <w:rsid w:val="00961E09"/>
    <w:rsid w:val="009701B1"/>
    <w:rsid w:val="00971B7B"/>
    <w:rsid w:val="00977AFD"/>
    <w:rsid w:val="00982DB7"/>
    <w:rsid w:val="009863DF"/>
    <w:rsid w:val="00986ADC"/>
    <w:rsid w:val="00991228"/>
    <w:rsid w:val="00997F44"/>
    <w:rsid w:val="009A2009"/>
    <w:rsid w:val="009A41D5"/>
    <w:rsid w:val="009A5158"/>
    <w:rsid w:val="009A59CA"/>
    <w:rsid w:val="009B237C"/>
    <w:rsid w:val="009B27A2"/>
    <w:rsid w:val="009C257C"/>
    <w:rsid w:val="009C281B"/>
    <w:rsid w:val="009C4892"/>
    <w:rsid w:val="009C62AC"/>
    <w:rsid w:val="009D1172"/>
    <w:rsid w:val="009D1202"/>
    <w:rsid w:val="009D459D"/>
    <w:rsid w:val="009D5BE3"/>
    <w:rsid w:val="009D603C"/>
    <w:rsid w:val="009D619D"/>
    <w:rsid w:val="009D6BF5"/>
    <w:rsid w:val="009E0BA0"/>
    <w:rsid w:val="009E24E2"/>
    <w:rsid w:val="009E6F94"/>
    <w:rsid w:val="009F02E7"/>
    <w:rsid w:val="009F08F6"/>
    <w:rsid w:val="009F0DD9"/>
    <w:rsid w:val="009F4323"/>
    <w:rsid w:val="009F7570"/>
    <w:rsid w:val="00A020AB"/>
    <w:rsid w:val="00A040D7"/>
    <w:rsid w:val="00A050AB"/>
    <w:rsid w:val="00A12086"/>
    <w:rsid w:val="00A12D42"/>
    <w:rsid w:val="00A158ED"/>
    <w:rsid w:val="00A177E5"/>
    <w:rsid w:val="00A218A1"/>
    <w:rsid w:val="00A21F8C"/>
    <w:rsid w:val="00A2492B"/>
    <w:rsid w:val="00A25391"/>
    <w:rsid w:val="00A3182A"/>
    <w:rsid w:val="00A33228"/>
    <w:rsid w:val="00A40FBF"/>
    <w:rsid w:val="00A447CB"/>
    <w:rsid w:val="00A4619C"/>
    <w:rsid w:val="00A51486"/>
    <w:rsid w:val="00A53023"/>
    <w:rsid w:val="00A53C7D"/>
    <w:rsid w:val="00A54165"/>
    <w:rsid w:val="00A5555B"/>
    <w:rsid w:val="00A605C0"/>
    <w:rsid w:val="00A60E7F"/>
    <w:rsid w:val="00A666EF"/>
    <w:rsid w:val="00A71F79"/>
    <w:rsid w:val="00A757A1"/>
    <w:rsid w:val="00A9025E"/>
    <w:rsid w:val="00A926F6"/>
    <w:rsid w:val="00A94C43"/>
    <w:rsid w:val="00A95450"/>
    <w:rsid w:val="00AA5DC3"/>
    <w:rsid w:val="00AA7FF3"/>
    <w:rsid w:val="00AB57A5"/>
    <w:rsid w:val="00AB663E"/>
    <w:rsid w:val="00AC14FC"/>
    <w:rsid w:val="00AC5101"/>
    <w:rsid w:val="00AD1858"/>
    <w:rsid w:val="00AD1E79"/>
    <w:rsid w:val="00AE1DA3"/>
    <w:rsid w:val="00AE2C3B"/>
    <w:rsid w:val="00AE4EDF"/>
    <w:rsid w:val="00AF12A1"/>
    <w:rsid w:val="00AF611F"/>
    <w:rsid w:val="00AF6CA5"/>
    <w:rsid w:val="00B00770"/>
    <w:rsid w:val="00B04059"/>
    <w:rsid w:val="00B046D2"/>
    <w:rsid w:val="00B04930"/>
    <w:rsid w:val="00B075BE"/>
    <w:rsid w:val="00B07B89"/>
    <w:rsid w:val="00B10CD0"/>
    <w:rsid w:val="00B118AA"/>
    <w:rsid w:val="00B1471A"/>
    <w:rsid w:val="00B15205"/>
    <w:rsid w:val="00B165BF"/>
    <w:rsid w:val="00B17A11"/>
    <w:rsid w:val="00B203D1"/>
    <w:rsid w:val="00B20E9F"/>
    <w:rsid w:val="00B24B6E"/>
    <w:rsid w:val="00B33E65"/>
    <w:rsid w:val="00B354E3"/>
    <w:rsid w:val="00B37F68"/>
    <w:rsid w:val="00B416E9"/>
    <w:rsid w:val="00B46F61"/>
    <w:rsid w:val="00B47F06"/>
    <w:rsid w:val="00B50510"/>
    <w:rsid w:val="00B53172"/>
    <w:rsid w:val="00B614E7"/>
    <w:rsid w:val="00B63139"/>
    <w:rsid w:val="00B71486"/>
    <w:rsid w:val="00B820BC"/>
    <w:rsid w:val="00B83242"/>
    <w:rsid w:val="00B8605E"/>
    <w:rsid w:val="00B94517"/>
    <w:rsid w:val="00BA27EB"/>
    <w:rsid w:val="00BA2889"/>
    <w:rsid w:val="00BA2C45"/>
    <w:rsid w:val="00BA3DF2"/>
    <w:rsid w:val="00BA7B0A"/>
    <w:rsid w:val="00BB3FAB"/>
    <w:rsid w:val="00BB6CF9"/>
    <w:rsid w:val="00BB7540"/>
    <w:rsid w:val="00BC2476"/>
    <w:rsid w:val="00BC44D3"/>
    <w:rsid w:val="00BC6074"/>
    <w:rsid w:val="00BC72F9"/>
    <w:rsid w:val="00BD11DB"/>
    <w:rsid w:val="00BD210B"/>
    <w:rsid w:val="00BD39F3"/>
    <w:rsid w:val="00BD5F89"/>
    <w:rsid w:val="00BD78B0"/>
    <w:rsid w:val="00BE457E"/>
    <w:rsid w:val="00BE4ADD"/>
    <w:rsid w:val="00BE562A"/>
    <w:rsid w:val="00BF06A2"/>
    <w:rsid w:val="00BF2F99"/>
    <w:rsid w:val="00BF4646"/>
    <w:rsid w:val="00C01C89"/>
    <w:rsid w:val="00C02E9A"/>
    <w:rsid w:val="00C02F71"/>
    <w:rsid w:val="00C05BCA"/>
    <w:rsid w:val="00C07F60"/>
    <w:rsid w:val="00C126CD"/>
    <w:rsid w:val="00C21696"/>
    <w:rsid w:val="00C2700E"/>
    <w:rsid w:val="00C3011C"/>
    <w:rsid w:val="00C31505"/>
    <w:rsid w:val="00C35111"/>
    <w:rsid w:val="00C3583B"/>
    <w:rsid w:val="00C35A04"/>
    <w:rsid w:val="00C40487"/>
    <w:rsid w:val="00C40969"/>
    <w:rsid w:val="00C4115F"/>
    <w:rsid w:val="00C505AE"/>
    <w:rsid w:val="00C56AA3"/>
    <w:rsid w:val="00C57CF3"/>
    <w:rsid w:val="00C601DC"/>
    <w:rsid w:val="00C70A7F"/>
    <w:rsid w:val="00C730A6"/>
    <w:rsid w:val="00C74B35"/>
    <w:rsid w:val="00C750FB"/>
    <w:rsid w:val="00C837D2"/>
    <w:rsid w:val="00C840A0"/>
    <w:rsid w:val="00C85C83"/>
    <w:rsid w:val="00C87072"/>
    <w:rsid w:val="00C87AE8"/>
    <w:rsid w:val="00C90B00"/>
    <w:rsid w:val="00C90ED3"/>
    <w:rsid w:val="00C91449"/>
    <w:rsid w:val="00C95C0A"/>
    <w:rsid w:val="00CA1398"/>
    <w:rsid w:val="00CA1FCC"/>
    <w:rsid w:val="00CA3BD3"/>
    <w:rsid w:val="00CA51B0"/>
    <w:rsid w:val="00CB04B6"/>
    <w:rsid w:val="00CB1830"/>
    <w:rsid w:val="00CB1941"/>
    <w:rsid w:val="00CB2D68"/>
    <w:rsid w:val="00CB34EA"/>
    <w:rsid w:val="00CC3424"/>
    <w:rsid w:val="00CC373F"/>
    <w:rsid w:val="00CC77A4"/>
    <w:rsid w:val="00CC7FE8"/>
    <w:rsid w:val="00CD0952"/>
    <w:rsid w:val="00CD1F17"/>
    <w:rsid w:val="00CD320C"/>
    <w:rsid w:val="00CD5C13"/>
    <w:rsid w:val="00CD6C23"/>
    <w:rsid w:val="00CE4EE9"/>
    <w:rsid w:val="00CE5460"/>
    <w:rsid w:val="00CE668E"/>
    <w:rsid w:val="00CE67A9"/>
    <w:rsid w:val="00CF053A"/>
    <w:rsid w:val="00CF349D"/>
    <w:rsid w:val="00D0291A"/>
    <w:rsid w:val="00D0394B"/>
    <w:rsid w:val="00D0476A"/>
    <w:rsid w:val="00D15FAB"/>
    <w:rsid w:val="00D20620"/>
    <w:rsid w:val="00D27737"/>
    <w:rsid w:val="00D33FF9"/>
    <w:rsid w:val="00D3596D"/>
    <w:rsid w:val="00D35B2C"/>
    <w:rsid w:val="00D37442"/>
    <w:rsid w:val="00D40777"/>
    <w:rsid w:val="00D40B96"/>
    <w:rsid w:val="00D411C2"/>
    <w:rsid w:val="00D4224F"/>
    <w:rsid w:val="00D46B7E"/>
    <w:rsid w:val="00D51C0D"/>
    <w:rsid w:val="00D52649"/>
    <w:rsid w:val="00D53B7C"/>
    <w:rsid w:val="00D6300E"/>
    <w:rsid w:val="00D63A85"/>
    <w:rsid w:val="00D66780"/>
    <w:rsid w:val="00D66B88"/>
    <w:rsid w:val="00D70815"/>
    <w:rsid w:val="00D72E1D"/>
    <w:rsid w:val="00D74828"/>
    <w:rsid w:val="00D76C64"/>
    <w:rsid w:val="00D77420"/>
    <w:rsid w:val="00D803CB"/>
    <w:rsid w:val="00D87D15"/>
    <w:rsid w:val="00D91081"/>
    <w:rsid w:val="00D941E4"/>
    <w:rsid w:val="00DA1DCF"/>
    <w:rsid w:val="00DA2CD3"/>
    <w:rsid w:val="00DA7C95"/>
    <w:rsid w:val="00DB1F9B"/>
    <w:rsid w:val="00DB5420"/>
    <w:rsid w:val="00DB67E1"/>
    <w:rsid w:val="00DC247A"/>
    <w:rsid w:val="00DC5AB1"/>
    <w:rsid w:val="00DD00DC"/>
    <w:rsid w:val="00DD0755"/>
    <w:rsid w:val="00DD4E0A"/>
    <w:rsid w:val="00DD55C2"/>
    <w:rsid w:val="00DE3902"/>
    <w:rsid w:val="00DE57B3"/>
    <w:rsid w:val="00DF0E54"/>
    <w:rsid w:val="00DF65B4"/>
    <w:rsid w:val="00DF6752"/>
    <w:rsid w:val="00E074B2"/>
    <w:rsid w:val="00E1066E"/>
    <w:rsid w:val="00E10AC3"/>
    <w:rsid w:val="00E11D83"/>
    <w:rsid w:val="00E12266"/>
    <w:rsid w:val="00E13132"/>
    <w:rsid w:val="00E23C3F"/>
    <w:rsid w:val="00E253D5"/>
    <w:rsid w:val="00E26A26"/>
    <w:rsid w:val="00E27201"/>
    <w:rsid w:val="00E34EE4"/>
    <w:rsid w:val="00E36319"/>
    <w:rsid w:val="00E426AF"/>
    <w:rsid w:val="00E448A5"/>
    <w:rsid w:val="00E448D5"/>
    <w:rsid w:val="00E44C5C"/>
    <w:rsid w:val="00E46DFC"/>
    <w:rsid w:val="00E47731"/>
    <w:rsid w:val="00E47E64"/>
    <w:rsid w:val="00E552A8"/>
    <w:rsid w:val="00E5645D"/>
    <w:rsid w:val="00E5684F"/>
    <w:rsid w:val="00E61C21"/>
    <w:rsid w:val="00E6222E"/>
    <w:rsid w:val="00E63870"/>
    <w:rsid w:val="00E65E44"/>
    <w:rsid w:val="00E75B96"/>
    <w:rsid w:val="00E76DEC"/>
    <w:rsid w:val="00E81A8E"/>
    <w:rsid w:val="00E81AFE"/>
    <w:rsid w:val="00E8441E"/>
    <w:rsid w:val="00E85C4F"/>
    <w:rsid w:val="00E86C7F"/>
    <w:rsid w:val="00E90214"/>
    <w:rsid w:val="00E92B6A"/>
    <w:rsid w:val="00E963D8"/>
    <w:rsid w:val="00EA0F7E"/>
    <w:rsid w:val="00EA1F48"/>
    <w:rsid w:val="00EB66E4"/>
    <w:rsid w:val="00EC1D02"/>
    <w:rsid w:val="00EC28EC"/>
    <w:rsid w:val="00EC5D19"/>
    <w:rsid w:val="00ED1321"/>
    <w:rsid w:val="00ED36ED"/>
    <w:rsid w:val="00ED49A4"/>
    <w:rsid w:val="00ED511E"/>
    <w:rsid w:val="00ED7528"/>
    <w:rsid w:val="00EE15A9"/>
    <w:rsid w:val="00EF0A74"/>
    <w:rsid w:val="00EF210B"/>
    <w:rsid w:val="00EF3741"/>
    <w:rsid w:val="00EF5C0A"/>
    <w:rsid w:val="00F02221"/>
    <w:rsid w:val="00F042C1"/>
    <w:rsid w:val="00F102B3"/>
    <w:rsid w:val="00F10770"/>
    <w:rsid w:val="00F108B9"/>
    <w:rsid w:val="00F11F17"/>
    <w:rsid w:val="00F127C3"/>
    <w:rsid w:val="00F12A1D"/>
    <w:rsid w:val="00F17487"/>
    <w:rsid w:val="00F211EE"/>
    <w:rsid w:val="00F23375"/>
    <w:rsid w:val="00F26D76"/>
    <w:rsid w:val="00F3349E"/>
    <w:rsid w:val="00F35A19"/>
    <w:rsid w:val="00F41BA4"/>
    <w:rsid w:val="00F41E4C"/>
    <w:rsid w:val="00F44941"/>
    <w:rsid w:val="00F46158"/>
    <w:rsid w:val="00F54694"/>
    <w:rsid w:val="00F609EB"/>
    <w:rsid w:val="00F61FE7"/>
    <w:rsid w:val="00F666B6"/>
    <w:rsid w:val="00F668DE"/>
    <w:rsid w:val="00F70722"/>
    <w:rsid w:val="00F737F3"/>
    <w:rsid w:val="00F73BFD"/>
    <w:rsid w:val="00F7563B"/>
    <w:rsid w:val="00F8074E"/>
    <w:rsid w:val="00F924A9"/>
    <w:rsid w:val="00F92954"/>
    <w:rsid w:val="00F97077"/>
    <w:rsid w:val="00F977D0"/>
    <w:rsid w:val="00FA0B4E"/>
    <w:rsid w:val="00FA3540"/>
    <w:rsid w:val="00FC159F"/>
    <w:rsid w:val="00FC209C"/>
    <w:rsid w:val="00FC2CC2"/>
    <w:rsid w:val="00FC47AC"/>
    <w:rsid w:val="00FD0F59"/>
    <w:rsid w:val="00FD2773"/>
    <w:rsid w:val="00FD32B8"/>
    <w:rsid w:val="00FD6E91"/>
    <w:rsid w:val="00FE0195"/>
    <w:rsid w:val="00FE1680"/>
    <w:rsid w:val="00FE1C8F"/>
    <w:rsid w:val="00FE4859"/>
    <w:rsid w:val="00FE616A"/>
    <w:rsid w:val="00FF5352"/>
    <w:rsid w:val="014A6477"/>
    <w:rsid w:val="02021352"/>
    <w:rsid w:val="02454A65"/>
    <w:rsid w:val="02A12ECC"/>
    <w:rsid w:val="0414147C"/>
    <w:rsid w:val="04B073F7"/>
    <w:rsid w:val="04D501F8"/>
    <w:rsid w:val="04D8694E"/>
    <w:rsid w:val="04F55751"/>
    <w:rsid w:val="05263468"/>
    <w:rsid w:val="05FE07EB"/>
    <w:rsid w:val="06AC0F25"/>
    <w:rsid w:val="06BD6003"/>
    <w:rsid w:val="07383EB0"/>
    <w:rsid w:val="076C0F04"/>
    <w:rsid w:val="08BD0334"/>
    <w:rsid w:val="08E3549B"/>
    <w:rsid w:val="08ED4403"/>
    <w:rsid w:val="08F55D20"/>
    <w:rsid w:val="092254AC"/>
    <w:rsid w:val="0938624B"/>
    <w:rsid w:val="09E50FA8"/>
    <w:rsid w:val="0A073F5D"/>
    <w:rsid w:val="0A3208AE"/>
    <w:rsid w:val="0B8503B4"/>
    <w:rsid w:val="0BFA223B"/>
    <w:rsid w:val="0E0124A9"/>
    <w:rsid w:val="0E2877D0"/>
    <w:rsid w:val="0E2D0F7A"/>
    <w:rsid w:val="0ECA37AB"/>
    <w:rsid w:val="0F232C0E"/>
    <w:rsid w:val="108D761B"/>
    <w:rsid w:val="10C30531"/>
    <w:rsid w:val="10FB6C91"/>
    <w:rsid w:val="11115459"/>
    <w:rsid w:val="118A0FD0"/>
    <w:rsid w:val="11AB23AA"/>
    <w:rsid w:val="11BA18B5"/>
    <w:rsid w:val="13146984"/>
    <w:rsid w:val="131F4B85"/>
    <w:rsid w:val="1354447C"/>
    <w:rsid w:val="13A857FD"/>
    <w:rsid w:val="14CA009D"/>
    <w:rsid w:val="15603D13"/>
    <w:rsid w:val="159232DE"/>
    <w:rsid w:val="15DF4FB2"/>
    <w:rsid w:val="15E50933"/>
    <w:rsid w:val="17AB51EE"/>
    <w:rsid w:val="17D1459C"/>
    <w:rsid w:val="17D80CE7"/>
    <w:rsid w:val="17EC1A1B"/>
    <w:rsid w:val="186B171B"/>
    <w:rsid w:val="188E339C"/>
    <w:rsid w:val="18CB25F9"/>
    <w:rsid w:val="1A0A093F"/>
    <w:rsid w:val="1AB5464E"/>
    <w:rsid w:val="1B3C45FF"/>
    <w:rsid w:val="1B6B767C"/>
    <w:rsid w:val="1BE96DA4"/>
    <w:rsid w:val="1C5754D7"/>
    <w:rsid w:val="1C5C013C"/>
    <w:rsid w:val="1C817C78"/>
    <w:rsid w:val="1CA76EDA"/>
    <w:rsid w:val="1CA94963"/>
    <w:rsid w:val="1D066D71"/>
    <w:rsid w:val="1D403077"/>
    <w:rsid w:val="1D484219"/>
    <w:rsid w:val="1D840FC9"/>
    <w:rsid w:val="1DE877AA"/>
    <w:rsid w:val="1E4912E4"/>
    <w:rsid w:val="1F352B15"/>
    <w:rsid w:val="1F75556F"/>
    <w:rsid w:val="1F993BDF"/>
    <w:rsid w:val="20492CFD"/>
    <w:rsid w:val="208F03B0"/>
    <w:rsid w:val="215C4B10"/>
    <w:rsid w:val="219B4249"/>
    <w:rsid w:val="22D351CD"/>
    <w:rsid w:val="238D220A"/>
    <w:rsid w:val="238E4C84"/>
    <w:rsid w:val="23ED1CC1"/>
    <w:rsid w:val="2477751F"/>
    <w:rsid w:val="2499337D"/>
    <w:rsid w:val="258C4EBE"/>
    <w:rsid w:val="25F033F9"/>
    <w:rsid w:val="26182CDE"/>
    <w:rsid w:val="26E25876"/>
    <w:rsid w:val="27D86766"/>
    <w:rsid w:val="284101E2"/>
    <w:rsid w:val="289D7DA2"/>
    <w:rsid w:val="2930079F"/>
    <w:rsid w:val="29915199"/>
    <w:rsid w:val="2A0C65CE"/>
    <w:rsid w:val="2AE33BCD"/>
    <w:rsid w:val="2AE5579D"/>
    <w:rsid w:val="2AFA22CE"/>
    <w:rsid w:val="2B0C1FDA"/>
    <w:rsid w:val="2C093272"/>
    <w:rsid w:val="2D2F71A3"/>
    <w:rsid w:val="2DC0604D"/>
    <w:rsid w:val="2F5D3F8F"/>
    <w:rsid w:val="2F6955C8"/>
    <w:rsid w:val="2F7E2A72"/>
    <w:rsid w:val="2FA01BB6"/>
    <w:rsid w:val="3012281D"/>
    <w:rsid w:val="309679D2"/>
    <w:rsid w:val="30AB7E8B"/>
    <w:rsid w:val="30F97F69"/>
    <w:rsid w:val="31567508"/>
    <w:rsid w:val="31BE04CC"/>
    <w:rsid w:val="321C1E1A"/>
    <w:rsid w:val="327708BF"/>
    <w:rsid w:val="327B69E7"/>
    <w:rsid w:val="329428E2"/>
    <w:rsid w:val="32EC3440"/>
    <w:rsid w:val="336165A4"/>
    <w:rsid w:val="33A668E5"/>
    <w:rsid w:val="345E211C"/>
    <w:rsid w:val="346321BB"/>
    <w:rsid w:val="350F6D31"/>
    <w:rsid w:val="360D457A"/>
    <w:rsid w:val="360F7C36"/>
    <w:rsid w:val="3646059A"/>
    <w:rsid w:val="366C190B"/>
    <w:rsid w:val="368614E9"/>
    <w:rsid w:val="36E96615"/>
    <w:rsid w:val="37210C65"/>
    <w:rsid w:val="37EC1296"/>
    <w:rsid w:val="37EF5A09"/>
    <w:rsid w:val="387719FE"/>
    <w:rsid w:val="39320F6F"/>
    <w:rsid w:val="394F0285"/>
    <w:rsid w:val="39505A57"/>
    <w:rsid w:val="39BE0ACC"/>
    <w:rsid w:val="3A1E75B8"/>
    <w:rsid w:val="3ABF069B"/>
    <w:rsid w:val="3B0A6B5A"/>
    <w:rsid w:val="3B3F3604"/>
    <w:rsid w:val="3CD2571E"/>
    <w:rsid w:val="3D7C2C22"/>
    <w:rsid w:val="3DEC5291"/>
    <w:rsid w:val="3E79102E"/>
    <w:rsid w:val="3E7B7B34"/>
    <w:rsid w:val="3EBD718B"/>
    <w:rsid w:val="3F0464D4"/>
    <w:rsid w:val="3F2A031D"/>
    <w:rsid w:val="40351E18"/>
    <w:rsid w:val="40503350"/>
    <w:rsid w:val="406A6ED2"/>
    <w:rsid w:val="40BC08F6"/>
    <w:rsid w:val="41175B2C"/>
    <w:rsid w:val="426C06D4"/>
    <w:rsid w:val="43941B0C"/>
    <w:rsid w:val="43E75162"/>
    <w:rsid w:val="442073EE"/>
    <w:rsid w:val="443F1AB1"/>
    <w:rsid w:val="4490644F"/>
    <w:rsid w:val="44A3647C"/>
    <w:rsid w:val="44E1092B"/>
    <w:rsid w:val="45020FF2"/>
    <w:rsid w:val="45E91091"/>
    <w:rsid w:val="46200808"/>
    <w:rsid w:val="465C608A"/>
    <w:rsid w:val="46910613"/>
    <w:rsid w:val="47305B9A"/>
    <w:rsid w:val="473D29CD"/>
    <w:rsid w:val="47617B01"/>
    <w:rsid w:val="47FE1A75"/>
    <w:rsid w:val="481F55E7"/>
    <w:rsid w:val="48344695"/>
    <w:rsid w:val="483E2CF5"/>
    <w:rsid w:val="484241B8"/>
    <w:rsid w:val="48822425"/>
    <w:rsid w:val="48847F4B"/>
    <w:rsid w:val="48924C93"/>
    <w:rsid w:val="48D53720"/>
    <w:rsid w:val="49D40682"/>
    <w:rsid w:val="4A215C27"/>
    <w:rsid w:val="4B962145"/>
    <w:rsid w:val="4C44770E"/>
    <w:rsid w:val="4C45046E"/>
    <w:rsid w:val="4CD64D36"/>
    <w:rsid w:val="4CF00129"/>
    <w:rsid w:val="4D4C7943"/>
    <w:rsid w:val="4DE64E8D"/>
    <w:rsid w:val="4E2F2C3D"/>
    <w:rsid w:val="4E577EB0"/>
    <w:rsid w:val="4EBC240A"/>
    <w:rsid w:val="4EBE7F2F"/>
    <w:rsid w:val="4F136EDA"/>
    <w:rsid w:val="4F4F52B5"/>
    <w:rsid w:val="4FB0653A"/>
    <w:rsid w:val="4FEB4D54"/>
    <w:rsid w:val="515B02E3"/>
    <w:rsid w:val="516C2D76"/>
    <w:rsid w:val="51AC22C1"/>
    <w:rsid w:val="51B04DD1"/>
    <w:rsid w:val="51B16329"/>
    <w:rsid w:val="51BF75CD"/>
    <w:rsid w:val="522D3402"/>
    <w:rsid w:val="528C359C"/>
    <w:rsid w:val="52955ABE"/>
    <w:rsid w:val="52EA14F5"/>
    <w:rsid w:val="537A2BAA"/>
    <w:rsid w:val="53AB1883"/>
    <w:rsid w:val="53B042EA"/>
    <w:rsid w:val="53C47D96"/>
    <w:rsid w:val="53D80493"/>
    <w:rsid w:val="53E050EE"/>
    <w:rsid w:val="54120B01"/>
    <w:rsid w:val="545C3B2A"/>
    <w:rsid w:val="549F0B94"/>
    <w:rsid w:val="54A62B0A"/>
    <w:rsid w:val="54EF5C55"/>
    <w:rsid w:val="54FF3DA0"/>
    <w:rsid w:val="55095F58"/>
    <w:rsid w:val="560A50C5"/>
    <w:rsid w:val="563A5AA7"/>
    <w:rsid w:val="56BD5BB8"/>
    <w:rsid w:val="570F010F"/>
    <w:rsid w:val="57120632"/>
    <w:rsid w:val="57362D58"/>
    <w:rsid w:val="575F7F14"/>
    <w:rsid w:val="57C54F62"/>
    <w:rsid w:val="57EE3633"/>
    <w:rsid w:val="59902CF9"/>
    <w:rsid w:val="59A66B47"/>
    <w:rsid w:val="5A251C79"/>
    <w:rsid w:val="5A295C01"/>
    <w:rsid w:val="5A5D4ED8"/>
    <w:rsid w:val="5ABE449F"/>
    <w:rsid w:val="5B3B4064"/>
    <w:rsid w:val="5B69683E"/>
    <w:rsid w:val="5B8F755A"/>
    <w:rsid w:val="5B9E24E1"/>
    <w:rsid w:val="5C0F22D8"/>
    <w:rsid w:val="5C1318BA"/>
    <w:rsid w:val="5C21005E"/>
    <w:rsid w:val="5C425CFC"/>
    <w:rsid w:val="5C4721D0"/>
    <w:rsid w:val="5C8A31FF"/>
    <w:rsid w:val="5CD15ADE"/>
    <w:rsid w:val="5E532196"/>
    <w:rsid w:val="5E655CD1"/>
    <w:rsid w:val="5E730881"/>
    <w:rsid w:val="5EC51E78"/>
    <w:rsid w:val="5FE5531C"/>
    <w:rsid w:val="5FF05A6E"/>
    <w:rsid w:val="606904C2"/>
    <w:rsid w:val="608F3492"/>
    <w:rsid w:val="60AC1A06"/>
    <w:rsid w:val="60B86515"/>
    <w:rsid w:val="60C07B37"/>
    <w:rsid w:val="61FF42D8"/>
    <w:rsid w:val="622B0FE0"/>
    <w:rsid w:val="622F7804"/>
    <w:rsid w:val="62887D4A"/>
    <w:rsid w:val="62D6719E"/>
    <w:rsid w:val="63027F93"/>
    <w:rsid w:val="639C5020"/>
    <w:rsid w:val="63BF2892"/>
    <w:rsid w:val="64191A38"/>
    <w:rsid w:val="64591560"/>
    <w:rsid w:val="65052EF2"/>
    <w:rsid w:val="6556579E"/>
    <w:rsid w:val="65833FDE"/>
    <w:rsid w:val="663223CC"/>
    <w:rsid w:val="665912E8"/>
    <w:rsid w:val="673B7F17"/>
    <w:rsid w:val="679109C9"/>
    <w:rsid w:val="67AA29A8"/>
    <w:rsid w:val="67CB6E17"/>
    <w:rsid w:val="67FA0D3C"/>
    <w:rsid w:val="684C7ED7"/>
    <w:rsid w:val="68D62C08"/>
    <w:rsid w:val="690B5C60"/>
    <w:rsid w:val="69A073F1"/>
    <w:rsid w:val="6A494BEF"/>
    <w:rsid w:val="6A936C3C"/>
    <w:rsid w:val="6AA3564D"/>
    <w:rsid w:val="6AC16F94"/>
    <w:rsid w:val="6B6F3C2B"/>
    <w:rsid w:val="6C1168C2"/>
    <w:rsid w:val="6C226072"/>
    <w:rsid w:val="6D033285"/>
    <w:rsid w:val="6D4B0788"/>
    <w:rsid w:val="6D5101FC"/>
    <w:rsid w:val="6D5B4586"/>
    <w:rsid w:val="6D5C48D6"/>
    <w:rsid w:val="6DB6038D"/>
    <w:rsid w:val="6E072662"/>
    <w:rsid w:val="70700C31"/>
    <w:rsid w:val="71416E99"/>
    <w:rsid w:val="715D6E2D"/>
    <w:rsid w:val="71783771"/>
    <w:rsid w:val="724506DD"/>
    <w:rsid w:val="72560A78"/>
    <w:rsid w:val="72BF19FC"/>
    <w:rsid w:val="73145E9B"/>
    <w:rsid w:val="733670FA"/>
    <w:rsid w:val="739A2339"/>
    <w:rsid w:val="73AD3F4B"/>
    <w:rsid w:val="73CD43C4"/>
    <w:rsid w:val="7448441A"/>
    <w:rsid w:val="744D0FEF"/>
    <w:rsid w:val="744D7DC9"/>
    <w:rsid w:val="74884203"/>
    <w:rsid w:val="752B6D93"/>
    <w:rsid w:val="754D3E47"/>
    <w:rsid w:val="7568637B"/>
    <w:rsid w:val="75BA7197"/>
    <w:rsid w:val="763C52E2"/>
    <w:rsid w:val="764D017C"/>
    <w:rsid w:val="76533A9A"/>
    <w:rsid w:val="766E5C13"/>
    <w:rsid w:val="7671125F"/>
    <w:rsid w:val="76DC1C23"/>
    <w:rsid w:val="76E21684"/>
    <w:rsid w:val="77006FDD"/>
    <w:rsid w:val="773B0B24"/>
    <w:rsid w:val="7772672B"/>
    <w:rsid w:val="77863E64"/>
    <w:rsid w:val="783267CC"/>
    <w:rsid w:val="78764A5D"/>
    <w:rsid w:val="788C05D2"/>
    <w:rsid w:val="79033361"/>
    <w:rsid w:val="792E3438"/>
    <w:rsid w:val="79355C9C"/>
    <w:rsid w:val="7A561C55"/>
    <w:rsid w:val="7BB83E64"/>
    <w:rsid w:val="7BC31C46"/>
    <w:rsid w:val="7C0660BA"/>
    <w:rsid w:val="7C1D4A5F"/>
    <w:rsid w:val="7CCD0704"/>
    <w:rsid w:val="7DC83252"/>
    <w:rsid w:val="7E5F5E41"/>
    <w:rsid w:val="7E905F18"/>
    <w:rsid w:val="7E97382D"/>
    <w:rsid w:val="7EA91BB4"/>
    <w:rsid w:val="7ED368ED"/>
    <w:rsid w:val="7F4D0390"/>
    <w:rsid w:val="7F8206A0"/>
    <w:rsid w:val="7F8D7991"/>
    <w:rsid w:val="7FEA6B1A"/>
    <w:rsid w:val="FFDBC73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nhideWhenUsed="0"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Times New Roman" w:eastAsia="宋体" w:cs="Times New Roman"/>
      <w:lang w:val="en-US" w:eastAsia="zh-CN" w:bidi="ar-SA"/>
    </w:rPr>
  </w:style>
  <w:style w:type="paragraph" w:styleId="4">
    <w:name w:val="heading 1"/>
    <w:basedOn w:val="1"/>
    <w:next w:val="1"/>
    <w:link w:val="37"/>
    <w:qFormat/>
    <w:uiPriority w:val="9"/>
    <w:pPr>
      <w:keepNext/>
      <w:keepLines/>
      <w:autoSpaceDE/>
      <w:autoSpaceDN/>
      <w:adjustRightInd/>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5">
    <w:name w:val="heading 2"/>
    <w:basedOn w:val="1"/>
    <w:next w:val="1"/>
    <w:link w:val="38"/>
    <w:semiHidden/>
    <w:unhideWhenUsed/>
    <w:qFormat/>
    <w:uiPriority w:val="9"/>
    <w:pPr>
      <w:keepNext/>
      <w:keepLines/>
      <w:autoSpaceDE/>
      <w:autoSpaceDN/>
      <w:adjustRightInd/>
      <w:spacing w:before="260" w:after="260" w:line="416" w:lineRule="auto"/>
      <w:jc w:val="both"/>
      <w:outlineLvl w:val="1"/>
    </w:pPr>
    <w:rPr>
      <w:rFonts w:asciiTheme="majorHAnsi" w:hAnsiTheme="majorHAnsi" w:eastAsiaTheme="majorEastAsia" w:cstheme="majorBidi"/>
      <w:b/>
      <w:bCs/>
      <w:kern w:val="2"/>
      <w:sz w:val="32"/>
      <w:szCs w:val="32"/>
    </w:rPr>
  </w:style>
  <w:style w:type="paragraph" w:styleId="6">
    <w:name w:val="heading 3"/>
    <w:basedOn w:val="1"/>
    <w:next w:val="1"/>
    <w:link w:val="39"/>
    <w:semiHidden/>
    <w:unhideWhenUsed/>
    <w:qFormat/>
    <w:uiPriority w:val="9"/>
    <w:pPr>
      <w:keepNext/>
      <w:keepLines/>
      <w:autoSpaceDE/>
      <w:autoSpaceDN/>
      <w:adjustRightInd/>
      <w:spacing w:before="260" w:after="260" w:line="416" w:lineRule="auto"/>
      <w:jc w:val="both"/>
      <w:outlineLvl w:val="2"/>
    </w:pPr>
    <w:rPr>
      <w:rFonts w:asciiTheme="minorHAnsi" w:hAnsiTheme="minorHAnsi" w:eastAsiaTheme="minorEastAsia" w:cstheme="minorBidi"/>
      <w:b/>
      <w:bCs/>
      <w:kern w:val="2"/>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annotation text"/>
    <w:basedOn w:val="1"/>
    <w:link w:val="31"/>
    <w:qFormat/>
    <w:uiPriority w:val="0"/>
    <w:rPr>
      <w:rFonts w:hAnsiTheme="minorHAnsi" w:eastAsiaTheme="minorEastAsia" w:cstheme="minorBidi"/>
      <w:kern w:val="2"/>
      <w:sz w:val="21"/>
      <w:szCs w:val="22"/>
    </w:rPr>
  </w:style>
  <w:style w:type="paragraph" w:styleId="8">
    <w:name w:val="Body Text"/>
    <w:basedOn w:val="1"/>
    <w:link w:val="46"/>
    <w:qFormat/>
    <w:uiPriority w:val="1"/>
    <w:pPr>
      <w:adjustRightInd/>
      <w:jc w:val="both"/>
    </w:pPr>
    <w:rPr>
      <w:rFonts w:ascii="PMingLiU" w:hAnsi="PMingLiU" w:eastAsia="PMingLiU" w:cs="PMingLiU"/>
      <w:sz w:val="28"/>
      <w:szCs w:val="28"/>
      <w:lang w:val="zh-CN" w:bidi="zh-CN"/>
    </w:rPr>
  </w:style>
  <w:style w:type="paragraph" w:styleId="9">
    <w:name w:val="toc 3"/>
    <w:basedOn w:val="1"/>
    <w:next w:val="1"/>
    <w:semiHidden/>
    <w:unhideWhenUsed/>
    <w:qFormat/>
    <w:uiPriority w:val="39"/>
    <w:pPr>
      <w:widowControl/>
      <w:autoSpaceDE/>
      <w:autoSpaceDN/>
      <w:adjustRightInd/>
      <w:spacing w:after="100" w:line="276" w:lineRule="auto"/>
      <w:ind w:left="440"/>
    </w:pPr>
    <w:rPr>
      <w:rFonts w:asciiTheme="minorHAnsi" w:hAnsiTheme="minorHAnsi" w:eastAsiaTheme="minorEastAsia" w:cstheme="minorBidi"/>
      <w:sz w:val="22"/>
      <w:szCs w:val="22"/>
    </w:rPr>
  </w:style>
  <w:style w:type="paragraph" w:styleId="10">
    <w:name w:val="Plain Text"/>
    <w:basedOn w:val="1"/>
    <w:link w:val="33"/>
    <w:qFormat/>
    <w:uiPriority w:val="0"/>
    <w:pPr>
      <w:autoSpaceDE/>
      <w:autoSpaceDN/>
      <w:jc w:val="both"/>
      <w:textAlignment w:val="baseline"/>
    </w:pPr>
    <w:rPr>
      <w:rFonts w:hAnsi="Courier New"/>
      <w:kern w:val="2"/>
      <w:sz w:val="24"/>
    </w:rPr>
  </w:style>
  <w:style w:type="paragraph" w:styleId="11">
    <w:name w:val="Date"/>
    <w:basedOn w:val="1"/>
    <w:next w:val="1"/>
    <w:link w:val="43"/>
    <w:semiHidden/>
    <w:unhideWhenUsed/>
    <w:qFormat/>
    <w:uiPriority w:val="99"/>
    <w:pPr>
      <w:ind w:left="100" w:leftChars="2500"/>
    </w:pPr>
  </w:style>
  <w:style w:type="paragraph" w:styleId="12">
    <w:name w:val="Balloon Text"/>
    <w:basedOn w:val="1"/>
    <w:link w:val="35"/>
    <w:semiHidden/>
    <w:unhideWhenUsed/>
    <w:qFormat/>
    <w:uiPriority w:val="99"/>
    <w:rPr>
      <w:sz w:val="18"/>
      <w:szCs w:val="18"/>
    </w:rPr>
  </w:style>
  <w:style w:type="paragraph" w:styleId="13">
    <w:name w:val="footer"/>
    <w:basedOn w:val="1"/>
    <w:link w:val="32"/>
    <w:qFormat/>
    <w:uiPriority w:val="99"/>
    <w:pPr>
      <w:tabs>
        <w:tab w:val="center" w:pos="4153"/>
        <w:tab w:val="right" w:pos="8306"/>
      </w:tabs>
      <w:snapToGrid w:val="0"/>
    </w:pPr>
    <w:rPr>
      <w:sz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autoSpaceDE/>
      <w:autoSpaceDN/>
      <w:adjustRightInd/>
      <w:spacing w:after="100" w:line="276" w:lineRule="auto"/>
    </w:pPr>
    <w:rPr>
      <w:rFonts w:asciiTheme="minorHAnsi" w:hAnsiTheme="minorHAnsi" w:eastAsiaTheme="minorEastAsia" w:cstheme="minorBidi"/>
      <w:sz w:val="22"/>
      <w:szCs w:val="22"/>
    </w:rPr>
  </w:style>
  <w:style w:type="paragraph" w:styleId="16">
    <w:name w:val="footnote text"/>
    <w:basedOn w:val="1"/>
    <w:link w:val="41"/>
    <w:semiHidden/>
    <w:unhideWhenUsed/>
    <w:qFormat/>
    <w:uiPriority w:val="99"/>
    <w:pPr>
      <w:snapToGrid w:val="0"/>
    </w:pPr>
    <w:rPr>
      <w:sz w:val="18"/>
      <w:szCs w:val="18"/>
    </w:rPr>
  </w:style>
  <w:style w:type="paragraph" w:styleId="17">
    <w:name w:val="toc 2"/>
    <w:basedOn w:val="1"/>
    <w:next w:val="1"/>
    <w:unhideWhenUsed/>
    <w:qFormat/>
    <w:uiPriority w:val="39"/>
    <w:pPr>
      <w:widowControl/>
      <w:autoSpaceDE/>
      <w:autoSpaceDN/>
      <w:adjustRightInd/>
      <w:spacing w:after="100" w:line="276" w:lineRule="auto"/>
      <w:ind w:left="220"/>
    </w:pPr>
    <w:rPr>
      <w:rFonts w:asciiTheme="minorHAnsi" w:hAnsiTheme="minorHAnsi" w:eastAsiaTheme="minorEastAsia" w:cstheme="minorBidi"/>
      <w:sz w:val="22"/>
      <w:szCs w:val="22"/>
    </w:rPr>
  </w:style>
  <w:style w:type="paragraph" w:styleId="18">
    <w:name w:val="annotation subject"/>
    <w:basedOn w:val="7"/>
    <w:next w:val="7"/>
    <w:link w:val="49"/>
    <w:semiHidden/>
    <w:unhideWhenUsed/>
    <w:qFormat/>
    <w:uiPriority w:val="99"/>
    <w:rPr>
      <w:rFonts w:hAnsi="Times New Roman" w:eastAsia="宋体" w:cs="Times New Roman"/>
      <w:b/>
      <w:bCs/>
      <w:kern w:val="0"/>
      <w:sz w:val="20"/>
      <w:szCs w:val="20"/>
    </w:rPr>
  </w:style>
  <w:style w:type="table" w:styleId="20">
    <w:name w:val="Table Grid"/>
    <w:basedOn w:val="19"/>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basedOn w:val="21"/>
    <w:unhideWhenUsed/>
    <w:qFormat/>
    <w:uiPriority w:val="99"/>
    <w:rPr>
      <w:color w:val="0000FF" w:themeColor="hyperlink"/>
      <w:u w:val="single"/>
      <w14:textFill>
        <w14:solidFill>
          <w14:schemeClr w14:val="hlink"/>
        </w14:solidFill>
      </w14:textFill>
    </w:rPr>
  </w:style>
  <w:style w:type="character" w:styleId="24">
    <w:name w:val="annotation reference"/>
    <w:qFormat/>
    <w:uiPriority w:val="0"/>
    <w:rPr>
      <w:sz w:val="21"/>
      <w:szCs w:val="21"/>
    </w:rPr>
  </w:style>
  <w:style w:type="character" w:styleId="25">
    <w:name w:val="footnote reference"/>
    <w:basedOn w:val="21"/>
    <w:semiHidden/>
    <w:unhideWhenUsed/>
    <w:qFormat/>
    <w:uiPriority w:val="99"/>
    <w:rPr>
      <w:vertAlign w:val="superscript"/>
    </w:rPr>
  </w:style>
  <w:style w:type="paragraph" w:customStyle="1" w:styleId="26">
    <w:name w:val="新正表头"/>
    <w:basedOn w:val="1"/>
    <w:qFormat/>
    <w:uiPriority w:val="0"/>
    <w:pPr>
      <w:spacing w:line="480" w:lineRule="exact"/>
      <w:jc w:val="center"/>
      <w:textAlignment w:val="baseline"/>
    </w:pPr>
    <w:rPr>
      <w:rFonts w:hint="eastAsia" w:ascii="仿宋" w:hAnsi="仿宋" w:eastAsia="仿宋" w:cs="宋体"/>
      <w:b/>
      <w:color w:val="auto"/>
      <w:sz w:val="24"/>
      <w:szCs w:val="24"/>
    </w:rPr>
  </w:style>
  <w:style w:type="paragraph" w:customStyle="1" w:styleId="27">
    <w:name w:val="新正大标题"/>
    <w:basedOn w:val="8"/>
    <w:next w:val="4"/>
    <w:uiPriority w:val="0"/>
    <w:pPr>
      <w:spacing w:line="660" w:lineRule="exact"/>
      <w:jc w:val="center"/>
      <w:outlineLvl w:val="9"/>
    </w:pPr>
    <w:rPr>
      <w:rFonts w:hint="eastAsia" w:ascii="方正小标宋简体" w:hAnsi="方正小标宋简体" w:eastAsia="方正小标宋简体" w:cs="方正小标宋简体"/>
      <w:color w:val="auto"/>
      <w:sz w:val="44"/>
      <w:szCs w:val="44"/>
      <w:lang w:val="zh-CN" w:bidi="zh-CN"/>
    </w:rPr>
  </w:style>
  <w:style w:type="paragraph" w:customStyle="1" w:styleId="28">
    <w:name w:val="新正二级标题"/>
    <w:basedOn w:val="1"/>
    <w:next w:val="1"/>
    <w:qFormat/>
    <w:uiPriority w:val="0"/>
    <w:pPr>
      <w:adjustRightInd/>
      <w:spacing w:line="560" w:lineRule="exact"/>
      <w:ind w:firstLine="643" w:firstLineChars="200"/>
      <w:outlineLvl w:val="1"/>
    </w:pPr>
    <w:rPr>
      <w:rFonts w:hint="eastAsia" w:ascii="方正楷体_GB2312" w:hAnsi="方正楷体_GB2312" w:eastAsia="方正楷体_GB2312" w:cs="方正楷体_GB2312"/>
      <w:b/>
      <w:color w:val="auto"/>
      <w:sz w:val="32"/>
      <w:szCs w:val="32"/>
      <w:lang w:val="zh-CN" w:bidi="zh-CN"/>
    </w:rPr>
  </w:style>
  <w:style w:type="paragraph" w:customStyle="1" w:styleId="29">
    <w:name w:val="新正一级标题"/>
    <w:basedOn w:val="8"/>
    <w:next w:val="5"/>
    <w:link w:val="52"/>
    <w:qFormat/>
    <w:uiPriority w:val="0"/>
    <w:pPr>
      <w:spacing w:before="150" w:beforeLines="150" w:line="560" w:lineRule="exact"/>
      <w:ind w:firstLine="640" w:firstLineChars="200"/>
      <w:jc w:val="left"/>
      <w:outlineLvl w:val="0"/>
    </w:pPr>
    <w:rPr>
      <w:rFonts w:hint="eastAsia" w:ascii="黑体" w:hAnsi="黑体" w:eastAsia="黑体" w:cs="黑体"/>
      <w:bCs/>
      <w:color w:val="auto"/>
      <w:sz w:val="32"/>
      <w:szCs w:val="32"/>
      <w:lang w:val="zh-CN" w:bidi="zh-CN"/>
    </w:rPr>
  </w:style>
  <w:style w:type="paragraph" w:customStyle="1" w:styleId="30">
    <w:name w:val="新正正文"/>
    <w:basedOn w:val="1"/>
    <w:uiPriority w:val="0"/>
    <w:pPr>
      <w:spacing w:line="560" w:lineRule="exact"/>
      <w:ind w:firstLine="640" w:firstLineChars="200"/>
      <w:jc w:val="both"/>
      <w:textAlignment w:val="baseline"/>
    </w:pPr>
    <w:rPr>
      <w:rFonts w:hint="eastAsia" w:ascii="方正仿宋_GB2312" w:hAnsi="方正仿宋_GB2312" w:eastAsia="方正仿宋_GB2312" w:cs="方正仿宋_GB2312"/>
      <w:color w:val="auto"/>
      <w:sz w:val="32"/>
      <w:szCs w:val="32"/>
      <w:lang w:val="zh-CN" w:bidi="zh-CN"/>
    </w:rPr>
  </w:style>
  <w:style w:type="character" w:customStyle="1" w:styleId="31">
    <w:name w:val="批注文字 Char"/>
    <w:link w:val="7"/>
    <w:qFormat/>
    <w:uiPriority w:val="0"/>
    <w:rPr>
      <w:rFonts w:ascii="宋体"/>
    </w:rPr>
  </w:style>
  <w:style w:type="character" w:customStyle="1" w:styleId="32">
    <w:name w:val="页脚 Char"/>
    <w:basedOn w:val="21"/>
    <w:link w:val="13"/>
    <w:qFormat/>
    <w:uiPriority w:val="99"/>
    <w:rPr>
      <w:rFonts w:ascii="宋体" w:hAnsi="Times New Roman" w:eastAsia="宋体" w:cs="Times New Roman"/>
      <w:kern w:val="0"/>
      <w:sz w:val="18"/>
      <w:szCs w:val="20"/>
    </w:rPr>
  </w:style>
  <w:style w:type="character" w:customStyle="1" w:styleId="33">
    <w:name w:val="纯文本 Char"/>
    <w:basedOn w:val="21"/>
    <w:link w:val="10"/>
    <w:qFormat/>
    <w:uiPriority w:val="0"/>
    <w:rPr>
      <w:rFonts w:ascii="宋体" w:hAnsi="Courier New" w:eastAsia="宋体" w:cs="Times New Roman"/>
      <w:sz w:val="24"/>
      <w:szCs w:val="20"/>
    </w:rPr>
  </w:style>
  <w:style w:type="character" w:customStyle="1" w:styleId="34">
    <w:name w:val="批注文字 Char1"/>
    <w:basedOn w:val="21"/>
    <w:semiHidden/>
    <w:qFormat/>
    <w:uiPriority w:val="99"/>
    <w:rPr>
      <w:rFonts w:ascii="宋体" w:hAnsi="Times New Roman" w:eastAsia="宋体" w:cs="Times New Roman"/>
      <w:kern w:val="0"/>
      <w:sz w:val="20"/>
      <w:szCs w:val="20"/>
    </w:rPr>
  </w:style>
  <w:style w:type="character" w:customStyle="1" w:styleId="35">
    <w:name w:val="批注框文本 Char"/>
    <w:basedOn w:val="21"/>
    <w:link w:val="12"/>
    <w:semiHidden/>
    <w:qFormat/>
    <w:uiPriority w:val="99"/>
    <w:rPr>
      <w:rFonts w:ascii="宋体" w:hAnsi="Times New Roman" w:eastAsia="宋体" w:cs="Times New Roman"/>
      <w:kern w:val="0"/>
      <w:sz w:val="18"/>
      <w:szCs w:val="18"/>
    </w:rPr>
  </w:style>
  <w:style w:type="character" w:customStyle="1" w:styleId="36">
    <w:name w:val="页眉 Char"/>
    <w:basedOn w:val="21"/>
    <w:link w:val="14"/>
    <w:qFormat/>
    <w:uiPriority w:val="99"/>
    <w:rPr>
      <w:rFonts w:ascii="宋体" w:hAnsi="Times New Roman" w:eastAsia="宋体" w:cs="Times New Roman"/>
      <w:kern w:val="0"/>
      <w:sz w:val="18"/>
      <w:szCs w:val="18"/>
    </w:rPr>
  </w:style>
  <w:style w:type="character" w:customStyle="1" w:styleId="37">
    <w:name w:val="标题 1 Char"/>
    <w:basedOn w:val="21"/>
    <w:link w:val="4"/>
    <w:qFormat/>
    <w:uiPriority w:val="9"/>
    <w:rPr>
      <w:b/>
      <w:bCs/>
      <w:kern w:val="44"/>
      <w:sz w:val="44"/>
      <w:szCs w:val="44"/>
    </w:rPr>
  </w:style>
  <w:style w:type="character" w:customStyle="1" w:styleId="38">
    <w:name w:val="标题 2 Char"/>
    <w:basedOn w:val="21"/>
    <w:link w:val="5"/>
    <w:semiHidden/>
    <w:qFormat/>
    <w:uiPriority w:val="9"/>
    <w:rPr>
      <w:rFonts w:asciiTheme="majorHAnsi" w:hAnsiTheme="majorHAnsi" w:eastAsiaTheme="majorEastAsia" w:cstheme="majorBidi"/>
      <w:b/>
      <w:bCs/>
      <w:kern w:val="2"/>
      <w:sz w:val="32"/>
      <w:szCs w:val="32"/>
    </w:rPr>
  </w:style>
  <w:style w:type="character" w:customStyle="1" w:styleId="39">
    <w:name w:val="标题 3 Char"/>
    <w:basedOn w:val="21"/>
    <w:link w:val="6"/>
    <w:semiHidden/>
    <w:qFormat/>
    <w:uiPriority w:val="9"/>
    <w:rPr>
      <w:b/>
      <w:bCs/>
      <w:kern w:val="2"/>
      <w:sz w:val="32"/>
      <w:szCs w:val="32"/>
    </w:rPr>
  </w:style>
  <w:style w:type="paragraph" w:styleId="40">
    <w:name w:val="List Paragraph"/>
    <w:basedOn w:val="1"/>
    <w:unhideWhenUsed/>
    <w:qFormat/>
    <w:uiPriority w:val="99"/>
    <w:pPr>
      <w:ind w:firstLine="420" w:firstLineChars="200"/>
    </w:pPr>
  </w:style>
  <w:style w:type="character" w:customStyle="1" w:styleId="41">
    <w:name w:val="脚注文本 Char"/>
    <w:basedOn w:val="21"/>
    <w:link w:val="16"/>
    <w:semiHidden/>
    <w:qFormat/>
    <w:uiPriority w:val="99"/>
    <w:rPr>
      <w:rFonts w:ascii="宋体" w:hAnsi="Times New Roman" w:eastAsia="宋体" w:cs="Times New Roman"/>
      <w:sz w:val="18"/>
      <w:szCs w:val="18"/>
    </w:rPr>
  </w:style>
  <w:style w:type="paragraph" w:customStyle="1" w:styleId="42">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3">
    <w:name w:val="日期 Char"/>
    <w:basedOn w:val="21"/>
    <w:link w:val="11"/>
    <w:semiHidden/>
    <w:qFormat/>
    <w:uiPriority w:val="99"/>
    <w:rPr>
      <w:rFonts w:ascii="宋体" w:hAnsi="Times New Roman" w:eastAsia="宋体" w:cs="Times New Roman"/>
    </w:rPr>
  </w:style>
  <w:style w:type="paragraph" w:customStyle="1" w:styleId="44">
    <w:name w:val="WPSOffice手动目录 1"/>
    <w:qFormat/>
    <w:uiPriority w:val="0"/>
    <w:rPr>
      <w:rFonts w:asciiTheme="minorHAnsi" w:hAnsiTheme="minorHAnsi" w:eastAsiaTheme="minorEastAsia" w:cstheme="minorBidi"/>
      <w:lang w:val="en-US" w:eastAsia="zh-CN" w:bidi="ar-SA"/>
    </w:rPr>
  </w:style>
  <w:style w:type="paragraph" w:customStyle="1" w:styleId="45">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46">
    <w:name w:val="正文文本 Char"/>
    <w:basedOn w:val="21"/>
    <w:link w:val="8"/>
    <w:qFormat/>
    <w:uiPriority w:val="1"/>
    <w:rPr>
      <w:rFonts w:ascii="PMingLiU" w:hAnsi="PMingLiU" w:eastAsia="PMingLiU" w:cs="PMingLiU"/>
      <w:sz w:val="28"/>
      <w:szCs w:val="28"/>
      <w:lang w:val="zh-CN" w:bidi="zh-CN"/>
    </w:rPr>
  </w:style>
  <w:style w:type="paragraph" w:customStyle="1" w:styleId="47">
    <w:name w:val="闻政正文"/>
    <w:basedOn w:val="1"/>
    <w:link w:val="48"/>
    <w:qFormat/>
    <w:uiPriority w:val="0"/>
    <w:pPr>
      <w:autoSpaceDE/>
      <w:autoSpaceDN/>
      <w:adjustRightInd/>
      <w:spacing w:line="500" w:lineRule="exact"/>
      <w:ind w:firstLine="560" w:firstLineChars="200"/>
      <w:jc w:val="both"/>
    </w:pPr>
    <w:rPr>
      <w:rFonts w:ascii="Times New Roman" w:eastAsia="仿宋_GB2312"/>
      <w:sz w:val="28"/>
      <w:szCs w:val="28"/>
    </w:rPr>
  </w:style>
  <w:style w:type="character" w:customStyle="1" w:styleId="48">
    <w:name w:val="闻政正文 Char"/>
    <w:link w:val="47"/>
    <w:qFormat/>
    <w:uiPriority w:val="0"/>
    <w:rPr>
      <w:rFonts w:ascii="Times New Roman" w:hAnsi="Times New Roman" w:eastAsia="仿宋_GB2312"/>
      <w:sz w:val="28"/>
      <w:szCs w:val="28"/>
    </w:rPr>
  </w:style>
  <w:style w:type="character" w:customStyle="1" w:styleId="49">
    <w:name w:val="批注主题 Char"/>
    <w:basedOn w:val="31"/>
    <w:link w:val="18"/>
    <w:semiHidden/>
    <w:qFormat/>
    <w:uiPriority w:val="99"/>
    <w:rPr>
      <w:rFonts w:ascii="宋体" w:hAnsi="Times New Roman"/>
      <w:b/>
      <w:bCs/>
    </w:rPr>
  </w:style>
  <w:style w:type="table" w:customStyle="1" w:styleId="50">
    <w:name w:val="Table Normal"/>
    <w:semiHidden/>
    <w:unhideWhenUsed/>
    <w:qFormat/>
    <w:uiPriority w:val="0"/>
    <w:rPr>
      <w:rFonts w:ascii="Arial" w:hAnsi="Arial" w:cs="Arial"/>
    </w:rPr>
    <w:tblPr>
      <w:tblCellMar>
        <w:top w:w="0" w:type="dxa"/>
        <w:left w:w="0" w:type="dxa"/>
        <w:bottom w:w="0" w:type="dxa"/>
        <w:right w:w="0" w:type="dxa"/>
      </w:tblCellMar>
    </w:tblPr>
  </w:style>
  <w:style w:type="table" w:customStyle="1" w:styleId="51">
    <w:name w:val="Table Normal1"/>
    <w:semiHidden/>
    <w:unhideWhenUsed/>
    <w:qFormat/>
    <w:uiPriority w:val="0"/>
    <w:rPr>
      <w:rFonts w:ascii="Arial" w:hAnsi="Arial" w:cs="Arial"/>
    </w:rPr>
    <w:tblPr>
      <w:tblCellMar>
        <w:top w:w="0" w:type="dxa"/>
        <w:left w:w="0" w:type="dxa"/>
        <w:bottom w:w="0" w:type="dxa"/>
        <w:right w:w="0" w:type="dxa"/>
      </w:tblCellMar>
    </w:tblPr>
  </w:style>
  <w:style w:type="character" w:customStyle="1" w:styleId="52">
    <w:name w:val="新正一级标题 Char"/>
    <w:link w:val="29"/>
    <w:uiPriority w:val="0"/>
    <w:rPr>
      <w:rFonts w:hint="eastAsia" w:ascii="黑体" w:hAnsi="黑体" w:eastAsia="黑体" w:cs="黑体"/>
      <w:bCs/>
      <w:color w:val="auto"/>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30AA05-EFD5-498F-B8E8-754FC3BEBC07}">
  <ds:schemaRefs/>
</ds:datastoreItem>
</file>

<file path=docProps/app.xml><?xml version="1.0" encoding="utf-8"?>
<Properties xmlns="http://schemas.openxmlformats.org/officeDocument/2006/extended-properties" xmlns:vt="http://schemas.openxmlformats.org/officeDocument/2006/docPropsVTypes">
  <Template>Normal.dotm</Template>
  <Company>Far123</Company>
  <Pages>17</Pages>
  <Words>5808</Words>
  <Characters>6252</Characters>
  <Lines>68</Lines>
  <Paragraphs>19</Paragraphs>
  <TotalTime>31</TotalTime>
  <ScaleCrop>false</ScaleCrop>
  <LinksUpToDate>false</LinksUpToDate>
  <CharactersWithSpaces>6380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2021-08-31T02:18:00Z</dcterms:created>
  <dc:creator>admin</dc:creator>
  <cp:lastModifiedBy>Xin12345</cp:lastModifiedBy>
  <cp:lastPrinted>2023-07-27T03:17:00Z</cp:lastPrinted>
  <dcterms:modified xsi:type="dcterms:W3CDTF">2023-08-17T07:26:58Z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F0113771F86B43D489F4C9612FC0478E</vt:lpwstr>
  </property>
</Properties>
</file>